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30368" w14:textId="79CD3B9B" w:rsidR="00793448" w:rsidRDefault="004C7FED" w:rsidP="004C7FED">
      <w:pPr>
        <w:pStyle w:val="Pagedecouverture"/>
        <w:rPr>
          <w:noProof/>
        </w:rPr>
      </w:pPr>
      <w:bookmarkStart w:id="0" w:name="LW_BM_COVERPAGE"/>
      <w:r>
        <w:rPr>
          <w:noProof/>
        </w:rPr>
        <w:pict w14:anchorId="34299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C656D4AE-F73D-44CF-A8CF-0C07DB796528" style="width:455.25pt;height:399pt">
            <v:imagedata r:id="rId11" o:title=""/>
          </v:shape>
        </w:pict>
      </w:r>
    </w:p>
    <w:bookmarkEnd w:id="0"/>
    <w:p w14:paraId="5C668160" w14:textId="77777777" w:rsidR="00793448" w:rsidRDefault="00793448" w:rsidP="00793448">
      <w:pPr>
        <w:rPr>
          <w:noProof/>
        </w:rPr>
        <w:sectPr w:rsidR="00793448" w:rsidSect="004C7FE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B96F924" w14:textId="621BCAB0" w:rsidR="00B251C6" w:rsidRPr="00B251C6" w:rsidRDefault="00B251C6" w:rsidP="00B251C6">
      <w:pPr>
        <w:pStyle w:val="Typedudocument"/>
        <w:rPr>
          <w:noProof/>
        </w:rPr>
      </w:pPr>
      <w:bookmarkStart w:id="1" w:name="_GoBack"/>
      <w:bookmarkEnd w:id="1"/>
      <w:r w:rsidRPr="00B251C6">
        <w:rPr>
          <w:noProof/>
        </w:rPr>
        <w:lastRenderedPageBreak/>
        <w:t>PRILOZI</w:t>
      </w:r>
      <w:r w:rsidRPr="00B251C6">
        <w:rPr>
          <w:noProof/>
        </w:rPr>
        <w:br/>
      </w:r>
    </w:p>
    <w:p w14:paraId="6E6210ED" w14:textId="673C75A5" w:rsidR="00B251C6" w:rsidRPr="00B251C6" w:rsidRDefault="00B251C6" w:rsidP="00B251C6">
      <w:pPr>
        <w:pStyle w:val="Typeacteprincipal"/>
        <w:rPr>
          <w:noProof/>
        </w:rPr>
      </w:pPr>
      <w:r w:rsidRPr="00B251C6">
        <w:rPr>
          <w:noProof/>
        </w:rPr>
        <w:t>KOMUNIKACIJI KOMISIJE EUROPSKOM PARLAMENTU, VIJEĆU, EUROPSKOM GOSPODARSKOM I SOCIJALNOM ODBORU I ODBORU REGIJA</w:t>
      </w:r>
    </w:p>
    <w:p w14:paraId="2469C145" w14:textId="4B4B9600" w:rsidR="00B251C6" w:rsidRPr="00B251C6" w:rsidRDefault="00B251C6" w:rsidP="00B251C6">
      <w:pPr>
        <w:pStyle w:val="Objetacteprincipal"/>
        <w:rPr>
          <w:noProof/>
        </w:rPr>
      </w:pPr>
      <w:r w:rsidRPr="00B251C6">
        <w:rPr>
          <w:noProof/>
        </w:rPr>
        <w:t>Komunikacija o politici proširenja EU-a za 2022.</w:t>
      </w:r>
    </w:p>
    <w:p w14:paraId="4644CE7F" w14:textId="577E5402" w:rsidR="00FD3F47" w:rsidRDefault="00FD3F47" w:rsidP="00B37A14">
      <w:pPr>
        <w:rPr>
          <w:noProof/>
        </w:rPr>
      </w:pPr>
    </w:p>
    <w:p w14:paraId="58B2A6BE" w14:textId="77777777" w:rsidR="00FD3F47" w:rsidRDefault="00FD3F47" w:rsidP="00FD3F47">
      <w:pPr>
        <w:rPr>
          <w:noProof/>
        </w:rPr>
      </w:pPr>
    </w:p>
    <w:p w14:paraId="58B3A13C" w14:textId="77777777" w:rsidR="00FD3F47" w:rsidRDefault="00FD3F47" w:rsidP="00FD3F47">
      <w:pPr>
        <w:rPr>
          <w:noProof/>
        </w:rPr>
      </w:pPr>
    </w:p>
    <w:p w14:paraId="7E3D6F4F" w14:textId="77777777" w:rsidR="00FD3F47" w:rsidRPr="00FD3F47" w:rsidRDefault="00FD3F47" w:rsidP="00FD3F47">
      <w:pPr>
        <w:rPr>
          <w:noProof/>
        </w:rPr>
      </w:pPr>
    </w:p>
    <w:p w14:paraId="15E414D9" w14:textId="77777777" w:rsidR="00793448" w:rsidRDefault="00793448">
      <w:pPr>
        <w:rPr>
          <w:noProof/>
        </w:rPr>
        <w:sectPr w:rsidR="00793448" w:rsidSect="00CC022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titlePg/>
          <w:docGrid w:linePitch="360"/>
        </w:sectPr>
      </w:pPr>
    </w:p>
    <w:p w14:paraId="6A009914" w14:textId="77777777" w:rsidR="00221F1C" w:rsidRDefault="00221F1C" w:rsidP="00221F1C">
      <w:pPr>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Prilog 1. – Sažeci nalaza iz izvješća </w:t>
      </w:r>
    </w:p>
    <w:p w14:paraId="33FD82B6" w14:textId="77777777" w:rsidR="00221F1C" w:rsidRDefault="00221F1C" w:rsidP="00221F1C">
      <w:pPr>
        <w:spacing w:after="120" w:line="240" w:lineRule="auto"/>
        <w:jc w:val="both"/>
        <w:rPr>
          <w:rFonts w:ascii="Times New Roman" w:eastAsia="Calibri" w:hAnsi="Times New Roman" w:cs="Times New Roman"/>
          <w:b/>
          <w:noProof/>
          <w:sz w:val="24"/>
          <w:szCs w:val="24"/>
        </w:rPr>
      </w:pPr>
    </w:p>
    <w:p w14:paraId="1F8C4FEB" w14:textId="77777777" w:rsidR="00221F1C" w:rsidRDefault="00221F1C" w:rsidP="00221F1C">
      <w:pPr>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Crna Gora</w:t>
      </w:r>
    </w:p>
    <w:p w14:paraId="64E2AF01" w14:textId="77777777" w:rsidR="00221F1C" w:rsidRDefault="00221F1C" w:rsidP="00221F1C">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rPr>
        <w:t xml:space="preserve">Kad je riječ o </w:t>
      </w:r>
      <w:r>
        <w:rPr>
          <w:rFonts w:ascii="Times New Roman" w:hAnsi="Times New Roman"/>
          <w:b/>
          <w:noProof/>
          <w:color w:val="000000"/>
          <w:sz w:val="24"/>
        </w:rPr>
        <w:t>političkim kriterijima</w:t>
      </w:r>
      <w:r>
        <w:rPr>
          <w:rFonts w:ascii="Times New Roman" w:hAnsi="Times New Roman"/>
          <w:noProof/>
          <w:color w:val="000000"/>
          <w:sz w:val="24"/>
        </w:rPr>
        <w:t xml:space="preserve">, nastavile su se političke tenzije, </w:t>
      </w:r>
      <w:r>
        <w:rPr>
          <w:rFonts w:ascii="Times New Roman" w:hAnsi="Times New Roman"/>
          <w:noProof/>
          <w:sz w:val="24"/>
        </w:rPr>
        <w:t xml:space="preserve">polarizacija, izostanak konstruktivne suradnje među političkim strankama i neuspjeh u izgradnji konsenzusa o ključnim pitanjima od nacionalnog interesa, što je dovelo do pada dviju manjinskih vlada nakon izglasavanja nepovjerenja. Politička nestabilnost, nestabilnost vlade i napetosti u vladajućim većinama utjecale su na pravilno funkcioniranje crnogorskih institucija, što je usporilo procese donošenja odluka i provedbu reformi. Glavna pravosudna tijela, uključujući Ustavni sud, </w:t>
      </w:r>
      <w:r>
        <w:rPr>
          <w:rFonts w:ascii="Times New Roman" w:hAnsi="Times New Roman"/>
          <w:noProof/>
          <w:color w:val="000000"/>
          <w:sz w:val="24"/>
        </w:rPr>
        <w:t>radila su u nepotpunom sastavu zbog nemogućnosti parlamenta da izabere nove članove, čime je zapravo ugroženo njegovo funkcioniranje.</w:t>
      </w:r>
      <w:r>
        <w:rPr>
          <w:rFonts w:ascii="Calibri" w:hAnsi="Calibri"/>
          <w:noProof/>
          <w:color w:val="000000"/>
        </w:rPr>
        <w:t xml:space="preserve"> </w:t>
      </w:r>
      <w:r>
        <w:rPr>
          <w:rFonts w:ascii="Times New Roman" w:hAnsi="Times New Roman"/>
          <w:noProof/>
          <w:color w:val="000000"/>
          <w:sz w:val="24"/>
        </w:rPr>
        <w:t>Ustavni sud nije mogao ispunjavati svoje zadaće od sredine rujna zbog nedostatka kvoruma, što je povećalo političku nesigurnost.</w:t>
      </w:r>
    </w:p>
    <w:p w14:paraId="6760A1E3"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Sklapanje Temeljnog ugovora sa Srpskom pravoslavnom crkvom utjecalo je na političku atmosferu i dodatno pojačalo napetosti. Općenito, vlade i parlament nisu uspjeli u praksi dokazati svoj angažman u programu reformi povezanih s EU-om.</w:t>
      </w:r>
    </w:p>
    <w:p w14:paraId="012F6A38" w14:textId="265E2159" w:rsidR="00221F1C" w:rsidRDefault="00221F1C" w:rsidP="00221F1C">
      <w:pPr>
        <w:autoSpaceDE w:val="0"/>
        <w:autoSpaceDN w:val="0"/>
        <w:adjustRightInd w:val="0"/>
        <w:spacing w:after="120" w:line="240" w:lineRule="auto"/>
        <w:jc w:val="both"/>
        <w:rPr>
          <w:rFonts w:ascii="Times New Roman" w:eastAsia="Calibri" w:hAnsi="Times New Roman" w:cs="Times New Roman"/>
          <w:bCs/>
          <w:noProof/>
          <w:color w:val="000000"/>
          <w:sz w:val="24"/>
          <w:szCs w:val="24"/>
        </w:rPr>
      </w:pPr>
      <w:r>
        <w:rPr>
          <w:rFonts w:ascii="Times New Roman" w:hAnsi="Times New Roman"/>
          <w:noProof/>
          <w:color w:val="000000"/>
          <w:sz w:val="24"/>
        </w:rPr>
        <w:t>Nakon misije za promatranje parlamentarnih izbora 2020. nije ostvaren napredak u sveobuhvatnoj reformi izbornog pravnog i institucionalnog okvira, uključujući preporuke Ureda za demokratske institucije i ljudska prava (ODIHR) Organizacije za europsku sigurnost i suradnju (OESS). Parlamentarni odbor za sveobuhvatnu izbornu reformu nije djelovao od lipnja do studenoga 2021., a 2022. sastao se samo dvaput prije završetka mandata u srpnju 2022. Lokalni izbori održani su u pet općina. U svibnju 2022. parlament je donio izmjene Zakona o lokalnoj samoupravi, kojim se omogućava održavanje svih preostalih lokalnih izbora za tu godinu istog dana. Ustavni sud u srpnju je ocijenio da su te izmjene neustavne. Institucije još uvijek nisu ponudile vjerodostojan, neovisan i učinkovit odgovor na tzv. aferu „koverta”.</w:t>
      </w:r>
    </w:p>
    <w:p w14:paraId="130A9746"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bCs/>
          <w:noProof/>
          <w:color w:val="000000"/>
          <w:sz w:val="24"/>
          <w:szCs w:val="24"/>
        </w:rPr>
      </w:pPr>
      <w:r>
        <w:rPr>
          <w:rFonts w:ascii="Times New Roman" w:hAnsi="Times New Roman"/>
          <w:noProof/>
          <w:color w:val="000000"/>
          <w:sz w:val="24"/>
        </w:rPr>
        <w:t xml:space="preserve">Rad parlamenta obilježen je bojkotima vladajuće većine i oporbe, promjenama vlada i promjenom dvaju uzastopnih predsjednika parlamenta. Postupak donošenja propisa bio je znatno ugrožen. Nije bilo uvjerljivog političkog dijaloga ni konstruktivne suradnje među političkim strankama s ciljem povećanja parlamentarne odgovornosti i državnog nadzora. Suradnju vlade i parlamenta treba dodatno regulirati kako bi se poboljšalo sudjelovanje parlamenta u procesu pristupanja i nadzor tog procesa. </w:t>
      </w:r>
    </w:p>
    <w:p w14:paraId="185A235D"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bCs/>
          <w:noProof/>
          <w:color w:val="000000"/>
          <w:sz w:val="24"/>
          <w:szCs w:val="24"/>
        </w:rPr>
      </w:pPr>
      <w:r>
        <w:rPr>
          <w:rFonts w:ascii="Times New Roman" w:hAnsi="Times New Roman"/>
          <w:noProof/>
          <w:color w:val="000000"/>
          <w:sz w:val="24"/>
        </w:rPr>
        <w:t xml:space="preserve">Parlament je nastavio jačati svoju transparentnost uspostavljanjem nekoliko službi usmjerenih na građane. Potrebno je ojačati sposobnost parlamenta da integrira i nadzire pitanja rodne ravnopravnosti. </w:t>
      </w:r>
    </w:p>
    <w:p w14:paraId="550B57FA"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Uloga </w:t>
      </w:r>
      <w:r>
        <w:rPr>
          <w:rFonts w:ascii="Times New Roman" w:hAnsi="Times New Roman"/>
          <w:b/>
          <w:noProof/>
          <w:color w:val="000000"/>
          <w:sz w:val="24"/>
        </w:rPr>
        <w:t>civilnog društva</w:t>
      </w:r>
      <w:r>
        <w:rPr>
          <w:rFonts w:ascii="Times New Roman" w:hAnsi="Times New Roman"/>
          <w:noProof/>
          <w:color w:val="000000"/>
          <w:sz w:val="24"/>
        </w:rPr>
        <w:t xml:space="preserve"> prepoznata je i promiče se, iako je postojeći pravni i institucionalni okvir potrebno dodatno poboljšati kako bi se ojačali mehanizmi savjetovanja i suradnje između državnih institucija i civilnog društva u kontekstu procesa pristupanja EU-u.</w:t>
      </w:r>
    </w:p>
    <w:p w14:paraId="2F3AE1F5"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Crna Gora umjereno je pripremljena</w:t>
      </w:r>
      <w:r>
        <w:rPr>
          <w:rFonts w:ascii="Times New Roman" w:hAnsi="Times New Roman"/>
          <w:b/>
          <w:noProof/>
          <w:color w:val="000000"/>
          <w:sz w:val="24"/>
        </w:rPr>
        <w:t xml:space="preserve"> </w:t>
      </w:r>
      <w:r>
        <w:rPr>
          <w:rFonts w:ascii="Times New Roman" w:hAnsi="Times New Roman"/>
          <w:noProof/>
          <w:color w:val="000000"/>
          <w:sz w:val="24"/>
        </w:rPr>
        <w:t xml:space="preserve">kad je riječ o </w:t>
      </w:r>
      <w:r>
        <w:rPr>
          <w:rFonts w:ascii="Times New Roman" w:hAnsi="Times New Roman"/>
          <w:b/>
          <w:noProof/>
          <w:color w:val="000000"/>
          <w:sz w:val="24"/>
        </w:rPr>
        <w:t>reformi javne uprave</w:t>
      </w:r>
      <w:r>
        <w:rPr>
          <w:rFonts w:ascii="Times New Roman" w:hAnsi="Times New Roman"/>
          <w:noProof/>
          <w:color w:val="000000"/>
          <w:sz w:val="24"/>
        </w:rPr>
        <w:t>. Općenito, ostvaren je</w:t>
      </w:r>
      <w:r>
        <w:rPr>
          <w:rFonts w:ascii="Times New Roman" w:hAnsi="Times New Roman"/>
          <w:b/>
          <w:noProof/>
          <w:color w:val="000000"/>
          <w:sz w:val="24"/>
        </w:rPr>
        <w:t xml:space="preserve"> </w:t>
      </w:r>
      <w:r>
        <w:rPr>
          <w:rFonts w:ascii="Times New Roman" w:hAnsi="Times New Roman"/>
          <w:noProof/>
          <w:color w:val="000000"/>
          <w:sz w:val="24"/>
        </w:rPr>
        <w:t>ograničen napredak, uključujući donošenje nove strategije za reformu javne uprave za razdoblje 2022.–2026. Suprotno tomu, i dalje su se osjećali učinci reorganizacije javne uprave i izmjena Zakona o državnim službenicima i zaposlenicima donesenih 2021., uz promjene osoblja, gubitak znanja i iskustva u pitanjima procesa pristupanja EU-u te općenito usporavanje reformi. Umanjeni zahtjevi uvedeni tim izmjenama izazivaju stalnu zabrinutost kad je riječ o zapošljavanju na temelju zasluga te sposobnosti i neovisnosti državnih službenika. Osim toga, nacrti izmjena Zakona o lokalnoj samoupravi na sličan bi način smanjili takve zahtjeve na lokalnoj razini. Parlament tek treba donijeti izmjene Zakona o pristupu informacijama. Treba uspostaviti i djelotvorne linije odgovornosti u upravi. Potrebna je snažna politička volja za učinkovito rješavanje problema povezanih sa zapošljavanjem na temelju zasluga, optimizacijom državne uprave i provedbom upravljačke odgovornosti.</w:t>
      </w:r>
    </w:p>
    <w:p w14:paraId="00FB44C8"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bCs/>
          <w:noProof/>
          <w:color w:val="000000"/>
          <w:sz w:val="24"/>
          <w:szCs w:val="24"/>
        </w:rPr>
      </w:pPr>
      <w:r>
        <w:rPr>
          <w:rFonts w:ascii="Times New Roman" w:hAnsi="Times New Roman"/>
          <w:noProof/>
          <w:color w:val="000000"/>
          <w:sz w:val="24"/>
        </w:rPr>
        <w:t xml:space="preserve">Crna Gora umjereno je pripremljena kad je riječ o </w:t>
      </w:r>
      <w:r>
        <w:rPr>
          <w:rFonts w:ascii="Times New Roman" w:hAnsi="Times New Roman"/>
          <w:b/>
          <w:noProof/>
          <w:color w:val="000000"/>
          <w:sz w:val="24"/>
        </w:rPr>
        <w:t>pravosudnom sustavu</w:t>
      </w:r>
      <w:r>
        <w:rPr>
          <w:rFonts w:ascii="Times New Roman" w:hAnsi="Times New Roman"/>
          <w:noProof/>
          <w:color w:val="000000"/>
          <w:sz w:val="24"/>
        </w:rPr>
        <w:t>. Sveukupno je u razdoblju izvješćivanja ostvaren ograničen napredak. Provedba ključnih pravosudnih reformi i dalje je u zastoju. Provedena su neka dugoočekivana imenovanja sudaca na visokoj razini, dok je nekoliko drugih, uključujući Ustavni sud (za što je potrebna kvalificirana većina u parlamentu), i dalje u tijeku.</w:t>
      </w:r>
      <w:r>
        <w:rPr>
          <w:rFonts w:ascii="Times New Roman" w:hAnsi="Times New Roman"/>
          <w:noProof/>
          <w:color w:val="000000"/>
          <w:sz w:val="23"/>
        </w:rPr>
        <w:t xml:space="preserve"> </w:t>
      </w:r>
      <w:r>
        <w:rPr>
          <w:rFonts w:ascii="Times New Roman" w:hAnsi="Times New Roman"/>
          <w:noProof/>
          <w:color w:val="000000"/>
          <w:sz w:val="24"/>
        </w:rPr>
        <w:t>I dalje postoji zabrinutost zbog institucionalne učinkovitosti i konsolidacije neovisnih sudbenih i tužiteljskih vijeća. Napredak u području pravosudne odgovornosti još uvijek je ograničen. Treba dodatno ojačati stvarnu neovisnost, integritet, odgovornost i profesionalnost pravosuđa, među ostalim provedbom relevantnog ustavnog i pravnog okvira te donošenjem zakonodavnih promjena u skladu s europskim standardima. Potrebno je ojačati i djelotvornost pravosuđa.</w:t>
      </w:r>
      <w:r>
        <w:rPr>
          <w:rFonts w:ascii="Times New Roman" w:hAnsi="Times New Roman"/>
          <w:noProof/>
          <w:color w:val="000000"/>
          <w:sz w:val="23"/>
        </w:rPr>
        <w:t xml:space="preserve"> </w:t>
      </w:r>
      <w:r>
        <w:rPr>
          <w:rFonts w:ascii="Times New Roman" w:hAnsi="Times New Roman"/>
          <w:noProof/>
          <w:color w:val="000000"/>
          <w:sz w:val="24"/>
        </w:rPr>
        <w:t xml:space="preserve">I dalje je u tijeku donošenje nove strategije za racionalizaciju pravosudne mreže, kao i provedba strategije IKT-a za pravosuđe. Crna Gora i dalje ostvaruje napredak u postupanju s ratnim zločinima na nacionalnoj razini. </w:t>
      </w:r>
    </w:p>
    <w:p w14:paraId="428A58CA" w14:textId="139FC6CC" w:rsidR="00221F1C" w:rsidRDefault="00221F1C" w:rsidP="00221F1C">
      <w:pPr>
        <w:autoSpaceDE w:val="0"/>
        <w:autoSpaceDN w:val="0"/>
        <w:adjustRightInd w:val="0"/>
        <w:spacing w:after="120" w:line="240" w:lineRule="auto"/>
        <w:jc w:val="both"/>
        <w:rPr>
          <w:rFonts w:ascii="Times New Roman" w:eastAsia="Calibri" w:hAnsi="Times New Roman" w:cs="Times New Roman"/>
          <w:bCs/>
          <w:noProof/>
          <w:color w:val="000000"/>
          <w:sz w:val="24"/>
          <w:szCs w:val="24"/>
        </w:rPr>
      </w:pPr>
      <w:r>
        <w:rPr>
          <w:rFonts w:ascii="Times New Roman" w:hAnsi="Times New Roman"/>
          <w:noProof/>
          <w:color w:val="000000"/>
          <w:sz w:val="24"/>
        </w:rPr>
        <w:t xml:space="preserve">Postigla je određenu razinu pripremljenosti u području </w:t>
      </w:r>
      <w:r>
        <w:rPr>
          <w:rFonts w:ascii="Times New Roman" w:hAnsi="Times New Roman"/>
          <w:b/>
          <w:noProof/>
          <w:color w:val="000000"/>
          <w:sz w:val="24"/>
        </w:rPr>
        <w:t>borbe protiv korupcije</w:t>
      </w:r>
      <w:r>
        <w:rPr>
          <w:rFonts w:ascii="Times New Roman" w:hAnsi="Times New Roman"/>
          <w:noProof/>
          <w:color w:val="000000"/>
          <w:sz w:val="24"/>
        </w:rPr>
        <w:t xml:space="preserve">. Tijekom razdoblja izvješćivanja ostvaren je ograničen napredak, a prošlogodišnje preporuke tek su djelomice provedene. Dodatno se poboljšao napredak u ostvarivanju rezultata u području sprečavanja korupcije, posebno zbog pozitivnog trenda u radu Agencije za sprječavanje korupcije. Međutim, potrebno je učiniti više kako bi se osigurali integritet, nepristranost i odgovornost Agencije te kako bi se poboljšali njezini opipljivi rezultati i povjerenje javnosti u skladu s preporukama misije stručnog pregleda provedene 2021. Da bi pokazala vjerodostojan kaznenopravni odgovor, Crna Gora mora ostvariti bolji napredak kad je riječ o istragama, progonima i konačnim presudama u borbi protiv korupcije, uključujući korupciju na visokoj razini. Osim toga, treba poboljšati pravni i institucionalni okvir u skladu s pravnom stečevinom EU-a i europskim standardima, među ostalim radi učinkovite upotrebe financijskih istraga te oduzimanja i zapljene imovine u takvim slučajevima. Sektori koji su najosjetljiviji na korupciju zahtijevaju ciljane procjene rizika i posebne mjere. </w:t>
      </w:r>
    </w:p>
    <w:p w14:paraId="507D16B3"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Crna Gora donekle je, odnosno umjereno je pripremljena za </w:t>
      </w:r>
      <w:r>
        <w:rPr>
          <w:rFonts w:ascii="Times New Roman" w:hAnsi="Times New Roman"/>
          <w:b/>
          <w:noProof/>
          <w:color w:val="000000"/>
          <w:sz w:val="24"/>
        </w:rPr>
        <w:t>borbu protiv organiziranog kriminala</w:t>
      </w:r>
      <w:r>
        <w:rPr>
          <w:rFonts w:ascii="Times New Roman" w:hAnsi="Times New Roman"/>
          <w:noProof/>
          <w:color w:val="000000"/>
          <w:sz w:val="24"/>
        </w:rPr>
        <w:t>. Postignut je određeni napredak u provedbi prošlogodišnjih preporuka, posebice kad je riječ o učinkovitosti kaznenih istraga. Posebne istražne mjere ponovno se u potpunosti primjenjuju. Zakonodavnim promjenama uvedene su zaštitne mjere protiv političkog utjecaja na imenovanje ili razrješavanje načelnika policije. Uspostavljen je registar stvarnog vlasništva. Poboljšan je administrativni okvir za vatreno oružje i donesena je nova strategija za sprečavanje terorizma, pranja novca i financiranja terorizma. Uhićene su neke od ključnih osoba iz organiziranih kriminalnih skupina i broj zapljena droge još je jednom bio rekordan. Osnovan je prvi zajednički istražni tim s trećom zemljom. U porastu je broj konačnih presuda u predmetima organiziranog kriminala. Ipak, potrebno je poboljšati rezultate u pogledu sudskih odluka u području krijumčarenja duhana i pranja novca, upotrebe financijskih istraga i kapaciteta za oduzimanje imovine stečene kaznenim djelima. Crna Gora tek treba riješiti neke sustavne nedostatke koji zahvaćaju sva područja njezina kaznenopravnog sustava, uključujući način na koji se predmeti organiziranog kriminala rješavaju pred sudovima. Za to će biti potrebna snažnija odvraćajuća politika izricanja kazni i revizija upotrebe nagodbi u predmetima organiziranog i teškog kriminala.</w:t>
      </w:r>
    </w:p>
    <w:p w14:paraId="69DCA3BF"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Crna Gora umjereno je pripremljena u području </w:t>
      </w:r>
      <w:r>
        <w:rPr>
          <w:rFonts w:ascii="Times New Roman" w:hAnsi="Times New Roman"/>
          <w:b/>
          <w:noProof/>
          <w:color w:val="000000"/>
          <w:sz w:val="24"/>
        </w:rPr>
        <w:t>temeljnih prava</w:t>
      </w:r>
      <w:r>
        <w:rPr>
          <w:rFonts w:ascii="Times New Roman" w:hAnsi="Times New Roman"/>
          <w:noProof/>
          <w:color w:val="000000"/>
          <w:sz w:val="24"/>
        </w:rPr>
        <w:t xml:space="preserve">. Pravni i institucionalni okvir u velikoj je mjeri uspostavljen i Crna Gora nastavlja ispunjavati svoje međunarodne obveze u području ljudskih prava. No i dalje su potrebni dodatni napori za provedbu tog okvira. Kad je riječ o </w:t>
      </w:r>
      <w:r>
        <w:rPr>
          <w:rFonts w:ascii="Times New Roman" w:hAnsi="Times New Roman"/>
          <w:b/>
          <w:noProof/>
          <w:color w:val="000000"/>
          <w:sz w:val="24"/>
        </w:rPr>
        <w:t>slobodi izražavanja</w:t>
      </w:r>
      <w:r>
        <w:rPr>
          <w:rFonts w:ascii="Times New Roman" w:hAnsi="Times New Roman"/>
          <w:noProof/>
          <w:color w:val="000000"/>
          <w:sz w:val="24"/>
        </w:rPr>
        <w:t>, Crna Gora ima pluralističko medijsko okruženje i postigla je određenu razinu pripremljenosti.</w:t>
      </w:r>
      <w:r>
        <w:rPr>
          <w:rFonts w:ascii="Times New Roman" w:hAnsi="Times New Roman"/>
          <w:noProof/>
          <w:sz w:val="24"/>
        </w:rPr>
        <w:t xml:space="preserve"> Ograničeni napredak ostvaren je u pogledu prošlogodišnjih preporuka. Pravni okvir za zaštitu novinara i ostalih medijskih djelatnika poboljšan je </w:t>
      </w:r>
      <w:r>
        <w:rPr>
          <w:rFonts w:ascii="Times New Roman" w:hAnsi="Times New Roman"/>
          <w:noProof/>
          <w:color w:val="000000"/>
          <w:sz w:val="24"/>
        </w:rPr>
        <w:t>zahvaljujući donošenju izmjena Kaznenog zakona kojima se utvrđuju strože kazne za napade i prijetnje protiv novinara te za ometanje ili sprečavanje obavljanja njihova posla. Međutim, nedostatak djelotvornog daljnjeg pravosudnog postupanja u pogledu starih važnih predmeta i dalje izaziva ozbiljnu zabrinutost. U tijeku je revizija pravnog okvira i izrada nove medijske strategije kako bi se osigurala njihova međusobna dosljednost i potpuna usklađenost s pravnom stečevinom EU-a i relevantnim europskim standardima. Potrebna je ustrajnost u suzbijanju dezinformacija i ograničavanju posljedica uznemiravanja i govora mržnje na internetu, a da se pritom ne ograniči sloboda izražavanja. Javna radiotelevizija RTCG nastavila je proizvoditi politički uravnotežen i raznolik sadržaj. Nastavila se duboka politička polarizacija medija, a sve veća konkurencija velikih regionalnih medija dodatno je opteretila lokalno medijsko tržište.</w:t>
      </w:r>
    </w:p>
    <w:p w14:paraId="5082C49B"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Kad je riječ o </w:t>
      </w:r>
      <w:r>
        <w:rPr>
          <w:rFonts w:ascii="Times New Roman" w:hAnsi="Times New Roman"/>
          <w:b/>
          <w:noProof/>
          <w:color w:val="000000"/>
          <w:sz w:val="24"/>
        </w:rPr>
        <w:t>gospodarskim kriterijima</w:t>
      </w:r>
      <w:r>
        <w:rPr>
          <w:rFonts w:ascii="Times New Roman" w:hAnsi="Times New Roman"/>
          <w:noProof/>
          <w:color w:val="000000"/>
          <w:sz w:val="24"/>
        </w:rPr>
        <w:t>,</w:t>
      </w:r>
      <w:r>
        <w:rPr>
          <w:rFonts w:ascii="Times New Roman" w:hAnsi="Times New Roman"/>
          <w:noProof/>
          <w:sz w:val="24"/>
        </w:rPr>
        <w:t xml:space="preserve"> </w:t>
      </w:r>
      <w:r>
        <w:rPr>
          <w:rFonts w:ascii="Times New Roman" w:hAnsi="Times New Roman"/>
          <w:noProof/>
          <w:color w:val="000000"/>
          <w:sz w:val="24"/>
        </w:rPr>
        <w:t xml:space="preserve">Crna Gora ostvarila je </w:t>
      </w:r>
      <w:r>
        <w:rPr>
          <w:rFonts w:ascii="Times New Roman" w:hAnsi="Times New Roman"/>
          <w:b/>
          <w:noProof/>
          <w:color w:val="000000"/>
          <w:sz w:val="24"/>
        </w:rPr>
        <w:t>dobar napredak</w:t>
      </w:r>
      <w:r>
        <w:rPr>
          <w:rFonts w:ascii="Times New Roman" w:hAnsi="Times New Roman"/>
          <w:noProof/>
          <w:color w:val="000000"/>
          <w:sz w:val="24"/>
        </w:rPr>
        <w:t xml:space="preserve"> i </w:t>
      </w:r>
      <w:r>
        <w:rPr>
          <w:rFonts w:ascii="Times New Roman" w:hAnsi="Times New Roman"/>
          <w:b/>
          <w:noProof/>
          <w:color w:val="000000"/>
          <w:sz w:val="24"/>
        </w:rPr>
        <w:t xml:space="preserve">umjereno je pripremljena </w:t>
      </w:r>
      <w:r>
        <w:rPr>
          <w:rFonts w:ascii="Times New Roman" w:hAnsi="Times New Roman"/>
          <w:noProof/>
          <w:color w:val="000000"/>
          <w:sz w:val="24"/>
        </w:rPr>
        <w:t>u stvaranju funkcionalnog tržišnog gospodarstva. Nakon što je 2020. doživjelo naglu recesiju, gospodarstvo je 2021. zabilježilo snažan oporavak i nastavilo je rasti stabilnim tempom u prvoj polovini 2022. jer je ukidanje ograničenja povezanih s pandemijom bolesti COVID-19 potaknulo domaću i vanjsku potražnju. Oporavak je doveo do rasta prihoda i vrlo velikog poboljšanja proračunske bilance. Posljedice ruskog rata protiv Ukrajine dosad su bile ograničene, unatoč tomu što su te dvije zemlje znatno pridonosile crnogorskom turizmu u prošlosti. Inflacija je znatno porasla zbog porasta cijena robe na globalnoj razini. Vlada je donijela ambiciozan program fiskalne reforme (nazvan „Europa sad”) kako bi poduprla oporavak nakon pandemije te je osigurala mjere fiskalnih poticaja za smanjenje opterećenja za kućanstva zbog rastućih cijena energenata i hrane. Vanjske neravnoteže znatno su se smanjile</w:t>
      </w:r>
      <w:r>
        <w:rPr>
          <w:rFonts w:ascii="Times New Roman" w:hAnsi="Times New Roman"/>
          <w:noProof/>
          <w:sz w:val="24"/>
        </w:rPr>
        <w:t xml:space="preserve"> </w:t>
      </w:r>
      <w:r>
        <w:rPr>
          <w:rFonts w:ascii="Times New Roman" w:hAnsi="Times New Roman"/>
          <w:noProof/>
          <w:color w:val="000000"/>
          <w:sz w:val="24"/>
        </w:rPr>
        <w:t>zahvaljujući oporavku turizma, a stanje tržišta rada počelo se poboljšavati iako i dalje postoje strukturni problemi. Bankarski sustav ostao je stabilan, a neprihodonosni krediti nisu znatno porasli u 2022. nakon što je 2021. istekao moratorij na kredite koji je donesen u kontekstu krize uzrokovane bolešću COVID-19.</w:t>
      </w:r>
    </w:p>
    <w:p w14:paraId="43BD4F91"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Crna Gora ostvarila je </w:t>
      </w:r>
      <w:r>
        <w:rPr>
          <w:rFonts w:ascii="Times New Roman" w:hAnsi="Times New Roman"/>
          <w:b/>
          <w:noProof/>
          <w:color w:val="000000"/>
          <w:sz w:val="24"/>
        </w:rPr>
        <w:t>određeni napredak</w:t>
      </w:r>
      <w:r>
        <w:rPr>
          <w:rFonts w:ascii="Times New Roman" w:hAnsi="Times New Roman"/>
          <w:noProof/>
          <w:color w:val="000000"/>
          <w:sz w:val="24"/>
        </w:rPr>
        <w:t xml:space="preserve"> i </w:t>
      </w:r>
      <w:r>
        <w:rPr>
          <w:rFonts w:ascii="Times New Roman" w:hAnsi="Times New Roman"/>
          <w:b/>
          <w:noProof/>
          <w:color w:val="000000"/>
          <w:sz w:val="24"/>
        </w:rPr>
        <w:t>umjereno je pripremljena</w:t>
      </w:r>
      <w:r>
        <w:rPr>
          <w:rFonts w:ascii="Times New Roman" w:hAnsi="Times New Roman"/>
          <w:noProof/>
          <w:color w:val="000000"/>
          <w:sz w:val="24"/>
        </w:rPr>
        <w:t xml:space="preserve"> za suočavanje s pritiskom konkurencije i tržišnim silama unutar EU-a. Posljednje dvije vlade radile su na poboljšanju inovacijskih kapaciteta i postavljanju temelja za zelenu i digitalnu tranziciju, čime su nastojale diversificirati ograničenu proizvodnju u Crnoj Gori. Prije svega, provode se moderni telekomunikacijski i ambiciozni projekti zelene energije. Međutim, još uvijek postoje infrastrukturni nedostaci jer su administrativni i financijski kapaciteti zemlje u provedbi glavnih javnih ulaganja i dalje ograničeni. Obrazovni sustav i dalje se suočava s brojnim izazovima zbog kroničnog nedostatka osoba s diplomom iz znanosti, tehnologije, inženjerstva i matematike (STEM). Osim toga, niska dodana vrijednost domaćih proizvoda, mala veličina lokalnih poduzeća i niska razina sudjelovanja u izvozu prepreke su povećanju produktivnosti i konkurentnosti lokalnih poduzeća.</w:t>
      </w:r>
    </w:p>
    <w:p w14:paraId="50A23EAC" w14:textId="44CFFCA1"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Kad je riječ o </w:t>
      </w:r>
      <w:r>
        <w:rPr>
          <w:rFonts w:ascii="Times New Roman" w:hAnsi="Times New Roman"/>
          <w:b/>
          <w:noProof/>
          <w:color w:val="000000"/>
          <w:sz w:val="24"/>
        </w:rPr>
        <w:t>dobrosusjedskim odnosima i regionalnoj suradnji</w:t>
      </w:r>
      <w:r>
        <w:rPr>
          <w:rFonts w:ascii="Times New Roman" w:hAnsi="Times New Roman"/>
          <w:noProof/>
          <w:color w:val="000000"/>
          <w:sz w:val="24"/>
        </w:rPr>
        <w:t>, Crna Gora uglavnom održava dobre bilateralne odnose</w:t>
      </w:r>
      <w:r>
        <w:rPr>
          <w:rFonts w:ascii="Times New Roman" w:hAnsi="Times New Roman"/>
          <w:b/>
          <w:noProof/>
          <w:color w:val="000000"/>
          <w:sz w:val="24"/>
        </w:rPr>
        <w:t xml:space="preserve"> </w:t>
      </w:r>
      <w:r>
        <w:rPr>
          <w:rFonts w:ascii="Times New Roman" w:hAnsi="Times New Roman"/>
          <w:noProof/>
          <w:color w:val="000000"/>
          <w:sz w:val="24"/>
        </w:rPr>
        <w:t>s ostalim zemljama kandidatkinjama u regiji i susjednim državama članicama EU-a, što je vidljivo iz stalne suradnje i nekoliko posjeta na visokoj razini. Odnosi sa Srbijom ostaju problematični, no obje strane pokazuju više volje za obnovu odnosa i suradnju na rješavanju otvorenih pitanja. Općenito, Crna Gora aktivno sudjeluje u regionalnoj suradnji.</w:t>
      </w:r>
    </w:p>
    <w:p w14:paraId="7B4B33E2"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Kad je riječ o </w:t>
      </w:r>
      <w:r>
        <w:rPr>
          <w:rFonts w:ascii="Times New Roman" w:hAnsi="Times New Roman"/>
          <w:b/>
          <w:noProof/>
          <w:color w:val="000000"/>
          <w:sz w:val="24"/>
        </w:rPr>
        <w:t>sposobnosti Crne Gore da preuzme obveze članstva u EU-u</w:t>
      </w:r>
      <w:r>
        <w:rPr>
          <w:rFonts w:ascii="Times New Roman" w:hAnsi="Times New Roman"/>
          <w:noProof/>
          <w:color w:val="000000"/>
          <w:sz w:val="24"/>
        </w:rPr>
        <w:t>,</w:t>
      </w:r>
      <w:r>
        <w:rPr>
          <w:rFonts w:ascii="Times New Roman" w:hAnsi="Times New Roman"/>
          <w:b/>
          <w:noProof/>
          <w:color w:val="000000"/>
          <w:sz w:val="24"/>
        </w:rPr>
        <w:t xml:space="preserve"> </w:t>
      </w:r>
      <w:r>
        <w:rPr>
          <w:rFonts w:ascii="Times New Roman" w:hAnsi="Times New Roman"/>
          <w:noProof/>
          <w:color w:val="000000"/>
          <w:sz w:val="24"/>
        </w:rPr>
        <w:t>država je nastavila raditi na usklađivanju s pravnom stečevinom EU-a u mnogim područjima, međutim sveukupno gledajući napredak je ograničen.</w:t>
      </w:r>
    </w:p>
    <w:p w14:paraId="0F12586B"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Skupina poglavlja o </w:t>
      </w:r>
      <w:r>
        <w:rPr>
          <w:rFonts w:ascii="Times New Roman" w:hAnsi="Times New Roman"/>
          <w:b/>
          <w:noProof/>
          <w:color w:val="000000"/>
          <w:sz w:val="24"/>
        </w:rPr>
        <w:t xml:space="preserve">unutarnjem tržištu </w:t>
      </w:r>
      <w:r>
        <w:rPr>
          <w:rFonts w:ascii="Times New Roman" w:hAnsi="Times New Roman"/>
          <w:noProof/>
          <w:color w:val="000000"/>
          <w:sz w:val="24"/>
        </w:rPr>
        <w:t xml:space="preserve"> ključna je za pripreme Crne Gore za ispunjavanje zahtjeva EU-a u tom području i vrlo važna za ranu integraciju i razvoj zajedničkog regionalnog tržišta. Otvoreno je svih devet poglavlja, ali mjerila za zatvaranje u svima tek treba ispuniti. Ostvaren je napredak u nekoliko područja unutar skupine poglavlja, posebno u: i. </w:t>
      </w:r>
      <w:r>
        <w:rPr>
          <w:rFonts w:ascii="Times New Roman" w:hAnsi="Times New Roman"/>
          <w:noProof/>
          <w:sz w:val="24"/>
        </w:rPr>
        <w:t xml:space="preserve">nadzoru, akreditaciji i normizaciji tržišta; ii. jačanju kapaciteta Agencije za zapošljavanje u Europskoj mreži službi za zapošljavanje; iii. kontinuiranom usklađivanju s Direktivom o uslugama; iv. zakonodavstvu o računovodstvu; v. usklađivanju pravne stečevine o pravima intelektualnog vlasništva te vi. transparentnosti državne pomoći i nalaganju povrata nezakonite državne pomoći. </w:t>
      </w:r>
      <w:r>
        <w:rPr>
          <w:rFonts w:ascii="Times New Roman" w:hAnsi="Times New Roman"/>
          <w:noProof/>
          <w:color w:val="000000"/>
          <w:sz w:val="24"/>
        </w:rPr>
        <w:t xml:space="preserve">Poboljšana je i stabilnost bankarskog sektora Crne Gore, kao i usklađivanje zakonodavstva o zaštiti potrošača te donošenje provedbenog zakonodavstva o zaštiti zdravlja. </w:t>
      </w:r>
    </w:p>
    <w:p w14:paraId="4DD6C954"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Skupina poglavlja o </w:t>
      </w:r>
      <w:r>
        <w:rPr>
          <w:rFonts w:ascii="Times New Roman" w:hAnsi="Times New Roman"/>
          <w:b/>
          <w:noProof/>
          <w:color w:val="000000"/>
          <w:sz w:val="24"/>
        </w:rPr>
        <w:t>konkurentnosti i uključivom rastu</w:t>
      </w:r>
      <w:r>
        <w:rPr>
          <w:rFonts w:ascii="Times New Roman" w:hAnsi="Times New Roman"/>
          <w:noProof/>
          <w:color w:val="000000"/>
          <w:sz w:val="24"/>
        </w:rPr>
        <w:t xml:space="preserve"> te predmetne reforme uvelike su povezani s programom gospodarskih reformi Crne Gore. Otvoreno je svih osam poglavlja, a samo za dva nisu utvrđena mjerila za zatvaranje, točnije u 25. poglavlju (znanost i istraživanje) i 26. poglavlju (obrazovanje i kultura), koja su privremeno zatvorena. Potrebno je ispuniti mjerila za zatvaranje svakog od ostalih šest poglavlja. Određeni napredak ostvaren je u mnogim područjima, točnije u usklađivanju s Direktivom o smanjenju troškova širokopojasnog interneta, poreznom zakonodavstvu te u administrativnoj suradnji i uzajamnoj pomoći. Napredak je ostvaren i u daljnjoj provedbi revidirane industrijske politike. Nasuprot tomu, sporo se napredovalo u pripremama za pristupanje Konvenciji o zajedničkom provoznom postupku, provedbi mjera predviđenih u strategiji olakšavanja trgovine za razdoblje 2018.–2022. te u provedbi akcijskog plana za usklađivanje s pravnom stečevinom EU-a u području gospodarske i monetarne politike.</w:t>
      </w:r>
    </w:p>
    <w:p w14:paraId="43F667CB"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Skupina poglavlja o </w:t>
      </w:r>
      <w:r>
        <w:rPr>
          <w:rFonts w:ascii="Times New Roman" w:hAnsi="Times New Roman"/>
          <w:b/>
          <w:noProof/>
          <w:color w:val="000000"/>
          <w:sz w:val="24"/>
        </w:rPr>
        <w:t>zelenom programu i održivoj povezivosti</w:t>
      </w:r>
      <w:r>
        <w:rPr>
          <w:rFonts w:ascii="Times New Roman" w:hAnsi="Times New Roman"/>
          <w:noProof/>
          <w:color w:val="000000"/>
          <w:sz w:val="24"/>
        </w:rPr>
        <w:t xml:space="preserve"> u središtu je zelenog programa za zapadni Balkan i usko je povezana s programom gospodarskih reformi Crne Gore te Komisijinim gospodarskim i investicijskim planom. Otvorena su sva četiri poglavlja, a mjerila za njihovo zatvaranje tek treba ispuniti. Određeni napredak postignut je u stvaranju funkcionalnog energetskog tržišta za dan unaprijed te u pripremi za članstvo u Pariškom memorandumu o suglasnosti o nadzoru države luke. Ograničen napredak ostvaren je u reviziji i provedbi strategije razvoja prometa, gospodarenju vodom i izvješćivanju o klimatskim promjenama.</w:t>
      </w:r>
    </w:p>
    <w:p w14:paraId="5EF8AD23"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Skupina poglavlja o </w:t>
      </w:r>
      <w:r>
        <w:rPr>
          <w:rFonts w:ascii="Times New Roman" w:hAnsi="Times New Roman"/>
          <w:b/>
          <w:noProof/>
          <w:color w:val="000000"/>
          <w:sz w:val="24"/>
        </w:rPr>
        <w:t xml:space="preserve">resursima, poljoprivredi i koheziji </w:t>
      </w:r>
      <w:r>
        <w:rPr>
          <w:rFonts w:ascii="Times New Roman" w:hAnsi="Times New Roman"/>
          <w:noProof/>
          <w:color w:val="000000"/>
          <w:sz w:val="24"/>
        </w:rPr>
        <w:t>obuhvaća politike povezane sa strukturnim fondovima EU-a te razvojem kapaciteta za preuzimanje odgovornosti buduće države članice. Obuhvaća i neka od ključnih područja politika važnih za osiguravanje održivih prehrambenih sustava i pružanje pomoći ruralnim zajednicama u gospodarskom razvoju i diversifikaciji. Otvoreno je svih pet poglavlja, a mjerila za njihovo zatvaranje tek treba ispuniti. Ostvaren je napredak u raznim područjima, prije svega u području poljoprivrede, u prehrambenom sektoru i ribarstvu, u kojima je pružena dodatna potpora poljoprivrednim gospodarstvima i ruralnim poduzećima za proizvodnju hrane radi usklađivanja sa standardima EU-a te provedbu IPARD-a. Kad je riječ o financijskim i proračunskim odredbama napredak je ostvaren poboljšanom koordinacijom i poboljšanim upravljanjem vlastitim sredstvima.</w:t>
      </w:r>
    </w:p>
    <w:p w14:paraId="0517021E" w14:textId="0F8998D5"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color w:val="000000"/>
          <w:sz w:val="24"/>
        </w:rPr>
        <w:t>Kad je riječ o skupini poglavlja o</w:t>
      </w:r>
      <w:r>
        <w:rPr>
          <w:rFonts w:ascii="Times New Roman" w:hAnsi="Times New Roman"/>
          <w:b/>
          <w:noProof/>
          <w:color w:val="000000"/>
          <w:sz w:val="24"/>
        </w:rPr>
        <w:t xml:space="preserve"> vanjskim odnosima </w:t>
      </w:r>
      <w:r>
        <w:rPr>
          <w:rFonts w:ascii="Times New Roman" w:hAnsi="Times New Roman"/>
          <w:noProof/>
          <w:color w:val="000000"/>
          <w:sz w:val="24"/>
        </w:rPr>
        <w:t>Crna Gora privremeno je zatvorila 30. poglavlje i mora ispuniti jedino mjerilo za zatvaranje 31. poglavlja. Crna Gora i dalje je potpuno usklađena sa zajedničkom vanjskom i sigurnosnom politikom EU-a, uključujući EU-ove mjere ograničavanja nakon ničim izazvane ruske agresije na Ukrajinu. Zemlja koordinira i svoja stajališta sa stajalištima EU-a, uključujući unutar WTO-a, i nastavlja dobru suradnju s međunarodnim organizacijama. Može se primijetiti napredak u donošenju Zakona o kontroli izvoza robe dvojne namjene u skladu s pravnom stečevinom EU-a te ratifikaciji</w:t>
      </w:r>
      <w:r>
        <w:rPr>
          <w:rFonts w:ascii="Arial" w:hAnsi="Arial"/>
          <w:noProof/>
          <w:color w:val="202124"/>
          <w:sz w:val="36"/>
          <w:shd w:val="clear" w:color="auto" w:fill="FFFFFF"/>
        </w:rPr>
        <w:t xml:space="preserve"> </w:t>
      </w:r>
      <w:r>
        <w:rPr>
          <w:rFonts w:ascii="Times New Roman" w:hAnsi="Times New Roman"/>
          <w:noProof/>
          <w:color w:val="000000"/>
          <w:sz w:val="24"/>
        </w:rPr>
        <w:t xml:space="preserve">dodatnog protokola 6 uz Srednjoeuropski sporazum o slobodnoj trgovini (CEFTA). Obrasci glasovanja Crne Gore o kiberkriminalu u Ujedinjenim narodima potpuno su usklađeni sa stajalištima EU-a i njegovih država članica. </w:t>
      </w:r>
      <w:r>
        <w:rPr>
          <w:rFonts w:ascii="Times New Roman" w:hAnsi="Times New Roman"/>
          <w:noProof/>
          <w:sz w:val="24"/>
        </w:rPr>
        <w:t xml:space="preserve">U području </w:t>
      </w:r>
      <w:r>
        <w:rPr>
          <w:rFonts w:ascii="Times New Roman" w:hAnsi="Times New Roman"/>
          <w:b/>
          <w:noProof/>
          <w:sz w:val="24"/>
        </w:rPr>
        <w:t>migracija</w:t>
      </w:r>
      <w:r>
        <w:rPr>
          <w:rFonts w:ascii="Times New Roman" w:hAnsi="Times New Roman"/>
          <w:noProof/>
          <w:sz w:val="24"/>
        </w:rPr>
        <w:t xml:space="preserve"> Crna Gora potpisala je plan suradnje s Europskim potpornim uredom za azil (sada Agencija EU-a za azil) i pridružila se Europskoj migracijskoj mreži stručnjaka za migracije i azil kao član promatrač. Skraćeno je vrijeme obrade zahtijeva za azil. Vizna politika Crne Gore nije u potpunosti usklađena s politikom EU-a i Crna Gora još nije ukinula svoj program državljanstva za ulagače, unatoč prethodnim preporukama i obvezama. Crna Gora je partner sa zapadnog Balkana koji je primio proporcionalno najveći broj ukrajinskih državljana izbjeglih zbog rata. Donijela je odluku kojom se osobama koje bježe iz Ukrajine dodjeljuje jednogodišnja privremena zaštita, koju je dosad zatražilo više od 5 552</w:t>
      </w:r>
      <w:r>
        <w:rPr>
          <w:rFonts w:ascii="Times New Roman" w:hAnsi="Times New Roman"/>
          <w:b/>
          <w:noProof/>
          <w:sz w:val="24"/>
        </w:rPr>
        <w:t xml:space="preserve"> </w:t>
      </w:r>
      <w:r>
        <w:rPr>
          <w:rFonts w:ascii="Times New Roman" w:hAnsi="Times New Roman"/>
          <w:noProof/>
          <w:sz w:val="24"/>
        </w:rPr>
        <w:t>Ukrajinca, uglavnom žene i djeca.</w:t>
      </w:r>
    </w:p>
    <w:p w14:paraId="5EB8E9AD" w14:textId="77777777" w:rsidR="00221F1C" w:rsidRDefault="00221F1C" w:rsidP="00221F1C">
      <w:pPr>
        <w:spacing w:after="120" w:line="240" w:lineRule="auto"/>
        <w:jc w:val="both"/>
        <w:rPr>
          <w:rFonts w:ascii="Times New Roman" w:eastAsia="Calibri" w:hAnsi="Times New Roman" w:cs="Times New Roman"/>
          <w:b/>
          <w:noProof/>
          <w:sz w:val="24"/>
          <w:szCs w:val="24"/>
        </w:rPr>
      </w:pPr>
    </w:p>
    <w:p w14:paraId="76E97533" w14:textId="77777777" w:rsidR="00221F1C" w:rsidRDefault="00221F1C" w:rsidP="00221F1C">
      <w:pPr>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Srbija</w:t>
      </w:r>
    </w:p>
    <w:p w14:paraId="7542202F"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hAnsi="Times New Roman"/>
          <w:noProof/>
          <w:color w:val="000000"/>
          <w:sz w:val="24"/>
        </w:rPr>
        <w:t xml:space="preserve">Kad je riječ o </w:t>
      </w:r>
      <w:r>
        <w:rPr>
          <w:rFonts w:ascii="Times New Roman" w:hAnsi="Times New Roman"/>
          <w:b/>
          <w:noProof/>
          <w:color w:val="000000"/>
          <w:sz w:val="24"/>
        </w:rPr>
        <w:t>političkim kriterijima</w:t>
      </w:r>
      <w:r>
        <w:rPr>
          <w:rFonts w:ascii="Times New Roman" w:hAnsi="Times New Roman"/>
          <w:noProof/>
          <w:color w:val="000000"/>
          <w:sz w:val="24"/>
        </w:rPr>
        <w:t>,</w:t>
      </w:r>
      <w:r>
        <w:rPr>
          <w:rFonts w:ascii="Times New Roman" w:hAnsi="Times New Roman"/>
          <w:b/>
          <w:noProof/>
          <w:color w:val="000000"/>
          <w:sz w:val="24"/>
        </w:rPr>
        <w:t xml:space="preserve"> </w:t>
      </w:r>
      <w:r>
        <w:rPr>
          <w:rFonts w:ascii="Times New Roman" w:hAnsi="Times New Roman"/>
          <w:noProof/>
          <w:color w:val="000000"/>
          <w:sz w:val="24"/>
        </w:rPr>
        <w:t>s</w:t>
      </w:r>
      <w:r>
        <w:rPr>
          <w:rFonts w:ascii="Times New Roman" w:hAnsi="Times New Roman"/>
          <w:noProof/>
          <w:sz w:val="24"/>
        </w:rPr>
        <w:t xml:space="preserve">vi relevantni politički akteri sudjelovali su u prijevremenim parlamentarnim izborima 3. travnja 2022., nakon kojih je parlament postao više pluralistički. Usprkos tome, politička i medijska scena ostale su polarizirane i na njima su nastavili dominirati Srpska napredna stranka (SNS) i trenutačni predsjednik. Uvredljiv jezik nastavio se koristiti protiv političkih protivnika u parlamentu i tijekom predizborne kampanje. Velik broj političkih aktera uključio se prije izbora u međustranački dijalog uz posredovanje Europskog parlamenta. </w:t>
      </w:r>
    </w:p>
    <w:p w14:paraId="04D99241"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sz w:val="24"/>
        </w:rPr>
        <w:t>Predsjednički i prijevremeni parlamentarni izbori održani su u travnju 2022. u općenito mirnoj atmosferi uz poštovanje temeljnih sloboda. Ipak, međunarodni promatrači zabilježili su niz nedostataka. Prema završnom izvješću Međunarodne misije za promatranje izbora ti su nedostaci doveli do nejednakih uvjeta u korist vladajućih. Ključna je potpuna provedba neriješenih i novih preporuka Ureda za demokratske institucije i ljudska prava (ODIHR) i tijela Vijeća Europe u transparentnom postupku znatno prije novih izbora i uz uključivanje stručnih organizacija civilnog društva te nakon savjetovanja s njima.</w:t>
      </w:r>
    </w:p>
    <w:p w14:paraId="29CC7FBC"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sz w:val="24"/>
          <w:szCs w:val="24"/>
          <w:highlight w:val="yellow"/>
        </w:rPr>
      </w:pPr>
      <w:r>
        <w:rPr>
          <w:rFonts w:ascii="Times New Roman" w:hAnsi="Times New Roman"/>
          <w:noProof/>
          <w:sz w:val="24"/>
        </w:rPr>
        <w:t xml:space="preserve">Novi, više pluralistički parlament konstituiran je 1. kolovoza 2022. Zbog znatnih kašnjenja izbornih rezultata više od pet mjeseci nije bilo parlamentarne aktivnosti, osim inauguracije predsjednika. Prethodni parlament konstruktivno je sudjelovao u međustranačkom dijalogu i provedbi pritom utvrđenih mjera. Primjena hitnih postupaka ostala je na oko 9 %. Kodeks ponašanja treba učinkovitije upotrebljavati pri sprečavanju i sankcioniranju upotrebe uvredljivog i neprimjerenog jezika u parlamentu.  </w:t>
      </w:r>
    </w:p>
    <w:p w14:paraId="254D2B03"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Potrebno je uložiti više truda kako bi se osigurala sustavna suradnja vlade i </w:t>
      </w:r>
      <w:r>
        <w:rPr>
          <w:rFonts w:ascii="Times New Roman" w:hAnsi="Times New Roman"/>
          <w:b/>
          <w:noProof/>
          <w:sz w:val="24"/>
        </w:rPr>
        <w:t>civilnog društva</w:t>
      </w:r>
      <w:r>
        <w:rPr>
          <w:rFonts w:ascii="Times New Roman" w:hAnsi="Times New Roman"/>
          <w:noProof/>
          <w:sz w:val="24"/>
        </w:rPr>
        <w:t>. Poticajno okruženje za razvoj i financiranje organizacija civilnog društva još nije stvoreno u praksi jer su se nastavili verbalni napadi na takve organizacije i njihovo ocrnjivanje.</w:t>
      </w:r>
    </w:p>
    <w:p w14:paraId="1C77D228"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sz w:val="24"/>
          <w:szCs w:val="24"/>
          <w:highlight w:val="yellow"/>
        </w:rPr>
      </w:pPr>
      <w:r>
        <w:rPr>
          <w:rFonts w:ascii="Times New Roman" w:hAnsi="Times New Roman"/>
          <w:noProof/>
          <w:color w:val="000000"/>
          <w:sz w:val="24"/>
        </w:rPr>
        <w:t xml:space="preserve">Srbija je umjereno pripremljena kad je riječ o </w:t>
      </w:r>
      <w:r>
        <w:rPr>
          <w:rFonts w:ascii="Times New Roman" w:hAnsi="Times New Roman"/>
          <w:b/>
          <w:noProof/>
          <w:color w:val="000000"/>
          <w:sz w:val="24"/>
        </w:rPr>
        <w:t>reformi javne uprave</w:t>
      </w:r>
      <w:r>
        <w:rPr>
          <w:rFonts w:ascii="Times New Roman" w:hAnsi="Times New Roman"/>
          <w:noProof/>
          <w:color w:val="000000"/>
          <w:sz w:val="24"/>
        </w:rPr>
        <w:t xml:space="preserve">. Općenito, u tom je području ostvaren ograničen napredak tijekom razdoblja izvješćivanja, nakon što je započela provedba novog strateškog okvira. U upravljanju ljudskim resursima otprilike na polovini viših rukovodećih položaja i dalje su vršitelji dužnosti. Kad je riječ o razvoju i koordinaciji politike nije uveden mehanizam za provjeru uvrštenja komentara Sekretarijata za javne politike u konačne verzije nacrta zakona i dokumenata o politikama koji su podneseni vladi na odobrenje. U upravljanju javnim financijama potrebne su mjere za potpunu provedbu preporuke za jedinstveni mehanizam za dodjeljivanje prioriteta svim ulaganjima bez obzira na vrstu i izvor financiranja. </w:t>
      </w:r>
    </w:p>
    <w:p w14:paraId="3BC6079F" w14:textId="4E95DC21" w:rsidR="00221F1C" w:rsidRDefault="00221F1C" w:rsidP="00221F1C">
      <w:pPr>
        <w:autoSpaceDE w:val="0"/>
        <w:autoSpaceDN w:val="0"/>
        <w:spacing w:after="120" w:line="240" w:lineRule="auto"/>
        <w:jc w:val="both"/>
        <w:rPr>
          <w:rFonts w:ascii="Times New Roman" w:eastAsia="Calibri" w:hAnsi="Times New Roman" w:cs="Times New Roman"/>
          <w:bCs/>
          <w:noProof/>
          <w:color w:val="000000"/>
          <w:sz w:val="24"/>
          <w:szCs w:val="24"/>
        </w:rPr>
      </w:pPr>
      <w:r>
        <w:rPr>
          <w:rFonts w:ascii="Times New Roman" w:hAnsi="Times New Roman"/>
          <w:noProof/>
          <w:color w:val="000000"/>
          <w:sz w:val="24"/>
        </w:rPr>
        <w:t xml:space="preserve">Srbija je donekle pripremljena kad je riječ o </w:t>
      </w:r>
      <w:r>
        <w:rPr>
          <w:rFonts w:ascii="Times New Roman" w:hAnsi="Times New Roman"/>
          <w:b/>
          <w:noProof/>
          <w:color w:val="000000"/>
          <w:sz w:val="24"/>
        </w:rPr>
        <w:t>pravosudnom sustavu</w:t>
      </w:r>
      <w:r>
        <w:rPr>
          <w:rFonts w:ascii="Times New Roman" w:hAnsi="Times New Roman"/>
          <w:noProof/>
          <w:color w:val="000000"/>
          <w:sz w:val="24"/>
        </w:rPr>
        <w:t>. Općenito, tijekom razdoblja izvješćivanja postignut je određeni napredak. Srbija je učinila važan korak prema jačanju neovisnosti i odgovornosti pravosuđa uz odobrenje relevantnih izmjena Ustava u veljači 2022. te ustavnog zakona kojim se utvrđuju koraci i rokovi za provedbu izmjena. Zemlja se tijekom postupka izrade nacrta dvaput savjetovala s Venecijanskom komisijom. Venecijanska komisija utvrdila je da je postupak javnih savjetovanja bio dovoljno uključiv i transparentan. Provedena je većina</w:t>
      </w:r>
      <w:r>
        <w:rPr>
          <w:rFonts w:ascii="Times New Roman" w:hAnsi="Times New Roman"/>
          <w:noProof/>
          <w:sz w:val="24"/>
        </w:rPr>
        <w:t xml:space="preserve"> </w:t>
      </w:r>
      <w:r>
        <w:rPr>
          <w:rFonts w:ascii="Times New Roman" w:hAnsi="Times New Roman"/>
          <w:noProof/>
          <w:color w:val="000000"/>
          <w:sz w:val="24"/>
        </w:rPr>
        <w:t xml:space="preserve">posebnih preporuka Venecijanske komisije. Izmjenama se predviđa da sva imenovanja u pravosuđu (osim budućeg glavnog tužitelja) budu u nadležnosti budućeg Visokog sudbenog vijeća ili Visokog vijeća tužitelja kako bi se ojačala zaštita od potencijalnog političkog utjecaja. Kako bi ustavne izmjene imale praktičan učinak u sljedećem je koraku potrebno donijeti relevantno provedbeno zakonodavstvo. Prema ustavnom zakonu to bi zakonodavstvo trebalo donijeti unutar jedne godine kad je riječ o zakonima o sudovima te unutar dvije godine kad je riječ o usklađivanju svih ostalih relevantnih zakonodavstava. Dvije stručne radne skupine (jedna za tužitelje i druga za sudove) uspostavljene su u travnju 2022. sa zadaćom izrade nacrta provedbenog zakonodavstva. Prva skupina nacrta zakona o sudovima dovršena je u rujnu 2022. i proslijeđena Venecijanskoj komisiji kako bi izrazila svoje mišljenje. Nova strategija za ljudske resurse i provedbeni akcijski plan doneseni su u prosincu 2021. Njihova je provedba u tijeku. </w:t>
      </w:r>
    </w:p>
    <w:p w14:paraId="371F365B" w14:textId="77777777" w:rsidR="00221F1C" w:rsidRDefault="00221F1C" w:rsidP="00221F1C">
      <w:pPr>
        <w:autoSpaceDE w:val="0"/>
        <w:autoSpaceDN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Srbija je postigla određenu razinu pripremljenosti u području </w:t>
      </w:r>
      <w:r>
        <w:rPr>
          <w:rFonts w:ascii="Times New Roman" w:hAnsi="Times New Roman"/>
          <w:b/>
          <w:noProof/>
          <w:color w:val="000000"/>
          <w:sz w:val="24"/>
        </w:rPr>
        <w:t>borbe protiv korupcije</w:t>
      </w:r>
      <w:r>
        <w:rPr>
          <w:rFonts w:ascii="Times New Roman" w:hAnsi="Times New Roman"/>
          <w:noProof/>
          <w:color w:val="000000"/>
          <w:sz w:val="24"/>
        </w:rPr>
        <w:t xml:space="preserve">. Općenito, </w:t>
      </w:r>
      <w:r>
        <w:rPr>
          <w:rFonts w:ascii="Times New Roman" w:hAnsi="Times New Roman"/>
          <w:noProof/>
          <w:sz w:val="24"/>
        </w:rPr>
        <w:t>tijekom razdoblja izvješćivanja postignut je određeni napredak, među ostalim u pogledu prošlogodišnjih preporuka. Preporuka za sprečavanje korupcije nastavila se provoditi pa je Skupina država protiv korupcije (GRECO) Vijeća Europe u ožujku 2022. zaključila da su donošenjem izmjena Zakona o sprečavanju korupcije uklonjeni prethodno utvrđeni nedostaci i da su izmjene dovoljne za jačanje okvira koji služi za sprečavanje i suzbijanje sukoba interesa članova parlamenta, sudaca i tužitelja. Srbija tek treba pripremiti novu antikorupcijsku strategiju i akcijski plan te uspostaviti učinkovit koordinacijski mehanizam za operacionalizaciju ciljeva politike sprečavanja i suzbijanja te za temeljito rješavanje problema korupcije. Blago je porastao broj optužnica i prvostupanjskih presuda u predmetima korupcije na visokoj razini. Srbija treba dodatno ojačati sprečavanje i suzbijanje korupcije. Posebno treba povećati broj konačnog oduzimanja imovine u takvim predmetima. Sektori koji su najosjetljiviji na korupciju zahtijevaju ciljane procjene rizika i posebne mjere.</w:t>
      </w:r>
    </w:p>
    <w:p w14:paraId="4375017F" w14:textId="77777777" w:rsidR="00221F1C" w:rsidRDefault="00221F1C" w:rsidP="00221F1C">
      <w:pPr>
        <w:autoSpaceDE w:val="0"/>
        <w:autoSpaceDN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Srbija je donekle pripremljena za </w:t>
      </w:r>
      <w:r>
        <w:rPr>
          <w:rFonts w:ascii="Times New Roman" w:hAnsi="Times New Roman"/>
          <w:b/>
          <w:noProof/>
          <w:color w:val="000000"/>
          <w:sz w:val="24"/>
        </w:rPr>
        <w:t>borbu protiv organiziranog kriminala</w:t>
      </w:r>
      <w:r>
        <w:rPr>
          <w:rFonts w:ascii="Times New Roman" w:hAnsi="Times New Roman"/>
          <w:noProof/>
          <w:color w:val="000000"/>
          <w:sz w:val="24"/>
        </w:rPr>
        <w:t>. U razdoblju izvješćivanja ostvaren je ograničeni napredak. Broj novih istraga i konačnih presuda narastao je 2021. u usporedbi s 2020., ali opao je broj optužnica i prvostupanjskih presuda. Broj predmeta u kojima je oduzeta i zaplijenjena imovina i dalje je ograničen. Prošireno oduzimanje ne primjenjuje se sustavno. Međutim, poboljšali su se razina razumijevanja i istražni pristup, što bi u budućnosti trebalo dati bolje rezultate. Umjesto pristupa u kojem se svaki slučaj razmatra zasebno Srbija bi trebala prijeći na strategiju protiv kriminalnih organizacija, a s predmeta male ili srednje važnosti trebala bi se usredotočiti na istaknute predmete, čiji je cilj razbijanje velikih međunarodno raširenih organizacija i zapljena imovine.</w:t>
      </w:r>
    </w:p>
    <w:p w14:paraId="7AC74711" w14:textId="665C88EC"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color w:val="000000"/>
          <w:sz w:val="24"/>
        </w:rPr>
        <w:t xml:space="preserve">U Srbiji je zakonodavni i institucionalni okvir za poštovanje </w:t>
      </w:r>
      <w:r>
        <w:rPr>
          <w:rFonts w:ascii="Times New Roman" w:hAnsi="Times New Roman"/>
          <w:b/>
          <w:noProof/>
          <w:color w:val="000000"/>
          <w:sz w:val="24"/>
        </w:rPr>
        <w:t>temeljnih prava</w:t>
      </w:r>
      <w:r>
        <w:rPr>
          <w:rFonts w:ascii="Times New Roman" w:hAnsi="Times New Roman"/>
          <w:noProof/>
          <w:color w:val="000000"/>
          <w:sz w:val="24"/>
        </w:rPr>
        <w:t xml:space="preserve"> uglavnom uspostavljen. Srbija je donijela nove strategije za uključivanje Roma i protiv njihove diskriminacije, kao i akcijske planove za rodnu ravnopravnost i uključivanje Roma. Rokovi za akcijske planove i s njima povezano financiranje u ostalim područjima bili su srpanj 2021. (nasilje nad ženama) i travanj 2022. (borba protiv diskriminacije; deinstitucionalizacija) te su sada prekoračeni. Potrebno je uložiti više truda u usklađivanje sa Zakonom o sustavu planiranja kojim se zahtijeva donošenje akcijskih planova unutar tri mjeseca nakon donošenja povezanih strategija. Srbija mora ojačati institucije za ljudska prava osiguravanjem potrebnih financijskih i ljudskih resursa te uvođenjem postupaka za osiguravanje usklađenosti s mjerama Europskog suda za ljudska prava, uključujući privremene mjere.</w:t>
      </w:r>
      <w:r>
        <w:rPr>
          <w:rFonts w:ascii="Calibri" w:hAnsi="Calibri"/>
          <w:noProof/>
        </w:rPr>
        <w:t xml:space="preserve"> </w:t>
      </w:r>
      <w:r>
        <w:rPr>
          <w:rFonts w:ascii="Times New Roman" w:hAnsi="Times New Roman"/>
          <w:noProof/>
          <w:sz w:val="24"/>
        </w:rPr>
        <w:t xml:space="preserve">U rujnu 2022. prvi je put na zapadnom Balkanu u Beogradu održan Europride. Ruta Europridea bila je zabranjena, a održavanje povorke bilo je upitno do posljednjeg trenutka. Vlasti su kao povod za svoju odluku navele sigurnosne probleme povezane s prijetnjama skupina krajnje desnice. Zabranjen je i prosvjed protiv Europridea i protiv zapada. Povorka je naposljetku održana 17. rujna 2022. bez većih incidenata i kretala se kraćom rutom. Unatoč tome što je povorku osiguravao veliki broj policijskih službenika, prijavljeno je nekoliko slučajeva nasilja nad sudionicima.  Razdoblje uoči povorke obilježila je pravna i politička nesigurnost. Priopćenja vlasti bila su proturječna najavama na visokoj razini da će povorka biti potpuno zabranjena i naknadnoj zabrani rute povorke koju je izdalo Ministarstvo unutrašnjih poslova. Ostali političari na visokoj razini obratili su se Konferenciji o ljudskim pravima Europridea te su organizirali primanje prije povorke. Iako su vlasti ostale u kontaktu s organizatorima kako bi pronašli rješenje, nisu dale službeno dopuštenje za održavanje parade.  </w:t>
      </w:r>
    </w:p>
    <w:p w14:paraId="49FE4086" w14:textId="77777777" w:rsidR="00221F1C" w:rsidRDefault="00221F1C" w:rsidP="00221F1C">
      <w:pPr>
        <w:tabs>
          <w:tab w:val="left" w:pos="2410"/>
        </w:tabs>
        <w:autoSpaceDE w:val="0"/>
        <w:autoSpaceDN w:val="0"/>
        <w:spacing w:after="120" w:line="240" w:lineRule="auto"/>
        <w:jc w:val="both"/>
        <w:rPr>
          <w:rFonts w:ascii="Times New Roman" w:eastAsia="Calibri" w:hAnsi="Times New Roman" w:cs="Times New Roman"/>
          <w:bCs/>
          <w:noProof/>
          <w:color w:val="000000"/>
          <w:sz w:val="24"/>
          <w:szCs w:val="24"/>
        </w:rPr>
      </w:pPr>
      <w:r>
        <w:rPr>
          <w:rFonts w:ascii="Times New Roman" w:hAnsi="Times New Roman"/>
          <w:noProof/>
          <w:color w:val="000000"/>
          <w:sz w:val="24"/>
        </w:rPr>
        <w:t xml:space="preserve">U razdoblju izvješćivanja nije ostvaren napredak u području </w:t>
      </w:r>
      <w:r>
        <w:rPr>
          <w:rFonts w:ascii="Times New Roman" w:hAnsi="Times New Roman"/>
          <w:b/>
          <w:noProof/>
          <w:color w:val="000000"/>
          <w:sz w:val="24"/>
        </w:rPr>
        <w:t>slobode izražavanja</w:t>
      </w:r>
      <w:r>
        <w:rPr>
          <w:rFonts w:ascii="Times New Roman" w:hAnsi="Times New Roman"/>
          <w:noProof/>
          <w:color w:val="000000"/>
          <w:sz w:val="24"/>
        </w:rPr>
        <w:t>. Nastavili su se sastanci dviju radnih skupina za sigurnost novinara. U nekoliko slučajeva napada i prijetnji policija i tužiteljstvo reagirali su brzo, među ostalim i zbog toga što su koordinaciju olakšale te radne skupine. Međutim, slučajevi prijetnji novinarima i nasilja nad njima i dalje su razlog za zabrinutost te je u praksi i dalje potrebno dodatno poboljšati sveukupno okružje za neometano ostvarivanje slobode izražavanja. Provedba medijske strategije stalno je kasnila i utjecala čak i na najvažnije mjere kao što su izmjene Zakona o javnim informacijama i medijima i Zakona o elektroničkim medijima. Regulatorno tijelo za elektroničke medije (REM)</w:t>
      </w:r>
      <w:r>
        <w:rPr>
          <w:noProof/>
        </w:rPr>
        <w:t xml:space="preserve"> </w:t>
      </w:r>
      <w:r>
        <w:rPr>
          <w:rFonts w:ascii="Times New Roman" w:hAnsi="Times New Roman"/>
          <w:noProof/>
          <w:color w:val="000000"/>
          <w:sz w:val="24"/>
        </w:rPr>
        <w:t xml:space="preserve">dodijelilo je u srpnju 2022. sve četiri nacionalne frekvencije na razdoblje od osam godina istim radiotelevizijskim kanalima kao i u prethodnom razdoblju u kojem su svi dobili upozorenja od REM-a zbog kršenja pravnih obveza. Poziv za dodjelu pete dozvole objavljen je u kolovozu 2022. Postupak treba provesti transparentno uz poštovanje načela medijskog pluralizma iz Direktive o audiovizualnim medijskim uslugama. U završnom izvješću ODIHR-a od 19. kolovoza 2022. o travanjskim izborima utvrđeno je da su „nacionalne javne radiotelevizijske kuće pravedno izvijestile o aktivnostima kampanja svih sudionika, ali su opsežno i nekritički izvješćivale o javnim službenicima koji su isto tako bili kandidati. Privatne radiotelevizije s nacionalnom pokrivenošću prikazivale su predizbornu kampanju bez smislenih uredničkih tekstova, a vijesti su bile usmjerene na državne dužnosnike”. ODIHR je utvrdio i da je „REM općenito bio pasivan tijekom kampanje, unatoč zadaći da nadgleda radiotelevizijske medije”. </w:t>
      </w:r>
    </w:p>
    <w:p w14:paraId="39FE3D81"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color w:val="000000"/>
          <w:sz w:val="24"/>
        </w:rPr>
        <w:t xml:space="preserve">Kad je riječ o </w:t>
      </w:r>
      <w:r>
        <w:rPr>
          <w:rFonts w:ascii="Times New Roman" w:hAnsi="Times New Roman"/>
          <w:b/>
          <w:noProof/>
          <w:color w:val="000000"/>
          <w:sz w:val="24"/>
        </w:rPr>
        <w:t>gospodarskim kriterijima</w:t>
      </w:r>
      <w:r>
        <w:rPr>
          <w:rFonts w:ascii="Times New Roman" w:hAnsi="Times New Roman"/>
          <w:noProof/>
          <w:color w:val="000000"/>
          <w:sz w:val="24"/>
        </w:rPr>
        <w:t xml:space="preserve"> </w:t>
      </w:r>
      <w:r>
        <w:rPr>
          <w:rFonts w:ascii="Times New Roman" w:hAnsi="Times New Roman"/>
          <w:noProof/>
          <w:sz w:val="24"/>
        </w:rPr>
        <w:t xml:space="preserve">Srbija je dobro do umjereno pripremljena i ostvarila je određeni napredak u razvoju funkcionalnog tržišnog gospodarstva. Nakon relativno blagog smanjenja 2020. srpsko se gospodarstvo snažno oporavilo 2021., a u prvoj polovini 2022. donekle je usporilo. Nakon smanjenja 2020. vanjska neravnoteža počela se povećavati u drugoj polovini 2021., ponajviše zbog velikog uvoza energije. Inflacija potrošačkih cijena porasla je u drugoj polovini 2021., uglavnom zbog cijena energenata i hrane, zbog čega je središnja banka počela zaoštravati svoj politički stav. Očuvana je stabilnost bankarskog sektora, a rast kreditiranja ostao je snažan unatoč ukidanju mjera za povećanje likvidnosti. Gospodarski oporavak i smanjenje mjera fiskalne potpore pomogli su da se 2021. znatno poboljša proračunska ravnoteža unatoč dodatnom povećanju kapitalne potrošnje. Malo povećanje stope nezaposlenosti 2021. odrazilo se ponajviše u povećanju sudjelovanja na tržištu rada u sklopu oporavka nakon krize uzrokovane bolešću COVID-19.  </w:t>
      </w:r>
    </w:p>
    <w:p w14:paraId="698A5C1F" w14:textId="739A43EB"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Ostvaren je određeni napredak u reformama porezne uprave i privatizaciji poduzeća u državnom vlasništvu. Međutim, ostale velike strukturne reforme javne uprave i upravljanja poduzećima u državnom vlasništvu sporo su napredovale, čime se nastavlja dugogodišnja neučinkovitost i rastući fiskalni pritisak. Nije ostvaren napredak u jačanju fiskalnih pravila kao temelja fiskalne politike. Državni sektor i dalje snažno utječe na gospodarstvo, a privatni sektor nedovoljno je razvijen i koče ga nedostaci u vladavini prava, posebno korupcija i neučinkovitost pravosuđa, te u osiguravanju poštenog tržišnog natjecanja. Prošlogodišnje su preporuke djelomice provedene.</w:t>
      </w:r>
    </w:p>
    <w:p w14:paraId="7BFCFE6E" w14:textId="77777777" w:rsidR="00221F1C" w:rsidRDefault="00221F1C" w:rsidP="00221F1C">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rPr>
        <w:t>Srbija je umjereno pripremljena i ostvarila je određeni napredak</w:t>
      </w:r>
      <w:r>
        <w:rPr>
          <w:rFonts w:ascii="Times New Roman" w:hAnsi="Times New Roman"/>
          <w:b/>
          <w:noProof/>
          <w:sz w:val="24"/>
        </w:rPr>
        <w:t xml:space="preserve"> </w:t>
      </w:r>
      <w:r>
        <w:rPr>
          <w:rFonts w:ascii="Times New Roman" w:hAnsi="Times New Roman"/>
          <w:noProof/>
          <w:sz w:val="24"/>
        </w:rPr>
        <w:t xml:space="preserve">u </w:t>
      </w:r>
      <w:r>
        <w:rPr>
          <w:rFonts w:ascii="Times New Roman" w:hAnsi="Times New Roman"/>
          <w:b/>
          <w:noProof/>
          <w:sz w:val="24"/>
        </w:rPr>
        <w:t>suočavanju s pritiskom konkurencije i tržišnim silama unutar EU-a</w:t>
      </w:r>
      <w:r>
        <w:rPr>
          <w:rFonts w:ascii="Times New Roman" w:hAnsi="Times New Roman"/>
          <w:noProof/>
          <w:sz w:val="24"/>
        </w:rPr>
        <w:t>. Struktura gospodarstva dodatno se poboljšala i gospodarska integracija s EU-om ostala je visoka. No unatoč određenom napretku kvaliteta i relevantnost obrazovanja i osposobljavanja ne ispunjavaju u potpunosti potrebe tržišta rada. Nastavila su se povećavati javna ulaganja radi uklanjanja ozbiljnih infrastrukturnih nedostataka nakon godina nedovoljnih ulaganja. Mala i srednja poduzeća (MSP-ovi) i dalje se suočavaju s nizom izazova, uključujući nejednake uvjete u usporedbi s velikim društvima i stranim ulagačima. Prošlogodišnje su preporuke djelomice provedene.</w:t>
      </w:r>
    </w:p>
    <w:p w14:paraId="33B9B4C1" w14:textId="12505758" w:rsidR="00221F1C" w:rsidRDefault="00221F1C" w:rsidP="00221F1C">
      <w:pPr>
        <w:autoSpaceDE w:val="0"/>
        <w:autoSpaceDN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U području </w:t>
      </w:r>
      <w:r>
        <w:rPr>
          <w:rFonts w:ascii="Times New Roman" w:hAnsi="Times New Roman"/>
          <w:b/>
          <w:noProof/>
          <w:color w:val="000000"/>
          <w:sz w:val="24"/>
        </w:rPr>
        <w:t>dobrosusjedskih odnosa i regionalne suradnje</w:t>
      </w:r>
      <w:r>
        <w:rPr>
          <w:rFonts w:ascii="Times New Roman" w:hAnsi="Times New Roman"/>
          <w:noProof/>
          <w:color w:val="000000"/>
          <w:sz w:val="24"/>
        </w:rPr>
        <w:t xml:space="preserve"> Srbija je općenito ostala predana poboljšanju bilateralnih odnosa s ostalim zemljama kandidatkinjama, potencijalnim kandidatkinjama i susjednim državama članicama EU-a. No odnosi s Hrvatskom</w:t>
      </w:r>
      <w:r>
        <w:rPr>
          <w:noProof/>
        </w:rPr>
        <w:t xml:space="preserve"> </w:t>
      </w:r>
      <w:r>
        <w:rPr>
          <w:rFonts w:ascii="Times New Roman" w:hAnsi="Times New Roman"/>
          <w:noProof/>
          <w:color w:val="000000"/>
          <w:sz w:val="24"/>
        </w:rPr>
        <w:t xml:space="preserve">sve su više napeti s povremenim političkim razmiricama. Odnosi s Crnom Gorom ostaju problematični, no obje strane pokazuju više volje za obnovu odnosa i suradnju na rješavanju otvorenih pitanja. Općenito, Srbija aktivno sudjeluje u regionalnoj suradnji. </w:t>
      </w:r>
    </w:p>
    <w:p w14:paraId="76580E13" w14:textId="77777777" w:rsidR="00221F1C" w:rsidRDefault="00221F1C" w:rsidP="00221F1C">
      <w:pPr>
        <w:autoSpaceDE w:val="0"/>
        <w:autoSpaceDN w:val="0"/>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Dijalog uz posredovanje EU-a o </w:t>
      </w:r>
      <w:r>
        <w:rPr>
          <w:rFonts w:ascii="Times New Roman" w:hAnsi="Times New Roman"/>
          <w:b/>
          <w:noProof/>
          <w:color w:val="000000"/>
          <w:sz w:val="24"/>
        </w:rPr>
        <w:t>normalizaciji odnosa s Kosovom</w:t>
      </w:r>
      <w:r>
        <w:rPr>
          <w:rFonts w:ascii="Times New Roman" w:hAnsi="Times New Roman"/>
          <w:noProof/>
          <w:color w:val="000000"/>
          <w:sz w:val="24"/>
        </w:rPr>
        <w:t xml:space="preserve"> nastavio se tijekom razdoblja izvješćivanja uz redovite mjesečne sastanke na razini glavnih pregovarača i sastanak na visokoj razini 18. kolovoza 2022. u Bruxellesu. Još uvijek nije ostvaren konkretan napredak u pregovorima o sveobuhvatnom i pravno obvezujućem sporazumu o normalizaciji. Predsjednik Vučić i predsjednik vlade Kurti dogovorili su na sastanku na visokoj razini da će se redovito sastajati na razini čelnika kako bi se postigao napredak u pregovorima. Kosovo i Srbija pozivaju se sada da bez odgode konstruktivno sudjeluju u pregovorima o sveobuhvatnom i pravno obvezujućem sporazumu o normalizaciji i postignu napredak u pregovorima. Takav je sporazum hitno potreban i ključan kako bi Srbija i Kosovo mogli napredovati na svojem europskom putu.</w:t>
      </w:r>
      <w:r>
        <w:rPr>
          <w:rFonts w:ascii="Times New Roman" w:hAnsi="Times New Roman"/>
          <w:noProof/>
          <w:color w:val="000000"/>
          <w:sz w:val="24"/>
          <w:highlight w:val="yellow"/>
        </w:rPr>
        <w:t xml:space="preserve"> </w:t>
      </w:r>
    </w:p>
    <w:p w14:paraId="2B20F76C" w14:textId="77777777" w:rsidR="00221F1C" w:rsidRDefault="00221F1C" w:rsidP="00221F1C">
      <w:pPr>
        <w:spacing w:after="120" w:line="240" w:lineRule="auto"/>
        <w:jc w:val="both"/>
        <w:rPr>
          <w:rFonts w:ascii="Times New Roman" w:eastAsia="Calibri" w:hAnsi="Times New Roman" w:cs="Times New Roman"/>
          <w:noProof/>
          <w:sz w:val="24"/>
          <w:szCs w:val="24"/>
          <w:highlight w:val="yellow"/>
        </w:rPr>
      </w:pPr>
      <w:r>
        <w:rPr>
          <w:rFonts w:ascii="Times New Roman" w:hAnsi="Times New Roman"/>
          <w:noProof/>
          <w:sz w:val="24"/>
        </w:rPr>
        <w:t xml:space="preserve">Kad je riječ o </w:t>
      </w:r>
      <w:r>
        <w:rPr>
          <w:rFonts w:ascii="Times New Roman" w:hAnsi="Times New Roman"/>
          <w:b/>
          <w:noProof/>
          <w:sz w:val="24"/>
        </w:rPr>
        <w:t>sposobnosti Srbije da preuzme obveze članstva u EU-u</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zemlja je nastavila raditi na usklađivanju s pravnom stečevinom EU-a u mnogim područjima, posebice u području prava trgovačkih društava, prava intelektualnog vlasništva, istraživanja i inovacija te financijske kontrole.</w:t>
      </w:r>
      <w:r>
        <w:rPr>
          <w:rFonts w:ascii="Times New Roman" w:hAnsi="Times New Roman"/>
          <w:noProof/>
          <w:sz w:val="24"/>
          <w:highlight w:val="yellow"/>
        </w:rPr>
        <w:t xml:space="preserve"> </w:t>
      </w:r>
    </w:p>
    <w:p w14:paraId="2AC0C247" w14:textId="77777777" w:rsidR="00221F1C" w:rsidRDefault="00221F1C" w:rsidP="00221F1C">
      <w:pPr>
        <w:tabs>
          <w:tab w:val="left" w:pos="600"/>
        </w:tabs>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 pripremama Srbije za ispunjavanje zahtjeva unutarnjeg tržišta EU-a posebno je bitna </w:t>
      </w:r>
      <w:r>
        <w:rPr>
          <w:rFonts w:ascii="Times New Roman" w:hAnsi="Times New Roman"/>
          <w:noProof/>
          <w:color w:val="000000"/>
          <w:sz w:val="24"/>
        </w:rPr>
        <w:t xml:space="preserve">skupina poglavlja o </w:t>
      </w:r>
      <w:r>
        <w:rPr>
          <w:rFonts w:ascii="Times New Roman" w:hAnsi="Times New Roman"/>
          <w:b/>
          <w:noProof/>
          <w:color w:val="000000"/>
          <w:sz w:val="24"/>
        </w:rPr>
        <w:t>unutarnjem tržištu</w:t>
      </w:r>
      <w:r>
        <w:rPr>
          <w:rFonts w:ascii="Times New Roman" w:hAnsi="Times New Roman"/>
          <w:noProof/>
          <w:sz w:val="24"/>
        </w:rPr>
        <w:t xml:space="preserve">, koja je vrlo važna za ranu integraciju i razvoj zajedničkog regionalnog tržišta. Ostvaren je napredak u nekoliko područja unutar skupine, ponajprije u usklađivanju zakonodavstva o pravu trgovačkih društava; slobodi kretanja radnika s pomoću koordinacije sustava socijalnog osiguranja te usklađivanju zakonodavstva o slobodnom kretanju robe. </w:t>
      </w:r>
    </w:p>
    <w:p w14:paraId="3FE9E1AE" w14:textId="2F339320" w:rsidR="00221F1C" w:rsidRDefault="00221F1C" w:rsidP="00221F1C">
      <w:pPr>
        <w:tabs>
          <w:tab w:val="left" w:pos="600"/>
        </w:tabs>
        <w:spacing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Skupina poglavlja o </w:t>
      </w:r>
      <w:r>
        <w:rPr>
          <w:rFonts w:ascii="Times New Roman" w:hAnsi="Times New Roman"/>
          <w:b/>
          <w:noProof/>
          <w:color w:val="000000"/>
          <w:sz w:val="24"/>
        </w:rPr>
        <w:t>konkurentnosti i uključivom rastu</w:t>
      </w:r>
      <w:r>
        <w:rPr>
          <w:rFonts w:ascii="Times New Roman" w:hAnsi="Times New Roman"/>
          <w:noProof/>
          <w:color w:val="000000"/>
          <w:sz w:val="24"/>
        </w:rPr>
        <w:t xml:space="preserve"> uvelike je povezana sa srpskim programom gospodarskih reformi. Ostvaren je napredak u nekoliko područja unutar te skupine, ponajprije u: području socijalne politike i zapošljavanja na putu prema uspostavi programa Jamstvo za mlade; području gospodarske i monetarne politike kroz poboljšanja proračunskog postupka; u području poduzetničke i industrijske politike s pomoću akcijskog plana za strategiju za državno vlasništvo i upravljanje poslovnim subjektima u vlasništvu Republike Srbije te stvaranjem portala za e-savjetovanje; u području znanstvenog i tehnološkog razvoja s pomoću nove strategije za razvoj ekosustava za </w:t>
      </w:r>
      <w:r>
        <w:rPr>
          <w:rFonts w:ascii="Times New Roman" w:hAnsi="Times New Roman"/>
          <w:i/>
          <w:noProof/>
          <w:color w:val="000000"/>
          <w:sz w:val="24"/>
        </w:rPr>
        <w:t>start-up</w:t>
      </w:r>
      <w:r>
        <w:rPr>
          <w:rFonts w:ascii="Times New Roman" w:hAnsi="Times New Roman"/>
          <w:noProof/>
          <w:color w:val="000000"/>
          <w:sz w:val="24"/>
        </w:rPr>
        <w:t xml:space="preserve"> poduzeća te u području obrazovanja radi osiguravanja usklađenosti sa sustavom osiguranja kvalitete u visokom obrazovanju uz preporuke Europskog udruženja za osiguranje kvalitete u visokom obrazovanju (ENQA).</w:t>
      </w:r>
      <w:r>
        <w:rPr>
          <w:rFonts w:ascii="Times New Roman" w:hAnsi="Times New Roman"/>
          <w:noProof/>
          <w:sz w:val="24"/>
        </w:rPr>
        <w:t xml:space="preserve"> </w:t>
      </w:r>
    </w:p>
    <w:p w14:paraId="0A83996B" w14:textId="77777777" w:rsidR="00221F1C" w:rsidRDefault="00221F1C" w:rsidP="00221F1C">
      <w:pPr>
        <w:tabs>
          <w:tab w:val="left" w:pos="600"/>
        </w:tabs>
        <w:spacing w:after="120" w:line="240" w:lineRule="auto"/>
        <w:jc w:val="both"/>
        <w:rPr>
          <w:rFonts w:ascii="Times New Roman" w:eastAsia="Times New Roman" w:hAnsi="Times New Roman" w:cs="Times New Roman"/>
          <w:noProof/>
          <w:color w:val="000000"/>
          <w:sz w:val="24"/>
          <w:szCs w:val="24"/>
          <w:highlight w:val="yellow"/>
        </w:rPr>
      </w:pPr>
      <w:r>
        <w:rPr>
          <w:rFonts w:ascii="Times New Roman" w:hAnsi="Times New Roman"/>
          <w:noProof/>
          <w:color w:val="000000"/>
          <w:sz w:val="24"/>
        </w:rPr>
        <w:t xml:space="preserve">Skupina poglavlja o </w:t>
      </w:r>
      <w:r>
        <w:rPr>
          <w:rFonts w:ascii="Times New Roman" w:hAnsi="Times New Roman"/>
          <w:b/>
          <w:noProof/>
          <w:color w:val="000000"/>
          <w:sz w:val="24"/>
        </w:rPr>
        <w:t>zelenom programu i održivoj povezivosti</w:t>
      </w:r>
      <w:r>
        <w:rPr>
          <w:rFonts w:ascii="Times New Roman" w:hAnsi="Times New Roman"/>
          <w:noProof/>
          <w:color w:val="000000"/>
          <w:sz w:val="24"/>
        </w:rPr>
        <w:t xml:space="preserve"> u središtu je zelenog programa za zapadni Balkan</w:t>
      </w:r>
      <w:r>
        <w:rPr>
          <w:rFonts w:ascii="Times New Roman" w:eastAsia="Times New Roman" w:hAnsi="Times New Roman" w:cs="Times New Roman"/>
          <w:noProof/>
          <w:color w:val="000000"/>
          <w:sz w:val="24"/>
          <w:szCs w:val="24"/>
          <w:vertAlign w:val="superscript"/>
          <w:lang w:eastAsia="en-GB"/>
        </w:rPr>
        <w:footnoteReference w:id="1"/>
      </w:r>
      <w:r>
        <w:rPr>
          <w:rFonts w:ascii="Times New Roman" w:hAnsi="Times New Roman"/>
          <w:noProof/>
          <w:color w:val="000000"/>
          <w:sz w:val="24"/>
        </w:rPr>
        <w:t xml:space="preserve"> i usko je povezana s programom gospodarskih reformi Srbije te Komisijinim gospodarskim i investicijskim planom</w:t>
      </w:r>
      <w:r>
        <w:rPr>
          <w:rFonts w:ascii="Times New Roman" w:eastAsia="Times New Roman" w:hAnsi="Times New Roman" w:cs="Times New Roman"/>
          <w:noProof/>
          <w:color w:val="000000"/>
          <w:sz w:val="24"/>
          <w:szCs w:val="24"/>
          <w:vertAlign w:val="superscript"/>
          <w:lang w:eastAsia="en-GB"/>
        </w:rPr>
        <w:footnoteReference w:id="2"/>
      </w:r>
      <w:r>
        <w:rPr>
          <w:rFonts w:ascii="Times New Roman" w:hAnsi="Times New Roman"/>
          <w:noProof/>
          <w:color w:val="000000"/>
          <w:sz w:val="24"/>
        </w:rPr>
        <w:t>. Skupina i sva povezana poglavlja otvoreni su u prosincu 2021., nakon što je Srbija ispunila preostale zahtjeve, tj. nakon što je donijela akcijske planove o zalihama nafte i razdvajanju plina. Općenito je ostvaren ograničen napredak osim u području transeuropskih mreža, gdje je Srbija napredovala u poboljšanju infrastrukture i započela radove na interkonekcijskom plinovodu između Srbije i Bugarske projektu koji je strateški iznimno važan za Srbiju i Europu.</w:t>
      </w:r>
      <w:r>
        <w:rPr>
          <w:rFonts w:ascii="Times New Roman" w:hAnsi="Times New Roman"/>
          <w:noProof/>
          <w:color w:val="000000"/>
          <w:sz w:val="24"/>
          <w:highlight w:val="yellow"/>
        </w:rPr>
        <w:t xml:space="preserve"> </w:t>
      </w:r>
    </w:p>
    <w:p w14:paraId="75A1631A" w14:textId="77777777" w:rsidR="00221F1C" w:rsidRDefault="00221F1C" w:rsidP="00221F1C">
      <w:pPr>
        <w:tabs>
          <w:tab w:val="left" w:pos="600"/>
        </w:tabs>
        <w:spacing w:after="120" w:line="240" w:lineRule="auto"/>
        <w:jc w:val="both"/>
        <w:rPr>
          <w:rFonts w:ascii="Times New Roman" w:eastAsia="Calibri" w:hAnsi="Times New Roman" w:cs="Times New Roman"/>
          <w:noProof/>
          <w:sz w:val="24"/>
          <w:szCs w:val="24"/>
        </w:rPr>
      </w:pPr>
      <w:r>
        <w:rPr>
          <w:rFonts w:ascii="Times New Roman" w:hAnsi="Times New Roman"/>
          <w:noProof/>
          <w:color w:val="000000"/>
          <w:sz w:val="24"/>
        </w:rPr>
        <w:t xml:space="preserve">Skupina poglavlja o </w:t>
      </w:r>
      <w:r>
        <w:rPr>
          <w:rFonts w:ascii="Times New Roman" w:hAnsi="Times New Roman"/>
          <w:b/>
          <w:noProof/>
          <w:color w:val="000000"/>
          <w:sz w:val="24"/>
        </w:rPr>
        <w:t xml:space="preserve">resursima, poljoprivredi i koheziji </w:t>
      </w:r>
      <w:r>
        <w:rPr>
          <w:rFonts w:ascii="Times New Roman" w:hAnsi="Times New Roman"/>
          <w:noProof/>
          <w:sz w:val="24"/>
        </w:rPr>
        <w:t>obuhvaća politike povezane sa strukturnim fondovima EU-a te razvojem kapaciteta za preuzimanje odgovornosti buduće države članice.</w:t>
      </w:r>
      <w:r>
        <w:rPr>
          <w:rFonts w:ascii="Calibri" w:hAnsi="Calibri"/>
          <w:noProof/>
        </w:rPr>
        <w:t xml:space="preserve"> </w:t>
      </w:r>
      <w:r>
        <w:rPr>
          <w:rFonts w:ascii="Times New Roman" w:hAnsi="Times New Roman"/>
          <w:noProof/>
          <w:sz w:val="24"/>
        </w:rPr>
        <w:t xml:space="preserve">Obuhvaća i neka od ključnih područja politika važnih za osiguravanje održivih prehrambenih sustava i pružanje pomoći ruralnim zajednicama u gospodarskom razvoju i diversifikaciji. Otvorena su dva od pet poglavlja (13. i 33. poglavlje), a mjerila za njihovo zatvaranje tek je potrebno ispuniti. Komisija je ocijenila da su ispunjena mjerila za otvaranje 11. i 22. poglavlja, dok Srbija tek treba ispuniti sva tri mjerila za otvaranje 12. poglavlja. Ograničen napredak ostvaren je u nekim područjima, npr. podnošenju programa IPARD III za razdoblje 2021.–2027.; donošenju i provedbi zakona o sredstvima za zaštitu bilja; razvrstavanju poduzeća u prehrambenom sektoru i poduzeća za zbrinjavanje nusproizvoda životinjskog podrijetla; financijskim i proračunskim odredbama kad je riječ o predmetnim područjima politike koja utječu na pravilno funkcioniranje sustava vlastitih sredstava te u regionalnoj politici u vezi s financijskim upravljanjem. </w:t>
      </w:r>
    </w:p>
    <w:p w14:paraId="4B63D65A" w14:textId="220BA750" w:rsidR="00221F1C" w:rsidRDefault="00221F1C" w:rsidP="00221F1C">
      <w:pPr>
        <w:tabs>
          <w:tab w:val="left" w:pos="600"/>
        </w:tabs>
        <w:spacing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U skupini poglavlja o</w:t>
      </w:r>
      <w:r>
        <w:rPr>
          <w:rFonts w:ascii="Times New Roman" w:hAnsi="Times New Roman"/>
          <w:b/>
          <w:noProof/>
          <w:color w:val="000000"/>
          <w:sz w:val="24"/>
        </w:rPr>
        <w:t xml:space="preserve"> vanjskim odnosima </w:t>
      </w:r>
      <w:r>
        <w:rPr>
          <w:rFonts w:ascii="Times New Roman" w:hAnsi="Times New Roman"/>
          <w:noProof/>
          <w:color w:val="000000"/>
          <w:sz w:val="24"/>
        </w:rPr>
        <w:t xml:space="preserve">Srbija tek treba dovršiti pristupanje Svjetskoj trgovinskoj organizaciji, što je jedno od mjerila za otvaranje 30. poglavlja. Srbija isto tako treba </w:t>
      </w:r>
      <w:r>
        <w:rPr>
          <w:rFonts w:ascii="Times New Roman" w:hAnsi="Times New Roman"/>
          <w:noProof/>
          <w:sz w:val="24"/>
        </w:rPr>
        <w:t xml:space="preserve">odustati od uvođenja jednostranih mjera ograničavanja trgovine bez prethodnog savjetovanja s Komisijom u skladu sa svojim obvezama iz SSP-a. </w:t>
      </w:r>
      <w:r>
        <w:rPr>
          <w:rFonts w:ascii="Times New Roman" w:hAnsi="Times New Roman"/>
          <w:noProof/>
          <w:color w:val="000000"/>
          <w:sz w:val="24"/>
        </w:rPr>
        <w:t xml:space="preserve">Nakon ničim izazvane i neopravdane agresije Rusije na Ukrajinu Srbija se nije uskladila s EU-ovim mjerama ograničavanja protiv Rusije, kao ni s većinom izjava visokog predstavnika u ime EU-a kad je riječ o tom pitanju. Stopa usklađenosti Srbije s relevantnim izjavama visokog predstavnika u ime EU-a i odlukama Vijeća pala je sa 64 % 2021. na 45 % u kolovozu 2022. Niz postupaka i izjava Srbije proturječili su stajalištima vanjske politike EU-a. Od Srbije se očekuje da prednost dâ ispunjenju svojih obveza i da se postupno uskladi sa zajedničkom vanjskom i sigurnosnom politikom EU-a, uključujući restriktivne mjere, što je u skladu s pregovaračkim okvirom između EU-a i Srbije. </w:t>
      </w:r>
    </w:p>
    <w:p w14:paraId="502328EA" w14:textId="77777777" w:rsidR="00221F1C" w:rsidRDefault="00221F1C" w:rsidP="00221F1C">
      <w:pPr>
        <w:autoSpaceDE w:val="0"/>
        <w:autoSpaceDN w:val="0"/>
        <w:adjustRightInd w:val="0"/>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sz w:val="24"/>
        </w:rPr>
        <w:t xml:space="preserve">Srbija je nastavila pomagati u upravljanju mješovitim </w:t>
      </w:r>
      <w:r>
        <w:rPr>
          <w:rFonts w:ascii="Times New Roman" w:hAnsi="Times New Roman"/>
          <w:b/>
          <w:noProof/>
          <w:color w:val="000000"/>
          <w:sz w:val="24"/>
        </w:rPr>
        <w:t>migracijskim</w:t>
      </w:r>
      <w:r>
        <w:rPr>
          <w:rFonts w:ascii="Times New Roman" w:hAnsi="Times New Roman"/>
          <w:noProof/>
          <w:color w:val="000000"/>
          <w:sz w:val="24"/>
        </w:rPr>
        <w:t xml:space="preserve"> tokovima prema EU-u djelotvornom suradnjom sa svojim susjedima i državama članicama EU-a. Zemlja je uz potporu EU-a nastavila primati veliki broj državljana trećih zemalja. Srbija je 17. ožujka 2022. odlučila dati privremenu zaštitu ukrajinskim državljanima koji bježe od rata u trajanju od godinu dana. Nastavila je i s učinkovitom provedbom strategije integriranog upravljanja granicama i svojeg akcijskog plana. </w:t>
      </w:r>
      <w:r>
        <w:rPr>
          <w:rFonts w:ascii="Times New Roman" w:hAnsi="Times New Roman"/>
          <w:noProof/>
          <w:color w:val="000000" w:themeColor="text1"/>
          <w:sz w:val="24"/>
        </w:rPr>
        <w:t>Srbija nije poduzela korake u usklađivanju s EU-ovim popisom trećih zemalja čiji državljani moraju imati vizu, a posebno onih trećih zemalja za koje predstavljaju rizik od nezakonitih migracija ili sigurnosni rizik za EU, kako je Komisija preporučila u izvješću o mehanizmu suspenzije viza iz kolovoza 2021.</w:t>
      </w:r>
    </w:p>
    <w:p w14:paraId="6FE57A43" w14:textId="77777777" w:rsidR="00221F1C" w:rsidRDefault="00221F1C" w:rsidP="00221F1C">
      <w:pPr>
        <w:spacing w:after="120" w:line="240" w:lineRule="auto"/>
        <w:jc w:val="both"/>
        <w:rPr>
          <w:rFonts w:ascii="Times New Roman" w:eastAsia="Calibri" w:hAnsi="Times New Roman" w:cs="Times New Roman"/>
          <w:b/>
          <w:noProof/>
          <w:sz w:val="24"/>
          <w:szCs w:val="24"/>
        </w:rPr>
      </w:pPr>
    </w:p>
    <w:p w14:paraId="519053B3" w14:textId="77777777" w:rsidR="00221F1C" w:rsidRDefault="00221F1C" w:rsidP="00221F1C">
      <w:pPr>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Sjeverna Makedonija</w:t>
      </w:r>
    </w:p>
    <w:p w14:paraId="28E7E181"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Razdoblje izvješćivanja obilježili su veliki napori koji su doveli do pokretanja procesa pregovora o pristupanju. Održavanje prve Međuvladine konferencije u srpnju 2022. bio je povijesni trenutak i označio je novu fazu u procesu pristupanja Sjeverne Makedonije EU-u. Bio je to jasan pokazatelj odlučnosti Sjeverne Makedonije da provede reforme povezane s EU-om. </w:t>
      </w:r>
    </w:p>
    <w:p w14:paraId="62C2E5C8"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U </w:t>
      </w:r>
      <w:r>
        <w:rPr>
          <w:rFonts w:ascii="Times New Roman" w:hAnsi="Times New Roman"/>
          <w:b/>
          <w:noProof/>
          <w:sz w:val="24"/>
        </w:rPr>
        <w:t>političkim kriterijima</w:t>
      </w:r>
      <w:r>
        <w:rPr>
          <w:rFonts w:ascii="Times New Roman" w:hAnsi="Times New Roman"/>
          <w:noProof/>
          <w:sz w:val="24"/>
        </w:rPr>
        <w:t xml:space="preserve"> Sjeverna Makedonija nastavila je jačati demokraciju i vladavinu prava unatoč određenim izazovima. Zemlja je pokazala svoju predanost u ostvarivanju rezultata u ključnim područjima temeljnih pitanja. Lokalni izbori održani su u listopadu 2021. Ured za demokratske institucije i ljudska prava Organizacije za europsku sigurnost i suradnju (OESS/ODIHR) ocijenio je da su ti izbori bili konkurentni i da su se uvelike poštovale temeljne slobode. No u razdoblju izvješćivanja ostvaren je ograničen napredak u provedbi preostalih preporuka OESS-a/ODIHR-a i Venecijanske komisije. Kao što je navedeno u prethodnim izvješćima, izborno zakonodavstvo trebalo bi temeljito revidirati kako bi se uklonile postojeće nedosljednosti i potrebno je donijeti relevantne zakone na pravovremen, uključiv i transparentan način znatno prije sljedećih izbora. Vlasti moraju na tome još intenzivnije raditi i pokazati političku volju za dodatno poboljšanje izbornog postupka.</w:t>
      </w:r>
    </w:p>
    <w:p w14:paraId="69F61447" w14:textId="221EA5F2"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Rad </w:t>
      </w:r>
      <w:r>
        <w:rPr>
          <w:rFonts w:ascii="Times New Roman" w:hAnsi="Times New Roman"/>
          <w:b/>
          <w:noProof/>
          <w:sz w:val="24"/>
        </w:rPr>
        <w:t>parlamenta</w:t>
      </w:r>
      <w:r>
        <w:rPr>
          <w:rFonts w:ascii="Times New Roman" w:hAnsi="Times New Roman"/>
          <w:noProof/>
          <w:sz w:val="24"/>
        </w:rPr>
        <w:t xml:space="preserve"> narušila je politička polarizacija zbog koje je odgođeno donošenje brojnih zakonodavnih akata. Nakon intenzivnih rasprava parlament je donio zaključke o prijedlogu kojim je otvoren put za otvaranje pregovora o pristupanju. Parlament mora imati aktivnu i pozitivnu ulogu u pregovaračkom procesu za pristupanje EU-u. Prioritet svih stranaka treba biti zajedničko i brzo djelovanje kako bi se ojačala uloga parlamenta kao foruma za konstruktivan politički dijalog, posebno o programu reformi EU-a. Parlament i vlada obvezali su se da će prednost dati pokretanju i postizanju relevantnih ustavnih promjena s ciljem uključivanja građana koji žive unutar državnih granica u Ustav. Potrebni su odgovarajuće planiranje i savjetovanje kako bi se ograničila upotreba brzih postupaka i omogućio djelotvoran nadzor nad zakonodavstvom i savjetovanje o njemu. Trebalo bi redovitije provoditi nadzor nad izvršnom vlasti putem parlamentarnih pitanja upućenih ministrima. Prijedlozi za unutarnju reformu parlamenta dogovoreni tijekom trećeg kruga „dijaloga Jean Monnet” početkom 2020. trebali bi se provesti bez daljnje odgode. Kaznena odgovornost onih koji su organizirali ili počinili nasilje u napadu na parlament 27. travnja 2017. i dalje se utvrđuje, među ostalim i drugostupanjskim presudama. Vlada je nastavila raditi na programu reformi EU-a i rješavanju posljedica pandemije bolesti COVID-19 te rata u Ukrajini. Potrebni su odlučni napori kako bi reforme dobile zamah i kako bi napredovao pregovarački proces za pristupanje EU-u. Posebno se treba usredotočiti na osiguravanje učinkovite provedbe važećeg zakonodavstva umjesto pokretanja </w:t>
      </w:r>
      <w:r>
        <w:rPr>
          <w:rFonts w:ascii="Times New Roman" w:hAnsi="Times New Roman"/>
          <w:i/>
          <w:noProof/>
          <w:sz w:val="24"/>
        </w:rPr>
        <w:t>ad hoc</w:t>
      </w:r>
      <w:r>
        <w:rPr>
          <w:rFonts w:ascii="Times New Roman" w:hAnsi="Times New Roman"/>
          <w:noProof/>
          <w:sz w:val="24"/>
        </w:rPr>
        <w:t xml:space="preserve"> inicijativa. Međuetnički odnosi ostali su stabilni, a Ohridski okvirni sporazum nastavio se provoditi.</w:t>
      </w:r>
    </w:p>
    <w:p w14:paraId="2074D3D8"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Organizacije </w:t>
      </w:r>
      <w:r>
        <w:rPr>
          <w:rFonts w:ascii="Times New Roman" w:hAnsi="Times New Roman"/>
          <w:b/>
          <w:noProof/>
          <w:sz w:val="24"/>
        </w:rPr>
        <w:t>civilnog društva</w:t>
      </w:r>
      <w:r>
        <w:rPr>
          <w:rFonts w:ascii="Times New Roman" w:hAnsi="Times New Roman"/>
          <w:noProof/>
          <w:sz w:val="24"/>
        </w:rPr>
        <w:t xml:space="preserve"> nastavljaju raditi u povoljnom okruženju, među ostalim donošenjem strategije za suradnju s civilnim društvom i njegov razvoja za razdoblje 2022.–2024. Civilno društvo i dalje ima važnu ulogu u procesu donošenja odluka i praćenju aktivnosti države. Međutim, potrebno je poraditi na poboljšanju transparentnosti u donošenju politika i uključivosti postupaka savjetovanja. Potrebno je poboljšati pravni i financijski okvir te ih provesti u praksi.</w:t>
      </w:r>
    </w:p>
    <w:p w14:paraId="3CEFB619" w14:textId="77777777" w:rsidR="00221F1C" w:rsidRDefault="00221F1C" w:rsidP="00221F1C">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sz w:val="24"/>
        </w:rPr>
        <w:t xml:space="preserve">Sjeverna Makedonija provela je sveobuhvatnu reformu svojih </w:t>
      </w:r>
      <w:r>
        <w:rPr>
          <w:rFonts w:ascii="Times New Roman" w:hAnsi="Times New Roman"/>
          <w:b/>
          <w:noProof/>
          <w:sz w:val="24"/>
        </w:rPr>
        <w:t xml:space="preserve">obavještajnih službi. </w:t>
      </w:r>
      <w:r>
        <w:rPr>
          <w:rFonts w:ascii="Times New Roman" w:hAnsi="Times New Roman"/>
          <w:noProof/>
          <w:sz w:val="24"/>
        </w:rPr>
        <w:t>Međutim,</w:t>
      </w:r>
      <w:r>
        <w:rPr>
          <w:rFonts w:ascii="Times New Roman" w:hAnsi="Times New Roman"/>
          <w:b/>
          <w:noProof/>
          <w:sz w:val="24"/>
        </w:rPr>
        <w:t xml:space="preserve"> </w:t>
      </w:r>
      <w:r>
        <w:rPr>
          <w:rFonts w:ascii="Times New Roman" w:hAnsi="Times New Roman"/>
          <w:noProof/>
          <w:sz w:val="24"/>
        </w:rPr>
        <w:t xml:space="preserve">mora ojačati </w:t>
      </w:r>
      <w:r>
        <w:rPr>
          <w:rFonts w:ascii="Times New Roman" w:hAnsi="Times New Roman"/>
          <w:noProof/>
          <w:color w:val="000000"/>
          <w:sz w:val="24"/>
        </w:rPr>
        <w:t>kapacitete za parlamentarni nadzor obavještajnih službi.</w:t>
      </w:r>
    </w:p>
    <w:p w14:paraId="5329B280" w14:textId="77777777" w:rsidR="00221F1C" w:rsidRDefault="00221F1C" w:rsidP="00221F1C">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 području </w:t>
      </w:r>
      <w:r>
        <w:rPr>
          <w:rFonts w:ascii="Times New Roman" w:hAnsi="Times New Roman"/>
          <w:b/>
          <w:noProof/>
          <w:sz w:val="24"/>
        </w:rPr>
        <w:t>reforme javne uprave</w:t>
      </w:r>
      <w:r>
        <w:rPr>
          <w:rFonts w:ascii="Times New Roman" w:hAnsi="Times New Roman"/>
          <w:noProof/>
          <w:sz w:val="24"/>
        </w:rPr>
        <w:t xml:space="preserve"> Sjeverna Makedonija i dalje je umjereno pripremljena. Ostvaren je ograničen napredak u provedbi prošlogodišnjih preporuka. Donijela je novi program reformi upravljanja javnim financijama za razdoblje 2022.–2025. Međutim, odgođeno je donošenje zakonodavstva o organizaciji i radu tijela državne uprave i novog pravnog okvira za upravljanje ljudskim resursima (izmjena Zakona o administrativnim službenicima i Zakona o zaposlenicima u javnim službama te novog Zakona o službi najvišeg rukovodstva). Cilj je novog okvira poboljšati upravljanje ljudskim resursima u cijeloj upravi i u većoj mjeri zajamčiti zapošljavanje, promaknuće i otpuštanje na temelju zasluga, što uključuje i razinu višeg rukovodstva. Novi temeljni zakon o proračunu donesen je u rujnu 2022. Državno povjerenstvo za sprečavanje korupcije proaktivno je rješavalo slučajeve nepotizma, klijentelizma i političkog utjecaja u postupku zapošljavanja zaposlenika u javnom sektoru i imenovanja članova nadzornih i upravnih odbora. </w:t>
      </w:r>
    </w:p>
    <w:p w14:paraId="01B1B50A"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b/>
          <w:noProof/>
          <w:sz w:val="24"/>
        </w:rPr>
        <w:t>Pravosudni sustav</w:t>
      </w:r>
      <w:r>
        <w:rPr>
          <w:rFonts w:ascii="Times New Roman" w:hAnsi="Times New Roman"/>
          <w:noProof/>
          <w:sz w:val="24"/>
        </w:rPr>
        <w:t xml:space="preserve"> Sjeverne Makedonije donekle je, odnosno umjereno pripremljen. Određeni napredak ostvaren je u području pravosuđa sustavnom provedbom strategije pravosudne reforme kojom su provedene preporuke Venecijanske komisije i skupine viših stručnjaka o sustavnim problemima povezanima s vladavinom prava. </w:t>
      </w:r>
      <w:bookmarkStart w:id="2" w:name="_Hlk114690726"/>
      <w:r>
        <w:rPr>
          <w:rFonts w:ascii="Times New Roman" w:hAnsi="Times New Roman"/>
          <w:noProof/>
          <w:sz w:val="24"/>
        </w:rPr>
        <w:t xml:space="preserve">Počela je uključiva priprema nove strategije pravosudne reforme na temelju stečenih iskustava iz prethodne. </w:t>
      </w:r>
      <w:bookmarkEnd w:id="2"/>
      <w:r>
        <w:rPr>
          <w:rFonts w:ascii="Times New Roman" w:hAnsi="Times New Roman"/>
          <w:noProof/>
          <w:sz w:val="24"/>
        </w:rPr>
        <w:t xml:space="preserve">Nastavila se provedba ažuriranog akcijskog plana za strategiju pravosudne reforme koja bi trebala biti sustavnija. </w:t>
      </w:r>
      <w:bookmarkStart w:id="3" w:name="_Hlk114690778"/>
      <w:r>
        <w:rPr>
          <w:rFonts w:ascii="Times New Roman" w:hAnsi="Times New Roman"/>
          <w:noProof/>
          <w:sz w:val="24"/>
        </w:rPr>
        <w:t xml:space="preserve">Pravosuđe je pokazalo predanost zaštiti svojeg integriteta i neovisnosti. </w:t>
      </w:r>
      <w:bookmarkEnd w:id="3"/>
      <w:r>
        <w:rPr>
          <w:rFonts w:ascii="Times New Roman" w:hAnsi="Times New Roman"/>
          <w:noProof/>
          <w:sz w:val="24"/>
        </w:rPr>
        <w:t xml:space="preserve">Brzina provedbe strategija za ljudske resurse u pravosuđu i tužiteljstvu treba se poboljšati. Pravosudne institucije dosljedno su provodile nova pravila za imenovanje, napredovanje, discipliniranje i razrješenje sudaca i tužitelja. Kasnila su napredovanja na višim sudovima, a zbog planiranih umirovljenja dodatno se smanjio broj sudaca i tužitelja. </w:t>
      </w:r>
      <w:r>
        <w:rPr>
          <w:noProof/>
        </w:rPr>
        <w:t xml:space="preserve"> </w:t>
      </w:r>
      <w:bookmarkStart w:id="4" w:name="_Hlk114690895"/>
      <w:r>
        <w:rPr>
          <w:rFonts w:ascii="Times New Roman" w:hAnsi="Times New Roman"/>
          <w:noProof/>
          <w:sz w:val="24"/>
        </w:rPr>
        <w:t>Sudbeno vijeće i Državno tužiteljsko vijeće nastavili su provoditi strateške planove. Svaki novi nacrt zakona o Akademiji za suce i tužitelje trebao bi zadržati Akademiju kao jedinu ulaznu točku za pravosuđe i tužiteljstvo te osigurati pravedan i transparentan pristup tim profesijama. Poduzete su aktivnosti za nadogradnju softverskog sustava kako bi se odredbe Zakona o upravljanju tijekom predmeta primijenile u praksi za automatsko i nasumično dodjeljivanje predmeta na sudovima putem automatiziranog informacijskog sustava za upravljanje sudskim predmetima (ACCMIS).</w:t>
      </w:r>
      <w:bookmarkEnd w:id="4"/>
    </w:p>
    <w:p w14:paraId="197B00A0"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Sjeverna Makedonija donekle je, odnosno umjereno je pripremljena u području sprečavanja i </w:t>
      </w:r>
      <w:r>
        <w:rPr>
          <w:rFonts w:ascii="Times New Roman" w:hAnsi="Times New Roman"/>
          <w:b/>
          <w:noProof/>
          <w:sz w:val="24"/>
        </w:rPr>
        <w:t>borbe protiv korupcije</w:t>
      </w:r>
      <w:r>
        <w:rPr>
          <w:rFonts w:ascii="Times New Roman" w:hAnsi="Times New Roman"/>
          <w:noProof/>
          <w:sz w:val="24"/>
        </w:rPr>
        <w:t xml:space="preserve">. Ostvaren je određeni napredak jer je zemlja nastavila konsolidirati svoja postignuća u istragama, kaznenom progonu i sudskim postupcima u nekoliko slučajeva korupcije, među ostalim na visokoj razini. Rješavanje predmeta koje je pokrenuo bivši Ured posebnog tužitelja nastavlja napredovati, čime je utvrđena odgovornost za nezakonito prisluškivanje. </w:t>
      </w:r>
      <w:bookmarkStart w:id="5" w:name="_Hlk114690927"/>
      <w:r>
        <w:rPr>
          <w:rFonts w:ascii="Times New Roman" w:hAnsi="Times New Roman"/>
          <w:noProof/>
          <w:sz w:val="24"/>
        </w:rPr>
        <w:t xml:space="preserve">U nekoliko predmeta donesene su prvostupanjske presude. </w:t>
      </w:r>
      <w:bookmarkEnd w:id="5"/>
      <w:r>
        <w:rPr>
          <w:rFonts w:ascii="Times New Roman" w:hAnsi="Times New Roman"/>
          <w:noProof/>
          <w:sz w:val="24"/>
        </w:rPr>
        <w:t xml:space="preserve">U skladu s prošlogodišnjim preporukama Državno povjerenstvo za sprečavanje korupcije (SCPC) proaktivno je pružalo političke smjernice javnim institucijama za sprečavanje korupcije i otvorilo je nekoliko predmeta, među ostalim predmete protiv visokopozicioniranih službenika. </w:t>
      </w:r>
      <w:bookmarkStart w:id="6" w:name="_Hlk114690947"/>
      <w:r>
        <w:rPr>
          <w:rFonts w:ascii="Times New Roman" w:hAnsi="Times New Roman"/>
          <w:noProof/>
          <w:sz w:val="24"/>
        </w:rPr>
        <w:t xml:space="preserve">Zaključke njegovih redovitih izvješća trebalo bi u potpunosti primijeniti. </w:t>
      </w:r>
      <w:bookmarkEnd w:id="6"/>
      <w:r>
        <w:rPr>
          <w:rFonts w:ascii="Times New Roman" w:hAnsi="Times New Roman"/>
          <w:noProof/>
          <w:sz w:val="24"/>
        </w:rPr>
        <w:t>Trebalo bi nastaviti poboljšavati funkcioniranje SCPC-a osiguravanjem dodatnih financijskih i ljudskih resursa. Dodatni ljudski i financijski resursi trebali bi biti stavljeni na raspolaganje uredu javnog tužiteljstva, istražnim centrima i odjelima za provedbu zakona zaduženima za istragu korupcije. Sektori koji su najosjetljiviji na korupciju zahtijevaju ciljane procjene rizika i posebne mjere.</w:t>
      </w:r>
    </w:p>
    <w:p w14:paraId="1ED3B240"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Sjeverna Makedonija postigla je određenu razinu pripremljenosti u području </w:t>
      </w:r>
      <w:r>
        <w:rPr>
          <w:rFonts w:ascii="Times New Roman" w:hAnsi="Times New Roman"/>
          <w:b/>
          <w:noProof/>
          <w:sz w:val="24"/>
        </w:rPr>
        <w:t>borbe protiv organiziranog kriminala</w:t>
      </w:r>
      <w:r>
        <w:rPr>
          <w:rFonts w:ascii="Times New Roman" w:hAnsi="Times New Roman"/>
          <w:noProof/>
          <w:sz w:val="24"/>
        </w:rPr>
        <w:t>. Ostvarila je određeni napredak, uglavnom u operativnoj suradnji s međunarodnim partnerima te u poboljšanju koordinacije aktivnosti za borbu protiv organiziranog kriminala. Potrebno je učiniti više kako bi provedba zakona u borbi protiv određenih oblika kriminala, kao što su pranje novca i financijski kriminal, bila učinkovitija. Potrebno je osnažiti istražne centre osnovnog ureda javnog tužiteljstva kako bi ostvarili svoje ciljeve povećanja učinkovitosti istraga i poboljšanja koordinacije tužitelja, policije i ostalih relevantnih tijela.</w:t>
      </w:r>
    </w:p>
    <w:p w14:paraId="3A6A0D9A"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Ostvaren je određeni napredak u </w:t>
      </w:r>
      <w:r>
        <w:rPr>
          <w:rFonts w:ascii="Times New Roman" w:hAnsi="Times New Roman"/>
          <w:b/>
          <w:noProof/>
          <w:sz w:val="24"/>
        </w:rPr>
        <w:t>borbi protiv terorizma i sprečavanju/suzbijanju nasilnog ekstremizma</w:t>
      </w:r>
      <w:r>
        <w:rPr>
          <w:rFonts w:ascii="Times New Roman" w:hAnsi="Times New Roman"/>
          <w:noProof/>
          <w:sz w:val="24"/>
        </w:rPr>
        <w:t xml:space="preserve"> u skladu s ciljevima utvrđenima u zajedničkom akcijskom planu za borbu protiv terorizma za zapadni Balkan i bilateralnom provedbenom sporazumu. Nacionalna strategija za sprečavanje pranja novca i financiranja terorizma (2021.–2023.) donesena je 2021. Treba nastaviti rad na ponovnoj integraciji i socijalizaciji bivših zatvorenika, kao i na deradikalizaciji u zatvorima. </w:t>
      </w:r>
    </w:p>
    <w:p w14:paraId="1198AA4F"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Pravni okvir o zaštiti </w:t>
      </w:r>
      <w:r>
        <w:rPr>
          <w:rFonts w:ascii="Times New Roman" w:hAnsi="Times New Roman"/>
          <w:b/>
          <w:noProof/>
          <w:sz w:val="24"/>
        </w:rPr>
        <w:t>temeljnih prava</w:t>
      </w:r>
      <w:r>
        <w:rPr>
          <w:rFonts w:ascii="Times New Roman" w:hAnsi="Times New Roman"/>
          <w:noProof/>
          <w:sz w:val="24"/>
        </w:rPr>
        <w:t xml:space="preserve"> u načelu je usklađen s europskim standardima. Postupak deinstitucionalizacije napreduje zahvaljujući prelasku osoba s invaliditetom na skrb u zajednici. Ministarstvo rada i socijalne politike nastavlja ulagati u skrb u zajednici, uključujući pružanje potpore žrtvama rodno uvjetovanog nasilja. Posebno je važno provesti sve odredbe Zakona o sprečavanju nasilja nad ženama i njihovoj zaštiti te nasilja u obitelju. Mogu se primijetiti kontinuirana poboljšanja u području rodno osviještene politike i poštovanju prava žena. Preporuke Europskog odbora za sprečavanje mučenja kad je riječ o postupanju sa zatvorenicima i osuđenicima nisu primjereno provedene. Treba poboljšati provedbu zakonodavstva o govoru mržnje i nacionalnog akcijskog plana za odredbe Istanbulske konvencije. Mehanizam vanjskog civilnog nadzora nad policijom još nije potpuno funkcionalan i u njemu nema predstavnika organizacija civilnog društva. </w:t>
      </w:r>
    </w:p>
    <w:p w14:paraId="28CA589D"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Sjeverna Makedonija donekle je, odnosno umjereno pripremljena u području </w:t>
      </w:r>
      <w:r>
        <w:rPr>
          <w:rFonts w:ascii="Times New Roman" w:hAnsi="Times New Roman"/>
          <w:b/>
          <w:noProof/>
          <w:sz w:val="24"/>
        </w:rPr>
        <w:t>slobode izražavanja</w:t>
      </w:r>
      <w:r>
        <w:rPr>
          <w:rFonts w:ascii="Times New Roman" w:hAnsi="Times New Roman"/>
          <w:noProof/>
          <w:sz w:val="24"/>
        </w:rPr>
        <w:t>. Općenito, tijekom razdoblja izvješćivanja ostvarila je ograničen napredak u provedbi prethodnih preporuka. Opći kontekst pogoduje slobodi medija i omogućuje kritičko izvješćivanje medija, iako je tijekom lokalnih izbora 2021. bilo napetosti. Trebalo bi nastaviti provoditi mjere samoregulacije medija i postići konkretne rezultate u unapređenju profesionalnih standarda novinarstva. Potrebna je veća transparentnost oglašavanja državnih institucija i političkih stranaka u medijima. Nadležna tijela trebaju dodatno raditi na reformi javne radiotelevizije kako bi se osigurala njezina neovisnost, profesionalni standardi i financijska održivost. Postupak reforme javne radiotelevizije u skladu s petogodišnjom strategijom razvoja ograničen je kašnjenjima u imenovanju članova vijeća za planiranje. Vijeće Agencije za audio i audiovizualne medijske usluge tek treba imenovati. Još uvijek nije riješeno pitanje radničkih prava novinara.</w:t>
      </w:r>
    </w:p>
    <w:p w14:paraId="75B6568C"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Kad je riječ o </w:t>
      </w:r>
      <w:r>
        <w:rPr>
          <w:rFonts w:ascii="Times New Roman" w:hAnsi="Times New Roman"/>
          <w:b/>
          <w:noProof/>
          <w:sz w:val="24"/>
        </w:rPr>
        <w:t>regionalnoj suradnji</w:t>
      </w:r>
      <w:r>
        <w:rPr>
          <w:rFonts w:ascii="Times New Roman" w:hAnsi="Times New Roman"/>
          <w:noProof/>
          <w:sz w:val="24"/>
        </w:rPr>
        <w:t>, zemlja održava dobre odnose s ostalim zemljama proširenja i ostaje angažirana u regionalnim inicijativama. Sve stranke trebaju u dobroj vjeri provesti postojeće bilateralne sporazume, uključujući Prespanski sporazum između Sjeverne Makedonije i Grčke i Ugovor o prijateljstvu, dobrosusjedskim odnosima i suradnji s Bugarskom.</w:t>
      </w:r>
    </w:p>
    <w:p w14:paraId="6F233F0E" w14:textId="341E626F"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U području </w:t>
      </w:r>
      <w:r>
        <w:rPr>
          <w:rFonts w:ascii="Times New Roman" w:hAnsi="Times New Roman"/>
          <w:b/>
          <w:noProof/>
          <w:sz w:val="24"/>
        </w:rPr>
        <w:t>gospodarskih kriterija</w:t>
      </w:r>
      <w:r>
        <w:rPr>
          <w:rFonts w:ascii="Times New Roman" w:hAnsi="Times New Roman"/>
          <w:noProof/>
          <w:sz w:val="24"/>
        </w:rPr>
        <w:t xml:space="preserve"> Sjeverna Makedonija postigla je određeni napredak i ostvarila dobru razinu pripremljenosti u razvoju funkcionalnog tržišnog gospodarstva. Gospodarstvo se 2021. u velikoj mjeri oporavilo od pandemije bolesti COVID-19. Vlada je nastavila provoditi mjere fiskalne potpore kako bi pomogla oporavku. Potpomognut rastom prihoda od poreza fiskalni je deficit pao na 5,4 % BDP-a 2021., a razine duga stabilizirale su se nakon znatnog porasta 2020. Zbog sve bržeg rasta cijena hrane i energenata početkom 2022. vlada je donijela novi skup fiskalnih mjera kako bi ograničila negativan utjecaj na gospodarstvo – iako su fiskalne mjere mogle biti bolje usmjerene. Središnja banka postrožila je svoj politički stav s obzirom na sve veće inflacijske pritiske. Zaustavljene su važne političke reforme za poboljšanje fiskalnog upravljanja i održivosti javnih financija. Nakon velikih kašnjenja parlament je sredinom rujna donio novi organski zakon o proračunu u kojem se predviđaju fiskalna pravila i fiskalno vijeće. Upravljanje javnim ulaganjima potrebno je dodatno poboljšati. Bankarski sektor ostao je stabilan. Regulatorne mjere za ublažavanje uvjeta za zaduživanje ukinute su 2021. Na poslovno okruženje i dalje negativno utječe veličina neformalne ekonomije i spor napredak u pogledu pojednostavnjenja parafiskalnih nameta.</w:t>
      </w:r>
    </w:p>
    <w:p w14:paraId="3636E237"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Sjeverna Makedonija postigla je određeni napredak i umjereno je pripremljena za suočavanje s pritiskom konkurencije i tržišnim silama unutar EU-a. Integracija s EU-om u području trgovine i ulaganja ostala je na visokoj razini 2021. unatoč ograničenjima kretanja i prekidima lanaca opskrbe unutar zemlje i u zemljama trgovinskim partnerima. Dodatno je porastao udio proizvoda visoke vrijednosti u izvozu. Dodatan napredak ostvaren je u poboljšanju strukovnog obrazovanja i osposobljavanja, no veliki nedostaci vještina i dalje ne zadovoljavaju potrebe tržišta rada, što dovodi do dugog prelaska iz škole na posao. Ti problemi, kao i veliki nedostaci u prometnoj i energetskoj infrastrukturi, malim ulaganjima i rashodima za inovacije ograničavaju potencijal zemlje za rast. Napreduje digitalizacija gospodarstva, ali konkurentnost domaćih poduzeća mogla bi se poboljšati širom ponudom javnih e-usluga.</w:t>
      </w:r>
    </w:p>
    <w:p w14:paraId="729121A2" w14:textId="0CB302E9"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color w:val="000000"/>
          <w:sz w:val="24"/>
        </w:rPr>
        <w:t>U vezi sa sposobnošću da preuzme obveze koje proizlaze iz članstva,</w:t>
      </w:r>
      <w:r>
        <w:rPr>
          <w:rFonts w:ascii="Times New Roman" w:hAnsi="Times New Roman"/>
          <w:noProof/>
          <w:sz w:val="24"/>
        </w:rPr>
        <w:t xml:space="preserve"> Sjeverna Makedonija umjereno je pripremljena u većini područja obuhvaćenih </w:t>
      </w:r>
      <w:r>
        <w:rPr>
          <w:rFonts w:ascii="Times New Roman" w:hAnsi="Times New Roman"/>
          <w:b/>
          <w:noProof/>
          <w:sz w:val="24"/>
        </w:rPr>
        <w:t>2. skupinom poglavlja o unutarnjem tržištu</w:t>
      </w:r>
      <w:r>
        <w:rPr>
          <w:rFonts w:ascii="Times New Roman" w:hAnsi="Times New Roman"/>
          <w:noProof/>
          <w:sz w:val="24"/>
        </w:rPr>
        <w:t xml:space="preserve">, konkretno u područjima slobodnog kretanja robe, usluga i kapitala, intelektualnog vlasništva, politike tržišnog natjecanja, financijskih usluga te zaštite potrošača i zdravlja. Zemlja je postigla dobru razinu pripremljenosti kad je riječ o pravima trgovačkih društava, ali još je u ranoj fazi kad je riječ o slobodi kretanja radnika. Tijekom razdoblja izvješćivanja Sjeverna Makedonija ostvarila je dobar napredak u području slobodnog kretanja kapitala i određeni napredak u području prava trgovačkih društava i financijskih usluga. U politici tržišnog natjecanja nije ostvaren napredak. Općenito, u sljedećoj godini potreban je veći napredak u područjima obuhvaćenima tom skupinom poglavlja jer to je važno za pripreme Sjeverne Makedonije za ispunjavanje zahtjeva unutarnjeg tržišta EU-a. Rad na toj skupini poglavlja iznimno je važan za razvoj zajedničkog regionalnog tržišta. </w:t>
      </w:r>
    </w:p>
    <w:p w14:paraId="44C432E5"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Općenito, Sjeverna Makedonija umjereno je pripremljena u većini područja obuhvaćenih </w:t>
      </w:r>
      <w:r>
        <w:rPr>
          <w:rFonts w:ascii="Times New Roman" w:hAnsi="Times New Roman"/>
          <w:b/>
          <w:noProof/>
          <w:sz w:val="24"/>
        </w:rPr>
        <w:t>3. skupinom poglavlja o konkurentnosti i uključivom rastu</w:t>
      </w:r>
      <w:r>
        <w:rPr>
          <w:rFonts w:ascii="Times New Roman" w:hAnsi="Times New Roman"/>
          <w:noProof/>
          <w:sz w:val="24"/>
        </w:rPr>
        <w:t xml:space="preserve">, među ostalim u područjima digitalne transformacije i medija, oporezivanja, poduzetništva i industrijske politike, obrazovanja i kulture te gospodarske i monetarne politike. U području znanosti i istraživanja te carinske unije postigla je dobru razinu pripremljenosti. U većini područja te skupine poglavlja ostvaren je određeni napredak. Nakon donošenja organskog zakona o proračunu u rujnu 2022. ostvaren je dobar napredak u području gospodarske i monetarne politike. Međutim, potrebna su dodatna nastojanja, posebno u područjima u kojima je ostvaren ograničen napredak, kao što su digitalna transformacija te obrazovanje i kultura. </w:t>
      </w:r>
    </w:p>
    <w:p w14:paraId="35E15C86"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Sjeverna Makedonija ima dobru razinu pripremljenosti u pogledu transeuropskih mreža </w:t>
      </w:r>
      <w:r>
        <w:rPr>
          <w:rFonts w:ascii="Times New Roman" w:hAnsi="Times New Roman"/>
          <w:noProof/>
          <w:color w:val="000000"/>
          <w:sz w:val="24"/>
        </w:rPr>
        <w:t xml:space="preserve">u okviru </w:t>
      </w:r>
      <w:r>
        <w:rPr>
          <w:rFonts w:ascii="Times New Roman" w:hAnsi="Times New Roman"/>
          <w:b/>
          <w:noProof/>
          <w:color w:val="000000"/>
          <w:sz w:val="24"/>
        </w:rPr>
        <w:t>4. skupine poglavlja o zelenom programu i održivoj povezivosti</w:t>
      </w:r>
      <w:r>
        <w:rPr>
          <w:rFonts w:ascii="Times New Roman" w:hAnsi="Times New Roman"/>
          <w:noProof/>
          <w:sz w:val="24"/>
        </w:rPr>
        <w:t>. Zemlja je umjereno pripremljena u područjima prometne politike i energetike i donekle pripremljena u području okoliša i klimatskih promjena. Određeni napredak ostvaren je u području okoliša i klimatskih promjena. Potrebno je uložiti mnogo truda u područjima u kojima je ostvaren ograničen napredak, kao što su energetika, prometna politika i transeuropske mreže. Zemlja treba ubrzati provedbu Gospodarskog i investicijskog plana te zelenog plana za zapadni Balkan tijekom nadolazećeg razdoblja.</w:t>
      </w:r>
      <w:bookmarkStart w:id="7" w:name="_Toc9430360"/>
      <w:bookmarkStart w:id="8" w:name="_Toc51252783"/>
    </w:p>
    <w:p w14:paraId="21A758A6"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Sjeverna Makedonija umjereno je pripremljena u većini područja </w:t>
      </w:r>
      <w:r>
        <w:rPr>
          <w:rFonts w:ascii="Times New Roman" w:hAnsi="Times New Roman"/>
          <w:b/>
          <w:noProof/>
          <w:sz w:val="24"/>
        </w:rPr>
        <w:t>5. skupine poglavlja o resursima, poljoprivredi i koheziji</w:t>
      </w:r>
      <w:r>
        <w:rPr>
          <w:rFonts w:ascii="Times New Roman" w:hAnsi="Times New Roman"/>
          <w:noProof/>
          <w:sz w:val="24"/>
        </w:rPr>
        <w:t xml:space="preserve">. </w:t>
      </w:r>
      <w:bookmarkEnd w:id="7"/>
      <w:bookmarkEnd w:id="8"/>
      <w:r>
        <w:rPr>
          <w:rFonts w:ascii="Times New Roman" w:hAnsi="Times New Roman"/>
          <w:noProof/>
          <w:sz w:val="24"/>
        </w:rPr>
        <w:t>Postigla je dobru razinu pripremljenosti u području sigurnosti hrane, veterinarske i fitosanitarne politike, a u ranoj je fazi pripreme u području financijskih i proračunskih odredbi. Tijekom razdoblja izvješćivanja ostvaren je određeni napredak u području poljoprivrede i ruralnog razvoja, sigurnosti hrane te veterinarske i fitosanitarne politike. No potreban je dodatan trud, posebno u područjima u kojima nije ostvaren napredak ili u kojima je ostvaren tek ograničen napredak, kao što su ribarstvo, financijske i proračunske odredbe te regionalna politika i koordinacija strukturnih instrumenata.</w:t>
      </w:r>
    </w:p>
    <w:p w14:paraId="2C009539"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Kad je riječ o </w:t>
      </w:r>
      <w:r>
        <w:rPr>
          <w:rFonts w:ascii="Times New Roman" w:hAnsi="Times New Roman"/>
          <w:b/>
          <w:noProof/>
          <w:sz w:val="24"/>
        </w:rPr>
        <w:t>6. skupini poglavlja o vanjskim odnosima</w:t>
      </w:r>
      <w:r>
        <w:rPr>
          <w:rFonts w:ascii="Times New Roman" w:hAnsi="Times New Roman"/>
          <w:noProof/>
          <w:sz w:val="24"/>
        </w:rPr>
        <w:t xml:space="preserve">, Sjeverna Makedonija umjereno je pripremljena u području vanjskih odnosa i postigla je dobru razinu pripremljenosti u pogledu zajedničke vanjske i sigurnosne politike. Tijekom razdoblja izvješćivanja zemlja je ostvarila ograničen napredak u zajedničkoj trgovinskoj politici. Sjeverna Makedonija ostvarila je vrlo dobar napredak kad se u potpunosti uskladila sa zajedničkom vanjskom i sigurnosnom politikom EU-a nakon ruske agresije na Ukrajinu. Time je pokazala da može biti pouzdan partner. </w:t>
      </w:r>
    </w:p>
    <w:p w14:paraId="2D697909" w14:textId="4A835C2B"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Sjeverna Makedonija i dalje je na jednoj od glavnih tranzitnih ruta za migracijska kretanja. Nastavlja aktivno i konstruktivno sudjelovati u upravljanju </w:t>
      </w:r>
      <w:r>
        <w:rPr>
          <w:rFonts w:ascii="Times New Roman" w:hAnsi="Times New Roman"/>
          <w:b/>
          <w:noProof/>
          <w:sz w:val="24"/>
        </w:rPr>
        <w:t>tokovima mješovitih migracija</w:t>
      </w:r>
      <w:r>
        <w:rPr>
          <w:rFonts w:ascii="Times New Roman" w:hAnsi="Times New Roman"/>
          <w:noProof/>
          <w:sz w:val="24"/>
        </w:rPr>
        <w:t xml:space="preserve">. Djelotvorno surađuje sa susjednim zemljama i državama članicama EU-a, među ostalim s gostujućim službenicima iz država članica EU-a na terenu. Nastavila je raditi na osiguravanju osnovnih uvjeta za život i usluga za sve migrante koji u njoj borave. Registracija migranata i odgovarajuće profiliranje koje uzima u obzir zaštitu i dalje su prioritet i potrebno ih je provoditi sustavnije. </w:t>
      </w:r>
      <w:bookmarkStart w:id="9" w:name="_Hlk115421486"/>
      <w:r>
        <w:rPr>
          <w:rFonts w:ascii="Times New Roman" w:hAnsi="Times New Roman"/>
          <w:noProof/>
          <w:sz w:val="24"/>
        </w:rPr>
        <w:t>U kolovozu 2022. Komisija je ispregovarala sporazum o statusu sa Sjevernom Makedonijom, kojim bi se Agenciji za europsku graničnu i obalnu stražu (Frontext) omogućilo da rasporedi stalne snage europske granične i obalne straže u zemlji. Potpisivanje sporazuma očekuje se do kraja godine. Zemlja bi trebala sustavnije pristupiti borbi protiv krijumčarenja migranata.</w:t>
      </w:r>
      <w:bookmarkEnd w:id="9"/>
    </w:p>
    <w:p w14:paraId="42551321" w14:textId="77777777" w:rsidR="00221F1C" w:rsidRDefault="00221F1C" w:rsidP="00221F1C">
      <w:pPr>
        <w:spacing w:after="120" w:line="240" w:lineRule="auto"/>
        <w:jc w:val="both"/>
        <w:rPr>
          <w:rFonts w:ascii="Times New Roman" w:eastAsia="Calibri" w:hAnsi="Times New Roman" w:cs="Times New Roman"/>
          <w:b/>
          <w:noProof/>
          <w:sz w:val="24"/>
          <w:szCs w:val="24"/>
        </w:rPr>
      </w:pPr>
    </w:p>
    <w:p w14:paraId="54CBB00E" w14:textId="77777777" w:rsidR="00221F1C" w:rsidRDefault="00221F1C" w:rsidP="00221F1C">
      <w:pPr>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Albanija</w:t>
      </w:r>
    </w:p>
    <w:p w14:paraId="252DE579" w14:textId="77777777" w:rsidR="00221F1C" w:rsidRDefault="00221F1C" w:rsidP="00221F1C">
      <w:pPr>
        <w:spacing w:before="120" w:after="120" w:line="240" w:lineRule="auto"/>
        <w:jc w:val="both"/>
        <w:rPr>
          <w:rFonts w:ascii="Times New Roman" w:eastAsia="Calibri" w:hAnsi="Times New Roman" w:cs="Times New Roman"/>
          <w:noProof/>
          <w:color w:val="000000"/>
          <w:sz w:val="24"/>
          <w:szCs w:val="24"/>
        </w:rPr>
      </w:pPr>
      <w:r>
        <w:rPr>
          <w:rFonts w:ascii="Times New Roman" w:hAnsi="Times New Roman"/>
          <w:noProof/>
          <w:color w:val="000000"/>
          <w:sz w:val="24"/>
        </w:rPr>
        <w:t xml:space="preserve">Kad je riječ o političkim kriterijima, </w:t>
      </w:r>
      <w:bookmarkStart w:id="10" w:name="_Hlk108450730"/>
      <w:r>
        <w:rPr>
          <w:rFonts w:ascii="Times New Roman" w:hAnsi="Times New Roman"/>
          <w:noProof/>
          <w:color w:val="000000"/>
          <w:sz w:val="24"/>
        </w:rPr>
        <w:t xml:space="preserve">u novom parlamentarnom sazivu proizašlom iz izbora 2021., održanih nakon međustranačkog sporazuma od 5. lipnja 2020., mjesta u parlamentu zauzeli su izabrani članovi najvećih oporbenih stranaka. </w:t>
      </w:r>
      <w:bookmarkEnd w:id="10"/>
      <w:r>
        <w:rPr>
          <w:rFonts w:ascii="Times New Roman" w:hAnsi="Times New Roman"/>
          <w:noProof/>
          <w:color w:val="000000"/>
          <w:sz w:val="24"/>
        </w:rPr>
        <w:t xml:space="preserve">Parlament je izabrao novog predsjednika Republike. Unutarnji sukob s najvećom oporbenom strankom (DP) utjecao je na rad parlamenta. Kad je riječ o reformama na putu prema EU-u, parlament je donio vremenski ograničeno ustavno produljenje mandata tijela za provjeru i devet zakona čiji je cilj usklađivanje s pravnom stečevinom EU-a. Vlada je ostala usmjerena na reforme povezane s putom zemlje prema EU-u i ojačala je koordinacijsku strukturu za integraciju u EU, no treba ubrzati provedbu programa reformi EU-a zajedno s oporbom i svim segmentima društva. Osnivanje nekoliko vladinih agencija povezanih s Uredom predsjednika vlade, bez sveobuhvatnog upravljačkog okvira i sustavne pozornosti posvećene nadzoru i linijama odgovornosti, otvara pitanja u vezi sa standardima javne uprave. </w:t>
      </w:r>
      <w:r>
        <w:rPr>
          <w:rFonts w:ascii="Times New Roman" w:hAnsi="Times New Roman"/>
          <w:noProof/>
          <w:sz w:val="24"/>
        </w:rPr>
        <w:t>Prethodno savjetovanje na lokalnoj razini bit će ključno za donošenje nove strategije o decentralizaciji nakon 2022. .</w:t>
      </w:r>
      <w:r>
        <w:rPr>
          <w:noProof/>
        </w:rPr>
        <w:t xml:space="preserve"> </w:t>
      </w:r>
      <w:r>
        <w:rPr>
          <w:rFonts w:ascii="Times New Roman" w:hAnsi="Times New Roman"/>
          <w:noProof/>
          <w:color w:val="000000"/>
          <w:sz w:val="24"/>
        </w:rPr>
        <w:t>Unatoč poboljšanjima financiranja ostvaren je ograničen napredak u provedbi plana za stvaranje poticajnog okruženja za civilno društvo.</w:t>
      </w:r>
    </w:p>
    <w:p w14:paraId="6CC92B5F" w14:textId="77777777"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Albanija je umjereno pripremljena u području </w:t>
      </w:r>
      <w:r>
        <w:rPr>
          <w:rFonts w:ascii="Times New Roman" w:hAnsi="Times New Roman"/>
          <w:b/>
          <w:noProof/>
          <w:sz w:val="24"/>
        </w:rPr>
        <w:t>reforme javne uprave</w:t>
      </w:r>
      <w:r>
        <w:rPr>
          <w:rFonts w:ascii="Times New Roman" w:hAnsi="Times New Roman"/>
          <w:noProof/>
          <w:sz w:val="24"/>
        </w:rPr>
        <w:t xml:space="preserve">. Ostvarila je ograničen napredak u jačanju kapaciteta ministarstava za provedbu procjena regulatornog učinka i održavanje javnih savjetovanja. Započela je pripreme za reformu plaća i proširila je sustav automatiziranog obračuna plaća. Nastavljena je provedba strategije reforme javne uprave za razdoblje 2015.–2022. i strategije reforme upravljanja javnim financijama za razdoblje 2014.–2022. Informatički sustavi za integrirano planiranje još nisu potpuno funkcionalni. Međutim, tijela podređena ministarstvima (agencije) nastavila su se osnivati bez sveobuhvatnog upravljačkog okvira, sustavne pozornosti posvećene nadzoru ili jasnih linija izvješćivanja. Osim toga, pogoršala su problem povjeravanja zadataka osoblju zaposlenom na temelju Zakona o radu umjesto državnim službenicima. I dalje se u potpunosti provode odredbe o zapošljavanju na temelju zasluga iz zakona o državnoj službi, posebno na rukovodećim položajima. Nastavio je rasti broj pruženih internetskih usluga, no to otvara pitanja pravednog pristupa za građane s ograničenim digitalnim vještinama. </w:t>
      </w:r>
    </w:p>
    <w:p w14:paraId="7C91C23C" w14:textId="77777777"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Umjerena razina pripremljenosti ostvarena je u području </w:t>
      </w:r>
      <w:r>
        <w:rPr>
          <w:rFonts w:ascii="Times New Roman" w:hAnsi="Times New Roman"/>
          <w:b/>
          <w:noProof/>
          <w:sz w:val="24"/>
        </w:rPr>
        <w:t>pravosuđa</w:t>
      </w:r>
      <w:r>
        <w:rPr>
          <w:rFonts w:ascii="Times New Roman" w:hAnsi="Times New Roman"/>
          <w:noProof/>
          <w:sz w:val="24"/>
        </w:rPr>
        <w:t xml:space="preserve">. Nastavljena je sveobuhvatna reforma pravosuđa i postignut je općenito dobar napredak. Dva nova suca Ustavnog suda imenovana su u ožujku i rujnu 2022., čime je dodatno poboljšana sposobnost suda za izvršavanje svog mandata. Napredak je ostvaren i na Visokom sudu, koji sada ima 15 sudaca, zbog čega je prvi put u šest godina došlo do smanjenja broja neriješenih predmeta, započelo ujednačavanje sudske prakse i imenovanje sudaca Ustavnog suda. Očekuju se daljnja imenovanja na Visoki sud. Međutim, dugi sudski procesi, niska stopa rješavanja predmeta i velik broj neriješenih predmeta i dalje negativno utječu na učinkovitost pravosudnog sustava. Za rješavanje tih problema donesen je novi plan za pravosuđe nakon savjetovanja. Potreban je dodatan rad za njegovu provedbu, kao i poboljšanje sustava upravljanja predmetima i sustava osposobljavanja sudaca. </w:t>
      </w:r>
    </w:p>
    <w:p w14:paraId="7ED57932" w14:textId="77777777"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Nastavljeno je privremeno ponovno ocjenjivanje svih sudaca i tužitelja (</w:t>
      </w:r>
      <w:r>
        <w:rPr>
          <w:rFonts w:ascii="Times New Roman" w:hAnsi="Times New Roman"/>
          <w:b/>
          <w:noProof/>
          <w:sz w:val="24"/>
        </w:rPr>
        <w:t>postupak provjere</w:t>
      </w:r>
      <w:r>
        <w:rPr>
          <w:rFonts w:ascii="Times New Roman" w:hAnsi="Times New Roman"/>
          <w:noProof/>
          <w:sz w:val="24"/>
        </w:rPr>
        <w:t>). Međunarodna promatračka operacija pod okriljem Europske komisije i dalje neovisno nadzire taj postupak. Do 12. rujna institucije za provjeru dovršile su 554 prvostupanjska predmeta. Oko 64 % dosad obrađene dokumentacije u vezi s provjerom dovelo je do razrješenja, ostavki ili prestanka mandata provjerenih sudaca. Institucije za provjeru moraju nastaviti upućivati tužiteljstvu sve predmete u kojima postoje naznake kaznenih djela.</w:t>
      </w:r>
    </w:p>
    <w:p w14:paraId="5E9767AD" w14:textId="77777777"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b/>
          <w:noProof/>
          <w:sz w:val="24"/>
        </w:rPr>
        <w:t>Specijalizirana struktura za borbu protiv korupcije i organiziranog kriminala</w:t>
      </w:r>
      <w:r>
        <w:rPr>
          <w:rFonts w:ascii="Times New Roman" w:hAnsi="Times New Roman"/>
          <w:noProof/>
          <w:sz w:val="24"/>
        </w:rPr>
        <w:t xml:space="preserve"> (</w:t>
      </w:r>
      <w:r>
        <w:rPr>
          <w:rFonts w:ascii="Times New Roman" w:hAnsi="Times New Roman"/>
          <w:b/>
          <w:noProof/>
          <w:sz w:val="24"/>
        </w:rPr>
        <w:t>SPAK</w:t>
      </w:r>
      <w:r>
        <w:rPr>
          <w:rFonts w:ascii="Times New Roman" w:hAnsi="Times New Roman"/>
          <w:noProof/>
          <w:sz w:val="24"/>
        </w:rPr>
        <w:t xml:space="preserve">), koju čine Ured posebnog tužiteljstva (SPO) i Nacionalni istražni ured (NBI), nastavlja svoj rad. Nakon povećanja proračuna 2021. SPO ima 17 tužitelja i u tijeku je zapošljavanje osam financijskih istražitelja, a NBI dosegnuo je puni operativni kapacitet od 60 istražitelja nakon drugog kruga zapošljavanja. </w:t>
      </w:r>
    </w:p>
    <w:p w14:paraId="71714311" w14:textId="2C73A7F4"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Albanija je postigla određenu razinu pripremljenosti u području </w:t>
      </w:r>
      <w:r>
        <w:rPr>
          <w:rFonts w:ascii="Times New Roman" w:hAnsi="Times New Roman"/>
          <w:b/>
          <w:noProof/>
          <w:sz w:val="24"/>
        </w:rPr>
        <w:t>borbe protiv korupcije</w:t>
      </w:r>
      <w:r>
        <w:rPr>
          <w:rFonts w:ascii="Times New Roman" w:hAnsi="Times New Roman"/>
          <w:noProof/>
          <w:sz w:val="24"/>
        </w:rPr>
        <w:t>. I dalje je nastojala pružati dobre rezultate u istragama, kaznenim progonima i osuđujućim presudama u borbi protiv korupcije te je u tome u određenoj mjeri uspjela. Ta se nastojanja trebaju nastaviti. No i dalje su potrebna veća politička volja, dodatni strukturirani napori te odgovarajući resursi i vještine. Sud SPAK-a donio je nekoliko važnih konačnih presuda za visokorangirane državne dužnosnike, uključujući bivšeg ministra unutrašnjih poslova i bivšeg glavnog državnog odvjetnika. Iako je provjera članova pravosuđa administrativni postupak, ona nastavlja davati rezultate u borbi protiv korupcije u pravosuđu. U Ministarstvu pravosuđa osnovana je nova Opća uprava za borbu protiv korupcije. Unatoč određenom napretku korupcija je i dalje problem koji izaziva ozbiljnu zabrinutost. Povećanje broja konačnih presuda za visoke dužnosnike još uvijek je važan prioritet u suzbijanju kulture nekažnjavanja. Sektori koji su najosjetljiviji na korupciju zahtijevaju ciljane procjene rizika i posebne mjere.</w:t>
      </w:r>
    </w:p>
    <w:p w14:paraId="2126E09C" w14:textId="03078A73"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Albanija je postigla određenu razinu pripremljenosti u području </w:t>
      </w:r>
      <w:r>
        <w:rPr>
          <w:rFonts w:ascii="Times New Roman" w:hAnsi="Times New Roman"/>
          <w:b/>
          <w:noProof/>
          <w:sz w:val="24"/>
        </w:rPr>
        <w:t>borbe protiv organiziranog kriminala</w:t>
      </w:r>
      <w:r>
        <w:rPr>
          <w:rFonts w:ascii="Times New Roman" w:hAnsi="Times New Roman"/>
          <w:noProof/>
          <w:sz w:val="24"/>
        </w:rPr>
        <w:t>. Ostvaren je određeni napredak u provedbi prošlogodišnjih preporuka. Snažna i plodonosna suradnja s državama članicama EU-a, Europolom i Eurojustom dovela je do vidljivih rezultata. Albanija je nastavila pokazivati predanost suzbijanju proizvodnje kanabisa i trgovine njime. Dobar napredak ostvaren je u</w:t>
      </w:r>
      <w:r>
        <w:rPr>
          <w:rFonts w:ascii="Times New Roman" w:hAnsi="Times New Roman"/>
          <w:b/>
          <w:noProof/>
          <w:sz w:val="24"/>
        </w:rPr>
        <w:t xml:space="preserve"> </w:t>
      </w:r>
      <w:r>
        <w:rPr>
          <w:rFonts w:ascii="Times New Roman" w:hAnsi="Times New Roman"/>
          <w:noProof/>
          <w:sz w:val="24"/>
        </w:rPr>
        <w:t>oduzimanju i zapljeni imovine stečene organiziranim kriminalom. Ta se nastojanja moraju nastaviti u budućnosti.</w:t>
      </w:r>
      <w:r>
        <w:rPr>
          <w:rFonts w:ascii="Times New Roman" w:hAnsi="Times New Roman"/>
          <w:b/>
          <w:noProof/>
          <w:sz w:val="24"/>
        </w:rPr>
        <w:t xml:space="preserve"> </w:t>
      </w:r>
      <w:r>
        <w:rPr>
          <w:rFonts w:ascii="Times New Roman" w:hAnsi="Times New Roman"/>
          <w:noProof/>
          <w:sz w:val="24"/>
        </w:rPr>
        <w:t xml:space="preserve">Potrebno je i dalje nastojati povećati broj kaznenih progona i konačnih presuda, posebno na visokoj razini. Sprečavanje kiberkriminala, trgovine ljudima i pranja novca područja su u kojima je potrebno više rezultata. Seksualno zlostavljanje djece na internetu i dalje izaziva zabrinutost. Zemlja je konstantno napredovala u provedbi akcijskog plana Stručne skupine za financijsko djelovanje kako bi poboljšala djelotvornost u području borbe protiv pranja novca, ali ostala je na popisu jurisdikcija pod povećanim nadzorom. Financijske istrage trebaju sustavno pratiti kaznene postupke. Albanija je donijela novu nacionalnu međusektorsku </w:t>
      </w:r>
      <w:r>
        <w:rPr>
          <w:rFonts w:ascii="Times New Roman" w:hAnsi="Times New Roman"/>
          <w:b/>
          <w:noProof/>
          <w:sz w:val="24"/>
        </w:rPr>
        <w:t>protuterorističku strategiju</w:t>
      </w:r>
      <w:r>
        <w:rPr>
          <w:rFonts w:ascii="Times New Roman" w:hAnsi="Times New Roman"/>
          <w:noProof/>
          <w:sz w:val="24"/>
        </w:rPr>
        <w:t xml:space="preserve"> i akcijski plan u prosincu 2020.</w:t>
      </w:r>
    </w:p>
    <w:p w14:paraId="6B8376D8" w14:textId="6BFEF64F"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Kad je riječ o </w:t>
      </w:r>
      <w:r>
        <w:rPr>
          <w:rFonts w:ascii="Times New Roman" w:hAnsi="Times New Roman"/>
          <w:b/>
          <w:noProof/>
          <w:sz w:val="24"/>
        </w:rPr>
        <w:t>temeljnim pravima</w:t>
      </w:r>
      <w:r>
        <w:rPr>
          <w:rFonts w:ascii="Times New Roman" w:hAnsi="Times New Roman"/>
          <w:noProof/>
          <w:sz w:val="24"/>
        </w:rPr>
        <w:t xml:space="preserve">, Albanija poštuje međunarodne instrumente za ljudska prava i ratificirala je većinu međunarodnih konvencija o zaštiti temeljnih prava. Određeni napredak ostvaren je u korištenju alternativnih načina za pritvaranja, a posebno u razvoju probacijskog sustava koji se u potpunosti primjenjuje, među ostalim za maloljetne prijestupnike. Albanija je donijela novi akcijski plan za lezbijke, homoseksualne, biseksualne, transrodne, interseksualne i </w:t>
      </w:r>
      <w:r>
        <w:rPr>
          <w:rFonts w:ascii="Times New Roman" w:hAnsi="Times New Roman"/>
          <w:i/>
          <w:noProof/>
          <w:sz w:val="24"/>
        </w:rPr>
        <w:t>queer</w:t>
      </w:r>
      <w:r>
        <w:rPr>
          <w:rFonts w:ascii="Times New Roman" w:hAnsi="Times New Roman"/>
          <w:noProof/>
          <w:sz w:val="24"/>
        </w:rPr>
        <w:t xml:space="preserve"> osobe (LGBTIQ), koji uključuje mjere za borbu protiv diskriminacije, poboljšanje pristupa uslugama i odobrenje zakona o pravnom priznavanju roda te nacionalnog akcijskog plana za jednakost, uključivanje i sudjelovanje Roma i Egipćana. Potrebno je uložiti više truda u konsolidaciju prava vlasništva putem registracije i digitalizacije katastarskih podataka. Taj je sektor i dalje je podložan korupciji, a postupak naknade štete je zaustavljen. Kako bi zaštitila manjine Albanija je donijela novi provedbeni zakonodavni akt kojim se osniva fond za projekte civilnog društva kao potpora pravima manjina. Međutim, i dalje je u tijeku donošenje preostalog provedbenog zakonodavstva, među ostalim o slobodi izjašnjavanja kao člana manjine i upotrebi manjinskih jezika. Nastavile su se pripreme za dugoočekivani popis stanovništva i kućanstava, što uključuje probne popise u područjima s manjinskim stanovništvom, no popis je odgođen za 2023. Treba poduzeti dodatne mjere za jačanje zaštite podataka i usklađivanje nacionalnog zakonodavstva s Općom uredbom o zaštiti podataka EU-a (OUZP). </w:t>
      </w:r>
    </w:p>
    <w:p w14:paraId="2D7322D3" w14:textId="2F512715"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Albanija je donekle, odnosno umjereno pripremljena u području </w:t>
      </w:r>
      <w:r>
        <w:rPr>
          <w:rFonts w:ascii="Times New Roman" w:hAnsi="Times New Roman"/>
          <w:b/>
          <w:noProof/>
          <w:sz w:val="24"/>
        </w:rPr>
        <w:t>slobode izražavanja</w:t>
      </w:r>
      <w:r>
        <w:rPr>
          <w:rFonts w:ascii="Times New Roman" w:hAnsi="Times New Roman"/>
          <w:noProof/>
          <w:sz w:val="24"/>
        </w:rPr>
        <w:t xml:space="preserve">. U razdoblju izvješćivanja nije ostvaren napredak. Preklapanje poslovnih i političkih interesa nastavilo je ometati neovisnost medija i kvalitetu novinarstva. Dezinformacije, uključujući kampanje ocrnjivanja, ponavljaju se, posebno u internetskim medijima, u kojima mora biti osigurana samoregulacija. </w:t>
      </w:r>
      <w:r>
        <w:rPr>
          <w:rFonts w:ascii="Times New Roman" w:hAnsi="Times New Roman"/>
          <w:noProof/>
          <w:color w:val="000000"/>
          <w:sz w:val="24"/>
        </w:rPr>
        <w:t>Atmosfera verbalnih napada, kampanja ocrnjivanja i zastrašivanja novinara nije se poboljšala.</w:t>
      </w:r>
      <w:r>
        <w:rPr>
          <w:rFonts w:ascii="Times New Roman" w:hAnsi="Times New Roman"/>
          <w:noProof/>
          <w:sz w:val="24"/>
        </w:rPr>
        <w:t xml:space="preserve"> Sve izmjene Zakona o medijima trebaju biti usklađene s mišljenjem Venecijanske komisije i podnesene na savjetovanje s medijskim organizacijama. Važno je osigurati izravan i transparentan pristup medija vladinim institucijama i njihovim aktivnostima. Trebalo bi poboljšati regulatornu učinkovitost Audiovizualnog regulatornog tijela (AMA) te ojačati neovisnost i resurse javne radiotelevizije. </w:t>
      </w:r>
    </w:p>
    <w:p w14:paraId="350BB0ED" w14:textId="57552A64"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Albanija je donijela novu i financijski bolje osiguranu nacionalnu strategiju za </w:t>
      </w:r>
      <w:r>
        <w:rPr>
          <w:rFonts w:ascii="Times New Roman" w:hAnsi="Times New Roman"/>
          <w:b/>
          <w:noProof/>
          <w:sz w:val="24"/>
        </w:rPr>
        <w:t xml:space="preserve">rodnu ravnopravnost </w:t>
      </w:r>
      <w:r>
        <w:rPr>
          <w:rFonts w:ascii="Times New Roman" w:hAnsi="Times New Roman"/>
          <w:noProof/>
          <w:sz w:val="24"/>
        </w:rPr>
        <w:t>te i dalje nastoji osiguravati odgovarajuća državna sredstva za njezinu provedbu na središnjoj i lokalnoj razini. Potrebno je zalagati se da sve nacionalne strategije na središnjoj i lokalnoj razini budu rodno osviještene te da se proračun troši na rodno osviješten način. Albanija se treba suzdržati od izrade programa državljanstva za ulagače (zlatne putovnice) jer bi to predstavljalo rizike u odnosu na sigurnost, pranje novca, utaju poreza, financiranje terorizma, korupciju i infiltraciju organiziranog kriminala te ne bi bilo u skladu s pravnom stečevinom EU-a.</w:t>
      </w:r>
    </w:p>
    <w:p w14:paraId="1C8F3763" w14:textId="77777777" w:rsidR="00221F1C" w:rsidRDefault="00221F1C" w:rsidP="00221F1C">
      <w:pPr>
        <w:spacing w:before="120" w:after="120" w:line="240" w:lineRule="auto"/>
        <w:jc w:val="both"/>
        <w:rPr>
          <w:rFonts w:ascii="Times New Roman" w:eastAsia="Times New Roman" w:hAnsi="Times New Roman" w:cs="Times New Roman"/>
          <w:noProof/>
          <w:sz w:val="24"/>
          <w:szCs w:val="24"/>
          <w:highlight w:val="yellow"/>
        </w:rPr>
      </w:pPr>
      <w:r>
        <w:rPr>
          <w:rFonts w:ascii="Times New Roman" w:hAnsi="Times New Roman"/>
          <w:noProof/>
          <w:sz w:val="24"/>
        </w:rPr>
        <w:t xml:space="preserve">Pravni okvir za </w:t>
      </w:r>
      <w:r>
        <w:rPr>
          <w:rFonts w:ascii="Times New Roman" w:hAnsi="Times New Roman"/>
          <w:b/>
          <w:noProof/>
          <w:sz w:val="24"/>
        </w:rPr>
        <w:t>migracije</w:t>
      </w:r>
      <w:r>
        <w:rPr>
          <w:rFonts w:ascii="Times New Roman" w:hAnsi="Times New Roman"/>
          <w:noProof/>
          <w:sz w:val="24"/>
        </w:rPr>
        <w:t xml:space="preserve"> uvelike je usklađen s pravnom stečevinom EU-a, ali potrebno ga je ažurirati i on mora osigurati jasan okvir za upravljanje migracijama i njihovu koordinaciju. Broj nezakonitih migranata uhićenih u Albaniji 2021. smanjio se za 15 % u usporedbi s 2020. Napredak nije ostvaren u upućivanjima na postupak azila i provedbi postupaka vraćanja u skladu s pravnim okvirom. Viznu politiku Albanije treba uskladiti s viznom politikom EU-a.</w:t>
      </w:r>
    </w:p>
    <w:p w14:paraId="3D4C88C9" w14:textId="79482F64" w:rsidR="00221F1C" w:rsidRDefault="00221F1C" w:rsidP="00221F1C">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Broj </w:t>
      </w:r>
      <w:r>
        <w:rPr>
          <w:rFonts w:ascii="Times New Roman" w:hAnsi="Times New Roman"/>
          <w:b/>
          <w:noProof/>
          <w:sz w:val="24"/>
        </w:rPr>
        <w:t>albanskih državljana koji podnose zahtjeve za vizu</w:t>
      </w:r>
      <w:r>
        <w:rPr>
          <w:rFonts w:ascii="Times New Roman" w:hAnsi="Times New Roman"/>
          <w:noProof/>
          <w:sz w:val="24"/>
        </w:rPr>
        <w:t xml:space="preserve"> u državama članicama EU-a niži je nego 2015. kad je bio na najvišoj razini, ali znatno se povećao u ljeto 2021., pa stoga i dalje zahtijeva trajno zalaganje i kontinuiran rad. Nastavljeni su dijalog i suradnja s najpogođenijim zemljama, kao i temeljite granične kontrole te informiranje o pravima i obvezama u okviru bezviznog režima. Albanija bi trebala nastaviti rješavati problem maloljetnika bez pratnje. Komisija pomno prati taj trend u okviru mehanizma praćenja nakon liberalizacije viznog režima.</w:t>
      </w:r>
    </w:p>
    <w:p w14:paraId="3C286D39" w14:textId="77777777" w:rsidR="00221F1C" w:rsidRDefault="00221F1C" w:rsidP="00221F1C">
      <w:pPr>
        <w:autoSpaceDE w:val="0"/>
        <w:autoSpaceDN w:val="0"/>
        <w:adjustRightInd w:val="0"/>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Kad je riječ o </w:t>
      </w:r>
      <w:r>
        <w:rPr>
          <w:rFonts w:ascii="Times New Roman" w:hAnsi="Times New Roman"/>
          <w:b/>
          <w:noProof/>
          <w:sz w:val="24"/>
        </w:rPr>
        <w:t>gospodarskim kriterijima,</w:t>
      </w:r>
      <w:r>
        <w:rPr>
          <w:rFonts w:ascii="Times New Roman" w:hAnsi="Times New Roman"/>
          <w:noProof/>
          <w:sz w:val="24"/>
        </w:rPr>
        <w:t xml:space="preserve"> Albanija je ostvarila dobar napredak i umjereno je pripremljena za stvaranje funkcionalnog tržišnog gospodarstva. Utjecaj pandemije bolesti COVID-19 na gospodarstvo, deficit proračuna i javni dug bio je slabiji od očekivanog, ali ruski rat potiv Ukrajine uzrokovao je rast cijena i manju trgovinsku aktivnost. Fiskalni je prostor i dalje ograničen. Napredovale su reforme povezane s prihodima, ali rashodi ulaganja ostaju slabi. Zbog čestih proračunskih rebalansa slabi fiskalna vjerodostojnost. Inflacija je porasla iznad cilja. Povećana digitalizacija javne službe, financijska uključenost i inspekcije rada pogodovale su poslovnom okruženju i formalizaciji gospodarstva, ali neformalno gospodarstvo i dalje je važno. Javna savjetovanja i dalje su nedovoljna. Albanija je postigla određeni napredak i donekle je pripremljena za suočavanje s pritiskom konkurencije i tržišnim silama unutar EU-a. Poboljšale su se energetska i prometna infrastruktura, digitalizacija i obrazovanje, ali poduzetničko i tehnološko znanje i vještine i dalje su slabi te nisu zadovoljene potrebe za ulaganjima u ljudski i fizički kapital, vještine i obrazovanje, a ulaganja u istraživanja i razvoj isto su tako niska. Slaba diversifikacija izvoza povećava osjetljivost na vanjske šokove. Došlo je do povećanja regionalne integracije i izvoza, koji međutim i dalje zaostaju za potencijalima. </w:t>
      </w:r>
    </w:p>
    <w:p w14:paraId="75F2F441" w14:textId="77777777" w:rsidR="00221F1C" w:rsidRDefault="00221F1C" w:rsidP="00221F1C">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Albanija je umjereno pripremljena u području </w:t>
      </w:r>
      <w:r>
        <w:rPr>
          <w:rFonts w:ascii="Times New Roman" w:hAnsi="Times New Roman"/>
          <w:b/>
          <w:noProof/>
          <w:sz w:val="24"/>
        </w:rPr>
        <w:t>javne nabave</w:t>
      </w:r>
      <w:r>
        <w:rPr>
          <w:rFonts w:ascii="Times New Roman" w:hAnsi="Times New Roman"/>
          <w:noProof/>
          <w:sz w:val="24"/>
        </w:rPr>
        <w:t xml:space="preserve">. Ostvarila je dobar napredak, posebno nakon donošenja provedbenog zakonodavstva i pokretanjem elektroničkog sustava za žalbe i pritužbe. U pogledu </w:t>
      </w:r>
      <w:r>
        <w:rPr>
          <w:rFonts w:ascii="Times New Roman" w:hAnsi="Times New Roman"/>
          <w:b/>
          <w:noProof/>
          <w:sz w:val="24"/>
        </w:rPr>
        <w:t>statistike</w:t>
      </w:r>
      <w:r>
        <w:rPr>
          <w:rFonts w:ascii="Times New Roman" w:hAnsi="Times New Roman"/>
          <w:noProof/>
          <w:sz w:val="24"/>
        </w:rPr>
        <w:t xml:space="preserve"> Albanija je isto tako umjereno pripremljena, ostvaren je ograničen napredak u usklađivanju sa standardima ESA 2010., bržem objavljivanju i slanju Eurostatu, ali Zakon o popisu stanovništva dodatno je odgođen. Albanija je umjereno pripremljena u većini područja</w:t>
      </w:r>
      <w:r>
        <w:rPr>
          <w:rFonts w:ascii="Times New Roman" w:hAnsi="Times New Roman"/>
          <w:b/>
          <w:noProof/>
          <w:sz w:val="24"/>
        </w:rPr>
        <w:t xml:space="preserve"> financijske kontrole</w:t>
      </w:r>
      <w:r>
        <w:rPr>
          <w:rFonts w:ascii="Times New Roman" w:hAnsi="Times New Roman"/>
          <w:noProof/>
          <w:sz w:val="24"/>
        </w:rPr>
        <w:t>, u kojima je zemlja ostvarila</w:t>
      </w:r>
      <w:r>
        <w:rPr>
          <w:rFonts w:ascii="Times New Roman" w:hAnsi="Times New Roman"/>
          <w:b/>
          <w:noProof/>
          <w:sz w:val="24"/>
        </w:rPr>
        <w:t xml:space="preserve"> </w:t>
      </w:r>
      <w:r>
        <w:rPr>
          <w:rFonts w:ascii="Times New Roman" w:hAnsi="Times New Roman"/>
          <w:noProof/>
          <w:sz w:val="24"/>
        </w:rPr>
        <w:t>određeni napredak, posebno kad je riječ o unutarnjoj financijskoj kontroli i unutarnjoj reviziji.</w:t>
      </w:r>
    </w:p>
    <w:p w14:paraId="04914592" w14:textId="77777777" w:rsidR="00221F1C" w:rsidRDefault="00221F1C" w:rsidP="00221F1C">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Albanija je umjereno pripremljena u većini područja </w:t>
      </w:r>
      <w:r>
        <w:rPr>
          <w:rFonts w:ascii="Times New Roman" w:hAnsi="Times New Roman"/>
          <w:b/>
          <w:noProof/>
          <w:sz w:val="24"/>
        </w:rPr>
        <w:t>unutarnjeg tržišta</w:t>
      </w:r>
      <w:r>
        <w:rPr>
          <w:rFonts w:ascii="Times New Roman" w:hAnsi="Times New Roman"/>
          <w:noProof/>
          <w:sz w:val="24"/>
        </w:rPr>
        <w:t>, naime u područjima slobodnog kretanja robe, usluga i kapitala, prava trgovačkih društava i politike tržišnog natjecanja. Isto vrijedi za poglavlja financijskih usluga i prava intelektualnog vlasništva, u kojima je zemlja dobro napredovala zahvaljujući smanjenju</w:t>
      </w:r>
      <w:r>
        <w:rPr>
          <w:rFonts w:ascii="Times New Roman" w:hAnsi="Times New Roman"/>
          <w:noProof/>
          <w:color w:val="000000" w:themeColor="text1"/>
          <w:sz w:val="24"/>
        </w:rPr>
        <w:t xml:space="preserve"> neprihodonosnih kredita i </w:t>
      </w:r>
      <w:r>
        <w:rPr>
          <w:rFonts w:ascii="Times New Roman" w:hAnsi="Times New Roman"/>
          <w:noProof/>
          <w:sz w:val="24"/>
        </w:rPr>
        <w:t xml:space="preserve">donošenju zakonodavstva o autorskom pravu i pravima industrijskog vlasništva. </w:t>
      </w:r>
      <w:r>
        <w:rPr>
          <w:rFonts w:ascii="Times New Roman" w:hAnsi="Times New Roman"/>
          <w:noProof/>
          <w:color w:val="000000" w:themeColor="text1"/>
          <w:sz w:val="24"/>
        </w:rPr>
        <w:t xml:space="preserve">Albanija je ostvarila određeni napredak donošenjem novog zakona o strancima, kao i provedbom nekih od preporuka iz izvješća Moneyvala. Ipak, u području politike tržišnog natjecanja tijelo za državne potpore mora postati neovisno i dovoljno opskrbljeno sredstvima. </w:t>
      </w:r>
      <w:r>
        <w:rPr>
          <w:rFonts w:ascii="Times New Roman" w:hAnsi="Times New Roman"/>
          <w:noProof/>
          <w:sz w:val="24"/>
        </w:rPr>
        <w:t>Zemlja je ostavrila ograničen napredak u pogledu priprema za zaštitu potrošača i zdravlja koje su u ranoj su fazi.</w:t>
      </w:r>
    </w:p>
    <w:p w14:paraId="5426B181" w14:textId="77777777" w:rsidR="00221F1C" w:rsidRDefault="00221F1C" w:rsidP="00221F1C">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Albanija je postigla umjerenu razinu pripremljenosti u mnogim područjima povezanima s </w:t>
      </w:r>
      <w:r>
        <w:rPr>
          <w:rFonts w:ascii="Times New Roman" w:hAnsi="Times New Roman"/>
          <w:b/>
          <w:noProof/>
          <w:sz w:val="24"/>
        </w:rPr>
        <w:t>konkurentnošću i uključivim rastom</w:t>
      </w:r>
      <w:r>
        <w:rPr>
          <w:rFonts w:ascii="Times New Roman" w:hAnsi="Times New Roman"/>
          <w:noProof/>
          <w:sz w:val="24"/>
        </w:rPr>
        <w:t xml:space="preserve">, konkretno u području digitalne transformacije i medija, oporezivanja, gospodarske i monetarne politike, poduzetništva i industrijske politike te obrazovanja i kulture. Isto vrijedi za područje carinske unije u kojem je primijenila paneuromediteranska pravila o podrijetlu, a tijela uključena u borbu protiv krijumčarenja i krivotvorene robe ojačana su i bolje surađuju. Donošenje porezne amnestije i amnestije za kaznena djela suprotno je preporuci EU-a i Moneyvala i moglo bi naštetiti napretku u tom području, kao i u borbi protiv pranja novca. Albanija je donekle pripremljena u područjima socijalne politike, zapošljavanja te znanosti i istraživanja. Ostvarila je određeni napredak u području obrazovanja, posebno nakon donošenja nove nacionalne strategije za obrazovanje i akcijskog plana za razdoblje 2021.–2026., no napredak je bio ograničen u području gospodarske i monetarne politike. </w:t>
      </w:r>
    </w:p>
    <w:p w14:paraId="6B7475EE" w14:textId="432190F9" w:rsidR="00221F1C" w:rsidRDefault="00221F1C" w:rsidP="00221F1C">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Kad je riječ o </w:t>
      </w:r>
      <w:r>
        <w:rPr>
          <w:rFonts w:ascii="Times New Roman" w:hAnsi="Times New Roman"/>
          <w:b/>
          <w:noProof/>
          <w:sz w:val="24"/>
        </w:rPr>
        <w:t>zelenom planu i održivoj povezivosti</w:t>
      </w:r>
      <w:r>
        <w:rPr>
          <w:rFonts w:ascii="Times New Roman" w:hAnsi="Times New Roman"/>
          <w:noProof/>
          <w:sz w:val="24"/>
        </w:rPr>
        <w:t xml:space="preserve">, Albanija je umjereno pripremljena u području energetike, zaštite okoliša i klimatskih promjena. Postigla je određenu razinu pripremljenosti u području prometne politike i transeuropskih mreža te određeni napredak u razvoju prometne i energetske mreže. Napredovala je u području civilne zaštite i spremna je pridružiti se Mehanizmu Unije za civilnu zaštitu. </w:t>
      </w:r>
      <w:r>
        <w:rPr>
          <w:rFonts w:ascii="Times New Roman" w:hAnsi="Times New Roman"/>
          <w:noProof/>
          <w:color w:val="000000" w:themeColor="text1"/>
          <w:sz w:val="24"/>
        </w:rPr>
        <w:t>Napredak u ostalim područjima iz te skupine poglavlja ograničen je i potrebno je nastaviti rješavati probleme s nadzorom država zastava plovila i uskladiti zakonodavstvo. Ograničen napredak ostvaren je u usklađivanju s pravnom stečevinom EU-a u gospodarenju vodama, kemikalijama i kaznenim djelima na štetu okoliša. Potrebno je posvetiti pozornost utjecaju strateških ulaganja na biološku raznolikost i zaštitu prirode.</w:t>
      </w:r>
      <w:r>
        <w:rPr>
          <w:rFonts w:ascii="Times New Roman" w:hAnsi="Times New Roman"/>
          <w:noProof/>
          <w:sz w:val="24"/>
        </w:rPr>
        <w:t xml:space="preserve"> Ta skupina poglavlja i relevantne reforme uvelike su povezane s albanskim programom gospodarskih reformi, Komisijinim gospodarskim i investicijskim planom te zelenim programom za zapadni Balkan koji je Albanija podržala u prosincu 2020. </w:t>
      </w:r>
    </w:p>
    <w:p w14:paraId="6DDD2405" w14:textId="77777777" w:rsidR="00221F1C" w:rsidRDefault="00221F1C" w:rsidP="00221F1C">
      <w:pPr>
        <w:autoSpaceDE w:val="0"/>
        <w:autoSpaceDN w:val="0"/>
        <w:adjustRightInd w:val="0"/>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Albanija je postigla određenu razinu pripremljenosti u većini područja povezanih s </w:t>
      </w:r>
      <w:r>
        <w:rPr>
          <w:rFonts w:ascii="Times New Roman" w:hAnsi="Times New Roman"/>
          <w:b/>
          <w:noProof/>
          <w:sz w:val="24"/>
        </w:rPr>
        <w:t>resursima, poljoprivredom i kohezijom</w:t>
      </w:r>
      <w:r>
        <w:rPr>
          <w:rFonts w:ascii="Times New Roman" w:hAnsi="Times New Roman"/>
          <w:noProof/>
          <w:sz w:val="24"/>
        </w:rPr>
        <w:t xml:space="preserve">, konkretno područjima poljoprivrede i ruralnog razvoja, sigurnosti hrane, veterinarske i fitosanitarne politike, ribarstva te financijskih i proračunskih odredbi. Umjereno je pripremljena kad je riječ o regionalnoj politici i koordinaciji strukturnih instrumenata. </w:t>
      </w:r>
      <w:r>
        <w:rPr>
          <w:rFonts w:ascii="Times New Roman" w:hAnsi="Times New Roman"/>
          <w:noProof/>
          <w:color w:val="000000" w:themeColor="text1"/>
          <w:sz w:val="24"/>
        </w:rPr>
        <w:t>Albanija je ostvarila određeni napredak u području poljoprivrede i ruralnog razvoja, prije svega uspostavljanjem registra poljoprivrednih gospodarstva i boljim administrativnim kapacitetima za ruralni razvoj. Dobar napredak ostvaren je u ribarstvu zahvaljujući kontinuiranom korištenju sustava za praćenje plovila te osiguravanjem ljudskih resursa za praćenje aktivnosti ribarskih plovila i izvješćivanje o njima. Kao ugovorna strana u Općoj komisiji za ribarstvo Sredozemlja (GFCM) Albanija u potpunosti provodi preporuke za ribolovni napor. Određeni napredak ostvaren je u području financijskih i proračunskih odredbi. Međutim, napredak u području sigurnosti hrane, veterinarske i fitosanitarne politike, regionalne politike i koordinacije strukturnih instrumenata ograničen je</w:t>
      </w:r>
      <w:r>
        <w:rPr>
          <w:rFonts w:ascii="Times New Roman" w:hAnsi="Times New Roman"/>
          <w:noProof/>
          <w:sz w:val="24"/>
        </w:rPr>
        <w:t>. U tom je smislu potrebno poboljšati k</w:t>
      </w:r>
      <w:r>
        <w:rPr>
          <w:rFonts w:ascii="Times New Roman" w:hAnsi="Times New Roman"/>
          <w:noProof/>
          <w:color w:val="000000" w:themeColor="text1"/>
          <w:sz w:val="24"/>
        </w:rPr>
        <w:t xml:space="preserve">oordinaciju među agencijama za pretpristupnu pomoć i </w:t>
      </w:r>
      <w:r>
        <w:rPr>
          <w:rFonts w:ascii="Times New Roman" w:hAnsi="Times New Roman"/>
          <w:noProof/>
          <w:sz w:val="24"/>
        </w:rPr>
        <w:t xml:space="preserve">riješiti pitanja u vezi s kapacitetima za strateško planiranje, provedbu i praćenje infrastrukturnih projekata u okviru Gospodarskog i investicijskog plana. </w:t>
      </w:r>
    </w:p>
    <w:p w14:paraId="57BBB7B2" w14:textId="77777777" w:rsidR="00221F1C" w:rsidRDefault="00221F1C" w:rsidP="00221F1C">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Albanija je dobro pripremljena u području </w:t>
      </w:r>
      <w:r>
        <w:rPr>
          <w:rFonts w:ascii="Times New Roman" w:hAnsi="Times New Roman"/>
          <w:b/>
          <w:noProof/>
          <w:sz w:val="24"/>
        </w:rPr>
        <w:t>vanjskih odnosa</w:t>
      </w:r>
      <w:r>
        <w:rPr>
          <w:rFonts w:ascii="Times New Roman" w:hAnsi="Times New Roman"/>
          <w:noProof/>
          <w:sz w:val="24"/>
        </w:rPr>
        <w:t xml:space="preserve"> i</w:t>
      </w:r>
      <w:r>
        <w:rPr>
          <w:rFonts w:ascii="Times New Roman" w:hAnsi="Times New Roman"/>
          <w:b/>
          <w:noProof/>
          <w:sz w:val="24"/>
        </w:rPr>
        <w:t xml:space="preserve"> sigurnosne i obrambene politike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U pregovaračkim poglavljima o vanjskim odnosima Albanija je ostvarila određeni napredak </w:t>
      </w:r>
      <w:r>
        <w:rPr>
          <w:rFonts w:ascii="Times New Roman" w:hAnsi="Times New Roman"/>
          <w:noProof/>
          <w:color w:val="000000" w:themeColor="text1"/>
          <w:sz w:val="24"/>
        </w:rPr>
        <w:t>jer je nastavila usklađivati zakonodavstvo u području robe dvojne namjene i provoditi dodatne protokole CEFTA-e</w:t>
      </w:r>
      <w:r>
        <w:rPr>
          <w:rFonts w:ascii="Times New Roman" w:hAnsi="Times New Roman"/>
          <w:noProof/>
          <w:sz w:val="24"/>
        </w:rPr>
        <w:t>. Kad je riječ o zajedničkoj vanjskoj i sigurnosnoj politici EU-a, Albanija je ostala potpuno usklađena sa svim relevantnim odlukama i izjavama EU-a</w:t>
      </w:r>
      <w:r>
        <w:rPr>
          <w:rFonts w:ascii="Times New Roman" w:hAnsi="Times New Roman"/>
          <w:noProof/>
          <w:color w:val="000000" w:themeColor="text1"/>
          <w:sz w:val="24"/>
        </w:rPr>
        <w:t>, uključujući EU-ove mjere ograničavanja uvedene nakon ničim izazvane ruske agresije na Ukrajinu.</w:t>
      </w:r>
      <w:r>
        <w:rPr>
          <w:rFonts w:ascii="Times New Roman" w:hAnsi="Times New Roman"/>
          <w:noProof/>
          <w:sz w:val="24"/>
        </w:rPr>
        <w:t xml:space="preserve"> </w:t>
      </w:r>
      <w:r>
        <w:rPr>
          <w:rFonts w:ascii="Times New Roman" w:hAnsi="Times New Roman"/>
          <w:noProof/>
          <w:color w:val="000000" w:themeColor="text1"/>
          <w:sz w:val="24"/>
        </w:rPr>
        <w:t>Kao nestalna članica od siječnja 2022. Albanija je aktivno sudjelovala u Vijeću sigurnosti UN-a te je promicala i branila međunarodni poredak utemeljen na pravilima.</w:t>
      </w:r>
    </w:p>
    <w:p w14:paraId="57830672" w14:textId="77777777" w:rsidR="00221F1C" w:rsidRDefault="00221F1C" w:rsidP="00221F1C">
      <w:pPr>
        <w:spacing w:after="120" w:line="240" w:lineRule="auto"/>
        <w:jc w:val="both"/>
        <w:rPr>
          <w:rFonts w:ascii="Times New Roman" w:eastAsia="Calibri" w:hAnsi="Times New Roman" w:cs="Times New Roman"/>
          <w:b/>
          <w:noProof/>
          <w:sz w:val="24"/>
          <w:szCs w:val="24"/>
        </w:rPr>
      </w:pPr>
    </w:p>
    <w:p w14:paraId="589B3B00" w14:textId="77777777" w:rsidR="00221F1C" w:rsidRDefault="00221F1C" w:rsidP="00221F1C">
      <w:pPr>
        <w:keepNext/>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Bosna i Hercegovina</w:t>
      </w:r>
    </w:p>
    <w:p w14:paraId="563344F1" w14:textId="77777777" w:rsidR="00221F1C" w:rsidRDefault="00221F1C" w:rsidP="00221F1C">
      <w:pPr>
        <w:keepNext/>
        <w:autoSpaceDE w:val="0"/>
        <w:autoSpaceDN w:val="0"/>
        <w:adjustRightInd w:val="0"/>
        <w:spacing w:after="120" w:line="240" w:lineRule="auto"/>
        <w:jc w:val="both"/>
        <w:rPr>
          <w:rFonts w:ascii="Times New Roman" w:eastAsia="Times New Roman" w:hAnsi="Times New Roman" w:cs="Times New Roman"/>
          <w:noProof/>
          <w:sz w:val="24"/>
          <w:szCs w:val="24"/>
        </w:rPr>
      </w:pPr>
      <w:bookmarkStart w:id="11" w:name="_Hlk114839161"/>
      <w:bookmarkStart w:id="12" w:name="_Hlk114839426"/>
      <w:r>
        <w:rPr>
          <w:rFonts w:ascii="Times New Roman" w:hAnsi="Times New Roman"/>
          <w:noProof/>
          <w:sz w:val="24"/>
        </w:rPr>
        <w:t xml:space="preserve">Kad je riječ o </w:t>
      </w:r>
      <w:r>
        <w:rPr>
          <w:rFonts w:ascii="Times New Roman" w:hAnsi="Times New Roman"/>
          <w:b/>
          <w:noProof/>
          <w:sz w:val="24"/>
        </w:rPr>
        <w:t>političkim kriterijima</w:t>
      </w:r>
      <w:r>
        <w:rPr>
          <w:rFonts w:ascii="Times New Roman" w:hAnsi="Times New Roman"/>
          <w:noProof/>
          <w:sz w:val="24"/>
        </w:rPr>
        <w:t xml:space="preserve">, stranke iz Republike Srpske blokirale su zakonodavna i izvršna tijela na razini države do proljeća 2022., što je dovelo do gotovo potpunog zaustavljanja reformi u tom razdoblju. </w:t>
      </w:r>
      <w:bookmarkEnd w:id="11"/>
      <w:r>
        <w:rPr>
          <w:rFonts w:ascii="Times New Roman" w:hAnsi="Times New Roman"/>
          <w:noProof/>
          <w:sz w:val="24"/>
        </w:rPr>
        <w:t>Vlada Federacije ostala je na vlasti tijekom čitavog mandata 2018.–2022. u svojstvu privremene vlade. U znatnom dijelu razdoblja izvješćivanja Republika Srpska nastavila je jednostrano preuzimati državne ovlasti (među ostalim u području oporezivanja, pravosuđa, obrane i sigurnosti) te raspuštati državne institucije, čime je ugrozila perspektivu pristupanja te zemlje EU-u kako je navedeno u Mišljenju Komisije. Određeni zakonodavni koraci poduzeti su kako bi se Republika Srpska povukla iz ključnih državnih tijela i uspostavila paralelna tijela na razini entiteta. Ti su zakoni povučeni i ocjenjuje se njihova ustavnost.</w:t>
      </w:r>
    </w:p>
    <w:p w14:paraId="07E8B882" w14:textId="77777777" w:rsidR="00221F1C" w:rsidRDefault="00221F1C" w:rsidP="00221F1C">
      <w:pPr>
        <w:autoSpaceDE w:val="0"/>
        <w:autoSpaceDN w:val="0"/>
        <w:adjustRightInd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Unatoč intenzivnim nastojanjima EU-a i SAD-a da posreduju u razgovorima, parlamentarne stranke nisu se mogle dogovoriti o rješenju za ustavne i izborne reforme kako bi se, u skladu s predmetom Sejdić-Finci i povezanim presudama, Ustav uskladio s Europskom konvencijom o ljudskim pravima. Parlament je odbacio izmjene za poboljšanje izbornih standarda. Nekoliko odluka Ustavnog suda još nije u potpunosti provedeno. Vijeće ministara nije poduzelo korake za izradu nacionalnog programa za usvajanje pravne stečevine EU-a. Zbog političke opstrukcije Ministarstvo financija i trezora otežalo je organizaciju izbora u listopadu 2022. uskraćivanjem potrebnih sredstava. Opći izbori održani su 2. listopada. Prema preliminarnim nalazima OESS-a/ODIHR-a bili su općenito konkurentni i dobro organizirani, ali i obilježeni nepovjerenjem u javne institucije i etnički razdornom retorikom. Visoki predstavnik istog je dana nametnuo znatne izmjene Ustava Federacije i izbornog zakona Bosne i Hercegovine s ciljem rješavanja niza problema u funkcioniranju i pravovremenom ustroju vlasti. Nije postignut napredak u osiguravanju poticajnog okruženja za civilno društvo. Tijela i stranke Republike Srpske zalagali su se za neutralno stajalište o ruskoj agresiji na Ukrajinu, čime su doveli u pitanje usklađenost zemlje s izjavama EU-a i ometali potpunu primjenu mjera ograničavanja protiv Rusije. Predsjedništvo je ratificiralo nekoliko međunarodnih sporazuma, među ostalim sporazum o IPA-i III, Obzoru i Kreativnoj Europi te Mehanizmu Unije za civilnu zaštitu.</w:t>
      </w:r>
    </w:p>
    <w:bookmarkEnd w:id="12"/>
    <w:p w14:paraId="05FAF65F"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Bosna i Hercegovina u ranoj je fazi pripreme i ostvarila je ograničen napredak u </w:t>
      </w:r>
      <w:r>
        <w:rPr>
          <w:rFonts w:ascii="Times New Roman" w:hAnsi="Times New Roman"/>
          <w:b/>
          <w:noProof/>
          <w:sz w:val="24"/>
        </w:rPr>
        <w:t>reformi javne uprave</w:t>
      </w:r>
      <w:r>
        <w:rPr>
          <w:rFonts w:ascii="Times New Roman" w:hAnsi="Times New Roman"/>
          <w:noProof/>
          <w:sz w:val="24"/>
        </w:rPr>
        <w:t>. Pozitivni koraci postignuti su prije svega u području upravljanja javnim financijama: i. donesena je sveobuhvatna i nacionalna strategija upravljanja javnim financijama koju treba provesti; ii. na svim razinama vlasti počela se provoditi strategija upravljanja javnim financijama; iii. državne institucije poboljšale su pojedina stručna osposobljavanja i iv. Federacija je izmijenila svoje administrativne postupke. Međutim, nedostatak političkog tijela za donošenje odluka koje bi upravljalo reformom javne uprave i nedostatna provedba akcijskog plana i nedostatak kapaciteta za promicanje plana reforme javne uprave ugrožavaju funkcioniranje javne uprave na svim razinama vlasti. Zakoni o državnoj službi nisu usklađeni s načelima zasluga, kao ni međusobno, a praćenje upravljanja ljudskim resursima onemogućuje provjeru nepravilnosti. U skladu s ključnim prioritetom 14. iz Mišljenja zemlja treba dovršiti ključne korake u reformi javne uprave i osigurati profesionalnu i depolitiziranu državnu službu te koordinirani nacionalni pristup donošenju politika uz osnivanje političkog tijela za donošenje odluka koje će upravljati reformom javne uprave.</w:t>
      </w:r>
    </w:p>
    <w:p w14:paraId="07CA5542" w14:textId="77777777" w:rsidR="00221F1C" w:rsidRPr="00E76610"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Bosna i Hercegovina u ranoj je fazi pripremljenosti u području </w:t>
      </w:r>
      <w:r>
        <w:rPr>
          <w:rFonts w:ascii="Times New Roman" w:hAnsi="Times New Roman"/>
          <w:b/>
          <w:noProof/>
          <w:sz w:val="24"/>
        </w:rPr>
        <w:t>pravosuđa</w:t>
      </w:r>
      <w:r>
        <w:rPr>
          <w:rFonts w:ascii="Times New Roman" w:hAnsi="Times New Roman"/>
          <w:noProof/>
          <w:sz w:val="24"/>
        </w:rPr>
        <w:t xml:space="preserve">. U tom području nije ostvaren napredak tijekom razdoblja izvješćivanja. Nije zabilježen napredak u pitanjima neovisnosti i nepristranosti pravosuđa. Izvršna i zakonodavna tijela nisu uspjela donijeti dodatne zaštitne mjere. Nedosljednost i pretjerane diskrecijske ovlasti i dalje postoje u primjeni pravila o imenovanju, disciplinskoj odgovornosti, napredovanju u karijeri i sukobu interesa sudaca i tužitelja. Glavni tužitelj Bosne i Hercegovine te glavni tužitelj Republike Srpske smijenjeni su zbog stegovnih povreda tijekom razdoblja izvješćivanja. </w:t>
      </w:r>
      <w:r>
        <w:rPr>
          <w:rFonts w:ascii="Times New Roman" w:hAnsi="Times New Roman"/>
          <w:noProof/>
          <w:color w:val="000000" w:themeColor="text1"/>
          <w:sz w:val="24"/>
        </w:rPr>
        <w:t>Parlament je odbacio izmjene zakona o Visokom sudbenom i tužiteljskom vijeću koje se odnose na integritet pravosudnih dužnosnika i kojima bi se stvorio</w:t>
      </w:r>
      <w:r>
        <w:rPr>
          <w:rFonts w:ascii="Times New Roman" w:hAnsi="Times New Roman"/>
          <w:noProof/>
          <w:sz w:val="24"/>
        </w:rPr>
        <w:t xml:space="preserve"> pouzdan i strog sustav za provjeru njihovih imovinskih kartica</w:t>
      </w:r>
      <w:r>
        <w:rPr>
          <w:rFonts w:ascii="Times New Roman" w:hAnsi="Times New Roman"/>
          <w:noProof/>
          <w:color w:val="000000" w:themeColor="text1"/>
          <w:sz w:val="24"/>
        </w:rPr>
        <w:t>. Republika Srpska pokrenula je zakonodavnu inicijativu za osnivanje zasebnog sudbenog i tužiteljskog vijeća na razini entiteta;</w:t>
      </w:r>
      <w:r>
        <w:rPr>
          <w:rFonts w:ascii="Times New Roman" w:hAnsi="Times New Roman"/>
          <w:noProof/>
          <w:sz w:val="24"/>
        </w:rPr>
        <w:t xml:space="preserve"> donošenjem takvog zakona prekršio bi se pravni i ustavni poredak. Hitne mjere potrebne su za ponovnu uspostavu povjerenja javnosti u pravosuđe i jačanje njegova integriteta. Nedostatak političke posvećenosti reformi pravosuđa i loše funkcioniranje pravosuđa i dalje potkopavaju ostvarivanje prava građana i borbu protiv korupcije i organiziranog kriminala.</w:t>
      </w:r>
    </w:p>
    <w:p w14:paraId="78358809" w14:textId="77777777" w:rsidR="00221F1C" w:rsidRPr="00E76610"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Bosna i Hercegovina u ranoj je fazi, odnosno ostvarila je određenu razinu pripremljenosti u sprečavanju i </w:t>
      </w:r>
      <w:r>
        <w:rPr>
          <w:rFonts w:ascii="Times New Roman" w:hAnsi="Times New Roman"/>
          <w:b/>
          <w:noProof/>
          <w:sz w:val="24"/>
        </w:rPr>
        <w:t>borbi protiv korupcije i organiziranog kriminala</w:t>
      </w:r>
      <w:r>
        <w:rPr>
          <w:rFonts w:ascii="Times New Roman" w:hAnsi="Times New Roman"/>
          <w:noProof/>
          <w:sz w:val="24"/>
        </w:rPr>
        <w:t xml:space="preserve">. U tom području nije ostvaren napredak tijekom razdoblja izvješćivanja. Parlament </w:t>
      </w:r>
      <w:r>
        <w:rPr>
          <w:rFonts w:ascii="Times New Roman" w:hAnsi="Times New Roman"/>
          <w:noProof/>
          <w:color w:val="000000" w:themeColor="text1"/>
          <w:sz w:val="24"/>
        </w:rPr>
        <w:t xml:space="preserve">je odbacio zakon o sukobu interesa. </w:t>
      </w:r>
      <w:r>
        <w:rPr>
          <w:rFonts w:ascii="Times New Roman" w:hAnsi="Times New Roman"/>
          <w:noProof/>
          <w:sz w:val="24"/>
        </w:rPr>
        <w:t xml:space="preserve">Politički dužnosnici i pravosudne institucije nisu uspjeli riješiti problem raširene korupcije i aktivno su blokirali napredak, što je dovelo do dugotrajnog zastoja i sve većih znakova koruptivnog političkog utjecaja. Kontinuirani nedostatak napretka na svim razinama povećava rizik od nazadovanja. Politički čelnici i pravosudne institucije moraju hitno riješiti taj problem. Iako su u razdoblju izvješćivanja podignute određene optužnice za korupciju na visokoj razini, sveukupni rezultati u sprečavanju i suzbijanju korupcije (među ostalim na visokoj razini) i dalje su neznatni zbog radne neučinkovitosti i političkog uplitanja. Postoje sustavni nedostaci u operativnoj suradnji među tijelima za izvršavanje zakonodavstva koja se bore protiv organiziranog kriminala zbog neusklađenog kaznenog zakonodavstva, slabe institucionalne koordinacije i vrlo ograničene razmjene obavještajnih podataka. Kriminalne organizacije koje djeluju u zemlji iskorištavaju zakonske i administrativne nedostatke. Policija je osjetljiva na političko uplitanje. Financijske istrage i oduzimanja imovine isto se tako uglavnom provode neučinkovito. I dalje je nužan proaktivan pristup za suzbijanje prodora kriminala u politički, pravni i gospodarski sustav. Kontaktna točka za suradnju s Europolom još nije u funkciji; u tijeku su pripremni koraci. Ne postoji sustavna suradnja s Eurojustom. Bosna i Hercegovina mora se nastaviti boriti protiv terorizma i trgovine drogom te povećati svoje kapacitete kako bi u tome uspjela. Hitno je potrebno donijeti novi zakon o sprečavanju pranja novca i financiranja terorizma u skladu s pravnom stečevinom EU-a. </w:t>
      </w:r>
    </w:p>
    <w:p w14:paraId="38B0B0EA"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Iako je uglavnom uveden zakonodavni i institucionalni okvir o </w:t>
      </w:r>
      <w:r>
        <w:rPr>
          <w:rFonts w:ascii="Times New Roman" w:hAnsi="Times New Roman"/>
          <w:b/>
          <w:noProof/>
          <w:sz w:val="24"/>
        </w:rPr>
        <w:t>temeljnim pravima</w:t>
      </w:r>
      <w:r>
        <w:rPr>
          <w:rFonts w:ascii="Times New Roman" w:hAnsi="Times New Roman"/>
          <w:noProof/>
          <w:sz w:val="24"/>
        </w:rPr>
        <w:t>, ne postoji sveobuhvatan strateški okvir. Pozitivni koraci u tom pogledu su donošenje akcijskih planova za socijalno uključivanje Roma iz travnja 2022. i prava LGBTIQ osoba iz srpnja 2022. Treba provesti znatne reforme kako bi se osiguralo da svi građani mogu ostvariti svoja politička prava i svima omogućilo nediskriminirajuće, uključivo i kvalitetno obrazovanje, među ostalim i prevladavanjem prakse „dviju škola pod jednim krovom”. Nije postignut napredak u jamčenju slobode izražavanja i medija te zaštiti novinara od prijetnji i nasilja osiguravanjem financijske održivosti javnoga radiotelevizijskog sustava. U pogledu slobode okupljanja i dalje postoje izazovi, posebno u entitetu Republike Srpske.</w:t>
      </w:r>
    </w:p>
    <w:p w14:paraId="6D7FCD5B" w14:textId="77777777" w:rsidR="00221F1C" w:rsidRDefault="00221F1C" w:rsidP="00221F1C">
      <w:pPr>
        <w:autoSpaceDE w:val="0"/>
        <w:autoSpaceDN w:val="0"/>
        <w:adjustRightInd w:val="0"/>
        <w:spacing w:after="120" w:line="240" w:lineRule="auto"/>
        <w:jc w:val="both"/>
        <w:rPr>
          <w:rFonts w:ascii="Times New Roman" w:eastAsia="Times New Roman" w:hAnsi="Times New Roman" w:cs="Times New Roman"/>
          <w:noProof/>
          <w:sz w:val="24"/>
          <w:szCs w:val="24"/>
        </w:rPr>
      </w:pPr>
      <w:bookmarkStart w:id="13" w:name="_Hlk114000685"/>
      <w:r>
        <w:rPr>
          <w:rFonts w:ascii="Times New Roman" w:hAnsi="Times New Roman"/>
          <w:noProof/>
          <w:sz w:val="24"/>
        </w:rPr>
        <w:t xml:space="preserve">Bosna i Hercegovina poduzela je znatne korake u poboljšanju upravljanja </w:t>
      </w:r>
      <w:r>
        <w:rPr>
          <w:rFonts w:ascii="Times New Roman" w:hAnsi="Times New Roman"/>
          <w:b/>
          <w:noProof/>
          <w:sz w:val="24"/>
        </w:rPr>
        <w:t>migracijama</w:t>
      </w:r>
      <w:r>
        <w:rPr>
          <w:rFonts w:ascii="Times New Roman" w:hAnsi="Times New Roman"/>
          <w:noProof/>
          <w:sz w:val="24"/>
        </w:rPr>
        <w:t>. Ministarstvo sigurnosti nastavilo je poboljšavati koordinaciju s lokalnim tijela i pojačalo je međunarodnu suradnju. Međutim, veliki nedostaci i dalje onemogućuju pružanje potrebne pomoći. Bosna i Hercegovina mora hitno donijeti strategiju i akcijski plan za migracije, uložiti više truda kako bi osigurala pristup azilu te ojačati upravljanje granicama.</w:t>
      </w:r>
    </w:p>
    <w:bookmarkEnd w:id="13"/>
    <w:p w14:paraId="5AF61FC8"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Kad je riječ o </w:t>
      </w:r>
      <w:r>
        <w:rPr>
          <w:rFonts w:ascii="Times New Roman" w:hAnsi="Times New Roman"/>
          <w:b/>
          <w:noProof/>
          <w:sz w:val="24"/>
        </w:rPr>
        <w:t>gospodarskim kriterijima</w:t>
      </w:r>
      <w:r>
        <w:rPr>
          <w:rFonts w:ascii="Times New Roman" w:hAnsi="Times New Roman"/>
          <w:noProof/>
          <w:sz w:val="24"/>
        </w:rPr>
        <w:t xml:space="preserve">, Bosna i Hercegovina u ranoj je fazi uspostave funkcionalnog tržišnog gospodarstva. Dodatno se pogoršala suradnja i koordinacija donošenja gospodarskih politika na razini države i među entitetima. Zbog toga je njezino unutarnje tržište i dalje fragmentirano. Program gospodarskih reformi na sadržava dovoljno vjerodostojne nacionalne mjere za rješavanje glavnih strukturnih gospodarskih problema. One se odnose na poslovno okruženje, neformalno gospodarstvo, javna poduzeća, zelenu i digitalnu tranziciju te nezaposlenost. Gospodarski rezultati zemlje općenito su i dalje ispod njezinih mogućnosti jer donošenje politika onemogućuje politički zastoj, naglašena kratkoročna usmjerenost i izostanak fokusa na mjere politike za rast i razvoj. </w:t>
      </w:r>
    </w:p>
    <w:p w14:paraId="2F2E2216"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Bosna i Hercegovina i dalje je u ranoj fazi kad je riječ o </w:t>
      </w:r>
      <w:r>
        <w:rPr>
          <w:rFonts w:ascii="Times New Roman" w:hAnsi="Times New Roman"/>
          <w:b/>
          <w:noProof/>
          <w:sz w:val="24"/>
        </w:rPr>
        <w:t>sposobnosti suočavanja s pritiskom konkurencije i tržišnim silama u EU-u</w:t>
      </w:r>
      <w:r>
        <w:rPr>
          <w:rFonts w:ascii="Times New Roman" w:hAnsi="Times New Roman"/>
          <w:noProof/>
          <w:sz w:val="24"/>
        </w:rPr>
        <w:t xml:space="preserve"> te nije ostvarila veći napredak u tom području. Kvaliteta obrazovanja ostala je niska i nisu poduzete dovoljne mjere za poboljšanje prometne i energetske infrastrukture.</w:t>
      </w:r>
      <w:r>
        <w:rPr>
          <w:noProof/>
        </w:rPr>
        <w:t xml:space="preserve"> </w:t>
      </w:r>
      <w:r>
        <w:rPr>
          <w:rFonts w:ascii="Times New Roman" w:hAnsi="Times New Roman"/>
          <w:noProof/>
          <w:sz w:val="24"/>
        </w:rPr>
        <w:t xml:space="preserve">Sektori trgovine i prometa rasli su s obzirom na relativnu gospodarsku važnost (u smislu dodane vrijednosti) kao odgovor na veliku vanjsku potražnju, dok je veličina javnog sektora u gospodarstvu bila nešto manja u tom smislu. </w:t>
      </w:r>
    </w:p>
    <w:p w14:paraId="17DE6516"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Bosna i Hercegovina u ranoj je fazi, odnosno ostvarila je određenu razinu pripremljenosti u sposobnosti preuzimanja </w:t>
      </w:r>
      <w:r>
        <w:rPr>
          <w:rFonts w:ascii="Times New Roman" w:hAnsi="Times New Roman"/>
          <w:b/>
          <w:noProof/>
          <w:sz w:val="24"/>
        </w:rPr>
        <w:t>obveza koje proizlaze iz članstva u EU-u</w:t>
      </w:r>
      <w:r>
        <w:rPr>
          <w:rFonts w:ascii="Times New Roman" w:hAnsi="Times New Roman"/>
          <w:noProof/>
          <w:sz w:val="24"/>
        </w:rPr>
        <w:t xml:space="preserve">. Zemlja treba znatno poboljšati usklađivanje s pravnom stečevinom EU-a te provesti potrebno zakonodavstvo. Tijekom razdoblja izvješćivanja napredak u različitim poglavljima pravne stečevine EU-a bio je ograničen ili je u potpunosti izostao. </w:t>
      </w:r>
    </w:p>
    <w:p w14:paraId="49D8AE38" w14:textId="77777777" w:rsidR="00221F1C" w:rsidRDefault="00221F1C" w:rsidP="00221F1C">
      <w:pPr>
        <w:autoSpaceDE w:val="0"/>
        <w:autoSpaceDN w:val="0"/>
        <w:adjustRightInd w:val="0"/>
        <w:spacing w:after="120" w:line="240" w:lineRule="auto"/>
        <w:jc w:val="both"/>
        <w:rPr>
          <w:rFonts w:ascii="Times New Roman" w:eastAsia="Times New Roman" w:hAnsi="Times New Roman"/>
          <w:noProof/>
          <w:sz w:val="24"/>
          <w:szCs w:val="24"/>
        </w:rPr>
      </w:pPr>
      <w:bookmarkStart w:id="14" w:name="_Hlk114051744"/>
      <w:r>
        <w:rPr>
          <w:rFonts w:ascii="Times New Roman" w:hAnsi="Times New Roman"/>
          <w:noProof/>
          <w:sz w:val="24"/>
        </w:rPr>
        <w:t xml:space="preserve">Bosna i Hercegovina donekle je pripremljena i ostvarila je određeni napredak u području </w:t>
      </w:r>
      <w:r>
        <w:rPr>
          <w:rFonts w:ascii="Times New Roman" w:hAnsi="Times New Roman"/>
          <w:b/>
          <w:noProof/>
          <w:sz w:val="24"/>
        </w:rPr>
        <w:t>javne nabave</w:t>
      </w:r>
      <w:r>
        <w:rPr>
          <w:rFonts w:ascii="Times New Roman" w:hAnsi="Times New Roman"/>
          <w:noProof/>
          <w:sz w:val="24"/>
        </w:rPr>
        <w:t xml:space="preserve"> jer je izmjenama donesenima u kolovozu dodatno uskladila zakonodavstvo s pravnom stečevinom EU-a. To je prvi važan korak u obvezama preuzetima 12. lipnja i pridonosi rješavanju ključnog prioriteta 7. Ograničen napredak ostvaren je u području </w:t>
      </w:r>
      <w:r>
        <w:rPr>
          <w:rFonts w:ascii="Times New Roman" w:hAnsi="Times New Roman"/>
          <w:b/>
          <w:noProof/>
          <w:sz w:val="24"/>
        </w:rPr>
        <w:t>statistike</w:t>
      </w:r>
      <w:r>
        <w:rPr>
          <w:rFonts w:ascii="Times New Roman" w:hAnsi="Times New Roman"/>
          <w:noProof/>
          <w:sz w:val="24"/>
        </w:rPr>
        <w:t xml:space="preserve">. Pripreme za sljedeći popis stanovništva gotovo da nisu napredovale, a izrada makroekonomske statistike i dalje odstupa od pravne stečevine EU-a. Postignut je određeni napredak kad je riječ o unutarnjoj </w:t>
      </w:r>
      <w:r>
        <w:rPr>
          <w:rFonts w:ascii="Times New Roman" w:hAnsi="Times New Roman"/>
          <w:b/>
          <w:noProof/>
          <w:sz w:val="24"/>
        </w:rPr>
        <w:t>financijskoj kontroli</w:t>
      </w:r>
      <w:r>
        <w:rPr>
          <w:rFonts w:ascii="Times New Roman" w:hAnsi="Times New Roman"/>
          <w:noProof/>
          <w:sz w:val="24"/>
        </w:rPr>
        <w:t xml:space="preserve"> u javnom sektoru jer su oba entiteta donijela strategije u tom području.</w:t>
      </w:r>
    </w:p>
    <w:bookmarkEnd w:id="14"/>
    <w:p w14:paraId="18A08126" w14:textId="77777777" w:rsidR="00221F1C" w:rsidRDefault="00221F1C" w:rsidP="00221F1C">
      <w:p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Treba poduzeti važne korake za usklađivanje pravnog okvira s pravnom stečevinom EU-a na </w:t>
      </w:r>
      <w:r>
        <w:rPr>
          <w:rFonts w:ascii="Times New Roman" w:hAnsi="Times New Roman"/>
          <w:b/>
          <w:noProof/>
          <w:sz w:val="24"/>
        </w:rPr>
        <w:t xml:space="preserve">unutarnjem tržištu </w:t>
      </w:r>
      <w:r>
        <w:rPr>
          <w:rFonts w:ascii="Times New Roman" w:hAnsi="Times New Roman"/>
          <w:noProof/>
          <w:sz w:val="24"/>
        </w:rPr>
        <w:t>(slobodno kretanje robe, radnika, usluga i kapitala, pravo trgovačkih društava, intelektualno vlasništvo, politika tržišnog natjecanja i financijske usluge te zaštita potrošača i zdravlja). Bosna i Hercegovina ostvarila je ograničen ili nikakav  napredak u toj skupini poglavlja. Različiti postupci i zakonodavstva u entitetima stvaraju prepreke konkurentnosti i rastu. Bosna i Hercegovina trebala bi poduprijeti financijsku stabilnost poboljšanjem koordinacije među relevantnim tijelima te uspostavom fonda za financijsku stabilnost u sklopu okvira za sanaciju banaka. Ta je skupina poglavlja ključna za pripreme Bosne i Hercegovine za zahtjeve jedinstvenog tržišta EU-a i vrlo je važna za ranu integraciju i razvoj zajedničkog regionalnog tržišta.</w:t>
      </w:r>
    </w:p>
    <w:p w14:paraId="60874A5F" w14:textId="77777777" w:rsidR="00221F1C" w:rsidRDefault="00221F1C" w:rsidP="00221F1C">
      <w:p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Bosna i Hercegovina ostvarila je ograničen ili nikakav napredak u većini područja </w:t>
      </w:r>
      <w:r>
        <w:rPr>
          <w:rFonts w:ascii="Times New Roman" w:hAnsi="Times New Roman"/>
          <w:b/>
          <w:noProof/>
          <w:sz w:val="24"/>
        </w:rPr>
        <w:t>konkurentnosti i uključivog razvoja</w:t>
      </w:r>
      <w:r>
        <w:rPr>
          <w:rFonts w:ascii="Times New Roman" w:hAnsi="Times New Roman"/>
          <w:noProof/>
          <w:sz w:val="24"/>
        </w:rPr>
        <w:t xml:space="preserve"> (oporezivanje, digitalna transformacija i mediji, socijalna politika i zapošljavanje, poduzetnička i industrijska politika, znanost i istraživanja, obrazovanje i kultura) i ostvarila je određeni napredak u području carinske unije. Zemlja je nazadovala u ostalim područjima (gospodarska i monetarna politika) u kojima je u ranoj fazi ili na određenoj razini pripremljenosti. Navedena područja u znatnoj su mjeri povezana s programom gospodarskih reformi te zemlje. Bosna i Hercegovina treba provesti socioekonomske reforme kako bi se otklonili postojeći strukturni nedostaci (uključujući slabu konkurentnost i visoku stopu nezaposlenosti) i učinci pandemije bolesti COVID-19. </w:t>
      </w:r>
    </w:p>
    <w:p w14:paraId="413D07DC" w14:textId="77777777" w:rsidR="00221F1C" w:rsidRDefault="00221F1C" w:rsidP="00221F1C">
      <w:pPr>
        <w:autoSpaceDE w:val="0"/>
        <w:autoSpaceDN w:val="0"/>
        <w:adjustRightInd w:val="0"/>
        <w:spacing w:after="120" w:line="240" w:lineRule="auto"/>
        <w:jc w:val="both"/>
        <w:rPr>
          <w:rFonts w:ascii="Times New Roman" w:eastAsia="Times New Roman" w:hAnsi="Times New Roman"/>
          <w:noProof/>
          <w:sz w:val="24"/>
          <w:szCs w:val="24"/>
        </w:rPr>
      </w:pPr>
      <w:bookmarkStart w:id="15" w:name="_Hlk113619443"/>
      <w:r>
        <w:rPr>
          <w:rFonts w:ascii="Times New Roman" w:hAnsi="Times New Roman"/>
          <w:noProof/>
          <w:sz w:val="24"/>
        </w:rPr>
        <w:t xml:space="preserve">Bosna i Hercegovina ostvarila je određeni ili ograničen napredak u skupini poglavlja o </w:t>
      </w:r>
      <w:r>
        <w:rPr>
          <w:rFonts w:ascii="Times New Roman" w:hAnsi="Times New Roman"/>
          <w:b/>
          <w:noProof/>
          <w:sz w:val="24"/>
        </w:rPr>
        <w:t>zelenom planu i održivoj povezivosti</w:t>
      </w:r>
      <w:r>
        <w:rPr>
          <w:rFonts w:ascii="Times New Roman" w:hAnsi="Times New Roman"/>
          <w:noProof/>
          <w:sz w:val="24"/>
        </w:rPr>
        <w:t>, u kojoj je u ranoj fazi kad je riječ o energetici, okolišu i klimatskim promjenama. Zemlja je na određenoj razini pripremljenosti u područjima prometa i transeuropskih mreža. Dodatni koraci potrebni su u pogledu mjera za reformu povezivosti te usklađivanja s uredbama o transeuropskoj prometnoj mreži (TEN-T) i transeuropskoj energetskoj mreži (TEN-E). Zelena tranzicija i održiva povezivost ključne su za gospodarsku integraciju unutar regije i s EU-om. Treba ubrzati provedbu Gospodarskog i investicijskog plana</w:t>
      </w:r>
      <w:r>
        <w:rPr>
          <w:noProof/>
          <w:vertAlign w:val="superscript"/>
        </w:rPr>
        <w:footnoteReference w:id="3"/>
      </w:r>
      <w:r>
        <w:rPr>
          <w:rFonts w:ascii="Times New Roman" w:hAnsi="Times New Roman"/>
          <w:noProof/>
          <w:sz w:val="24"/>
        </w:rPr>
        <w:t xml:space="preserve"> te zelenog programa za zapadni Balkan</w:t>
      </w:r>
      <w:r>
        <w:rPr>
          <w:noProof/>
          <w:vertAlign w:val="superscript"/>
        </w:rPr>
        <w:footnoteReference w:id="4"/>
      </w:r>
      <w:r>
        <w:rPr>
          <w:rFonts w:ascii="Times New Roman" w:hAnsi="Times New Roman"/>
          <w:noProof/>
          <w:sz w:val="24"/>
        </w:rPr>
        <w:t>. Bosna i Hercegovina znatno je poboljšala sustav civilne zaštite i pokazala je jasnu predanost u području upravljanja katastrofama. U rujnu 2022. pridružila se Mehanizmu Unije za civilnu zaštitu (UCPM)</w:t>
      </w:r>
      <w:r>
        <w:rPr>
          <w:noProof/>
        </w:rPr>
        <w:t xml:space="preserve"> </w:t>
      </w:r>
      <w:r>
        <w:rPr>
          <w:rFonts w:ascii="Times New Roman" w:hAnsi="Times New Roman"/>
          <w:noProof/>
          <w:sz w:val="24"/>
        </w:rPr>
        <w:t>kao punopravna članica.</w:t>
      </w:r>
    </w:p>
    <w:bookmarkEnd w:id="15"/>
    <w:p w14:paraId="5D636B98" w14:textId="77777777" w:rsidR="00221F1C" w:rsidRDefault="00221F1C" w:rsidP="00221F1C">
      <w:p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Bosna i Hercegovina nije ostvarila napredak u područjima povezanima s </w:t>
      </w:r>
      <w:r>
        <w:rPr>
          <w:rFonts w:ascii="Times New Roman" w:hAnsi="Times New Roman"/>
          <w:b/>
          <w:noProof/>
          <w:sz w:val="24"/>
        </w:rPr>
        <w:t>resursima, poljoprivredom i kohezijom</w:t>
      </w:r>
      <w:r>
        <w:rPr>
          <w:rFonts w:ascii="Times New Roman" w:hAnsi="Times New Roman"/>
          <w:noProof/>
          <w:sz w:val="24"/>
        </w:rPr>
        <w:t xml:space="preserve"> (poljoprivreda i ruralni razvoj, sigurnost hrane, veterinarska i fitosanitarna politika, ribarstvo te financijske i proračunske odredbe), gdje su pripreme uglavnom u ranoj fazi. Zemlja mora uložiti više truda u pripreme i donošenje nacionalne strategije za ruralni razvoj nakon 2021., uskladiti svoje zakonodavstvo o sigurnosti hrane, veterinarskoj i fitosanitarnoj politici te ojačati svoje administrativne kapacitete. Više truda potrebno je i za pripremu i donošenje nacionalne strategije za ribarstvo i akvakulturu te usklađivanje prikupljanja podataka. Osim toga, Bosna i Hercegovina trebala bi početi pripremati nacionalnu strategiju regionalnog razvoja.</w:t>
      </w:r>
    </w:p>
    <w:p w14:paraId="4A239CE8" w14:textId="77777777" w:rsidR="00221F1C" w:rsidRDefault="00221F1C" w:rsidP="00221F1C">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Bosna i Hercegovina postigla je određenu razinu pripremljenosti i ostvarila je određeni napredak u skupini poglavlja o </w:t>
      </w:r>
      <w:r>
        <w:rPr>
          <w:rFonts w:ascii="Times New Roman" w:hAnsi="Times New Roman"/>
          <w:b/>
          <w:noProof/>
          <w:sz w:val="24"/>
        </w:rPr>
        <w:t>vanjskim odnosima</w:t>
      </w:r>
      <w:r>
        <w:rPr>
          <w:rFonts w:ascii="Times New Roman" w:hAnsi="Times New Roman"/>
          <w:noProof/>
          <w:sz w:val="24"/>
        </w:rPr>
        <w:t xml:space="preserve">, posebno poboljšanjem usklađenosti s izjavama i mjerama ograničavanja u sklopu vanjske politike EU-a koja je narasla na 81 % do kraja kolovoza 2022. Zemlja treba provesti dodatne protokole Srednjoeuropskog ugovora o slobodnoj trgovini (CEFTA) o olakšavanju trgovine i trgovini uslugama te brzo donijeti dodatni protokol o rješavanju sporova. Bosna i Hercegovina i dalje je aktivna u području </w:t>
      </w:r>
      <w:r>
        <w:rPr>
          <w:rFonts w:ascii="Times New Roman" w:hAnsi="Times New Roman"/>
          <w:b/>
          <w:noProof/>
          <w:sz w:val="24"/>
        </w:rPr>
        <w:t>regionalne suradnje</w:t>
      </w:r>
      <w:r>
        <w:rPr>
          <w:rFonts w:ascii="Times New Roman" w:hAnsi="Times New Roman"/>
          <w:noProof/>
          <w:sz w:val="24"/>
        </w:rPr>
        <w:t xml:space="preserve"> i održava dobrosusjedske odnose.  </w:t>
      </w:r>
    </w:p>
    <w:p w14:paraId="53473F54" w14:textId="6734A901" w:rsidR="00221F1C" w:rsidRDefault="00221F1C" w:rsidP="00221F1C">
      <w:pPr>
        <w:autoSpaceDE w:val="0"/>
        <w:autoSpaceDN w:val="0"/>
        <w:adjustRightInd w:val="0"/>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Bosna i Hercegovina je 2021. primila</w:t>
      </w:r>
      <w:r>
        <w:rPr>
          <w:rFonts w:ascii="Times New Roman" w:hAnsi="Times New Roman"/>
          <w:noProof/>
          <w:sz w:val="24"/>
        </w:rPr>
        <w:t xml:space="preserve"> 73 milijuna EUR u</w:t>
      </w:r>
      <w:r>
        <w:rPr>
          <w:rFonts w:ascii="Times New Roman" w:hAnsi="Times New Roman"/>
          <w:noProof/>
          <w:color w:val="000000" w:themeColor="text1"/>
          <w:sz w:val="24"/>
        </w:rPr>
        <w:t xml:space="preserve">okviru </w:t>
      </w:r>
      <w:r>
        <w:rPr>
          <w:rFonts w:ascii="Times New Roman" w:hAnsi="Times New Roman"/>
          <w:b/>
          <w:noProof/>
          <w:color w:val="000000" w:themeColor="text1"/>
          <w:sz w:val="24"/>
        </w:rPr>
        <w:t>Instrumenta pretpristupne pomoći 2021.–2027. (IPA III)</w:t>
      </w:r>
      <w:r>
        <w:rPr>
          <w:rFonts w:ascii="Times New Roman" w:hAnsi="Times New Roman"/>
          <w:noProof/>
          <w:color w:val="000000" w:themeColor="text1"/>
          <w:sz w:val="24"/>
        </w:rPr>
        <w:t xml:space="preserve">, kojim se pruža potpora programima u području upravljanja migracijama i granicama, izbornog postupka, energetike, prometa, zapošljavanja i socijalne zaštite te privatnog sektora i regionalnog razvoja. Prvi skup programa, popraćen paketom višedržavnih programa, znatno pridonosi pokretanju provedbe </w:t>
      </w:r>
      <w:r>
        <w:rPr>
          <w:rFonts w:ascii="Times New Roman" w:hAnsi="Times New Roman"/>
          <w:b/>
          <w:noProof/>
          <w:color w:val="000000" w:themeColor="text1"/>
          <w:sz w:val="24"/>
        </w:rPr>
        <w:t xml:space="preserve">Gospodarskog i investicijskog plana za zapadni Balkan </w:t>
      </w:r>
      <w:r>
        <w:rPr>
          <w:rFonts w:ascii="Times New Roman" w:hAnsi="Times New Roman"/>
          <w:noProof/>
          <w:color w:val="000000" w:themeColor="text1"/>
          <w:sz w:val="24"/>
        </w:rPr>
        <w:t xml:space="preserve">i </w:t>
      </w:r>
      <w:r>
        <w:rPr>
          <w:rFonts w:ascii="Times New Roman" w:hAnsi="Times New Roman"/>
          <w:b/>
          <w:noProof/>
          <w:color w:val="000000" w:themeColor="text1"/>
          <w:sz w:val="24"/>
        </w:rPr>
        <w:t>zelenog programa</w:t>
      </w:r>
      <w:r>
        <w:rPr>
          <w:rFonts w:ascii="Times New Roman" w:hAnsi="Times New Roman"/>
          <w:noProof/>
          <w:color w:val="000000" w:themeColor="text1"/>
          <w:sz w:val="24"/>
        </w:rPr>
        <w:t>. Donošenje nacionalnih sektorskih strategija i dalje je ključan zahtjev kako bi Bosna i Hercegovina mogla u budućnosti u potpunosti iskoristiti sredstva iz IPA-e.</w:t>
      </w:r>
    </w:p>
    <w:p w14:paraId="6F556B8E" w14:textId="77777777" w:rsidR="00221F1C" w:rsidRDefault="00221F1C" w:rsidP="00221F1C">
      <w:pPr>
        <w:spacing w:after="120" w:line="240" w:lineRule="auto"/>
        <w:jc w:val="both"/>
        <w:rPr>
          <w:rFonts w:ascii="Times New Roman" w:eastAsia="Calibri" w:hAnsi="Times New Roman" w:cs="Times New Roman"/>
          <w:b/>
          <w:noProof/>
          <w:sz w:val="24"/>
          <w:szCs w:val="24"/>
        </w:rPr>
      </w:pPr>
    </w:p>
    <w:p w14:paraId="3B0C11F5" w14:textId="77777777" w:rsidR="00221F1C" w:rsidRDefault="00221F1C" w:rsidP="00221F1C">
      <w:pPr>
        <w:keepNext/>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Kosovo</w:t>
      </w:r>
    </w:p>
    <w:p w14:paraId="5919C915" w14:textId="77777777" w:rsidR="00221F1C" w:rsidRDefault="00221F1C" w:rsidP="00221F1C">
      <w:pPr>
        <w:keepNext/>
        <w:spacing w:after="120" w:line="240" w:lineRule="auto"/>
        <w:jc w:val="both"/>
        <w:rPr>
          <w:rFonts w:ascii="Times New Roman" w:hAnsi="Times New Roman" w:cs="Times New Roman"/>
          <w:noProof/>
          <w:sz w:val="24"/>
          <w:szCs w:val="24"/>
        </w:rPr>
      </w:pPr>
      <w:r>
        <w:rPr>
          <w:rFonts w:ascii="Times New Roman" w:hAnsi="Times New Roman"/>
          <w:noProof/>
          <w:sz w:val="24"/>
        </w:rPr>
        <w:t xml:space="preserve">Razdoblje izvješćivanja preklopilo se s prvom punom godinom rada vlade pod vodstvom stranke Vetëvendosje. Kosovo je bilo politički stabilno, a vlada je držala čvrstu većinu u skupštini. </w:t>
      </w:r>
    </w:p>
    <w:p w14:paraId="4D4405BE"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Na rad skupštine nastavili su negativno utjecati polarizirana politička atmosfera i poteškoće u postizanju kvoruma za donošenje odluka, unatoč tome što se vlada oslanja na čvrstu većinu. Djelomičan razlog tomu je što parlamentarna većina loše upravlja zakonodavnim programom, a članovi oporbe u skupštini suzdržavaju se od glasanja i onemogućuju donošenja zakonodavstva.</w:t>
      </w:r>
    </w:p>
    <w:p w14:paraId="459D1F11"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Lokalni izbori 2021. bili su općenito dobro organizirani, transparentni i konkurentni. Izborni proces na Kosovu i dalje treba jačati u svim aspektima kako bi se uklonile dugogodišnje slabosti u cijelom izbornom ciklusu utvrđene u uzastopnim misijama EU-a za promatranje izbora od 2014. nadalje. </w:t>
      </w:r>
    </w:p>
    <w:p w14:paraId="37BDAF3C"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Situacija na sjeveru Kosova i dalje je problematična, posebno kad je riječ o korupciji,</w:t>
      </w:r>
      <w:r>
        <w:rPr>
          <w:noProof/>
        </w:rPr>
        <w:t xml:space="preserve"> </w:t>
      </w:r>
      <w:r>
        <w:rPr>
          <w:noProof/>
        </w:rPr>
        <w:br/>
      </w:r>
      <w:r>
        <w:rPr>
          <w:rFonts w:ascii="Times New Roman" w:hAnsi="Times New Roman"/>
          <w:noProof/>
          <w:sz w:val="24"/>
        </w:rPr>
        <w:t>organiziranom kriminalu i uvjetima za slobodu izražavanja.</w:t>
      </w:r>
    </w:p>
    <w:p w14:paraId="02F86565" w14:textId="77777777" w:rsidR="00221F1C" w:rsidRDefault="00221F1C" w:rsidP="00221F1C">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Kosovo je postiglo određenu razinu pripremljenosti u području reforme javne uprave, ali ostvaren je ograničen napredak. Određeni ključni pozitivni koraci poduzeti su u </w:t>
      </w:r>
      <w:r>
        <w:rPr>
          <w:rFonts w:ascii="Times New Roman" w:hAnsi="Times New Roman"/>
          <w:noProof/>
          <w:color w:val="000000"/>
          <w:sz w:val="24"/>
        </w:rPr>
        <w:t xml:space="preserve">razvoju sveobuhvatnih strategija za reformu javne uprave i upravljanje javnim financijama za razdoblje 2022.–2026., </w:t>
      </w:r>
      <w:r>
        <w:rPr>
          <w:rFonts w:ascii="Times New Roman" w:hAnsi="Times New Roman"/>
          <w:noProof/>
          <w:sz w:val="24"/>
        </w:rPr>
        <w:t>donošenju zakonodavstva za prvi val racionalizacije javnih agencija te pokretanju izrade novog zakona o plaćama. Ostvaren je slab napredak u provedbi postojećeg zakonodavnog okvira za reformu javne uprave.</w:t>
      </w:r>
      <w:r>
        <w:rPr>
          <w:rFonts w:ascii="Times New Roman" w:hAnsi="Times New Roman"/>
          <w:noProof/>
          <w:color w:val="000000"/>
          <w:sz w:val="24"/>
        </w:rPr>
        <w:t xml:space="preserve"> </w:t>
      </w:r>
    </w:p>
    <w:p w14:paraId="0E5689F1"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Kosovo je još u ranoj fazi razvoja pravosudnog sustava koji dobro funkcionira. Iako je postignut određeni napredak, sudovanje je uglavnom sporo i neučinkovito te podložno neprimjerenom utjecaju. Poduzeti su koraci za početak provedbe strategije i akcijskog plana za vladavinu prava te reformu zakonodavnog okvira kojim se uređuje sustav državnog odvjetništva izmjenama Zakona o tužiteljskom vijeću Kosova. Reformu pravosuđa prije svega treba provesti poboljšanjem provedbe postojećih alata kako bi se zaštitili integritet, neovisnost i učinkovitost pravosudnog sustava. Pohvalna je posvećenost vlade potpunoj provedbi mišljenja Venecijanske komisije o idejnom dokumentu o provjerama sudaca i tužitelja u bliskoj suradnji s EU-om. </w:t>
      </w:r>
    </w:p>
    <w:p w14:paraId="28F6A983" w14:textId="5A8E9BF9"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Kosovo se nalazi u ranoj fazi, odnosno ostvarilo je određenu razinu pripremljenosti u p</w:t>
      </w:r>
      <w:r w:rsidR="004C7CF5">
        <w:rPr>
          <w:rFonts w:ascii="Times New Roman" w:hAnsi="Times New Roman"/>
          <w:noProof/>
          <w:sz w:val="24"/>
        </w:rPr>
        <w:t xml:space="preserve">odručju borbe protiv korupcije. </w:t>
      </w:r>
      <w:r>
        <w:rPr>
          <w:rFonts w:ascii="Times New Roman" w:hAnsi="Times New Roman"/>
          <w:noProof/>
          <w:sz w:val="24"/>
        </w:rPr>
        <w:t>Tijekom razdoblja izvješćivanja ostvaren je određeni napredak u donošenju važnog zakonodavstva protiv korupcije. Potrebno je poboljšati provedbu sveukupnog pravnog okvira. Potrebno je ustrajno raditi na povećanju broja proaktivnijih istraga, konačnih sudskih odluka i konačnih oduzimanja imovine. Unatoč već poduzetim mjerama postoji potreba za snažnom političkom voljom za učinkovito uklanjanje rizika od sustavne korupcije, kao i za odlučnom kaznenopravnom reakcijom na korupciju na visokoj razini.</w:t>
      </w:r>
    </w:p>
    <w:p w14:paraId="19D1D199" w14:textId="3764DED0" w:rsidR="00221F1C" w:rsidRDefault="00221F1C" w:rsidP="00221F1C">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Kosovo se nalazi u ranoj fazi borbe protiv organiziranog kriminala i ostvarilo je ograničen napredak</w:t>
      </w:r>
      <w:r>
        <w:rPr>
          <w:noProof/>
        </w:rPr>
        <w:t xml:space="preserve"> </w:t>
      </w:r>
      <w:r>
        <w:rPr>
          <w:rFonts w:ascii="Times New Roman" w:hAnsi="Times New Roman"/>
          <w:noProof/>
          <w:sz w:val="24"/>
        </w:rPr>
        <w:t xml:space="preserve">u istragama i kaznenom progonu predmeta organiziranog kriminala. Još uvijek nisu u potpunosti iskorišteni snažni instrumenti predviđene Kaznenim zakonom i Zakonom o proširenim ovlastima za oduzimanje imovine. Provedeno je nekoliko uspješnih operacija protiv organiziranog kriminala koje su uključivale međunarodnu i prekograničnu suradnju. I dalje je problematična borba protiv organiziranog kriminala na sjeveru Kosova. </w:t>
      </w:r>
    </w:p>
    <w:p w14:paraId="2162873E"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Određeni napredak ostvaren je u borbi protiv terorizma i borbi protiv nasilnog ekstremizma i njegovu sprečavanju u skladu s ciljevima iz dogovora EU-a i Kosova o provedbi Zajedničkog akcijskog plana za borbu protiv terorizma na zapadnom Balkanu. Kosovska tijela trebaju biti djelotvornija u borbi protiv pranja novca, a primjenjivi zakon trebalo bi uskladiti s pravnom stečevinom EU-a i međunarodnim standardima. Pravni okvir uglavnom jamči zaštitu ljudskih i temeljnih prava usklađenu s europskim standardima. Kosovo je pokazalo posvećenost rješavanju problema rodne neravnopravnosti. Treba učiniti više za djelotvornu zaštitu prava pripadnika manjina, uključujući Rome</w:t>
      </w:r>
      <w:r>
        <w:rPr>
          <w:noProof/>
          <w:szCs w:val="24"/>
          <w:vertAlign w:val="superscript"/>
        </w:rPr>
        <w:footnoteReference w:id="5"/>
      </w:r>
      <w:r>
        <w:rPr>
          <w:rFonts w:ascii="Times New Roman" w:hAnsi="Times New Roman"/>
          <w:noProof/>
          <w:sz w:val="24"/>
        </w:rPr>
        <w:t xml:space="preserve"> i Aškalije te raseljene osobe, za osiguravanje rodne ravnopravnosti u praksi i promicanje zaštite kulturne baštine. Nepostojanje administrativnih uputa za provedbu zakona o zaštiti djece onemogućuje daljnji napredak u tom području. U području slobode izražavanja Kosovo je donekle pripremljeno i ima pluralističko i dinamično medijsko okruženje. Unatoč tome, i dalje postoji zabrinutost u vezi s javnim kampanjama ocrnjivanja, prijetnjama i fizičkim napadima na novinare. Zbog nedostatka financijske samoodrživosti mediji, uključujući javnu radioteleviziju, podložni su političkim i poslovnim interesima. </w:t>
      </w:r>
    </w:p>
    <w:p w14:paraId="5BEB12E3" w14:textId="77777777" w:rsidR="00221F1C" w:rsidRDefault="00221F1C" w:rsidP="00221F1C">
      <w:pPr>
        <w:spacing w:after="120" w:line="240" w:lineRule="auto"/>
        <w:jc w:val="both"/>
        <w:rPr>
          <w:rFonts w:ascii="Times New Roman" w:hAnsi="Times New Roman" w:cs="Times New Roman"/>
          <w:b/>
          <w:noProof/>
          <w:sz w:val="24"/>
          <w:szCs w:val="24"/>
        </w:rPr>
      </w:pPr>
      <w:r>
        <w:rPr>
          <w:rFonts w:ascii="Times New Roman" w:hAnsi="Times New Roman"/>
          <w:noProof/>
          <w:sz w:val="24"/>
        </w:rPr>
        <w:t xml:space="preserve">Kosovske vlasti i dalje napreduju u upravljanju migracijama. Trebalo bi dodatno ojačati upravljanje migracijama i azil. </w:t>
      </w:r>
    </w:p>
    <w:p w14:paraId="64408599" w14:textId="4C1D328F" w:rsidR="00221F1C" w:rsidRDefault="00221F1C" w:rsidP="00221F1C">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Kosovo je donekle napredovalo u području gospodarskih kriterija i u ranoj je fazi</w:t>
      </w:r>
      <w:r>
        <w:rPr>
          <w:noProof/>
        </w:rPr>
        <w:t xml:space="preserve"> </w:t>
      </w:r>
      <w:r>
        <w:rPr>
          <w:rFonts w:ascii="Times New Roman" w:hAnsi="Times New Roman"/>
          <w:noProof/>
          <w:sz w:val="24"/>
        </w:rPr>
        <w:t xml:space="preserve">razvoja funkcionalnog tržišnog gospodarstva. Gospodarstvo je bilo otporno tijekom pandemije. Ipak, dugotrajni strukturni problemi, kao što je rašireno neformalno gospodarstvo, visoka razina korupcije i općenito slaba vladavina prava negativno utječu na privatni sektor. </w:t>
      </w:r>
    </w:p>
    <w:p w14:paraId="1A523772"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Iako je fiskalno pravilo ukinuto 2020., gospodarski oporavak i formalizacija doveli su do snažnog porasta prihoda od poreza i niskog javnog deficita 2021. Inflacija je znatno porasla zbog porasta cijena robe. Financijski je sektor ostao stabilan, a kreditiranje se nastavilo širiti. Unatoč snažnom političkom protivljenju </w:t>
      </w:r>
      <w:r>
        <w:rPr>
          <w:rFonts w:ascii="Times New Roman" w:hAnsi="Times New Roman"/>
          <w:noProof/>
          <w:color w:val="000000"/>
          <w:sz w:val="24"/>
          <w:shd w:val="clear" w:color="auto" w:fill="FFFFFF"/>
        </w:rPr>
        <w:t xml:space="preserve">vlada je zauzela fiskalno razumna stajališta </w:t>
      </w:r>
      <w:r>
        <w:rPr>
          <w:rFonts w:ascii="Times New Roman" w:hAnsi="Times New Roman"/>
          <w:noProof/>
          <w:sz w:val="24"/>
        </w:rPr>
        <w:t xml:space="preserve">u vezi s mirovinama ratnih veterana i kosovskim mirovinskim fondom. </w:t>
      </w:r>
    </w:p>
    <w:p w14:paraId="5F25C35D" w14:textId="3BEA6C70"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Kosovo je postiglo ograničen napredak i u ranoj je fazi kad je riječ o sposobnosti suočavanja s pritiskom konkurencije i tržišnim silama u EU-u. Slab je napredak ostvaren u poboljšanju</w:t>
      </w:r>
      <w:r>
        <w:rPr>
          <w:noProof/>
        </w:rPr>
        <w:t xml:space="preserve"> </w:t>
      </w:r>
      <w:r>
        <w:rPr>
          <w:rFonts w:ascii="Times New Roman" w:hAnsi="Times New Roman"/>
          <w:noProof/>
          <w:sz w:val="24"/>
        </w:rPr>
        <w:t>kvalitete obrazovanja i rješavanju problema neusklađenosti ponude vještina i potreba na tržištu rada. Kosovo je donekle</w:t>
      </w:r>
      <w:r>
        <w:rPr>
          <w:noProof/>
        </w:rPr>
        <w:t xml:space="preserve"> </w:t>
      </w:r>
      <w:r>
        <w:rPr>
          <w:rFonts w:ascii="Times New Roman" w:hAnsi="Times New Roman"/>
          <w:noProof/>
          <w:sz w:val="24"/>
        </w:rPr>
        <w:t>napredovalo u poboljšanju cestovne infrastrukture i povećanju ulaganja u obnovljive izvore energije, ali</w:t>
      </w:r>
      <w:r>
        <w:rPr>
          <w:noProof/>
        </w:rPr>
        <w:t xml:space="preserve"> </w:t>
      </w:r>
      <w:r>
        <w:rPr>
          <w:rFonts w:ascii="Times New Roman" w:hAnsi="Times New Roman"/>
          <w:noProof/>
          <w:sz w:val="24"/>
        </w:rPr>
        <w:t xml:space="preserve">i dalje postoji zabrinutost zbog zastarjele i nepouzdane opskrbe energijom koja se temeljni na ugljenu. Kosovo i dalje nema dugoročnu energetsku strategiju. Zemlja je donekle napredovala u digitalizaciji gospodarstva. </w:t>
      </w:r>
    </w:p>
    <w:p w14:paraId="46C4B468" w14:textId="1B8CF815"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Kad je riječ o dobrosusjedskim odnosima i regionalnoj suradnji, Kosovo je nastavilo</w:t>
      </w:r>
      <w:r>
        <w:rPr>
          <w:noProof/>
        </w:rPr>
        <w:t xml:space="preserve"> </w:t>
      </w:r>
      <w:r>
        <w:rPr>
          <w:rFonts w:ascii="Times New Roman" w:hAnsi="Times New Roman"/>
          <w:noProof/>
          <w:sz w:val="24"/>
        </w:rPr>
        <w:t>sudjelovati u većini regionalnih foruma. Kosovo je općenito održalo dobre odnose s Albanijom,</w:t>
      </w:r>
      <w:r>
        <w:rPr>
          <w:noProof/>
        </w:rPr>
        <w:t xml:space="preserve"> </w:t>
      </w:r>
      <w:r>
        <w:rPr>
          <w:rFonts w:ascii="Times New Roman" w:hAnsi="Times New Roman"/>
          <w:noProof/>
          <w:sz w:val="24"/>
        </w:rPr>
        <w:t>Crnom Gorom i Sjevernom Makedonijom. Nije bilo promjena u službenim odnosima Kosova</w:t>
      </w:r>
      <w:r>
        <w:rPr>
          <w:noProof/>
        </w:rPr>
        <w:t xml:space="preserve"> </w:t>
      </w:r>
      <w:r>
        <w:rPr>
          <w:rFonts w:ascii="Times New Roman" w:hAnsi="Times New Roman"/>
          <w:noProof/>
          <w:sz w:val="24"/>
        </w:rPr>
        <w:t>i Bosne i Hercegovine koja ne priznaje neovisnost Kosova, pa između tih dviju država i dalje</w:t>
      </w:r>
      <w:r>
        <w:rPr>
          <w:noProof/>
        </w:rPr>
        <w:t xml:space="preserve"> </w:t>
      </w:r>
      <w:r>
        <w:rPr>
          <w:rFonts w:ascii="Times New Roman" w:hAnsi="Times New Roman"/>
          <w:noProof/>
          <w:sz w:val="24"/>
        </w:rPr>
        <w:t>postoji strogi vizni režim.</w:t>
      </w:r>
    </w:p>
    <w:p w14:paraId="0349C9A9"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Dijalog uz posredovanje EU-a o normalizaciji odnosa sa Srbijom nastavio se uz redovite mjesečne sastanke na razini glavnih pregovarača i sastanak na visokoj razini 18. kolovoza 2022. Strane su u lipnju 2022. donijele plan provedbe energetskih sporazuma, a u kolovozu 2022. dogovorile su mogućnost putovanja između Kosova i Srbije uz korištenje samo osobnih iskaznica. Kosovo se mora konstruktivnije angažirati i uložiti znatan dodatni trud u provedbu svih prethodnih sporazuma te pridonijeti postizanju sveobuhvatnog pravno obvezujućeg sporazuma o normalizaciji sa Srbijom. Takav je sporazum hitno potreban i ključan kako bi Kosovo i Srbija mogli napredovati na svojem europskom putu. </w:t>
      </w:r>
    </w:p>
    <w:p w14:paraId="40C9FDA2" w14:textId="77777777" w:rsidR="00221F1C" w:rsidRDefault="00221F1C" w:rsidP="00221F1C">
      <w:pPr>
        <w:spacing w:after="120" w:line="240" w:lineRule="auto"/>
        <w:jc w:val="both"/>
        <w:rPr>
          <w:noProof/>
        </w:rPr>
      </w:pPr>
      <w:r>
        <w:rPr>
          <w:rFonts w:ascii="Times New Roman" w:hAnsi="Times New Roman"/>
          <w:noProof/>
          <w:sz w:val="24"/>
        </w:rPr>
        <w:t>Tijekom razdoblja izvješćivanja ostvaren je određeni napredak u usklađivanju s europskim standardima u području statistike i financijske kontrole, dok je ograničeni napredak ostvaren u usklađivanju s europskim standardima u području javne nabave. U većini područja povezanih s unutarnjim tržištem Kosovo je na određenoj razini pripremljenosti, među ostalim u području konkurentnosti. Tijekom razdoblja izvješćivanja Kosovo je donekle napredovalo u svim područjima, osim kad je riječ o zaštiti potrošača i zaštiti zdravlja, gdje je napredak bio ograničen.</w:t>
      </w:r>
    </w:p>
    <w:p w14:paraId="20141443"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Kosovo je ostvarilo određeni napredak u područjima konkurentnosti i uključivog razvoja (carina, oporezivanje, gospodarska i monetarna politika, digitalna transformacija i mediji, poduzetnička i industrijska politika, socijalna politika i zapošljavanje, obrazovanje i kultura) te ograničeni napredak u području istraživanja. </w:t>
      </w:r>
    </w:p>
    <w:p w14:paraId="3D5A01BE"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Kad je riječ o zelenom programu za zapadni Balkan i održivoj povezivosti </w:t>
      </w:r>
      <w:bookmarkStart w:id="16" w:name="_Hlk114482489"/>
      <w:r>
        <w:rPr>
          <w:rFonts w:ascii="Times New Roman" w:hAnsi="Times New Roman"/>
          <w:noProof/>
          <w:sz w:val="24"/>
        </w:rPr>
        <w:t>Kosovo je ostvarilo određeni napredak u području prometa i ograničeni napredak u području energetike, okoliša i klimatskih promjena.</w:t>
      </w:r>
      <w:bookmarkEnd w:id="16"/>
      <w:r>
        <w:rPr>
          <w:rFonts w:ascii="Times New Roman" w:hAnsi="Times New Roman"/>
          <w:noProof/>
          <w:sz w:val="24"/>
        </w:rPr>
        <w:t xml:space="preserve"> U pogledu resursa i poljoprivrede, Kosovo je ostvarilo određeni napredak u području sigurnosti hrane, veterinarske i fitosanitarne politike i tek ograničeni napredak u području poljoprivrede. </w:t>
      </w:r>
    </w:p>
    <w:p w14:paraId="4101A0BA"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Tijekom razdoblja izvješćivanja Kosovo je ostvarilo ograničeni napredak u području vanjskih odnosa i trgovinske politike te je u ranoj fazi pripremljenosti. Kosovo još nije ratificiralo dodatne protokole Srednjoeuropskog ugovora o slobodnoj trgovini o olakšavanju trgovine i trgovini uslugama. Kosovo je uvelo ograničenja u izvozu niza poljoprivredno-prehrambenih proizvoda bez </w:t>
      </w:r>
      <w:r>
        <w:rPr>
          <w:rFonts w:ascii="Times New Roman" w:hAnsi="Times New Roman"/>
          <w:noProof/>
          <w:color w:val="000000"/>
          <w:sz w:val="24"/>
          <w:shd w:val="clear" w:color="auto" w:fill="FFFFFF"/>
        </w:rPr>
        <w:t xml:space="preserve">obrazloženja ili prethodnih savjetovanja s Komisijom. </w:t>
      </w:r>
    </w:p>
    <w:p w14:paraId="767FDD14"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Općenito, Kosovo mora poboljšati svoje administrativne kapacitete i koordinaciju u svim sektorima kako bi postiglo djelotvornu provedbu pravne stečevine EU-a.</w:t>
      </w:r>
    </w:p>
    <w:p w14:paraId="22513C7B" w14:textId="77777777" w:rsidR="00221F1C" w:rsidRDefault="00221F1C" w:rsidP="00221F1C">
      <w:pPr>
        <w:spacing w:after="120" w:line="240" w:lineRule="auto"/>
        <w:jc w:val="both"/>
        <w:rPr>
          <w:rFonts w:ascii="Times New Roman" w:eastAsia="Calibri" w:hAnsi="Times New Roman" w:cs="Times New Roman"/>
          <w:b/>
          <w:noProof/>
          <w:sz w:val="24"/>
          <w:szCs w:val="24"/>
        </w:rPr>
      </w:pPr>
    </w:p>
    <w:p w14:paraId="218A0A09" w14:textId="77777777" w:rsidR="00221F1C" w:rsidRDefault="00221F1C" w:rsidP="00221F1C">
      <w:pPr>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 xml:space="preserve">Turska </w:t>
      </w:r>
    </w:p>
    <w:p w14:paraId="47AFBC75"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Postoje ozbiljni nedostaci u funkcioniranju </w:t>
      </w:r>
      <w:r>
        <w:rPr>
          <w:rFonts w:ascii="Times New Roman" w:hAnsi="Times New Roman"/>
          <w:b/>
          <w:noProof/>
          <w:color w:val="000000" w:themeColor="text1"/>
          <w:sz w:val="24"/>
        </w:rPr>
        <w:t>demokratskih institucija</w:t>
      </w:r>
      <w:r>
        <w:rPr>
          <w:rFonts w:ascii="Times New Roman" w:hAnsi="Times New Roman"/>
          <w:noProof/>
          <w:color w:val="000000" w:themeColor="text1"/>
          <w:sz w:val="24"/>
        </w:rPr>
        <w:t xml:space="preserve"> u Turskoj. Tijekom razdoblja izvješćivanja nastavilo se nazadovanje demokracije. I dalje postoje strukturni nedostaci predsjedničkog sustava. Turska tek treba uvažiti ključne preporuke Vijeća Europe i njegovih tijela. Parlament i dalje nema potrebne instrumente za pozivanje vlade na odgovornost. Zbog ustavne strukture nastavila se centralizacija ovlasti na razini predsjedništva, a pritom nije osigurana pouzdana i učinkovita podjela vlasti između izvršne, zakonodavne i sudbene. U nedostatku učinkovitog sustava provjere i ravnoteže demokratska odgovornost izvršne vlasti i dalje je ograničena na izbore.</w:t>
      </w:r>
    </w:p>
    <w:p w14:paraId="3BDDAF64" w14:textId="77777777" w:rsidR="00221F1C" w:rsidRDefault="00221F1C" w:rsidP="00221F1C">
      <w:pPr>
        <w:spacing w:after="120" w:line="240" w:lineRule="auto"/>
        <w:jc w:val="both"/>
        <w:rPr>
          <w:rFonts w:ascii="Times New Roman" w:eastAsia="Arial Unicode MS" w:hAnsi="Times New Roman" w:cs="Times New Roman"/>
          <w:noProof/>
          <w:color w:val="000000" w:themeColor="text1"/>
          <w:sz w:val="24"/>
          <w:szCs w:val="24"/>
        </w:rPr>
      </w:pPr>
      <w:r>
        <w:rPr>
          <w:rFonts w:ascii="Times New Roman" w:hAnsi="Times New Roman"/>
          <w:noProof/>
          <w:color w:val="000000" w:themeColor="text1"/>
          <w:sz w:val="24"/>
        </w:rPr>
        <w:t>Unatoč ukidanju izvanrednog stanja u srpnju 2018. na snazi su ostale određene zakonske odredbe kojima se vladinim dužnosnicima daju izvanredne ovlasti te je zadržano nekoliko restriktivnih elemenata izvanrednog stanja. Istražno povjerenstvo za izvanredno stanje tek treba dovršiti ispitivanje predmeta u vezi s javnim službenicima koji su razriješeni na temelju zakonodavnih uredbi tijekom razdoblja izvanrednog stanja. U srpnju 2021. turski je parlament donio prijedlog zakona kojim se trajanje pojedinih ograničavajućih elemenata izvanrednog stanja produljuje za još godinu dana.</w:t>
      </w:r>
    </w:p>
    <w:p w14:paraId="429E75D5" w14:textId="77777777" w:rsidR="00221F1C" w:rsidRDefault="00221F1C" w:rsidP="00221F1C">
      <w:pPr>
        <w:spacing w:after="120" w:line="240" w:lineRule="auto"/>
        <w:jc w:val="both"/>
        <w:rPr>
          <w:rFonts w:ascii="Times New Roman" w:eastAsia="Arial Unicode MS" w:hAnsi="Times New Roman" w:cs="Times New Roman"/>
          <w:noProof/>
          <w:color w:val="000000" w:themeColor="text1"/>
          <w:sz w:val="24"/>
          <w:szCs w:val="24"/>
        </w:rPr>
      </w:pPr>
      <w:r>
        <w:rPr>
          <w:rFonts w:ascii="Times New Roman" w:hAnsi="Times New Roman"/>
          <w:noProof/>
          <w:color w:val="000000" w:themeColor="text1"/>
          <w:sz w:val="24"/>
        </w:rPr>
        <w:t>Fokus pravosuđa još uvijek je sustavno usmjeren na članove oporbenih stranaka u parlamentu u vezi s navodnim kaznenim djelima povezanima s terorizmom. Pravni okvir za izbore i političke stranke i dalje je problematičan. Izborni prag smanjen je s 10 % na 7 %. Turska još nije provela preostale preporuke Ureda za demokratske institucije i ljudska prava OESS-a i Venecijanske komisije.</w:t>
      </w:r>
    </w:p>
    <w:p w14:paraId="541B3270"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Pritisak vladajuće koalicijske vlade na gradonačelnike iz oporbenih stranaka dodatno je oslabio lokalnu demokraciju. Gradonačelnici iz oporbenih stranaka bili su izloženi upravnim i sudskim istragama. Lokalna demokracija na jugoistoku zemlje i dalje je ozbiljno ugrožena. Na jugoistoku zemlje prisilno razriješeni gradonačelnici i dalje se zamjenjuju povjerenicima koje je imenovala vlada.</w:t>
      </w:r>
    </w:p>
    <w:p w14:paraId="326AC629" w14:textId="77777777" w:rsidR="00221F1C" w:rsidRDefault="00221F1C" w:rsidP="00221F1C">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Stanje na jugoistoku zemlje</w:t>
      </w:r>
      <w:r>
        <w:rPr>
          <w:rFonts w:ascii="Times New Roman" w:hAnsi="Times New Roman"/>
          <w:noProof/>
          <w:color w:val="000000" w:themeColor="text1"/>
          <w:sz w:val="24"/>
        </w:rPr>
        <w:t xml:space="preserve"> i dalje je vrlo zabrinjavajuće. U listopadu 2021. turski je parlament produljio mandat vojske za još dvije godine kako bi pokrenuo prekogranične protuterorističke operacije u Siriji i Iraku. Turska je vlada nastavila domaće i prekogranične sigurnosne i vojne operacije u Iraku i Siriji. Sigurnosno stanje u pograničnim područjima ostalo je nestabilno jer je zabilježen niz terorističkih djela Kurdistanske radničke stranke (PKK) koja je i dalje na EU-ovu popisu osoba, skupina i subjekata uključenih u teroristička djela. EU je nedvosmisleno osudio napade PKK-a i izrazio solidarnost s obiteljima žrtava. Vlada ima legitimno pravo i odgovornost boriti se protiv terorizma, no ključno je da to čini u skladu s vladavinom prava, ljudskim pravima i temeljnim slobodama. Protuterorističke mjere trebaju biti razmjerne. Nije bilo napretka u povratku na vjerodostojan miran politički proces potreban za postizanje održivog rješenja.</w:t>
      </w:r>
    </w:p>
    <w:p w14:paraId="4540D3B5"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Nastavilo se nazadovanje u pitanjima </w:t>
      </w:r>
      <w:r>
        <w:rPr>
          <w:rFonts w:ascii="Times New Roman" w:hAnsi="Times New Roman"/>
          <w:b/>
          <w:noProof/>
          <w:color w:val="000000" w:themeColor="text1"/>
          <w:sz w:val="24"/>
        </w:rPr>
        <w:t>civilnog društva</w:t>
      </w:r>
      <w:r>
        <w:rPr>
          <w:rFonts w:ascii="Times New Roman" w:hAnsi="Times New Roman"/>
          <w:noProof/>
          <w:color w:val="000000" w:themeColor="text1"/>
          <w:sz w:val="24"/>
        </w:rPr>
        <w:t>. Organizacije civilnog društva neprestano su se suočavale sa sve većim pritiscima, pa se njihov prostor za slobodno djelovanje nastavio smanjivati, kao i sloboda izražavanja, udruživanja i okupljanja. Provedbom zakona o sprečavanju financiranja širenja oružja za masovno uništenje dodatno su ograničene organizacije civilnog društva.</w:t>
      </w:r>
    </w:p>
    <w:p w14:paraId="6306A529" w14:textId="77777777" w:rsidR="00221F1C" w:rsidRDefault="00221F1C" w:rsidP="00221F1C">
      <w:pPr>
        <w:spacing w:after="120" w:line="240" w:lineRule="auto"/>
        <w:jc w:val="both"/>
        <w:rPr>
          <w:rFonts w:ascii="Times New Roman" w:eastAsia="Times New Roman" w:hAnsi="Times New Roman" w:cs="Times New Roman"/>
          <w:b/>
          <w:bCs/>
          <w:noProof/>
          <w:color w:val="000000" w:themeColor="text1"/>
          <w:sz w:val="24"/>
          <w:szCs w:val="24"/>
        </w:rPr>
      </w:pPr>
      <w:r>
        <w:rPr>
          <w:rFonts w:ascii="Times New Roman" w:hAnsi="Times New Roman"/>
          <w:b/>
          <w:noProof/>
          <w:color w:val="000000" w:themeColor="text1"/>
          <w:sz w:val="24"/>
        </w:rPr>
        <w:t>Civilni nadzor sigurnosnih snaga</w:t>
      </w:r>
      <w:r>
        <w:rPr>
          <w:rFonts w:ascii="Times New Roman" w:hAnsi="Times New Roman"/>
          <w:noProof/>
          <w:color w:val="000000" w:themeColor="text1"/>
          <w:sz w:val="24"/>
        </w:rPr>
        <w:t xml:space="preserve"> nije konsolidiran. Odgovornost vojnih, policijskih i obavještajnih službi ostala je vrlo ograničena. Potrebno je ojačati parlamentarni nadzor nad sigurnosnim institucijama. Parlament je u srpnju produljio dob za mirovinu načelnika glavnog stožera sa 67 na 72 godine, čime je trenutačnom načelniku glavnog stožera omogućeno da služi još jednu godinu, dok su zapovjednici zračnih snaga i mornarice umirovljeni.</w:t>
      </w:r>
    </w:p>
    <w:p w14:paraId="10FB1101"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bookmarkStart w:id="17" w:name="_Hlk113437919"/>
      <w:r>
        <w:rPr>
          <w:rFonts w:ascii="Times New Roman" w:hAnsi="Times New Roman"/>
          <w:noProof/>
          <w:color w:val="000000" w:themeColor="text1"/>
          <w:sz w:val="24"/>
        </w:rPr>
        <w:t xml:space="preserve">Turska je donekle/umjereno pripremljena u području </w:t>
      </w:r>
      <w:r>
        <w:rPr>
          <w:rFonts w:ascii="Times New Roman" w:hAnsi="Times New Roman"/>
          <w:b/>
          <w:noProof/>
          <w:color w:val="000000" w:themeColor="text1"/>
          <w:sz w:val="24"/>
        </w:rPr>
        <w:t>reforme javne uprave</w:t>
      </w:r>
      <w:r>
        <w:rPr>
          <w:rFonts w:ascii="Times New Roman" w:hAnsi="Times New Roman"/>
          <w:noProof/>
          <w:color w:val="000000" w:themeColor="text1"/>
          <w:sz w:val="24"/>
        </w:rPr>
        <w:t xml:space="preserve">. </w:t>
      </w:r>
      <w:bookmarkEnd w:id="17"/>
      <w:r>
        <w:rPr>
          <w:rFonts w:ascii="Times New Roman" w:hAnsi="Times New Roman"/>
          <w:noProof/>
          <w:color w:val="000000" w:themeColor="text1"/>
          <w:sz w:val="24"/>
        </w:rPr>
        <w:t xml:space="preserve">U razdoblju izvješćivanja nije ostvaren napredak. Zemlja i dalje nema sveobuhvatni plan reforme javne uprave i upravljanja javnim financijama, </w:t>
      </w:r>
      <w:r>
        <w:rPr>
          <w:rFonts w:ascii="Times New Roman" w:hAnsi="Times New Roman"/>
          <w:noProof/>
          <w:sz w:val="24"/>
        </w:rPr>
        <w:t xml:space="preserve">a </w:t>
      </w:r>
      <w:r>
        <w:rPr>
          <w:rFonts w:ascii="Times New Roman" w:hAnsi="Times New Roman"/>
          <w:noProof/>
          <w:color w:val="000000" w:themeColor="text1"/>
          <w:sz w:val="24"/>
        </w:rPr>
        <w:t>vlada još nije započela sveobuhvatnu reformu javne uprave. Odgovornost uprave nije dovoljna i potrebno je poboljšati njezino upravljanje ljudskim resursima. U donošenju politika nedostaju metode koje se temelje na dokazima i mehanizmi sudjelovanja. Nastavila se politizacija uprave. I dalje je nizak broj žena na rukovodećim radnim mjestima u javnim službama.</w:t>
      </w:r>
    </w:p>
    <w:p w14:paraId="0AC8178D"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Turski </w:t>
      </w:r>
      <w:r>
        <w:rPr>
          <w:rFonts w:ascii="Times New Roman" w:hAnsi="Times New Roman"/>
          <w:b/>
          <w:noProof/>
          <w:color w:val="000000" w:themeColor="text1"/>
          <w:sz w:val="24"/>
        </w:rPr>
        <w:t>pravosudni sustav</w:t>
      </w:r>
      <w:r>
        <w:rPr>
          <w:rFonts w:ascii="Times New Roman" w:hAnsi="Times New Roman"/>
          <w:noProof/>
          <w:color w:val="000000" w:themeColor="text1"/>
          <w:sz w:val="24"/>
        </w:rPr>
        <w:t xml:space="preserve"> u ranoj je fazi pripremljenosti. Ozbiljno nazadovanje koje se bilježi od 2016. nastavilo se tijekom razdoblja izvješćivanja. I dalje postoji zabrinutost, konkretno kad je riječ o sustavnom nedostatku neovisnosti pravosuđa i neprimjerenim pritiscima na suce i tužitelje. Povećala se zabrinutost zbog neusklađenosti pravosuđa s međunarodnim i europskim standardima, posebno u vezi s odbijanjem provedbe presuda Europskog suda za ljudska prava. Nastavila se provedba akcijskog plana za ljudska prava iz 2021. i pravosudne reforme iz 2019. No nijednim od ta dva dokumenta nisu se uspjeli ukloniti nedostaci turskog pravosuđa jer ne postoji plan za znatna poboljšanja općenitog funkcioniranja pravosudnog sustava. Vraćeno je tek 515 sudaca ili tužitelja razriješenih nakon pokušaja državnog udara, unatoč tomu što su mnogi oslobođeni optužbi. I dalje postoji zabrinutost zbog nedostatka objektivnih, ujednačenih, unaprijed utvrđenih i na zaslugama utemeljenih kriterija za imenovanje i napredovanje sudaca i tužitelja.</w:t>
      </w:r>
    </w:p>
    <w:p w14:paraId="393C3AF0"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Kad je riječ o </w:t>
      </w:r>
      <w:r>
        <w:rPr>
          <w:rFonts w:ascii="Times New Roman" w:hAnsi="Times New Roman"/>
          <w:b/>
          <w:noProof/>
          <w:color w:val="000000" w:themeColor="text1"/>
          <w:sz w:val="24"/>
        </w:rPr>
        <w:t>borbi protiv korupcije</w:t>
      </w:r>
      <w:r>
        <w:rPr>
          <w:rFonts w:ascii="Times New Roman" w:hAnsi="Times New Roman"/>
          <w:noProof/>
          <w:color w:val="000000" w:themeColor="text1"/>
          <w:sz w:val="24"/>
        </w:rPr>
        <w:t>, Turska je ostala u ranoj fazi pripreme i nije ostvarila napredak u razdoblju izvješćivanja. Nije osnovala tijela za borbu protiv korupcije u skladu sa svojim međunarodnim obvezama. Potrebno je poboljšati pravni okvir i institucionalnu strukturu kako bi se ograničio politički i nepotreban utjecaj na kazneni progon i presude u slučajevima korupcije. Potrebno je poboljšati odgovornost i transparentnost javnih institucija. Nepostojanje strategije i akcijskog plana za borbu protiv korupcije znak je nedostatka volje za odlučnu borbu protiv korupcije. Većina preporuka Skupine država protiv korupcije (GRECO) pri Vijeću Europe nije provedena. Općenito, korupcija je raširena u mnogim područjima te i dalje zabrinjava.</w:t>
      </w:r>
    </w:p>
    <w:p w14:paraId="56ADE44D"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Turska je postigla određenu razinu pripremljenosti u području </w:t>
      </w:r>
      <w:r>
        <w:rPr>
          <w:rFonts w:ascii="Times New Roman" w:hAnsi="Times New Roman"/>
          <w:b/>
          <w:noProof/>
          <w:color w:val="000000" w:themeColor="text1"/>
          <w:sz w:val="24"/>
        </w:rPr>
        <w:t>borbe protiv organiziranog kriminala</w:t>
      </w:r>
      <w:r>
        <w:rPr>
          <w:rFonts w:ascii="Times New Roman" w:hAnsi="Times New Roman"/>
          <w:noProof/>
          <w:color w:val="000000" w:themeColor="text1"/>
          <w:sz w:val="24"/>
        </w:rPr>
        <w:t>, no općenito je ostvarila ograničen napredak. Još je u tijeku dovršenje međunarodnog sporazuma o razmjeni osobnih podataka između Europola i turskih tijela odgovornih za borbu protiv teških kaznenih djela i terorizma jer tursko zakonodavstvo o zaštiti podataka nije u skladu s pravnom stečevinom EU-a. Pravni okvir kojim se uređuje borba protiv pranja novca i financiranja terorizma treba poboljšati u skladu s preporukama Stručne skupine za financijsko djelovanje i Venecijanske komisije o zakonu o sprečavanju financiranja širenja oružja za masovno uništenje.</w:t>
      </w:r>
    </w:p>
    <w:p w14:paraId="681C3304"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Stanje u području </w:t>
      </w:r>
      <w:r>
        <w:rPr>
          <w:rFonts w:ascii="Times New Roman" w:hAnsi="Times New Roman"/>
          <w:b/>
          <w:noProof/>
          <w:color w:val="000000" w:themeColor="text1"/>
          <w:sz w:val="24"/>
        </w:rPr>
        <w:t>ljudskih i temeljnih prava</w:t>
      </w:r>
      <w:r>
        <w:rPr>
          <w:rFonts w:ascii="Times New Roman" w:hAnsi="Times New Roman"/>
          <w:noProof/>
          <w:color w:val="000000" w:themeColor="text1"/>
          <w:sz w:val="24"/>
        </w:rPr>
        <w:t xml:space="preserve"> nastavilo se pogoršavati. Mnoge mjere uvedene tijekom izvanrednog stanja ostaju na snazi. Pravni okvir uključuje opća jamstva poštovanja ljudskih i temeljnih prava, no još je potrebno uskladiti zakonodavstvo i njegovu provedbu s Europskom konvencijom o ljudskim pravima i sudskom praksom Europskog suda za ljudska prava (ESLJP). Parlamentarna skupština Vijeća Europe nastavila je pratiti poštovanje ljudskih prava, demokracije i vladavine prava u Turskoj. Kontinuirano odbijanje Turske da provede određene presude ESLJP-a, pogotovo u slučajevima Selahattina Demirtaşa i Osmana Kavale, izaziva ozbiljnu zabrinutost kad je riječ o poštovanju međunarodnih i europskih standarda u pravosuđu i obveze Turske da promiče vladavinu prava i poštuje temeljna prava. Postupak zbog povrede koji je Vijeće Europe pokrenulo protiv Turske u veljači 2022. zbog neprovođenja presude u predmetu Kavala još je jedanput upozorio na udaljavanje Turske od standarda za ljudska prava i temeljne slobode na koje se obvezala kao članica Vijeća Europe. Sud je u srpnju presudio da Turska nije uspjela provesti presudu ESLJP-a iz 2019. u predmetu Kavala. </w:t>
      </w:r>
    </w:p>
    <w:p w14:paraId="1CDE0083"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Akcijski plan o ljudskim pravima donesen 2021. i dalje se provodi, ali njime nisu riješeni kritični problemi i nije došlo do poboljšanja općenitog stanja ljudskih prava.</w:t>
      </w:r>
    </w:p>
    <w:p w14:paraId="0BC67630"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Nastavilo se ozbiljno nazadovanje kad je riječ o slobodi izražavanja uočeno posljednjih godina. Provedba kaznenih zakona u vezi s nacionalnom sigurnošću i borbom protiv terorizma i dalje je kršila EKLJP i ostale međunarodne standarde te je odstupala od sudske prakse ESLJP-a. Mjere ograničavanja koje su provele državne institucije i sve veći pritisak pravosudnim i administrativnim sredstvima nastavili su otežavati ostvarivanje slobode izražavanja. Nastavili su se kazneni postupci i osuđujuće presude protiv novinara, boraca za ljudska prava, odvjetnika, pisaca, oporbenih političara, studenata, umjetnika i korisnika društvenih medija.</w:t>
      </w:r>
    </w:p>
    <w:p w14:paraId="57B0C5AF" w14:textId="77777777" w:rsidR="00221F1C" w:rsidRDefault="00221F1C" w:rsidP="00221F1C">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U području slobode okupljanja i udruživanja Turska je dodatno nazadovala.</w:t>
      </w:r>
      <w:r>
        <w:rPr>
          <w:rFonts w:ascii="Times New Roman" w:hAnsi="Times New Roman"/>
          <w:b/>
          <w:noProof/>
          <w:color w:val="000000" w:themeColor="text1"/>
          <w:sz w:val="24"/>
        </w:rPr>
        <w:t xml:space="preserve"> </w:t>
      </w:r>
      <w:r>
        <w:rPr>
          <w:rFonts w:ascii="Times New Roman" w:hAnsi="Times New Roman"/>
          <w:noProof/>
          <w:color w:val="000000" w:themeColor="text1"/>
          <w:sz w:val="24"/>
        </w:rPr>
        <w:t>Uvodila je opetovane zabrane, a na mirnim prosvjedima provodile su se intervencije i nerazmjerno je korištena sila. Provodile su se istrage, otvarali sudski predmeti i izricale administrativne novčane kazne prosvjednicima pod optužbom za terorizam ili kršenje zakona o prosvjedima i marševima.</w:t>
      </w:r>
    </w:p>
    <w:p w14:paraId="339CB7E5"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Prava skupina u najnepovoljnijem položaju i pripadnika manjina trebala bi biti bolje zaštićena. Romi su u velikoj mjeri ostali isključeni iz formalnog rada, a njihovi životni uvjeti ozbiljno su se pogoršali. Rodno uvjetovano nasilje, diskriminacija i govor mržnje prema manjinama (posebno lezbijkama te homoseksualnim, biseksualnim, transrodnim, interseksualnim i </w:t>
      </w:r>
      <w:r>
        <w:rPr>
          <w:rFonts w:ascii="Times New Roman" w:hAnsi="Times New Roman"/>
          <w:i/>
          <w:noProof/>
          <w:color w:val="000000" w:themeColor="text1"/>
          <w:sz w:val="24"/>
        </w:rPr>
        <w:t>queer</w:t>
      </w:r>
      <w:r>
        <w:rPr>
          <w:rFonts w:ascii="Times New Roman" w:hAnsi="Times New Roman"/>
          <w:noProof/>
          <w:color w:val="000000" w:themeColor="text1"/>
          <w:sz w:val="24"/>
        </w:rPr>
        <w:t xml:space="preserve"> osobama, (LGBTIQ)) i dalje su razlog za ozbiljnu zabrinutost.</w:t>
      </w:r>
    </w:p>
    <w:p w14:paraId="1E47A68F" w14:textId="53BAB110"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Turska je ostvarila određeni napredak u području </w:t>
      </w:r>
      <w:r>
        <w:rPr>
          <w:rFonts w:ascii="Times New Roman" w:hAnsi="Times New Roman"/>
          <w:b/>
          <w:noProof/>
          <w:color w:val="000000" w:themeColor="text1"/>
          <w:sz w:val="24"/>
        </w:rPr>
        <w:t>migracijske politike i politike azila</w:t>
      </w:r>
      <w:r>
        <w:rPr>
          <w:rFonts w:ascii="Times New Roman" w:hAnsi="Times New Roman"/>
          <w:noProof/>
          <w:color w:val="000000" w:themeColor="text1"/>
          <w:sz w:val="24"/>
        </w:rPr>
        <w:t xml:space="preserve">. Izjava EU-a i Turske i dalje je glavni okvir za suradnju EU-a i Turske, a njihova suradnja u području migracija se intenzivirala. Određeni napredak ostvaren je u daljnjem jačanju kapaciteta za nadzor i zaštitu kopnene granice s Iranom. Vraćanje nezakonitih migranata s grčkih otoka u skladu s Izjavom EU-a i Turske i dalje je suspendirano, još od ožujka 2020. Broj dolazaka nezakonitih migranata povećao se 2021. na većini ruta u usporedbi s 2020. Povećanje bi djelomice moglo biti posljedica ukidanja mjera koje su zemlje u regiji uvele 2020. kako bi obuzdale pandemiju bolesti COVID-19. Iako je broj nezakonitih dolazaka u Grčku pao u usporedbi s brojkama prije pandemije bolesti COVID-19, prošle godine znatno su porasli nezakoniti dolasci u Italiju i na područja Cipra pod kontrolom vlade te su uspostavljene nove krijumčarske rute. Turska još nije provela odredbe koje se odnose na državljane trećih zemalja iz sporazuma EU-a i Turske o ponovnom prihvatu koji je stupio na snagu u listopadu 2017. Općenito, broj nezakonitih prelazaka granice između Turske i Grčke i dalje je mnogo niži nego što je bio prije donošenja Izjave EU-a i Turske. </w:t>
      </w:r>
    </w:p>
    <w:p w14:paraId="3DCD71AC" w14:textId="05321F17" w:rsidR="00221F1C" w:rsidRDefault="00221F1C" w:rsidP="00221F1C">
      <w:pPr>
        <w:spacing w:after="120" w:line="240" w:lineRule="auto"/>
        <w:jc w:val="both"/>
        <w:rPr>
          <w:rFonts w:ascii="Times New Roman" w:eastAsia="Times New Roman" w:hAnsi="Times New Roman" w:cs="Times New Roman"/>
          <w:strike/>
          <w:noProof/>
          <w:color w:val="000000" w:themeColor="text1"/>
          <w:sz w:val="24"/>
          <w:szCs w:val="24"/>
        </w:rPr>
      </w:pPr>
      <w:r>
        <w:rPr>
          <w:rFonts w:ascii="Times New Roman" w:hAnsi="Times New Roman"/>
          <w:noProof/>
          <w:color w:val="000000" w:themeColor="text1"/>
          <w:sz w:val="24"/>
        </w:rPr>
        <w:t xml:space="preserve">Turska je nastavila ulagati znatne napore u prihvaćanje i zadovoljavanje potreba jedne od najvećih izbjegličkih zajednica na svijetu. Iz cjelovitog operativnog proračuna EU-ova Instrumenta za izbjeglice u iznosu od 6 milijardi EUR više od 4,7 milijardi EUR isplaćeno je do lipnja 2022. Potrebne su učinkovite mjere integracije kako bi se riješio problem dugotrajne prisutnosti izbjeglica u zemlji. Trebalo bi poboljšati pristup migranata i izbjeglica uslugama javnog zdravstva. Nisu ispunjena preostala mjerila za liberalizaciju viznog režima. Turska još mora dodatno uskladiti svoje zakonodavstvo s pravnom stečevinom EU-a o viznoj politici. </w:t>
      </w:r>
    </w:p>
    <w:p w14:paraId="0D8EB665"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Jednostrana </w:t>
      </w:r>
      <w:r>
        <w:rPr>
          <w:rFonts w:ascii="Times New Roman" w:hAnsi="Times New Roman"/>
          <w:b/>
          <w:noProof/>
          <w:color w:val="000000" w:themeColor="text1"/>
          <w:sz w:val="24"/>
        </w:rPr>
        <w:t>vanjska politika</w:t>
      </w:r>
      <w:r>
        <w:rPr>
          <w:rFonts w:ascii="Times New Roman" w:hAnsi="Times New Roman"/>
          <w:noProof/>
          <w:color w:val="000000" w:themeColor="text1"/>
          <w:sz w:val="24"/>
        </w:rPr>
        <w:t xml:space="preserve"> Turske još uvijek nije u skladu s prioritetima EU-a kad je riječ o zajedničkoj vanjskoj i sigurnosnoj politici, ponajviše zbog vojnog djelovanja u Siriji i Iraku te nepostojanja usklađenosti s EU-ovim mjerama ograničavanja protiv Rusije. Stopa usklađenosti Turske s vanjskom i sigurnosnom politikom EU-a i dalje je vrlo niska i iznosi 7 % (kolovoz 2022.). Turska vojna pomoć u Libiji, među ostalim i slanjem stranih boraca na teren, kao i njezino stalno kritiziranje operacije IRINI i izostanak suradnje s njom, štete EU-ovu nastojanju da se provede UN-ov embargo na oružje, a doveli su i do suprotstavljenih pristupa s obzirom na Libiju. Turska je i dalje</w:t>
      </w:r>
      <w:r>
        <w:rPr>
          <w:rFonts w:ascii="Times New Roman" w:hAnsi="Times New Roman"/>
          <w:noProof/>
          <w:sz w:val="24"/>
        </w:rPr>
        <w:t xml:space="preserve"> vrlo važan čimbenik u sirijskoj krizi i s EU-om je povezuje cilj stabilne i prosperitetne Sirije. </w:t>
      </w:r>
      <w:r>
        <w:rPr>
          <w:rFonts w:ascii="Times New Roman" w:hAnsi="Times New Roman"/>
          <w:noProof/>
          <w:color w:val="000000" w:themeColor="text1"/>
          <w:sz w:val="24"/>
        </w:rPr>
        <w:t xml:space="preserve">No njezine su postrojbe i dalje uvelike prisutne u toj regiji i ostalim dijelovima sjeverne Sirije. </w:t>
      </w:r>
      <w:r>
        <w:rPr>
          <w:rFonts w:ascii="Times New Roman" w:hAnsi="Times New Roman"/>
          <w:noProof/>
          <w:sz w:val="24"/>
        </w:rPr>
        <w:t>Zabrinutost Turske za sigurnost koju izaziva stanje u sjevernoj Siriji treba riješiti političkim i diplomatskim putem te u potpunosti u skladu s međunarodnim humanitarnim pravom, a ne vojnim djelovanjem.</w:t>
      </w:r>
    </w:p>
    <w:p w14:paraId="36F7EB2D" w14:textId="5F93E8CF" w:rsidR="00221F1C" w:rsidRDefault="00221F1C" w:rsidP="00221F1C">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Turska je rat Rusije protiv Ukrajine priznala kao ratno stanje i osudila je rusku agresiju. Primijenila je Konvenciju iz Montreuxa, čime je omogućen prolazak samo onih ratnih brodova koji se vraćaju u svoje baze. Turska poduzeća nastavila su prodavati naoružanje Ukrajini. Turska je nastojala posredovati u razgovorima između Ukrajine i Rusije te pomoći da se smanje napetosti i uspostavi primirje. Poduzela je i diplomatsku inicijativu kako bi se olakšao izvoz ukrajinskog žita. Dogovor postignut između Ukrajine i Rusije 22. srpnja u Istanbulu, koji je postignut uz pomoć UN-a i Turske, ne bi bio moguć bez konstruktivne uloge Turske koja je isto tako uključena u olakšanje njegove provedbe. Ipak, Turska se suzdržala od usklađivanja sa sankcijama EU-a protiv Rusije. Potpisala je Memorandum o razumijevanju radi razvoja gospodarskih i trgovinskih odnosa s Rusijom.</w:t>
      </w:r>
    </w:p>
    <w:p w14:paraId="6005F6CF" w14:textId="77777777" w:rsidR="00221F1C" w:rsidRDefault="00221F1C" w:rsidP="00221F1C">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Poboljšana dinamika u odnosima EU-a i Turske koja se primjećuje od prosinca 2020. nakon smanjenja napetosti na istočnom Sredozemlju trajala je nekoliko mjeseci prije nego što su se u travnju 2022. nastavile napetosti u Egejskom moru. U studenome 2021., nakon drugog preispitivanja okvira za mjere ograničavanja, Vijeće je produljilo režim za još jednu godinu, do 12. studenoga 2022. Trenutačno su dvije osobe pod sankcijama. Iako Turska nije obavljala nedopušteno bušenje na istočnom Sredozemlju tijekom razdoblja izvješćivanja, napetosti su rasle. Turski ratni brodovi nezakonito su onemogućili aktivnosti nadzora u ciparskom isključivom gospodarskom pojasu. Nastavljene su turske vojne vježbe u pomorskim zonama Cipra. Unatoč tomu što su međunarodna zajednica, a posebno EU, osudili jednostrane korake Turske, ona je nastavila s daljnjim aktivnostima na ponovnom otvaranju ograđenog grada Varoshe na Cipru.</w:t>
      </w:r>
    </w:p>
    <w:p w14:paraId="5FDA5EC1"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bookmarkStart w:id="18" w:name="_Hlk113878216"/>
      <w:r>
        <w:rPr>
          <w:rFonts w:ascii="Times New Roman" w:hAnsi="Times New Roman"/>
          <w:noProof/>
          <w:color w:val="000000" w:themeColor="text1"/>
          <w:sz w:val="24"/>
        </w:rPr>
        <w:t>Turska treba biti nedvosmisleno privržena dobrosusjedskim odnosima, poštovati međunarodne sporazume i mirno rješavati sporove u skladu s Poveljom Ujedinjenih naroda, uz mogućnost obraćanja Međunarodnom sudu bude li to potrebno.</w:t>
      </w:r>
    </w:p>
    <w:bookmarkEnd w:id="18"/>
    <w:p w14:paraId="5772001B" w14:textId="77777777" w:rsidR="00221F1C" w:rsidRDefault="00221F1C" w:rsidP="00221F1C">
      <w:pPr>
        <w:autoSpaceDE w:val="0"/>
        <w:autoSpaceDN w:val="0"/>
        <w:adjustRightInd w:val="0"/>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U lipnju 2022. Europsko vijeće izrazilo je duboku zabrinutost zbog nedavnih ponovljenih postupaka i izjava Turske. Podsjetilo je na prethodne zaključke i izjavu iz ožujka 2021. te je navelo da Turska mora poštovati suverenitet i teritorijalnu cjelovitost svih država članica EU-a. Naglasilo je da Europsko vijeće od Turske očekuje da u potpunosti poštuje međunarodno pravo, smiri napetosti radi regionalne stabilnosti na istočnom Sredozemlju te promiče dobrosusjedske odnose na održiv način. Europsko vijeće ponovilo je da je u strateškom interesu EU-a osigurati stabilno i sigurno okruženje na istočnom Sredozemlju, kao i razvoj suradnje i uzajamno koristan odnos s Turskom. Europsko vijeće ponovilo je svoju spremnost na postupan, proporcionalan i reverzibilan angažman s Turskom radi poboljšanja suradnje u nizu područja od zajedničkog interesa pod uvjetom da Turska ispuni uvjete utvrđene u prethodnim zaključcima Europskog vijeća i da se održi smanjivanje napetosti u istočnom Sredozemlju.</w:t>
      </w:r>
    </w:p>
    <w:p w14:paraId="4B7AFE86" w14:textId="0FF8EB12" w:rsidR="00221F1C" w:rsidRDefault="00221F1C" w:rsidP="00221F1C">
      <w:pPr>
        <w:spacing w:after="120" w:line="240" w:lineRule="auto"/>
        <w:jc w:val="both"/>
        <w:rPr>
          <w:rFonts w:ascii="Times New Roman" w:eastAsia="Calibri" w:hAnsi="Times New Roman" w:cs="Times New Roman"/>
          <w:bCs/>
          <w:noProof/>
          <w:color w:val="000000" w:themeColor="text1"/>
          <w:sz w:val="24"/>
          <w:szCs w:val="24"/>
        </w:rPr>
      </w:pPr>
      <w:bookmarkStart w:id="19" w:name="_Hlk113878847"/>
      <w:r>
        <w:rPr>
          <w:rFonts w:ascii="Times New Roman" w:hAnsi="Times New Roman"/>
          <w:noProof/>
          <w:color w:val="000000" w:themeColor="text1"/>
          <w:sz w:val="24"/>
        </w:rPr>
        <w:t xml:space="preserve">Kad je riječ o </w:t>
      </w:r>
      <w:r>
        <w:rPr>
          <w:rFonts w:ascii="Times New Roman" w:hAnsi="Times New Roman"/>
          <w:b/>
          <w:noProof/>
          <w:color w:val="000000" w:themeColor="text1"/>
          <w:sz w:val="24"/>
        </w:rPr>
        <w:t>gospodarskim kriterijima</w:t>
      </w:r>
      <w:r>
        <w:rPr>
          <w:rFonts w:ascii="Times New Roman" w:hAnsi="Times New Roman"/>
          <w:noProof/>
          <w:color w:val="000000" w:themeColor="text1"/>
          <w:sz w:val="24"/>
        </w:rPr>
        <w:t xml:space="preserve">, tursko gospodarstvo </w:t>
      </w:r>
      <w:r>
        <w:rPr>
          <w:rFonts w:ascii="Times New Roman" w:hAnsi="Times New Roman"/>
          <w:b/>
          <w:noProof/>
          <w:color w:val="000000" w:themeColor="text1"/>
          <w:sz w:val="24"/>
        </w:rPr>
        <w:t xml:space="preserve">daleko je odmaklo, </w:t>
      </w:r>
      <w:r>
        <w:rPr>
          <w:rFonts w:ascii="Times New Roman" w:hAnsi="Times New Roman"/>
          <w:noProof/>
          <w:color w:val="000000" w:themeColor="text1"/>
          <w:sz w:val="24"/>
        </w:rPr>
        <w:t>ali tijekom razdoblja izvješćivanja</w:t>
      </w:r>
      <w:r>
        <w:rPr>
          <w:rFonts w:ascii="Times New Roman" w:hAnsi="Times New Roman"/>
          <w:b/>
          <w:noProof/>
          <w:color w:val="000000" w:themeColor="text1"/>
          <w:sz w:val="24"/>
        </w:rPr>
        <w:t>nije ostvaren napredak</w:t>
      </w:r>
      <w:r>
        <w:rPr>
          <w:rFonts w:ascii="Times New Roman" w:hAnsi="Times New Roman"/>
          <w:noProof/>
          <w:color w:val="000000" w:themeColor="text1"/>
          <w:sz w:val="24"/>
        </w:rPr>
        <w:t>.</w:t>
      </w:r>
      <w:r>
        <w:rPr>
          <w:rFonts w:ascii="Times New Roman" w:hAnsi="Times New Roman"/>
          <w:noProof/>
          <w:sz w:val="24"/>
        </w:rPr>
        <w:t xml:space="preserve"> </w:t>
      </w:r>
      <w:bookmarkStart w:id="20" w:name="_Hlk113878679"/>
      <w:r>
        <w:rPr>
          <w:rFonts w:ascii="Times New Roman" w:hAnsi="Times New Roman"/>
          <w:noProof/>
          <w:color w:val="000000" w:themeColor="text1"/>
          <w:sz w:val="24"/>
        </w:rPr>
        <w:t xml:space="preserve">Kontinuirano dobro funkcioniranje tržišnog gospodarstva Turske i dalje izaziva zabrinutost jer je bilo nazadovanja u važnim elementima, kao što su vođenje monetarne politike te institucionalno i regulatorno okruženje. </w:t>
      </w:r>
      <w:bookmarkEnd w:id="19"/>
      <w:bookmarkEnd w:id="20"/>
      <w:r>
        <w:rPr>
          <w:rFonts w:ascii="Times New Roman" w:hAnsi="Times New Roman"/>
          <w:noProof/>
          <w:color w:val="000000" w:themeColor="text1"/>
          <w:sz w:val="24"/>
        </w:rPr>
        <w:t>Gospodarstvo se snažno oporavilo od krize uzrokovane bolešću COVID-19 i 2021. poraslo je za 11,4 % te više od 7 % u prvoj polovini 2022. unatoč posljedicama ruske invazije na Ukrajinu. Pretjerano opuštena monetarna politika i nepostojanje vjerodostojnosti politike oslabili su liru i doveli službenu inflaciju na najvišu stopu u posljednja dva desetljeća od 80 %. Više cijene uvezene robe povećale su vanjske neravnoteže, koje su i dalje glavna osjetljiva točka s obzirom na povećanu nesigurnost i nisku razinu međunarodnih rezervi. Izvršenje proračuna nadmašilo je planove, no povećao se vladin dug, a fiskalna je politika pod sve većim pritiskom, opterećena neuspješnim pokušajima da ograniči rast inflacije i podupre domaću valutu.</w:t>
      </w:r>
    </w:p>
    <w:p w14:paraId="4883380A" w14:textId="15FBFA38" w:rsidR="00221F1C" w:rsidRDefault="00221F1C" w:rsidP="00221F1C">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Institucionalno i regulatorno okruženje ostaje slabo, posebno kad je riječ o predvidljivosti, transparentnosti i provedbi propisa. Neki važni koraci poduzeti su kako bi se poboljšalo rješavanje trgovinskih sporova. Unatoč postupnom padu neformalni sektor i dalje čini znatan dio gospodarske aktivnosti. Država je nastavila intervenirati u mehanizme određivanja cijena. Kad je riječ o državnim potporama, nema odgovarajućih pravila o njihovoj primjeni, provedbi i transparentnosti. Bankarski sektor ostao je uglavnom stabilan, a adekvatnost kapitala iznad regulatornih zahtjeva. Smanjili su se neprihodonosni krediti i povećala profitabilnost, ali i rizici od dolarizacije i financijske nestabilnosti. Tržište rada oporavilo se od pandemije, ali ostaju duboko ukorijenjeni strukturni problemi, kao što je znatna razlika u zaposlenosti između muškaraca i žena, visoka stopa nezaposlenosti mladih i velike regionalne razlike.</w:t>
      </w:r>
    </w:p>
    <w:p w14:paraId="6D09BDE8" w14:textId="4AE9E783" w:rsidR="00221F1C" w:rsidRDefault="00221F1C" w:rsidP="00221F1C">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Turska je</w:t>
      </w:r>
      <w:r>
        <w:rPr>
          <w:noProof/>
        </w:rPr>
        <w:t xml:space="preserve"> </w:t>
      </w:r>
      <w:r>
        <w:rPr>
          <w:rFonts w:ascii="Times New Roman" w:hAnsi="Times New Roman"/>
          <w:noProof/>
          <w:color w:val="000000" w:themeColor="text1"/>
          <w:sz w:val="24"/>
        </w:rPr>
        <w:t>u razdoblju izvješćivanja postigla dobru razinu pripremljenosti i ostvarila je ograničeni napredak u razvoju kapaciteta za suočavanje s pritiskom konkurencije i tržišnim silama u EU-u. Unatoč određenom napretku u poboljšanju strukovnog osposobljavanja i dalje postoji neusklađenost između obrazovnog sustava i potreba tržišta rada. Rashodi za istraživanje i razvoj nastavili su vrlo sporo rasti i ostali su daleko ispod cilja koji je odredila vlada. Ulagačka aktivnost usporila je u drugoj polovini 2021. Nastavio se napredak kad je riječ o diversifikaciji opskrbe energijom i povećanju udjela energije iz obnovljivih izvora. Postoji zabrinutost zbog širenja praksi zahtjeva o lokalnom sadržaju. Turska je ukinula neke od dodatnih carina koje je uvela unatoč obvezama u okviru carinske unije EU-a i Turske, no bilateralnu trgovinu potkopavaju velika odstupanja od obveza u okviru carinske unije EU-a i Turske.</w:t>
      </w:r>
    </w:p>
    <w:p w14:paraId="29C76B2A" w14:textId="77777777" w:rsidR="00221F1C" w:rsidRDefault="00221F1C" w:rsidP="00221F1C">
      <w:pPr>
        <w:spacing w:after="120" w:line="240" w:lineRule="auto"/>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Turska je umjereno pripremljena u području </w:t>
      </w:r>
      <w:r>
        <w:rPr>
          <w:rFonts w:ascii="Times New Roman" w:hAnsi="Times New Roman"/>
          <w:b/>
          <w:noProof/>
          <w:color w:val="000000" w:themeColor="text1"/>
          <w:sz w:val="24"/>
        </w:rPr>
        <w:t>javne nabave</w:t>
      </w:r>
      <w:r>
        <w:rPr>
          <w:rFonts w:ascii="Times New Roman" w:hAnsi="Times New Roman"/>
          <w:noProof/>
          <w:color w:val="000000" w:themeColor="text1"/>
          <w:sz w:val="24"/>
        </w:rPr>
        <w:t>, ali tijekom razdoblja izvješćivanja</w:t>
      </w:r>
      <w:r>
        <w:rPr>
          <w:rFonts w:ascii="Times New Roman" w:hAnsi="Times New Roman"/>
          <w:b/>
          <w:noProof/>
          <w:color w:val="000000" w:themeColor="text1"/>
          <w:sz w:val="24"/>
        </w:rPr>
        <w:t xml:space="preserve"> </w:t>
      </w:r>
      <w:r>
        <w:rPr>
          <w:rFonts w:ascii="Times New Roman" w:hAnsi="Times New Roman"/>
          <w:noProof/>
          <w:color w:val="000000" w:themeColor="text1"/>
          <w:sz w:val="24"/>
        </w:rPr>
        <w:t xml:space="preserve">nije ostvarila napredak, stoga i dalje postoje veliki nedostaci u usklađenosti s pravnom stečevinom EU-a. Nastavila je s diskriminirajućom praksom pogodnosti u pogledu domaćih cijena i kompenzacije pri čemu se daje prednost lokalnim proizvodima. Turska je umjereno pripremljena u području </w:t>
      </w:r>
      <w:r>
        <w:rPr>
          <w:rFonts w:ascii="Times New Roman" w:hAnsi="Times New Roman"/>
          <w:b/>
          <w:noProof/>
          <w:color w:val="000000" w:themeColor="text1"/>
          <w:sz w:val="24"/>
        </w:rPr>
        <w:t>statistike</w:t>
      </w:r>
      <w:r>
        <w:rPr>
          <w:rFonts w:ascii="Times New Roman" w:hAnsi="Times New Roman"/>
          <w:noProof/>
          <w:color w:val="000000" w:themeColor="text1"/>
          <w:sz w:val="24"/>
        </w:rPr>
        <w:t xml:space="preserve"> i ostvarila je ograničeni napredak tijekom razdoblja izvješćivanja. Česte promjene rukovodstva u turskom Zavodu za statistiku posljednjih nekoliko godina, među ostalim u razdoblju izvješćivanja, znatno su potkopale njegovu vjerodostojnost. Pouzdanost ključnih gospodarskih podataka opetovano se dovodila u pitanje. Turska je postigla dobru razinu pripremljenosti u području </w:t>
      </w:r>
      <w:r>
        <w:rPr>
          <w:rFonts w:ascii="Times New Roman" w:hAnsi="Times New Roman"/>
          <w:b/>
          <w:noProof/>
          <w:color w:val="000000" w:themeColor="text1"/>
          <w:sz w:val="24"/>
        </w:rPr>
        <w:t>financijske kontrole</w:t>
      </w:r>
      <w:r>
        <w:rPr>
          <w:rFonts w:ascii="Times New Roman" w:hAnsi="Times New Roman"/>
          <w:noProof/>
          <w:color w:val="000000" w:themeColor="text1"/>
          <w:sz w:val="24"/>
        </w:rPr>
        <w:t>, iako nije ostvaren napredak tijekom razdoblja izvješćivanja. Strateški dokument unutarnje financijske kontrole u javnom sektoru još nije ažuriran i još nije ponovno uspostavljena mreža koordinacijske službe za borbu protiv prijevara (AFCOS).</w:t>
      </w:r>
    </w:p>
    <w:p w14:paraId="6266E3BA"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Kad je riječ o </w:t>
      </w:r>
      <w:r>
        <w:rPr>
          <w:rFonts w:ascii="Times New Roman" w:hAnsi="Times New Roman"/>
          <w:b/>
          <w:noProof/>
          <w:color w:val="000000" w:themeColor="text1"/>
          <w:sz w:val="24"/>
        </w:rPr>
        <w:t>sposobnosti za preuzimanje obveza članstva</w:t>
      </w:r>
      <w:r>
        <w:rPr>
          <w:rFonts w:ascii="Times New Roman" w:hAnsi="Times New Roman"/>
          <w:noProof/>
          <w:color w:val="000000" w:themeColor="text1"/>
          <w:sz w:val="24"/>
        </w:rPr>
        <w:t xml:space="preserve">, usklađenost Turske s pravnom stečevinom EU-a bila je vrlo ograničena, a usklađivanje se često provodilo na </w:t>
      </w:r>
      <w:r>
        <w:rPr>
          <w:rFonts w:ascii="Times New Roman" w:hAnsi="Times New Roman"/>
          <w:i/>
          <w:noProof/>
          <w:color w:val="000000" w:themeColor="text1"/>
          <w:sz w:val="24"/>
        </w:rPr>
        <w:t>ad hoc</w:t>
      </w:r>
      <w:r>
        <w:rPr>
          <w:rFonts w:ascii="Times New Roman" w:hAnsi="Times New Roman"/>
          <w:noProof/>
          <w:color w:val="000000" w:themeColor="text1"/>
          <w:sz w:val="24"/>
        </w:rPr>
        <w:t xml:space="preserve"> osnovi.</w:t>
      </w:r>
    </w:p>
    <w:p w14:paraId="203B3CA0" w14:textId="0A636A41" w:rsidR="00221F1C" w:rsidRDefault="00221F1C" w:rsidP="00221F1C">
      <w:pPr>
        <w:widowControl w:val="0"/>
        <w:autoSpaceDE w:val="0"/>
        <w:autoSpaceDN w:val="0"/>
        <w:adjustRightInd w:val="0"/>
        <w:spacing w:after="120" w:line="240" w:lineRule="auto"/>
        <w:ind w:right="57"/>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Skupina poglavlja o unutarnjem tržištu</w:t>
      </w:r>
      <w:r>
        <w:rPr>
          <w:rFonts w:ascii="Times New Roman" w:hAnsi="Times New Roman"/>
          <w:noProof/>
          <w:color w:val="000000" w:themeColor="text1"/>
          <w:sz w:val="24"/>
        </w:rPr>
        <w:t xml:space="preserve"> ključna je za dobro funkcioniranje carinske unije EU-a i Turske te za integriranje Turske u jedinstveno tržište EU-a. Pripreme u području slobode kretanja radnika, prava poslovnog nastana i slobode pružanja usluga u ranoj su fazi jer su mnoge profesije nedostupne građanima EU-a. Turska je postigla dobru razinu pripremljenosti za slobodno kretanje robe. I dalje postoje tehničke prepreke trgovini. Turska je umjereno pripremljena</w:t>
      </w:r>
      <w:r>
        <w:rPr>
          <w:rFonts w:ascii="Times New Roman" w:hAnsi="Times New Roman"/>
          <w:b/>
          <w:noProof/>
          <w:color w:val="000000" w:themeColor="text1"/>
          <w:sz w:val="24"/>
        </w:rPr>
        <w:t xml:space="preserve"> </w:t>
      </w:r>
      <w:r>
        <w:rPr>
          <w:rFonts w:ascii="Times New Roman" w:hAnsi="Times New Roman"/>
          <w:noProof/>
          <w:color w:val="000000" w:themeColor="text1"/>
          <w:sz w:val="24"/>
        </w:rPr>
        <w:t>u području slobodnog kretanja kapitala jer i dalje postoje ograničenja u pogledu stranog vlasništva i kretanja kapitala. Mora nastaviti rješavati probleme u okviru kojim se uređuje borba protiv pranja novca i financiranja terorizma.</w:t>
      </w:r>
    </w:p>
    <w:p w14:paraId="1B9188BD" w14:textId="77777777" w:rsidR="00221F1C" w:rsidRDefault="00221F1C" w:rsidP="00221F1C">
      <w:pPr>
        <w:widowControl w:val="0"/>
        <w:autoSpaceDE w:val="0"/>
        <w:autoSpaceDN w:val="0"/>
        <w:adjustRightInd w:val="0"/>
        <w:spacing w:after="120" w:line="240" w:lineRule="auto"/>
        <w:ind w:right="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Turska je dobro napredovala u području prava trgovačkih društava i treba dodatno napredovati u usklađivanju s pravnom stečevinom EU-a.</w:t>
      </w:r>
      <w:r>
        <w:rPr>
          <w:rFonts w:ascii="Times New Roman" w:hAnsi="Times New Roman"/>
          <w:i/>
          <w:noProof/>
          <w:color w:val="000000" w:themeColor="text1"/>
          <w:sz w:val="24"/>
        </w:rPr>
        <w:t xml:space="preserve"> </w:t>
      </w:r>
      <w:r>
        <w:rPr>
          <w:rFonts w:ascii="Times New Roman" w:hAnsi="Times New Roman"/>
          <w:noProof/>
          <w:color w:val="000000" w:themeColor="text1"/>
          <w:sz w:val="24"/>
        </w:rPr>
        <w:t>Postigla je dobru razinu pripremljenosti u području prava intelektualnog vlasništva, ali treba poboljšati provedbu. Ostvarila je određenu razinu pripremljenosti u politici tržišnog natjecanja. Ozbiljnu zabrinutost predstavljaju pravni okvir, sposobnost provedbe i transparentnost u području pružanja državne potpore. Turska je dobro pripremljena u području financijskih usluga i donekle je napredovala, među ostalim razvojem novih alternativnih instrumenata financiranja. Dobro je pripremljena u usklađivanju zakonodavstva o zaštiti potrošača i zdravlja, a određeni napredak ostvarila je posebno u usklađivanju s pravnom stečevinom EU-a i u jačanju međusektorske suradnje.</w:t>
      </w:r>
    </w:p>
    <w:p w14:paraId="3937807E" w14:textId="77777777" w:rsidR="00221F1C" w:rsidRDefault="00221F1C" w:rsidP="00221F1C">
      <w:pPr>
        <w:widowControl w:val="0"/>
        <w:autoSpaceDE w:val="0"/>
        <w:autoSpaceDN w:val="0"/>
        <w:adjustRightInd w:val="0"/>
        <w:spacing w:after="120" w:line="240" w:lineRule="auto"/>
        <w:ind w:right="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U </w:t>
      </w:r>
      <w:r>
        <w:rPr>
          <w:rFonts w:ascii="Times New Roman" w:hAnsi="Times New Roman"/>
          <w:b/>
          <w:noProof/>
          <w:color w:val="000000" w:themeColor="text1"/>
          <w:sz w:val="24"/>
        </w:rPr>
        <w:t>skupini poglavlja o konkurentnosti i uključivom razvoju</w:t>
      </w:r>
      <w:r>
        <w:rPr>
          <w:rFonts w:ascii="Times New Roman" w:hAnsi="Times New Roman"/>
          <w:noProof/>
          <w:color w:val="000000" w:themeColor="text1"/>
          <w:sz w:val="24"/>
        </w:rPr>
        <w:t xml:space="preserve"> Turska je unatoč tome što je nastavila nazadovati postigla određenu razinu pripremljenosti u području digitalne transformacije i medija. Tijekom razdoblja izvješćivanja postignuta je napredna razina pripremljenosti u području znanosti i istraživanja i zemlja je ostvarila dobar napredak, posebice zaključenjem sporazuma o pridruživanju programu Obzor Europa za razdoblje 2021.–2027. Turska je umjereno pripremljena u području obrazovanja i kulture i ostvarila je određeni napredak, posebno u strukovnom obrazovanju, nacionalnom sustavu kvalifikacija te u sudjelovanju u programima EU-a.</w:t>
      </w:r>
    </w:p>
    <w:p w14:paraId="214946B4" w14:textId="77777777" w:rsidR="00221F1C" w:rsidRDefault="00221F1C" w:rsidP="00221F1C">
      <w:pPr>
        <w:widowControl w:val="0"/>
        <w:autoSpaceDE w:val="0"/>
        <w:autoSpaceDN w:val="0"/>
        <w:adjustRightInd w:val="0"/>
        <w:spacing w:after="120" w:line="240" w:lineRule="auto"/>
        <w:ind w:right="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Kad je riječ o poglavljima o gospodarstvu, nastavilo se nazadovanje u gospodarskoj i monetarnoj politici, što upućuje na neučinkovitu politiku osiguravanja stabilnosti cijena i učvršćivanja inflacijskih očekivanja. Središnja banka i dalje je pod znatnim političkim pritiskom, pa je potrebno obnoviti njezinu funkcionalnu neovisnost. Turska je ostvarila ograničeni napredak u poduzetničkoj i industrijskoj politici, a glavni problemi u vezi s mjerama koje nisu usklađene s načelima industrijske politike EU-a ostaju neriješeni. Tijekom razdoblja izvješćivanja nije ostvaren napredak u području socijalne politike i zapošljavanja, a izvor zabrinutosti ostaju sindikalna prava, nedostatak istinskog socijalnog dijaloga i stalne razine neformalne gospodarske aktivnosti.</w:t>
      </w:r>
    </w:p>
    <w:p w14:paraId="132A3492" w14:textId="22EFF50A" w:rsidR="00221F1C" w:rsidRDefault="00221F1C" w:rsidP="00221F1C">
      <w:pPr>
        <w:widowControl w:val="0"/>
        <w:autoSpaceDE w:val="0"/>
        <w:autoSpaceDN w:val="0"/>
        <w:adjustRightInd w:val="0"/>
        <w:spacing w:after="120" w:line="240" w:lineRule="auto"/>
        <w:ind w:right="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Iako je Turska umjereno pripremljena u području oporezivanja, nije ostvarila napredak tijekom razdoblja izvješćivanja i postoji potreba za jasnom strategijom kojom bi se izbjegle česte promjene poreznih stopa i omogućila razmjena informacija o porezima sa svim državama članicama EU-a. Turska je ostala na dobroj razini pripremljenosti za carinsku uniju, ali ostvarila je ograničeni napredak, posebice ukidanjem nekih dodatnih carina na uvoz proizvoda podrijetlom iz trećih zemalja. Međutim, nastavljaju se odstupanja Turske od njezinih obveza prema carinskoj uniji EU-a i Turske, što pridonosi velikom broju prepreka trgovini.</w:t>
      </w:r>
    </w:p>
    <w:p w14:paraId="552F7BF6" w14:textId="77777777" w:rsidR="00221F1C" w:rsidRDefault="00221F1C" w:rsidP="00221F1C">
      <w:pPr>
        <w:spacing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Kad je riječ o </w:t>
      </w:r>
      <w:r>
        <w:rPr>
          <w:rFonts w:ascii="Times New Roman" w:hAnsi="Times New Roman"/>
          <w:b/>
          <w:noProof/>
          <w:color w:val="000000" w:themeColor="text1"/>
          <w:sz w:val="24"/>
        </w:rPr>
        <w:t>skupini poglavlja o zelenom programu i održivoj povezivosti</w:t>
      </w:r>
      <w:r>
        <w:rPr>
          <w:rFonts w:ascii="Times New Roman" w:hAnsi="Times New Roman"/>
          <w:noProof/>
          <w:color w:val="000000" w:themeColor="text1"/>
          <w:sz w:val="24"/>
        </w:rPr>
        <w:t>, Turska je umjereno pripremljena u području prometne politike. Tijekom razdoblja izvješćivanja ostvarila je ograničeni napredak, uglavnom u vezi s donošenjem plana za znatno povećanje korištenja željezničkog prijevoza. Turska je umjereno pripremljena u području energetike i općenito je ostvarila ograničeni napredak. I dalje napreduje u uvođenju energije iz obnovljivih izvora, reformama u sektoru prirodnog plina te u usklađivanju zakonodavstva o nuklearnoj sigurnosti. Turska je ostvarila dobar napredak u transeuropskim mrežama i određeni napredak uglavnom u energetskim mrežama zahvaljujući neometanom radu transanatolijskog plinovoda. Nastavila se izgradnja željezničke pruge Halkali–Kapikule koja povezuje bugarsku granicu s Istanbulom. Turska je donekle pripremljena u području okoliša i klimatskih promjena, ali općenito nije ostvarila napredak tijekom razdoblja izvješćivanja. Turska se suočava s ključnim ekološkim i klimatskim izazovima u vezi s ublažavanjem i prilagodbom. Potrebno je izraditi i provesti ambiciozniju i bolje koordiniranu ekološku i klimatsku politiku. Turska i dalje treba povećati svoj doprinos Pariškom sporazumu o klimatskim promjenama te ga realizirati i dovršiti usklađivanje s pravnom stečevinom o djelovanju u području klime.</w:t>
      </w:r>
    </w:p>
    <w:p w14:paraId="19B36BAE" w14:textId="77777777" w:rsidR="00221F1C" w:rsidRDefault="00221F1C" w:rsidP="00221F1C">
      <w:pPr>
        <w:widowControl w:val="0"/>
        <w:autoSpaceDE w:val="0"/>
        <w:autoSpaceDN w:val="0"/>
        <w:adjustRightInd w:val="0"/>
        <w:spacing w:after="120" w:line="240" w:lineRule="auto"/>
        <w:ind w:right="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S obzirom na </w:t>
      </w:r>
      <w:r>
        <w:rPr>
          <w:rFonts w:ascii="Times New Roman" w:hAnsi="Times New Roman"/>
          <w:b/>
          <w:noProof/>
          <w:color w:val="000000" w:themeColor="text1"/>
          <w:sz w:val="24"/>
        </w:rPr>
        <w:t>skupinu poglavlja o resursima, poljoprivredi i koheziji</w:t>
      </w:r>
      <w:r>
        <w:rPr>
          <w:rFonts w:ascii="Times New Roman" w:hAnsi="Times New Roman"/>
          <w:noProof/>
          <w:color w:val="000000" w:themeColor="text1"/>
          <w:sz w:val="24"/>
        </w:rPr>
        <w:t xml:space="preserve"> Turska je postigla određenu razinu pripremljenosti u području poljoprivrede i ruralnog razvoja. </w:t>
      </w:r>
      <w:bookmarkStart w:id="21" w:name="_Hlk113955206"/>
      <w:r>
        <w:rPr>
          <w:rFonts w:ascii="Times New Roman" w:hAnsi="Times New Roman"/>
          <w:noProof/>
          <w:color w:val="000000" w:themeColor="text1"/>
          <w:sz w:val="24"/>
        </w:rPr>
        <w:t xml:space="preserve">Nazadovanje se nastavilo tijekom razdoblja izvješćivanja jer se njezina poljoprivredna politika stalno odmiče od glavnih načela zajedničke poljoprivredne politike EU-a i Turska je nastavila ograničavati uvoz poljoprivrednih proizvoda iz EU-a. </w:t>
      </w:r>
      <w:bookmarkEnd w:id="21"/>
      <w:r>
        <w:rPr>
          <w:rFonts w:ascii="Times New Roman" w:hAnsi="Times New Roman"/>
          <w:noProof/>
          <w:color w:val="000000" w:themeColor="text1"/>
          <w:sz w:val="24"/>
        </w:rPr>
        <w:t xml:space="preserve">Turska je važan izvoznik prehrambenih proizvoda u EU i ostvarila je ograničeni napredak u području sigurnosti hrane, veterinarske i fitosanitarne politike. Potrebno je uložiti puno veći trud u potpunu provedbu pravne stečevine EU-a u tom području. </w:t>
      </w:r>
      <w:r>
        <w:rPr>
          <w:rFonts w:ascii="Times New Roman" w:hAnsi="Times New Roman"/>
          <w:noProof/>
          <w:color w:val="000000"/>
          <w:sz w:val="24"/>
        </w:rPr>
        <w:t xml:space="preserve"> Turska je umjereno pripremljena</w:t>
      </w:r>
      <w:r>
        <w:rPr>
          <w:rFonts w:ascii="Times New Roman" w:hAnsi="Times New Roman"/>
          <w:b/>
          <w:noProof/>
          <w:color w:val="000000"/>
          <w:sz w:val="24"/>
        </w:rPr>
        <w:t xml:space="preserve"> </w:t>
      </w:r>
      <w:r>
        <w:rPr>
          <w:rFonts w:ascii="Times New Roman" w:hAnsi="Times New Roman"/>
          <w:noProof/>
          <w:color w:val="000000"/>
          <w:sz w:val="24"/>
        </w:rPr>
        <w:t>u području ribarstva i</w:t>
      </w:r>
      <w:r>
        <w:rPr>
          <w:rFonts w:ascii="Times New Roman" w:hAnsi="Times New Roman"/>
          <w:noProof/>
          <w:color w:val="000000" w:themeColor="text1"/>
          <w:sz w:val="24"/>
        </w:rPr>
        <w:t xml:space="preserve"> nastavila je dobro napredovati, posebice u provedbi novog zakona o ribarstvu, upravljanju resursima i flotom te inspekcijama i kontrolama. Umjereno je pripremljena u području regionalne politike i koordinacije strukturnih instrumenata te je nastavila donekle napredovati u ubrzavanju apsorpcije sredstava iz instrumenta IPA II. Turska je donekle pripremljena u području financijskih i proračunskih odredbi, ali nije ostvarila napredak tijekom razdoblja izvješćivanja.</w:t>
      </w:r>
    </w:p>
    <w:p w14:paraId="7080A166" w14:textId="6A9847AA" w:rsidR="00694373" w:rsidRPr="009575A1" w:rsidRDefault="00221F1C" w:rsidP="00694373">
      <w:pPr>
        <w:widowControl w:val="0"/>
        <w:autoSpaceDE w:val="0"/>
        <w:autoSpaceDN w:val="0"/>
        <w:adjustRightInd w:val="0"/>
        <w:spacing w:after="120" w:line="240" w:lineRule="auto"/>
        <w:ind w:right="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U </w:t>
      </w:r>
      <w:r>
        <w:rPr>
          <w:rFonts w:ascii="Times New Roman" w:hAnsi="Times New Roman"/>
          <w:b/>
          <w:noProof/>
          <w:color w:val="000000" w:themeColor="text1"/>
          <w:sz w:val="24"/>
        </w:rPr>
        <w:t>skupini poglavlja o vanjskim odnosima</w:t>
      </w:r>
      <w:r>
        <w:rPr>
          <w:rFonts w:ascii="Times New Roman" w:hAnsi="Times New Roman"/>
          <w:noProof/>
          <w:color w:val="000000" w:themeColor="text1"/>
          <w:sz w:val="24"/>
        </w:rPr>
        <w:t xml:space="preserve"> Turska je umjereno pripremljena kad je riječ o području vanjskih odnosa i ostvarila je ograničeni napredak tijekom razdoblja izvješćivanja, ponajviše zbog kontinuiranog odstupanja od Zajedničke carinske tarife. Nastavilo se odstupanje od općeg sustava povlastica EU-a, čime se krši carinska unija EU-a i Turske. </w:t>
      </w:r>
      <w:r>
        <w:rPr>
          <w:rFonts w:ascii="Times New Roman" w:hAnsi="Times New Roman"/>
          <w:noProof/>
          <w:sz w:val="24"/>
        </w:rPr>
        <w:t xml:space="preserve">Turska službena razvojna pomoć uvelike je bila usmjerena na humanitarnu potporu aktivnostima povezanima sa Sirijom na turskom državnom području. </w:t>
      </w:r>
      <w:r>
        <w:rPr>
          <w:rFonts w:ascii="Times New Roman" w:hAnsi="Times New Roman"/>
          <w:noProof/>
          <w:color w:val="000000" w:themeColor="text1"/>
          <w:sz w:val="24"/>
        </w:rPr>
        <w:t xml:space="preserve">Turska je ostvarila određenu razinu pripremljenosti u području vanjske, sigurnosne i obrambene politike. Općenito, nastavio se nesklad vanjske politike Turske s prioritetima EU-a u okviru zajedničke vanjske i sigurnosne politike. Neusklađenost Turske s EU-ovim mjerama ograničavanja protiv Rusije posebno izaziva zabrinutost zbog slobodnog protoka proizvoda, uključujući robu dvojne namjene, unutar carinske unije EU-a i Turske. </w:t>
      </w:r>
      <w:bookmarkStart w:id="22" w:name="_Hlk116221678"/>
      <w:r>
        <w:rPr>
          <w:rFonts w:ascii="Times New Roman" w:hAnsi="Times New Roman"/>
          <w:noProof/>
          <w:color w:val="000000" w:themeColor="text1"/>
          <w:sz w:val="24"/>
        </w:rPr>
        <w:t>Time se stvara rizik od ugrožavanja EU-ovih mjera ograničavanja. Kako bi carinska unija nastavila funkcionirati, strane moraju u potpunosti poštovati postojeća pravila i izbjegavati narušavanje uzajamnog povjerenja.</w:t>
      </w:r>
    </w:p>
    <w:bookmarkEnd w:id="22"/>
    <w:p w14:paraId="32C41F82" w14:textId="77777777" w:rsidR="00221F1C" w:rsidRDefault="00221F1C" w:rsidP="00221F1C">
      <w:pPr>
        <w:widowControl w:val="0"/>
        <w:autoSpaceDE w:val="0"/>
        <w:autoSpaceDN w:val="0"/>
        <w:adjustRightInd w:val="0"/>
        <w:spacing w:after="120" w:line="240" w:lineRule="auto"/>
        <w:ind w:right="57"/>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Općenito uzevši, u mnogim područjima treba još mnogo raditi na tome da se zakonodavstvo uskladi s pravnom stečevinom EU-a. U svim područjima treba znatno poboljšati provedbu i primjenu. Osiguravanje neovisnosti regulatornih tijela i razvoj administrativnih kapaciteta ključni su kako bi Turska mogla ostvariti daljnji napredak.</w:t>
      </w:r>
    </w:p>
    <w:p w14:paraId="28F98170" w14:textId="77777777" w:rsidR="00221F1C" w:rsidRDefault="00221F1C" w:rsidP="00221F1C">
      <w:pPr>
        <w:spacing w:after="120" w:line="240" w:lineRule="auto"/>
        <w:jc w:val="both"/>
        <w:rPr>
          <w:rFonts w:ascii="Times New Roman" w:eastAsia="Calibri" w:hAnsi="Times New Roman" w:cs="Times New Roman"/>
          <w:i/>
          <w:noProof/>
          <w:sz w:val="24"/>
          <w:szCs w:val="24"/>
        </w:rPr>
      </w:pPr>
    </w:p>
    <w:p w14:paraId="06E77CE8" w14:textId="77777777" w:rsidR="00221F1C" w:rsidRDefault="00221F1C" w:rsidP="00221F1C">
      <w:pPr>
        <w:rPr>
          <w:rFonts w:ascii="Times New Roman" w:eastAsia="Calibri" w:hAnsi="Times New Roman" w:cs="Times New Roman"/>
          <w:b/>
          <w:noProof/>
          <w:sz w:val="24"/>
          <w:szCs w:val="24"/>
        </w:rPr>
      </w:pPr>
      <w:r>
        <w:rPr>
          <w:noProof/>
        </w:rPr>
        <w:br w:type="page"/>
      </w:r>
    </w:p>
    <w:p w14:paraId="79AF943D" w14:textId="77777777" w:rsidR="00221F1C" w:rsidRDefault="00221F1C" w:rsidP="00221F1C">
      <w:pPr>
        <w:spacing w:after="120" w:line="240" w:lineRule="auto"/>
        <w:jc w:val="both"/>
        <w:rPr>
          <w:rFonts w:ascii="Times New Roman" w:eastAsia="Calibri" w:hAnsi="Times New Roman" w:cs="Times New Roman"/>
          <w:b/>
          <w:noProof/>
          <w:sz w:val="24"/>
          <w:szCs w:val="24"/>
        </w:rPr>
      </w:pPr>
      <w:r>
        <w:rPr>
          <w:rFonts w:ascii="Times New Roman" w:hAnsi="Times New Roman"/>
          <w:b/>
          <w:noProof/>
          <w:sz w:val="24"/>
        </w:rPr>
        <w:t>Prilog 2. Provedba gospodarskog i investicijskog plana (EIP) za zapadni Balkan</w:t>
      </w:r>
    </w:p>
    <w:p w14:paraId="5FD6DEB2"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Godina 2021. bila je prva puna godina provedbe Gospodarskog i investicijskog plana za zapadni Balkan donesenog 6. listopada 2020. Cilj plana snažnija je integracija i premošćivanje socioekonomskog jaza između te regije i EU-a, pomoć u zelenom i digitalnom oporavku regije nakon pandemije bolesti COVID-19 te približavanje zapadnog Balkana zajedničkom tržištu EU-a. Isto tako, on je odgovarajući okvir za potporu zapadnom Balkanu u suočavanju s energetskom krizom i posljedicama rata u Ukrajini. Usmjeren je na vodeća ulaganja i političke inicijative koji odgovaraju političkim prioritetima i odgovorima EU-a. Njime se podupire i povezivost unutar regije i prema EU-u u području energetike, prometa i digitalnog gospodarstva. Podupire se i privatni sektor te razvoj ljudskog kapitala, uključujući inovacije. Temelji se na paketu od 9 milijardi EUR bespovratnih sredstava EU-a te jamstvu za zapadni Balkan kako bi se privuklo do 20 milijardi EUR u ulaganjima. </w:t>
      </w:r>
    </w:p>
    <w:p w14:paraId="512A3A4A" w14:textId="77777777" w:rsidR="00221F1C" w:rsidRDefault="00221F1C" w:rsidP="00221F1C">
      <w:pPr>
        <w:autoSpaceDE w:val="0"/>
        <w:autoSpaceDN w:val="0"/>
        <w:spacing w:after="120" w:line="240" w:lineRule="auto"/>
        <w:jc w:val="both"/>
        <w:rPr>
          <w:rFonts w:ascii="Times New Roman" w:eastAsia="Calibri" w:hAnsi="Times New Roman" w:cs="Times New Roman"/>
          <w:caps/>
          <w:noProof/>
          <w:sz w:val="24"/>
          <w:szCs w:val="24"/>
        </w:rPr>
      </w:pPr>
      <w:r>
        <w:rPr>
          <w:rFonts w:ascii="Times New Roman" w:hAnsi="Times New Roman"/>
          <w:noProof/>
          <w:sz w:val="24"/>
        </w:rPr>
        <w:t>Očekuje se da će utjecaj tih ulaganja na gospodarstvo regije biti pojačan vidljivim napretkom u provedbi projekta zajedničkog regionalnog tržišta i programa gospodarskih reformi te kontinuiranim napretkom u područjima vladavine prava, upravljanja javnim financijama i reforme javne uprave.</w:t>
      </w:r>
    </w:p>
    <w:p w14:paraId="5C0B0ABD"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Provedba prioriteta EIP-a provodi se snažnijim političkim sudjelovanjem i političkim dijalogom u tim područjima, kao i usmjerenijom financijskom pomoći koju EU pruža putem Instrumenta pretpristupne pomoći (IPA III). U kontekstu ruske agresije na Ukrajinu EIP pruža i odgovarajuće alate za rješavanje njezinih gospodarskih posljedica, posebno jačanjem energetske tranzicije i olakšavanjem veće diversifikacije izvora energije.</w:t>
      </w:r>
    </w:p>
    <w:p w14:paraId="2EA7D70B"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Praktična provedba plana započela je u veljači 2022. donošenjem ukupnog iznosa od 1,3 milijarde EUR u obliku bespovratnih sredstava za ulaganja u sklopu Okvira za ulaganju na zapadnom Balkanu (WBIF), čime će se financirati 24 vodeća projekta ulaganja ukupne vrijednosti 3,3 milijarde EUR</w:t>
      </w:r>
      <w:r>
        <w:rPr>
          <w:rFonts w:ascii="Times New Roman" w:eastAsia="Calibri" w:hAnsi="Times New Roman" w:cs="Times New Roman"/>
          <w:noProof/>
          <w:sz w:val="24"/>
          <w:szCs w:val="24"/>
          <w:vertAlign w:val="superscript"/>
          <w:lang w:eastAsia="en-GB"/>
        </w:rPr>
        <w:footnoteReference w:id="6"/>
      </w:r>
      <w:r>
        <w:rPr>
          <w:rFonts w:ascii="Times New Roman" w:hAnsi="Times New Roman"/>
          <w:noProof/>
          <w:sz w:val="24"/>
        </w:rPr>
        <w:t>. Taj je iznos pridodan nadopuni Regionalnog programa energetske učinkovitosti (REEP+) u iznosu od 100 milijuna EUR tijekom nadolazećih godina kako bi se „val obnove EU-a” proširio na zapadni Balkan. Komisija je donijela i odluku o doprinosu EU-a u iznosu od 560 milijuna EUR u razdoblju od sedam godina za programe IPARD-a za Albaniju, Sjevernu Makedoniju, Crnu Goru i Srbiju. Tim se programima podupiru poljoprivredna poduzeća i gospodarstva u zelenoj i digitalnoj tranziciji te provedba održivijih modela proizvodnje hrane u okviru EIP-a. IPA III pridonosi provedbi EIP-a bilateralnim i regionalnim programima za sva gospodarstva zapadnog Balkana.</w:t>
      </w:r>
    </w:p>
    <w:p w14:paraId="77F1876D"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b/>
          <w:noProof/>
          <w:sz w:val="24"/>
        </w:rPr>
        <w:t xml:space="preserve">Prometna povezivost </w:t>
      </w:r>
      <w:r>
        <w:rPr>
          <w:rFonts w:ascii="Times New Roman" w:hAnsi="Times New Roman"/>
          <w:noProof/>
          <w:sz w:val="24"/>
        </w:rPr>
        <w:t xml:space="preserve">usmjerena je na razvoj potrebne infrastrukture za cestovni i željeznički promet te promet plovnim putovima u skladu s prioritetima transeuropskih mreža te na dogradnju i ekologizaciju postojeće infrastrukture radi doprinosa pametnim rješenjima mobilnosti u skladu sa zelenim programom. Prioritet se provodi s pomoću EIP-ovih vodećih inicijativa 1., 2. i 3., a usmjeren je na povezivanje sjevera i juga, odnosno istoka i zapada te povezivanje obalnih regija. </w:t>
      </w:r>
    </w:p>
    <w:p w14:paraId="07E556EA"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U razdoblju izvješćivanja nastavio se rad na svim investicijskim projektima povezivosti donesenima u okviru programa povezivosti prethodnih godina, a neki su projekti i dovršeni, prije svega duž sredozemnog cestovnog koridora, željezničkog koridora istok – istočno Sredozemlje te dva prekogranična mosta (Svilaj i Gradiška). Osim toga, operativni odbor WBIF-a odobrio je sredstva za 13 novih investicijskih projekata prometne infrastrukture, a financijska sredstva EU-a premašuju milijardu EUR.</w:t>
      </w:r>
    </w:p>
    <w:p w14:paraId="0443FB4B"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Važna prekretnica za regiju bilo je donošenje pet sektorskih akcijskih planova (željeznica, cesta, cestovna sigurnost, olakšavanje prometa te vodni promet i multimodalnost) te strategije za održivu i pametnu mobilnost za zapadni Balkan, koji su doneseni u koordinaciji sa Stalnim tajništvom za Ugovor o osnivanju Prometne zajednice. Petogodišnji tekući plan rada koji je podržalo šest partnera služi kao dodatni alat za planiranje mjera reformi i ulaganja u infrastrukturu kojima regija mora dati prednost u narednim godinama.</w:t>
      </w:r>
    </w:p>
    <w:p w14:paraId="3F0C2D22"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Zajedno s EIB-om i EBRD-om Komisija razvija program sigurnog i održivog prometa u vrijednosti od 80 milijuna EUR radi potpore malim i održivim rješenjima mobilnosti putem dekarbonizacije i digitalizacije. Potpora će se osigurati za projekte, npr. poboljšanja sigurnosti na željezničko-cestovnim prijelazima, modernizacije odabranih graničnih prijelaza, poboljšanja cesta visokog rizika, uvođenja pametnih prometnih sustava i infrastrukture alternativnih goriva, te mjere povezane s prilagodbom klimatskim promjenama, zaštitom biološke raznolikosti i smanjenjem zagađenja.</w:t>
      </w:r>
    </w:p>
    <w:p w14:paraId="512C56BB"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Nakon što su u regiji uspješno uvedene „zelene trake” tijekom pandemije bolesti COVID-19, u tijeku je rad na pilot-projektu izgradnje zelenih traka između zapadnog Balkana i EU-a u okviru mjera olakšavanja prometa. Zelene trake u praksi skraćuju vrijeme čekanja na prijelazima, pojednostavnjuju inspekcije te smanjuju formalnosti i troškove. Memorandum o razumijevanju o uvođenju funkcionalne zelene trake između Sjeverne Makedonije i Grčke potpisan je 7. srpnja 2022. </w:t>
      </w:r>
    </w:p>
    <w:p w14:paraId="2D08148F"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U tijeku je i revizija mreže TEN-T na zapadnom Balkanu radi ažuriranja popisa ključnih i sveobuhvatnih prometnih mreža, a vjerojatno bit će dovršena do kraja 2022.</w:t>
      </w:r>
    </w:p>
    <w:p w14:paraId="2A097683"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Kad je riječ o financijskim obvezama u okviru bilateralnih i višedržavnih programa IPA-e za 2021., prometu i pametnoj mobilnosti namijenjeno je ukupno 350 milijuna EUR. </w:t>
      </w:r>
    </w:p>
    <w:p w14:paraId="48143AC8"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b/>
          <w:noProof/>
          <w:sz w:val="24"/>
        </w:rPr>
        <w:t>Energetsku povezivost i tranziciju</w:t>
      </w:r>
      <w:r>
        <w:rPr>
          <w:rFonts w:ascii="Times New Roman" w:hAnsi="Times New Roman"/>
          <w:noProof/>
          <w:sz w:val="24"/>
        </w:rPr>
        <w:t xml:space="preserve"> podupiru tri vodeće inicijative u vezi s ulaganjem u obnovljive izvore energije, „valom obnove” energetske učinkovitosti i olakšanjem prelaska s ugljena. Osim toga, podupiru se energetska sigurnost i diversifikacija opskrbe u kontekstu aktualnog rata u Ukrajini. </w:t>
      </w:r>
    </w:p>
    <w:p w14:paraId="4B1FF787" w14:textId="77777777" w:rsidR="00221F1C" w:rsidRDefault="00221F1C" w:rsidP="00221F1C">
      <w:pPr>
        <w:spacing w:after="120" w:line="240" w:lineRule="auto"/>
        <w:jc w:val="both"/>
        <w:rPr>
          <w:rFonts w:ascii="Times New Roman" w:eastAsia="Calibri" w:hAnsi="Times New Roman" w:cs="Times New Roman"/>
          <w:noProof/>
          <w:sz w:val="24"/>
          <w:szCs w:val="24"/>
        </w:rPr>
      </w:pPr>
      <w:bookmarkStart w:id="23" w:name="_Hlk106709291"/>
      <w:r>
        <w:rPr>
          <w:rFonts w:ascii="Times New Roman" w:hAnsi="Times New Roman"/>
          <w:noProof/>
          <w:sz w:val="24"/>
        </w:rPr>
        <w:t>U razdoblju izvješćivanja odobreno je financiranje šest projekata obnovljive energije u okviru WBIF-a, uključujući obnovu hidroelektrane Fierza u Albaniji, tri projekta solarnih elektrana u Sjevernoj Makedoniji i Albaniji te projekt pametnog mjerenja u sustavu distribucije električne energije u Srbiji. Sredstva su dodijeljena i za izgradnju dijela Transbalkanskog koridora za prijenos električne energije.</w:t>
      </w:r>
    </w:p>
    <w:bookmarkEnd w:id="23"/>
    <w:p w14:paraId="2467CCF6"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Kako bi promicala obnovljive izvore energije i energetsku učinkovitost te podupirala napredak u obnovi javnih i privatnih zgrada, Komisija je dopunila program regionalne energetske učinkovitosti sa 100 milijuna EUR, a provedbeni sporazum potpisat će se s EBRD-om i KfW-om do kraja 2022. Operativni odbor WBIF-a dao je pozitivno mišljenje u travnju 2022. o financiranju za namjenski jamstveni instrument za projekte koji su uglavnom povezani s energetskom učinkovitošću i obnovljivim izvorima u iznosu od 45 milijuna EUR. </w:t>
      </w:r>
    </w:p>
    <w:p w14:paraId="3D2EC7D1"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U okviru Ugovora o Energetskoj zajednici zapadni će se Balkan do kraja 2022. morati obvezati na ciljeve dekarbonizacije do 2030. Na toj će osnovi razviti strategije kako bi zemlje mogle s pomoću pojedinačnih integriranih planova za energetiku i klimu ostvariti te ciljeve. Velik socioekonomski izazov bit će prijelaz s ugljena u regiji u kojoj većina područja uvelike ovisi o fosilnim gorivima. Komisija je stoga podupirala uspostavljanje i rad platforme za suradnju namijenjene regijama u tranziciji koje koriste ugljen na zapadnom Balkanu i u Ukrajini, a slična je jednoj inicijativi EU-a. Već je obavljen niz bilateralnih razmjena s regijama EU-a, dok se neke još uvijek planiraju. Plenarna konferencija platforme predviđena je za kraj 2022.</w:t>
      </w:r>
    </w:p>
    <w:p w14:paraId="46B47D95"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Kad je riječ o financijskim obvezama u okviru planiranja programa IPA-e za 2021., Komisija je izdvojila 114 milijuna EUR za projekte čiste energije na regionalnoj i bilateralnoj razini. </w:t>
      </w:r>
    </w:p>
    <w:p w14:paraId="1542A31C"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 okviru </w:t>
      </w:r>
      <w:r>
        <w:rPr>
          <w:rFonts w:ascii="Times New Roman" w:hAnsi="Times New Roman"/>
          <w:b/>
          <w:noProof/>
          <w:sz w:val="24"/>
        </w:rPr>
        <w:t>digitalne tranzicije</w:t>
      </w:r>
      <w:r>
        <w:rPr>
          <w:rFonts w:ascii="Times New Roman" w:hAnsi="Times New Roman"/>
          <w:noProof/>
          <w:sz w:val="24"/>
        </w:rPr>
        <w:t xml:space="preserve"> podupire se digitalna transformacija regije s pomoću tehničke pomoći i ulaganja. U njezinom su središtu regulatorne reforme koje pridonose razvoju tržišta digitalnih usluga te promicanje ulaganja u inovativna digitalna rješenja i digitalnu infrastrukturu. Kad je riječ o potonjem aspektu, prioritet se podupire inicijativom 8. za digitalnu infrastrukturu u okviru Gospodarskog i investicijskog plana za zapadni Balkan. </w:t>
      </w:r>
    </w:p>
    <w:p w14:paraId="387824D1"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Kad je riječ o reformama pravnog okvira, Komisija svake godine vodi regulatorni dijalog s regijom o digitalnoj politici te podupire godišnje sastanke na visokoj razini o digitalnoj budućnosti na zapadnom Balkanu. Šest gospodarstava potpisalo je </w:t>
      </w:r>
      <w:r>
        <w:rPr>
          <w:rFonts w:ascii="Times New Roman" w:hAnsi="Times New Roman"/>
          <w:b/>
          <w:noProof/>
          <w:sz w:val="24"/>
        </w:rPr>
        <w:t>Deklaraciju o budućnosti interneta</w:t>
      </w:r>
      <w:r>
        <w:rPr>
          <w:rFonts w:ascii="Times New Roman" w:hAnsi="Times New Roman"/>
          <w:noProof/>
          <w:sz w:val="24"/>
        </w:rPr>
        <w:t xml:space="preserve"> od 28. travnja 2022.</w:t>
      </w:r>
      <w:r>
        <w:rPr>
          <w:rFonts w:ascii="Times New Roman" w:eastAsia="Calibri" w:hAnsi="Times New Roman" w:cs="Times New Roman"/>
          <w:noProof/>
          <w:sz w:val="24"/>
          <w:szCs w:val="24"/>
          <w:vertAlign w:val="superscript"/>
          <w:lang w:eastAsia="en-GB"/>
        </w:rPr>
        <w:footnoteReference w:id="7"/>
      </w:r>
      <w:r>
        <w:rPr>
          <w:rFonts w:ascii="Times New Roman" w:hAnsi="Times New Roman"/>
          <w:noProof/>
          <w:sz w:val="24"/>
        </w:rPr>
        <w:t xml:space="preserve"> U Deklaraciji koju je dosad potpisalo više od 60 međunarodnih partnera utvrđuju se vizija i načela pouzdanog interneta. Regija se isto tako u potpunosti povezala s radom Tijela europskih regulatora za elektroničke komunikacije. Komisija i Vijeće za regionalnu suradnju bili su ključni za osiguravanje regionalnog sporazuma o roamingu kojim je u regiji od 1. srpnja 2021. uveden program „u roamingu kao kod kuće”. Nakon uspostave plana o postupnom smanjenju naknada za roaming između regija i EU-a 2021. u tijeku su pregovori s telekomunikacijskim operaterima zapadnog Balkana i EU-a kako bi dobrovoljno smanjivali te naknade počevši od 2023. </w:t>
      </w:r>
    </w:p>
    <w:p w14:paraId="74292FE1"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EU usporedno promiče razvoj novih digitalnih rješenja u raznim aspektima gospodarstva zapadnog Balkana, uključujući promet, energetiku, logistiku, upravljanje, trgovinu itd. Važna inicijativa na godišnjoj razini kojom se promiču takva rješenja nazvana je Balkathon, u okviru koje se nagrađuju inovativni projekti digitalne tranzicije. EU jednako podupire razvoj digitalnih vještina u društvima u regiji. Trenutačno se dovršava procjena nedostataka digitalnih vještina za svih šest gospodarstava. </w:t>
      </w:r>
    </w:p>
    <w:p w14:paraId="6B1EAF4A"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 okviru WBIF-a podupire se niz studija izvedivosti i ulaganja u digitalno područje. U veljači 2022. dovršena je studija izvedivosti razvoja širokopojasnog pristupa u Crnoj Gori i pokrenuta su dva nova projekta: bespovratna sredstva za ulaganja dodijeljena Srbiji za uvođenje širokopojasnog pristupa u ruralnim područjima i bespovratna sredstva za tehničku pomoć Albaniji za studiju izvedivosti uspostavljanja računalstva visokih performansi za podatke državnih institucija. </w:t>
      </w:r>
    </w:p>
    <w:p w14:paraId="1337A119"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Kibersigurnost je i dalje važan element EIP-a. Dovršena je ocjena kibersigurnosnih potreba za regiju i održava se niz događaja tehničke pomoći putem instrumenta TAIEX, čime se osigurava pripremljenost za kiberincidente. Razmatraju se dodatna sredstva u tu svrhu u okviru raznih instrumenata Komisije.</w:t>
      </w:r>
    </w:p>
    <w:p w14:paraId="582BEF42"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Komisija je u okviru bilateralnih i višedržavnih programa IPA-e 2021. dodijelila više od 50 milijuna EUR za projekte digitalne tranzicije, što bi trebalo olakšati mobilizaciju znatnih ulaganja međunarodnih financijskih institucija i privatnih izvora. </w:t>
      </w:r>
    </w:p>
    <w:p w14:paraId="28869324"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b/>
          <w:noProof/>
          <w:sz w:val="24"/>
        </w:rPr>
        <w:t>Zelenim programom za Zapadni Balkan podupiru se i prioriteti EIP-a u prometu, energetici i digitalnom području</w:t>
      </w:r>
      <w:r>
        <w:rPr>
          <w:rFonts w:ascii="Times New Roman" w:eastAsia="Calibri" w:hAnsi="Times New Roman" w:cs="Times New Roman"/>
          <w:b/>
          <w:bCs/>
          <w:noProof/>
          <w:sz w:val="24"/>
          <w:szCs w:val="24"/>
          <w:vertAlign w:val="superscript"/>
          <w:lang w:eastAsia="en-GB"/>
        </w:rPr>
        <w:footnoteReference w:id="8"/>
      </w:r>
      <w:r>
        <w:rPr>
          <w:rFonts w:ascii="Times New Roman" w:hAnsi="Times New Roman"/>
          <w:noProof/>
          <w:sz w:val="24"/>
        </w:rPr>
        <w:t>. Donesen je zajedno s EIP-om i podržali su ga čelnici zapadnog Balkana u Izjavi iz Sofije o zelenom programu u studenome 2020. Program od pet stupova oslanja se na regulatorne reforme u regiji radi usklađivanja s ciljevima europskog zelenog plana, kao i ulaganjima u gospodarenje otpadom i otpadnim vodama, energetsku tranziciju i održivi promet. Provedbi plana pomaže prvih sedam od deset vodećih inicijativa EIP-a povezanih s prometom, energetskom tranzicijom i gospodarenjem otpadom i otpadnim vodama.</w:t>
      </w:r>
    </w:p>
    <w:p w14:paraId="4DC78F97"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Regija je u razdoblju izvješćivanja uz pomoć Vijeća za regionalnu suradnju (RCC) izradila detaljan akcijski plan za provedbu plana, a potvrdili su ga čelnici zapadnog Balkana na sastanku u Brdu u listopadu 2021. Iako RCC i dalje ima ključnu ulogu u koordinaciji regionalnih inicijativa u okviru zelenog programa, Komisija je dogovorila regionalni program EU4Green s Austrijskom agencijom za okoliš u iznosu od 11 milijuna EUR kako bi svakom partneru u regiji pomogla pri radu na vlastitim strategijama i reformama. Program je pokrenut početkom 2022. </w:t>
      </w:r>
    </w:p>
    <w:p w14:paraId="7BDC6094"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 okviru paketa ulaganja WBIF-a iz veljače 2022. Komisija je odobrila financiranje dvaju projekata koji su izravno povezani s programom za postrojenja za pročišćavanje otpadnih voda u Podgorici i Skopju (uz pet projekata energetske tranzicije navedenih u nastavku). Tim se projektima pokreće provedba vodećeg prioriteta 7. EIP-a: gospodarenje otpadom i otpadnim vodama. </w:t>
      </w:r>
    </w:p>
    <w:p w14:paraId="50720DF8"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 tijeku je rad na rasporedu svih planiranih i tekućih intervencija važnih za zeleni program u regiji te na razvoju alata za praćenje njegove provedbe. U tijeku je i priprema regionalnih instrumenata za zelenu infrastrukturu i sprečavanje onečišćenja plastikom i nastanka morskog otpada. Krajem 2022. partneri će biti pozvani da objave svoje ciljeve dekarbonizacije unutar Energetske zajednice i da ih zatim primijene u nacionalnim energetskim i klimatskim planovima. </w:t>
      </w:r>
    </w:p>
    <w:p w14:paraId="428EB4D7"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Kad je riječ o financijskim obvezama u okviru planiranja IPA-e III za 2021., izdvojeno je ukupno 165 milijuna EUR za provedbu zelenog programa u bilateralnim i višedržavnim projektima. </w:t>
      </w:r>
    </w:p>
    <w:p w14:paraId="77BC7C76"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b/>
          <w:noProof/>
          <w:sz w:val="24"/>
        </w:rPr>
        <w:t>Podupiranje privatnog sektora</w:t>
      </w:r>
      <w:r>
        <w:rPr>
          <w:rFonts w:ascii="Times New Roman" w:hAnsi="Times New Roman"/>
          <w:noProof/>
          <w:sz w:val="24"/>
        </w:rPr>
        <w:t xml:space="preserve"> provodi se putem vodećeg prioriteta 9. EIP-a usmjeravanjem na ciljano financiranje u okviru namjenskog jamstvenog instrumenta za mala i srednja poduzeća kako bi se osnivala, bila inovativna i postala konkurentnija. Slična potpora pruža se i ruralnim poljoprivrednim poduzećima putem instrumenta IPARD-a. </w:t>
      </w:r>
    </w:p>
    <w:p w14:paraId="14FFAB56"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Stvaranje odgovarajućih uvjeta za rast i razvoj privatnog sektora, a posebno mikro, malih i srednjih poduzeća, u središtu je dijaloga o gospodarskoj politici koji se na godišnjoj razini održava s partnerima zapadnog Balkana putem programa gospodarskih reformi i preporuka za gospodarske politike koje iz njega proizlaze. Postupak je ažuriran u razdoblju izvješćivanja kako bi se u njemu bolje odrazili prioriteti EIP-a, ali i problemi nakon krize uzrokovane bolešću COVID-19 i posljedice nedavnih geopolitičkih događaja. Politički dijalog oslanja se na objavu OECD-ova indeksa politike za mala i srednja poduzeća koji je 2022. financirala EU. </w:t>
      </w:r>
    </w:p>
    <w:p w14:paraId="2F5CCE72"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Potpora privatnom sektoru, usmjerena prije svega na poticanje inovacija i jačanje dvojne zelene i digitalne tranzicije, pruža se u okviru posebnog programa jamstava pripremljenih 2021./2022. nakon pada gospodarstva uzrokovanog pandemijom bolesti COVID-19. Instrument Growth4All i instrument podjele rizika u području poljoprivrede dva su primjera takvih jamstava. Osim toga, Komisija je odobrila paket od 40 milijuna EUR za mješovito financiranje inovativnih projekata u privatnom sektoru u područjima kao što su zelena tranzicija i socijalno uključivanje. </w:t>
      </w:r>
    </w:p>
    <w:p w14:paraId="1668BAD7"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Komisija podržava i rad Komorskog investicijskog foruma WB6 radi promicanja gospodarskih interesa regije unutar i izvan zapadnog Balkana. Posebno financira novi program za razvoj regionalnih dobavljača kojim se nastoji olakšati stvaranje veza/prilika za domaće dobavljače.  </w:t>
      </w:r>
    </w:p>
    <w:p w14:paraId="4AD49243"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Napokon, Komisija priprema pokretanje jamstva za zapadni Balkan u okviru šireg Europskog fonda za održivi razvoj (EFSD+). Jamstvom će se poduprijeti institucije koje daju zajmove privatnom sektoru u području socioekonomskog razvoja i klimatskih promjena. Očekuje se da će se instrumentom potaknuti ulaganja u visini do 20 milijardi EUR u regijama zapadnog Balkana i potaknuti njihov gospodarski razvoj.</w:t>
      </w:r>
    </w:p>
    <w:p w14:paraId="57FBEB1B" w14:textId="77777777" w:rsidR="00221F1C" w:rsidRDefault="00221F1C" w:rsidP="00221F1C">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Kad je riječ o izradi programa IPA-e iz 2021., Komisija je izdvojila gotovo 148 milijuna EUR za potporu razvoju privatnog sektora, uključujući poljoprivredna poduzeća na zapadnom Balkanu. </w:t>
      </w:r>
    </w:p>
    <w:p w14:paraId="767751AF"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EIP-om se podupire i </w:t>
      </w:r>
      <w:r>
        <w:rPr>
          <w:rFonts w:ascii="Times New Roman" w:hAnsi="Times New Roman"/>
          <w:b/>
          <w:noProof/>
          <w:sz w:val="24"/>
        </w:rPr>
        <w:t>razvoj ljudskog kapitala i inovacija</w:t>
      </w:r>
      <w:r>
        <w:rPr>
          <w:rFonts w:ascii="Times New Roman" w:hAnsi="Times New Roman"/>
          <w:noProof/>
          <w:sz w:val="24"/>
        </w:rPr>
        <w:t xml:space="preserve"> u regiji, uključujući mlade, obrazovanje i prihvaćanje inovacija. Ministri i predstavnici za zapošljavanje i socijalna pitanja iz regije podržali su na ministarskom sastanku u Brdu 8. srpnja 2021. izjavu kojom se njihova gospodarstva obvezuju na poštovanje načela europskog stupa socijalnih prava i provedbu vodeće inicijative EIP-a, Jamstva za mlade. Na sastanku EU-a i zapadnog Balkana u listopadu 2021. pokrenut je sveobuhvatni program o inovacijama, istraživanjima, obrazovanju, kulturi, mladima i sportu, a na sastanku čelnika u lipnju 2022. razmotrene su razne mjere usmjerene na mlade.</w:t>
      </w:r>
    </w:p>
    <w:p w14:paraId="5A858F79"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Jamstvo za mlade provodi se u EU-u od 2014., a 2020. je dodatno ojačano. Jamstvo za mlade kao vodeća inicijativa EIP-a aktivacijski je program kojim se mladima na zapadnom Balkanu osigurava dobra ponuda radnih mjesta, kontinuirano obrazovanje te naukovanje ili osposobljavanje unutar određenog razdoblja nakon gubitka zaposlenja ili napuštanja formalnog obrazovanja. Program uključuje razne dionike, među ostalim organizacije mladih i socijalne partnere. Komisija je uspostavila instrument tehničke pomoći u suradnji s Međunarodnom organizacijom rada i Europskom zakladom za osposobljavanje kako bi partnere zapadnog Balkana podržala u tom pothvatu. Jamstvo za mlade potencijalno može osnažiti reformu javnih službi za zapošljavanje na zapadnom Balkanu i smanjiti odljev mozgova iz te regije. Ono zahtijeva reforme i izgradnju kapaciteta u mnogim područjima, od obrazovanja i strukovnog osposobljavanja do zapošljavanja, službi rada i socijalne zaštite. Svi partneri na zapadnom Balkanu osim Bosne i Hercegovine (ondje je rad u tijeku) uspostavili su mehanizme koordinacije za Jamstvo za mlade te su u postupku izrade temeljitih planova provedbe, a neki su ih već počeli provoditi. </w:t>
      </w:r>
    </w:p>
    <w:p w14:paraId="50DDFA2F"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U području obrazovanja i kulture provodi se temeljita dijagnostika obrazovnog sektora, a dvije su zemlje (Srbija i Sjeverna Makedonija) povezane s programom Erasmus+ te je u tijeku postupak povezivanja ostalih partnera. Osim toga, regija je sada u potpunosti povezana s programom Kreativna Europa, ali potrebno je više truda za usklađivanje s Direktivom o audiovizualnim medijskim uslugama. Budući da je 2022. proglašena Europskom godinom mladih, zapadni Balkan uključuje se u razne događaje i inicijative u EU-u, a Tirana je zauzela središnje mjesto kao Europska prijestolnica mladih za 2022. </w:t>
      </w:r>
    </w:p>
    <w:p w14:paraId="6ED3C61F"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Kad je riječ o socijalnom programu, dovršena je temeljita analiza stanja socijalne zaštite u regiji, a zaključci se unose u političke smjernice za gospodarske programe i programe reformi. Akcijski plan EU-a za socijalnu ekonomiju iz 2021. prilagođava se kao paralelna inicijativa koja će se pokrenuti i na zapadnom Balkanu. Svi partneri u regiji osim Kosova donijeli su nove strategije i akcijske planove za Rome radi usklađivanja s okvirom EU-a za razdoblje 2020.–2030. Od 2022. na zapadnom Balkanu bit će dostupan instrument tehničke pomoći SOCIEUX+ specijaliziran za zapošljavanje i socijalnu zaštitu. Njime će se poduprijeti javne institucije na nacionalnoj, regionalnoj i lokalnoj razini te ojačati institucionalni i pojedinačni kapaciteti razmjenom iskustava s kolegama iz država članica EU-a.</w:t>
      </w:r>
    </w:p>
    <w:p w14:paraId="4D64866D"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Pomoć EU-a u tom području uključuje i blisku suradnju sa zapadnim Balkanom u području zdravlja, posebno u kontekstu pandemije bolesti COVID-19 i donacije cjepiva (države članice EU-a regiji su donirale ili preprodale oko 6,5 milijuna doza cjepica) te povećane potpore Europskog centra za sprečavanje i kontrolu bolesti (ECDC). Regija je i dalje blisko povezana s radom Odbora za zdravstvenu sigurnost EU-a i ECDC-a te ima pristup zajedničkoj nabavi medicinskih zaliha. EU financira projekt za otpornost na zdravstvenu krizu na zapadnom Balkanu, koji se provodi uz pomoć Svjetske zdravstvene organizacije, te je donesen novi investicijski projekt u okviru WBIF-a za proširenje Sveučilišne dječje bolnice u Beogradu.  </w:t>
      </w:r>
    </w:p>
    <w:p w14:paraId="2485E47B"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Ključni instrument provedbe programa inovacija jest program Obzor Europa, s kojim je sada povezano svih šest partnera zapadnog Balkana. Regija može pristupiti i instrumentu politike u području istraživanja i tehnološkog razvoja i aktivno se potiče njezino sudjelovanje u istraživačkim inicijativama EU-a kao što su COST i EUREKA. Srbija i Crna Gora donijele su strategije pametne specijalizacije, a ostali partneri primaju tehničku pomoć EU-a kako bi ih dovršili (Sjeverna Makedonija) ili razvili (Albanija, Kosovo i Bosna i Hercegovina). Fond za gospodarski razvoj i inovacije za zapadni Balkan dosad je osigurao tehničku pomoć za 50 projekata u okviru programa dokaza koncepta i trenutačno se ocjenjuje novi poziv na iskaz interesa. </w:t>
      </w:r>
    </w:p>
    <w:p w14:paraId="3F9B1734"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Na kraju, EU namjerava u potpunosti uključiti zapadni Balkan u inicijativu novi europski Bauhaus kojom se promiču inovacije, održivost, uključivanje i estetika u infrastrukturi i ostalim projektima, posebno u vezi s provedbom zelenog programa. Cilj je godišnju nagradu za Bauhaus, koja je planirana u okviru inicijative, proširiti na zapadni Balkan od 2023. </w:t>
      </w:r>
    </w:p>
    <w:p w14:paraId="3BD5FB89" w14:textId="77777777" w:rsidR="00221F1C" w:rsidRDefault="00221F1C" w:rsidP="00221F1C">
      <w:pPr>
        <w:autoSpaceDE w:val="0"/>
        <w:autoSpaceDN w:val="0"/>
        <w:spacing w:after="120" w:line="240" w:lineRule="auto"/>
        <w:jc w:val="both"/>
        <w:rPr>
          <w:rFonts w:ascii="Times New Roman" w:eastAsia="Calibri" w:hAnsi="Times New Roman" w:cs="Times New Roman"/>
          <w:noProof/>
          <w:sz w:val="24"/>
          <w:szCs w:val="24"/>
        </w:rPr>
      </w:pPr>
      <w:r>
        <w:rPr>
          <w:rFonts w:ascii="Times New Roman" w:hAnsi="Times New Roman"/>
          <w:noProof/>
          <w:sz w:val="24"/>
        </w:rPr>
        <w:t>Obveze iz IPA-e za 2021. u okviru bilateralnih i višedržavnih programa u području razvoja ljudskog kapitala i inovacija iznose 62 milijuna EUR.</w:t>
      </w:r>
    </w:p>
    <w:p w14:paraId="1B1F81DA" w14:textId="77777777" w:rsidR="00221F1C" w:rsidRDefault="00221F1C" w:rsidP="00221F1C">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Posvećenost regije (i potpore EU-a) u uspostavljanju </w:t>
      </w:r>
      <w:r>
        <w:rPr>
          <w:rFonts w:ascii="Times New Roman" w:hAnsi="Times New Roman"/>
          <w:b/>
          <w:noProof/>
          <w:sz w:val="24"/>
        </w:rPr>
        <w:t>zajedničkog regionalnog tržišta</w:t>
      </w:r>
      <w:r>
        <w:rPr>
          <w:rFonts w:ascii="Times New Roman" w:hAnsi="Times New Roman"/>
          <w:noProof/>
          <w:sz w:val="24"/>
        </w:rPr>
        <w:t xml:space="preserve"> na zapadnom Balkanu</w:t>
      </w:r>
      <w:r>
        <w:rPr>
          <w:rFonts w:ascii="Times New Roman" w:eastAsia="Calibri" w:hAnsi="Times New Roman" w:cs="Times New Roman"/>
          <w:noProof/>
          <w:sz w:val="24"/>
          <w:szCs w:val="24"/>
          <w:vertAlign w:val="superscript"/>
        </w:rPr>
        <w:footnoteReference w:id="9"/>
      </w:r>
      <w:r>
        <w:rPr>
          <w:rFonts w:ascii="Times New Roman" w:hAnsi="Times New Roman"/>
          <w:noProof/>
          <w:sz w:val="24"/>
        </w:rPr>
        <w:t xml:space="preserve"> na temelju četiri slobode kretanja temelj je tih šest prioriteta i pojačava njihov učinak. Sve strane moraju imati konstruktivnu ulogu u razvoju inicijative za regionalno tržište. Uspjeh gospodarskog i investicijskog plana isto tako ovisi o napretku svih partnera u uvođenju najboljih praksi u područjima </w:t>
      </w:r>
      <w:r>
        <w:rPr>
          <w:rFonts w:ascii="Times New Roman" w:hAnsi="Times New Roman"/>
          <w:b/>
          <w:noProof/>
          <w:sz w:val="24"/>
        </w:rPr>
        <w:t>vladavine prava, javnih financija i upravljanja ulaganjima</w:t>
      </w:r>
      <w:r>
        <w:rPr>
          <w:rFonts w:ascii="Times New Roman" w:hAnsi="Times New Roman"/>
          <w:noProof/>
          <w:sz w:val="24"/>
        </w:rPr>
        <w:t xml:space="preserve"> te u poticanju profesionalne i djelotvorne </w:t>
      </w:r>
      <w:r>
        <w:rPr>
          <w:rFonts w:ascii="Times New Roman" w:hAnsi="Times New Roman"/>
          <w:b/>
          <w:noProof/>
          <w:sz w:val="24"/>
        </w:rPr>
        <w:t>javne uprave</w:t>
      </w:r>
      <w:r>
        <w:rPr>
          <w:rFonts w:ascii="Times New Roman" w:hAnsi="Times New Roman"/>
          <w:noProof/>
          <w:sz w:val="24"/>
        </w:rPr>
        <w:t xml:space="preserve">. Napredak u tim obama aspektima naveden je u odgovarajućim odjeljcima ove Komunikacije. </w:t>
      </w:r>
    </w:p>
    <w:p w14:paraId="22C53BD3" w14:textId="77777777" w:rsidR="00221F1C" w:rsidRDefault="00221F1C" w:rsidP="00221F1C">
      <w:pPr>
        <w:spacing w:after="120" w:line="240" w:lineRule="auto"/>
        <w:jc w:val="both"/>
        <w:rPr>
          <w:rFonts w:ascii="Times New Roman" w:eastAsia="Calibri" w:hAnsi="Times New Roman" w:cs="Times New Roman"/>
          <w:noProof/>
          <w:sz w:val="24"/>
          <w:szCs w:val="24"/>
          <w:lang w:eastAsia="en-GB"/>
        </w:rPr>
      </w:pPr>
    </w:p>
    <w:p w14:paraId="0394C6E7" w14:textId="77777777" w:rsidR="00221F1C" w:rsidRDefault="00221F1C" w:rsidP="00221F1C">
      <w:pPr>
        <w:spacing w:after="120" w:line="240" w:lineRule="auto"/>
        <w:rPr>
          <w:rFonts w:ascii="Times New Roman" w:hAnsi="Times New Roman" w:cs="Times New Roman"/>
          <w:noProof/>
          <w:sz w:val="24"/>
          <w:szCs w:val="24"/>
        </w:rPr>
      </w:pPr>
    </w:p>
    <w:p w14:paraId="7D9F36B3" w14:textId="77777777" w:rsidR="00221F1C" w:rsidRDefault="00221F1C" w:rsidP="00221F1C">
      <w:pPr>
        <w:tabs>
          <w:tab w:val="left" w:pos="5784"/>
        </w:tabs>
        <w:rPr>
          <w:rFonts w:ascii="Times New Roman" w:hAnsi="Times New Roman" w:cs="Times New Roman"/>
          <w:noProof/>
          <w:sz w:val="24"/>
          <w:szCs w:val="24"/>
        </w:rPr>
      </w:pPr>
      <w:r>
        <w:rPr>
          <w:noProof/>
        </w:rPr>
        <w:tab/>
      </w:r>
    </w:p>
    <w:p w14:paraId="6002665D" w14:textId="77777777" w:rsidR="00221F1C" w:rsidRDefault="00221F1C" w:rsidP="00221F1C">
      <w:pPr>
        <w:rPr>
          <w:rFonts w:ascii="Times New Roman" w:hAnsi="Times New Roman" w:cs="Times New Roman"/>
          <w:noProof/>
          <w:sz w:val="24"/>
          <w:szCs w:val="24"/>
        </w:rPr>
      </w:pPr>
      <w:r>
        <w:rPr>
          <w:noProof/>
        </w:rPr>
        <w:br w:type="page"/>
      </w:r>
    </w:p>
    <w:p w14:paraId="571DE902" w14:textId="77777777" w:rsidR="00221F1C" w:rsidRDefault="00221F1C" w:rsidP="00221F1C">
      <w:pPr>
        <w:spacing w:after="0"/>
        <w:rPr>
          <w:rFonts w:ascii="Times New Roman" w:hAnsi="Times New Roman" w:cs="Times New Roman"/>
          <w:noProof/>
          <w:sz w:val="24"/>
          <w:szCs w:val="24"/>
        </w:rPr>
        <w:sectPr w:rsidR="00221F1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20"/>
        </w:sectPr>
      </w:pPr>
    </w:p>
    <w:tbl>
      <w:tblPr>
        <w:tblW w:w="15840" w:type="dxa"/>
        <w:tblInd w:w="-492" w:type="dxa"/>
        <w:tblLayout w:type="fixed"/>
        <w:tblLook w:val="04A0" w:firstRow="1" w:lastRow="0" w:firstColumn="1" w:lastColumn="0" w:noHBand="0" w:noVBand="1"/>
      </w:tblPr>
      <w:tblGrid>
        <w:gridCol w:w="33"/>
        <w:gridCol w:w="2367"/>
        <w:gridCol w:w="600"/>
        <w:gridCol w:w="720"/>
        <w:gridCol w:w="840"/>
        <w:gridCol w:w="840"/>
        <w:gridCol w:w="750"/>
        <w:gridCol w:w="839"/>
        <w:gridCol w:w="811"/>
        <w:gridCol w:w="839"/>
        <w:gridCol w:w="750"/>
        <w:gridCol w:w="811"/>
        <w:gridCol w:w="839"/>
        <w:gridCol w:w="839"/>
        <w:gridCol w:w="722"/>
        <w:gridCol w:w="616"/>
        <w:gridCol w:w="142"/>
        <w:gridCol w:w="708"/>
        <w:gridCol w:w="94"/>
        <w:gridCol w:w="757"/>
        <w:gridCol w:w="83"/>
        <w:gridCol w:w="768"/>
        <w:gridCol w:w="72"/>
      </w:tblGrid>
      <w:tr w:rsidR="00221F1C" w14:paraId="7DDD3AB3" w14:textId="77777777" w:rsidTr="00221F1C">
        <w:trPr>
          <w:gridBefore w:val="1"/>
          <w:gridAfter w:val="1"/>
          <w:wBefore w:w="33" w:type="dxa"/>
          <w:wAfter w:w="72" w:type="dxa"/>
          <w:trHeight w:val="216"/>
        </w:trPr>
        <w:tc>
          <w:tcPr>
            <w:tcW w:w="13183" w:type="dxa"/>
            <w:gridSpan w:val="15"/>
            <w:hideMark/>
          </w:tcPr>
          <w:p w14:paraId="3180C8CB" w14:textId="77777777" w:rsidR="00221F1C" w:rsidRDefault="00221F1C">
            <w:pPr>
              <w:autoSpaceDE w:val="0"/>
              <w:autoSpaceDN w:val="0"/>
              <w:adjustRightInd w:val="0"/>
              <w:spacing w:after="0" w:line="240" w:lineRule="auto"/>
              <w:rPr>
                <w:rFonts w:ascii="Arial" w:eastAsia="Times New Roman" w:hAnsi="Arial" w:cs="Arial"/>
                <w:b/>
                <w:bCs/>
                <w:noProof/>
                <w:color w:val="000000"/>
                <w:sz w:val="16"/>
                <w:szCs w:val="16"/>
              </w:rPr>
            </w:pPr>
            <w:bookmarkStart w:id="24" w:name="_CopyToNewDocument_"/>
            <w:bookmarkEnd w:id="24"/>
            <w:r>
              <w:rPr>
                <w:rFonts w:ascii="Arial" w:hAnsi="Arial"/>
                <w:b/>
                <w:noProof/>
                <w:color w:val="000000"/>
                <w:sz w:val="16"/>
              </w:rPr>
              <w:t>Prilog 3.</w:t>
            </w:r>
          </w:p>
          <w:p w14:paraId="34A3F022" w14:textId="77777777" w:rsidR="00221F1C" w:rsidRDefault="00221F1C">
            <w:pPr>
              <w:autoSpaceDE w:val="0"/>
              <w:autoSpaceDN w:val="0"/>
              <w:adjustRightInd w:val="0"/>
              <w:spacing w:after="0" w:line="240" w:lineRule="auto"/>
              <w:rPr>
                <w:rFonts w:ascii="Arial" w:eastAsia="Times New Roman" w:hAnsi="Arial" w:cs="Arial"/>
                <w:b/>
                <w:bCs/>
                <w:noProof/>
                <w:color w:val="000000"/>
                <w:sz w:val="16"/>
                <w:szCs w:val="16"/>
              </w:rPr>
            </w:pPr>
            <w:r>
              <w:rPr>
                <w:rFonts w:ascii="Arial" w:hAnsi="Arial"/>
                <w:b/>
                <w:noProof/>
                <w:color w:val="000000"/>
                <w:sz w:val="16"/>
              </w:rPr>
              <w:t>STATISTIČKI PODACI (1. rujna 2022.)</w:t>
            </w:r>
          </w:p>
        </w:tc>
        <w:tc>
          <w:tcPr>
            <w:tcW w:w="850" w:type="dxa"/>
            <w:gridSpan w:val="2"/>
          </w:tcPr>
          <w:p w14:paraId="104020C5"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eastAsia="zh-CN"/>
              </w:rPr>
            </w:pPr>
          </w:p>
        </w:tc>
        <w:tc>
          <w:tcPr>
            <w:tcW w:w="851" w:type="dxa"/>
            <w:gridSpan w:val="2"/>
          </w:tcPr>
          <w:p w14:paraId="0735E5EF"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eastAsia="zh-CN"/>
              </w:rPr>
            </w:pPr>
          </w:p>
        </w:tc>
        <w:tc>
          <w:tcPr>
            <w:tcW w:w="851" w:type="dxa"/>
            <w:gridSpan w:val="2"/>
          </w:tcPr>
          <w:p w14:paraId="39C2B66D"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eastAsia="zh-CN"/>
              </w:rPr>
            </w:pPr>
          </w:p>
        </w:tc>
      </w:tr>
      <w:tr w:rsidR="00221F1C" w14:paraId="0FDF76B0" w14:textId="77777777" w:rsidTr="00221F1C">
        <w:trPr>
          <w:trHeight w:val="225"/>
        </w:trPr>
        <w:tc>
          <w:tcPr>
            <w:tcW w:w="2400" w:type="dxa"/>
            <w:gridSpan w:val="2"/>
            <w:vMerge w:val="restart"/>
            <w:tcBorders>
              <w:top w:val="nil"/>
              <w:left w:val="nil"/>
              <w:bottom w:val="single" w:sz="4" w:space="0" w:color="auto"/>
              <w:right w:val="single" w:sz="4" w:space="0" w:color="auto"/>
            </w:tcBorders>
            <w:noWrap/>
            <w:vAlign w:val="center"/>
            <w:hideMark/>
          </w:tcPr>
          <w:p w14:paraId="2B21F3B1" w14:textId="77777777" w:rsidR="00221F1C" w:rsidRDefault="00221F1C">
            <w:pPr>
              <w:spacing w:after="0" w:line="240" w:lineRule="auto"/>
              <w:rPr>
                <w:rFonts w:ascii="Arial" w:eastAsia="Times New Roman" w:hAnsi="Arial" w:cs="Arial"/>
                <w:noProof/>
                <w:sz w:val="16"/>
                <w:szCs w:val="16"/>
              </w:rPr>
            </w:pPr>
            <w:r>
              <w:rPr>
                <w:rFonts w:ascii="Arial" w:hAnsi="Arial"/>
                <w:b/>
                <w:noProof/>
                <w:color w:val="000000"/>
                <w:sz w:val="16"/>
              </w:rPr>
              <w:t>Demografija</w:t>
            </w:r>
          </w:p>
        </w:tc>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14:paraId="508EA125" w14:textId="77777777" w:rsidR="00221F1C" w:rsidRDefault="00221F1C">
            <w:pPr>
              <w:spacing w:after="0" w:line="240" w:lineRule="auto"/>
              <w:rPr>
                <w:rFonts w:ascii="Arial" w:eastAsia="Times New Roman" w:hAnsi="Arial" w:cs="Arial"/>
                <w:noProof/>
                <w:sz w:val="16"/>
                <w:szCs w:val="16"/>
              </w:rPr>
            </w:pPr>
            <w:r>
              <w:rPr>
                <w:rFonts w:ascii="Arial" w:hAnsi="Arial"/>
                <w:noProof/>
                <w:sz w:val="16"/>
              </w:rPr>
              <w:t xml:space="preserve"> </w:t>
            </w:r>
            <w:r>
              <w:rPr>
                <w:rFonts w:ascii="Arial" w:hAnsi="Arial"/>
                <w:noProof/>
                <w:color w:val="000000"/>
                <w:sz w:val="16"/>
              </w:rPr>
              <w:t>Napomena</w:t>
            </w:r>
          </w:p>
        </w:tc>
        <w:tc>
          <w:tcPr>
            <w:tcW w:w="1560" w:type="dxa"/>
            <w:gridSpan w:val="2"/>
            <w:tcBorders>
              <w:top w:val="single" w:sz="4" w:space="0" w:color="auto"/>
              <w:left w:val="nil"/>
              <w:bottom w:val="single" w:sz="4" w:space="0" w:color="auto"/>
              <w:right w:val="single" w:sz="4" w:space="0" w:color="auto"/>
            </w:tcBorders>
            <w:vAlign w:val="center"/>
            <w:hideMark/>
          </w:tcPr>
          <w:p w14:paraId="0AC8EC19"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Crna Gora</w:t>
            </w:r>
          </w:p>
        </w:tc>
        <w:tc>
          <w:tcPr>
            <w:tcW w:w="1590" w:type="dxa"/>
            <w:gridSpan w:val="2"/>
            <w:tcBorders>
              <w:top w:val="single" w:sz="4" w:space="0" w:color="auto"/>
              <w:left w:val="nil"/>
              <w:bottom w:val="single" w:sz="4" w:space="0" w:color="auto"/>
              <w:right w:val="single" w:sz="4" w:space="0" w:color="auto"/>
            </w:tcBorders>
            <w:vAlign w:val="center"/>
            <w:hideMark/>
          </w:tcPr>
          <w:p w14:paraId="591644E3"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Sjeverna Makedonija</w:t>
            </w:r>
          </w:p>
        </w:tc>
        <w:tc>
          <w:tcPr>
            <w:tcW w:w="1650" w:type="dxa"/>
            <w:gridSpan w:val="2"/>
            <w:tcBorders>
              <w:top w:val="single" w:sz="4" w:space="0" w:color="auto"/>
              <w:left w:val="nil"/>
              <w:bottom w:val="single" w:sz="4" w:space="0" w:color="auto"/>
              <w:right w:val="single" w:sz="4" w:space="0" w:color="auto"/>
            </w:tcBorders>
            <w:vAlign w:val="center"/>
            <w:hideMark/>
          </w:tcPr>
          <w:p w14:paraId="465D8F15"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Albanija</w:t>
            </w:r>
          </w:p>
        </w:tc>
        <w:tc>
          <w:tcPr>
            <w:tcW w:w="1589" w:type="dxa"/>
            <w:gridSpan w:val="2"/>
            <w:tcBorders>
              <w:top w:val="single" w:sz="4" w:space="0" w:color="auto"/>
              <w:left w:val="nil"/>
              <w:bottom w:val="single" w:sz="4" w:space="0" w:color="auto"/>
              <w:right w:val="single" w:sz="4" w:space="0" w:color="auto"/>
            </w:tcBorders>
            <w:vAlign w:val="center"/>
            <w:hideMark/>
          </w:tcPr>
          <w:p w14:paraId="0E46F19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Srbija</w:t>
            </w:r>
          </w:p>
        </w:tc>
        <w:tc>
          <w:tcPr>
            <w:tcW w:w="1650" w:type="dxa"/>
            <w:gridSpan w:val="2"/>
            <w:tcBorders>
              <w:top w:val="single" w:sz="4" w:space="0" w:color="auto"/>
              <w:left w:val="nil"/>
              <w:bottom w:val="single" w:sz="4" w:space="0" w:color="auto"/>
              <w:right w:val="single" w:sz="4" w:space="0" w:color="auto"/>
            </w:tcBorders>
            <w:vAlign w:val="center"/>
            <w:hideMark/>
          </w:tcPr>
          <w:p w14:paraId="52AE38D1"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Turska</w:t>
            </w:r>
          </w:p>
        </w:tc>
        <w:tc>
          <w:tcPr>
            <w:tcW w:w="1561" w:type="dxa"/>
            <w:gridSpan w:val="2"/>
            <w:tcBorders>
              <w:top w:val="single" w:sz="4" w:space="0" w:color="auto"/>
              <w:left w:val="nil"/>
              <w:bottom w:val="single" w:sz="4" w:space="0" w:color="auto"/>
              <w:right w:val="single" w:sz="4" w:space="0" w:color="auto"/>
            </w:tcBorders>
            <w:vAlign w:val="center"/>
            <w:hideMark/>
          </w:tcPr>
          <w:p w14:paraId="00C68E69"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Bosna i</w:t>
            </w:r>
            <w:r>
              <w:rPr>
                <w:noProof/>
              </w:rPr>
              <w:t xml:space="preserve"> </w:t>
            </w:r>
            <w:r>
              <w:rPr>
                <w:noProof/>
              </w:rPr>
              <w:br/>
            </w:r>
            <w:r>
              <w:rPr>
                <w:rFonts w:ascii="Arial" w:hAnsi="Arial"/>
                <w:noProof/>
                <w:sz w:val="16"/>
              </w:rPr>
              <w:t>Hercegovina</w:t>
            </w:r>
          </w:p>
        </w:tc>
        <w:tc>
          <w:tcPr>
            <w:tcW w:w="1560" w:type="dxa"/>
            <w:gridSpan w:val="4"/>
            <w:tcBorders>
              <w:top w:val="single" w:sz="4" w:space="0" w:color="auto"/>
              <w:left w:val="nil"/>
              <w:bottom w:val="single" w:sz="4" w:space="0" w:color="auto"/>
              <w:right w:val="single" w:sz="4" w:space="0" w:color="auto"/>
            </w:tcBorders>
            <w:vAlign w:val="center"/>
            <w:hideMark/>
          </w:tcPr>
          <w:p w14:paraId="5C51F58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Kosovo*</w:t>
            </w:r>
          </w:p>
        </w:tc>
        <w:tc>
          <w:tcPr>
            <w:tcW w:w="1680" w:type="dxa"/>
            <w:gridSpan w:val="4"/>
            <w:tcBorders>
              <w:top w:val="single" w:sz="4" w:space="0" w:color="auto"/>
              <w:left w:val="nil"/>
              <w:bottom w:val="single" w:sz="4" w:space="0" w:color="auto"/>
              <w:right w:val="single" w:sz="4" w:space="0" w:color="auto"/>
            </w:tcBorders>
            <w:vAlign w:val="center"/>
            <w:hideMark/>
          </w:tcPr>
          <w:p w14:paraId="4F44723D"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EU-27</w:t>
            </w:r>
          </w:p>
        </w:tc>
      </w:tr>
      <w:tr w:rsidR="00221F1C" w14:paraId="08977312" w14:textId="77777777" w:rsidTr="00221F1C">
        <w:trPr>
          <w:trHeight w:val="225"/>
        </w:trPr>
        <w:tc>
          <w:tcPr>
            <w:tcW w:w="600" w:type="dxa"/>
            <w:gridSpan w:val="2"/>
            <w:vMerge/>
            <w:tcBorders>
              <w:top w:val="nil"/>
              <w:left w:val="nil"/>
              <w:bottom w:val="single" w:sz="4" w:space="0" w:color="auto"/>
              <w:right w:val="single" w:sz="4" w:space="0" w:color="auto"/>
            </w:tcBorders>
            <w:vAlign w:val="center"/>
            <w:hideMark/>
          </w:tcPr>
          <w:p w14:paraId="0AD90054" w14:textId="77777777" w:rsidR="00221F1C" w:rsidRDefault="00221F1C">
            <w:pPr>
              <w:spacing w:after="0"/>
              <w:rPr>
                <w:rFonts w:ascii="Arial" w:eastAsia="Times New Roman" w:hAnsi="Arial" w:cs="Arial"/>
                <w:noProof/>
                <w:sz w:val="16"/>
                <w:szCs w:val="16"/>
                <w:lang w:eastAsia="zh-C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E4772" w14:textId="77777777" w:rsidR="00221F1C" w:rsidRDefault="00221F1C">
            <w:pPr>
              <w:spacing w:after="0"/>
              <w:rPr>
                <w:rFonts w:ascii="Arial" w:eastAsia="Times New Roman" w:hAnsi="Arial" w:cs="Arial"/>
                <w:noProof/>
                <w:sz w:val="16"/>
                <w:szCs w:val="16"/>
                <w:lang w:eastAsia="zh-CN"/>
              </w:rPr>
            </w:pPr>
          </w:p>
        </w:tc>
        <w:tc>
          <w:tcPr>
            <w:tcW w:w="720" w:type="dxa"/>
            <w:tcBorders>
              <w:top w:val="nil"/>
              <w:left w:val="nil"/>
              <w:bottom w:val="single" w:sz="4" w:space="0" w:color="auto"/>
              <w:right w:val="single" w:sz="4" w:space="0" w:color="auto"/>
            </w:tcBorders>
            <w:hideMark/>
          </w:tcPr>
          <w:p w14:paraId="6D37AB5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0BB51B0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3DDA76B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010A2E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7EA2843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nil"/>
              <w:left w:val="nil"/>
              <w:bottom w:val="single" w:sz="4" w:space="0" w:color="auto"/>
              <w:right w:val="single" w:sz="4" w:space="0" w:color="auto"/>
            </w:tcBorders>
            <w:hideMark/>
          </w:tcPr>
          <w:p w14:paraId="3BB76D0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06DD8C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7C6E070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nil"/>
              <w:left w:val="nil"/>
              <w:bottom w:val="single" w:sz="4" w:space="0" w:color="auto"/>
              <w:right w:val="single" w:sz="4" w:space="0" w:color="auto"/>
            </w:tcBorders>
            <w:hideMark/>
          </w:tcPr>
          <w:p w14:paraId="241090D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nil"/>
              <w:left w:val="nil"/>
              <w:bottom w:val="single" w:sz="4" w:space="0" w:color="auto"/>
              <w:right w:val="single" w:sz="4" w:space="0" w:color="auto"/>
            </w:tcBorders>
            <w:hideMark/>
          </w:tcPr>
          <w:p w14:paraId="2A91D80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381986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nil"/>
              <w:left w:val="nil"/>
              <w:bottom w:val="single" w:sz="4" w:space="0" w:color="auto"/>
              <w:right w:val="single" w:sz="4" w:space="0" w:color="auto"/>
            </w:tcBorders>
            <w:hideMark/>
          </w:tcPr>
          <w:p w14:paraId="4654019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58" w:type="dxa"/>
            <w:gridSpan w:val="2"/>
            <w:tcBorders>
              <w:top w:val="nil"/>
              <w:left w:val="nil"/>
              <w:bottom w:val="single" w:sz="4" w:space="0" w:color="auto"/>
              <w:right w:val="single" w:sz="4" w:space="0" w:color="auto"/>
            </w:tcBorders>
            <w:hideMark/>
          </w:tcPr>
          <w:p w14:paraId="1FCCF4E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02" w:type="dxa"/>
            <w:gridSpan w:val="2"/>
            <w:tcBorders>
              <w:top w:val="nil"/>
              <w:left w:val="nil"/>
              <w:bottom w:val="single" w:sz="4" w:space="0" w:color="auto"/>
              <w:right w:val="single" w:sz="4" w:space="0" w:color="auto"/>
            </w:tcBorders>
            <w:hideMark/>
          </w:tcPr>
          <w:p w14:paraId="14DB80C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gridSpan w:val="2"/>
            <w:tcBorders>
              <w:top w:val="nil"/>
              <w:left w:val="nil"/>
              <w:bottom w:val="single" w:sz="4" w:space="0" w:color="auto"/>
              <w:right w:val="single" w:sz="4" w:space="0" w:color="auto"/>
            </w:tcBorders>
            <w:hideMark/>
          </w:tcPr>
          <w:p w14:paraId="43E93E9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gridSpan w:val="2"/>
            <w:tcBorders>
              <w:top w:val="nil"/>
              <w:left w:val="nil"/>
              <w:bottom w:val="single" w:sz="4" w:space="0" w:color="auto"/>
              <w:right w:val="single" w:sz="4" w:space="0" w:color="auto"/>
            </w:tcBorders>
            <w:hideMark/>
          </w:tcPr>
          <w:p w14:paraId="66132C4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16BC1046" w14:textId="77777777" w:rsidTr="00221F1C">
        <w:trPr>
          <w:trHeight w:val="225"/>
        </w:trPr>
        <w:tc>
          <w:tcPr>
            <w:tcW w:w="2400" w:type="dxa"/>
            <w:gridSpan w:val="2"/>
            <w:tcBorders>
              <w:top w:val="nil"/>
              <w:left w:val="single" w:sz="4" w:space="0" w:color="auto"/>
              <w:bottom w:val="single" w:sz="4" w:space="0" w:color="auto"/>
              <w:right w:val="single" w:sz="4" w:space="0" w:color="auto"/>
            </w:tcBorders>
            <w:hideMark/>
          </w:tcPr>
          <w:p w14:paraId="35263F0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Ukupno stanovništvo (u tisućama)</w:t>
            </w:r>
          </w:p>
        </w:tc>
        <w:tc>
          <w:tcPr>
            <w:tcW w:w="600" w:type="dxa"/>
            <w:tcBorders>
              <w:top w:val="nil"/>
              <w:left w:val="nil"/>
              <w:bottom w:val="single" w:sz="4" w:space="0" w:color="auto"/>
              <w:right w:val="single" w:sz="4" w:space="0" w:color="auto"/>
            </w:tcBorders>
            <w:hideMark/>
          </w:tcPr>
          <w:p w14:paraId="174BA517"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4C091EC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622 s</w:t>
            </w:r>
          </w:p>
        </w:tc>
        <w:tc>
          <w:tcPr>
            <w:tcW w:w="840" w:type="dxa"/>
            <w:tcBorders>
              <w:top w:val="nil"/>
              <w:left w:val="nil"/>
              <w:bottom w:val="single" w:sz="4" w:space="0" w:color="auto"/>
              <w:right w:val="single" w:sz="4" w:space="0" w:color="auto"/>
            </w:tcBorders>
            <w:noWrap/>
            <w:hideMark/>
          </w:tcPr>
          <w:p w14:paraId="14EE6D5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622 s</w:t>
            </w:r>
          </w:p>
        </w:tc>
        <w:tc>
          <w:tcPr>
            <w:tcW w:w="840" w:type="dxa"/>
            <w:tcBorders>
              <w:top w:val="nil"/>
              <w:left w:val="nil"/>
              <w:bottom w:val="single" w:sz="4" w:space="0" w:color="auto"/>
              <w:right w:val="single" w:sz="4" w:space="0" w:color="auto"/>
            </w:tcBorders>
            <w:noWrap/>
            <w:hideMark/>
          </w:tcPr>
          <w:p w14:paraId="19E5938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2 077 s</w:t>
            </w:r>
          </w:p>
        </w:tc>
        <w:tc>
          <w:tcPr>
            <w:tcW w:w="750" w:type="dxa"/>
            <w:tcBorders>
              <w:top w:val="nil"/>
              <w:left w:val="nil"/>
              <w:bottom w:val="single" w:sz="4" w:space="0" w:color="auto"/>
              <w:right w:val="single" w:sz="4" w:space="0" w:color="auto"/>
            </w:tcBorders>
            <w:noWrap/>
            <w:hideMark/>
          </w:tcPr>
          <w:p w14:paraId="17594B4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2 076 s</w:t>
            </w:r>
          </w:p>
        </w:tc>
        <w:tc>
          <w:tcPr>
            <w:tcW w:w="839" w:type="dxa"/>
            <w:tcBorders>
              <w:top w:val="nil"/>
              <w:left w:val="nil"/>
              <w:bottom w:val="single" w:sz="4" w:space="0" w:color="auto"/>
              <w:right w:val="single" w:sz="4" w:space="0" w:color="auto"/>
            </w:tcBorders>
            <w:noWrap/>
            <w:hideMark/>
          </w:tcPr>
          <w:p w14:paraId="57A8D2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2 862 s</w:t>
            </w:r>
          </w:p>
        </w:tc>
        <w:tc>
          <w:tcPr>
            <w:tcW w:w="811" w:type="dxa"/>
            <w:tcBorders>
              <w:top w:val="nil"/>
              <w:left w:val="nil"/>
              <w:bottom w:val="single" w:sz="4" w:space="0" w:color="auto"/>
              <w:right w:val="single" w:sz="4" w:space="0" w:color="auto"/>
            </w:tcBorders>
            <w:noWrap/>
            <w:hideMark/>
          </w:tcPr>
          <w:p w14:paraId="02A8384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2 846 s</w:t>
            </w:r>
          </w:p>
        </w:tc>
        <w:tc>
          <w:tcPr>
            <w:tcW w:w="839" w:type="dxa"/>
            <w:tcBorders>
              <w:top w:val="nil"/>
              <w:left w:val="nil"/>
              <w:bottom w:val="single" w:sz="4" w:space="0" w:color="auto"/>
              <w:right w:val="single" w:sz="4" w:space="0" w:color="auto"/>
            </w:tcBorders>
            <w:noWrap/>
            <w:hideMark/>
          </w:tcPr>
          <w:p w14:paraId="0A83E36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6 964 s</w:t>
            </w:r>
          </w:p>
        </w:tc>
        <w:tc>
          <w:tcPr>
            <w:tcW w:w="750" w:type="dxa"/>
            <w:tcBorders>
              <w:top w:val="nil"/>
              <w:left w:val="nil"/>
              <w:bottom w:val="single" w:sz="4" w:space="0" w:color="auto"/>
              <w:right w:val="single" w:sz="4" w:space="0" w:color="auto"/>
            </w:tcBorders>
            <w:noWrap/>
            <w:hideMark/>
          </w:tcPr>
          <w:p w14:paraId="00B861B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6 927 s</w:t>
            </w:r>
          </w:p>
        </w:tc>
        <w:tc>
          <w:tcPr>
            <w:tcW w:w="811" w:type="dxa"/>
            <w:tcBorders>
              <w:top w:val="nil"/>
              <w:left w:val="nil"/>
              <w:bottom w:val="single" w:sz="4" w:space="0" w:color="auto"/>
              <w:right w:val="single" w:sz="4" w:space="0" w:color="auto"/>
            </w:tcBorders>
            <w:noWrap/>
            <w:hideMark/>
          </w:tcPr>
          <w:p w14:paraId="3C8A15F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82 004 bs</w:t>
            </w:r>
          </w:p>
        </w:tc>
        <w:tc>
          <w:tcPr>
            <w:tcW w:w="839" w:type="dxa"/>
            <w:tcBorders>
              <w:top w:val="nil"/>
              <w:left w:val="nil"/>
              <w:bottom w:val="single" w:sz="4" w:space="0" w:color="auto"/>
              <w:right w:val="single" w:sz="4" w:space="0" w:color="auto"/>
            </w:tcBorders>
            <w:noWrap/>
            <w:hideMark/>
          </w:tcPr>
          <w:p w14:paraId="1878B96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83 155 s</w:t>
            </w:r>
          </w:p>
        </w:tc>
        <w:tc>
          <w:tcPr>
            <w:tcW w:w="839" w:type="dxa"/>
            <w:tcBorders>
              <w:top w:val="nil"/>
              <w:left w:val="nil"/>
              <w:bottom w:val="single" w:sz="4" w:space="0" w:color="auto"/>
              <w:right w:val="single" w:sz="4" w:space="0" w:color="auto"/>
            </w:tcBorders>
            <w:noWrap/>
            <w:hideMark/>
          </w:tcPr>
          <w:p w14:paraId="6A6CEC8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3 492 ps</w:t>
            </w:r>
          </w:p>
        </w:tc>
        <w:tc>
          <w:tcPr>
            <w:tcW w:w="722" w:type="dxa"/>
            <w:tcBorders>
              <w:top w:val="nil"/>
              <w:left w:val="nil"/>
              <w:bottom w:val="single" w:sz="4" w:space="0" w:color="auto"/>
              <w:right w:val="single" w:sz="4" w:space="0" w:color="auto"/>
            </w:tcBorders>
            <w:noWrap/>
            <w:hideMark/>
          </w:tcPr>
          <w:p w14:paraId="6FBA972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8" w:type="dxa"/>
            <w:gridSpan w:val="2"/>
            <w:tcBorders>
              <w:top w:val="nil"/>
              <w:left w:val="nil"/>
              <w:bottom w:val="single" w:sz="4" w:space="0" w:color="auto"/>
              <w:right w:val="single" w:sz="4" w:space="0" w:color="auto"/>
            </w:tcBorders>
            <w:noWrap/>
            <w:hideMark/>
          </w:tcPr>
          <w:p w14:paraId="6446E35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1 796 s</w:t>
            </w:r>
          </w:p>
        </w:tc>
        <w:tc>
          <w:tcPr>
            <w:tcW w:w="802" w:type="dxa"/>
            <w:gridSpan w:val="2"/>
            <w:tcBorders>
              <w:top w:val="nil"/>
              <w:left w:val="nil"/>
              <w:bottom w:val="single" w:sz="4" w:space="0" w:color="auto"/>
              <w:right w:val="single" w:sz="4" w:space="0" w:color="auto"/>
            </w:tcBorders>
            <w:noWrap/>
            <w:hideMark/>
          </w:tcPr>
          <w:p w14:paraId="0E8CE8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1 782 s</w:t>
            </w:r>
          </w:p>
        </w:tc>
        <w:tc>
          <w:tcPr>
            <w:tcW w:w="840" w:type="dxa"/>
            <w:gridSpan w:val="2"/>
            <w:tcBorders>
              <w:top w:val="nil"/>
              <w:left w:val="nil"/>
              <w:bottom w:val="single" w:sz="4" w:space="0" w:color="auto"/>
              <w:right w:val="single" w:sz="4" w:space="0" w:color="auto"/>
            </w:tcBorders>
            <w:noWrap/>
            <w:hideMark/>
          </w:tcPr>
          <w:p w14:paraId="4EC0A3E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446 559 bs</w:t>
            </w:r>
          </w:p>
        </w:tc>
        <w:tc>
          <w:tcPr>
            <w:tcW w:w="840" w:type="dxa"/>
            <w:gridSpan w:val="2"/>
            <w:tcBorders>
              <w:top w:val="nil"/>
              <w:left w:val="nil"/>
              <w:bottom w:val="single" w:sz="4" w:space="0" w:color="auto"/>
              <w:right w:val="single" w:sz="4" w:space="0" w:color="auto"/>
            </w:tcBorders>
            <w:noWrap/>
            <w:hideMark/>
          </w:tcPr>
          <w:p w14:paraId="4F5BFB1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447 485 s</w:t>
            </w:r>
          </w:p>
        </w:tc>
      </w:tr>
      <w:tr w:rsidR="00221F1C" w14:paraId="2965B366" w14:textId="77777777" w:rsidTr="00221F1C">
        <w:trPr>
          <w:trHeight w:val="450"/>
        </w:trPr>
        <w:tc>
          <w:tcPr>
            <w:tcW w:w="2400" w:type="dxa"/>
            <w:gridSpan w:val="2"/>
            <w:tcBorders>
              <w:top w:val="nil"/>
              <w:left w:val="single" w:sz="4" w:space="0" w:color="auto"/>
              <w:bottom w:val="single" w:sz="4" w:space="0" w:color="auto"/>
              <w:right w:val="single" w:sz="4" w:space="0" w:color="auto"/>
            </w:tcBorders>
            <w:hideMark/>
          </w:tcPr>
          <w:p w14:paraId="47C9176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Udio dobne skupine od 15 do 64 godine u ukupnom stanovništvu (%)</w:t>
            </w:r>
          </w:p>
        </w:tc>
        <w:tc>
          <w:tcPr>
            <w:tcW w:w="600" w:type="dxa"/>
            <w:tcBorders>
              <w:top w:val="nil"/>
              <w:left w:val="nil"/>
              <w:bottom w:val="single" w:sz="4" w:space="0" w:color="auto"/>
              <w:right w:val="single" w:sz="4" w:space="0" w:color="auto"/>
            </w:tcBorders>
            <w:hideMark/>
          </w:tcPr>
          <w:p w14:paraId="0892EF29"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07EDA23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66,9 s</w:t>
            </w:r>
          </w:p>
        </w:tc>
        <w:tc>
          <w:tcPr>
            <w:tcW w:w="840" w:type="dxa"/>
            <w:tcBorders>
              <w:top w:val="nil"/>
              <w:left w:val="nil"/>
              <w:bottom w:val="single" w:sz="4" w:space="0" w:color="auto"/>
              <w:right w:val="single" w:sz="4" w:space="0" w:color="auto"/>
            </w:tcBorders>
            <w:noWrap/>
            <w:hideMark/>
          </w:tcPr>
          <w:p w14:paraId="42757C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66,5 s</w:t>
            </w:r>
          </w:p>
        </w:tc>
        <w:tc>
          <w:tcPr>
            <w:tcW w:w="840" w:type="dxa"/>
            <w:tcBorders>
              <w:top w:val="nil"/>
              <w:left w:val="nil"/>
              <w:bottom w:val="single" w:sz="4" w:space="0" w:color="auto"/>
              <w:right w:val="single" w:sz="4" w:space="0" w:color="auto"/>
            </w:tcBorders>
            <w:noWrap/>
            <w:hideMark/>
          </w:tcPr>
          <w:p w14:paraId="3047C6C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69,6 s</w:t>
            </w:r>
          </w:p>
        </w:tc>
        <w:tc>
          <w:tcPr>
            <w:tcW w:w="750" w:type="dxa"/>
            <w:tcBorders>
              <w:top w:val="nil"/>
              <w:left w:val="nil"/>
              <w:bottom w:val="single" w:sz="4" w:space="0" w:color="auto"/>
              <w:right w:val="single" w:sz="4" w:space="0" w:color="auto"/>
            </w:tcBorders>
            <w:noWrap/>
            <w:hideMark/>
          </w:tcPr>
          <w:p w14:paraId="4CA293B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69,3 s</w:t>
            </w:r>
          </w:p>
        </w:tc>
        <w:tc>
          <w:tcPr>
            <w:tcW w:w="839" w:type="dxa"/>
            <w:tcBorders>
              <w:top w:val="nil"/>
              <w:left w:val="nil"/>
              <w:bottom w:val="single" w:sz="4" w:space="0" w:color="auto"/>
              <w:right w:val="single" w:sz="4" w:space="0" w:color="auto"/>
            </w:tcBorders>
            <w:noWrap/>
            <w:hideMark/>
          </w:tcPr>
          <w:p w14:paraId="1409CD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68,7 s</w:t>
            </w:r>
          </w:p>
        </w:tc>
        <w:tc>
          <w:tcPr>
            <w:tcW w:w="811" w:type="dxa"/>
            <w:tcBorders>
              <w:top w:val="nil"/>
              <w:left w:val="nil"/>
              <w:bottom w:val="single" w:sz="4" w:space="0" w:color="auto"/>
              <w:right w:val="single" w:sz="4" w:space="0" w:color="auto"/>
            </w:tcBorders>
            <w:noWrap/>
            <w:hideMark/>
          </w:tcPr>
          <w:p w14:paraId="57137D5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68,4 s</w:t>
            </w:r>
          </w:p>
        </w:tc>
        <w:tc>
          <w:tcPr>
            <w:tcW w:w="839" w:type="dxa"/>
            <w:tcBorders>
              <w:top w:val="nil"/>
              <w:left w:val="nil"/>
              <w:bottom w:val="single" w:sz="4" w:space="0" w:color="auto"/>
              <w:right w:val="single" w:sz="4" w:space="0" w:color="auto"/>
            </w:tcBorders>
            <w:noWrap/>
            <w:hideMark/>
          </w:tcPr>
          <w:p w14:paraId="21BD61A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65,3 s</w:t>
            </w:r>
          </w:p>
        </w:tc>
        <w:tc>
          <w:tcPr>
            <w:tcW w:w="750" w:type="dxa"/>
            <w:tcBorders>
              <w:top w:val="nil"/>
              <w:left w:val="nil"/>
              <w:bottom w:val="single" w:sz="4" w:space="0" w:color="auto"/>
              <w:right w:val="single" w:sz="4" w:space="0" w:color="auto"/>
            </w:tcBorders>
            <w:noWrap/>
            <w:hideMark/>
          </w:tcPr>
          <w:p w14:paraId="7959249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64,8 s</w:t>
            </w:r>
          </w:p>
        </w:tc>
        <w:tc>
          <w:tcPr>
            <w:tcW w:w="811" w:type="dxa"/>
            <w:tcBorders>
              <w:top w:val="nil"/>
              <w:left w:val="nil"/>
              <w:bottom w:val="single" w:sz="4" w:space="0" w:color="auto"/>
              <w:right w:val="single" w:sz="4" w:space="0" w:color="auto"/>
            </w:tcBorders>
            <w:noWrap/>
            <w:hideMark/>
          </w:tcPr>
          <w:p w14:paraId="6BDD2FD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67,8 s</w:t>
            </w:r>
          </w:p>
        </w:tc>
        <w:tc>
          <w:tcPr>
            <w:tcW w:w="839" w:type="dxa"/>
            <w:tcBorders>
              <w:top w:val="nil"/>
              <w:left w:val="nil"/>
              <w:bottom w:val="single" w:sz="4" w:space="0" w:color="auto"/>
              <w:right w:val="single" w:sz="4" w:space="0" w:color="auto"/>
            </w:tcBorders>
            <w:noWrap/>
            <w:hideMark/>
          </w:tcPr>
          <w:p w14:paraId="1F80F82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67,8 s</w:t>
            </w:r>
          </w:p>
        </w:tc>
        <w:tc>
          <w:tcPr>
            <w:tcW w:w="839" w:type="dxa"/>
            <w:tcBorders>
              <w:top w:val="nil"/>
              <w:left w:val="nil"/>
              <w:bottom w:val="single" w:sz="4" w:space="0" w:color="auto"/>
              <w:right w:val="single" w:sz="4" w:space="0" w:color="auto"/>
            </w:tcBorders>
            <w:noWrap/>
            <w:hideMark/>
          </w:tcPr>
          <w:p w14:paraId="31BC370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noWrap/>
            <w:hideMark/>
          </w:tcPr>
          <w:p w14:paraId="1C96BE2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8" w:type="dxa"/>
            <w:gridSpan w:val="2"/>
            <w:tcBorders>
              <w:top w:val="nil"/>
              <w:left w:val="nil"/>
              <w:bottom w:val="single" w:sz="4" w:space="0" w:color="auto"/>
              <w:right w:val="single" w:sz="4" w:space="0" w:color="auto"/>
            </w:tcBorders>
            <w:noWrap/>
            <w:hideMark/>
          </w:tcPr>
          <w:p w14:paraId="5E0914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67,1 s</w:t>
            </w:r>
          </w:p>
        </w:tc>
        <w:tc>
          <w:tcPr>
            <w:tcW w:w="802" w:type="dxa"/>
            <w:gridSpan w:val="2"/>
            <w:tcBorders>
              <w:top w:val="nil"/>
              <w:left w:val="nil"/>
              <w:bottom w:val="single" w:sz="4" w:space="0" w:color="auto"/>
              <w:right w:val="single" w:sz="4" w:space="0" w:color="auto"/>
            </w:tcBorders>
            <w:noWrap/>
            <w:hideMark/>
          </w:tcPr>
          <w:p w14:paraId="1D760FD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67,1 s</w:t>
            </w:r>
          </w:p>
        </w:tc>
        <w:tc>
          <w:tcPr>
            <w:tcW w:w="840" w:type="dxa"/>
            <w:gridSpan w:val="2"/>
            <w:tcBorders>
              <w:top w:val="nil"/>
              <w:left w:val="nil"/>
              <w:bottom w:val="single" w:sz="4" w:space="0" w:color="auto"/>
              <w:right w:val="single" w:sz="4" w:space="0" w:color="auto"/>
            </w:tcBorders>
            <w:noWrap/>
            <w:hideMark/>
          </w:tcPr>
          <w:p w14:paraId="55496E5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64,6 beps</w:t>
            </w:r>
          </w:p>
        </w:tc>
        <w:tc>
          <w:tcPr>
            <w:tcW w:w="840" w:type="dxa"/>
            <w:gridSpan w:val="2"/>
            <w:tcBorders>
              <w:top w:val="nil"/>
              <w:left w:val="nil"/>
              <w:bottom w:val="single" w:sz="4" w:space="0" w:color="auto"/>
              <w:right w:val="single" w:sz="4" w:space="0" w:color="auto"/>
            </w:tcBorders>
            <w:noWrap/>
            <w:hideMark/>
          </w:tcPr>
          <w:p w14:paraId="7D1BAA6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64,3 eps</w:t>
            </w:r>
          </w:p>
        </w:tc>
      </w:tr>
      <w:tr w:rsidR="00221F1C" w14:paraId="18ADE02E" w14:textId="77777777" w:rsidTr="00221F1C">
        <w:trPr>
          <w:trHeight w:val="450"/>
        </w:trPr>
        <w:tc>
          <w:tcPr>
            <w:tcW w:w="2400" w:type="dxa"/>
            <w:gridSpan w:val="2"/>
            <w:tcBorders>
              <w:top w:val="nil"/>
              <w:left w:val="single" w:sz="4" w:space="0" w:color="auto"/>
              <w:bottom w:val="single" w:sz="4" w:space="0" w:color="auto"/>
              <w:right w:val="single" w:sz="4" w:space="0" w:color="auto"/>
            </w:tcBorders>
            <w:hideMark/>
          </w:tcPr>
          <w:p w14:paraId="3DA0128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Gruba stopa prirodne promjene stanovništva (na 1 000 stanovnika)</w:t>
            </w:r>
          </w:p>
        </w:tc>
        <w:tc>
          <w:tcPr>
            <w:tcW w:w="600" w:type="dxa"/>
            <w:tcBorders>
              <w:top w:val="nil"/>
              <w:left w:val="nil"/>
              <w:bottom w:val="single" w:sz="4" w:space="0" w:color="auto"/>
              <w:right w:val="single" w:sz="4" w:space="0" w:color="auto"/>
            </w:tcBorders>
            <w:hideMark/>
          </w:tcPr>
          <w:p w14:paraId="40F33037" w14:textId="77777777" w:rsidR="00221F1C" w:rsidRPr="00F55682" w:rsidRDefault="00221F1C">
            <w:pPr>
              <w:rPr>
                <w:rFonts w:ascii="Arial" w:eastAsia="Times New Roman" w:hAnsi="Arial" w:cs="Arial"/>
                <w:noProof/>
                <w:color w:val="000000"/>
                <w:sz w:val="16"/>
                <w:szCs w:val="16"/>
                <w:lang w:val="de-DE" w:eastAsia="en-IE"/>
              </w:rPr>
            </w:pPr>
          </w:p>
        </w:tc>
        <w:tc>
          <w:tcPr>
            <w:tcW w:w="720" w:type="dxa"/>
            <w:tcBorders>
              <w:top w:val="nil"/>
              <w:left w:val="nil"/>
              <w:bottom w:val="single" w:sz="4" w:space="0" w:color="auto"/>
              <w:right w:val="single" w:sz="4" w:space="0" w:color="auto"/>
            </w:tcBorders>
            <w:noWrap/>
            <w:hideMark/>
          </w:tcPr>
          <w:p w14:paraId="4C8D74C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w:t>
            </w:r>
          </w:p>
        </w:tc>
        <w:tc>
          <w:tcPr>
            <w:tcW w:w="840" w:type="dxa"/>
            <w:tcBorders>
              <w:top w:val="nil"/>
              <w:left w:val="nil"/>
              <w:bottom w:val="single" w:sz="4" w:space="0" w:color="auto"/>
              <w:right w:val="single" w:sz="4" w:space="0" w:color="auto"/>
            </w:tcBorders>
            <w:noWrap/>
            <w:hideMark/>
          </w:tcPr>
          <w:p w14:paraId="69C635C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–0,3</w:t>
            </w:r>
          </w:p>
        </w:tc>
        <w:tc>
          <w:tcPr>
            <w:tcW w:w="840" w:type="dxa"/>
            <w:tcBorders>
              <w:top w:val="nil"/>
              <w:left w:val="nil"/>
              <w:bottom w:val="single" w:sz="4" w:space="0" w:color="auto"/>
              <w:right w:val="single" w:sz="4" w:space="0" w:color="auto"/>
            </w:tcBorders>
            <w:noWrap/>
            <w:hideMark/>
          </w:tcPr>
          <w:p w14:paraId="740B2A8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–0,3</w:t>
            </w:r>
          </w:p>
        </w:tc>
        <w:tc>
          <w:tcPr>
            <w:tcW w:w="750" w:type="dxa"/>
            <w:tcBorders>
              <w:top w:val="nil"/>
              <w:left w:val="nil"/>
              <w:bottom w:val="single" w:sz="4" w:space="0" w:color="auto"/>
              <w:right w:val="single" w:sz="4" w:space="0" w:color="auto"/>
            </w:tcBorders>
            <w:noWrap/>
            <w:hideMark/>
          </w:tcPr>
          <w:p w14:paraId="6B6B5F3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w:t>
            </w:r>
          </w:p>
        </w:tc>
        <w:tc>
          <w:tcPr>
            <w:tcW w:w="839" w:type="dxa"/>
            <w:tcBorders>
              <w:top w:val="nil"/>
              <w:left w:val="nil"/>
              <w:bottom w:val="single" w:sz="4" w:space="0" w:color="auto"/>
              <w:right w:val="single" w:sz="4" w:space="0" w:color="auto"/>
            </w:tcBorders>
            <w:noWrap/>
            <w:hideMark/>
          </w:tcPr>
          <w:p w14:paraId="112FFF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w:t>
            </w:r>
          </w:p>
        </w:tc>
        <w:tc>
          <w:tcPr>
            <w:tcW w:w="811" w:type="dxa"/>
            <w:tcBorders>
              <w:top w:val="nil"/>
              <w:left w:val="nil"/>
              <w:bottom w:val="single" w:sz="4" w:space="0" w:color="auto"/>
              <w:right w:val="single" w:sz="4" w:space="0" w:color="auto"/>
            </w:tcBorders>
            <w:noWrap/>
            <w:hideMark/>
          </w:tcPr>
          <w:p w14:paraId="796C47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0,2</w:t>
            </w:r>
          </w:p>
        </w:tc>
        <w:tc>
          <w:tcPr>
            <w:tcW w:w="839" w:type="dxa"/>
            <w:tcBorders>
              <w:top w:val="nil"/>
              <w:left w:val="nil"/>
              <w:bottom w:val="single" w:sz="4" w:space="0" w:color="auto"/>
              <w:right w:val="single" w:sz="4" w:space="0" w:color="auto"/>
            </w:tcBorders>
            <w:noWrap/>
            <w:hideMark/>
          </w:tcPr>
          <w:p w14:paraId="4A12F82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–5,3</w:t>
            </w:r>
          </w:p>
        </w:tc>
        <w:tc>
          <w:tcPr>
            <w:tcW w:w="750" w:type="dxa"/>
            <w:tcBorders>
              <w:top w:val="nil"/>
              <w:left w:val="nil"/>
              <w:bottom w:val="single" w:sz="4" w:space="0" w:color="auto"/>
              <w:right w:val="single" w:sz="4" w:space="0" w:color="auto"/>
            </w:tcBorders>
            <w:noWrap/>
            <w:hideMark/>
          </w:tcPr>
          <w:p w14:paraId="54C7979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–8,0</w:t>
            </w:r>
          </w:p>
        </w:tc>
        <w:tc>
          <w:tcPr>
            <w:tcW w:w="811" w:type="dxa"/>
            <w:tcBorders>
              <w:top w:val="nil"/>
              <w:left w:val="nil"/>
              <w:bottom w:val="single" w:sz="4" w:space="0" w:color="auto"/>
              <w:right w:val="single" w:sz="4" w:space="0" w:color="auto"/>
            </w:tcBorders>
            <w:noWrap/>
            <w:hideMark/>
          </w:tcPr>
          <w:p w14:paraId="08101D8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9,1 be</w:t>
            </w:r>
          </w:p>
        </w:tc>
        <w:tc>
          <w:tcPr>
            <w:tcW w:w="839" w:type="dxa"/>
            <w:tcBorders>
              <w:top w:val="nil"/>
              <w:left w:val="nil"/>
              <w:bottom w:val="single" w:sz="4" w:space="0" w:color="auto"/>
              <w:right w:val="single" w:sz="4" w:space="0" w:color="auto"/>
            </w:tcBorders>
            <w:noWrap/>
            <w:hideMark/>
          </w:tcPr>
          <w:p w14:paraId="6D49A66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3D826A0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noWrap/>
            <w:hideMark/>
          </w:tcPr>
          <w:p w14:paraId="4F2A84D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8" w:type="dxa"/>
            <w:gridSpan w:val="2"/>
            <w:tcBorders>
              <w:top w:val="nil"/>
              <w:left w:val="nil"/>
              <w:bottom w:val="single" w:sz="4" w:space="0" w:color="auto"/>
              <w:right w:val="single" w:sz="4" w:space="0" w:color="auto"/>
            </w:tcBorders>
            <w:noWrap/>
            <w:hideMark/>
          </w:tcPr>
          <w:p w14:paraId="2D37982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6,9</w:t>
            </w:r>
          </w:p>
        </w:tc>
        <w:tc>
          <w:tcPr>
            <w:tcW w:w="802" w:type="dxa"/>
            <w:gridSpan w:val="2"/>
            <w:tcBorders>
              <w:top w:val="nil"/>
              <w:left w:val="nil"/>
              <w:bottom w:val="single" w:sz="4" w:space="0" w:color="auto"/>
              <w:right w:val="single" w:sz="4" w:space="0" w:color="auto"/>
            </w:tcBorders>
            <w:noWrap/>
            <w:hideMark/>
          </w:tcPr>
          <w:p w14:paraId="48D40A4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gridSpan w:val="2"/>
            <w:tcBorders>
              <w:top w:val="nil"/>
              <w:left w:val="nil"/>
              <w:bottom w:val="single" w:sz="4" w:space="0" w:color="auto"/>
              <w:right w:val="single" w:sz="4" w:space="0" w:color="auto"/>
            </w:tcBorders>
            <w:noWrap/>
            <w:hideMark/>
          </w:tcPr>
          <w:p w14:paraId="099AE2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 bep</w:t>
            </w:r>
          </w:p>
        </w:tc>
        <w:tc>
          <w:tcPr>
            <w:tcW w:w="840" w:type="dxa"/>
            <w:gridSpan w:val="2"/>
            <w:tcBorders>
              <w:top w:val="nil"/>
              <w:left w:val="nil"/>
              <w:bottom w:val="single" w:sz="4" w:space="0" w:color="auto"/>
              <w:right w:val="single" w:sz="4" w:space="0" w:color="auto"/>
            </w:tcBorders>
            <w:noWrap/>
            <w:hideMark/>
          </w:tcPr>
          <w:p w14:paraId="15F2A4E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 ep</w:t>
            </w:r>
          </w:p>
        </w:tc>
      </w:tr>
      <w:tr w:rsidR="00221F1C" w14:paraId="1E1FA186" w14:textId="77777777" w:rsidTr="00221F1C">
        <w:trPr>
          <w:trHeight w:val="450"/>
        </w:trPr>
        <w:tc>
          <w:tcPr>
            <w:tcW w:w="2400" w:type="dxa"/>
            <w:gridSpan w:val="2"/>
            <w:tcBorders>
              <w:top w:val="nil"/>
              <w:left w:val="single" w:sz="4" w:space="0" w:color="auto"/>
              <w:bottom w:val="single" w:sz="4" w:space="0" w:color="auto"/>
              <w:right w:val="single" w:sz="4" w:space="0" w:color="auto"/>
            </w:tcBorders>
            <w:hideMark/>
          </w:tcPr>
          <w:p w14:paraId="617E148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 xml:space="preserve">Očekivani životni vijek na dan rođenja, muškarci (u godinama) </w:t>
            </w:r>
          </w:p>
        </w:tc>
        <w:tc>
          <w:tcPr>
            <w:tcW w:w="600" w:type="dxa"/>
            <w:tcBorders>
              <w:top w:val="nil"/>
              <w:left w:val="nil"/>
              <w:bottom w:val="single" w:sz="4" w:space="0" w:color="auto"/>
              <w:right w:val="single" w:sz="4" w:space="0" w:color="auto"/>
            </w:tcBorders>
            <w:hideMark/>
          </w:tcPr>
          <w:p w14:paraId="3CE5AA3A" w14:textId="77777777" w:rsidR="00221F1C" w:rsidRPr="00F55682" w:rsidRDefault="00221F1C">
            <w:pPr>
              <w:rPr>
                <w:rFonts w:ascii="Arial" w:eastAsia="Times New Roman" w:hAnsi="Arial" w:cs="Arial"/>
                <w:noProof/>
                <w:color w:val="000000"/>
                <w:sz w:val="16"/>
                <w:szCs w:val="16"/>
                <w:lang w:eastAsia="en-IE"/>
              </w:rPr>
            </w:pPr>
          </w:p>
        </w:tc>
        <w:tc>
          <w:tcPr>
            <w:tcW w:w="720" w:type="dxa"/>
            <w:tcBorders>
              <w:top w:val="nil"/>
              <w:left w:val="nil"/>
              <w:bottom w:val="single" w:sz="4" w:space="0" w:color="auto"/>
              <w:right w:val="single" w:sz="4" w:space="0" w:color="auto"/>
            </w:tcBorders>
            <w:noWrap/>
            <w:hideMark/>
          </w:tcPr>
          <w:p w14:paraId="51C0353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74,0</w:t>
            </w:r>
          </w:p>
        </w:tc>
        <w:tc>
          <w:tcPr>
            <w:tcW w:w="840" w:type="dxa"/>
            <w:tcBorders>
              <w:top w:val="nil"/>
              <w:left w:val="nil"/>
              <w:bottom w:val="single" w:sz="4" w:space="0" w:color="auto"/>
              <w:right w:val="single" w:sz="4" w:space="0" w:color="auto"/>
            </w:tcBorders>
            <w:noWrap/>
            <w:hideMark/>
          </w:tcPr>
          <w:p w14:paraId="55C7012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73,2</w:t>
            </w:r>
          </w:p>
        </w:tc>
        <w:tc>
          <w:tcPr>
            <w:tcW w:w="840" w:type="dxa"/>
            <w:tcBorders>
              <w:top w:val="nil"/>
              <w:left w:val="nil"/>
              <w:bottom w:val="single" w:sz="4" w:space="0" w:color="auto"/>
              <w:right w:val="single" w:sz="4" w:space="0" w:color="auto"/>
            </w:tcBorders>
            <w:noWrap/>
            <w:hideMark/>
          </w:tcPr>
          <w:p w14:paraId="4E853F5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74,7</w:t>
            </w:r>
          </w:p>
        </w:tc>
        <w:tc>
          <w:tcPr>
            <w:tcW w:w="750" w:type="dxa"/>
            <w:tcBorders>
              <w:top w:val="nil"/>
              <w:left w:val="nil"/>
              <w:bottom w:val="single" w:sz="4" w:space="0" w:color="auto"/>
              <w:right w:val="single" w:sz="4" w:space="0" w:color="auto"/>
            </w:tcBorders>
            <w:noWrap/>
            <w:hideMark/>
          </w:tcPr>
          <w:p w14:paraId="68DCC4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72,2</w:t>
            </w:r>
          </w:p>
        </w:tc>
        <w:tc>
          <w:tcPr>
            <w:tcW w:w="839" w:type="dxa"/>
            <w:tcBorders>
              <w:top w:val="nil"/>
              <w:left w:val="nil"/>
              <w:bottom w:val="single" w:sz="4" w:space="0" w:color="auto"/>
              <w:right w:val="single" w:sz="4" w:space="0" w:color="auto"/>
            </w:tcBorders>
            <w:noWrap/>
            <w:hideMark/>
          </w:tcPr>
          <w:p w14:paraId="785AFF5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77,6</w:t>
            </w:r>
          </w:p>
        </w:tc>
        <w:tc>
          <w:tcPr>
            <w:tcW w:w="811" w:type="dxa"/>
            <w:tcBorders>
              <w:top w:val="nil"/>
              <w:left w:val="nil"/>
              <w:bottom w:val="single" w:sz="4" w:space="0" w:color="auto"/>
              <w:right w:val="single" w:sz="4" w:space="0" w:color="auto"/>
            </w:tcBorders>
            <w:noWrap/>
            <w:hideMark/>
          </w:tcPr>
          <w:p w14:paraId="5601AE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75,2</w:t>
            </w:r>
          </w:p>
        </w:tc>
        <w:tc>
          <w:tcPr>
            <w:tcW w:w="839" w:type="dxa"/>
            <w:tcBorders>
              <w:top w:val="nil"/>
              <w:left w:val="nil"/>
              <w:bottom w:val="single" w:sz="4" w:space="0" w:color="auto"/>
              <w:right w:val="single" w:sz="4" w:space="0" w:color="auto"/>
            </w:tcBorders>
            <w:noWrap/>
            <w:hideMark/>
          </w:tcPr>
          <w:p w14:paraId="1987AA5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73,4</w:t>
            </w:r>
          </w:p>
        </w:tc>
        <w:tc>
          <w:tcPr>
            <w:tcW w:w="750" w:type="dxa"/>
            <w:tcBorders>
              <w:top w:val="nil"/>
              <w:left w:val="nil"/>
              <w:bottom w:val="single" w:sz="4" w:space="0" w:color="auto"/>
              <w:right w:val="single" w:sz="4" w:space="0" w:color="auto"/>
            </w:tcBorders>
            <w:noWrap/>
            <w:hideMark/>
          </w:tcPr>
          <w:p w14:paraId="049EAF9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71,6</w:t>
            </w:r>
          </w:p>
        </w:tc>
        <w:tc>
          <w:tcPr>
            <w:tcW w:w="811" w:type="dxa"/>
            <w:tcBorders>
              <w:top w:val="nil"/>
              <w:left w:val="nil"/>
              <w:bottom w:val="single" w:sz="4" w:space="0" w:color="auto"/>
              <w:right w:val="single" w:sz="4" w:space="0" w:color="auto"/>
            </w:tcBorders>
            <w:noWrap/>
            <w:hideMark/>
          </w:tcPr>
          <w:p w14:paraId="56C1E6A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76,4</w:t>
            </w:r>
          </w:p>
        </w:tc>
        <w:tc>
          <w:tcPr>
            <w:tcW w:w="839" w:type="dxa"/>
            <w:tcBorders>
              <w:top w:val="nil"/>
              <w:left w:val="nil"/>
              <w:bottom w:val="single" w:sz="4" w:space="0" w:color="auto"/>
              <w:right w:val="single" w:sz="4" w:space="0" w:color="auto"/>
            </w:tcBorders>
            <w:noWrap/>
            <w:hideMark/>
          </w:tcPr>
          <w:p w14:paraId="67B9749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50BBD23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noWrap/>
            <w:hideMark/>
          </w:tcPr>
          <w:p w14:paraId="507BD19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8" w:type="dxa"/>
            <w:gridSpan w:val="2"/>
            <w:tcBorders>
              <w:top w:val="nil"/>
              <w:left w:val="nil"/>
              <w:bottom w:val="single" w:sz="4" w:space="0" w:color="auto"/>
              <w:right w:val="single" w:sz="4" w:space="0" w:color="auto"/>
            </w:tcBorders>
            <w:noWrap/>
            <w:hideMark/>
          </w:tcPr>
          <w:p w14:paraId="39241FE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02" w:type="dxa"/>
            <w:gridSpan w:val="2"/>
            <w:tcBorders>
              <w:top w:val="nil"/>
              <w:left w:val="nil"/>
              <w:bottom w:val="single" w:sz="4" w:space="0" w:color="auto"/>
              <w:right w:val="single" w:sz="4" w:space="0" w:color="auto"/>
            </w:tcBorders>
            <w:noWrap/>
            <w:hideMark/>
          </w:tcPr>
          <w:p w14:paraId="39E9253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gridSpan w:val="2"/>
            <w:tcBorders>
              <w:top w:val="nil"/>
              <w:left w:val="nil"/>
              <w:bottom w:val="single" w:sz="4" w:space="0" w:color="auto"/>
              <w:right w:val="single" w:sz="4" w:space="0" w:color="auto"/>
            </w:tcBorders>
            <w:noWrap/>
            <w:hideMark/>
          </w:tcPr>
          <w:p w14:paraId="40461E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78,5 bep</w:t>
            </w:r>
          </w:p>
        </w:tc>
        <w:tc>
          <w:tcPr>
            <w:tcW w:w="840" w:type="dxa"/>
            <w:gridSpan w:val="2"/>
            <w:tcBorders>
              <w:top w:val="nil"/>
              <w:left w:val="nil"/>
              <w:bottom w:val="single" w:sz="4" w:space="0" w:color="auto"/>
              <w:right w:val="single" w:sz="4" w:space="0" w:color="auto"/>
            </w:tcBorders>
            <w:noWrap/>
            <w:hideMark/>
          </w:tcPr>
          <w:p w14:paraId="5D082FD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77,5 ep</w:t>
            </w:r>
          </w:p>
        </w:tc>
      </w:tr>
      <w:tr w:rsidR="00221F1C" w14:paraId="2AD38C89" w14:textId="77777777" w:rsidTr="00221F1C">
        <w:trPr>
          <w:trHeight w:val="450"/>
        </w:trPr>
        <w:tc>
          <w:tcPr>
            <w:tcW w:w="2400" w:type="dxa"/>
            <w:gridSpan w:val="2"/>
            <w:tcBorders>
              <w:top w:val="nil"/>
              <w:left w:val="single" w:sz="4" w:space="0" w:color="auto"/>
              <w:bottom w:val="single" w:sz="4" w:space="0" w:color="auto"/>
              <w:right w:val="single" w:sz="4" w:space="0" w:color="auto"/>
            </w:tcBorders>
            <w:hideMark/>
          </w:tcPr>
          <w:p w14:paraId="3E844C6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 xml:space="preserve">Očekivani životni vijek na dan rođenja, žene (u godinama) </w:t>
            </w:r>
          </w:p>
        </w:tc>
        <w:tc>
          <w:tcPr>
            <w:tcW w:w="600" w:type="dxa"/>
            <w:tcBorders>
              <w:top w:val="nil"/>
              <w:left w:val="nil"/>
              <w:bottom w:val="single" w:sz="4" w:space="0" w:color="auto"/>
              <w:right w:val="single" w:sz="4" w:space="0" w:color="auto"/>
            </w:tcBorders>
            <w:hideMark/>
          </w:tcPr>
          <w:p w14:paraId="7474B4A8" w14:textId="77777777" w:rsidR="00221F1C" w:rsidRPr="00F55682" w:rsidRDefault="00221F1C">
            <w:pPr>
              <w:rPr>
                <w:rFonts w:ascii="Arial" w:eastAsia="Times New Roman" w:hAnsi="Arial" w:cs="Arial"/>
                <w:noProof/>
                <w:color w:val="000000"/>
                <w:sz w:val="16"/>
                <w:szCs w:val="16"/>
                <w:lang w:eastAsia="en-IE"/>
              </w:rPr>
            </w:pPr>
          </w:p>
        </w:tc>
        <w:tc>
          <w:tcPr>
            <w:tcW w:w="720" w:type="dxa"/>
            <w:tcBorders>
              <w:top w:val="nil"/>
              <w:left w:val="nil"/>
              <w:bottom w:val="single" w:sz="4" w:space="0" w:color="auto"/>
              <w:right w:val="single" w:sz="4" w:space="0" w:color="auto"/>
            </w:tcBorders>
            <w:noWrap/>
            <w:hideMark/>
          </w:tcPr>
          <w:p w14:paraId="3C4380A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79,5</w:t>
            </w:r>
          </w:p>
        </w:tc>
        <w:tc>
          <w:tcPr>
            <w:tcW w:w="840" w:type="dxa"/>
            <w:tcBorders>
              <w:top w:val="nil"/>
              <w:left w:val="nil"/>
              <w:bottom w:val="single" w:sz="4" w:space="0" w:color="auto"/>
              <w:right w:val="single" w:sz="4" w:space="0" w:color="auto"/>
            </w:tcBorders>
            <w:noWrap/>
            <w:hideMark/>
          </w:tcPr>
          <w:p w14:paraId="04AC393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78,8</w:t>
            </w:r>
          </w:p>
        </w:tc>
        <w:tc>
          <w:tcPr>
            <w:tcW w:w="840" w:type="dxa"/>
            <w:tcBorders>
              <w:top w:val="nil"/>
              <w:left w:val="nil"/>
              <w:bottom w:val="single" w:sz="4" w:space="0" w:color="auto"/>
              <w:right w:val="single" w:sz="4" w:space="0" w:color="auto"/>
            </w:tcBorders>
            <w:noWrap/>
            <w:hideMark/>
          </w:tcPr>
          <w:p w14:paraId="5E1B36E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78,6</w:t>
            </w:r>
          </w:p>
        </w:tc>
        <w:tc>
          <w:tcPr>
            <w:tcW w:w="750" w:type="dxa"/>
            <w:tcBorders>
              <w:top w:val="nil"/>
              <w:left w:val="nil"/>
              <w:bottom w:val="single" w:sz="4" w:space="0" w:color="auto"/>
              <w:right w:val="single" w:sz="4" w:space="0" w:color="auto"/>
            </w:tcBorders>
            <w:noWrap/>
            <w:hideMark/>
          </w:tcPr>
          <w:p w14:paraId="551588B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76,7</w:t>
            </w:r>
          </w:p>
        </w:tc>
        <w:tc>
          <w:tcPr>
            <w:tcW w:w="839" w:type="dxa"/>
            <w:tcBorders>
              <w:top w:val="nil"/>
              <w:left w:val="nil"/>
              <w:bottom w:val="single" w:sz="4" w:space="0" w:color="auto"/>
              <w:right w:val="single" w:sz="4" w:space="0" w:color="auto"/>
            </w:tcBorders>
            <w:noWrap/>
            <w:hideMark/>
          </w:tcPr>
          <w:p w14:paraId="362BB88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80,7</w:t>
            </w:r>
          </w:p>
        </w:tc>
        <w:tc>
          <w:tcPr>
            <w:tcW w:w="811" w:type="dxa"/>
            <w:tcBorders>
              <w:top w:val="nil"/>
              <w:left w:val="nil"/>
              <w:bottom w:val="single" w:sz="4" w:space="0" w:color="auto"/>
              <w:right w:val="single" w:sz="4" w:space="0" w:color="auto"/>
            </w:tcBorders>
            <w:noWrap/>
            <w:hideMark/>
          </w:tcPr>
          <w:p w14:paraId="465365F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79,6</w:t>
            </w:r>
          </w:p>
        </w:tc>
        <w:tc>
          <w:tcPr>
            <w:tcW w:w="839" w:type="dxa"/>
            <w:tcBorders>
              <w:top w:val="nil"/>
              <w:left w:val="nil"/>
              <w:bottom w:val="single" w:sz="4" w:space="0" w:color="auto"/>
              <w:right w:val="single" w:sz="4" w:space="0" w:color="auto"/>
            </w:tcBorders>
            <w:noWrap/>
            <w:hideMark/>
          </w:tcPr>
          <w:p w14:paraId="087B9AC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78,6</w:t>
            </w:r>
          </w:p>
        </w:tc>
        <w:tc>
          <w:tcPr>
            <w:tcW w:w="750" w:type="dxa"/>
            <w:tcBorders>
              <w:top w:val="nil"/>
              <w:left w:val="nil"/>
              <w:bottom w:val="single" w:sz="4" w:space="0" w:color="auto"/>
              <w:right w:val="single" w:sz="4" w:space="0" w:color="auto"/>
            </w:tcBorders>
            <w:noWrap/>
            <w:hideMark/>
          </w:tcPr>
          <w:p w14:paraId="08EDD3A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77,5</w:t>
            </w:r>
          </w:p>
        </w:tc>
        <w:tc>
          <w:tcPr>
            <w:tcW w:w="811" w:type="dxa"/>
            <w:tcBorders>
              <w:top w:val="nil"/>
              <w:left w:val="nil"/>
              <w:bottom w:val="single" w:sz="4" w:space="0" w:color="auto"/>
              <w:right w:val="single" w:sz="4" w:space="0" w:color="auto"/>
            </w:tcBorders>
            <w:noWrap/>
            <w:hideMark/>
          </w:tcPr>
          <w:p w14:paraId="26DCB3B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81,8</w:t>
            </w:r>
          </w:p>
        </w:tc>
        <w:tc>
          <w:tcPr>
            <w:tcW w:w="839" w:type="dxa"/>
            <w:tcBorders>
              <w:top w:val="nil"/>
              <w:left w:val="nil"/>
              <w:bottom w:val="single" w:sz="4" w:space="0" w:color="auto"/>
              <w:right w:val="single" w:sz="4" w:space="0" w:color="auto"/>
            </w:tcBorders>
            <w:noWrap/>
            <w:hideMark/>
          </w:tcPr>
          <w:p w14:paraId="7BE6258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4739930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noWrap/>
            <w:hideMark/>
          </w:tcPr>
          <w:p w14:paraId="06CAC41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8" w:type="dxa"/>
            <w:gridSpan w:val="2"/>
            <w:tcBorders>
              <w:top w:val="nil"/>
              <w:left w:val="nil"/>
              <w:bottom w:val="single" w:sz="4" w:space="0" w:color="auto"/>
              <w:right w:val="single" w:sz="4" w:space="0" w:color="auto"/>
            </w:tcBorders>
            <w:noWrap/>
            <w:hideMark/>
          </w:tcPr>
          <w:p w14:paraId="2BD0AD6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02" w:type="dxa"/>
            <w:gridSpan w:val="2"/>
            <w:tcBorders>
              <w:top w:val="nil"/>
              <w:left w:val="nil"/>
              <w:bottom w:val="single" w:sz="4" w:space="0" w:color="auto"/>
              <w:right w:val="single" w:sz="4" w:space="0" w:color="auto"/>
            </w:tcBorders>
            <w:noWrap/>
            <w:hideMark/>
          </w:tcPr>
          <w:p w14:paraId="7F99DBA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gridSpan w:val="2"/>
            <w:tcBorders>
              <w:top w:val="nil"/>
              <w:left w:val="nil"/>
              <w:bottom w:val="single" w:sz="4" w:space="0" w:color="auto"/>
              <w:right w:val="single" w:sz="4" w:space="0" w:color="auto"/>
            </w:tcBorders>
            <w:noWrap/>
            <w:hideMark/>
          </w:tcPr>
          <w:p w14:paraId="4C8B8FB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84,0 bep</w:t>
            </w:r>
          </w:p>
        </w:tc>
        <w:tc>
          <w:tcPr>
            <w:tcW w:w="840" w:type="dxa"/>
            <w:gridSpan w:val="2"/>
            <w:tcBorders>
              <w:top w:val="nil"/>
              <w:left w:val="nil"/>
              <w:bottom w:val="single" w:sz="4" w:space="0" w:color="auto"/>
              <w:right w:val="single" w:sz="4" w:space="0" w:color="auto"/>
            </w:tcBorders>
            <w:noWrap/>
            <w:hideMark/>
          </w:tcPr>
          <w:p w14:paraId="2114823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83,2 ep</w:t>
            </w:r>
          </w:p>
        </w:tc>
      </w:tr>
      <w:tr w:rsidR="00221F1C" w14:paraId="379753E0" w14:textId="77777777" w:rsidTr="00221F1C">
        <w:trPr>
          <w:trHeight w:val="225"/>
        </w:trPr>
        <w:tc>
          <w:tcPr>
            <w:tcW w:w="2400" w:type="dxa"/>
            <w:gridSpan w:val="2"/>
            <w:hideMark/>
          </w:tcPr>
          <w:p w14:paraId="10C32B7B" w14:textId="77777777" w:rsidR="00221F1C" w:rsidRDefault="00221F1C">
            <w:pPr>
              <w:rPr>
                <w:rFonts w:ascii="Arial" w:eastAsia="Times New Roman" w:hAnsi="Arial" w:cs="Arial"/>
                <w:noProof/>
                <w:color w:val="000000"/>
                <w:sz w:val="16"/>
                <w:szCs w:val="16"/>
                <w:lang w:val="en-IE" w:eastAsia="en-IE"/>
              </w:rPr>
            </w:pPr>
          </w:p>
        </w:tc>
        <w:tc>
          <w:tcPr>
            <w:tcW w:w="600" w:type="dxa"/>
            <w:hideMark/>
          </w:tcPr>
          <w:p w14:paraId="2A67BAA4" w14:textId="77777777" w:rsidR="00221F1C" w:rsidRDefault="00221F1C">
            <w:pPr>
              <w:spacing w:after="0"/>
              <w:rPr>
                <w:noProof/>
                <w:sz w:val="20"/>
                <w:szCs w:val="20"/>
                <w:lang w:val="en-IE" w:eastAsia="en-IE"/>
              </w:rPr>
            </w:pPr>
          </w:p>
        </w:tc>
        <w:tc>
          <w:tcPr>
            <w:tcW w:w="720" w:type="dxa"/>
            <w:noWrap/>
            <w:hideMark/>
          </w:tcPr>
          <w:p w14:paraId="686FFED1" w14:textId="77777777" w:rsidR="00221F1C" w:rsidRDefault="00221F1C">
            <w:pPr>
              <w:spacing w:after="0"/>
              <w:rPr>
                <w:noProof/>
                <w:sz w:val="20"/>
                <w:szCs w:val="20"/>
                <w:lang w:val="en-IE" w:eastAsia="en-IE"/>
              </w:rPr>
            </w:pPr>
          </w:p>
        </w:tc>
        <w:tc>
          <w:tcPr>
            <w:tcW w:w="840" w:type="dxa"/>
            <w:noWrap/>
            <w:hideMark/>
          </w:tcPr>
          <w:p w14:paraId="2B8F7E94" w14:textId="77777777" w:rsidR="00221F1C" w:rsidRDefault="00221F1C">
            <w:pPr>
              <w:spacing w:after="0"/>
              <w:rPr>
                <w:noProof/>
                <w:sz w:val="20"/>
                <w:szCs w:val="20"/>
                <w:lang w:val="en-IE" w:eastAsia="en-IE"/>
              </w:rPr>
            </w:pPr>
          </w:p>
        </w:tc>
        <w:tc>
          <w:tcPr>
            <w:tcW w:w="840" w:type="dxa"/>
            <w:noWrap/>
            <w:hideMark/>
          </w:tcPr>
          <w:p w14:paraId="3AF7C7C3" w14:textId="77777777" w:rsidR="00221F1C" w:rsidRDefault="00221F1C">
            <w:pPr>
              <w:spacing w:after="0"/>
              <w:rPr>
                <w:noProof/>
                <w:sz w:val="20"/>
                <w:szCs w:val="20"/>
                <w:lang w:val="en-IE" w:eastAsia="en-IE"/>
              </w:rPr>
            </w:pPr>
          </w:p>
        </w:tc>
        <w:tc>
          <w:tcPr>
            <w:tcW w:w="750" w:type="dxa"/>
            <w:noWrap/>
            <w:hideMark/>
          </w:tcPr>
          <w:p w14:paraId="4EB74F11" w14:textId="77777777" w:rsidR="00221F1C" w:rsidRDefault="00221F1C">
            <w:pPr>
              <w:spacing w:after="0"/>
              <w:rPr>
                <w:noProof/>
                <w:sz w:val="20"/>
                <w:szCs w:val="20"/>
                <w:lang w:val="en-IE" w:eastAsia="en-IE"/>
              </w:rPr>
            </w:pPr>
          </w:p>
        </w:tc>
        <w:tc>
          <w:tcPr>
            <w:tcW w:w="839" w:type="dxa"/>
            <w:noWrap/>
            <w:hideMark/>
          </w:tcPr>
          <w:p w14:paraId="69612719" w14:textId="77777777" w:rsidR="00221F1C" w:rsidRDefault="00221F1C">
            <w:pPr>
              <w:spacing w:after="0"/>
              <w:rPr>
                <w:noProof/>
                <w:sz w:val="20"/>
                <w:szCs w:val="20"/>
                <w:lang w:val="en-IE" w:eastAsia="en-IE"/>
              </w:rPr>
            </w:pPr>
          </w:p>
        </w:tc>
        <w:tc>
          <w:tcPr>
            <w:tcW w:w="811" w:type="dxa"/>
            <w:noWrap/>
            <w:hideMark/>
          </w:tcPr>
          <w:p w14:paraId="4F25E7D0" w14:textId="77777777" w:rsidR="00221F1C" w:rsidRDefault="00221F1C">
            <w:pPr>
              <w:spacing w:after="0"/>
              <w:rPr>
                <w:noProof/>
                <w:sz w:val="20"/>
                <w:szCs w:val="20"/>
                <w:lang w:val="en-IE" w:eastAsia="en-IE"/>
              </w:rPr>
            </w:pPr>
          </w:p>
        </w:tc>
        <w:tc>
          <w:tcPr>
            <w:tcW w:w="839" w:type="dxa"/>
            <w:noWrap/>
            <w:hideMark/>
          </w:tcPr>
          <w:p w14:paraId="7C3AE875" w14:textId="77777777" w:rsidR="00221F1C" w:rsidRDefault="00221F1C">
            <w:pPr>
              <w:spacing w:after="0"/>
              <w:rPr>
                <w:noProof/>
                <w:sz w:val="20"/>
                <w:szCs w:val="20"/>
                <w:lang w:val="en-IE" w:eastAsia="en-IE"/>
              </w:rPr>
            </w:pPr>
          </w:p>
        </w:tc>
        <w:tc>
          <w:tcPr>
            <w:tcW w:w="750" w:type="dxa"/>
            <w:noWrap/>
            <w:hideMark/>
          </w:tcPr>
          <w:p w14:paraId="7AF4BECC" w14:textId="77777777" w:rsidR="00221F1C" w:rsidRDefault="00221F1C">
            <w:pPr>
              <w:spacing w:after="0"/>
              <w:rPr>
                <w:noProof/>
                <w:sz w:val="20"/>
                <w:szCs w:val="20"/>
                <w:lang w:val="en-IE" w:eastAsia="en-IE"/>
              </w:rPr>
            </w:pPr>
          </w:p>
        </w:tc>
        <w:tc>
          <w:tcPr>
            <w:tcW w:w="811" w:type="dxa"/>
            <w:noWrap/>
            <w:hideMark/>
          </w:tcPr>
          <w:p w14:paraId="1A488056" w14:textId="77777777" w:rsidR="00221F1C" w:rsidRDefault="00221F1C">
            <w:pPr>
              <w:spacing w:after="0"/>
              <w:rPr>
                <w:noProof/>
                <w:sz w:val="20"/>
                <w:szCs w:val="20"/>
                <w:lang w:val="en-IE" w:eastAsia="en-IE"/>
              </w:rPr>
            </w:pPr>
          </w:p>
        </w:tc>
        <w:tc>
          <w:tcPr>
            <w:tcW w:w="839" w:type="dxa"/>
            <w:noWrap/>
            <w:hideMark/>
          </w:tcPr>
          <w:p w14:paraId="6A703031" w14:textId="77777777" w:rsidR="00221F1C" w:rsidRDefault="00221F1C">
            <w:pPr>
              <w:spacing w:after="0"/>
              <w:rPr>
                <w:noProof/>
                <w:sz w:val="20"/>
                <w:szCs w:val="20"/>
                <w:lang w:val="en-IE" w:eastAsia="en-IE"/>
              </w:rPr>
            </w:pPr>
          </w:p>
        </w:tc>
        <w:tc>
          <w:tcPr>
            <w:tcW w:w="839" w:type="dxa"/>
            <w:noWrap/>
            <w:hideMark/>
          </w:tcPr>
          <w:p w14:paraId="6CF5B68B" w14:textId="77777777" w:rsidR="00221F1C" w:rsidRDefault="00221F1C">
            <w:pPr>
              <w:spacing w:after="0"/>
              <w:rPr>
                <w:noProof/>
                <w:sz w:val="20"/>
                <w:szCs w:val="20"/>
                <w:lang w:val="en-IE" w:eastAsia="en-IE"/>
              </w:rPr>
            </w:pPr>
          </w:p>
        </w:tc>
        <w:tc>
          <w:tcPr>
            <w:tcW w:w="722" w:type="dxa"/>
            <w:noWrap/>
            <w:hideMark/>
          </w:tcPr>
          <w:p w14:paraId="2968DE2B" w14:textId="77777777" w:rsidR="00221F1C" w:rsidRDefault="00221F1C">
            <w:pPr>
              <w:spacing w:after="0"/>
              <w:rPr>
                <w:noProof/>
                <w:sz w:val="20"/>
                <w:szCs w:val="20"/>
                <w:lang w:val="en-IE" w:eastAsia="en-IE"/>
              </w:rPr>
            </w:pPr>
          </w:p>
        </w:tc>
        <w:tc>
          <w:tcPr>
            <w:tcW w:w="758" w:type="dxa"/>
            <w:gridSpan w:val="2"/>
            <w:noWrap/>
            <w:hideMark/>
          </w:tcPr>
          <w:p w14:paraId="371FF236" w14:textId="77777777" w:rsidR="00221F1C" w:rsidRDefault="00221F1C">
            <w:pPr>
              <w:spacing w:after="0"/>
              <w:rPr>
                <w:noProof/>
                <w:sz w:val="20"/>
                <w:szCs w:val="20"/>
                <w:lang w:val="en-IE" w:eastAsia="en-IE"/>
              </w:rPr>
            </w:pPr>
          </w:p>
        </w:tc>
        <w:tc>
          <w:tcPr>
            <w:tcW w:w="802" w:type="dxa"/>
            <w:gridSpan w:val="2"/>
            <w:noWrap/>
            <w:hideMark/>
          </w:tcPr>
          <w:p w14:paraId="5F9BCC3F" w14:textId="77777777" w:rsidR="00221F1C" w:rsidRDefault="00221F1C">
            <w:pPr>
              <w:spacing w:after="0"/>
              <w:rPr>
                <w:noProof/>
                <w:sz w:val="20"/>
                <w:szCs w:val="20"/>
                <w:lang w:val="en-IE" w:eastAsia="en-IE"/>
              </w:rPr>
            </w:pPr>
          </w:p>
        </w:tc>
        <w:tc>
          <w:tcPr>
            <w:tcW w:w="840" w:type="dxa"/>
            <w:gridSpan w:val="2"/>
            <w:noWrap/>
            <w:hideMark/>
          </w:tcPr>
          <w:p w14:paraId="76F7636D" w14:textId="77777777" w:rsidR="00221F1C" w:rsidRDefault="00221F1C">
            <w:pPr>
              <w:spacing w:after="0"/>
              <w:rPr>
                <w:noProof/>
                <w:sz w:val="20"/>
                <w:szCs w:val="20"/>
                <w:lang w:val="en-IE" w:eastAsia="en-IE"/>
              </w:rPr>
            </w:pPr>
          </w:p>
        </w:tc>
        <w:tc>
          <w:tcPr>
            <w:tcW w:w="840" w:type="dxa"/>
            <w:gridSpan w:val="2"/>
            <w:noWrap/>
            <w:hideMark/>
          </w:tcPr>
          <w:p w14:paraId="0BAE44F0" w14:textId="77777777" w:rsidR="00221F1C" w:rsidRDefault="00221F1C">
            <w:pPr>
              <w:spacing w:after="0"/>
              <w:rPr>
                <w:noProof/>
                <w:sz w:val="20"/>
                <w:szCs w:val="20"/>
                <w:lang w:val="en-IE" w:eastAsia="en-IE"/>
              </w:rPr>
            </w:pPr>
          </w:p>
        </w:tc>
      </w:tr>
      <w:tr w:rsidR="00221F1C" w14:paraId="20715D0A" w14:textId="77777777" w:rsidTr="00221F1C">
        <w:trPr>
          <w:trHeight w:val="225"/>
        </w:trPr>
        <w:tc>
          <w:tcPr>
            <w:tcW w:w="2400" w:type="dxa"/>
            <w:gridSpan w:val="2"/>
            <w:tcBorders>
              <w:top w:val="nil"/>
              <w:left w:val="nil"/>
              <w:bottom w:val="single" w:sz="4" w:space="0" w:color="auto"/>
              <w:right w:val="nil"/>
            </w:tcBorders>
            <w:noWrap/>
            <w:hideMark/>
          </w:tcPr>
          <w:p w14:paraId="4379840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b/>
                <w:noProof/>
                <w:color w:val="000000"/>
                <w:sz w:val="16"/>
              </w:rPr>
              <w:t>Tržište rada</w:t>
            </w:r>
          </w:p>
        </w:tc>
        <w:tc>
          <w:tcPr>
            <w:tcW w:w="600" w:type="dxa"/>
            <w:tcBorders>
              <w:top w:val="single" w:sz="4" w:space="0" w:color="auto"/>
              <w:left w:val="single" w:sz="4" w:space="0" w:color="auto"/>
              <w:bottom w:val="single" w:sz="4" w:space="0" w:color="auto"/>
              <w:right w:val="single" w:sz="4" w:space="0" w:color="auto"/>
            </w:tcBorders>
            <w:noWrap/>
            <w:hideMark/>
          </w:tcPr>
          <w:p w14:paraId="27CBD219"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Napomena</w:t>
            </w:r>
          </w:p>
        </w:tc>
        <w:tc>
          <w:tcPr>
            <w:tcW w:w="720" w:type="dxa"/>
            <w:tcBorders>
              <w:top w:val="single" w:sz="4" w:space="0" w:color="auto"/>
              <w:left w:val="nil"/>
              <w:bottom w:val="single" w:sz="4" w:space="0" w:color="auto"/>
              <w:right w:val="single" w:sz="4" w:space="0" w:color="auto"/>
            </w:tcBorders>
            <w:hideMark/>
          </w:tcPr>
          <w:p w14:paraId="5147C7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49C5D85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4609CDD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012B509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75C0226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single" w:sz="4" w:space="0" w:color="auto"/>
              <w:left w:val="nil"/>
              <w:bottom w:val="single" w:sz="4" w:space="0" w:color="auto"/>
              <w:right w:val="single" w:sz="4" w:space="0" w:color="auto"/>
            </w:tcBorders>
            <w:hideMark/>
          </w:tcPr>
          <w:p w14:paraId="66F57A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726784D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085FF7A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single" w:sz="4" w:space="0" w:color="auto"/>
              <w:left w:val="nil"/>
              <w:bottom w:val="single" w:sz="4" w:space="0" w:color="auto"/>
              <w:right w:val="single" w:sz="4" w:space="0" w:color="auto"/>
            </w:tcBorders>
            <w:hideMark/>
          </w:tcPr>
          <w:p w14:paraId="64ABDF4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single" w:sz="4" w:space="0" w:color="auto"/>
              <w:left w:val="nil"/>
              <w:bottom w:val="single" w:sz="4" w:space="0" w:color="auto"/>
              <w:right w:val="single" w:sz="4" w:space="0" w:color="auto"/>
            </w:tcBorders>
            <w:hideMark/>
          </w:tcPr>
          <w:p w14:paraId="30A1E0C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4D38929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single" w:sz="4" w:space="0" w:color="auto"/>
              <w:left w:val="nil"/>
              <w:bottom w:val="single" w:sz="4" w:space="0" w:color="auto"/>
              <w:right w:val="single" w:sz="4" w:space="0" w:color="auto"/>
            </w:tcBorders>
            <w:hideMark/>
          </w:tcPr>
          <w:p w14:paraId="0E5CD7C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58" w:type="dxa"/>
            <w:gridSpan w:val="2"/>
            <w:tcBorders>
              <w:top w:val="single" w:sz="4" w:space="0" w:color="auto"/>
              <w:left w:val="nil"/>
              <w:bottom w:val="single" w:sz="4" w:space="0" w:color="auto"/>
              <w:right w:val="single" w:sz="4" w:space="0" w:color="auto"/>
            </w:tcBorders>
            <w:hideMark/>
          </w:tcPr>
          <w:p w14:paraId="1ACF42E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02" w:type="dxa"/>
            <w:gridSpan w:val="2"/>
            <w:tcBorders>
              <w:top w:val="single" w:sz="4" w:space="0" w:color="auto"/>
              <w:left w:val="nil"/>
              <w:bottom w:val="single" w:sz="4" w:space="0" w:color="auto"/>
              <w:right w:val="single" w:sz="4" w:space="0" w:color="auto"/>
            </w:tcBorders>
            <w:hideMark/>
          </w:tcPr>
          <w:p w14:paraId="1C46DF6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gridSpan w:val="2"/>
            <w:tcBorders>
              <w:top w:val="single" w:sz="4" w:space="0" w:color="auto"/>
              <w:left w:val="nil"/>
              <w:bottom w:val="single" w:sz="4" w:space="0" w:color="auto"/>
              <w:right w:val="single" w:sz="4" w:space="0" w:color="auto"/>
            </w:tcBorders>
            <w:hideMark/>
          </w:tcPr>
          <w:p w14:paraId="65F453F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gridSpan w:val="2"/>
            <w:tcBorders>
              <w:top w:val="single" w:sz="4" w:space="0" w:color="auto"/>
              <w:left w:val="nil"/>
              <w:bottom w:val="single" w:sz="4" w:space="0" w:color="auto"/>
              <w:right w:val="single" w:sz="4" w:space="0" w:color="auto"/>
            </w:tcBorders>
            <w:hideMark/>
          </w:tcPr>
          <w:p w14:paraId="69453E3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368032B0"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380B08EC"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Sudjelovanje na tržištu rada za osobe u dobi od 20 do 64 godine: udio ekonomski aktivnog stanovništva u dobi od 20 do 64 godine (%)</w:t>
            </w:r>
          </w:p>
        </w:tc>
        <w:tc>
          <w:tcPr>
            <w:tcW w:w="600" w:type="dxa"/>
            <w:tcBorders>
              <w:top w:val="single" w:sz="4" w:space="0" w:color="auto"/>
              <w:left w:val="single" w:sz="4" w:space="0" w:color="auto"/>
              <w:bottom w:val="single" w:sz="4" w:space="0" w:color="auto"/>
              <w:right w:val="single" w:sz="4" w:space="0" w:color="auto"/>
            </w:tcBorders>
            <w:noWrap/>
            <w:hideMark/>
          </w:tcPr>
          <w:p w14:paraId="1A6219BB" w14:textId="77777777" w:rsidR="00221F1C" w:rsidRDefault="00221F1C">
            <w:pPr>
              <w:rPr>
                <w:rFonts w:ascii="Arial" w:eastAsia="Times New Roman" w:hAnsi="Arial" w:cs="Arial"/>
                <w:b/>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hideMark/>
          </w:tcPr>
          <w:p w14:paraId="4081E629" w14:textId="77777777" w:rsidR="00221F1C" w:rsidRPr="00F55682" w:rsidRDefault="00221F1C">
            <w:pPr>
              <w:spacing w:after="0"/>
              <w:rPr>
                <w:noProof/>
                <w:sz w:val="20"/>
                <w:szCs w:val="20"/>
                <w:lang w:eastAsia="en-IE"/>
              </w:rPr>
            </w:pPr>
          </w:p>
        </w:tc>
        <w:tc>
          <w:tcPr>
            <w:tcW w:w="840" w:type="dxa"/>
            <w:tcBorders>
              <w:top w:val="single" w:sz="4" w:space="0" w:color="auto"/>
              <w:left w:val="nil"/>
              <w:bottom w:val="single" w:sz="4" w:space="0" w:color="auto"/>
              <w:right w:val="single" w:sz="4" w:space="0" w:color="auto"/>
            </w:tcBorders>
            <w:hideMark/>
          </w:tcPr>
          <w:p w14:paraId="52679AD2" w14:textId="77777777" w:rsidR="00221F1C" w:rsidRPr="00F55682" w:rsidRDefault="00221F1C">
            <w:pPr>
              <w:spacing w:after="0"/>
              <w:rPr>
                <w:noProof/>
                <w:sz w:val="20"/>
                <w:szCs w:val="20"/>
                <w:lang w:eastAsia="en-IE"/>
              </w:rPr>
            </w:pPr>
          </w:p>
        </w:tc>
        <w:tc>
          <w:tcPr>
            <w:tcW w:w="840" w:type="dxa"/>
            <w:tcBorders>
              <w:top w:val="single" w:sz="4" w:space="0" w:color="auto"/>
              <w:left w:val="nil"/>
              <w:bottom w:val="single" w:sz="4" w:space="0" w:color="auto"/>
              <w:right w:val="single" w:sz="4" w:space="0" w:color="auto"/>
            </w:tcBorders>
            <w:hideMark/>
          </w:tcPr>
          <w:p w14:paraId="6BAB41A7" w14:textId="77777777" w:rsidR="00221F1C" w:rsidRPr="00F55682" w:rsidRDefault="00221F1C">
            <w:pPr>
              <w:spacing w:after="0"/>
              <w:rPr>
                <w:noProof/>
                <w:sz w:val="20"/>
                <w:szCs w:val="20"/>
                <w:lang w:eastAsia="en-IE"/>
              </w:rPr>
            </w:pPr>
          </w:p>
        </w:tc>
        <w:tc>
          <w:tcPr>
            <w:tcW w:w="750" w:type="dxa"/>
            <w:tcBorders>
              <w:top w:val="single" w:sz="4" w:space="0" w:color="auto"/>
              <w:left w:val="nil"/>
              <w:bottom w:val="single" w:sz="4" w:space="0" w:color="auto"/>
              <w:right w:val="single" w:sz="4" w:space="0" w:color="auto"/>
            </w:tcBorders>
            <w:hideMark/>
          </w:tcPr>
          <w:p w14:paraId="24029BEE" w14:textId="77777777" w:rsidR="00221F1C" w:rsidRPr="00F55682" w:rsidRDefault="00221F1C">
            <w:pPr>
              <w:spacing w:after="0"/>
              <w:rPr>
                <w:noProof/>
                <w:sz w:val="20"/>
                <w:szCs w:val="20"/>
                <w:lang w:eastAsia="en-IE"/>
              </w:rPr>
            </w:pPr>
          </w:p>
        </w:tc>
        <w:tc>
          <w:tcPr>
            <w:tcW w:w="839" w:type="dxa"/>
            <w:tcBorders>
              <w:top w:val="single" w:sz="4" w:space="0" w:color="auto"/>
              <w:left w:val="nil"/>
              <w:bottom w:val="single" w:sz="4" w:space="0" w:color="auto"/>
              <w:right w:val="single" w:sz="4" w:space="0" w:color="auto"/>
            </w:tcBorders>
            <w:hideMark/>
          </w:tcPr>
          <w:p w14:paraId="1324C178" w14:textId="77777777" w:rsidR="00221F1C" w:rsidRPr="00F55682" w:rsidRDefault="00221F1C">
            <w:pPr>
              <w:spacing w:after="0"/>
              <w:rPr>
                <w:noProof/>
                <w:sz w:val="20"/>
                <w:szCs w:val="20"/>
                <w:lang w:eastAsia="en-IE"/>
              </w:rPr>
            </w:pPr>
          </w:p>
        </w:tc>
        <w:tc>
          <w:tcPr>
            <w:tcW w:w="811" w:type="dxa"/>
            <w:tcBorders>
              <w:top w:val="single" w:sz="4" w:space="0" w:color="auto"/>
              <w:left w:val="nil"/>
              <w:bottom w:val="single" w:sz="4" w:space="0" w:color="auto"/>
              <w:right w:val="single" w:sz="4" w:space="0" w:color="auto"/>
            </w:tcBorders>
            <w:hideMark/>
          </w:tcPr>
          <w:p w14:paraId="041EE16E" w14:textId="77777777" w:rsidR="00221F1C" w:rsidRPr="00F55682" w:rsidRDefault="00221F1C">
            <w:pPr>
              <w:spacing w:after="0"/>
              <w:rPr>
                <w:noProof/>
                <w:sz w:val="20"/>
                <w:szCs w:val="20"/>
                <w:lang w:eastAsia="en-IE"/>
              </w:rPr>
            </w:pPr>
          </w:p>
        </w:tc>
        <w:tc>
          <w:tcPr>
            <w:tcW w:w="839" w:type="dxa"/>
            <w:tcBorders>
              <w:top w:val="single" w:sz="4" w:space="0" w:color="auto"/>
              <w:left w:val="nil"/>
              <w:bottom w:val="single" w:sz="4" w:space="0" w:color="auto"/>
              <w:right w:val="single" w:sz="4" w:space="0" w:color="auto"/>
            </w:tcBorders>
            <w:hideMark/>
          </w:tcPr>
          <w:p w14:paraId="2FBADB5B" w14:textId="77777777" w:rsidR="00221F1C" w:rsidRPr="00F55682" w:rsidRDefault="00221F1C">
            <w:pPr>
              <w:spacing w:after="0"/>
              <w:rPr>
                <w:noProof/>
                <w:sz w:val="20"/>
                <w:szCs w:val="20"/>
                <w:lang w:eastAsia="en-IE"/>
              </w:rPr>
            </w:pPr>
          </w:p>
        </w:tc>
        <w:tc>
          <w:tcPr>
            <w:tcW w:w="750" w:type="dxa"/>
            <w:tcBorders>
              <w:top w:val="single" w:sz="4" w:space="0" w:color="auto"/>
              <w:left w:val="nil"/>
              <w:bottom w:val="single" w:sz="4" w:space="0" w:color="auto"/>
              <w:right w:val="single" w:sz="4" w:space="0" w:color="auto"/>
            </w:tcBorders>
            <w:hideMark/>
          </w:tcPr>
          <w:p w14:paraId="2E7DF3D9" w14:textId="77777777" w:rsidR="00221F1C" w:rsidRPr="00F55682" w:rsidRDefault="00221F1C">
            <w:pPr>
              <w:spacing w:after="0"/>
              <w:rPr>
                <w:noProof/>
                <w:sz w:val="20"/>
                <w:szCs w:val="20"/>
                <w:lang w:eastAsia="en-IE"/>
              </w:rPr>
            </w:pPr>
          </w:p>
        </w:tc>
        <w:tc>
          <w:tcPr>
            <w:tcW w:w="811" w:type="dxa"/>
            <w:tcBorders>
              <w:top w:val="single" w:sz="4" w:space="0" w:color="auto"/>
              <w:left w:val="nil"/>
              <w:bottom w:val="single" w:sz="4" w:space="0" w:color="auto"/>
              <w:right w:val="single" w:sz="4" w:space="0" w:color="auto"/>
            </w:tcBorders>
            <w:hideMark/>
          </w:tcPr>
          <w:p w14:paraId="310091BE" w14:textId="77777777" w:rsidR="00221F1C" w:rsidRPr="00F55682" w:rsidRDefault="00221F1C">
            <w:pPr>
              <w:spacing w:after="0"/>
              <w:rPr>
                <w:noProof/>
                <w:sz w:val="20"/>
                <w:szCs w:val="20"/>
                <w:lang w:eastAsia="en-IE"/>
              </w:rPr>
            </w:pPr>
          </w:p>
        </w:tc>
        <w:tc>
          <w:tcPr>
            <w:tcW w:w="839" w:type="dxa"/>
            <w:tcBorders>
              <w:top w:val="single" w:sz="4" w:space="0" w:color="auto"/>
              <w:left w:val="nil"/>
              <w:bottom w:val="single" w:sz="4" w:space="0" w:color="auto"/>
              <w:right w:val="single" w:sz="4" w:space="0" w:color="auto"/>
            </w:tcBorders>
            <w:hideMark/>
          </w:tcPr>
          <w:p w14:paraId="7DE3EB8E" w14:textId="77777777" w:rsidR="00221F1C" w:rsidRPr="00F55682" w:rsidRDefault="00221F1C">
            <w:pPr>
              <w:spacing w:after="0"/>
              <w:rPr>
                <w:noProof/>
                <w:sz w:val="20"/>
                <w:szCs w:val="20"/>
                <w:lang w:eastAsia="en-IE"/>
              </w:rPr>
            </w:pPr>
          </w:p>
        </w:tc>
        <w:tc>
          <w:tcPr>
            <w:tcW w:w="839" w:type="dxa"/>
            <w:tcBorders>
              <w:top w:val="single" w:sz="4" w:space="0" w:color="auto"/>
              <w:left w:val="nil"/>
              <w:bottom w:val="single" w:sz="4" w:space="0" w:color="auto"/>
              <w:right w:val="single" w:sz="4" w:space="0" w:color="auto"/>
            </w:tcBorders>
            <w:hideMark/>
          </w:tcPr>
          <w:p w14:paraId="2BD09602" w14:textId="77777777" w:rsidR="00221F1C" w:rsidRPr="00F55682" w:rsidRDefault="00221F1C">
            <w:pPr>
              <w:spacing w:after="0"/>
              <w:rPr>
                <w:noProof/>
                <w:sz w:val="20"/>
                <w:szCs w:val="20"/>
                <w:lang w:eastAsia="en-IE"/>
              </w:rPr>
            </w:pPr>
          </w:p>
        </w:tc>
        <w:tc>
          <w:tcPr>
            <w:tcW w:w="722" w:type="dxa"/>
            <w:tcBorders>
              <w:top w:val="single" w:sz="4" w:space="0" w:color="auto"/>
              <w:left w:val="nil"/>
              <w:bottom w:val="single" w:sz="4" w:space="0" w:color="auto"/>
              <w:right w:val="single" w:sz="4" w:space="0" w:color="auto"/>
            </w:tcBorders>
            <w:hideMark/>
          </w:tcPr>
          <w:p w14:paraId="7C178218" w14:textId="77777777" w:rsidR="00221F1C" w:rsidRPr="00F55682" w:rsidRDefault="00221F1C">
            <w:pPr>
              <w:spacing w:after="0"/>
              <w:rPr>
                <w:noProof/>
                <w:sz w:val="20"/>
                <w:szCs w:val="20"/>
                <w:lang w:eastAsia="en-IE"/>
              </w:rPr>
            </w:pPr>
          </w:p>
        </w:tc>
        <w:tc>
          <w:tcPr>
            <w:tcW w:w="758" w:type="dxa"/>
            <w:gridSpan w:val="2"/>
            <w:tcBorders>
              <w:top w:val="single" w:sz="4" w:space="0" w:color="auto"/>
              <w:left w:val="nil"/>
              <w:bottom w:val="single" w:sz="4" w:space="0" w:color="auto"/>
              <w:right w:val="single" w:sz="4" w:space="0" w:color="auto"/>
            </w:tcBorders>
            <w:hideMark/>
          </w:tcPr>
          <w:p w14:paraId="2CE6DBD7" w14:textId="77777777" w:rsidR="00221F1C" w:rsidRPr="00F55682" w:rsidRDefault="00221F1C">
            <w:pPr>
              <w:spacing w:after="0"/>
              <w:rPr>
                <w:noProof/>
                <w:sz w:val="20"/>
                <w:szCs w:val="20"/>
                <w:lang w:eastAsia="en-IE"/>
              </w:rPr>
            </w:pPr>
          </w:p>
        </w:tc>
        <w:tc>
          <w:tcPr>
            <w:tcW w:w="802" w:type="dxa"/>
            <w:gridSpan w:val="2"/>
            <w:tcBorders>
              <w:top w:val="single" w:sz="4" w:space="0" w:color="auto"/>
              <w:left w:val="nil"/>
              <w:bottom w:val="single" w:sz="4" w:space="0" w:color="auto"/>
              <w:right w:val="single" w:sz="4" w:space="0" w:color="auto"/>
            </w:tcBorders>
            <w:hideMark/>
          </w:tcPr>
          <w:p w14:paraId="2F8C8A2B" w14:textId="77777777" w:rsidR="00221F1C" w:rsidRPr="00F55682" w:rsidRDefault="00221F1C">
            <w:pPr>
              <w:spacing w:after="0"/>
              <w:rPr>
                <w:noProof/>
                <w:sz w:val="20"/>
                <w:szCs w:val="20"/>
                <w:lang w:eastAsia="en-IE"/>
              </w:rPr>
            </w:pPr>
          </w:p>
        </w:tc>
        <w:tc>
          <w:tcPr>
            <w:tcW w:w="840" w:type="dxa"/>
            <w:gridSpan w:val="2"/>
            <w:tcBorders>
              <w:top w:val="single" w:sz="4" w:space="0" w:color="auto"/>
              <w:left w:val="nil"/>
              <w:bottom w:val="single" w:sz="4" w:space="0" w:color="auto"/>
              <w:right w:val="single" w:sz="4" w:space="0" w:color="auto"/>
            </w:tcBorders>
            <w:hideMark/>
          </w:tcPr>
          <w:p w14:paraId="3D9D5CE7" w14:textId="77777777" w:rsidR="00221F1C" w:rsidRPr="00F55682" w:rsidRDefault="00221F1C">
            <w:pPr>
              <w:spacing w:after="0"/>
              <w:rPr>
                <w:noProof/>
                <w:sz w:val="20"/>
                <w:szCs w:val="20"/>
                <w:lang w:eastAsia="en-IE"/>
              </w:rPr>
            </w:pPr>
          </w:p>
        </w:tc>
        <w:tc>
          <w:tcPr>
            <w:tcW w:w="840" w:type="dxa"/>
            <w:gridSpan w:val="2"/>
            <w:tcBorders>
              <w:top w:val="single" w:sz="4" w:space="0" w:color="auto"/>
              <w:left w:val="nil"/>
              <w:bottom w:val="single" w:sz="4" w:space="0" w:color="auto"/>
              <w:right w:val="single" w:sz="4" w:space="0" w:color="auto"/>
            </w:tcBorders>
            <w:hideMark/>
          </w:tcPr>
          <w:p w14:paraId="5901D61E" w14:textId="77777777" w:rsidR="00221F1C" w:rsidRPr="00F55682" w:rsidRDefault="00221F1C">
            <w:pPr>
              <w:spacing w:after="0"/>
              <w:rPr>
                <w:noProof/>
                <w:sz w:val="20"/>
                <w:szCs w:val="20"/>
                <w:lang w:eastAsia="en-IE"/>
              </w:rPr>
            </w:pPr>
          </w:p>
        </w:tc>
      </w:tr>
      <w:tr w:rsidR="00221F1C" w14:paraId="152F485D"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6F255217"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Ukupno</w:t>
            </w:r>
          </w:p>
        </w:tc>
        <w:tc>
          <w:tcPr>
            <w:tcW w:w="600" w:type="dxa"/>
            <w:tcBorders>
              <w:top w:val="single" w:sz="4" w:space="0" w:color="auto"/>
              <w:left w:val="single" w:sz="4" w:space="0" w:color="auto"/>
              <w:bottom w:val="single" w:sz="4" w:space="0" w:color="auto"/>
              <w:right w:val="single" w:sz="4" w:space="0" w:color="auto"/>
            </w:tcBorders>
            <w:noWrap/>
            <w:hideMark/>
          </w:tcPr>
          <w:p w14:paraId="05CB397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6069311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71,8</w:t>
            </w:r>
          </w:p>
        </w:tc>
        <w:tc>
          <w:tcPr>
            <w:tcW w:w="840" w:type="dxa"/>
            <w:tcBorders>
              <w:top w:val="single" w:sz="4" w:space="0" w:color="auto"/>
              <w:left w:val="nil"/>
              <w:bottom w:val="single" w:sz="4" w:space="0" w:color="auto"/>
              <w:right w:val="single" w:sz="4" w:space="0" w:color="auto"/>
            </w:tcBorders>
            <w:hideMark/>
          </w:tcPr>
          <w:p w14:paraId="3E8C76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67,2</w:t>
            </w:r>
          </w:p>
        </w:tc>
        <w:tc>
          <w:tcPr>
            <w:tcW w:w="840" w:type="dxa"/>
            <w:tcBorders>
              <w:top w:val="single" w:sz="4" w:space="0" w:color="auto"/>
              <w:left w:val="nil"/>
              <w:bottom w:val="single" w:sz="4" w:space="0" w:color="auto"/>
              <w:right w:val="single" w:sz="4" w:space="0" w:color="auto"/>
            </w:tcBorders>
            <w:hideMark/>
          </w:tcPr>
          <w:p w14:paraId="2DA61DD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71,5</w:t>
            </w:r>
          </w:p>
        </w:tc>
        <w:tc>
          <w:tcPr>
            <w:tcW w:w="750" w:type="dxa"/>
            <w:tcBorders>
              <w:top w:val="single" w:sz="4" w:space="0" w:color="auto"/>
              <w:left w:val="nil"/>
              <w:bottom w:val="single" w:sz="4" w:space="0" w:color="auto"/>
              <w:right w:val="single" w:sz="4" w:space="0" w:color="auto"/>
            </w:tcBorders>
            <w:hideMark/>
          </w:tcPr>
          <w:p w14:paraId="58D46AB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70,5</w:t>
            </w:r>
          </w:p>
        </w:tc>
        <w:tc>
          <w:tcPr>
            <w:tcW w:w="839" w:type="dxa"/>
            <w:tcBorders>
              <w:top w:val="single" w:sz="4" w:space="0" w:color="auto"/>
              <w:left w:val="nil"/>
              <w:bottom w:val="single" w:sz="4" w:space="0" w:color="auto"/>
              <w:right w:val="single" w:sz="4" w:space="0" w:color="auto"/>
            </w:tcBorders>
            <w:hideMark/>
          </w:tcPr>
          <w:p w14:paraId="680F00F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75,9 ew</w:t>
            </w:r>
          </w:p>
        </w:tc>
        <w:tc>
          <w:tcPr>
            <w:tcW w:w="811" w:type="dxa"/>
            <w:tcBorders>
              <w:top w:val="single" w:sz="4" w:space="0" w:color="auto"/>
              <w:left w:val="nil"/>
              <w:bottom w:val="single" w:sz="4" w:space="0" w:color="auto"/>
              <w:right w:val="single" w:sz="4" w:space="0" w:color="auto"/>
            </w:tcBorders>
            <w:hideMark/>
          </w:tcPr>
          <w:p w14:paraId="22A4E1B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75,3 ew</w:t>
            </w:r>
          </w:p>
        </w:tc>
        <w:tc>
          <w:tcPr>
            <w:tcW w:w="839" w:type="dxa"/>
            <w:tcBorders>
              <w:top w:val="single" w:sz="4" w:space="0" w:color="auto"/>
              <w:left w:val="nil"/>
              <w:bottom w:val="single" w:sz="4" w:space="0" w:color="auto"/>
              <w:right w:val="single" w:sz="4" w:space="0" w:color="auto"/>
            </w:tcBorders>
            <w:hideMark/>
          </w:tcPr>
          <w:p w14:paraId="2A73149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72,9</w:t>
            </w:r>
          </w:p>
        </w:tc>
        <w:tc>
          <w:tcPr>
            <w:tcW w:w="750" w:type="dxa"/>
            <w:tcBorders>
              <w:top w:val="single" w:sz="4" w:space="0" w:color="auto"/>
              <w:left w:val="nil"/>
              <w:bottom w:val="single" w:sz="4" w:space="0" w:color="auto"/>
              <w:right w:val="single" w:sz="4" w:space="0" w:color="auto"/>
            </w:tcBorders>
            <w:hideMark/>
          </w:tcPr>
          <w:p w14:paraId="1BEA0E7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72,5</w:t>
            </w:r>
          </w:p>
        </w:tc>
        <w:tc>
          <w:tcPr>
            <w:tcW w:w="811" w:type="dxa"/>
            <w:tcBorders>
              <w:top w:val="single" w:sz="4" w:space="0" w:color="auto"/>
              <w:left w:val="nil"/>
              <w:bottom w:val="single" w:sz="4" w:space="0" w:color="auto"/>
              <w:right w:val="single" w:sz="4" w:space="0" w:color="auto"/>
            </w:tcBorders>
            <w:hideMark/>
          </w:tcPr>
          <w:p w14:paraId="7D3ADA9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62,2</w:t>
            </w:r>
          </w:p>
        </w:tc>
        <w:tc>
          <w:tcPr>
            <w:tcW w:w="839" w:type="dxa"/>
            <w:tcBorders>
              <w:top w:val="single" w:sz="4" w:space="0" w:color="auto"/>
              <w:left w:val="nil"/>
              <w:bottom w:val="single" w:sz="4" w:space="0" w:color="auto"/>
              <w:right w:val="single" w:sz="4" w:space="0" w:color="auto"/>
            </w:tcBorders>
            <w:hideMark/>
          </w:tcPr>
          <w:p w14:paraId="55E1363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58,7</w:t>
            </w:r>
          </w:p>
        </w:tc>
        <w:tc>
          <w:tcPr>
            <w:tcW w:w="839" w:type="dxa"/>
            <w:tcBorders>
              <w:top w:val="single" w:sz="4" w:space="0" w:color="auto"/>
              <w:left w:val="nil"/>
              <w:bottom w:val="single" w:sz="4" w:space="0" w:color="auto"/>
              <w:right w:val="single" w:sz="4" w:space="0" w:color="auto"/>
            </w:tcBorders>
            <w:hideMark/>
          </w:tcPr>
          <w:p w14:paraId="3BE8AD2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59,0 w</w:t>
            </w:r>
          </w:p>
        </w:tc>
        <w:tc>
          <w:tcPr>
            <w:tcW w:w="722" w:type="dxa"/>
            <w:tcBorders>
              <w:top w:val="single" w:sz="4" w:space="0" w:color="auto"/>
              <w:left w:val="nil"/>
              <w:bottom w:val="single" w:sz="4" w:space="0" w:color="auto"/>
              <w:right w:val="single" w:sz="4" w:space="0" w:color="auto"/>
            </w:tcBorders>
            <w:hideMark/>
          </w:tcPr>
          <w:p w14:paraId="684853B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62,3 bw</w:t>
            </w:r>
          </w:p>
        </w:tc>
        <w:tc>
          <w:tcPr>
            <w:tcW w:w="758" w:type="dxa"/>
            <w:gridSpan w:val="2"/>
            <w:tcBorders>
              <w:top w:val="single" w:sz="4" w:space="0" w:color="auto"/>
              <w:left w:val="nil"/>
              <w:bottom w:val="single" w:sz="4" w:space="0" w:color="auto"/>
              <w:right w:val="single" w:sz="4" w:space="0" w:color="auto"/>
            </w:tcBorders>
            <w:hideMark/>
          </w:tcPr>
          <w:p w14:paraId="39C162E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45,2 w</w:t>
            </w:r>
          </w:p>
        </w:tc>
        <w:tc>
          <w:tcPr>
            <w:tcW w:w="802" w:type="dxa"/>
            <w:gridSpan w:val="2"/>
            <w:tcBorders>
              <w:top w:val="single" w:sz="4" w:space="0" w:color="auto"/>
              <w:left w:val="nil"/>
              <w:bottom w:val="single" w:sz="4" w:space="0" w:color="auto"/>
              <w:right w:val="single" w:sz="4" w:space="0" w:color="auto"/>
            </w:tcBorders>
            <w:hideMark/>
          </w:tcPr>
          <w:p w14:paraId="4AFD4C8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42,9 w</w:t>
            </w:r>
          </w:p>
        </w:tc>
        <w:tc>
          <w:tcPr>
            <w:tcW w:w="840" w:type="dxa"/>
            <w:gridSpan w:val="2"/>
            <w:tcBorders>
              <w:top w:val="single" w:sz="4" w:space="0" w:color="auto"/>
              <w:left w:val="nil"/>
              <w:bottom w:val="single" w:sz="4" w:space="0" w:color="auto"/>
              <w:right w:val="single" w:sz="4" w:space="0" w:color="auto"/>
            </w:tcBorders>
            <w:hideMark/>
          </w:tcPr>
          <w:p w14:paraId="726DD1D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78,2</w:t>
            </w:r>
          </w:p>
        </w:tc>
        <w:tc>
          <w:tcPr>
            <w:tcW w:w="840" w:type="dxa"/>
            <w:gridSpan w:val="2"/>
            <w:tcBorders>
              <w:top w:val="single" w:sz="4" w:space="0" w:color="auto"/>
              <w:left w:val="nil"/>
              <w:bottom w:val="single" w:sz="4" w:space="0" w:color="auto"/>
              <w:right w:val="single" w:sz="4" w:space="0" w:color="auto"/>
            </w:tcBorders>
            <w:hideMark/>
          </w:tcPr>
          <w:p w14:paraId="7A1866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77,6</w:t>
            </w:r>
          </w:p>
        </w:tc>
      </w:tr>
      <w:tr w:rsidR="00221F1C" w14:paraId="0A639175"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51F7D90C"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Muškarci</w:t>
            </w:r>
          </w:p>
        </w:tc>
        <w:tc>
          <w:tcPr>
            <w:tcW w:w="600" w:type="dxa"/>
            <w:tcBorders>
              <w:top w:val="single" w:sz="4" w:space="0" w:color="auto"/>
              <w:left w:val="single" w:sz="4" w:space="0" w:color="auto"/>
              <w:bottom w:val="single" w:sz="4" w:space="0" w:color="auto"/>
              <w:right w:val="single" w:sz="4" w:space="0" w:color="auto"/>
            </w:tcBorders>
            <w:noWrap/>
            <w:hideMark/>
          </w:tcPr>
          <w:p w14:paraId="2C4E833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5B0CB75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79,2</w:t>
            </w:r>
          </w:p>
        </w:tc>
        <w:tc>
          <w:tcPr>
            <w:tcW w:w="840" w:type="dxa"/>
            <w:tcBorders>
              <w:top w:val="single" w:sz="4" w:space="0" w:color="auto"/>
              <w:left w:val="nil"/>
              <w:bottom w:val="single" w:sz="4" w:space="0" w:color="auto"/>
              <w:right w:val="single" w:sz="4" w:space="0" w:color="auto"/>
            </w:tcBorders>
            <w:hideMark/>
          </w:tcPr>
          <w:p w14:paraId="11E3313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74,6</w:t>
            </w:r>
          </w:p>
        </w:tc>
        <w:tc>
          <w:tcPr>
            <w:tcW w:w="840" w:type="dxa"/>
            <w:tcBorders>
              <w:top w:val="single" w:sz="4" w:space="0" w:color="auto"/>
              <w:left w:val="nil"/>
              <w:bottom w:val="single" w:sz="4" w:space="0" w:color="auto"/>
              <w:right w:val="single" w:sz="4" w:space="0" w:color="auto"/>
            </w:tcBorders>
            <w:hideMark/>
          </w:tcPr>
          <w:p w14:paraId="53E4014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83,4</w:t>
            </w:r>
          </w:p>
        </w:tc>
        <w:tc>
          <w:tcPr>
            <w:tcW w:w="750" w:type="dxa"/>
            <w:tcBorders>
              <w:top w:val="single" w:sz="4" w:space="0" w:color="auto"/>
              <w:left w:val="nil"/>
              <w:bottom w:val="single" w:sz="4" w:space="0" w:color="auto"/>
              <w:right w:val="single" w:sz="4" w:space="0" w:color="auto"/>
            </w:tcBorders>
            <w:hideMark/>
          </w:tcPr>
          <w:p w14:paraId="6D126CD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82,5</w:t>
            </w:r>
          </w:p>
        </w:tc>
        <w:tc>
          <w:tcPr>
            <w:tcW w:w="839" w:type="dxa"/>
            <w:tcBorders>
              <w:top w:val="single" w:sz="4" w:space="0" w:color="auto"/>
              <w:left w:val="nil"/>
              <w:bottom w:val="single" w:sz="4" w:space="0" w:color="auto"/>
              <w:right w:val="single" w:sz="4" w:space="0" w:color="auto"/>
            </w:tcBorders>
            <w:hideMark/>
          </w:tcPr>
          <w:p w14:paraId="76E56E3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84,4 ew</w:t>
            </w:r>
          </w:p>
        </w:tc>
        <w:tc>
          <w:tcPr>
            <w:tcW w:w="811" w:type="dxa"/>
            <w:tcBorders>
              <w:top w:val="single" w:sz="4" w:space="0" w:color="auto"/>
              <w:left w:val="nil"/>
              <w:bottom w:val="single" w:sz="4" w:space="0" w:color="auto"/>
              <w:right w:val="single" w:sz="4" w:space="0" w:color="auto"/>
            </w:tcBorders>
            <w:hideMark/>
          </w:tcPr>
          <w:p w14:paraId="5AC1D0D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83,9 ew</w:t>
            </w:r>
          </w:p>
        </w:tc>
        <w:tc>
          <w:tcPr>
            <w:tcW w:w="839" w:type="dxa"/>
            <w:tcBorders>
              <w:top w:val="single" w:sz="4" w:space="0" w:color="auto"/>
              <w:left w:val="nil"/>
              <w:bottom w:val="single" w:sz="4" w:space="0" w:color="auto"/>
              <w:right w:val="single" w:sz="4" w:space="0" w:color="auto"/>
            </w:tcBorders>
            <w:hideMark/>
          </w:tcPr>
          <w:p w14:paraId="58752C4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80,1</w:t>
            </w:r>
          </w:p>
        </w:tc>
        <w:tc>
          <w:tcPr>
            <w:tcW w:w="750" w:type="dxa"/>
            <w:tcBorders>
              <w:top w:val="single" w:sz="4" w:space="0" w:color="auto"/>
              <w:left w:val="nil"/>
              <w:bottom w:val="single" w:sz="4" w:space="0" w:color="auto"/>
              <w:right w:val="single" w:sz="4" w:space="0" w:color="auto"/>
            </w:tcBorders>
            <w:hideMark/>
          </w:tcPr>
          <w:p w14:paraId="22319DA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79,9</w:t>
            </w:r>
          </w:p>
        </w:tc>
        <w:tc>
          <w:tcPr>
            <w:tcW w:w="811" w:type="dxa"/>
            <w:tcBorders>
              <w:top w:val="single" w:sz="4" w:space="0" w:color="auto"/>
              <w:left w:val="nil"/>
              <w:bottom w:val="single" w:sz="4" w:space="0" w:color="auto"/>
              <w:right w:val="single" w:sz="4" w:space="0" w:color="auto"/>
            </w:tcBorders>
            <w:hideMark/>
          </w:tcPr>
          <w:p w14:paraId="6478F58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83,3</w:t>
            </w:r>
          </w:p>
        </w:tc>
        <w:tc>
          <w:tcPr>
            <w:tcW w:w="839" w:type="dxa"/>
            <w:tcBorders>
              <w:top w:val="single" w:sz="4" w:space="0" w:color="auto"/>
              <w:left w:val="nil"/>
              <w:bottom w:val="single" w:sz="4" w:space="0" w:color="auto"/>
              <w:right w:val="single" w:sz="4" w:space="0" w:color="auto"/>
            </w:tcBorders>
            <w:hideMark/>
          </w:tcPr>
          <w:p w14:paraId="0F7096F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79,8</w:t>
            </w:r>
          </w:p>
        </w:tc>
        <w:tc>
          <w:tcPr>
            <w:tcW w:w="839" w:type="dxa"/>
            <w:tcBorders>
              <w:top w:val="single" w:sz="4" w:space="0" w:color="auto"/>
              <w:left w:val="nil"/>
              <w:bottom w:val="single" w:sz="4" w:space="0" w:color="auto"/>
              <w:right w:val="single" w:sz="4" w:space="0" w:color="auto"/>
            </w:tcBorders>
            <w:hideMark/>
          </w:tcPr>
          <w:p w14:paraId="6D5D11F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71,3 w</w:t>
            </w:r>
          </w:p>
        </w:tc>
        <w:tc>
          <w:tcPr>
            <w:tcW w:w="722" w:type="dxa"/>
            <w:tcBorders>
              <w:top w:val="single" w:sz="4" w:space="0" w:color="auto"/>
              <w:left w:val="nil"/>
              <w:bottom w:val="single" w:sz="4" w:space="0" w:color="auto"/>
              <w:right w:val="single" w:sz="4" w:space="0" w:color="auto"/>
            </w:tcBorders>
            <w:hideMark/>
          </w:tcPr>
          <w:p w14:paraId="268646E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75,4 bw</w:t>
            </w:r>
          </w:p>
        </w:tc>
        <w:tc>
          <w:tcPr>
            <w:tcW w:w="758" w:type="dxa"/>
            <w:gridSpan w:val="2"/>
            <w:tcBorders>
              <w:top w:val="single" w:sz="4" w:space="0" w:color="auto"/>
              <w:left w:val="nil"/>
              <w:bottom w:val="single" w:sz="4" w:space="0" w:color="auto"/>
              <w:right w:val="single" w:sz="4" w:space="0" w:color="auto"/>
            </w:tcBorders>
            <w:hideMark/>
          </w:tcPr>
          <w:p w14:paraId="085C066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67,3 w</w:t>
            </w:r>
          </w:p>
        </w:tc>
        <w:tc>
          <w:tcPr>
            <w:tcW w:w="802" w:type="dxa"/>
            <w:gridSpan w:val="2"/>
            <w:tcBorders>
              <w:top w:val="single" w:sz="4" w:space="0" w:color="auto"/>
              <w:left w:val="nil"/>
              <w:bottom w:val="single" w:sz="4" w:space="0" w:color="auto"/>
              <w:right w:val="single" w:sz="4" w:space="0" w:color="auto"/>
            </w:tcBorders>
            <w:hideMark/>
          </w:tcPr>
          <w:p w14:paraId="4D6DA2F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63,0 w</w:t>
            </w:r>
          </w:p>
        </w:tc>
        <w:tc>
          <w:tcPr>
            <w:tcW w:w="840" w:type="dxa"/>
            <w:gridSpan w:val="2"/>
            <w:tcBorders>
              <w:top w:val="single" w:sz="4" w:space="0" w:color="auto"/>
              <w:left w:val="nil"/>
              <w:bottom w:val="single" w:sz="4" w:space="0" w:color="auto"/>
              <w:right w:val="single" w:sz="4" w:space="0" w:color="auto"/>
            </w:tcBorders>
            <w:hideMark/>
          </w:tcPr>
          <w:p w14:paraId="02127F0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84,2</w:t>
            </w:r>
          </w:p>
        </w:tc>
        <w:tc>
          <w:tcPr>
            <w:tcW w:w="840" w:type="dxa"/>
            <w:gridSpan w:val="2"/>
            <w:tcBorders>
              <w:top w:val="single" w:sz="4" w:space="0" w:color="auto"/>
              <w:left w:val="nil"/>
              <w:bottom w:val="single" w:sz="4" w:space="0" w:color="auto"/>
              <w:right w:val="single" w:sz="4" w:space="0" w:color="auto"/>
            </w:tcBorders>
            <w:hideMark/>
          </w:tcPr>
          <w:p w14:paraId="1AA015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83,6</w:t>
            </w:r>
          </w:p>
        </w:tc>
      </w:tr>
      <w:tr w:rsidR="00221F1C" w14:paraId="41DE0F42"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28CFF438"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Žene</w:t>
            </w:r>
          </w:p>
        </w:tc>
        <w:tc>
          <w:tcPr>
            <w:tcW w:w="600" w:type="dxa"/>
            <w:tcBorders>
              <w:top w:val="single" w:sz="4" w:space="0" w:color="auto"/>
              <w:left w:val="single" w:sz="4" w:space="0" w:color="auto"/>
              <w:bottom w:val="single" w:sz="4" w:space="0" w:color="auto"/>
              <w:right w:val="single" w:sz="4" w:space="0" w:color="auto"/>
            </w:tcBorders>
            <w:noWrap/>
            <w:hideMark/>
          </w:tcPr>
          <w:p w14:paraId="4CD8E37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379AD48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64,4</w:t>
            </w:r>
          </w:p>
        </w:tc>
        <w:tc>
          <w:tcPr>
            <w:tcW w:w="840" w:type="dxa"/>
            <w:tcBorders>
              <w:top w:val="single" w:sz="4" w:space="0" w:color="auto"/>
              <w:left w:val="nil"/>
              <w:bottom w:val="single" w:sz="4" w:space="0" w:color="auto"/>
              <w:right w:val="single" w:sz="4" w:space="0" w:color="auto"/>
            </w:tcBorders>
            <w:hideMark/>
          </w:tcPr>
          <w:p w14:paraId="49D8DEE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59,9</w:t>
            </w:r>
          </w:p>
        </w:tc>
        <w:tc>
          <w:tcPr>
            <w:tcW w:w="840" w:type="dxa"/>
            <w:tcBorders>
              <w:top w:val="single" w:sz="4" w:space="0" w:color="auto"/>
              <w:left w:val="nil"/>
              <w:bottom w:val="single" w:sz="4" w:space="0" w:color="auto"/>
              <w:right w:val="single" w:sz="4" w:space="0" w:color="auto"/>
            </w:tcBorders>
            <w:hideMark/>
          </w:tcPr>
          <w:p w14:paraId="1FECB1F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59,3</w:t>
            </w:r>
          </w:p>
        </w:tc>
        <w:tc>
          <w:tcPr>
            <w:tcW w:w="750" w:type="dxa"/>
            <w:tcBorders>
              <w:top w:val="single" w:sz="4" w:space="0" w:color="auto"/>
              <w:left w:val="nil"/>
              <w:bottom w:val="single" w:sz="4" w:space="0" w:color="auto"/>
              <w:right w:val="single" w:sz="4" w:space="0" w:color="auto"/>
            </w:tcBorders>
            <w:hideMark/>
          </w:tcPr>
          <w:p w14:paraId="56742D5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58,2</w:t>
            </w:r>
          </w:p>
        </w:tc>
        <w:tc>
          <w:tcPr>
            <w:tcW w:w="839" w:type="dxa"/>
            <w:tcBorders>
              <w:top w:val="single" w:sz="4" w:space="0" w:color="auto"/>
              <w:left w:val="nil"/>
              <w:bottom w:val="single" w:sz="4" w:space="0" w:color="auto"/>
              <w:right w:val="single" w:sz="4" w:space="0" w:color="auto"/>
            </w:tcBorders>
            <w:hideMark/>
          </w:tcPr>
          <w:p w14:paraId="41FC4FE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67,6 ew</w:t>
            </w:r>
          </w:p>
        </w:tc>
        <w:tc>
          <w:tcPr>
            <w:tcW w:w="811" w:type="dxa"/>
            <w:tcBorders>
              <w:top w:val="single" w:sz="4" w:space="0" w:color="auto"/>
              <w:left w:val="nil"/>
              <w:bottom w:val="single" w:sz="4" w:space="0" w:color="auto"/>
              <w:right w:val="single" w:sz="4" w:space="0" w:color="auto"/>
            </w:tcBorders>
            <w:hideMark/>
          </w:tcPr>
          <w:p w14:paraId="0793117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66,9 ew</w:t>
            </w:r>
          </w:p>
        </w:tc>
        <w:tc>
          <w:tcPr>
            <w:tcW w:w="839" w:type="dxa"/>
            <w:tcBorders>
              <w:top w:val="single" w:sz="4" w:space="0" w:color="auto"/>
              <w:left w:val="nil"/>
              <w:bottom w:val="single" w:sz="4" w:space="0" w:color="auto"/>
              <w:right w:val="single" w:sz="4" w:space="0" w:color="auto"/>
            </w:tcBorders>
            <w:hideMark/>
          </w:tcPr>
          <w:p w14:paraId="3011B7F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65,6</w:t>
            </w:r>
          </w:p>
        </w:tc>
        <w:tc>
          <w:tcPr>
            <w:tcW w:w="750" w:type="dxa"/>
            <w:tcBorders>
              <w:top w:val="single" w:sz="4" w:space="0" w:color="auto"/>
              <w:left w:val="nil"/>
              <w:bottom w:val="single" w:sz="4" w:space="0" w:color="auto"/>
              <w:right w:val="single" w:sz="4" w:space="0" w:color="auto"/>
            </w:tcBorders>
            <w:hideMark/>
          </w:tcPr>
          <w:p w14:paraId="32CAEE8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65,2</w:t>
            </w:r>
          </w:p>
        </w:tc>
        <w:tc>
          <w:tcPr>
            <w:tcW w:w="811" w:type="dxa"/>
            <w:tcBorders>
              <w:top w:val="single" w:sz="4" w:space="0" w:color="auto"/>
              <w:left w:val="nil"/>
              <w:bottom w:val="single" w:sz="4" w:space="0" w:color="auto"/>
              <w:right w:val="single" w:sz="4" w:space="0" w:color="auto"/>
            </w:tcBorders>
            <w:hideMark/>
          </w:tcPr>
          <w:p w14:paraId="2E2E41B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41,1</w:t>
            </w:r>
          </w:p>
        </w:tc>
        <w:tc>
          <w:tcPr>
            <w:tcW w:w="839" w:type="dxa"/>
            <w:tcBorders>
              <w:top w:val="single" w:sz="4" w:space="0" w:color="auto"/>
              <w:left w:val="nil"/>
              <w:bottom w:val="single" w:sz="4" w:space="0" w:color="auto"/>
              <w:right w:val="single" w:sz="4" w:space="0" w:color="auto"/>
            </w:tcBorders>
            <w:hideMark/>
          </w:tcPr>
          <w:p w14:paraId="3F9B963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37,5</w:t>
            </w:r>
          </w:p>
        </w:tc>
        <w:tc>
          <w:tcPr>
            <w:tcW w:w="839" w:type="dxa"/>
            <w:tcBorders>
              <w:top w:val="single" w:sz="4" w:space="0" w:color="auto"/>
              <w:left w:val="nil"/>
              <w:bottom w:val="single" w:sz="4" w:space="0" w:color="auto"/>
              <w:right w:val="single" w:sz="4" w:space="0" w:color="auto"/>
            </w:tcBorders>
            <w:hideMark/>
          </w:tcPr>
          <w:p w14:paraId="4EDEB78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46,9 w</w:t>
            </w:r>
          </w:p>
        </w:tc>
        <w:tc>
          <w:tcPr>
            <w:tcW w:w="722" w:type="dxa"/>
            <w:tcBorders>
              <w:top w:val="single" w:sz="4" w:space="0" w:color="auto"/>
              <w:left w:val="nil"/>
              <w:bottom w:val="single" w:sz="4" w:space="0" w:color="auto"/>
              <w:right w:val="single" w:sz="4" w:space="0" w:color="auto"/>
            </w:tcBorders>
            <w:hideMark/>
          </w:tcPr>
          <w:p w14:paraId="5133F0C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49,1 bw</w:t>
            </w:r>
          </w:p>
        </w:tc>
        <w:tc>
          <w:tcPr>
            <w:tcW w:w="758" w:type="dxa"/>
            <w:gridSpan w:val="2"/>
            <w:tcBorders>
              <w:top w:val="single" w:sz="4" w:space="0" w:color="auto"/>
              <w:left w:val="nil"/>
              <w:bottom w:val="single" w:sz="4" w:space="0" w:color="auto"/>
              <w:right w:val="single" w:sz="4" w:space="0" w:color="auto"/>
            </w:tcBorders>
            <w:hideMark/>
          </w:tcPr>
          <w:p w14:paraId="50A85B8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23,2 w</w:t>
            </w:r>
          </w:p>
        </w:tc>
        <w:tc>
          <w:tcPr>
            <w:tcW w:w="802" w:type="dxa"/>
            <w:gridSpan w:val="2"/>
            <w:tcBorders>
              <w:top w:val="single" w:sz="4" w:space="0" w:color="auto"/>
              <w:left w:val="nil"/>
              <w:bottom w:val="single" w:sz="4" w:space="0" w:color="auto"/>
              <w:right w:val="single" w:sz="4" w:space="0" w:color="auto"/>
            </w:tcBorders>
            <w:hideMark/>
          </w:tcPr>
          <w:p w14:paraId="65CD33F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23,1 w</w:t>
            </w:r>
          </w:p>
        </w:tc>
        <w:tc>
          <w:tcPr>
            <w:tcW w:w="840" w:type="dxa"/>
            <w:gridSpan w:val="2"/>
            <w:tcBorders>
              <w:top w:val="single" w:sz="4" w:space="0" w:color="auto"/>
              <w:left w:val="nil"/>
              <w:bottom w:val="single" w:sz="4" w:space="0" w:color="auto"/>
              <w:right w:val="single" w:sz="4" w:space="0" w:color="auto"/>
            </w:tcBorders>
            <w:hideMark/>
          </w:tcPr>
          <w:p w14:paraId="0C4EB13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72,2</w:t>
            </w:r>
          </w:p>
        </w:tc>
        <w:tc>
          <w:tcPr>
            <w:tcW w:w="840" w:type="dxa"/>
            <w:gridSpan w:val="2"/>
            <w:tcBorders>
              <w:top w:val="single" w:sz="4" w:space="0" w:color="auto"/>
              <w:left w:val="nil"/>
              <w:bottom w:val="single" w:sz="4" w:space="0" w:color="auto"/>
              <w:right w:val="single" w:sz="4" w:space="0" w:color="auto"/>
            </w:tcBorders>
            <w:hideMark/>
          </w:tcPr>
          <w:p w14:paraId="41F07C5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71,7</w:t>
            </w:r>
          </w:p>
        </w:tc>
      </w:tr>
      <w:tr w:rsidR="00221F1C" w14:paraId="679244BF"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7EFC3D06"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Stope zaposlenosti u dobnoj skupini od 20 do 64 godine (% stanovništva)</w:t>
            </w:r>
          </w:p>
        </w:tc>
        <w:tc>
          <w:tcPr>
            <w:tcW w:w="600" w:type="dxa"/>
            <w:tcBorders>
              <w:top w:val="single" w:sz="4" w:space="0" w:color="auto"/>
              <w:left w:val="single" w:sz="4" w:space="0" w:color="auto"/>
              <w:bottom w:val="single" w:sz="4" w:space="0" w:color="auto"/>
              <w:right w:val="single" w:sz="4" w:space="0" w:color="auto"/>
            </w:tcBorders>
            <w:noWrap/>
            <w:hideMark/>
          </w:tcPr>
          <w:p w14:paraId="2DBE1E85" w14:textId="77777777" w:rsidR="00221F1C" w:rsidRDefault="00221F1C">
            <w:pPr>
              <w:rPr>
                <w:rFonts w:ascii="Arial" w:eastAsia="Times New Roman" w:hAnsi="Arial" w:cs="Arial"/>
                <w:b/>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hideMark/>
          </w:tcPr>
          <w:p w14:paraId="71A59A39"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791A689A"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052BCB5E" w14:textId="77777777" w:rsidR="00221F1C" w:rsidRDefault="00221F1C">
            <w:pPr>
              <w:spacing w:after="0"/>
              <w:rPr>
                <w:noProof/>
                <w:sz w:val="20"/>
                <w:szCs w:val="20"/>
                <w:lang w:val="en-IE" w:eastAsia="en-IE"/>
              </w:rPr>
            </w:pPr>
          </w:p>
        </w:tc>
        <w:tc>
          <w:tcPr>
            <w:tcW w:w="750" w:type="dxa"/>
            <w:tcBorders>
              <w:top w:val="single" w:sz="4" w:space="0" w:color="auto"/>
              <w:left w:val="nil"/>
              <w:bottom w:val="single" w:sz="4" w:space="0" w:color="auto"/>
              <w:right w:val="single" w:sz="4" w:space="0" w:color="auto"/>
            </w:tcBorders>
            <w:hideMark/>
          </w:tcPr>
          <w:p w14:paraId="7C258C84"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478CAD12" w14:textId="77777777" w:rsidR="00221F1C" w:rsidRDefault="00221F1C">
            <w:pPr>
              <w:spacing w:after="0"/>
              <w:rPr>
                <w:noProof/>
                <w:sz w:val="20"/>
                <w:szCs w:val="20"/>
                <w:lang w:val="en-IE" w:eastAsia="en-IE"/>
              </w:rPr>
            </w:pPr>
          </w:p>
        </w:tc>
        <w:tc>
          <w:tcPr>
            <w:tcW w:w="811" w:type="dxa"/>
            <w:tcBorders>
              <w:top w:val="single" w:sz="4" w:space="0" w:color="auto"/>
              <w:left w:val="nil"/>
              <w:bottom w:val="single" w:sz="4" w:space="0" w:color="auto"/>
              <w:right w:val="single" w:sz="4" w:space="0" w:color="auto"/>
            </w:tcBorders>
            <w:hideMark/>
          </w:tcPr>
          <w:p w14:paraId="7AD874F6"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5D0BF102" w14:textId="77777777" w:rsidR="00221F1C" w:rsidRDefault="00221F1C">
            <w:pPr>
              <w:spacing w:after="0"/>
              <w:rPr>
                <w:noProof/>
                <w:sz w:val="20"/>
                <w:szCs w:val="20"/>
                <w:lang w:val="en-IE" w:eastAsia="en-IE"/>
              </w:rPr>
            </w:pPr>
          </w:p>
        </w:tc>
        <w:tc>
          <w:tcPr>
            <w:tcW w:w="750" w:type="dxa"/>
            <w:tcBorders>
              <w:top w:val="single" w:sz="4" w:space="0" w:color="auto"/>
              <w:left w:val="nil"/>
              <w:bottom w:val="single" w:sz="4" w:space="0" w:color="auto"/>
              <w:right w:val="single" w:sz="4" w:space="0" w:color="auto"/>
            </w:tcBorders>
            <w:hideMark/>
          </w:tcPr>
          <w:p w14:paraId="2E29CC71" w14:textId="77777777" w:rsidR="00221F1C" w:rsidRDefault="00221F1C">
            <w:pPr>
              <w:spacing w:after="0"/>
              <w:rPr>
                <w:noProof/>
                <w:sz w:val="20"/>
                <w:szCs w:val="20"/>
                <w:lang w:val="en-IE" w:eastAsia="en-IE"/>
              </w:rPr>
            </w:pPr>
          </w:p>
        </w:tc>
        <w:tc>
          <w:tcPr>
            <w:tcW w:w="811" w:type="dxa"/>
            <w:tcBorders>
              <w:top w:val="single" w:sz="4" w:space="0" w:color="auto"/>
              <w:left w:val="nil"/>
              <w:bottom w:val="single" w:sz="4" w:space="0" w:color="auto"/>
              <w:right w:val="single" w:sz="4" w:space="0" w:color="auto"/>
            </w:tcBorders>
            <w:hideMark/>
          </w:tcPr>
          <w:p w14:paraId="1494E86A"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2FA4EA6C"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64C208C0" w14:textId="77777777" w:rsidR="00221F1C" w:rsidRDefault="00221F1C">
            <w:pPr>
              <w:spacing w:after="0"/>
              <w:rPr>
                <w:noProof/>
                <w:sz w:val="20"/>
                <w:szCs w:val="20"/>
                <w:lang w:val="en-IE" w:eastAsia="en-IE"/>
              </w:rPr>
            </w:pPr>
          </w:p>
        </w:tc>
        <w:tc>
          <w:tcPr>
            <w:tcW w:w="722" w:type="dxa"/>
            <w:tcBorders>
              <w:top w:val="single" w:sz="4" w:space="0" w:color="auto"/>
              <w:left w:val="nil"/>
              <w:bottom w:val="single" w:sz="4" w:space="0" w:color="auto"/>
              <w:right w:val="single" w:sz="4" w:space="0" w:color="auto"/>
            </w:tcBorders>
            <w:hideMark/>
          </w:tcPr>
          <w:p w14:paraId="02D68D96" w14:textId="77777777" w:rsidR="00221F1C" w:rsidRDefault="00221F1C">
            <w:pPr>
              <w:spacing w:after="0"/>
              <w:rPr>
                <w:noProof/>
                <w:sz w:val="20"/>
                <w:szCs w:val="20"/>
                <w:lang w:val="en-IE" w:eastAsia="en-IE"/>
              </w:rPr>
            </w:pPr>
          </w:p>
        </w:tc>
        <w:tc>
          <w:tcPr>
            <w:tcW w:w="758" w:type="dxa"/>
            <w:gridSpan w:val="2"/>
            <w:tcBorders>
              <w:top w:val="single" w:sz="4" w:space="0" w:color="auto"/>
              <w:left w:val="nil"/>
              <w:bottom w:val="single" w:sz="4" w:space="0" w:color="auto"/>
              <w:right w:val="single" w:sz="4" w:space="0" w:color="auto"/>
            </w:tcBorders>
            <w:hideMark/>
          </w:tcPr>
          <w:p w14:paraId="7C02732E" w14:textId="77777777" w:rsidR="00221F1C" w:rsidRDefault="00221F1C">
            <w:pPr>
              <w:spacing w:after="0"/>
              <w:rPr>
                <w:noProof/>
                <w:sz w:val="20"/>
                <w:szCs w:val="20"/>
                <w:lang w:val="en-IE" w:eastAsia="en-IE"/>
              </w:rPr>
            </w:pPr>
          </w:p>
        </w:tc>
        <w:tc>
          <w:tcPr>
            <w:tcW w:w="802" w:type="dxa"/>
            <w:gridSpan w:val="2"/>
            <w:tcBorders>
              <w:top w:val="single" w:sz="4" w:space="0" w:color="auto"/>
              <w:left w:val="nil"/>
              <w:bottom w:val="single" w:sz="4" w:space="0" w:color="auto"/>
              <w:right w:val="single" w:sz="4" w:space="0" w:color="auto"/>
            </w:tcBorders>
            <w:hideMark/>
          </w:tcPr>
          <w:p w14:paraId="050994B1" w14:textId="77777777" w:rsidR="00221F1C" w:rsidRDefault="00221F1C">
            <w:pPr>
              <w:spacing w:after="0"/>
              <w:rPr>
                <w:noProof/>
                <w:sz w:val="20"/>
                <w:szCs w:val="20"/>
                <w:lang w:val="en-IE" w:eastAsia="en-IE"/>
              </w:rPr>
            </w:pPr>
          </w:p>
        </w:tc>
        <w:tc>
          <w:tcPr>
            <w:tcW w:w="840" w:type="dxa"/>
            <w:gridSpan w:val="2"/>
            <w:tcBorders>
              <w:top w:val="single" w:sz="4" w:space="0" w:color="auto"/>
              <w:left w:val="nil"/>
              <w:bottom w:val="single" w:sz="4" w:space="0" w:color="auto"/>
              <w:right w:val="single" w:sz="4" w:space="0" w:color="auto"/>
            </w:tcBorders>
            <w:hideMark/>
          </w:tcPr>
          <w:p w14:paraId="5B9A00C6" w14:textId="77777777" w:rsidR="00221F1C" w:rsidRDefault="00221F1C">
            <w:pPr>
              <w:spacing w:after="0"/>
              <w:rPr>
                <w:noProof/>
                <w:sz w:val="20"/>
                <w:szCs w:val="20"/>
                <w:lang w:val="en-IE" w:eastAsia="en-IE"/>
              </w:rPr>
            </w:pPr>
          </w:p>
        </w:tc>
        <w:tc>
          <w:tcPr>
            <w:tcW w:w="840" w:type="dxa"/>
            <w:gridSpan w:val="2"/>
            <w:tcBorders>
              <w:top w:val="single" w:sz="4" w:space="0" w:color="auto"/>
              <w:left w:val="nil"/>
              <w:bottom w:val="single" w:sz="4" w:space="0" w:color="auto"/>
              <w:right w:val="single" w:sz="4" w:space="0" w:color="auto"/>
            </w:tcBorders>
            <w:hideMark/>
          </w:tcPr>
          <w:p w14:paraId="3E1C87CB" w14:textId="77777777" w:rsidR="00221F1C" w:rsidRDefault="00221F1C">
            <w:pPr>
              <w:spacing w:after="0"/>
              <w:rPr>
                <w:noProof/>
                <w:sz w:val="20"/>
                <w:szCs w:val="20"/>
                <w:lang w:val="en-IE" w:eastAsia="en-IE"/>
              </w:rPr>
            </w:pPr>
          </w:p>
        </w:tc>
      </w:tr>
      <w:tr w:rsidR="00221F1C" w14:paraId="268DDD64"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71643098"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Ukupno</w:t>
            </w:r>
          </w:p>
        </w:tc>
        <w:tc>
          <w:tcPr>
            <w:tcW w:w="600" w:type="dxa"/>
            <w:tcBorders>
              <w:top w:val="single" w:sz="4" w:space="0" w:color="auto"/>
              <w:left w:val="single" w:sz="4" w:space="0" w:color="auto"/>
              <w:bottom w:val="single" w:sz="4" w:space="0" w:color="auto"/>
              <w:right w:val="single" w:sz="4" w:space="0" w:color="auto"/>
            </w:tcBorders>
            <w:noWrap/>
            <w:hideMark/>
          </w:tcPr>
          <w:p w14:paraId="2BA935E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15867E9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60,8</w:t>
            </w:r>
          </w:p>
        </w:tc>
        <w:tc>
          <w:tcPr>
            <w:tcW w:w="840" w:type="dxa"/>
            <w:tcBorders>
              <w:top w:val="single" w:sz="4" w:space="0" w:color="auto"/>
              <w:left w:val="nil"/>
              <w:bottom w:val="single" w:sz="4" w:space="0" w:color="auto"/>
              <w:right w:val="single" w:sz="4" w:space="0" w:color="auto"/>
            </w:tcBorders>
            <w:hideMark/>
          </w:tcPr>
          <w:p w14:paraId="63B266B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55,2</w:t>
            </w:r>
          </w:p>
        </w:tc>
        <w:tc>
          <w:tcPr>
            <w:tcW w:w="840" w:type="dxa"/>
            <w:tcBorders>
              <w:top w:val="single" w:sz="4" w:space="0" w:color="auto"/>
              <w:left w:val="nil"/>
              <w:bottom w:val="single" w:sz="4" w:space="0" w:color="auto"/>
              <w:right w:val="single" w:sz="4" w:space="0" w:color="auto"/>
            </w:tcBorders>
            <w:hideMark/>
          </w:tcPr>
          <w:p w14:paraId="4E1BD68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59,2</w:t>
            </w:r>
          </w:p>
        </w:tc>
        <w:tc>
          <w:tcPr>
            <w:tcW w:w="750" w:type="dxa"/>
            <w:tcBorders>
              <w:top w:val="single" w:sz="4" w:space="0" w:color="auto"/>
              <w:left w:val="nil"/>
              <w:bottom w:val="single" w:sz="4" w:space="0" w:color="auto"/>
              <w:right w:val="single" w:sz="4" w:space="0" w:color="auto"/>
            </w:tcBorders>
            <w:hideMark/>
          </w:tcPr>
          <w:p w14:paraId="1D027EB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59,1</w:t>
            </w:r>
          </w:p>
        </w:tc>
        <w:tc>
          <w:tcPr>
            <w:tcW w:w="839" w:type="dxa"/>
            <w:tcBorders>
              <w:top w:val="single" w:sz="4" w:space="0" w:color="auto"/>
              <w:left w:val="nil"/>
              <w:bottom w:val="single" w:sz="4" w:space="0" w:color="auto"/>
              <w:right w:val="single" w:sz="4" w:space="0" w:color="auto"/>
            </w:tcBorders>
            <w:hideMark/>
          </w:tcPr>
          <w:p w14:paraId="03C3313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67,1 ew</w:t>
            </w:r>
          </w:p>
        </w:tc>
        <w:tc>
          <w:tcPr>
            <w:tcW w:w="811" w:type="dxa"/>
            <w:tcBorders>
              <w:top w:val="single" w:sz="4" w:space="0" w:color="auto"/>
              <w:left w:val="nil"/>
              <w:bottom w:val="single" w:sz="4" w:space="0" w:color="auto"/>
              <w:right w:val="single" w:sz="4" w:space="0" w:color="auto"/>
            </w:tcBorders>
            <w:hideMark/>
          </w:tcPr>
          <w:p w14:paraId="7244719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66,3 ew</w:t>
            </w:r>
          </w:p>
        </w:tc>
        <w:tc>
          <w:tcPr>
            <w:tcW w:w="839" w:type="dxa"/>
            <w:tcBorders>
              <w:top w:val="single" w:sz="4" w:space="0" w:color="auto"/>
              <w:left w:val="nil"/>
              <w:bottom w:val="single" w:sz="4" w:space="0" w:color="auto"/>
              <w:right w:val="single" w:sz="4" w:space="0" w:color="auto"/>
            </w:tcBorders>
            <w:hideMark/>
          </w:tcPr>
          <w:p w14:paraId="46C74AF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65,2</w:t>
            </w:r>
          </w:p>
        </w:tc>
        <w:tc>
          <w:tcPr>
            <w:tcW w:w="750" w:type="dxa"/>
            <w:tcBorders>
              <w:top w:val="single" w:sz="4" w:space="0" w:color="auto"/>
              <w:left w:val="nil"/>
              <w:bottom w:val="single" w:sz="4" w:space="0" w:color="auto"/>
              <w:right w:val="single" w:sz="4" w:space="0" w:color="auto"/>
            </w:tcBorders>
            <w:hideMark/>
          </w:tcPr>
          <w:p w14:paraId="6693786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65,9</w:t>
            </w:r>
          </w:p>
        </w:tc>
        <w:tc>
          <w:tcPr>
            <w:tcW w:w="811" w:type="dxa"/>
            <w:tcBorders>
              <w:top w:val="single" w:sz="4" w:space="0" w:color="auto"/>
              <w:left w:val="nil"/>
              <w:bottom w:val="single" w:sz="4" w:space="0" w:color="auto"/>
              <w:right w:val="single" w:sz="4" w:space="0" w:color="auto"/>
            </w:tcBorders>
            <w:hideMark/>
          </w:tcPr>
          <w:p w14:paraId="427E50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53,8</w:t>
            </w:r>
          </w:p>
        </w:tc>
        <w:tc>
          <w:tcPr>
            <w:tcW w:w="839" w:type="dxa"/>
            <w:tcBorders>
              <w:top w:val="single" w:sz="4" w:space="0" w:color="auto"/>
              <w:left w:val="nil"/>
              <w:bottom w:val="single" w:sz="4" w:space="0" w:color="auto"/>
              <w:right w:val="single" w:sz="4" w:space="0" w:color="auto"/>
            </w:tcBorders>
            <w:hideMark/>
          </w:tcPr>
          <w:p w14:paraId="02E5CC6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51,0</w:t>
            </w:r>
          </w:p>
        </w:tc>
        <w:tc>
          <w:tcPr>
            <w:tcW w:w="839" w:type="dxa"/>
            <w:tcBorders>
              <w:top w:val="single" w:sz="4" w:space="0" w:color="auto"/>
              <w:left w:val="nil"/>
              <w:bottom w:val="single" w:sz="4" w:space="0" w:color="auto"/>
              <w:right w:val="single" w:sz="4" w:space="0" w:color="auto"/>
            </w:tcBorders>
            <w:hideMark/>
          </w:tcPr>
          <w:p w14:paraId="44DE68D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49,7 w</w:t>
            </w:r>
          </w:p>
        </w:tc>
        <w:tc>
          <w:tcPr>
            <w:tcW w:w="722" w:type="dxa"/>
            <w:tcBorders>
              <w:top w:val="single" w:sz="4" w:space="0" w:color="auto"/>
              <w:left w:val="nil"/>
              <w:bottom w:val="single" w:sz="4" w:space="0" w:color="auto"/>
              <w:right w:val="single" w:sz="4" w:space="0" w:color="auto"/>
            </w:tcBorders>
            <w:hideMark/>
          </w:tcPr>
          <w:p w14:paraId="23683A5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52,5 bw</w:t>
            </w:r>
          </w:p>
        </w:tc>
        <w:tc>
          <w:tcPr>
            <w:tcW w:w="758" w:type="dxa"/>
            <w:gridSpan w:val="2"/>
            <w:tcBorders>
              <w:top w:val="single" w:sz="4" w:space="0" w:color="auto"/>
              <w:left w:val="nil"/>
              <w:bottom w:val="single" w:sz="4" w:space="0" w:color="auto"/>
              <w:right w:val="single" w:sz="4" w:space="0" w:color="auto"/>
            </w:tcBorders>
            <w:hideMark/>
          </w:tcPr>
          <w:p w14:paraId="709355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34,2 w</w:t>
            </w:r>
          </w:p>
        </w:tc>
        <w:tc>
          <w:tcPr>
            <w:tcW w:w="802" w:type="dxa"/>
            <w:gridSpan w:val="2"/>
            <w:tcBorders>
              <w:top w:val="single" w:sz="4" w:space="0" w:color="auto"/>
              <w:left w:val="nil"/>
              <w:bottom w:val="single" w:sz="4" w:space="0" w:color="auto"/>
              <w:right w:val="single" w:sz="4" w:space="0" w:color="auto"/>
            </w:tcBorders>
            <w:hideMark/>
          </w:tcPr>
          <w:p w14:paraId="5F32C31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32,3 w</w:t>
            </w:r>
          </w:p>
        </w:tc>
        <w:tc>
          <w:tcPr>
            <w:tcW w:w="840" w:type="dxa"/>
            <w:gridSpan w:val="2"/>
            <w:tcBorders>
              <w:top w:val="single" w:sz="4" w:space="0" w:color="auto"/>
              <w:left w:val="nil"/>
              <w:bottom w:val="single" w:sz="4" w:space="0" w:color="auto"/>
              <w:right w:val="single" w:sz="4" w:space="0" w:color="auto"/>
            </w:tcBorders>
            <w:hideMark/>
          </w:tcPr>
          <w:p w14:paraId="39723A0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73,1</w:t>
            </w:r>
          </w:p>
        </w:tc>
        <w:tc>
          <w:tcPr>
            <w:tcW w:w="840" w:type="dxa"/>
            <w:gridSpan w:val="2"/>
            <w:tcBorders>
              <w:top w:val="single" w:sz="4" w:space="0" w:color="auto"/>
              <w:left w:val="nil"/>
              <w:bottom w:val="single" w:sz="4" w:space="0" w:color="auto"/>
              <w:right w:val="single" w:sz="4" w:space="0" w:color="auto"/>
            </w:tcBorders>
            <w:hideMark/>
          </w:tcPr>
          <w:p w14:paraId="6E28994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72,2</w:t>
            </w:r>
          </w:p>
        </w:tc>
      </w:tr>
      <w:tr w:rsidR="00221F1C" w14:paraId="1C39B682"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2B7304A5"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Muškarci</w:t>
            </w:r>
          </w:p>
        </w:tc>
        <w:tc>
          <w:tcPr>
            <w:tcW w:w="600" w:type="dxa"/>
            <w:tcBorders>
              <w:top w:val="single" w:sz="4" w:space="0" w:color="auto"/>
              <w:left w:val="single" w:sz="4" w:space="0" w:color="auto"/>
              <w:bottom w:val="single" w:sz="4" w:space="0" w:color="auto"/>
              <w:right w:val="single" w:sz="4" w:space="0" w:color="auto"/>
            </w:tcBorders>
            <w:noWrap/>
            <w:hideMark/>
          </w:tcPr>
          <w:p w14:paraId="7685F41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0BF1575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67,5</w:t>
            </w:r>
          </w:p>
        </w:tc>
        <w:tc>
          <w:tcPr>
            <w:tcW w:w="840" w:type="dxa"/>
            <w:tcBorders>
              <w:top w:val="single" w:sz="4" w:space="0" w:color="auto"/>
              <w:left w:val="nil"/>
              <w:bottom w:val="single" w:sz="4" w:space="0" w:color="auto"/>
              <w:right w:val="single" w:sz="4" w:space="0" w:color="auto"/>
            </w:tcBorders>
            <w:hideMark/>
          </w:tcPr>
          <w:p w14:paraId="44B087B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61,7</w:t>
            </w:r>
          </w:p>
        </w:tc>
        <w:tc>
          <w:tcPr>
            <w:tcW w:w="840" w:type="dxa"/>
            <w:tcBorders>
              <w:top w:val="single" w:sz="4" w:space="0" w:color="auto"/>
              <w:left w:val="nil"/>
              <w:bottom w:val="single" w:sz="4" w:space="0" w:color="auto"/>
              <w:right w:val="single" w:sz="4" w:space="0" w:color="auto"/>
            </w:tcBorders>
            <w:hideMark/>
          </w:tcPr>
          <w:p w14:paraId="43541D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69,7</w:t>
            </w:r>
          </w:p>
        </w:tc>
        <w:tc>
          <w:tcPr>
            <w:tcW w:w="750" w:type="dxa"/>
            <w:tcBorders>
              <w:top w:val="single" w:sz="4" w:space="0" w:color="auto"/>
              <w:left w:val="nil"/>
              <w:bottom w:val="single" w:sz="4" w:space="0" w:color="auto"/>
              <w:right w:val="single" w:sz="4" w:space="0" w:color="auto"/>
            </w:tcBorders>
            <w:hideMark/>
          </w:tcPr>
          <w:p w14:paraId="0CEB48D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68,9</w:t>
            </w:r>
          </w:p>
        </w:tc>
        <w:tc>
          <w:tcPr>
            <w:tcW w:w="839" w:type="dxa"/>
            <w:tcBorders>
              <w:top w:val="single" w:sz="4" w:space="0" w:color="auto"/>
              <w:left w:val="nil"/>
              <w:bottom w:val="single" w:sz="4" w:space="0" w:color="auto"/>
              <w:right w:val="single" w:sz="4" w:space="0" w:color="auto"/>
            </w:tcBorders>
            <w:hideMark/>
          </w:tcPr>
          <w:p w14:paraId="39559CF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74,7 ew</w:t>
            </w:r>
          </w:p>
        </w:tc>
        <w:tc>
          <w:tcPr>
            <w:tcW w:w="811" w:type="dxa"/>
            <w:tcBorders>
              <w:top w:val="single" w:sz="4" w:space="0" w:color="auto"/>
              <w:left w:val="nil"/>
              <w:bottom w:val="single" w:sz="4" w:space="0" w:color="auto"/>
              <w:right w:val="single" w:sz="4" w:space="0" w:color="auto"/>
            </w:tcBorders>
            <w:hideMark/>
          </w:tcPr>
          <w:p w14:paraId="2473B98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74,0 ew</w:t>
            </w:r>
          </w:p>
        </w:tc>
        <w:tc>
          <w:tcPr>
            <w:tcW w:w="839" w:type="dxa"/>
            <w:tcBorders>
              <w:top w:val="single" w:sz="4" w:space="0" w:color="auto"/>
              <w:left w:val="nil"/>
              <w:bottom w:val="single" w:sz="4" w:space="0" w:color="auto"/>
              <w:right w:val="single" w:sz="4" w:space="0" w:color="auto"/>
            </w:tcBorders>
            <w:hideMark/>
          </w:tcPr>
          <w:p w14:paraId="06A124F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72,1</w:t>
            </w:r>
          </w:p>
        </w:tc>
        <w:tc>
          <w:tcPr>
            <w:tcW w:w="750" w:type="dxa"/>
            <w:tcBorders>
              <w:top w:val="single" w:sz="4" w:space="0" w:color="auto"/>
              <w:left w:val="nil"/>
              <w:bottom w:val="single" w:sz="4" w:space="0" w:color="auto"/>
              <w:right w:val="single" w:sz="4" w:space="0" w:color="auto"/>
            </w:tcBorders>
            <w:hideMark/>
          </w:tcPr>
          <w:p w14:paraId="6F13148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72,9</w:t>
            </w:r>
          </w:p>
        </w:tc>
        <w:tc>
          <w:tcPr>
            <w:tcW w:w="811" w:type="dxa"/>
            <w:tcBorders>
              <w:top w:val="single" w:sz="4" w:space="0" w:color="auto"/>
              <w:left w:val="nil"/>
              <w:bottom w:val="single" w:sz="4" w:space="0" w:color="auto"/>
              <w:right w:val="single" w:sz="4" w:space="0" w:color="auto"/>
            </w:tcBorders>
            <w:hideMark/>
          </w:tcPr>
          <w:p w14:paraId="4A077D3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73,2</w:t>
            </w:r>
          </w:p>
        </w:tc>
        <w:tc>
          <w:tcPr>
            <w:tcW w:w="839" w:type="dxa"/>
            <w:tcBorders>
              <w:top w:val="single" w:sz="4" w:space="0" w:color="auto"/>
              <w:left w:val="nil"/>
              <w:bottom w:val="single" w:sz="4" w:space="0" w:color="auto"/>
              <w:right w:val="single" w:sz="4" w:space="0" w:color="auto"/>
            </w:tcBorders>
            <w:hideMark/>
          </w:tcPr>
          <w:p w14:paraId="1C5BC90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70,1</w:t>
            </w:r>
          </w:p>
        </w:tc>
        <w:tc>
          <w:tcPr>
            <w:tcW w:w="839" w:type="dxa"/>
            <w:tcBorders>
              <w:top w:val="single" w:sz="4" w:space="0" w:color="auto"/>
              <w:left w:val="nil"/>
              <w:bottom w:val="single" w:sz="4" w:space="0" w:color="auto"/>
              <w:right w:val="single" w:sz="4" w:space="0" w:color="auto"/>
            </w:tcBorders>
            <w:hideMark/>
          </w:tcPr>
          <w:p w14:paraId="083CCD4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61,6 w</w:t>
            </w:r>
          </w:p>
        </w:tc>
        <w:tc>
          <w:tcPr>
            <w:tcW w:w="722" w:type="dxa"/>
            <w:tcBorders>
              <w:top w:val="single" w:sz="4" w:space="0" w:color="auto"/>
              <w:left w:val="nil"/>
              <w:bottom w:val="single" w:sz="4" w:space="0" w:color="auto"/>
              <w:right w:val="single" w:sz="4" w:space="0" w:color="auto"/>
            </w:tcBorders>
            <w:hideMark/>
          </w:tcPr>
          <w:p w14:paraId="1F9C7A5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64,9 bw</w:t>
            </w:r>
          </w:p>
        </w:tc>
        <w:tc>
          <w:tcPr>
            <w:tcW w:w="758" w:type="dxa"/>
            <w:gridSpan w:val="2"/>
            <w:tcBorders>
              <w:top w:val="single" w:sz="4" w:space="0" w:color="auto"/>
              <w:left w:val="nil"/>
              <w:bottom w:val="single" w:sz="4" w:space="0" w:color="auto"/>
              <w:right w:val="single" w:sz="4" w:space="0" w:color="auto"/>
            </w:tcBorders>
            <w:hideMark/>
          </w:tcPr>
          <w:p w14:paraId="510ED32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53,0 w</w:t>
            </w:r>
          </w:p>
        </w:tc>
        <w:tc>
          <w:tcPr>
            <w:tcW w:w="802" w:type="dxa"/>
            <w:gridSpan w:val="2"/>
            <w:tcBorders>
              <w:top w:val="single" w:sz="4" w:space="0" w:color="auto"/>
              <w:left w:val="nil"/>
              <w:bottom w:val="single" w:sz="4" w:space="0" w:color="auto"/>
              <w:right w:val="single" w:sz="4" w:space="0" w:color="auto"/>
            </w:tcBorders>
            <w:hideMark/>
          </w:tcPr>
          <w:p w14:paraId="40C7F7D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48,8 w</w:t>
            </w:r>
          </w:p>
        </w:tc>
        <w:tc>
          <w:tcPr>
            <w:tcW w:w="840" w:type="dxa"/>
            <w:gridSpan w:val="2"/>
            <w:tcBorders>
              <w:top w:val="single" w:sz="4" w:space="0" w:color="auto"/>
              <w:left w:val="nil"/>
              <w:bottom w:val="single" w:sz="4" w:space="0" w:color="auto"/>
              <w:right w:val="single" w:sz="4" w:space="0" w:color="auto"/>
            </w:tcBorders>
            <w:hideMark/>
          </w:tcPr>
          <w:p w14:paraId="527C613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78,9</w:t>
            </w:r>
          </w:p>
        </w:tc>
        <w:tc>
          <w:tcPr>
            <w:tcW w:w="840" w:type="dxa"/>
            <w:gridSpan w:val="2"/>
            <w:tcBorders>
              <w:top w:val="single" w:sz="4" w:space="0" w:color="auto"/>
              <w:left w:val="nil"/>
              <w:bottom w:val="single" w:sz="4" w:space="0" w:color="auto"/>
              <w:right w:val="single" w:sz="4" w:space="0" w:color="auto"/>
            </w:tcBorders>
            <w:hideMark/>
          </w:tcPr>
          <w:p w14:paraId="08AAD1A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78,0</w:t>
            </w:r>
          </w:p>
        </w:tc>
      </w:tr>
      <w:tr w:rsidR="00221F1C" w14:paraId="0EE72610"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6D1B4D99"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Žene</w:t>
            </w:r>
          </w:p>
        </w:tc>
        <w:tc>
          <w:tcPr>
            <w:tcW w:w="600" w:type="dxa"/>
            <w:tcBorders>
              <w:top w:val="single" w:sz="4" w:space="0" w:color="auto"/>
              <w:left w:val="single" w:sz="4" w:space="0" w:color="auto"/>
              <w:bottom w:val="single" w:sz="4" w:space="0" w:color="auto"/>
              <w:right w:val="single" w:sz="4" w:space="0" w:color="auto"/>
            </w:tcBorders>
            <w:noWrap/>
            <w:hideMark/>
          </w:tcPr>
          <w:p w14:paraId="4B7CE58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117DA10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54,2</w:t>
            </w:r>
          </w:p>
        </w:tc>
        <w:tc>
          <w:tcPr>
            <w:tcW w:w="840" w:type="dxa"/>
            <w:tcBorders>
              <w:top w:val="single" w:sz="4" w:space="0" w:color="auto"/>
              <w:left w:val="nil"/>
              <w:bottom w:val="single" w:sz="4" w:space="0" w:color="auto"/>
              <w:right w:val="single" w:sz="4" w:space="0" w:color="auto"/>
            </w:tcBorders>
            <w:hideMark/>
          </w:tcPr>
          <w:p w14:paraId="1B97DD4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48,8</w:t>
            </w:r>
          </w:p>
        </w:tc>
        <w:tc>
          <w:tcPr>
            <w:tcW w:w="840" w:type="dxa"/>
            <w:tcBorders>
              <w:top w:val="single" w:sz="4" w:space="0" w:color="auto"/>
              <w:left w:val="nil"/>
              <w:bottom w:val="single" w:sz="4" w:space="0" w:color="auto"/>
              <w:right w:val="single" w:sz="4" w:space="0" w:color="auto"/>
            </w:tcBorders>
            <w:hideMark/>
          </w:tcPr>
          <w:p w14:paraId="2C1145D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48,4</w:t>
            </w:r>
          </w:p>
        </w:tc>
        <w:tc>
          <w:tcPr>
            <w:tcW w:w="750" w:type="dxa"/>
            <w:tcBorders>
              <w:top w:val="single" w:sz="4" w:space="0" w:color="auto"/>
              <w:left w:val="nil"/>
              <w:bottom w:val="single" w:sz="4" w:space="0" w:color="auto"/>
              <w:right w:val="single" w:sz="4" w:space="0" w:color="auto"/>
            </w:tcBorders>
            <w:hideMark/>
          </w:tcPr>
          <w:p w14:paraId="2DB1EA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49,0</w:t>
            </w:r>
          </w:p>
        </w:tc>
        <w:tc>
          <w:tcPr>
            <w:tcW w:w="839" w:type="dxa"/>
            <w:tcBorders>
              <w:top w:val="single" w:sz="4" w:space="0" w:color="auto"/>
              <w:left w:val="nil"/>
              <w:bottom w:val="single" w:sz="4" w:space="0" w:color="auto"/>
              <w:right w:val="single" w:sz="4" w:space="0" w:color="auto"/>
            </w:tcBorders>
            <w:hideMark/>
          </w:tcPr>
          <w:p w14:paraId="1D8E766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59,7 ew</w:t>
            </w:r>
          </w:p>
        </w:tc>
        <w:tc>
          <w:tcPr>
            <w:tcW w:w="811" w:type="dxa"/>
            <w:tcBorders>
              <w:top w:val="single" w:sz="4" w:space="0" w:color="auto"/>
              <w:left w:val="nil"/>
              <w:bottom w:val="single" w:sz="4" w:space="0" w:color="auto"/>
              <w:right w:val="single" w:sz="4" w:space="0" w:color="auto"/>
            </w:tcBorders>
            <w:hideMark/>
          </w:tcPr>
          <w:p w14:paraId="7D61A50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58,8 ew</w:t>
            </w:r>
          </w:p>
        </w:tc>
        <w:tc>
          <w:tcPr>
            <w:tcW w:w="839" w:type="dxa"/>
            <w:tcBorders>
              <w:top w:val="single" w:sz="4" w:space="0" w:color="auto"/>
              <w:left w:val="nil"/>
              <w:bottom w:val="single" w:sz="4" w:space="0" w:color="auto"/>
              <w:right w:val="single" w:sz="4" w:space="0" w:color="auto"/>
            </w:tcBorders>
            <w:hideMark/>
          </w:tcPr>
          <w:p w14:paraId="260627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58,2</w:t>
            </w:r>
          </w:p>
        </w:tc>
        <w:tc>
          <w:tcPr>
            <w:tcW w:w="750" w:type="dxa"/>
            <w:tcBorders>
              <w:top w:val="single" w:sz="4" w:space="0" w:color="auto"/>
              <w:left w:val="nil"/>
              <w:bottom w:val="single" w:sz="4" w:space="0" w:color="auto"/>
              <w:right w:val="single" w:sz="4" w:space="0" w:color="auto"/>
            </w:tcBorders>
            <w:hideMark/>
          </w:tcPr>
          <w:p w14:paraId="5526983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58,9</w:t>
            </w:r>
          </w:p>
        </w:tc>
        <w:tc>
          <w:tcPr>
            <w:tcW w:w="811" w:type="dxa"/>
            <w:tcBorders>
              <w:top w:val="single" w:sz="4" w:space="0" w:color="auto"/>
              <w:left w:val="nil"/>
              <w:bottom w:val="single" w:sz="4" w:space="0" w:color="auto"/>
              <w:right w:val="single" w:sz="4" w:space="0" w:color="auto"/>
            </w:tcBorders>
            <w:hideMark/>
          </w:tcPr>
          <w:p w14:paraId="44A9743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34,4</w:t>
            </w:r>
          </w:p>
        </w:tc>
        <w:tc>
          <w:tcPr>
            <w:tcW w:w="839" w:type="dxa"/>
            <w:tcBorders>
              <w:top w:val="single" w:sz="4" w:space="0" w:color="auto"/>
              <w:left w:val="nil"/>
              <w:bottom w:val="single" w:sz="4" w:space="0" w:color="auto"/>
              <w:right w:val="single" w:sz="4" w:space="0" w:color="auto"/>
            </w:tcBorders>
            <w:hideMark/>
          </w:tcPr>
          <w:p w14:paraId="33DBD80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32,0</w:t>
            </w:r>
          </w:p>
        </w:tc>
        <w:tc>
          <w:tcPr>
            <w:tcW w:w="839" w:type="dxa"/>
            <w:tcBorders>
              <w:top w:val="single" w:sz="4" w:space="0" w:color="auto"/>
              <w:left w:val="nil"/>
              <w:bottom w:val="single" w:sz="4" w:space="0" w:color="auto"/>
              <w:right w:val="single" w:sz="4" w:space="0" w:color="auto"/>
            </w:tcBorders>
            <w:hideMark/>
          </w:tcPr>
          <w:p w14:paraId="13FAE53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38,0 w</w:t>
            </w:r>
          </w:p>
        </w:tc>
        <w:tc>
          <w:tcPr>
            <w:tcW w:w="722" w:type="dxa"/>
            <w:tcBorders>
              <w:top w:val="single" w:sz="4" w:space="0" w:color="auto"/>
              <w:left w:val="nil"/>
              <w:bottom w:val="single" w:sz="4" w:space="0" w:color="auto"/>
              <w:right w:val="single" w:sz="4" w:space="0" w:color="auto"/>
            </w:tcBorders>
            <w:hideMark/>
          </w:tcPr>
          <w:p w14:paraId="1B3898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40,0 bw</w:t>
            </w:r>
          </w:p>
        </w:tc>
        <w:tc>
          <w:tcPr>
            <w:tcW w:w="758" w:type="dxa"/>
            <w:gridSpan w:val="2"/>
            <w:tcBorders>
              <w:top w:val="single" w:sz="4" w:space="0" w:color="auto"/>
              <w:left w:val="nil"/>
              <w:bottom w:val="single" w:sz="4" w:space="0" w:color="auto"/>
              <w:right w:val="single" w:sz="4" w:space="0" w:color="auto"/>
            </w:tcBorders>
            <w:hideMark/>
          </w:tcPr>
          <w:p w14:paraId="653B289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15,6 w</w:t>
            </w:r>
          </w:p>
        </w:tc>
        <w:tc>
          <w:tcPr>
            <w:tcW w:w="802" w:type="dxa"/>
            <w:gridSpan w:val="2"/>
            <w:tcBorders>
              <w:top w:val="single" w:sz="4" w:space="0" w:color="auto"/>
              <w:left w:val="nil"/>
              <w:bottom w:val="single" w:sz="4" w:space="0" w:color="auto"/>
              <w:right w:val="single" w:sz="4" w:space="0" w:color="auto"/>
            </w:tcBorders>
            <w:hideMark/>
          </w:tcPr>
          <w:p w14:paraId="29920B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16,0 w</w:t>
            </w:r>
          </w:p>
        </w:tc>
        <w:tc>
          <w:tcPr>
            <w:tcW w:w="840" w:type="dxa"/>
            <w:gridSpan w:val="2"/>
            <w:tcBorders>
              <w:top w:val="single" w:sz="4" w:space="0" w:color="auto"/>
              <w:left w:val="nil"/>
              <w:bottom w:val="single" w:sz="4" w:space="0" w:color="auto"/>
              <w:right w:val="single" w:sz="4" w:space="0" w:color="auto"/>
            </w:tcBorders>
            <w:hideMark/>
          </w:tcPr>
          <w:p w14:paraId="62D56F0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67,2</w:t>
            </w:r>
          </w:p>
        </w:tc>
        <w:tc>
          <w:tcPr>
            <w:tcW w:w="840" w:type="dxa"/>
            <w:gridSpan w:val="2"/>
            <w:tcBorders>
              <w:top w:val="single" w:sz="4" w:space="0" w:color="auto"/>
              <w:left w:val="nil"/>
              <w:bottom w:val="single" w:sz="4" w:space="0" w:color="auto"/>
              <w:right w:val="single" w:sz="4" w:space="0" w:color="auto"/>
            </w:tcBorders>
            <w:hideMark/>
          </w:tcPr>
          <w:p w14:paraId="3111B20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66,5</w:t>
            </w:r>
          </w:p>
        </w:tc>
      </w:tr>
      <w:tr w:rsidR="00221F1C" w14:paraId="6FE9900E" w14:textId="77777777" w:rsidTr="00221F1C">
        <w:trPr>
          <w:trHeight w:val="225"/>
        </w:trPr>
        <w:tc>
          <w:tcPr>
            <w:tcW w:w="2400" w:type="dxa"/>
            <w:gridSpan w:val="2"/>
            <w:tcBorders>
              <w:top w:val="single" w:sz="4" w:space="0" w:color="auto"/>
              <w:left w:val="single" w:sz="4" w:space="0" w:color="auto"/>
              <w:bottom w:val="single" w:sz="4" w:space="0" w:color="auto"/>
              <w:right w:val="nil"/>
            </w:tcBorders>
            <w:noWrap/>
            <w:hideMark/>
          </w:tcPr>
          <w:p w14:paraId="54ABE8C9"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Osobe u dobi od 15 do 24 godine koje nisu zaposlene, ne školuju se niti stručno osposobljavaju, % stanovništva u toj dobnoj skupini</w:t>
            </w:r>
          </w:p>
        </w:tc>
        <w:tc>
          <w:tcPr>
            <w:tcW w:w="600" w:type="dxa"/>
            <w:tcBorders>
              <w:top w:val="single" w:sz="4" w:space="0" w:color="auto"/>
              <w:left w:val="single" w:sz="4" w:space="0" w:color="auto"/>
              <w:bottom w:val="single" w:sz="4" w:space="0" w:color="auto"/>
              <w:right w:val="single" w:sz="4" w:space="0" w:color="auto"/>
            </w:tcBorders>
            <w:noWrap/>
            <w:hideMark/>
          </w:tcPr>
          <w:p w14:paraId="620E50F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5A450DCA"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17,3</w:t>
            </w:r>
          </w:p>
        </w:tc>
        <w:tc>
          <w:tcPr>
            <w:tcW w:w="840" w:type="dxa"/>
            <w:tcBorders>
              <w:top w:val="single" w:sz="4" w:space="0" w:color="auto"/>
              <w:left w:val="nil"/>
              <w:bottom w:val="single" w:sz="4" w:space="0" w:color="auto"/>
              <w:right w:val="single" w:sz="4" w:space="0" w:color="auto"/>
            </w:tcBorders>
            <w:hideMark/>
          </w:tcPr>
          <w:p w14:paraId="262ED41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21,1</w:t>
            </w:r>
          </w:p>
        </w:tc>
        <w:tc>
          <w:tcPr>
            <w:tcW w:w="840" w:type="dxa"/>
            <w:tcBorders>
              <w:top w:val="single" w:sz="4" w:space="0" w:color="auto"/>
              <w:left w:val="nil"/>
              <w:bottom w:val="single" w:sz="4" w:space="0" w:color="auto"/>
              <w:right w:val="single" w:sz="4" w:space="0" w:color="auto"/>
            </w:tcBorders>
            <w:hideMark/>
          </w:tcPr>
          <w:p w14:paraId="6D8BBB7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18,1</w:t>
            </w:r>
          </w:p>
        </w:tc>
        <w:tc>
          <w:tcPr>
            <w:tcW w:w="750" w:type="dxa"/>
            <w:tcBorders>
              <w:top w:val="single" w:sz="4" w:space="0" w:color="auto"/>
              <w:left w:val="nil"/>
              <w:bottom w:val="single" w:sz="4" w:space="0" w:color="auto"/>
              <w:right w:val="single" w:sz="4" w:space="0" w:color="auto"/>
            </w:tcBorders>
            <w:hideMark/>
          </w:tcPr>
          <w:p w14:paraId="24A4A6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19,6</w:t>
            </w:r>
          </w:p>
        </w:tc>
        <w:tc>
          <w:tcPr>
            <w:tcW w:w="839" w:type="dxa"/>
            <w:tcBorders>
              <w:top w:val="single" w:sz="4" w:space="0" w:color="auto"/>
              <w:left w:val="nil"/>
              <w:bottom w:val="single" w:sz="4" w:space="0" w:color="auto"/>
              <w:right w:val="single" w:sz="4" w:space="0" w:color="auto"/>
            </w:tcBorders>
            <w:hideMark/>
          </w:tcPr>
          <w:p w14:paraId="5B99C1B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25,5 w</w:t>
            </w:r>
          </w:p>
        </w:tc>
        <w:tc>
          <w:tcPr>
            <w:tcW w:w="811" w:type="dxa"/>
            <w:tcBorders>
              <w:top w:val="single" w:sz="4" w:space="0" w:color="auto"/>
              <w:left w:val="nil"/>
              <w:bottom w:val="single" w:sz="4" w:space="0" w:color="auto"/>
              <w:right w:val="single" w:sz="4" w:space="0" w:color="auto"/>
            </w:tcBorders>
            <w:hideMark/>
          </w:tcPr>
          <w:p w14:paraId="34A93EA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26,6 w</w:t>
            </w:r>
          </w:p>
        </w:tc>
        <w:tc>
          <w:tcPr>
            <w:tcW w:w="839" w:type="dxa"/>
            <w:tcBorders>
              <w:top w:val="single" w:sz="4" w:space="0" w:color="auto"/>
              <w:left w:val="nil"/>
              <w:bottom w:val="single" w:sz="4" w:space="0" w:color="auto"/>
              <w:right w:val="single" w:sz="4" w:space="0" w:color="auto"/>
            </w:tcBorders>
            <w:hideMark/>
          </w:tcPr>
          <w:p w14:paraId="5BD671B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15,3</w:t>
            </w:r>
          </w:p>
        </w:tc>
        <w:tc>
          <w:tcPr>
            <w:tcW w:w="750" w:type="dxa"/>
            <w:tcBorders>
              <w:top w:val="single" w:sz="4" w:space="0" w:color="auto"/>
              <w:left w:val="nil"/>
              <w:bottom w:val="single" w:sz="4" w:space="0" w:color="auto"/>
              <w:right w:val="single" w:sz="4" w:space="0" w:color="auto"/>
            </w:tcBorders>
            <w:hideMark/>
          </w:tcPr>
          <w:p w14:paraId="4CD4CD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15,9</w:t>
            </w:r>
          </w:p>
        </w:tc>
        <w:tc>
          <w:tcPr>
            <w:tcW w:w="811" w:type="dxa"/>
            <w:tcBorders>
              <w:top w:val="single" w:sz="4" w:space="0" w:color="auto"/>
              <w:left w:val="nil"/>
              <w:bottom w:val="single" w:sz="4" w:space="0" w:color="auto"/>
              <w:right w:val="single" w:sz="4" w:space="0" w:color="auto"/>
            </w:tcBorders>
            <w:hideMark/>
          </w:tcPr>
          <w:p w14:paraId="1AE509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26,0</w:t>
            </w:r>
          </w:p>
        </w:tc>
        <w:tc>
          <w:tcPr>
            <w:tcW w:w="839" w:type="dxa"/>
            <w:tcBorders>
              <w:top w:val="single" w:sz="4" w:space="0" w:color="auto"/>
              <w:left w:val="nil"/>
              <w:bottom w:val="single" w:sz="4" w:space="0" w:color="auto"/>
              <w:right w:val="single" w:sz="4" w:space="0" w:color="auto"/>
            </w:tcBorders>
            <w:hideMark/>
          </w:tcPr>
          <w:p w14:paraId="5F98FF3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28,3</w:t>
            </w:r>
          </w:p>
        </w:tc>
        <w:tc>
          <w:tcPr>
            <w:tcW w:w="839" w:type="dxa"/>
            <w:tcBorders>
              <w:top w:val="single" w:sz="4" w:space="0" w:color="auto"/>
              <w:left w:val="nil"/>
              <w:bottom w:val="single" w:sz="4" w:space="0" w:color="auto"/>
              <w:right w:val="single" w:sz="4" w:space="0" w:color="auto"/>
            </w:tcBorders>
            <w:hideMark/>
          </w:tcPr>
          <w:p w14:paraId="0B8352A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21,0 w</w:t>
            </w:r>
          </w:p>
        </w:tc>
        <w:tc>
          <w:tcPr>
            <w:tcW w:w="722" w:type="dxa"/>
            <w:tcBorders>
              <w:top w:val="single" w:sz="4" w:space="0" w:color="auto"/>
              <w:left w:val="nil"/>
              <w:bottom w:val="single" w:sz="4" w:space="0" w:color="auto"/>
              <w:right w:val="single" w:sz="4" w:space="0" w:color="auto"/>
            </w:tcBorders>
            <w:hideMark/>
          </w:tcPr>
          <w:p w14:paraId="48074F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21,6 w</w:t>
            </w:r>
          </w:p>
        </w:tc>
        <w:tc>
          <w:tcPr>
            <w:tcW w:w="758" w:type="dxa"/>
            <w:gridSpan w:val="2"/>
            <w:tcBorders>
              <w:top w:val="single" w:sz="4" w:space="0" w:color="auto"/>
              <w:left w:val="nil"/>
              <w:bottom w:val="single" w:sz="4" w:space="0" w:color="auto"/>
              <w:right w:val="single" w:sz="4" w:space="0" w:color="auto"/>
            </w:tcBorders>
            <w:hideMark/>
          </w:tcPr>
          <w:p w14:paraId="5B8A51B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32,7 w</w:t>
            </w:r>
          </w:p>
        </w:tc>
        <w:tc>
          <w:tcPr>
            <w:tcW w:w="802" w:type="dxa"/>
            <w:gridSpan w:val="2"/>
            <w:tcBorders>
              <w:top w:val="single" w:sz="4" w:space="0" w:color="auto"/>
              <w:left w:val="nil"/>
              <w:bottom w:val="single" w:sz="4" w:space="0" w:color="auto"/>
              <w:right w:val="single" w:sz="4" w:space="0" w:color="auto"/>
            </w:tcBorders>
            <w:hideMark/>
          </w:tcPr>
          <w:p w14:paraId="646E77D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33,6 w</w:t>
            </w:r>
          </w:p>
        </w:tc>
        <w:tc>
          <w:tcPr>
            <w:tcW w:w="840" w:type="dxa"/>
            <w:gridSpan w:val="2"/>
            <w:tcBorders>
              <w:top w:val="single" w:sz="4" w:space="0" w:color="auto"/>
              <w:left w:val="nil"/>
              <w:bottom w:val="single" w:sz="4" w:space="0" w:color="auto"/>
              <w:right w:val="single" w:sz="4" w:space="0" w:color="auto"/>
            </w:tcBorders>
            <w:hideMark/>
          </w:tcPr>
          <w:p w14:paraId="7CF8EF3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10,1</w:t>
            </w:r>
          </w:p>
        </w:tc>
        <w:tc>
          <w:tcPr>
            <w:tcW w:w="840" w:type="dxa"/>
            <w:gridSpan w:val="2"/>
            <w:tcBorders>
              <w:top w:val="single" w:sz="4" w:space="0" w:color="auto"/>
              <w:left w:val="nil"/>
              <w:bottom w:val="single" w:sz="4" w:space="0" w:color="auto"/>
              <w:right w:val="single" w:sz="4" w:space="0" w:color="auto"/>
            </w:tcBorders>
            <w:hideMark/>
          </w:tcPr>
          <w:p w14:paraId="74FED97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11,1</w:t>
            </w:r>
          </w:p>
        </w:tc>
      </w:tr>
    </w:tbl>
    <w:p w14:paraId="6E486397" w14:textId="33221AF1" w:rsidR="00221F1C" w:rsidRDefault="00221F1C" w:rsidP="00221F1C">
      <w:pPr>
        <w:spacing w:before="120" w:after="120" w:line="240" w:lineRule="auto"/>
        <w:jc w:val="both"/>
        <w:rPr>
          <w:rFonts w:ascii="Times New Roman" w:eastAsia="Times New Roman" w:hAnsi="Times New Roman" w:cs="Times New Roman"/>
          <w:noProof/>
          <w:sz w:val="24"/>
          <w:szCs w:val="24"/>
        </w:rPr>
      </w:pP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58"/>
        <w:gridCol w:w="802"/>
        <w:gridCol w:w="840"/>
        <w:gridCol w:w="840"/>
      </w:tblGrid>
      <w:tr w:rsidR="00221F1C" w14:paraId="33E9EA6B" w14:textId="77777777" w:rsidTr="00221F1C">
        <w:trPr>
          <w:trHeight w:val="225"/>
        </w:trPr>
        <w:tc>
          <w:tcPr>
            <w:tcW w:w="2400" w:type="dxa"/>
            <w:vMerge w:val="restart"/>
            <w:tcBorders>
              <w:top w:val="nil"/>
              <w:left w:val="nil"/>
              <w:bottom w:val="single" w:sz="4" w:space="0" w:color="auto"/>
              <w:right w:val="nil"/>
            </w:tcBorders>
            <w:noWrap/>
            <w:vAlign w:val="center"/>
            <w:hideMark/>
          </w:tcPr>
          <w:p w14:paraId="6A219775"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Tržište rada (nastavak)</w:t>
            </w:r>
          </w:p>
        </w:tc>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14:paraId="25BC4A3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Napomena</w:t>
            </w:r>
          </w:p>
        </w:tc>
        <w:tc>
          <w:tcPr>
            <w:tcW w:w="1560" w:type="dxa"/>
            <w:gridSpan w:val="2"/>
            <w:tcBorders>
              <w:top w:val="single" w:sz="4" w:space="0" w:color="auto"/>
              <w:left w:val="nil"/>
              <w:bottom w:val="single" w:sz="4" w:space="0" w:color="auto"/>
              <w:right w:val="single" w:sz="4" w:space="0" w:color="auto"/>
            </w:tcBorders>
            <w:vAlign w:val="center"/>
            <w:hideMark/>
          </w:tcPr>
          <w:p w14:paraId="43789466"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Crna Gora</w:t>
            </w:r>
          </w:p>
        </w:tc>
        <w:tc>
          <w:tcPr>
            <w:tcW w:w="1590" w:type="dxa"/>
            <w:gridSpan w:val="2"/>
            <w:tcBorders>
              <w:top w:val="single" w:sz="4" w:space="0" w:color="auto"/>
              <w:left w:val="nil"/>
              <w:bottom w:val="single" w:sz="4" w:space="0" w:color="auto"/>
              <w:right w:val="single" w:sz="4" w:space="0" w:color="auto"/>
            </w:tcBorders>
            <w:vAlign w:val="center"/>
            <w:hideMark/>
          </w:tcPr>
          <w:p w14:paraId="03E1D42A"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Sjeverna Makedonija</w:t>
            </w:r>
          </w:p>
        </w:tc>
        <w:tc>
          <w:tcPr>
            <w:tcW w:w="1650" w:type="dxa"/>
            <w:gridSpan w:val="2"/>
            <w:tcBorders>
              <w:top w:val="single" w:sz="4" w:space="0" w:color="auto"/>
              <w:left w:val="nil"/>
              <w:bottom w:val="single" w:sz="4" w:space="0" w:color="auto"/>
              <w:right w:val="single" w:sz="4" w:space="0" w:color="auto"/>
            </w:tcBorders>
            <w:vAlign w:val="center"/>
            <w:hideMark/>
          </w:tcPr>
          <w:p w14:paraId="09951133"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Albanija</w:t>
            </w:r>
          </w:p>
        </w:tc>
        <w:tc>
          <w:tcPr>
            <w:tcW w:w="1589" w:type="dxa"/>
            <w:gridSpan w:val="2"/>
            <w:tcBorders>
              <w:top w:val="single" w:sz="4" w:space="0" w:color="auto"/>
              <w:left w:val="nil"/>
              <w:bottom w:val="single" w:sz="4" w:space="0" w:color="auto"/>
              <w:right w:val="single" w:sz="4" w:space="0" w:color="auto"/>
            </w:tcBorders>
            <w:vAlign w:val="center"/>
            <w:hideMark/>
          </w:tcPr>
          <w:p w14:paraId="36C17F0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Srbija</w:t>
            </w:r>
          </w:p>
        </w:tc>
        <w:tc>
          <w:tcPr>
            <w:tcW w:w="1650" w:type="dxa"/>
            <w:gridSpan w:val="2"/>
            <w:tcBorders>
              <w:top w:val="single" w:sz="4" w:space="0" w:color="auto"/>
              <w:left w:val="nil"/>
              <w:bottom w:val="single" w:sz="4" w:space="0" w:color="auto"/>
              <w:right w:val="single" w:sz="4" w:space="0" w:color="auto"/>
            </w:tcBorders>
            <w:vAlign w:val="center"/>
            <w:hideMark/>
          </w:tcPr>
          <w:p w14:paraId="3832536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Turska</w:t>
            </w:r>
          </w:p>
        </w:tc>
        <w:tc>
          <w:tcPr>
            <w:tcW w:w="1561" w:type="dxa"/>
            <w:gridSpan w:val="2"/>
            <w:tcBorders>
              <w:top w:val="single" w:sz="4" w:space="0" w:color="auto"/>
              <w:left w:val="nil"/>
              <w:bottom w:val="single" w:sz="4" w:space="0" w:color="auto"/>
              <w:right w:val="single" w:sz="4" w:space="0" w:color="auto"/>
            </w:tcBorders>
            <w:vAlign w:val="center"/>
            <w:hideMark/>
          </w:tcPr>
          <w:p w14:paraId="7DB5A067"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Bosna i</w:t>
            </w:r>
            <w:r>
              <w:rPr>
                <w:noProof/>
              </w:rPr>
              <w:t xml:space="preserve"> </w:t>
            </w:r>
            <w:r>
              <w:rPr>
                <w:noProof/>
              </w:rPr>
              <w:br/>
            </w:r>
            <w:r>
              <w:rPr>
                <w:rFonts w:ascii="Arial" w:hAnsi="Arial"/>
                <w:noProof/>
                <w:sz w:val="16"/>
              </w:rPr>
              <w:t>Hercegovina</w:t>
            </w:r>
          </w:p>
        </w:tc>
        <w:tc>
          <w:tcPr>
            <w:tcW w:w="1560" w:type="dxa"/>
            <w:gridSpan w:val="2"/>
            <w:tcBorders>
              <w:top w:val="single" w:sz="4" w:space="0" w:color="auto"/>
              <w:left w:val="nil"/>
              <w:bottom w:val="single" w:sz="4" w:space="0" w:color="auto"/>
              <w:right w:val="single" w:sz="4" w:space="0" w:color="auto"/>
            </w:tcBorders>
            <w:vAlign w:val="center"/>
            <w:hideMark/>
          </w:tcPr>
          <w:p w14:paraId="3BD78C66"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Kosovo*</w:t>
            </w:r>
          </w:p>
        </w:tc>
        <w:tc>
          <w:tcPr>
            <w:tcW w:w="1680" w:type="dxa"/>
            <w:gridSpan w:val="2"/>
            <w:tcBorders>
              <w:top w:val="single" w:sz="4" w:space="0" w:color="auto"/>
              <w:left w:val="nil"/>
              <w:bottom w:val="single" w:sz="4" w:space="0" w:color="auto"/>
              <w:right w:val="single" w:sz="4" w:space="0" w:color="auto"/>
            </w:tcBorders>
            <w:vAlign w:val="center"/>
            <w:hideMark/>
          </w:tcPr>
          <w:p w14:paraId="5731FDFE"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EU-27</w:t>
            </w:r>
          </w:p>
        </w:tc>
      </w:tr>
      <w:tr w:rsidR="00221F1C" w14:paraId="3BC8AD13" w14:textId="77777777" w:rsidTr="00221F1C">
        <w:trPr>
          <w:trHeight w:val="225"/>
        </w:trPr>
        <w:tc>
          <w:tcPr>
            <w:tcW w:w="2400" w:type="dxa"/>
            <w:vMerge/>
            <w:tcBorders>
              <w:top w:val="nil"/>
              <w:left w:val="nil"/>
              <w:bottom w:val="single" w:sz="4" w:space="0" w:color="auto"/>
              <w:right w:val="nil"/>
            </w:tcBorders>
            <w:vAlign w:val="center"/>
            <w:hideMark/>
          </w:tcPr>
          <w:p w14:paraId="2FD2C8FD" w14:textId="77777777" w:rsidR="00221F1C" w:rsidRDefault="00221F1C">
            <w:pPr>
              <w:spacing w:after="0"/>
              <w:rPr>
                <w:rFonts w:ascii="Arial" w:eastAsia="Times New Roman" w:hAnsi="Arial" w:cs="Arial"/>
                <w:b/>
                <w:noProof/>
                <w:color w:val="000000"/>
                <w:sz w:val="16"/>
                <w:szCs w:val="16"/>
                <w:lang w:eastAsia="zh-CN"/>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44755BA4" w14:textId="77777777" w:rsidR="00221F1C" w:rsidRDefault="00221F1C">
            <w:pPr>
              <w:spacing w:after="0"/>
              <w:rPr>
                <w:rFonts w:ascii="Arial" w:eastAsia="Times New Roman" w:hAnsi="Arial" w:cs="Arial"/>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hideMark/>
          </w:tcPr>
          <w:p w14:paraId="6549723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4DAFF82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72CEFAC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0976A61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27CF84D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single" w:sz="4" w:space="0" w:color="auto"/>
              <w:left w:val="nil"/>
              <w:bottom w:val="single" w:sz="4" w:space="0" w:color="auto"/>
              <w:right w:val="single" w:sz="4" w:space="0" w:color="auto"/>
            </w:tcBorders>
            <w:hideMark/>
          </w:tcPr>
          <w:p w14:paraId="5F292CC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49A809B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4E8889A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single" w:sz="4" w:space="0" w:color="auto"/>
              <w:left w:val="nil"/>
              <w:bottom w:val="single" w:sz="4" w:space="0" w:color="auto"/>
              <w:right w:val="single" w:sz="4" w:space="0" w:color="auto"/>
            </w:tcBorders>
            <w:hideMark/>
          </w:tcPr>
          <w:p w14:paraId="6715373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single" w:sz="4" w:space="0" w:color="auto"/>
              <w:left w:val="nil"/>
              <w:bottom w:val="single" w:sz="4" w:space="0" w:color="auto"/>
              <w:right w:val="single" w:sz="4" w:space="0" w:color="auto"/>
            </w:tcBorders>
            <w:hideMark/>
          </w:tcPr>
          <w:p w14:paraId="33F3FC4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32219AE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single" w:sz="4" w:space="0" w:color="auto"/>
              <w:left w:val="nil"/>
              <w:bottom w:val="single" w:sz="4" w:space="0" w:color="auto"/>
              <w:right w:val="single" w:sz="4" w:space="0" w:color="auto"/>
            </w:tcBorders>
            <w:hideMark/>
          </w:tcPr>
          <w:p w14:paraId="4E3FDCA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58" w:type="dxa"/>
            <w:tcBorders>
              <w:top w:val="single" w:sz="4" w:space="0" w:color="auto"/>
              <w:left w:val="nil"/>
              <w:bottom w:val="single" w:sz="4" w:space="0" w:color="auto"/>
              <w:right w:val="single" w:sz="4" w:space="0" w:color="auto"/>
            </w:tcBorders>
            <w:hideMark/>
          </w:tcPr>
          <w:p w14:paraId="03015CA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02" w:type="dxa"/>
            <w:tcBorders>
              <w:top w:val="single" w:sz="4" w:space="0" w:color="auto"/>
              <w:left w:val="nil"/>
              <w:bottom w:val="single" w:sz="4" w:space="0" w:color="auto"/>
              <w:right w:val="single" w:sz="4" w:space="0" w:color="auto"/>
            </w:tcBorders>
            <w:hideMark/>
          </w:tcPr>
          <w:p w14:paraId="664CF0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30A2EE9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75A7A74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75A65523"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1CA495EF"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Osobe u dobi od 15 do 29 godine koje nisu zaposlene, ne školuju se niti stručno osposobljavaju, % stanovništva u toj dobnoj skupini</w:t>
            </w:r>
          </w:p>
        </w:tc>
        <w:tc>
          <w:tcPr>
            <w:tcW w:w="600" w:type="dxa"/>
            <w:tcBorders>
              <w:top w:val="single" w:sz="4" w:space="0" w:color="auto"/>
              <w:left w:val="single" w:sz="4" w:space="0" w:color="auto"/>
              <w:bottom w:val="single" w:sz="4" w:space="0" w:color="auto"/>
              <w:right w:val="single" w:sz="4" w:space="0" w:color="auto"/>
            </w:tcBorders>
            <w:noWrap/>
            <w:hideMark/>
          </w:tcPr>
          <w:p w14:paraId="7118B81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5C5BCC2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21,3</w:t>
            </w:r>
          </w:p>
        </w:tc>
        <w:tc>
          <w:tcPr>
            <w:tcW w:w="840" w:type="dxa"/>
            <w:tcBorders>
              <w:top w:val="single" w:sz="4" w:space="0" w:color="auto"/>
              <w:left w:val="nil"/>
              <w:bottom w:val="single" w:sz="4" w:space="0" w:color="auto"/>
              <w:right w:val="single" w:sz="4" w:space="0" w:color="auto"/>
            </w:tcBorders>
            <w:hideMark/>
          </w:tcPr>
          <w:p w14:paraId="48B501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26,6</w:t>
            </w:r>
          </w:p>
        </w:tc>
        <w:tc>
          <w:tcPr>
            <w:tcW w:w="840" w:type="dxa"/>
            <w:tcBorders>
              <w:top w:val="single" w:sz="4" w:space="0" w:color="auto"/>
              <w:left w:val="nil"/>
              <w:bottom w:val="single" w:sz="4" w:space="0" w:color="auto"/>
              <w:right w:val="single" w:sz="4" w:space="0" w:color="auto"/>
            </w:tcBorders>
            <w:hideMark/>
          </w:tcPr>
          <w:p w14:paraId="631920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24,5</w:t>
            </w:r>
          </w:p>
        </w:tc>
        <w:tc>
          <w:tcPr>
            <w:tcW w:w="750" w:type="dxa"/>
            <w:tcBorders>
              <w:top w:val="single" w:sz="4" w:space="0" w:color="auto"/>
              <w:left w:val="nil"/>
              <w:bottom w:val="single" w:sz="4" w:space="0" w:color="auto"/>
              <w:right w:val="single" w:sz="4" w:space="0" w:color="auto"/>
            </w:tcBorders>
            <w:hideMark/>
          </w:tcPr>
          <w:p w14:paraId="560ED11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26,2</w:t>
            </w:r>
          </w:p>
        </w:tc>
        <w:tc>
          <w:tcPr>
            <w:tcW w:w="839" w:type="dxa"/>
            <w:tcBorders>
              <w:top w:val="single" w:sz="4" w:space="0" w:color="auto"/>
              <w:left w:val="nil"/>
              <w:bottom w:val="single" w:sz="4" w:space="0" w:color="auto"/>
              <w:right w:val="single" w:sz="4" w:space="0" w:color="auto"/>
            </w:tcBorders>
            <w:hideMark/>
          </w:tcPr>
          <w:p w14:paraId="1177730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26,6 w</w:t>
            </w:r>
          </w:p>
        </w:tc>
        <w:tc>
          <w:tcPr>
            <w:tcW w:w="811" w:type="dxa"/>
            <w:tcBorders>
              <w:top w:val="single" w:sz="4" w:space="0" w:color="auto"/>
              <w:left w:val="nil"/>
              <w:bottom w:val="single" w:sz="4" w:space="0" w:color="auto"/>
              <w:right w:val="single" w:sz="4" w:space="0" w:color="auto"/>
            </w:tcBorders>
            <w:hideMark/>
          </w:tcPr>
          <w:p w14:paraId="2E83FAE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27,9 w</w:t>
            </w:r>
          </w:p>
        </w:tc>
        <w:tc>
          <w:tcPr>
            <w:tcW w:w="839" w:type="dxa"/>
            <w:tcBorders>
              <w:top w:val="single" w:sz="4" w:space="0" w:color="auto"/>
              <w:left w:val="nil"/>
              <w:bottom w:val="single" w:sz="4" w:space="0" w:color="auto"/>
              <w:right w:val="single" w:sz="4" w:space="0" w:color="auto"/>
            </w:tcBorders>
            <w:hideMark/>
          </w:tcPr>
          <w:p w14:paraId="183D4E5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19,0</w:t>
            </w:r>
          </w:p>
        </w:tc>
        <w:tc>
          <w:tcPr>
            <w:tcW w:w="750" w:type="dxa"/>
            <w:tcBorders>
              <w:top w:val="single" w:sz="4" w:space="0" w:color="auto"/>
              <w:left w:val="nil"/>
              <w:bottom w:val="single" w:sz="4" w:space="0" w:color="auto"/>
              <w:right w:val="single" w:sz="4" w:space="0" w:color="auto"/>
            </w:tcBorders>
            <w:hideMark/>
          </w:tcPr>
          <w:p w14:paraId="02F2C14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20,0</w:t>
            </w:r>
          </w:p>
        </w:tc>
        <w:tc>
          <w:tcPr>
            <w:tcW w:w="811" w:type="dxa"/>
            <w:tcBorders>
              <w:top w:val="single" w:sz="4" w:space="0" w:color="auto"/>
              <w:left w:val="nil"/>
              <w:bottom w:val="single" w:sz="4" w:space="0" w:color="auto"/>
              <w:right w:val="single" w:sz="4" w:space="0" w:color="auto"/>
            </w:tcBorders>
            <w:hideMark/>
          </w:tcPr>
          <w:p w14:paraId="35ECEB8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29,5</w:t>
            </w:r>
          </w:p>
        </w:tc>
        <w:tc>
          <w:tcPr>
            <w:tcW w:w="839" w:type="dxa"/>
            <w:tcBorders>
              <w:top w:val="single" w:sz="4" w:space="0" w:color="auto"/>
              <w:left w:val="nil"/>
              <w:bottom w:val="single" w:sz="4" w:space="0" w:color="auto"/>
              <w:right w:val="single" w:sz="4" w:space="0" w:color="auto"/>
            </w:tcBorders>
            <w:hideMark/>
          </w:tcPr>
          <w:p w14:paraId="5D1458C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32,0</w:t>
            </w:r>
          </w:p>
        </w:tc>
        <w:tc>
          <w:tcPr>
            <w:tcW w:w="839" w:type="dxa"/>
            <w:tcBorders>
              <w:top w:val="single" w:sz="4" w:space="0" w:color="auto"/>
              <w:left w:val="nil"/>
              <w:bottom w:val="single" w:sz="4" w:space="0" w:color="auto"/>
              <w:right w:val="single" w:sz="4" w:space="0" w:color="auto"/>
            </w:tcBorders>
            <w:hideMark/>
          </w:tcPr>
          <w:p w14:paraId="709DFC9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25,0 w</w:t>
            </w:r>
          </w:p>
        </w:tc>
        <w:tc>
          <w:tcPr>
            <w:tcW w:w="722" w:type="dxa"/>
            <w:tcBorders>
              <w:top w:val="single" w:sz="4" w:space="0" w:color="auto"/>
              <w:left w:val="nil"/>
              <w:bottom w:val="single" w:sz="4" w:space="0" w:color="auto"/>
              <w:right w:val="single" w:sz="4" w:space="0" w:color="auto"/>
            </w:tcBorders>
            <w:hideMark/>
          </w:tcPr>
          <w:p w14:paraId="77F01F3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25,9 w</w:t>
            </w:r>
          </w:p>
        </w:tc>
        <w:tc>
          <w:tcPr>
            <w:tcW w:w="758" w:type="dxa"/>
            <w:tcBorders>
              <w:top w:val="single" w:sz="4" w:space="0" w:color="auto"/>
              <w:left w:val="nil"/>
              <w:bottom w:val="single" w:sz="4" w:space="0" w:color="auto"/>
              <w:right w:val="single" w:sz="4" w:space="0" w:color="auto"/>
            </w:tcBorders>
            <w:hideMark/>
          </w:tcPr>
          <w:p w14:paraId="51E9A23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39,9 w</w:t>
            </w:r>
          </w:p>
        </w:tc>
        <w:tc>
          <w:tcPr>
            <w:tcW w:w="802" w:type="dxa"/>
            <w:tcBorders>
              <w:top w:val="single" w:sz="4" w:space="0" w:color="auto"/>
              <w:left w:val="nil"/>
              <w:bottom w:val="single" w:sz="4" w:space="0" w:color="auto"/>
              <w:right w:val="single" w:sz="4" w:space="0" w:color="auto"/>
            </w:tcBorders>
            <w:hideMark/>
          </w:tcPr>
          <w:p w14:paraId="0B003AB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40,4 w</w:t>
            </w:r>
          </w:p>
        </w:tc>
        <w:tc>
          <w:tcPr>
            <w:tcW w:w="840" w:type="dxa"/>
            <w:tcBorders>
              <w:top w:val="single" w:sz="4" w:space="0" w:color="auto"/>
              <w:left w:val="nil"/>
              <w:bottom w:val="single" w:sz="4" w:space="0" w:color="auto"/>
              <w:right w:val="single" w:sz="4" w:space="0" w:color="auto"/>
            </w:tcBorders>
            <w:hideMark/>
          </w:tcPr>
          <w:p w14:paraId="22D8930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12,6</w:t>
            </w:r>
          </w:p>
        </w:tc>
        <w:tc>
          <w:tcPr>
            <w:tcW w:w="840" w:type="dxa"/>
            <w:tcBorders>
              <w:top w:val="single" w:sz="4" w:space="0" w:color="auto"/>
              <w:left w:val="nil"/>
              <w:bottom w:val="single" w:sz="4" w:space="0" w:color="auto"/>
              <w:right w:val="single" w:sz="4" w:space="0" w:color="auto"/>
            </w:tcBorders>
            <w:hideMark/>
          </w:tcPr>
          <w:p w14:paraId="698D87F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13,8</w:t>
            </w:r>
          </w:p>
        </w:tc>
      </w:tr>
      <w:tr w:rsidR="00221F1C" w14:paraId="02228BBE"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091D1F52"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Zaposlenost po glavnim sektorima</w:t>
            </w:r>
          </w:p>
        </w:tc>
        <w:tc>
          <w:tcPr>
            <w:tcW w:w="600" w:type="dxa"/>
            <w:tcBorders>
              <w:top w:val="single" w:sz="4" w:space="0" w:color="auto"/>
              <w:left w:val="single" w:sz="4" w:space="0" w:color="auto"/>
              <w:bottom w:val="single" w:sz="4" w:space="0" w:color="auto"/>
              <w:right w:val="single" w:sz="4" w:space="0" w:color="auto"/>
            </w:tcBorders>
            <w:noWrap/>
            <w:hideMark/>
          </w:tcPr>
          <w:p w14:paraId="3D474D27" w14:textId="77777777" w:rsidR="00221F1C" w:rsidRDefault="00221F1C">
            <w:pPr>
              <w:rPr>
                <w:rFonts w:ascii="Arial" w:eastAsia="Times New Roman" w:hAnsi="Arial" w:cs="Arial"/>
                <w:b/>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hideMark/>
          </w:tcPr>
          <w:p w14:paraId="7367AC21"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6B435B75"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12187FE2" w14:textId="77777777" w:rsidR="00221F1C" w:rsidRDefault="00221F1C">
            <w:pPr>
              <w:spacing w:after="0"/>
              <w:rPr>
                <w:noProof/>
                <w:sz w:val="20"/>
                <w:szCs w:val="20"/>
                <w:lang w:val="en-IE" w:eastAsia="en-IE"/>
              </w:rPr>
            </w:pPr>
          </w:p>
        </w:tc>
        <w:tc>
          <w:tcPr>
            <w:tcW w:w="750" w:type="dxa"/>
            <w:tcBorders>
              <w:top w:val="single" w:sz="4" w:space="0" w:color="auto"/>
              <w:left w:val="nil"/>
              <w:bottom w:val="single" w:sz="4" w:space="0" w:color="auto"/>
              <w:right w:val="single" w:sz="4" w:space="0" w:color="auto"/>
            </w:tcBorders>
            <w:hideMark/>
          </w:tcPr>
          <w:p w14:paraId="50EEB5A0"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70BAA1A0" w14:textId="77777777" w:rsidR="00221F1C" w:rsidRDefault="00221F1C">
            <w:pPr>
              <w:spacing w:after="0"/>
              <w:rPr>
                <w:noProof/>
                <w:sz w:val="20"/>
                <w:szCs w:val="20"/>
                <w:lang w:val="en-IE" w:eastAsia="en-IE"/>
              </w:rPr>
            </w:pPr>
          </w:p>
        </w:tc>
        <w:tc>
          <w:tcPr>
            <w:tcW w:w="811" w:type="dxa"/>
            <w:tcBorders>
              <w:top w:val="single" w:sz="4" w:space="0" w:color="auto"/>
              <w:left w:val="nil"/>
              <w:bottom w:val="single" w:sz="4" w:space="0" w:color="auto"/>
              <w:right w:val="single" w:sz="4" w:space="0" w:color="auto"/>
            </w:tcBorders>
            <w:hideMark/>
          </w:tcPr>
          <w:p w14:paraId="42D7638C"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5C12C567" w14:textId="77777777" w:rsidR="00221F1C" w:rsidRDefault="00221F1C">
            <w:pPr>
              <w:spacing w:after="0"/>
              <w:rPr>
                <w:noProof/>
                <w:sz w:val="20"/>
                <w:szCs w:val="20"/>
                <w:lang w:val="en-IE" w:eastAsia="en-IE"/>
              </w:rPr>
            </w:pPr>
          </w:p>
        </w:tc>
        <w:tc>
          <w:tcPr>
            <w:tcW w:w="750" w:type="dxa"/>
            <w:tcBorders>
              <w:top w:val="single" w:sz="4" w:space="0" w:color="auto"/>
              <w:left w:val="nil"/>
              <w:bottom w:val="single" w:sz="4" w:space="0" w:color="auto"/>
              <w:right w:val="single" w:sz="4" w:space="0" w:color="auto"/>
            </w:tcBorders>
            <w:hideMark/>
          </w:tcPr>
          <w:p w14:paraId="572BEE90" w14:textId="77777777" w:rsidR="00221F1C" w:rsidRDefault="00221F1C">
            <w:pPr>
              <w:spacing w:after="0"/>
              <w:rPr>
                <w:noProof/>
                <w:sz w:val="20"/>
                <w:szCs w:val="20"/>
                <w:lang w:val="en-IE" w:eastAsia="en-IE"/>
              </w:rPr>
            </w:pPr>
          </w:p>
        </w:tc>
        <w:tc>
          <w:tcPr>
            <w:tcW w:w="811" w:type="dxa"/>
            <w:tcBorders>
              <w:top w:val="single" w:sz="4" w:space="0" w:color="auto"/>
              <w:left w:val="nil"/>
              <w:bottom w:val="single" w:sz="4" w:space="0" w:color="auto"/>
              <w:right w:val="single" w:sz="4" w:space="0" w:color="auto"/>
            </w:tcBorders>
            <w:hideMark/>
          </w:tcPr>
          <w:p w14:paraId="4B6BE49A"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052DBD11"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46BAF5D7" w14:textId="77777777" w:rsidR="00221F1C" w:rsidRDefault="00221F1C">
            <w:pPr>
              <w:spacing w:after="0"/>
              <w:rPr>
                <w:noProof/>
                <w:sz w:val="20"/>
                <w:szCs w:val="20"/>
                <w:lang w:val="en-IE" w:eastAsia="en-IE"/>
              </w:rPr>
            </w:pPr>
          </w:p>
        </w:tc>
        <w:tc>
          <w:tcPr>
            <w:tcW w:w="722" w:type="dxa"/>
            <w:tcBorders>
              <w:top w:val="single" w:sz="4" w:space="0" w:color="auto"/>
              <w:left w:val="nil"/>
              <w:bottom w:val="single" w:sz="4" w:space="0" w:color="auto"/>
              <w:right w:val="single" w:sz="4" w:space="0" w:color="auto"/>
            </w:tcBorders>
            <w:hideMark/>
          </w:tcPr>
          <w:p w14:paraId="0D760995" w14:textId="77777777" w:rsidR="00221F1C" w:rsidRDefault="00221F1C">
            <w:pPr>
              <w:spacing w:after="0"/>
              <w:rPr>
                <w:noProof/>
                <w:sz w:val="20"/>
                <w:szCs w:val="20"/>
                <w:lang w:val="en-IE" w:eastAsia="en-IE"/>
              </w:rPr>
            </w:pPr>
          </w:p>
        </w:tc>
        <w:tc>
          <w:tcPr>
            <w:tcW w:w="758" w:type="dxa"/>
            <w:tcBorders>
              <w:top w:val="single" w:sz="4" w:space="0" w:color="auto"/>
              <w:left w:val="nil"/>
              <w:bottom w:val="single" w:sz="4" w:space="0" w:color="auto"/>
              <w:right w:val="single" w:sz="4" w:space="0" w:color="auto"/>
            </w:tcBorders>
            <w:hideMark/>
          </w:tcPr>
          <w:p w14:paraId="045A4FC1" w14:textId="77777777" w:rsidR="00221F1C" w:rsidRDefault="00221F1C">
            <w:pPr>
              <w:spacing w:after="0"/>
              <w:rPr>
                <w:noProof/>
                <w:sz w:val="20"/>
                <w:szCs w:val="20"/>
                <w:lang w:val="en-IE" w:eastAsia="en-IE"/>
              </w:rPr>
            </w:pPr>
          </w:p>
        </w:tc>
        <w:tc>
          <w:tcPr>
            <w:tcW w:w="802" w:type="dxa"/>
            <w:tcBorders>
              <w:top w:val="single" w:sz="4" w:space="0" w:color="auto"/>
              <w:left w:val="nil"/>
              <w:bottom w:val="single" w:sz="4" w:space="0" w:color="auto"/>
              <w:right w:val="single" w:sz="4" w:space="0" w:color="auto"/>
            </w:tcBorders>
            <w:hideMark/>
          </w:tcPr>
          <w:p w14:paraId="17B2628D"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317B80FB"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6A0FFB24" w14:textId="77777777" w:rsidR="00221F1C" w:rsidRDefault="00221F1C">
            <w:pPr>
              <w:spacing w:after="0"/>
              <w:rPr>
                <w:noProof/>
                <w:sz w:val="20"/>
                <w:szCs w:val="20"/>
                <w:lang w:val="en-IE" w:eastAsia="en-IE"/>
              </w:rPr>
            </w:pPr>
          </w:p>
        </w:tc>
      </w:tr>
      <w:tr w:rsidR="00221F1C" w14:paraId="269D3907"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0257AE93"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Poljoprivreda, šumarstvo i ribarstvo (%)</w:t>
            </w:r>
          </w:p>
        </w:tc>
        <w:tc>
          <w:tcPr>
            <w:tcW w:w="600" w:type="dxa"/>
            <w:tcBorders>
              <w:top w:val="single" w:sz="4" w:space="0" w:color="auto"/>
              <w:left w:val="single" w:sz="4" w:space="0" w:color="auto"/>
              <w:bottom w:val="single" w:sz="4" w:space="0" w:color="auto"/>
              <w:right w:val="single" w:sz="4" w:space="0" w:color="auto"/>
            </w:tcBorders>
            <w:noWrap/>
            <w:hideMark/>
          </w:tcPr>
          <w:p w14:paraId="78D0F9DE"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040EC0E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7,1 s</w:t>
            </w:r>
          </w:p>
        </w:tc>
        <w:tc>
          <w:tcPr>
            <w:tcW w:w="840" w:type="dxa"/>
            <w:tcBorders>
              <w:top w:val="single" w:sz="4" w:space="0" w:color="auto"/>
              <w:left w:val="nil"/>
              <w:bottom w:val="single" w:sz="4" w:space="0" w:color="auto"/>
              <w:right w:val="single" w:sz="4" w:space="0" w:color="auto"/>
            </w:tcBorders>
            <w:hideMark/>
          </w:tcPr>
          <w:p w14:paraId="450AB7C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 s</w:t>
            </w:r>
          </w:p>
        </w:tc>
        <w:tc>
          <w:tcPr>
            <w:tcW w:w="840" w:type="dxa"/>
            <w:tcBorders>
              <w:top w:val="single" w:sz="4" w:space="0" w:color="auto"/>
              <w:left w:val="nil"/>
              <w:bottom w:val="single" w:sz="4" w:space="0" w:color="auto"/>
              <w:right w:val="single" w:sz="4" w:space="0" w:color="auto"/>
            </w:tcBorders>
            <w:hideMark/>
          </w:tcPr>
          <w:p w14:paraId="47393C0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13,9 s</w:t>
            </w:r>
          </w:p>
        </w:tc>
        <w:tc>
          <w:tcPr>
            <w:tcW w:w="750" w:type="dxa"/>
            <w:tcBorders>
              <w:top w:val="single" w:sz="4" w:space="0" w:color="auto"/>
              <w:left w:val="nil"/>
              <w:bottom w:val="single" w:sz="4" w:space="0" w:color="auto"/>
              <w:right w:val="single" w:sz="4" w:space="0" w:color="auto"/>
            </w:tcBorders>
            <w:hideMark/>
          </w:tcPr>
          <w:p w14:paraId="79C110F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12,0 s</w:t>
            </w:r>
          </w:p>
        </w:tc>
        <w:tc>
          <w:tcPr>
            <w:tcW w:w="839" w:type="dxa"/>
            <w:tcBorders>
              <w:top w:val="single" w:sz="4" w:space="0" w:color="auto"/>
              <w:left w:val="nil"/>
              <w:bottom w:val="single" w:sz="4" w:space="0" w:color="auto"/>
              <w:right w:val="single" w:sz="4" w:space="0" w:color="auto"/>
            </w:tcBorders>
            <w:hideMark/>
          </w:tcPr>
          <w:p w14:paraId="7EB3C81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36,4 ew</w:t>
            </w:r>
          </w:p>
        </w:tc>
        <w:tc>
          <w:tcPr>
            <w:tcW w:w="811" w:type="dxa"/>
            <w:tcBorders>
              <w:top w:val="single" w:sz="4" w:space="0" w:color="auto"/>
              <w:left w:val="nil"/>
              <w:bottom w:val="single" w:sz="4" w:space="0" w:color="auto"/>
              <w:right w:val="single" w:sz="4" w:space="0" w:color="auto"/>
            </w:tcBorders>
            <w:hideMark/>
          </w:tcPr>
          <w:p w14:paraId="520EF7D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36,1 ew</w:t>
            </w:r>
          </w:p>
        </w:tc>
        <w:tc>
          <w:tcPr>
            <w:tcW w:w="839" w:type="dxa"/>
            <w:tcBorders>
              <w:top w:val="single" w:sz="4" w:space="0" w:color="auto"/>
              <w:left w:val="nil"/>
              <w:bottom w:val="single" w:sz="4" w:space="0" w:color="auto"/>
              <w:right w:val="single" w:sz="4" w:space="0" w:color="auto"/>
            </w:tcBorders>
            <w:hideMark/>
          </w:tcPr>
          <w:p w14:paraId="2346A77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15,6 s</w:t>
            </w:r>
          </w:p>
        </w:tc>
        <w:tc>
          <w:tcPr>
            <w:tcW w:w="750" w:type="dxa"/>
            <w:tcBorders>
              <w:top w:val="single" w:sz="4" w:space="0" w:color="auto"/>
              <w:left w:val="nil"/>
              <w:bottom w:val="single" w:sz="4" w:space="0" w:color="auto"/>
              <w:right w:val="single" w:sz="4" w:space="0" w:color="auto"/>
            </w:tcBorders>
            <w:hideMark/>
          </w:tcPr>
          <w:p w14:paraId="6893F23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14,6 s</w:t>
            </w:r>
          </w:p>
        </w:tc>
        <w:tc>
          <w:tcPr>
            <w:tcW w:w="811" w:type="dxa"/>
            <w:tcBorders>
              <w:top w:val="single" w:sz="4" w:space="0" w:color="auto"/>
              <w:left w:val="nil"/>
              <w:bottom w:val="single" w:sz="4" w:space="0" w:color="auto"/>
              <w:right w:val="single" w:sz="4" w:space="0" w:color="auto"/>
            </w:tcBorders>
            <w:hideMark/>
          </w:tcPr>
          <w:p w14:paraId="0EC14F8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18,1 s</w:t>
            </w:r>
          </w:p>
        </w:tc>
        <w:tc>
          <w:tcPr>
            <w:tcW w:w="839" w:type="dxa"/>
            <w:tcBorders>
              <w:top w:val="single" w:sz="4" w:space="0" w:color="auto"/>
              <w:left w:val="nil"/>
              <w:bottom w:val="single" w:sz="4" w:space="0" w:color="auto"/>
              <w:right w:val="single" w:sz="4" w:space="0" w:color="auto"/>
            </w:tcBorders>
            <w:hideMark/>
          </w:tcPr>
          <w:p w14:paraId="2915A6F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17,6 s</w:t>
            </w:r>
          </w:p>
        </w:tc>
        <w:tc>
          <w:tcPr>
            <w:tcW w:w="839" w:type="dxa"/>
            <w:tcBorders>
              <w:top w:val="single" w:sz="4" w:space="0" w:color="auto"/>
              <w:left w:val="nil"/>
              <w:bottom w:val="single" w:sz="4" w:space="0" w:color="auto"/>
              <w:right w:val="single" w:sz="4" w:space="0" w:color="auto"/>
            </w:tcBorders>
            <w:hideMark/>
          </w:tcPr>
          <w:p w14:paraId="3EB259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18,0 w</w:t>
            </w:r>
          </w:p>
        </w:tc>
        <w:tc>
          <w:tcPr>
            <w:tcW w:w="722" w:type="dxa"/>
            <w:tcBorders>
              <w:top w:val="single" w:sz="4" w:space="0" w:color="auto"/>
              <w:left w:val="nil"/>
              <w:bottom w:val="single" w:sz="4" w:space="0" w:color="auto"/>
              <w:right w:val="single" w:sz="4" w:space="0" w:color="auto"/>
            </w:tcBorders>
            <w:hideMark/>
          </w:tcPr>
          <w:p w14:paraId="5B2ABBD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12,0 bw</w:t>
            </w:r>
          </w:p>
        </w:tc>
        <w:tc>
          <w:tcPr>
            <w:tcW w:w="758" w:type="dxa"/>
            <w:tcBorders>
              <w:top w:val="single" w:sz="4" w:space="0" w:color="auto"/>
              <w:left w:val="nil"/>
              <w:bottom w:val="single" w:sz="4" w:space="0" w:color="auto"/>
              <w:right w:val="single" w:sz="4" w:space="0" w:color="auto"/>
            </w:tcBorders>
            <w:hideMark/>
          </w:tcPr>
          <w:p w14:paraId="11745EA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5,2 w</w:t>
            </w:r>
          </w:p>
        </w:tc>
        <w:tc>
          <w:tcPr>
            <w:tcW w:w="802" w:type="dxa"/>
            <w:tcBorders>
              <w:top w:val="single" w:sz="4" w:space="0" w:color="auto"/>
              <w:left w:val="nil"/>
              <w:bottom w:val="single" w:sz="4" w:space="0" w:color="auto"/>
              <w:right w:val="single" w:sz="4" w:space="0" w:color="auto"/>
            </w:tcBorders>
            <w:hideMark/>
          </w:tcPr>
          <w:p w14:paraId="385FEDB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 w</w:t>
            </w:r>
          </w:p>
        </w:tc>
        <w:tc>
          <w:tcPr>
            <w:tcW w:w="840" w:type="dxa"/>
            <w:tcBorders>
              <w:top w:val="single" w:sz="4" w:space="0" w:color="auto"/>
              <w:left w:val="nil"/>
              <w:bottom w:val="single" w:sz="4" w:space="0" w:color="auto"/>
              <w:right w:val="single" w:sz="4" w:space="0" w:color="auto"/>
            </w:tcBorders>
            <w:hideMark/>
          </w:tcPr>
          <w:p w14:paraId="532F05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 s</w:t>
            </w:r>
          </w:p>
        </w:tc>
        <w:tc>
          <w:tcPr>
            <w:tcW w:w="840" w:type="dxa"/>
            <w:tcBorders>
              <w:top w:val="single" w:sz="4" w:space="0" w:color="auto"/>
              <w:left w:val="nil"/>
              <w:bottom w:val="single" w:sz="4" w:space="0" w:color="auto"/>
              <w:right w:val="single" w:sz="4" w:space="0" w:color="auto"/>
            </w:tcBorders>
            <w:hideMark/>
          </w:tcPr>
          <w:p w14:paraId="4DFAB92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 s</w:t>
            </w:r>
          </w:p>
        </w:tc>
      </w:tr>
      <w:tr w:rsidR="00221F1C" w14:paraId="2BA3C9D8"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78A175B1"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Industrija (%)</w:t>
            </w:r>
          </w:p>
        </w:tc>
        <w:tc>
          <w:tcPr>
            <w:tcW w:w="600" w:type="dxa"/>
            <w:tcBorders>
              <w:top w:val="single" w:sz="4" w:space="0" w:color="auto"/>
              <w:left w:val="single" w:sz="4" w:space="0" w:color="auto"/>
              <w:bottom w:val="single" w:sz="4" w:space="0" w:color="auto"/>
              <w:right w:val="single" w:sz="4" w:space="0" w:color="auto"/>
            </w:tcBorders>
            <w:noWrap/>
            <w:hideMark/>
          </w:tcPr>
          <w:p w14:paraId="652CF15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0832D7E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9,5 s</w:t>
            </w:r>
          </w:p>
        </w:tc>
        <w:tc>
          <w:tcPr>
            <w:tcW w:w="840" w:type="dxa"/>
            <w:tcBorders>
              <w:top w:val="single" w:sz="4" w:space="0" w:color="auto"/>
              <w:left w:val="nil"/>
              <w:bottom w:val="single" w:sz="4" w:space="0" w:color="auto"/>
              <w:right w:val="single" w:sz="4" w:space="0" w:color="auto"/>
            </w:tcBorders>
            <w:hideMark/>
          </w:tcPr>
          <w:p w14:paraId="21911E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10,1 s</w:t>
            </w:r>
          </w:p>
        </w:tc>
        <w:tc>
          <w:tcPr>
            <w:tcW w:w="840" w:type="dxa"/>
            <w:tcBorders>
              <w:top w:val="single" w:sz="4" w:space="0" w:color="auto"/>
              <w:left w:val="nil"/>
              <w:bottom w:val="single" w:sz="4" w:space="0" w:color="auto"/>
              <w:right w:val="single" w:sz="4" w:space="0" w:color="auto"/>
            </w:tcBorders>
            <w:hideMark/>
          </w:tcPr>
          <w:p w14:paraId="5747D6F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24,1 s</w:t>
            </w:r>
          </w:p>
        </w:tc>
        <w:tc>
          <w:tcPr>
            <w:tcW w:w="750" w:type="dxa"/>
            <w:tcBorders>
              <w:top w:val="single" w:sz="4" w:space="0" w:color="auto"/>
              <w:left w:val="nil"/>
              <w:bottom w:val="single" w:sz="4" w:space="0" w:color="auto"/>
              <w:right w:val="single" w:sz="4" w:space="0" w:color="auto"/>
            </w:tcBorders>
            <w:hideMark/>
          </w:tcPr>
          <w:p w14:paraId="7A0FA0F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23,9 s</w:t>
            </w:r>
          </w:p>
        </w:tc>
        <w:tc>
          <w:tcPr>
            <w:tcW w:w="839" w:type="dxa"/>
            <w:tcBorders>
              <w:top w:val="single" w:sz="4" w:space="0" w:color="auto"/>
              <w:left w:val="nil"/>
              <w:bottom w:val="single" w:sz="4" w:space="0" w:color="auto"/>
              <w:right w:val="single" w:sz="4" w:space="0" w:color="auto"/>
            </w:tcBorders>
            <w:hideMark/>
          </w:tcPr>
          <w:p w14:paraId="44A01E7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13,1 ew</w:t>
            </w:r>
          </w:p>
        </w:tc>
        <w:tc>
          <w:tcPr>
            <w:tcW w:w="811" w:type="dxa"/>
            <w:tcBorders>
              <w:top w:val="single" w:sz="4" w:space="0" w:color="auto"/>
              <w:left w:val="nil"/>
              <w:bottom w:val="single" w:sz="4" w:space="0" w:color="auto"/>
              <w:right w:val="single" w:sz="4" w:space="0" w:color="auto"/>
            </w:tcBorders>
            <w:hideMark/>
          </w:tcPr>
          <w:p w14:paraId="4DBEA91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13,4 ew</w:t>
            </w:r>
          </w:p>
        </w:tc>
        <w:tc>
          <w:tcPr>
            <w:tcW w:w="839" w:type="dxa"/>
            <w:tcBorders>
              <w:top w:val="single" w:sz="4" w:space="0" w:color="auto"/>
              <w:left w:val="nil"/>
              <w:bottom w:val="single" w:sz="4" w:space="0" w:color="auto"/>
              <w:right w:val="single" w:sz="4" w:space="0" w:color="auto"/>
            </w:tcBorders>
            <w:hideMark/>
          </w:tcPr>
          <w:p w14:paraId="266A48C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22,6 s</w:t>
            </w:r>
          </w:p>
        </w:tc>
        <w:tc>
          <w:tcPr>
            <w:tcW w:w="750" w:type="dxa"/>
            <w:tcBorders>
              <w:top w:val="single" w:sz="4" w:space="0" w:color="auto"/>
              <w:left w:val="nil"/>
              <w:bottom w:val="single" w:sz="4" w:space="0" w:color="auto"/>
              <w:right w:val="single" w:sz="4" w:space="0" w:color="auto"/>
            </w:tcBorders>
            <w:hideMark/>
          </w:tcPr>
          <w:p w14:paraId="5676B73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22,6 s</w:t>
            </w:r>
          </w:p>
        </w:tc>
        <w:tc>
          <w:tcPr>
            <w:tcW w:w="811" w:type="dxa"/>
            <w:tcBorders>
              <w:top w:val="single" w:sz="4" w:space="0" w:color="auto"/>
              <w:left w:val="nil"/>
              <w:bottom w:val="single" w:sz="4" w:space="0" w:color="auto"/>
              <w:right w:val="single" w:sz="4" w:space="0" w:color="auto"/>
            </w:tcBorders>
            <w:hideMark/>
          </w:tcPr>
          <w:p w14:paraId="235F5FF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19,8 s</w:t>
            </w:r>
          </w:p>
        </w:tc>
        <w:tc>
          <w:tcPr>
            <w:tcW w:w="839" w:type="dxa"/>
            <w:tcBorders>
              <w:top w:val="single" w:sz="4" w:space="0" w:color="auto"/>
              <w:left w:val="nil"/>
              <w:bottom w:val="single" w:sz="4" w:space="0" w:color="auto"/>
              <w:right w:val="single" w:sz="4" w:space="0" w:color="auto"/>
            </w:tcBorders>
            <w:hideMark/>
          </w:tcPr>
          <w:p w14:paraId="1CF08BC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20,5 s</w:t>
            </w:r>
          </w:p>
        </w:tc>
        <w:tc>
          <w:tcPr>
            <w:tcW w:w="839" w:type="dxa"/>
            <w:tcBorders>
              <w:top w:val="single" w:sz="4" w:space="0" w:color="auto"/>
              <w:left w:val="nil"/>
              <w:bottom w:val="single" w:sz="4" w:space="0" w:color="auto"/>
              <w:right w:val="single" w:sz="4" w:space="0" w:color="auto"/>
            </w:tcBorders>
            <w:hideMark/>
          </w:tcPr>
          <w:p w14:paraId="532F01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23,8 w</w:t>
            </w:r>
          </w:p>
        </w:tc>
        <w:tc>
          <w:tcPr>
            <w:tcW w:w="722" w:type="dxa"/>
            <w:tcBorders>
              <w:top w:val="single" w:sz="4" w:space="0" w:color="auto"/>
              <w:left w:val="nil"/>
              <w:bottom w:val="single" w:sz="4" w:space="0" w:color="auto"/>
              <w:right w:val="single" w:sz="4" w:space="0" w:color="auto"/>
            </w:tcBorders>
            <w:hideMark/>
          </w:tcPr>
          <w:p w14:paraId="4D6C700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33,4 bw</w:t>
            </w:r>
          </w:p>
        </w:tc>
        <w:tc>
          <w:tcPr>
            <w:tcW w:w="758" w:type="dxa"/>
            <w:tcBorders>
              <w:top w:val="single" w:sz="4" w:space="0" w:color="auto"/>
              <w:left w:val="nil"/>
              <w:bottom w:val="single" w:sz="4" w:space="0" w:color="auto"/>
              <w:right w:val="single" w:sz="4" w:space="0" w:color="auto"/>
            </w:tcBorders>
            <w:hideMark/>
          </w:tcPr>
          <w:p w14:paraId="54126E9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15,1 w</w:t>
            </w:r>
          </w:p>
        </w:tc>
        <w:tc>
          <w:tcPr>
            <w:tcW w:w="802" w:type="dxa"/>
            <w:tcBorders>
              <w:top w:val="single" w:sz="4" w:space="0" w:color="auto"/>
              <w:left w:val="nil"/>
              <w:bottom w:val="single" w:sz="4" w:space="0" w:color="auto"/>
              <w:right w:val="single" w:sz="4" w:space="0" w:color="auto"/>
            </w:tcBorders>
            <w:hideMark/>
          </w:tcPr>
          <w:p w14:paraId="6229A3F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16,3 w</w:t>
            </w:r>
          </w:p>
        </w:tc>
        <w:tc>
          <w:tcPr>
            <w:tcW w:w="840" w:type="dxa"/>
            <w:tcBorders>
              <w:top w:val="single" w:sz="4" w:space="0" w:color="auto"/>
              <w:left w:val="nil"/>
              <w:bottom w:val="single" w:sz="4" w:space="0" w:color="auto"/>
              <w:right w:val="single" w:sz="4" w:space="0" w:color="auto"/>
            </w:tcBorders>
            <w:hideMark/>
          </w:tcPr>
          <w:p w14:paraId="728355E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18,1 s</w:t>
            </w:r>
          </w:p>
        </w:tc>
        <w:tc>
          <w:tcPr>
            <w:tcW w:w="840" w:type="dxa"/>
            <w:tcBorders>
              <w:top w:val="single" w:sz="4" w:space="0" w:color="auto"/>
              <w:left w:val="nil"/>
              <w:bottom w:val="single" w:sz="4" w:space="0" w:color="auto"/>
              <w:right w:val="single" w:sz="4" w:space="0" w:color="auto"/>
            </w:tcBorders>
            <w:hideMark/>
          </w:tcPr>
          <w:p w14:paraId="33825FD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18,2 s</w:t>
            </w:r>
          </w:p>
        </w:tc>
      </w:tr>
      <w:tr w:rsidR="00221F1C" w14:paraId="092E06A4"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45833E48"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Građevinarstvo (%)</w:t>
            </w:r>
          </w:p>
        </w:tc>
        <w:tc>
          <w:tcPr>
            <w:tcW w:w="600" w:type="dxa"/>
            <w:tcBorders>
              <w:top w:val="single" w:sz="4" w:space="0" w:color="auto"/>
              <w:left w:val="single" w:sz="4" w:space="0" w:color="auto"/>
              <w:bottom w:val="single" w:sz="4" w:space="0" w:color="auto"/>
              <w:right w:val="single" w:sz="4" w:space="0" w:color="auto"/>
            </w:tcBorders>
            <w:noWrap/>
            <w:hideMark/>
          </w:tcPr>
          <w:p w14:paraId="56F92FB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30A7637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9,9 s</w:t>
            </w:r>
          </w:p>
        </w:tc>
        <w:tc>
          <w:tcPr>
            <w:tcW w:w="840" w:type="dxa"/>
            <w:tcBorders>
              <w:top w:val="single" w:sz="4" w:space="0" w:color="auto"/>
              <w:left w:val="nil"/>
              <w:bottom w:val="single" w:sz="4" w:space="0" w:color="auto"/>
              <w:right w:val="single" w:sz="4" w:space="0" w:color="auto"/>
            </w:tcBorders>
            <w:hideMark/>
          </w:tcPr>
          <w:p w14:paraId="20A038C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 s</w:t>
            </w:r>
          </w:p>
        </w:tc>
        <w:tc>
          <w:tcPr>
            <w:tcW w:w="840" w:type="dxa"/>
            <w:tcBorders>
              <w:top w:val="single" w:sz="4" w:space="0" w:color="auto"/>
              <w:left w:val="nil"/>
              <w:bottom w:val="single" w:sz="4" w:space="0" w:color="auto"/>
              <w:right w:val="single" w:sz="4" w:space="0" w:color="auto"/>
            </w:tcBorders>
            <w:hideMark/>
          </w:tcPr>
          <w:p w14:paraId="3DAF14F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 s</w:t>
            </w:r>
          </w:p>
        </w:tc>
        <w:tc>
          <w:tcPr>
            <w:tcW w:w="750" w:type="dxa"/>
            <w:tcBorders>
              <w:top w:val="single" w:sz="4" w:space="0" w:color="auto"/>
              <w:left w:val="nil"/>
              <w:bottom w:val="single" w:sz="4" w:space="0" w:color="auto"/>
              <w:right w:val="single" w:sz="4" w:space="0" w:color="auto"/>
            </w:tcBorders>
            <w:hideMark/>
          </w:tcPr>
          <w:p w14:paraId="00C520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6,9 s</w:t>
            </w:r>
          </w:p>
        </w:tc>
        <w:tc>
          <w:tcPr>
            <w:tcW w:w="839" w:type="dxa"/>
            <w:tcBorders>
              <w:top w:val="single" w:sz="4" w:space="0" w:color="auto"/>
              <w:left w:val="nil"/>
              <w:bottom w:val="single" w:sz="4" w:space="0" w:color="auto"/>
              <w:right w:val="single" w:sz="4" w:space="0" w:color="auto"/>
            </w:tcBorders>
            <w:hideMark/>
          </w:tcPr>
          <w:p w14:paraId="258CF6F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 ew</w:t>
            </w:r>
          </w:p>
        </w:tc>
        <w:tc>
          <w:tcPr>
            <w:tcW w:w="811" w:type="dxa"/>
            <w:tcBorders>
              <w:top w:val="single" w:sz="4" w:space="0" w:color="auto"/>
              <w:left w:val="nil"/>
              <w:bottom w:val="single" w:sz="4" w:space="0" w:color="auto"/>
              <w:right w:val="single" w:sz="4" w:space="0" w:color="auto"/>
            </w:tcBorders>
            <w:hideMark/>
          </w:tcPr>
          <w:p w14:paraId="2BEB5DE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 ew</w:t>
            </w:r>
          </w:p>
        </w:tc>
        <w:tc>
          <w:tcPr>
            <w:tcW w:w="839" w:type="dxa"/>
            <w:tcBorders>
              <w:top w:val="single" w:sz="4" w:space="0" w:color="auto"/>
              <w:left w:val="nil"/>
              <w:bottom w:val="single" w:sz="4" w:space="0" w:color="auto"/>
              <w:right w:val="single" w:sz="4" w:space="0" w:color="auto"/>
            </w:tcBorders>
            <w:hideMark/>
          </w:tcPr>
          <w:p w14:paraId="7F7DB1F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 s</w:t>
            </w:r>
          </w:p>
        </w:tc>
        <w:tc>
          <w:tcPr>
            <w:tcW w:w="750" w:type="dxa"/>
            <w:tcBorders>
              <w:top w:val="single" w:sz="4" w:space="0" w:color="auto"/>
              <w:left w:val="nil"/>
              <w:bottom w:val="single" w:sz="4" w:space="0" w:color="auto"/>
              <w:right w:val="single" w:sz="4" w:space="0" w:color="auto"/>
            </w:tcBorders>
            <w:hideMark/>
          </w:tcPr>
          <w:p w14:paraId="1421CA9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5,4 s</w:t>
            </w:r>
          </w:p>
        </w:tc>
        <w:tc>
          <w:tcPr>
            <w:tcW w:w="811" w:type="dxa"/>
            <w:tcBorders>
              <w:top w:val="single" w:sz="4" w:space="0" w:color="auto"/>
              <w:left w:val="nil"/>
              <w:bottom w:val="single" w:sz="4" w:space="0" w:color="auto"/>
              <w:right w:val="single" w:sz="4" w:space="0" w:color="auto"/>
            </w:tcBorders>
            <w:hideMark/>
          </w:tcPr>
          <w:p w14:paraId="6F6570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5,5 s</w:t>
            </w:r>
          </w:p>
        </w:tc>
        <w:tc>
          <w:tcPr>
            <w:tcW w:w="839" w:type="dxa"/>
            <w:tcBorders>
              <w:top w:val="single" w:sz="4" w:space="0" w:color="auto"/>
              <w:left w:val="nil"/>
              <w:bottom w:val="single" w:sz="4" w:space="0" w:color="auto"/>
              <w:right w:val="single" w:sz="4" w:space="0" w:color="auto"/>
            </w:tcBorders>
            <w:hideMark/>
          </w:tcPr>
          <w:p w14:paraId="219F64D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 s</w:t>
            </w:r>
          </w:p>
        </w:tc>
        <w:tc>
          <w:tcPr>
            <w:tcW w:w="839" w:type="dxa"/>
            <w:tcBorders>
              <w:top w:val="single" w:sz="4" w:space="0" w:color="auto"/>
              <w:left w:val="nil"/>
              <w:bottom w:val="single" w:sz="4" w:space="0" w:color="auto"/>
              <w:right w:val="single" w:sz="4" w:space="0" w:color="auto"/>
            </w:tcBorders>
            <w:hideMark/>
          </w:tcPr>
          <w:p w14:paraId="7AEBC84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 w</w:t>
            </w:r>
          </w:p>
        </w:tc>
        <w:tc>
          <w:tcPr>
            <w:tcW w:w="722" w:type="dxa"/>
            <w:tcBorders>
              <w:top w:val="single" w:sz="4" w:space="0" w:color="auto"/>
              <w:left w:val="nil"/>
              <w:bottom w:val="single" w:sz="4" w:space="0" w:color="auto"/>
              <w:right w:val="single" w:sz="4" w:space="0" w:color="auto"/>
            </w:tcBorders>
            <w:hideMark/>
          </w:tcPr>
          <w:p w14:paraId="426FD6B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9,4 bw</w:t>
            </w:r>
          </w:p>
        </w:tc>
        <w:tc>
          <w:tcPr>
            <w:tcW w:w="758" w:type="dxa"/>
            <w:tcBorders>
              <w:top w:val="single" w:sz="4" w:space="0" w:color="auto"/>
              <w:left w:val="nil"/>
              <w:bottom w:val="single" w:sz="4" w:space="0" w:color="auto"/>
              <w:right w:val="single" w:sz="4" w:space="0" w:color="auto"/>
            </w:tcBorders>
            <w:hideMark/>
          </w:tcPr>
          <w:p w14:paraId="578BF8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12,6 w</w:t>
            </w:r>
          </w:p>
        </w:tc>
        <w:tc>
          <w:tcPr>
            <w:tcW w:w="802" w:type="dxa"/>
            <w:tcBorders>
              <w:top w:val="single" w:sz="4" w:space="0" w:color="auto"/>
              <w:left w:val="nil"/>
              <w:bottom w:val="single" w:sz="4" w:space="0" w:color="auto"/>
              <w:right w:val="single" w:sz="4" w:space="0" w:color="auto"/>
            </w:tcBorders>
            <w:hideMark/>
          </w:tcPr>
          <w:p w14:paraId="2FB8DE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11,1 w</w:t>
            </w:r>
          </w:p>
        </w:tc>
        <w:tc>
          <w:tcPr>
            <w:tcW w:w="840" w:type="dxa"/>
            <w:tcBorders>
              <w:top w:val="single" w:sz="4" w:space="0" w:color="auto"/>
              <w:left w:val="nil"/>
              <w:bottom w:val="single" w:sz="4" w:space="0" w:color="auto"/>
              <w:right w:val="single" w:sz="4" w:space="0" w:color="auto"/>
            </w:tcBorders>
            <w:hideMark/>
          </w:tcPr>
          <w:p w14:paraId="623AAAA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 s</w:t>
            </w:r>
          </w:p>
        </w:tc>
        <w:tc>
          <w:tcPr>
            <w:tcW w:w="840" w:type="dxa"/>
            <w:tcBorders>
              <w:top w:val="single" w:sz="4" w:space="0" w:color="auto"/>
              <w:left w:val="nil"/>
              <w:bottom w:val="single" w:sz="4" w:space="0" w:color="auto"/>
              <w:right w:val="single" w:sz="4" w:space="0" w:color="auto"/>
            </w:tcBorders>
            <w:hideMark/>
          </w:tcPr>
          <w:p w14:paraId="7FB2CB4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 s</w:t>
            </w:r>
          </w:p>
        </w:tc>
      </w:tr>
      <w:tr w:rsidR="00221F1C" w14:paraId="576F916A"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45C187F0"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Usluge (%)</w:t>
            </w:r>
          </w:p>
        </w:tc>
        <w:tc>
          <w:tcPr>
            <w:tcW w:w="600" w:type="dxa"/>
            <w:tcBorders>
              <w:top w:val="single" w:sz="4" w:space="0" w:color="auto"/>
              <w:left w:val="single" w:sz="4" w:space="0" w:color="auto"/>
              <w:bottom w:val="single" w:sz="4" w:space="0" w:color="auto"/>
              <w:right w:val="single" w:sz="4" w:space="0" w:color="auto"/>
            </w:tcBorders>
            <w:noWrap/>
            <w:hideMark/>
          </w:tcPr>
          <w:p w14:paraId="2C88CB2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16E70751"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73,1 s</w:t>
            </w:r>
          </w:p>
        </w:tc>
        <w:tc>
          <w:tcPr>
            <w:tcW w:w="840" w:type="dxa"/>
            <w:tcBorders>
              <w:top w:val="single" w:sz="4" w:space="0" w:color="auto"/>
              <w:left w:val="nil"/>
              <w:bottom w:val="single" w:sz="4" w:space="0" w:color="auto"/>
              <w:right w:val="single" w:sz="4" w:space="0" w:color="auto"/>
            </w:tcBorders>
            <w:hideMark/>
          </w:tcPr>
          <w:p w14:paraId="381067F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73,5 s</w:t>
            </w:r>
          </w:p>
        </w:tc>
        <w:tc>
          <w:tcPr>
            <w:tcW w:w="840" w:type="dxa"/>
            <w:tcBorders>
              <w:top w:val="single" w:sz="4" w:space="0" w:color="auto"/>
              <w:left w:val="nil"/>
              <w:bottom w:val="single" w:sz="4" w:space="0" w:color="auto"/>
              <w:right w:val="single" w:sz="4" w:space="0" w:color="auto"/>
            </w:tcBorders>
            <w:hideMark/>
          </w:tcPr>
          <w:p w14:paraId="6871821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55,0 s</w:t>
            </w:r>
          </w:p>
        </w:tc>
        <w:tc>
          <w:tcPr>
            <w:tcW w:w="750" w:type="dxa"/>
            <w:tcBorders>
              <w:top w:val="single" w:sz="4" w:space="0" w:color="auto"/>
              <w:left w:val="nil"/>
              <w:bottom w:val="single" w:sz="4" w:space="0" w:color="auto"/>
              <w:right w:val="single" w:sz="4" w:space="0" w:color="auto"/>
            </w:tcBorders>
            <w:hideMark/>
          </w:tcPr>
          <w:p w14:paraId="6599776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57,1 s</w:t>
            </w:r>
          </w:p>
        </w:tc>
        <w:tc>
          <w:tcPr>
            <w:tcW w:w="839" w:type="dxa"/>
            <w:tcBorders>
              <w:top w:val="single" w:sz="4" w:space="0" w:color="auto"/>
              <w:left w:val="nil"/>
              <w:bottom w:val="single" w:sz="4" w:space="0" w:color="auto"/>
              <w:right w:val="single" w:sz="4" w:space="0" w:color="auto"/>
            </w:tcBorders>
            <w:hideMark/>
          </w:tcPr>
          <w:p w14:paraId="4B85FD8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43,5 ew</w:t>
            </w:r>
          </w:p>
        </w:tc>
        <w:tc>
          <w:tcPr>
            <w:tcW w:w="811" w:type="dxa"/>
            <w:tcBorders>
              <w:top w:val="single" w:sz="4" w:space="0" w:color="auto"/>
              <w:left w:val="nil"/>
              <w:bottom w:val="single" w:sz="4" w:space="0" w:color="auto"/>
              <w:right w:val="single" w:sz="4" w:space="0" w:color="auto"/>
            </w:tcBorders>
            <w:hideMark/>
          </w:tcPr>
          <w:p w14:paraId="6E5C522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43,5 ew</w:t>
            </w:r>
          </w:p>
        </w:tc>
        <w:tc>
          <w:tcPr>
            <w:tcW w:w="839" w:type="dxa"/>
            <w:tcBorders>
              <w:top w:val="single" w:sz="4" w:space="0" w:color="auto"/>
              <w:left w:val="nil"/>
              <w:bottom w:val="single" w:sz="4" w:space="0" w:color="auto"/>
              <w:right w:val="single" w:sz="4" w:space="0" w:color="auto"/>
            </w:tcBorders>
            <w:hideMark/>
          </w:tcPr>
          <w:p w14:paraId="66C9674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56,9 s</w:t>
            </w:r>
          </w:p>
        </w:tc>
        <w:tc>
          <w:tcPr>
            <w:tcW w:w="750" w:type="dxa"/>
            <w:tcBorders>
              <w:top w:val="single" w:sz="4" w:space="0" w:color="auto"/>
              <w:left w:val="nil"/>
              <w:bottom w:val="single" w:sz="4" w:space="0" w:color="auto"/>
              <w:right w:val="single" w:sz="4" w:space="0" w:color="auto"/>
            </w:tcBorders>
            <w:hideMark/>
          </w:tcPr>
          <w:p w14:paraId="578C146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57,5 s</w:t>
            </w:r>
          </w:p>
        </w:tc>
        <w:tc>
          <w:tcPr>
            <w:tcW w:w="811" w:type="dxa"/>
            <w:tcBorders>
              <w:top w:val="single" w:sz="4" w:space="0" w:color="auto"/>
              <w:left w:val="nil"/>
              <w:bottom w:val="single" w:sz="4" w:space="0" w:color="auto"/>
              <w:right w:val="single" w:sz="4" w:space="0" w:color="auto"/>
            </w:tcBorders>
            <w:hideMark/>
          </w:tcPr>
          <w:p w14:paraId="33F7150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56,6 s</w:t>
            </w:r>
          </w:p>
        </w:tc>
        <w:tc>
          <w:tcPr>
            <w:tcW w:w="839" w:type="dxa"/>
            <w:tcBorders>
              <w:top w:val="single" w:sz="4" w:space="0" w:color="auto"/>
              <w:left w:val="nil"/>
              <w:bottom w:val="single" w:sz="4" w:space="0" w:color="auto"/>
              <w:right w:val="single" w:sz="4" w:space="0" w:color="auto"/>
            </w:tcBorders>
            <w:hideMark/>
          </w:tcPr>
          <w:p w14:paraId="28ED5E3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56,2 s</w:t>
            </w:r>
          </w:p>
        </w:tc>
        <w:tc>
          <w:tcPr>
            <w:tcW w:w="839" w:type="dxa"/>
            <w:tcBorders>
              <w:top w:val="single" w:sz="4" w:space="0" w:color="auto"/>
              <w:left w:val="nil"/>
              <w:bottom w:val="single" w:sz="4" w:space="0" w:color="auto"/>
              <w:right w:val="single" w:sz="4" w:space="0" w:color="auto"/>
            </w:tcBorders>
            <w:hideMark/>
          </w:tcPr>
          <w:p w14:paraId="35444D2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50,3 w</w:t>
            </w:r>
          </w:p>
        </w:tc>
        <w:tc>
          <w:tcPr>
            <w:tcW w:w="722" w:type="dxa"/>
            <w:tcBorders>
              <w:top w:val="single" w:sz="4" w:space="0" w:color="auto"/>
              <w:left w:val="nil"/>
              <w:bottom w:val="single" w:sz="4" w:space="0" w:color="auto"/>
              <w:right w:val="single" w:sz="4" w:space="0" w:color="auto"/>
            </w:tcBorders>
            <w:hideMark/>
          </w:tcPr>
          <w:p w14:paraId="1851B87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45,3 bw</w:t>
            </w:r>
          </w:p>
        </w:tc>
        <w:tc>
          <w:tcPr>
            <w:tcW w:w="758" w:type="dxa"/>
            <w:tcBorders>
              <w:top w:val="single" w:sz="4" w:space="0" w:color="auto"/>
              <w:left w:val="nil"/>
              <w:bottom w:val="single" w:sz="4" w:space="0" w:color="auto"/>
              <w:right w:val="single" w:sz="4" w:space="0" w:color="auto"/>
            </w:tcBorders>
            <w:hideMark/>
          </w:tcPr>
          <w:p w14:paraId="121DEC5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67,1 w</w:t>
            </w:r>
          </w:p>
        </w:tc>
        <w:tc>
          <w:tcPr>
            <w:tcW w:w="802" w:type="dxa"/>
            <w:tcBorders>
              <w:top w:val="single" w:sz="4" w:space="0" w:color="auto"/>
              <w:left w:val="nil"/>
              <w:bottom w:val="single" w:sz="4" w:space="0" w:color="auto"/>
              <w:right w:val="single" w:sz="4" w:space="0" w:color="auto"/>
            </w:tcBorders>
            <w:hideMark/>
          </w:tcPr>
          <w:p w14:paraId="2100BA4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67,9 w</w:t>
            </w:r>
          </w:p>
        </w:tc>
        <w:tc>
          <w:tcPr>
            <w:tcW w:w="840" w:type="dxa"/>
            <w:tcBorders>
              <w:top w:val="single" w:sz="4" w:space="0" w:color="auto"/>
              <w:left w:val="nil"/>
              <w:bottom w:val="single" w:sz="4" w:space="0" w:color="auto"/>
              <w:right w:val="single" w:sz="4" w:space="0" w:color="auto"/>
            </w:tcBorders>
            <w:hideMark/>
          </w:tcPr>
          <w:p w14:paraId="33F6BBC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70,1 s</w:t>
            </w:r>
          </w:p>
        </w:tc>
        <w:tc>
          <w:tcPr>
            <w:tcW w:w="840" w:type="dxa"/>
            <w:tcBorders>
              <w:top w:val="single" w:sz="4" w:space="0" w:color="auto"/>
              <w:left w:val="nil"/>
              <w:bottom w:val="single" w:sz="4" w:space="0" w:color="auto"/>
              <w:right w:val="single" w:sz="4" w:space="0" w:color="auto"/>
            </w:tcBorders>
            <w:hideMark/>
          </w:tcPr>
          <w:p w14:paraId="1B8EFC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70,1 s</w:t>
            </w:r>
          </w:p>
        </w:tc>
      </w:tr>
      <w:tr w:rsidR="00221F1C" w14:paraId="3451C773"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6E2A86DE"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Zaposleni u javnom sektoru kao udio u ukupnom broju zaposlenih, osobe u dobi od 20 do 64 (%)</w:t>
            </w:r>
          </w:p>
        </w:tc>
        <w:tc>
          <w:tcPr>
            <w:tcW w:w="600" w:type="dxa"/>
            <w:tcBorders>
              <w:top w:val="single" w:sz="4" w:space="0" w:color="auto"/>
              <w:left w:val="single" w:sz="4" w:space="0" w:color="auto"/>
              <w:bottom w:val="single" w:sz="4" w:space="0" w:color="auto"/>
              <w:right w:val="single" w:sz="4" w:space="0" w:color="auto"/>
            </w:tcBorders>
            <w:noWrap/>
            <w:hideMark/>
          </w:tcPr>
          <w:p w14:paraId="7084DA0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2) 3) 4) 1)</w:t>
            </w:r>
          </w:p>
        </w:tc>
        <w:tc>
          <w:tcPr>
            <w:tcW w:w="720" w:type="dxa"/>
            <w:tcBorders>
              <w:top w:val="single" w:sz="4" w:space="0" w:color="auto"/>
              <w:left w:val="nil"/>
              <w:bottom w:val="single" w:sz="4" w:space="0" w:color="auto"/>
              <w:right w:val="single" w:sz="4" w:space="0" w:color="auto"/>
            </w:tcBorders>
            <w:hideMark/>
          </w:tcPr>
          <w:p w14:paraId="33ADF1A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29,3 w</w:t>
            </w:r>
          </w:p>
        </w:tc>
        <w:tc>
          <w:tcPr>
            <w:tcW w:w="840" w:type="dxa"/>
            <w:tcBorders>
              <w:top w:val="single" w:sz="4" w:space="0" w:color="auto"/>
              <w:left w:val="nil"/>
              <w:bottom w:val="single" w:sz="4" w:space="0" w:color="auto"/>
              <w:right w:val="single" w:sz="4" w:space="0" w:color="auto"/>
            </w:tcBorders>
            <w:hideMark/>
          </w:tcPr>
          <w:p w14:paraId="331D424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30,5 w</w:t>
            </w:r>
          </w:p>
        </w:tc>
        <w:tc>
          <w:tcPr>
            <w:tcW w:w="840" w:type="dxa"/>
            <w:tcBorders>
              <w:top w:val="single" w:sz="4" w:space="0" w:color="auto"/>
              <w:left w:val="nil"/>
              <w:bottom w:val="single" w:sz="4" w:space="0" w:color="auto"/>
              <w:right w:val="single" w:sz="4" w:space="0" w:color="auto"/>
            </w:tcBorders>
            <w:hideMark/>
          </w:tcPr>
          <w:p w14:paraId="0485769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23,2 w</w:t>
            </w:r>
          </w:p>
        </w:tc>
        <w:tc>
          <w:tcPr>
            <w:tcW w:w="750" w:type="dxa"/>
            <w:tcBorders>
              <w:top w:val="single" w:sz="4" w:space="0" w:color="auto"/>
              <w:left w:val="nil"/>
              <w:bottom w:val="single" w:sz="4" w:space="0" w:color="auto"/>
              <w:right w:val="single" w:sz="4" w:space="0" w:color="auto"/>
            </w:tcBorders>
            <w:hideMark/>
          </w:tcPr>
          <w:p w14:paraId="0F243B6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24,4 w</w:t>
            </w:r>
          </w:p>
        </w:tc>
        <w:tc>
          <w:tcPr>
            <w:tcW w:w="839" w:type="dxa"/>
            <w:tcBorders>
              <w:top w:val="single" w:sz="4" w:space="0" w:color="auto"/>
              <w:left w:val="nil"/>
              <w:bottom w:val="single" w:sz="4" w:space="0" w:color="auto"/>
              <w:right w:val="single" w:sz="4" w:space="0" w:color="auto"/>
            </w:tcBorders>
            <w:hideMark/>
          </w:tcPr>
          <w:p w14:paraId="7C08AEF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15,3 ew</w:t>
            </w:r>
          </w:p>
        </w:tc>
        <w:tc>
          <w:tcPr>
            <w:tcW w:w="811" w:type="dxa"/>
            <w:tcBorders>
              <w:top w:val="single" w:sz="4" w:space="0" w:color="auto"/>
              <w:left w:val="nil"/>
              <w:bottom w:val="single" w:sz="4" w:space="0" w:color="auto"/>
              <w:right w:val="single" w:sz="4" w:space="0" w:color="auto"/>
            </w:tcBorders>
            <w:hideMark/>
          </w:tcPr>
          <w:p w14:paraId="742E43C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15,5 ew</w:t>
            </w:r>
          </w:p>
        </w:tc>
        <w:tc>
          <w:tcPr>
            <w:tcW w:w="839" w:type="dxa"/>
            <w:tcBorders>
              <w:top w:val="single" w:sz="4" w:space="0" w:color="auto"/>
              <w:left w:val="nil"/>
              <w:bottom w:val="single" w:sz="4" w:space="0" w:color="auto"/>
              <w:right w:val="single" w:sz="4" w:space="0" w:color="auto"/>
            </w:tcBorders>
            <w:hideMark/>
          </w:tcPr>
          <w:p w14:paraId="2DEB0C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26,6 w</w:t>
            </w:r>
          </w:p>
        </w:tc>
        <w:tc>
          <w:tcPr>
            <w:tcW w:w="750" w:type="dxa"/>
            <w:tcBorders>
              <w:top w:val="single" w:sz="4" w:space="0" w:color="auto"/>
              <w:left w:val="nil"/>
              <w:bottom w:val="single" w:sz="4" w:space="0" w:color="auto"/>
              <w:right w:val="single" w:sz="4" w:space="0" w:color="auto"/>
            </w:tcBorders>
            <w:hideMark/>
          </w:tcPr>
          <w:p w14:paraId="2D53F08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26,4 w</w:t>
            </w:r>
          </w:p>
        </w:tc>
        <w:tc>
          <w:tcPr>
            <w:tcW w:w="811" w:type="dxa"/>
            <w:tcBorders>
              <w:top w:val="single" w:sz="4" w:space="0" w:color="auto"/>
              <w:left w:val="nil"/>
              <w:bottom w:val="single" w:sz="4" w:space="0" w:color="auto"/>
              <w:right w:val="single" w:sz="4" w:space="0" w:color="auto"/>
            </w:tcBorders>
            <w:hideMark/>
          </w:tcPr>
          <w:p w14:paraId="083FEE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16,8 w</w:t>
            </w:r>
          </w:p>
        </w:tc>
        <w:tc>
          <w:tcPr>
            <w:tcW w:w="839" w:type="dxa"/>
            <w:tcBorders>
              <w:top w:val="single" w:sz="4" w:space="0" w:color="auto"/>
              <w:left w:val="nil"/>
              <w:bottom w:val="single" w:sz="4" w:space="0" w:color="auto"/>
              <w:right w:val="single" w:sz="4" w:space="0" w:color="auto"/>
            </w:tcBorders>
            <w:hideMark/>
          </w:tcPr>
          <w:p w14:paraId="17AB5F1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17,7 w</w:t>
            </w:r>
          </w:p>
        </w:tc>
        <w:tc>
          <w:tcPr>
            <w:tcW w:w="839" w:type="dxa"/>
            <w:tcBorders>
              <w:top w:val="single" w:sz="4" w:space="0" w:color="auto"/>
              <w:left w:val="nil"/>
              <w:bottom w:val="single" w:sz="4" w:space="0" w:color="auto"/>
              <w:right w:val="single" w:sz="4" w:space="0" w:color="auto"/>
            </w:tcBorders>
            <w:hideMark/>
          </w:tcPr>
          <w:p w14:paraId="246C8AE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17,2 w</w:t>
            </w:r>
          </w:p>
        </w:tc>
        <w:tc>
          <w:tcPr>
            <w:tcW w:w="722" w:type="dxa"/>
            <w:tcBorders>
              <w:top w:val="single" w:sz="4" w:space="0" w:color="auto"/>
              <w:left w:val="nil"/>
              <w:bottom w:val="single" w:sz="4" w:space="0" w:color="auto"/>
              <w:right w:val="single" w:sz="4" w:space="0" w:color="auto"/>
            </w:tcBorders>
            <w:hideMark/>
          </w:tcPr>
          <w:p w14:paraId="73191ED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19,1 bw</w:t>
            </w:r>
          </w:p>
        </w:tc>
        <w:tc>
          <w:tcPr>
            <w:tcW w:w="758" w:type="dxa"/>
            <w:tcBorders>
              <w:top w:val="single" w:sz="4" w:space="0" w:color="auto"/>
              <w:left w:val="nil"/>
              <w:bottom w:val="single" w:sz="4" w:space="0" w:color="auto"/>
              <w:right w:val="single" w:sz="4" w:space="0" w:color="auto"/>
            </w:tcBorders>
            <w:hideMark/>
          </w:tcPr>
          <w:p w14:paraId="25C24D3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27,6 w</w:t>
            </w:r>
          </w:p>
        </w:tc>
        <w:tc>
          <w:tcPr>
            <w:tcW w:w="802" w:type="dxa"/>
            <w:tcBorders>
              <w:top w:val="single" w:sz="4" w:space="0" w:color="auto"/>
              <w:left w:val="nil"/>
              <w:bottom w:val="single" w:sz="4" w:space="0" w:color="auto"/>
              <w:right w:val="single" w:sz="4" w:space="0" w:color="auto"/>
            </w:tcBorders>
            <w:hideMark/>
          </w:tcPr>
          <w:p w14:paraId="2A1A23A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28,7 w</w:t>
            </w:r>
          </w:p>
        </w:tc>
        <w:tc>
          <w:tcPr>
            <w:tcW w:w="840" w:type="dxa"/>
            <w:tcBorders>
              <w:top w:val="single" w:sz="4" w:space="0" w:color="auto"/>
              <w:left w:val="nil"/>
              <w:bottom w:val="single" w:sz="4" w:space="0" w:color="auto"/>
              <w:right w:val="single" w:sz="4" w:space="0" w:color="auto"/>
            </w:tcBorders>
            <w:hideMark/>
          </w:tcPr>
          <w:p w14:paraId="47D6BF9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single" w:sz="4" w:space="0" w:color="auto"/>
              <w:left w:val="nil"/>
              <w:bottom w:val="single" w:sz="4" w:space="0" w:color="auto"/>
              <w:right w:val="single" w:sz="4" w:space="0" w:color="auto"/>
            </w:tcBorders>
            <w:hideMark/>
          </w:tcPr>
          <w:p w14:paraId="148102B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4C643E50"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405D5D9F"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Zaposleni u privatnom sektoru kao udio u ukupnom broju zaposlenih, osobe u dobi od 20 do 64 (%)</w:t>
            </w:r>
          </w:p>
        </w:tc>
        <w:tc>
          <w:tcPr>
            <w:tcW w:w="600" w:type="dxa"/>
            <w:tcBorders>
              <w:top w:val="single" w:sz="4" w:space="0" w:color="auto"/>
              <w:left w:val="single" w:sz="4" w:space="0" w:color="auto"/>
              <w:bottom w:val="single" w:sz="4" w:space="0" w:color="auto"/>
              <w:right w:val="single" w:sz="4" w:space="0" w:color="auto"/>
            </w:tcBorders>
            <w:noWrap/>
            <w:hideMark/>
          </w:tcPr>
          <w:p w14:paraId="58DD643E"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5) 4) 1)</w:t>
            </w:r>
          </w:p>
        </w:tc>
        <w:tc>
          <w:tcPr>
            <w:tcW w:w="720" w:type="dxa"/>
            <w:tcBorders>
              <w:top w:val="single" w:sz="4" w:space="0" w:color="auto"/>
              <w:left w:val="nil"/>
              <w:bottom w:val="single" w:sz="4" w:space="0" w:color="auto"/>
              <w:right w:val="single" w:sz="4" w:space="0" w:color="auto"/>
            </w:tcBorders>
            <w:hideMark/>
          </w:tcPr>
          <w:p w14:paraId="405B834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66,5 w</w:t>
            </w:r>
          </w:p>
        </w:tc>
        <w:tc>
          <w:tcPr>
            <w:tcW w:w="840" w:type="dxa"/>
            <w:tcBorders>
              <w:top w:val="single" w:sz="4" w:space="0" w:color="auto"/>
              <w:left w:val="nil"/>
              <w:bottom w:val="single" w:sz="4" w:space="0" w:color="auto"/>
              <w:right w:val="single" w:sz="4" w:space="0" w:color="auto"/>
            </w:tcBorders>
            <w:hideMark/>
          </w:tcPr>
          <w:p w14:paraId="11C9069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65,6 w</w:t>
            </w:r>
          </w:p>
        </w:tc>
        <w:tc>
          <w:tcPr>
            <w:tcW w:w="840" w:type="dxa"/>
            <w:tcBorders>
              <w:top w:val="single" w:sz="4" w:space="0" w:color="auto"/>
              <w:left w:val="nil"/>
              <w:bottom w:val="single" w:sz="4" w:space="0" w:color="auto"/>
              <w:right w:val="single" w:sz="4" w:space="0" w:color="auto"/>
            </w:tcBorders>
            <w:hideMark/>
          </w:tcPr>
          <w:p w14:paraId="680E1A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76,8 w</w:t>
            </w:r>
          </w:p>
        </w:tc>
        <w:tc>
          <w:tcPr>
            <w:tcW w:w="750" w:type="dxa"/>
            <w:tcBorders>
              <w:top w:val="single" w:sz="4" w:space="0" w:color="auto"/>
              <w:left w:val="nil"/>
              <w:bottom w:val="single" w:sz="4" w:space="0" w:color="auto"/>
              <w:right w:val="single" w:sz="4" w:space="0" w:color="auto"/>
            </w:tcBorders>
            <w:hideMark/>
          </w:tcPr>
          <w:p w14:paraId="002BFB0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75,6 w</w:t>
            </w:r>
          </w:p>
        </w:tc>
        <w:tc>
          <w:tcPr>
            <w:tcW w:w="839" w:type="dxa"/>
            <w:tcBorders>
              <w:top w:val="single" w:sz="4" w:space="0" w:color="auto"/>
              <w:left w:val="nil"/>
              <w:bottom w:val="single" w:sz="4" w:space="0" w:color="auto"/>
              <w:right w:val="single" w:sz="4" w:space="0" w:color="auto"/>
            </w:tcBorders>
            <w:hideMark/>
          </w:tcPr>
          <w:p w14:paraId="3249D18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84,7 ew</w:t>
            </w:r>
          </w:p>
        </w:tc>
        <w:tc>
          <w:tcPr>
            <w:tcW w:w="811" w:type="dxa"/>
            <w:tcBorders>
              <w:top w:val="single" w:sz="4" w:space="0" w:color="auto"/>
              <w:left w:val="nil"/>
              <w:bottom w:val="single" w:sz="4" w:space="0" w:color="auto"/>
              <w:right w:val="single" w:sz="4" w:space="0" w:color="auto"/>
            </w:tcBorders>
            <w:hideMark/>
          </w:tcPr>
          <w:p w14:paraId="54F6D77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84,5 ew</w:t>
            </w:r>
          </w:p>
        </w:tc>
        <w:tc>
          <w:tcPr>
            <w:tcW w:w="839" w:type="dxa"/>
            <w:tcBorders>
              <w:top w:val="single" w:sz="4" w:space="0" w:color="auto"/>
              <w:left w:val="nil"/>
              <w:bottom w:val="single" w:sz="4" w:space="0" w:color="auto"/>
              <w:right w:val="single" w:sz="4" w:space="0" w:color="auto"/>
            </w:tcBorders>
            <w:hideMark/>
          </w:tcPr>
          <w:p w14:paraId="1CB3FE4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73,4 w</w:t>
            </w:r>
          </w:p>
        </w:tc>
        <w:tc>
          <w:tcPr>
            <w:tcW w:w="750" w:type="dxa"/>
            <w:tcBorders>
              <w:top w:val="single" w:sz="4" w:space="0" w:color="auto"/>
              <w:left w:val="nil"/>
              <w:bottom w:val="single" w:sz="4" w:space="0" w:color="auto"/>
              <w:right w:val="single" w:sz="4" w:space="0" w:color="auto"/>
            </w:tcBorders>
            <w:hideMark/>
          </w:tcPr>
          <w:p w14:paraId="402E45F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73,6 w</w:t>
            </w:r>
          </w:p>
        </w:tc>
        <w:tc>
          <w:tcPr>
            <w:tcW w:w="811" w:type="dxa"/>
            <w:tcBorders>
              <w:top w:val="single" w:sz="4" w:space="0" w:color="auto"/>
              <w:left w:val="nil"/>
              <w:bottom w:val="single" w:sz="4" w:space="0" w:color="auto"/>
              <w:right w:val="single" w:sz="4" w:space="0" w:color="auto"/>
            </w:tcBorders>
            <w:hideMark/>
          </w:tcPr>
          <w:p w14:paraId="4A3F686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83,2 w</w:t>
            </w:r>
          </w:p>
        </w:tc>
        <w:tc>
          <w:tcPr>
            <w:tcW w:w="839" w:type="dxa"/>
            <w:tcBorders>
              <w:top w:val="single" w:sz="4" w:space="0" w:color="auto"/>
              <w:left w:val="nil"/>
              <w:bottom w:val="single" w:sz="4" w:space="0" w:color="auto"/>
              <w:right w:val="single" w:sz="4" w:space="0" w:color="auto"/>
            </w:tcBorders>
            <w:hideMark/>
          </w:tcPr>
          <w:p w14:paraId="7D95166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82,3 w</w:t>
            </w:r>
          </w:p>
        </w:tc>
        <w:tc>
          <w:tcPr>
            <w:tcW w:w="839" w:type="dxa"/>
            <w:tcBorders>
              <w:top w:val="single" w:sz="4" w:space="0" w:color="auto"/>
              <w:left w:val="nil"/>
              <w:bottom w:val="single" w:sz="4" w:space="0" w:color="auto"/>
              <w:right w:val="single" w:sz="4" w:space="0" w:color="auto"/>
            </w:tcBorders>
            <w:hideMark/>
          </w:tcPr>
          <w:p w14:paraId="5B8A39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82,8 w</w:t>
            </w:r>
          </w:p>
        </w:tc>
        <w:tc>
          <w:tcPr>
            <w:tcW w:w="722" w:type="dxa"/>
            <w:tcBorders>
              <w:top w:val="single" w:sz="4" w:space="0" w:color="auto"/>
              <w:left w:val="nil"/>
              <w:bottom w:val="single" w:sz="4" w:space="0" w:color="auto"/>
              <w:right w:val="single" w:sz="4" w:space="0" w:color="auto"/>
            </w:tcBorders>
            <w:hideMark/>
          </w:tcPr>
          <w:p w14:paraId="60D55E3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80,9 bw</w:t>
            </w:r>
          </w:p>
        </w:tc>
        <w:tc>
          <w:tcPr>
            <w:tcW w:w="758" w:type="dxa"/>
            <w:tcBorders>
              <w:top w:val="single" w:sz="4" w:space="0" w:color="auto"/>
              <w:left w:val="nil"/>
              <w:bottom w:val="single" w:sz="4" w:space="0" w:color="auto"/>
              <w:right w:val="single" w:sz="4" w:space="0" w:color="auto"/>
            </w:tcBorders>
            <w:hideMark/>
          </w:tcPr>
          <w:p w14:paraId="748C9FB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72,4 w</w:t>
            </w:r>
          </w:p>
        </w:tc>
        <w:tc>
          <w:tcPr>
            <w:tcW w:w="802" w:type="dxa"/>
            <w:tcBorders>
              <w:top w:val="single" w:sz="4" w:space="0" w:color="auto"/>
              <w:left w:val="nil"/>
              <w:bottom w:val="single" w:sz="4" w:space="0" w:color="auto"/>
              <w:right w:val="single" w:sz="4" w:space="0" w:color="auto"/>
            </w:tcBorders>
            <w:hideMark/>
          </w:tcPr>
          <w:p w14:paraId="51D969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71,3 w</w:t>
            </w:r>
          </w:p>
        </w:tc>
        <w:tc>
          <w:tcPr>
            <w:tcW w:w="840" w:type="dxa"/>
            <w:tcBorders>
              <w:top w:val="single" w:sz="4" w:space="0" w:color="auto"/>
              <w:left w:val="nil"/>
              <w:bottom w:val="single" w:sz="4" w:space="0" w:color="auto"/>
              <w:right w:val="single" w:sz="4" w:space="0" w:color="auto"/>
            </w:tcBorders>
            <w:hideMark/>
          </w:tcPr>
          <w:p w14:paraId="1CC1BF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single" w:sz="4" w:space="0" w:color="auto"/>
              <w:left w:val="nil"/>
              <w:bottom w:val="single" w:sz="4" w:space="0" w:color="auto"/>
              <w:right w:val="single" w:sz="4" w:space="0" w:color="auto"/>
            </w:tcBorders>
            <w:hideMark/>
          </w:tcPr>
          <w:p w14:paraId="4FECD99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57B94399"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3CB74F57"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Stope nezaposlenosti (% radne snage)</w:t>
            </w:r>
          </w:p>
        </w:tc>
        <w:tc>
          <w:tcPr>
            <w:tcW w:w="600" w:type="dxa"/>
            <w:tcBorders>
              <w:top w:val="single" w:sz="4" w:space="0" w:color="auto"/>
              <w:left w:val="single" w:sz="4" w:space="0" w:color="auto"/>
              <w:bottom w:val="single" w:sz="4" w:space="0" w:color="auto"/>
              <w:right w:val="single" w:sz="4" w:space="0" w:color="auto"/>
            </w:tcBorders>
            <w:noWrap/>
            <w:hideMark/>
          </w:tcPr>
          <w:p w14:paraId="5F6B92FF" w14:textId="77777777" w:rsidR="00221F1C" w:rsidRDefault="00221F1C">
            <w:pPr>
              <w:rPr>
                <w:rFonts w:ascii="Arial" w:eastAsia="Times New Roman" w:hAnsi="Arial" w:cs="Arial"/>
                <w:b/>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hideMark/>
          </w:tcPr>
          <w:p w14:paraId="3CF32B09"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57C6CF69"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010FD281" w14:textId="77777777" w:rsidR="00221F1C" w:rsidRDefault="00221F1C">
            <w:pPr>
              <w:spacing w:after="0"/>
              <w:rPr>
                <w:noProof/>
                <w:sz w:val="20"/>
                <w:szCs w:val="20"/>
                <w:lang w:val="en-IE" w:eastAsia="en-IE"/>
              </w:rPr>
            </w:pPr>
          </w:p>
        </w:tc>
        <w:tc>
          <w:tcPr>
            <w:tcW w:w="750" w:type="dxa"/>
            <w:tcBorders>
              <w:top w:val="single" w:sz="4" w:space="0" w:color="auto"/>
              <w:left w:val="nil"/>
              <w:bottom w:val="single" w:sz="4" w:space="0" w:color="auto"/>
              <w:right w:val="single" w:sz="4" w:space="0" w:color="auto"/>
            </w:tcBorders>
            <w:hideMark/>
          </w:tcPr>
          <w:p w14:paraId="570B4CCB"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678DEED9" w14:textId="77777777" w:rsidR="00221F1C" w:rsidRDefault="00221F1C">
            <w:pPr>
              <w:spacing w:after="0"/>
              <w:rPr>
                <w:noProof/>
                <w:sz w:val="20"/>
                <w:szCs w:val="20"/>
                <w:lang w:val="en-IE" w:eastAsia="en-IE"/>
              </w:rPr>
            </w:pPr>
          </w:p>
        </w:tc>
        <w:tc>
          <w:tcPr>
            <w:tcW w:w="811" w:type="dxa"/>
            <w:tcBorders>
              <w:top w:val="single" w:sz="4" w:space="0" w:color="auto"/>
              <w:left w:val="nil"/>
              <w:bottom w:val="single" w:sz="4" w:space="0" w:color="auto"/>
              <w:right w:val="single" w:sz="4" w:space="0" w:color="auto"/>
            </w:tcBorders>
            <w:hideMark/>
          </w:tcPr>
          <w:p w14:paraId="4B10DDBD"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61176C82" w14:textId="77777777" w:rsidR="00221F1C" w:rsidRDefault="00221F1C">
            <w:pPr>
              <w:spacing w:after="0"/>
              <w:rPr>
                <w:noProof/>
                <w:sz w:val="20"/>
                <w:szCs w:val="20"/>
                <w:lang w:val="en-IE" w:eastAsia="en-IE"/>
              </w:rPr>
            </w:pPr>
          </w:p>
        </w:tc>
        <w:tc>
          <w:tcPr>
            <w:tcW w:w="750" w:type="dxa"/>
            <w:tcBorders>
              <w:top w:val="single" w:sz="4" w:space="0" w:color="auto"/>
              <w:left w:val="nil"/>
              <w:bottom w:val="single" w:sz="4" w:space="0" w:color="auto"/>
              <w:right w:val="single" w:sz="4" w:space="0" w:color="auto"/>
            </w:tcBorders>
            <w:hideMark/>
          </w:tcPr>
          <w:p w14:paraId="5AAA90B1" w14:textId="77777777" w:rsidR="00221F1C" w:rsidRDefault="00221F1C">
            <w:pPr>
              <w:spacing w:after="0"/>
              <w:rPr>
                <w:noProof/>
                <w:sz w:val="20"/>
                <w:szCs w:val="20"/>
                <w:lang w:val="en-IE" w:eastAsia="en-IE"/>
              </w:rPr>
            </w:pPr>
          </w:p>
        </w:tc>
        <w:tc>
          <w:tcPr>
            <w:tcW w:w="811" w:type="dxa"/>
            <w:tcBorders>
              <w:top w:val="single" w:sz="4" w:space="0" w:color="auto"/>
              <w:left w:val="nil"/>
              <w:bottom w:val="single" w:sz="4" w:space="0" w:color="auto"/>
              <w:right w:val="single" w:sz="4" w:space="0" w:color="auto"/>
            </w:tcBorders>
            <w:hideMark/>
          </w:tcPr>
          <w:p w14:paraId="5C7DAB7E"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5C28EEC4" w14:textId="77777777" w:rsidR="00221F1C" w:rsidRDefault="00221F1C">
            <w:pPr>
              <w:spacing w:after="0"/>
              <w:rPr>
                <w:noProof/>
                <w:sz w:val="20"/>
                <w:szCs w:val="20"/>
                <w:lang w:val="en-IE" w:eastAsia="en-IE"/>
              </w:rPr>
            </w:pPr>
          </w:p>
        </w:tc>
        <w:tc>
          <w:tcPr>
            <w:tcW w:w="839" w:type="dxa"/>
            <w:tcBorders>
              <w:top w:val="single" w:sz="4" w:space="0" w:color="auto"/>
              <w:left w:val="nil"/>
              <w:bottom w:val="single" w:sz="4" w:space="0" w:color="auto"/>
              <w:right w:val="single" w:sz="4" w:space="0" w:color="auto"/>
            </w:tcBorders>
            <w:hideMark/>
          </w:tcPr>
          <w:p w14:paraId="295CC7EC" w14:textId="77777777" w:rsidR="00221F1C" w:rsidRDefault="00221F1C">
            <w:pPr>
              <w:spacing w:after="0"/>
              <w:rPr>
                <w:noProof/>
                <w:sz w:val="20"/>
                <w:szCs w:val="20"/>
                <w:lang w:val="en-IE" w:eastAsia="en-IE"/>
              </w:rPr>
            </w:pPr>
          </w:p>
        </w:tc>
        <w:tc>
          <w:tcPr>
            <w:tcW w:w="722" w:type="dxa"/>
            <w:tcBorders>
              <w:top w:val="single" w:sz="4" w:space="0" w:color="auto"/>
              <w:left w:val="nil"/>
              <w:bottom w:val="single" w:sz="4" w:space="0" w:color="auto"/>
              <w:right w:val="single" w:sz="4" w:space="0" w:color="auto"/>
            </w:tcBorders>
            <w:hideMark/>
          </w:tcPr>
          <w:p w14:paraId="676E5FBB" w14:textId="77777777" w:rsidR="00221F1C" w:rsidRDefault="00221F1C">
            <w:pPr>
              <w:spacing w:after="0"/>
              <w:rPr>
                <w:noProof/>
                <w:sz w:val="20"/>
                <w:szCs w:val="20"/>
                <w:lang w:val="en-IE" w:eastAsia="en-IE"/>
              </w:rPr>
            </w:pPr>
          </w:p>
        </w:tc>
        <w:tc>
          <w:tcPr>
            <w:tcW w:w="758" w:type="dxa"/>
            <w:tcBorders>
              <w:top w:val="single" w:sz="4" w:space="0" w:color="auto"/>
              <w:left w:val="nil"/>
              <w:bottom w:val="single" w:sz="4" w:space="0" w:color="auto"/>
              <w:right w:val="single" w:sz="4" w:space="0" w:color="auto"/>
            </w:tcBorders>
            <w:hideMark/>
          </w:tcPr>
          <w:p w14:paraId="105B6F37" w14:textId="77777777" w:rsidR="00221F1C" w:rsidRDefault="00221F1C">
            <w:pPr>
              <w:spacing w:after="0"/>
              <w:rPr>
                <w:noProof/>
                <w:sz w:val="20"/>
                <w:szCs w:val="20"/>
                <w:lang w:val="en-IE" w:eastAsia="en-IE"/>
              </w:rPr>
            </w:pPr>
          </w:p>
        </w:tc>
        <w:tc>
          <w:tcPr>
            <w:tcW w:w="802" w:type="dxa"/>
            <w:tcBorders>
              <w:top w:val="single" w:sz="4" w:space="0" w:color="auto"/>
              <w:left w:val="nil"/>
              <w:bottom w:val="single" w:sz="4" w:space="0" w:color="auto"/>
              <w:right w:val="single" w:sz="4" w:space="0" w:color="auto"/>
            </w:tcBorders>
            <w:hideMark/>
          </w:tcPr>
          <w:p w14:paraId="1EC64223"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36E3F230" w14:textId="77777777" w:rsidR="00221F1C" w:rsidRDefault="00221F1C">
            <w:pPr>
              <w:spacing w:after="0"/>
              <w:rPr>
                <w:noProof/>
                <w:sz w:val="20"/>
                <w:szCs w:val="20"/>
                <w:lang w:val="en-IE" w:eastAsia="en-IE"/>
              </w:rPr>
            </w:pPr>
          </w:p>
        </w:tc>
        <w:tc>
          <w:tcPr>
            <w:tcW w:w="840" w:type="dxa"/>
            <w:tcBorders>
              <w:top w:val="single" w:sz="4" w:space="0" w:color="auto"/>
              <w:left w:val="nil"/>
              <w:bottom w:val="single" w:sz="4" w:space="0" w:color="auto"/>
              <w:right w:val="single" w:sz="4" w:space="0" w:color="auto"/>
            </w:tcBorders>
            <w:hideMark/>
          </w:tcPr>
          <w:p w14:paraId="61CEDB20" w14:textId="77777777" w:rsidR="00221F1C" w:rsidRDefault="00221F1C">
            <w:pPr>
              <w:spacing w:after="0"/>
              <w:rPr>
                <w:noProof/>
                <w:sz w:val="20"/>
                <w:szCs w:val="20"/>
                <w:lang w:val="en-IE" w:eastAsia="en-IE"/>
              </w:rPr>
            </w:pPr>
          </w:p>
        </w:tc>
      </w:tr>
      <w:tr w:rsidR="00221F1C" w14:paraId="7F27F88D"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796330C6"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Ukupno</w:t>
            </w:r>
          </w:p>
        </w:tc>
        <w:tc>
          <w:tcPr>
            <w:tcW w:w="600" w:type="dxa"/>
            <w:tcBorders>
              <w:top w:val="single" w:sz="4" w:space="0" w:color="auto"/>
              <w:left w:val="single" w:sz="4" w:space="0" w:color="auto"/>
              <w:bottom w:val="single" w:sz="4" w:space="0" w:color="auto"/>
              <w:right w:val="single" w:sz="4" w:space="0" w:color="auto"/>
            </w:tcBorders>
            <w:noWrap/>
            <w:hideMark/>
          </w:tcPr>
          <w:p w14:paraId="6D53273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2A1482F6"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15,2</w:t>
            </w:r>
          </w:p>
        </w:tc>
        <w:tc>
          <w:tcPr>
            <w:tcW w:w="840" w:type="dxa"/>
            <w:tcBorders>
              <w:top w:val="single" w:sz="4" w:space="0" w:color="auto"/>
              <w:left w:val="nil"/>
              <w:bottom w:val="single" w:sz="4" w:space="0" w:color="auto"/>
              <w:right w:val="single" w:sz="4" w:space="0" w:color="auto"/>
            </w:tcBorders>
            <w:hideMark/>
          </w:tcPr>
          <w:p w14:paraId="6FF0D55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17,9</w:t>
            </w:r>
          </w:p>
        </w:tc>
        <w:tc>
          <w:tcPr>
            <w:tcW w:w="840" w:type="dxa"/>
            <w:tcBorders>
              <w:top w:val="single" w:sz="4" w:space="0" w:color="auto"/>
              <w:left w:val="nil"/>
              <w:bottom w:val="single" w:sz="4" w:space="0" w:color="auto"/>
              <w:right w:val="single" w:sz="4" w:space="0" w:color="auto"/>
            </w:tcBorders>
            <w:hideMark/>
          </w:tcPr>
          <w:p w14:paraId="0535000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17,3</w:t>
            </w:r>
          </w:p>
        </w:tc>
        <w:tc>
          <w:tcPr>
            <w:tcW w:w="750" w:type="dxa"/>
            <w:tcBorders>
              <w:top w:val="single" w:sz="4" w:space="0" w:color="auto"/>
              <w:left w:val="nil"/>
              <w:bottom w:val="single" w:sz="4" w:space="0" w:color="auto"/>
              <w:right w:val="single" w:sz="4" w:space="0" w:color="auto"/>
            </w:tcBorders>
            <w:hideMark/>
          </w:tcPr>
          <w:p w14:paraId="5D4F314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16,4</w:t>
            </w:r>
          </w:p>
        </w:tc>
        <w:tc>
          <w:tcPr>
            <w:tcW w:w="839" w:type="dxa"/>
            <w:tcBorders>
              <w:top w:val="single" w:sz="4" w:space="0" w:color="auto"/>
              <w:left w:val="nil"/>
              <w:bottom w:val="single" w:sz="4" w:space="0" w:color="auto"/>
              <w:right w:val="single" w:sz="4" w:space="0" w:color="auto"/>
            </w:tcBorders>
            <w:hideMark/>
          </w:tcPr>
          <w:p w14:paraId="42238DF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11,5 ew</w:t>
            </w:r>
          </w:p>
        </w:tc>
        <w:tc>
          <w:tcPr>
            <w:tcW w:w="811" w:type="dxa"/>
            <w:tcBorders>
              <w:top w:val="single" w:sz="4" w:space="0" w:color="auto"/>
              <w:left w:val="nil"/>
              <w:bottom w:val="single" w:sz="4" w:space="0" w:color="auto"/>
              <w:right w:val="single" w:sz="4" w:space="0" w:color="auto"/>
            </w:tcBorders>
            <w:hideMark/>
          </w:tcPr>
          <w:p w14:paraId="69096C7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11,8 ew</w:t>
            </w:r>
          </w:p>
        </w:tc>
        <w:tc>
          <w:tcPr>
            <w:tcW w:w="839" w:type="dxa"/>
            <w:tcBorders>
              <w:top w:val="single" w:sz="4" w:space="0" w:color="auto"/>
              <w:left w:val="nil"/>
              <w:bottom w:val="single" w:sz="4" w:space="0" w:color="auto"/>
              <w:right w:val="single" w:sz="4" w:space="0" w:color="auto"/>
            </w:tcBorders>
            <w:hideMark/>
          </w:tcPr>
          <w:p w14:paraId="2993964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10,5</w:t>
            </w:r>
          </w:p>
        </w:tc>
        <w:tc>
          <w:tcPr>
            <w:tcW w:w="750" w:type="dxa"/>
            <w:tcBorders>
              <w:top w:val="single" w:sz="4" w:space="0" w:color="auto"/>
              <w:left w:val="nil"/>
              <w:bottom w:val="single" w:sz="4" w:space="0" w:color="auto"/>
              <w:right w:val="single" w:sz="4" w:space="0" w:color="auto"/>
            </w:tcBorders>
            <w:hideMark/>
          </w:tcPr>
          <w:p w14:paraId="1DF91B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9,1</w:t>
            </w:r>
          </w:p>
        </w:tc>
        <w:tc>
          <w:tcPr>
            <w:tcW w:w="811" w:type="dxa"/>
            <w:tcBorders>
              <w:top w:val="single" w:sz="4" w:space="0" w:color="auto"/>
              <w:left w:val="nil"/>
              <w:bottom w:val="single" w:sz="4" w:space="0" w:color="auto"/>
              <w:right w:val="single" w:sz="4" w:space="0" w:color="auto"/>
            </w:tcBorders>
            <w:hideMark/>
          </w:tcPr>
          <w:p w14:paraId="78A8902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13,7</w:t>
            </w:r>
          </w:p>
        </w:tc>
        <w:tc>
          <w:tcPr>
            <w:tcW w:w="839" w:type="dxa"/>
            <w:tcBorders>
              <w:top w:val="single" w:sz="4" w:space="0" w:color="auto"/>
              <w:left w:val="nil"/>
              <w:bottom w:val="single" w:sz="4" w:space="0" w:color="auto"/>
              <w:right w:val="single" w:sz="4" w:space="0" w:color="auto"/>
            </w:tcBorders>
            <w:hideMark/>
          </w:tcPr>
          <w:p w14:paraId="75AFC24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13,2</w:t>
            </w:r>
          </w:p>
        </w:tc>
        <w:tc>
          <w:tcPr>
            <w:tcW w:w="839" w:type="dxa"/>
            <w:tcBorders>
              <w:top w:val="single" w:sz="4" w:space="0" w:color="auto"/>
              <w:left w:val="nil"/>
              <w:bottom w:val="single" w:sz="4" w:space="0" w:color="auto"/>
              <w:right w:val="single" w:sz="4" w:space="0" w:color="auto"/>
            </w:tcBorders>
            <w:hideMark/>
          </w:tcPr>
          <w:p w14:paraId="72BCCC9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15,9 w</w:t>
            </w:r>
          </w:p>
        </w:tc>
        <w:tc>
          <w:tcPr>
            <w:tcW w:w="722" w:type="dxa"/>
            <w:tcBorders>
              <w:top w:val="single" w:sz="4" w:space="0" w:color="auto"/>
              <w:left w:val="nil"/>
              <w:bottom w:val="single" w:sz="4" w:space="0" w:color="auto"/>
              <w:right w:val="single" w:sz="4" w:space="0" w:color="auto"/>
            </w:tcBorders>
            <w:hideMark/>
          </w:tcPr>
          <w:p w14:paraId="5002DDD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15,9 bw</w:t>
            </w:r>
          </w:p>
        </w:tc>
        <w:tc>
          <w:tcPr>
            <w:tcW w:w="758" w:type="dxa"/>
            <w:tcBorders>
              <w:top w:val="single" w:sz="4" w:space="0" w:color="auto"/>
              <w:left w:val="nil"/>
              <w:bottom w:val="single" w:sz="4" w:space="0" w:color="auto"/>
              <w:right w:val="single" w:sz="4" w:space="0" w:color="auto"/>
            </w:tcBorders>
            <w:hideMark/>
          </w:tcPr>
          <w:p w14:paraId="190507C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25,5 w</w:t>
            </w:r>
          </w:p>
        </w:tc>
        <w:tc>
          <w:tcPr>
            <w:tcW w:w="802" w:type="dxa"/>
            <w:tcBorders>
              <w:top w:val="single" w:sz="4" w:space="0" w:color="auto"/>
              <w:left w:val="nil"/>
              <w:bottom w:val="single" w:sz="4" w:space="0" w:color="auto"/>
              <w:right w:val="single" w:sz="4" w:space="0" w:color="auto"/>
            </w:tcBorders>
            <w:hideMark/>
          </w:tcPr>
          <w:p w14:paraId="7108172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25,8 w</w:t>
            </w:r>
          </w:p>
        </w:tc>
        <w:tc>
          <w:tcPr>
            <w:tcW w:w="840" w:type="dxa"/>
            <w:tcBorders>
              <w:top w:val="single" w:sz="4" w:space="0" w:color="auto"/>
              <w:left w:val="nil"/>
              <w:bottom w:val="single" w:sz="4" w:space="0" w:color="auto"/>
              <w:right w:val="single" w:sz="4" w:space="0" w:color="auto"/>
            </w:tcBorders>
            <w:hideMark/>
          </w:tcPr>
          <w:p w14:paraId="5E6C7C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w:t>
            </w:r>
          </w:p>
        </w:tc>
        <w:tc>
          <w:tcPr>
            <w:tcW w:w="840" w:type="dxa"/>
            <w:tcBorders>
              <w:top w:val="single" w:sz="4" w:space="0" w:color="auto"/>
              <w:left w:val="nil"/>
              <w:bottom w:val="single" w:sz="4" w:space="0" w:color="auto"/>
              <w:right w:val="single" w:sz="4" w:space="0" w:color="auto"/>
            </w:tcBorders>
            <w:hideMark/>
          </w:tcPr>
          <w:p w14:paraId="02E7515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w:t>
            </w:r>
          </w:p>
        </w:tc>
      </w:tr>
      <w:tr w:rsidR="00221F1C" w14:paraId="10D39FE1"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3B772ECA"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Muškarci</w:t>
            </w:r>
          </w:p>
        </w:tc>
        <w:tc>
          <w:tcPr>
            <w:tcW w:w="600" w:type="dxa"/>
            <w:tcBorders>
              <w:top w:val="single" w:sz="4" w:space="0" w:color="auto"/>
              <w:left w:val="single" w:sz="4" w:space="0" w:color="auto"/>
              <w:bottom w:val="single" w:sz="4" w:space="0" w:color="auto"/>
              <w:right w:val="single" w:sz="4" w:space="0" w:color="auto"/>
            </w:tcBorders>
            <w:noWrap/>
            <w:hideMark/>
          </w:tcPr>
          <w:p w14:paraId="664AC5A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5D8CD84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14,7</w:t>
            </w:r>
          </w:p>
        </w:tc>
        <w:tc>
          <w:tcPr>
            <w:tcW w:w="840" w:type="dxa"/>
            <w:tcBorders>
              <w:top w:val="single" w:sz="4" w:space="0" w:color="auto"/>
              <w:left w:val="nil"/>
              <w:bottom w:val="single" w:sz="4" w:space="0" w:color="auto"/>
              <w:right w:val="single" w:sz="4" w:space="0" w:color="auto"/>
            </w:tcBorders>
            <w:hideMark/>
          </w:tcPr>
          <w:p w14:paraId="7F52025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17,5</w:t>
            </w:r>
          </w:p>
        </w:tc>
        <w:tc>
          <w:tcPr>
            <w:tcW w:w="840" w:type="dxa"/>
            <w:tcBorders>
              <w:top w:val="single" w:sz="4" w:space="0" w:color="auto"/>
              <w:left w:val="nil"/>
              <w:bottom w:val="single" w:sz="4" w:space="0" w:color="auto"/>
              <w:right w:val="single" w:sz="4" w:space="0" w:color="auto"/>
            </w:tcBorders>
            <w:hideMark/>
          </w:tcPr>
          <w:p w14:paraId="0831C38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16,5</w:t>
            </w:r>
          </w:p>
        </w:tc>
        <w:tc>
          <w:tcPr>
            <w:tcW w:w="750" w:type="dxa"/>
            <w:tcBorders>
              <w:top w:val="single" w:sz="4" w:space="0" w:color="auto"/>
              <w:left w:val="nil"/>
              <w:bottom w:val="single" w:sz="4" w:space="0" w:color="auto"/>
              <w:right w:val="single" w:sz="4" w:space="0" w:color="auto"/>
            </w:tcBorders>
            <w:hideMark/>
          </w:tcPr>
          <w:p w14:paraId="7827547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16,7</w:t>
            </w:r>
          </w:p>
        </w:tc>
        <w:tc>
          <w:tcPr>
            <w:tcW w:w="839" w:type="dxa"/>
            <w:tcBorders>
              <w:top w:val="single" w:sz="4" w:space="0" w:color="auto"/>
              <w:left w:val="nil"/>
              <w:bottom w:val="single" w:sz="4" w:space="0" w:color="auto"/>
              <w:right w:val="single" w:sz="4" w:space="0" w:color="auto"/>
            </w:tcBorders>
            <w:hideMark/>
          </w:tcPr>
          <w:p w14:paraId="17E0DA3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11,6 ew</w:t>
            </w:r>
          </w:p>
        </w:tc>
        <w:tc>
          <w:tcPr>
            <w:tcW w:w="811" w:type="dxa"/>
            <w:tcBorders>
              <w:top w:val="single" w:sz="4" w:space="0" w:color="auto"/>
              <w:left w:val="nil"/>
              <w:bottom w:val="single" w:sz="4" w:space="0" w:color="auto"/>
              <w:right w:val="single" w:sz="4" w:space="0" w:color="auto"/>
            </w:tcBorders>
            <w:hideMark/>
          </w:tcPr>
          <w:p w14:paraId="28210AD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11,6 ew</w:t>
            </w:r>
          </w:p>
        </w:tc>
        <w:tc>
          <w:tcPr>
            <w:tcW w:w="839" w:type="dxa"/>
            <w:tcBorders>
              <w:top w:val="single" w:sz="4" w:space="0" w:color="auto"/>
              <w:left w:val="nil"/>
              <w:bottom w:val="single" w:sz="4" w:space="0" w:color="auto"/>
              <w:right w:val="single" w:sz="4" w:space="0" w:color="auto"/>
            </w:tcBorders>
            <w:hideMark/>
          </w:tcPr>
          <w:p w14:paraId="16A981D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10,0</w:t>
            </w:r>
          </w:p>
        </w:tc>
        <w:tc>
          <w:tcPr>
            <w:tcW w:w="750" w:type="dxa"/>
            <w:tcBorders>
              <w:top w:val="single" w:sz="4" w:space="0" w:color="auto"/>
              <w:left w:val="nil"/>
              <w:bottom w:val="single" w:sz="4" w:space="0" w:color="auto"/>
              <w:right w:val="single" w:sz="4" w:space="0" w:color="auto"/>
            </w:tcBorders>
            <w:hideMark/>
          </w:tcPr>
          <w:p w14:paraId="7FE6131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8,8</w:t>
            </w:r>
          </w:p>
        </w:tc>
        <w:tc>
          <w:tcPr>
            <w:tcW w:w="811" w:type="dxa"/>
            <w:tcBorders>
              <w:top w:val="single" w:sz="4" w:space="0" w:color="auto"/>
              <w:left w:val="nil"/>
              <w:bottom w:val="single" w:sz="4" w:space="0" w:color="auto"/>
              <w:right w:val="single" w:sz="4" w:space="0" w:color="auto"/>
            </w:tcBorders>
            <w:hideMark/>
          </w:tcPr>
          <w:p w14:paraId="3877C70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12,4</w:t>
            </w:r>
          </w:p>
        </w:tc>
        <w:tc>
          <w:tcPr>
            <w:tcW w:w="839" w:type="dxa"/>
            <w:tcBorders>
              <w:top w:val="single" w:sz="4" w:space="0" w:color="auto"/>
              <w:left w:val="nil"/>
              <w:bottom w:val="single" w:sz="4" w:space="0" w:color="auto"/>
              <w:right w:val="single" w:sz="4" w:space="0" w:color="auto"/>
            </w:tcBorders>
            <w:hideMark/>
          </w:tcPr>
          <w:p w14:paraId="661B37A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12,4</w:t>
            </w:r>
          </w:p>
        </w:tc>
        <w:tc>
          <w:tcPr>
            <w:tcW w:w="839" w:type="dxa"/>
            <w:tcBorders>
              <w:top w:val="single" w:sz="4" w:space="0" w:color="auto"/>
              <w:left w:val="nil"/>
              <w:bottom w:val="single" w:sz="4" w:space="0" w:color="auto"/>
              <w:right w:val="single" w:sz="4" w:space="0" w:color="auto"/>
            </w:tcBorders>
            <w:hideMark/>
          </w:tcPr>
          <w:p w14:paraId="3D33C36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13,8 w</w:t>
            </w:r>
          </w:p>
        </w:tc>
        <w:tc>
          <w:tcPr>
            <w:tcW w:w="722" w:type="dxa"/>
            <w:tcBorders>
              <w:top w:val="single" w:sz="4" w:space="0" w:color="auto"/>
              <w:left w:val="nil"/>
              <w:bottom w:val="single" w:sz="4" w:space="0" w:color="auto"/>
              <w:right w:val="single" w:sz="4" w:space="0" w:color="auto"/>
            </w:tcBorders>
            <w:hideMark/>
          </w:tcPr>
          <w:p w14:paraId="05DC6BA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14,2 bw</w:t>
            </w:r>
          </w:p>
        </w:tc>
        <w:tc>
          <w:tcPr>
            <w:tcW w:w="758" w:type="dxa"/>
            <w:tcBorders>
              <w:top w:val="single" w:sz="4" w:space="0" w:color="auto"/>
              <w:left w:val="nil"/>
              <w:bottom w:val="single" w:sz="4" w:space="0" w:color="auto"/>
              <w:right w:val="single" w:sz="4" w:space="0" w:color="auto"/>
            </w:tcBorders>
            <w:hideMark/>
          </w:tcPr>
          <w:p w14:paraId="741A138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22,4 w</w:t>
            </w:r>
          </w:p>
        </w:tc>
        <w:tc>
          <w:tcPr>
            <w:tcW w:w="802" w:type="dxa"/>
            <w:tcBorders>
              <w:top w:val="single" w:sz="4" w:space="0" w:color="auto"/>
              <w:left w:val="nil"/>
              <w:bottom w:val="single" w:sz="4" w:space="0" w:color="auto"/>
              <w:right w:val="single" w:sz="4" w:space="0" w:color="auto"/>
            </w:tcBorders>
            <w:hideMark/>
          </w:tcPr>
          <w:p w14:paraId="276CB8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23,4 w</w:t>
            </w:r>
          </w:p>
        </w:tc>
        <w:tc>
          <w:tcPr>
            <w:tcW w:w="840" w:type="dxa"/>
            <w:tcBorders>
              <w:top w:val="single" w:sz="4" w:space="0" w:color="auto"/>
              <w:left w:val="nil"/>
              <w:bottom w:val="single" w:sz="4" w:space="0" w:color="auto"/>
              <w:right w:val="single" w:sz="4" w:space="0" w:color="auto"/>
            </w:tcBorders>
            <w:hideMark/>
          </w:tcPr>
          <w:p w14:paraId="10F698F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w:t>
            </w:r>
          </w:p>
        </w:tc>
        <w:tc>
          <w:tcPr>
            <w:tcW w:w="840" w:type="dxa"/>
            <w:tcBorders>
              <w:top w:val="single" w:sz="4" w:space="0" w:color="auto"/>
              <w:left w:val="nil"/>
              <w:bottom w:val="single" w:sz="4" w:space="0" w:color="auto"/>
              <w:right w:val="single" w:sz="4" w:space="0" w:color="auto"/>
            </w:tcBorders>
            <w:hideMark/>
          </w:tcPr>
          <w:p w14:paraId="5F5667A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6,8</w:t>
            </w:r>
          </w:p>
        </w:tc>
      </w:tr>
      <w:tr w:rsidR="00221F1C" w14:paraId="44BA0298"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21A93A48"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Žene</w:t>
            </w:r>
          </w:p>
        </w:tc>
        <w:tc>
          <w:tcPr>
            <w:tcW w:w="600" w:type="dxa"/>
            <w:tcBorders>
              <w:top w:val="single" w:sz="4" w:space="0" w:color="auto"/>
              <w:left w:val="single" w:sz="4" w:space="0" w:color="auto"/>
              <w:bottom w:val="single" w:sz="4" w:space="0" w:color="auto"/>
              <w:right w:val="single" w:sz="4" w:space="0" w:color="auto"/>
            </w:tcBorders>
            <w:noWrap/>
            <w:hideMark/>
          </w:tcPr>
          <w:p w14:paraId="742D90D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131A097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15,7</w:t>
            </w:r>
          </w:p>
        </w:tc>
        <w:tc>
          <w:tcPr>
            <w:tcW w:w="840" w:type="dxa"/>
            <w:tcBorders>
              <w:top w:val="single" w:sz="4" w:space="0" w:color="auto"/>
              <w:left w:val="nil"/>
              <w:bottom w:val="single" w:sz="4" w:space="0" w:color="auto"/>
              <w:right w:val="single" w:sz="4" w:space="0" w:color="auto"/>
            </w:tcBorders>
            <w:hideMark/>
          </w:tcPr>
          <w:p w14:paraId="68E98B7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18,4</w:t>
            </w:r>
          </w:p>
        </w:tc>
        <w:tc>
          <w:tcPr>
            <w:tcW w:w="840" w:type="dxa"/>
            <w:tcBorders>
              <w:top w:val="single" w:sz="4" w:space="0" w:color="auto"/>
              <w:left w:val="nil"/>
              <w:bottom w:val="single" w:sz="4" w:space="0" w:color="auto"/>
              <w:right w:val="single" w:sz="4" w:space="0" w:color="auto"/>
            </w:tcBorders>
            <w:hideMark/>
          </w:tcPr>
          <w:p w14:paraId="62985CB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18,4</w:t>
            </w:r>
          </w:p>
        </w:tc>
        <w:tc>
          <w:tcPr>
            <w:tcW w:w="750" w:type="dxa"/>
            <w:tcBorders>
              <w:top w:val="single" w:sz="4" w:space="0" w:color="auto"/>
              <w:left w:val="nil"/>
              <w:bottom w:val="single" w:sz="4" w:space="0" w:color="auto"/>
              <w:right w:val="single" w:sz="4" w:space="0" w:color="auto"/>
            </w:tcBorders>
            <w:hideMark/>
          </w:tcPr>
          <w:p w14:paraId="0A2B09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15,9</w:t>
            </w:r>
          </w:p>
        </w:tc>
        <w:tc>
          <w:tcPr>
            <w:tcW w:w="839" w:type="dxa"/>
            <w:tcBorders>
              <w:top w:val="single" w:sz="4" w:space="0" w:color="auto"/>
              <w:left w:val="nil"/>
              <w:bottom w:val="single" w:sz="4" w:space="0" w:color="auto"/>
              <w:right w:val="single" w:sz="4" w:space="0" w:color="auto"/>
            </w:tcBorders>
            <w:hideMark/>
          </w:tcPr>
          <w:p w14:paraId="301DB4E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11,4 ew</w:t>
            </w:r>
          </w:p>
        </w:tc>
        <w:tc>
          <w:tcPr>
            <w:tcW w:w="811" w:type="dxa"/>
            <w:tcBorders>
              <w:top w:val="single" w:sz="4" w:space="0" w:color="auto"/>
              <w:left w:val="nil"/>
              <w:bottom w:val="single" w:sz="4" w:space="0" w:color="auto"/>
              <w:right w:val="single" w:sz="4" w:space="0" w:color="auto"/>
            </w:tcBorders>
            <w:hideMark/>
          </w:tcPr>
          <w:p w14:paraId="7EB160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12,0 ew</w:t>
            </w:r>
          </w:p>
        </w:tc>
        <w:tc>
          <w:tcPr>
            <w:tcW w:w="839" w:type="dxa"/>
            <w:tcBorders>
              <w:top w:val="single" w:sz="4" w:space="0" w:color="auto"/>
              <w:left w:val="nil"/>
              <w:bottom w:val="single" w:sz="4" w:space="0" w:color="auto"/>
              <w:right w:val="single" w:sz="4" w:space="0" w:color="auto"/>
            </w:tcBorders>
            <w:hideMark/>
          </w:tcPr>
          <w:p w14:paraId="75C748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11,2</w:t>
            </w:r>
          </w:p>
        </w:tc>
        <w:tc>
          <w:tcPr>
            <w:tcW w:w="750" w:type="dxa"/>
            <w:tcBorders>
              <w:top w:val="single" w:sz="4" w:space="0" w:color="auto"/>
              <w:left w:val="nil"/>
              <w:bottom w:val="single" w:sz="4" w:space="0" w:color="auto"/>
              <w:right w:val="single" w:sz="4" w:space="0" w:color="auto"/>
            </w:tcBorders>
            <w:hideMark/>
          </w:tcPr>
          <w:p w14:paraId="792CA68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9,5</w:t>
            </w:r>
          </w:p>
        </w:tc>
        <w:tc>
          <w:tcPr>
            <w:tcW w:w="811" w:type="dxa"/>
            <w:tcBorders>
              <w:top w:val="single" w:sz="4" w:space="0" w:color="auto"/>
              <w:left w:val="nil"/>
              <w:bottom w:val="single" w:sz="4" w:space="0" w:color="auto"/>
              <w:right w:val="single" w:sz="4" w:space="0" w:color="auto"/>
            </w:tcBorders>
            <w:hideMark/>
          </w:tcPr>
          <w:p w14:paraId="40FD880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16,5</w:t>
            </w:r>
          </w:p>
        </w:tc>
        <w:tc>
          <w:tcPr>
            <w:tcW w:w="839" w:type="dxa"/>
            <w:tcBorders>
              <w:top w:val="single" w:sz="4" w:space="0" w:color="auto"/>
              <w:left w:val="nil"/>
              <w:bottom w:val="single" w:sz="4" w:space="0" w:color="auto"/>
              <w:right w:val="single" w:sz="4" w:space="0" w:color="auto"/>
            </w:tcBorders>
            <w:hideMark/>
          </w:tcPr>
          <w:p w14:paraId="595909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14,9</w:t>
            </w:r>
          </w:p>
        </w:tc>
        <w:tc>
          <w:tcPr>
            <w:tcW w:w="839" w:type="dxa"/>
            <w:tcBorders>
              <w:top w:val="single" w:sz="4" w:space="0" w:color="auto"/>
              <w:left w:val="nil"/>
              <w:bottom w:val="single" w:sz="4" w:space="0" w:color="auto"/>
              <w:right w:val="single" w:sz="4" w:space="0" w:color="auto"/>
            </w:tcBorders>
            <w:hideMark/>
          </w:tcPr>
          <w:p w14:paraId="47D613F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19,0 w</w:t>
            </w:r>
          </w:p>
        </w:tc>
        <w:tc>
          <w:tcPr>
            <w:tcW w:w="722" w:type="dxa"/>
            <w:tcBorders>
              <w:top w:val="single" w:sz="4" w:space="0" w:color="auto"/>
              <w:left w:val="nil"/>
              <w:bottom w:val="single" w:sz="4" w:space="0" w:color="auto"/>
              <w:right w:val="single" w:sz="4" w:space="0" w:color="auto"/>
            </w:tcBorders>
            <w:hideMark/>
          </w:tcPr>
          <w:p w14:paraId="7AC8887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18,6 bw</w:t>
            </w:r>
          </w:p>
        </w:tc>
        <w:tc>
          <w:tcPr>
            <w:tcW w:w="758" w:type="dxa"/>
            <w:tcBorders>
              <w:top w:val="single" w:sz="4" w:space="0" w:color="auto"/>
              <w:left w:val="nil"/>
              <w:bottom w:val="single" w:sz="4" w:space="0" w:color="auto"/>
              <w:right w:val="single" w:sz="4" w:space="0" w:color="auto"/>
            </w:tcBorders>
            <w:hideMark/>
          </w:tcPr>
          <w:p w14:paraId="7A288E6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34,4 w</w:t>
            </w:r>
          </w:p>
        </w:tc>
        <w:tc>
          <w:tcPr>
            <w:tcW w:w="802" w:type="dxa"/>
            <w:tcBorders>
              <w:top w:val="single" w:sz="4" w:space="0" w:color="auto"/>
              <w:left w:val="nil"/>
              <w:bottom w:val="single" w:sz="4" w:space="0" w:color="auto"/>
              <w:right w:val="single" w:sz="4" w:space="0" w:color="auto"/>
            </w:tcBorders>
            <w:hideMark/>
          </w:tcPr>
          <w:p w14:paraId="00ECF13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32,2 w</w:t>
            </w:r>
          </w:p>
        </w:tc>
        <w:tc>
          <w:tcPr>
            <w:tcW w:w="840" w:type="dxa"/>
            <w:tcBorders>
              <w:top w:val="single" w:sz="4" w:space="0" w:color="auto"/>
              <w:left w:val="nil"/>
              <w:bottom w:val="single" w:sz="4" w:space="0" w:color="auto"/>
              <w:right w:val="single" w:sz="4" w:space="0" w:color="auto"/>
            </w:tcBorders>
            <w:hideMark/>
          </w:tcPr>
          <w:p w14:paraId="1CEDDFE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w:t>
            </w:r>
          </w:p>
        </w:tc>
        <w:tc>
          <w:tcPr>
            <w:tcW w:w="840" w:type="dxa"/>
            <w:tcBorders>
              <w:top w:val="single" w:sz="4" w:space="0" w:color="auto"/>
              <w:left w:val="nil"/>
              <w:bottom w:val="single" w:sz="4" w:space="0" w:color="auto"/>
              <w:right w:val="single" w:sz="4" w:space="0" w:color="auto"/>
            </w:tcBorders>
            <w:hideMark/>
          </w:tcPr>
          <w:p w14:paraId="6CB3B1D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7,4</w:t>
            </w:r>
          </w:p>
        </w:tc>
      </w:tr>
      <w:tr w:rsidR="00221F1C" w14:paraId="13BC1C8F"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2F026B18"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Mladi u dobi od 15 do 24 godine</w:t>
            </w:r>
          </w:p>
        </w:tc>
        <w:tc>
          <w:tcPr>
            <w:tcW w:w="600" w:type="dxa"/>
            <w:tcBorders>
              <w:top w:val="single" w:sz="4" w:space="0" w:color="auto"/>
              <w:left w:val="single" w:sz="4" w:space="0" w:color="auto"/>
              <w:bottom w:val="single" w:sz="4" w:space="0" w:color="auto"/>
              <w:right w:val="single" w:sz="4" w:space="0" w:color="auto"/>
            </w:tcBorders>
            <w:noWrap/>
            <w:hideMark/>
          </w:tcPr>
          <w:p w14:paraId="0AD3447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65F5A34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25,2</w:t>
            </w:r>
          </w:p>
        </w:tc>
        <w:tc>
          <w:tcPr>
            <w:tcW w:w="840" w:type="dxa"/>
            <w:tcBorders>
              <w:top w:val="single" w:sz="4" w:space="0" w:color="auto"/>
              <w:left w:val="nil"/>
              <w:bottom w:val="single" w:sz="4" w:space="0" w:color="auto"/>
              <w:right w:val="single" w:sz="4" w:space="0" w:color="auto"/>
            </w:tcBorders>
            <w:hideMark/>
          </w:tcPr>
          <w:p w14:paraId="1B84C64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36,0</w:t>
            </w:r>
          </w:p>
        </w:tc>
        <w:tc>
          <w:tcPr>
            <w:tcW w:w="840" w:type="dxa"/>
            <w:tcBorders>
              <w:top w:val="single" w:sz="4" w:space="0" w:color="auto"/>
              <w:left w:val="nil"/>
              <w:bottom w:val="single" w:sz="4" w:space="0" w:color="auto"/>
              <w:right w:val="single" w:sz="4" w:space="0" w:color="auto"/>
            </w:tcBorders>
            <w:hideMark/>
          </w:tcPr>
          <w:p w14:paraId="4FB7B7E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35,6</w:t>
            </w:r>
          </w:p>
        </w:tc>
        <w:tc>
          <w:tcPr>
            <w:tcW w:w="750" w:type="dxa"/>
            <w:tcBorders>
              <w:top w:val="single" w:sz="4" w:space="0" w:color="auto"/>
              <w:left w:val="nil"/>
              <w:bottom w:val="single" w:sz="4" w:space="0" w:color="auto"/>
              <w:right w:val="single" w:sz="4" w:space="0" w:color="auto"/>
            </w:tcBorders>
            <w:hideMark/>
          </w:tcPr>
          <w:p w14:paraId="561733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35,7</w:t>
            </w:r>
          </w:p>
        </w:tc>
        <w:tc>
          <w:tcPr>
            <w:tcW w:w="839" w:type="dxa"/>
            <w:tcBorders>
              <w:top w:val="single" w:sz="4" w:space="0" w:color="auto"/>
              <w:left w:val="nil"/>
              <w:bottom w:val="single" w:sz="4" w:space="0" w:color="auto"/>
              <w:right w:val="single" w:sz="4" w:space="0" w:color="auto"/>
            </w:tcBorders>
            <w:hideMark/>
          </w:tcPr>
          <w:p w14:paraId="532DBDC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27,2 ew</w:t>
            </w:r>
          </w:p>
        </w:tc>
        <w:tc>
          <w:tcPr>
            <w:tcW w:w="811" w:type="dxa"/>
            <w:tcBorders>
              <w:top w:val="single" w:sz="4" w:space="0" w:color="auto"/>
              <w:left w:val="nil"/>
              <w:bottom w:val="single" w:sz="4" w:space="0" w:color="auto"/>
              <w:right w:val="single" w:sz="4" w:space="0" w:color="auto"/>
            </w:tcBorders>
            <w:hideMark/>
          </w:tcPr>
          <w:p w14:paraId="1CD5D42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26,5 ew</w:t>
            </w:r>
          </w:p>
        </w:tc>
        <w:tc>
          <w:tcPr>
            <w:tcW w:w="839" w:type="dxa"/>
            <w:tcBorders>
              <w:top w:val="single" w:sz="4" w:space="0" w:color="auto"/>
              <w:left w:val="nil"/>
              <w:bottom w:val="single" w:sz="4" w:space="0" w:color="auto"/>
              <w:right w:val="single" w:sz="4" w:space="0" w:color="auto"/>
            </w:tcBorders>
            <w:hideMark/>
          </w:tcPr>
          <w:p w14:paraId="5239C99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27,5</w:t>
            </w:r>
          </w:p>
        </w:tc>
        <w:tc>
          <w:tcPr>
            <w:tcW w:w="750" w:type="dxa"/>
            <w:tcBorders>
              <w:top w:val="single" w:sz="4" w:space="0" w:color="auto"/>
              <w:left w:val="nil"/>
              <w:bottom w:val="single" w:sz="4" w:space="0" w:color="auto"/>
              <w:right w:val="single" w:sz="4" w:space="0" w:color="auto"/>
            </w:tcBorders>
            <w:hideMark/>
          </w:tcPr>
          <w:p w14:paraId="0DF7A0B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26,6</w:t>
            </w:r>
          </w:p>
        </w:tc>
        <w:tc>
          <w:tcPr>
            <w:tcW w:w="811" w:type="dxa"/>
            <w:tcBorders>
              <w:top w:val="single" w:sz="4" w:space="0" w:color="auto"/>
              <w:left w:val="nil"/>
              <w:bottom w:val="single" w:sz="4" w:space="0" w:color="auto"/>
              <w:right w:val="single" w:sz="4" w:space="0" w:color="auto"/>
            </w:tcBorders>
            <w:hideMark/>
          </w:tcPr>
          <w:p w14:paraId="6FDE484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25,2</w:t>
            </w:r>
          </w:p>
        </w:tc>
        <w:tc>
          <w:tcPr>
            <w:tcW w:w="839" w:type="dxa"/>
            <w:tcBorders>
              <w:top w:val="single" w:sz="4" w:space="0" w:color="auto"/>
              <w:left w:val="nil"/>
              <w:bottom w:val="single" w:sz="4" w:space="0" w:color="auto"/>
              <w:right w:val="single" w:sz="4" w:space="0" w:color="auto"/>
            </w:tcBorders>
            <w:hideMark/>
          </w:tcPr>
          <w:p w14:paraId="3D88A36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25,1</w:t>
            </w:r>
          </w:p>
        </w:tc>
        <w:tc>
          <w:tcPr>
            <w:tcW w:w="839" w:type="dxa"/>
            <w:tcBorders>
              <w:top w:val="single" w:sz="4" w:space="0" w:color="auto"/>
              <w:left w:val="nil"/>
              <w:bottom w:val="single" w:sz="4" w:space="0" w:color="auto"/>
              <w:right w:val="single" w:sz="4" w:space="0" w:color="auto"/>
            </w:tcBorders>
            <w:hideMark/>
          </w:tcPr>
          <w:p w14:paraId="3DF1F3A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33,8 w</w:t>
            </w:r>
          </w:p>
        </w:tc>
        <w:tc>
          <w:tcPr>
            <w:tcW w:w="722" w:type="dxa"/>
            <w:tcBorders>
              <w:top w:val="single" w:sz="4" w:space="0" w:color="auto"/>
              <w:left w:val="nil"/>
              <w:bottom w:val="single" w:sz="4" w:space="0" w:color="auto"/>
              <w:right w:val="single" w:sz="4" w:space="0" w:color="auto"/>
            </w:tcBorders>
            <w:hideMark/>
          </w:tcPr>
          <w:p w14:paraId="061CEE7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36,6 bw</w:t>
            </w:r>
          </w:p>
        </w:tc>
        <w:tc>
          <w:tcPr>
            <w:tcW w:w="758" w:type="dxa"/>
            <w:tcBorders>
              <w:top w:val="single" w:sz="4" w:space="0" w:color="auto"/>
              <w:left w:val="nil"/>
              <w:bottom w:val="single" w:sz="4" w:space="0" w:color="auto"/>
              <w:right w:val="single" w:sz="4" w:space="0" w:color="auto"/>
            </w:tcBorders>
            <w:hideMark/>
          </w:tcPr>
          <w:p w14:paraId="1EF5FA5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49,4 w</w:t>
            </w:r>
          </w:p>
        </w:tc>
        <w:tc>
          <w:tcPr>
            <w:tcW w:w="802" w:type="dxa"/>
            <w:tcBorders>
              <w:top w:val="single" w:sz="4" w:space="0" w:color="auto"/>
              <w:left w:val="nil"/>
              <w:bottom w:val="single" w:sz="4" w:space="0" w:color="auto"/>
              <w:right w:val="single" w:sz="4" w:space="0" w:color="auto"/>
            </w:tcBorders>
            <w:hideMark/>
          </w:tcPr>
          <w:p w14:paraId="5D90C5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49,1 w</w:t>
            </w:r>
          </w:p>
        </w:tc>
        <w:tc>
          <w:tcPr>
            <w:tcW w:w="840" w:type="dxa"/>
            <w:tcBorders>
              <w:top w:val="single" w:sz="4" w:space="0" w:color="auto"/>
              <w:left w:val="nil"/>
              <w:bottom w:val="single" w:sz="4" w:space="0" w:color="auto"/>
              <w:right w:val="single" w:sz="4" w:space="0" w:color="auto"/>
            </w:tcBorders>
            <w:hideMark/>
          </w:tcPr>
          <w:p w14:paraId="15E826D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15,1</w:t>
            </w:r>
          </w:p>
        </w:tc>
        <w:tc>
          <w:tcPr>
            <w:tcW w:w="840" w:type="dxa"/>
            <w:tcBorders>
              <w:top w:val="single" w:sz="4" w:space="0" w:color="auto"/>
              <w:left w:val="nil"/>
              <w:bottom w:val="single" w:sz="4" w:space="0" w:color="auto"/>
              <w:right w:val="single" w:sz="4" w:space="0" w:color="auto"/>
            </w:tcBorders>
            <w:hideMark/>
          </w:tcPr>
          <w:p w14:paraId="0626A60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16,8</w:t>
            </w:r>
          </w:p>
        </w:tc>
      </w:tr>
      <w:tr w:rsidR="00221F1C" w14:paraId="6964FE4F"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32A04E66"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Dugoročno (&gt; 12 mjeseci)</w:t>
            </w:r>
          </w:p>
        </w:tc>
        <w:tc>
          <w:tcPr>
            <w:tcW w:w="600" w:type="dxa"/>
            <w:tcBorders>
              <w:top w:val="single" w:sz="4" w:space="0" w:color="auto"/>
              <w:left w:val="single" w:sz="4" w:space="0" w:color="auto"/>
              <w:bottom w:val="single" w:sz="4" w:space="0" w:color="auto"/>
              <w:right w:val="single" w:sz="4" w:space="0" w:color="auto"/>
            </w:tcBorders>
            <w:noWrap/>
            <w:hideMark/>
          </w:tcPr>
          <w:p w14:paraId="4AEC7E9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single" w:sz="4" w:space="0" w:color="auto"/>
              <w:left w:val="nil"/>
              <w:bottom w:val="single" w:sz="4" w:space="0" w:color="auto"/>
              <w:right w:val="single" w:sz="4" w:space="0" w:color="auto"/>
            </w:tcBorders>
            <w:hideMark/>
          </w:tcPr>
          <w:p w14:paraId="6DC1310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12,0</w:t>
            </w:r>
          </w:p>
        </w:tc>
        <w:tc>
          <w:tcPr>
            <w:tcW w:w="840" w:type="dxa"/>
            <w:tcBorders>
              <w:top w:val="single" w:sz="4" w:space="0" w:color="auto"/>
              <w:left w:val="nil"/>
              <w:bottom w:val="single" w:sz="4" w:space="0" w:color="auto"/>
              <w:right w:val="single" w:sz="4" w:space="0" w:color="auto"/>
            </w:tcBorders>
            <w:hideMark/>
          </w:tcPr>
          <w:p w14:paraId="2782F95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13,4</w:t>
            </w:r>
          </w:p>
        </w:tc>
        <w:tc>
          <w:tcPr>
            <w:tcW w:w="840" w:type="dxa"/>
            <w:tcBorders>
              <w:top w:val="single" w:sz="4" w:space="0" w:color="auto"/>
              <w:left w:val="nil"/>
              <w:bottom w:val="single" w:sz="4" w:space="0" w:color="auto"/>
              <w:right w:val="single" w:sz="4" w:space="0" w:color="auto"/>
            </w:tcBorders>
            <w:hideMark/>
          </w:tcPr>
          <w:p w14:paraId="66A54F8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12,4</w:t>
            </w:r>
          </w:p>
        </w:tc>
        <w:tc>
          <w:tcPr>
            <w:tcW w:w="750" w:type="dxa"/>
            <w:tcBorders>
              <w:top w:val="single" w:sz="4" w:space="0" w:color="auto"/>
              <w:left w:val="nil"/>
              <w:bottom w:val="single" w:sz="4" w:space="0" w:color="auto"/>
              <w:right w:val="single" w:sz="4" w:space="0" w:color="auto"/>
            </w:tcBorders>
            <w:hideMark/>
          </w:tcPr>
          <w:p w14:paraId="6EE9F49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12,4</w:t>
            </w:r>
          </w:p>
        </w:tc>
        <w:tc>
          <w:tcPr>
            <w:tcW w:w="839" w:type="dxa"/>
            <w:tcBorders>
              <w:top w:val="single" w:sz="4" w:space="0" w:color="auto"/>
              <w:left w:val="nil"/>
              <w:bottom w:val="single" w:sz="4" w:space="0" w:color="auto"/>
              <w:right w:val="single" w:sz="4" w:space="0" w:color="auto"/>
            </w:tcBorders>
            <w:hideMark/>
          </w:tcPr>
          <w:p w14:paraId="205853C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 ew</w:t>
            </w:r>
          </w:p>
        </w:tc>
        <w:tc>
          <w:tcPr>
            <w:tcW w:w="811" w:type="dxa"/>
            <w:tcBorders>
              <w:top w:val="single" w:sz="4" w:space="0" w:color="auto"/>
              <w:left w:val="nil"/>
              <w:bottom w:val="single" w:sz="4" w:space="0" w:color="auto"/>
              <w:right w:val="single" w:sz="4" w:space="0" w:color="auto"/>
            </w:tcBorders>
            <w:hideMark/>
          </w:tcPr>
          <w:p w14:paraId="7793429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 ew</w:t>
            </w:r>
          </w:p>
        </w:tc>
        <w:tc>
          <w:tcPr>
            <w:tcW w:w="839" w:type="dxa"/>
            <w:tcBorders>
              <w:top w:val="single" w:sz="4" w:space="0" w:color="auto"/>
              <w:left w:val="nil"/>
              <w:bottom w:val="single" w:sz="4" w:space="0" w:color="auto"/>
              <w:right w:val="single" w:sz="4" w:space="0" w:color="auto"/>
            </w:tcBorders>
            <w:hideMark/>
          </w:tcPr>
          <w:p w14:paraId="676FD09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5,5</w:t>
            </w:r>
          </w:p>
        </w:tc>
        <w:tc>
          <w:tcPr>
            <w:tcW w:w="750" w:type="dxa"/>
            <w:tcBorders>
              <w:top w:val="single" w:sz="4" w:space="0" w:color="auto"/>
              <w:left w:val="nil"/>
              <w:bottom w:val="single" w:sz="4" w:space="0" w:color="auto"/>
              <w:right w:val="single" w:sz="4" w:space="0" w:color="auto"/>
            </w:tcBorders>
            <w:hideMark/>
          </w:tcPr>
          <w:p w14:paraId="47A1EA0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w:t>
            </w:r>
          </w:p>
        </w:tc>
        <w:tc>
          <w:tcPr>
            <w:tcW w:w="811" w:type="dxa"/>
            <w:tcBorders>
              <w:top w:val="single" w:sz="4" w:space="0" w:color="auto"/>
              <w:left w:val="nil"/>
              <w:bottom w:val="single" w:sz="4" w:space="0" w:color="auto"/>
              <w:right w:val="single" w:sz="4" w:space="0" w:color="auto"/>
            </w:tcBorders>
            <w:hideMark/>
          </w:tcPr>
          <w:p w14:paraId="299BD8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w:t>
            </w:r>
          </w:p>
        </w:tc>
        <w:tc>
          <w:tcPr>
            <w:tcW w:w="839" w:type="dxa"/>
            <w:tcBorders>
              <w:top w:val="single" w:sz="4" w:space="0" w:color="auto"/>
              <w:left w:val="nil"/>
              <w:bottom w:val="single" w:sz="4" w:space="0" w:color="auto"/>
              <w:right w:val="single" w:sz="4" w:space="0" w:color="auto"/>
            </w:tcBorders>
            <w:hideMark/>
          </w:tcPr>
          <w:p w14:paraId="5AD6044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w:t>
            </w:r>
          </w:p>
        </w:tc>
        <w:tc>
          <w:tcPr>
            <w:tcW w:w="839" w:type="dxa"/>
            <w:tcBorders>
              <w:top w:val="single" w:sz="4" w:space="0" w:color="auto"/>
              <w:left w:val="nil"/>
              <w:bottom w:val="single" w:sz="4" w:space="0" w:color="auto"/>
              <w:right w:val="single" w:sz="4" w:space="0" w:color="auto"/>
            </w:tcBorders>
            <w:hideMark/>
          </w:tcPr>
          <w:p w14:paraId="5F6FE8A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12,1 w</w:t>
            </w:r>
          </w:p>
        </w:tc>
        <w:tc>
          <w:tcPr>
            <w:tcW w:w="722" w:type="dxa"/>
            <w:tcBorders>
              <w:top w:val="single" w:sz="4" w:space="0" w:color="auto"/>
              <w:left w:val="nil"/>
              <w:bottom w:val="single" w:sz="4" w:space="0" w:color="auto"/>
              <w:right w:val="single" w:sz="4" w:space="0" w:color="auto"/>
            </w:tcBorders>
            <w:hideMark/>
          </w:tcPr>
          <w:p w14:paraId="633DDB2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11,9 bw</w:t>
            </w:r>
          </w:p>
        </w:tc>
        <w:tc>
          <w:tcPr>
            <w:tcW w:w="758" w:type="dxa"/>
            <w:tcBorders>
              <w:top w:val="single" w:sz="4" w:space="0" w:color="auto"/>
              <w:left w:val="nil"/>
              <w:bottom w:val="single" w:sz="4" w:space="0" w:color="auto"/>
              <w:right w:val="single" w:sz="4" w:space="0" w:color="auto"/>
            </w:tcBorders>
            <w:hideMark/>
          </w:tcPr>
          <w:p w14:paraId="570CA09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16,2 w</w:t>
            </w:r>
          </w:p>
        </w:tc>
        <w:tc>
          <w:tcPr>
            <w:tcW w:w="802" w:type="dxa"/>
            <w:tcBorders>
              <w:top w:val="single" w:sz="4" w:space="0" w:color="auto"/>
              <w:left w:val="nil"/>
              <w:bottom w:val="single" w:sz="4" w:space="0" w:color="auto"/>
              <w:right w:val="single" w:sz="4" w:space="0" w:color="auto"/>
            </w:tcBorders>
            <w:hideMark/>
          </w:tcPr>
          <w:p w14:paraId="1A79704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18,4 w</w:t>
            </w:r>
          </w:p>
        </w:tc>
        <w:tc>
          <w:tcPr>
            <w:tcW w:w="840" w:type="dxa"/>
            <w:tcBorders>
              <w:top w:val="single" w:sz="4" w:space="0" w:color="auto"/>
              <w:left w:val="nil"/>
              <w:bottom w:val="single" w:sz="4" w:space="0" w:color="auto"/>
              <w:right w:val="single" w:sz="4" w:space="0" w:color="auto"/>
            </w:tcBorders>
            <w:hideMark/>
          </w:tcPr>
          <w:p w14:paraId="3FD5798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w:t>
            </w:r>
          </w:p>
        </w:tc>
        <w:tc>
          <w:tcPr>
            <w:tcW w:w="840" w:type="dxa"/>
            <w:tcBorders>
              <w:top w:val="single" w:sz="4" w:space="0" w:color="auto"/>
              <w:left w:val="nil"/>
              <w:bottom w:val="single" w:sz="4" w:space="0" w:color="auto"/>
              <w:right w:val="single" w:sz="4" w:space="0" w:color="auto"/>
            </w:tcBorders>
            <w:hideMark/>
          </w:tcPr>
          <w:p w14:paraId="7BA44E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w:t>
            </w:r>
          </w:p>
        </w:tc>
      </w:tr>
      <w:tr w:rsidR="00221F1C" w14:paraId="61911B78" w14:textId="77777777" w:rsidTr="00221F1C">
        <w:trPr>
          <w:trHeight w:val="561"/>
        </w:trPr>
        <w:tc>
          <w:tcPr>
            <w:tcW w:w="2400" w:type="dxa"/>
            <w:tcBorders>
              <w:top w:val="single" w:sz="4" w:space="0" w:color="auto"/>
              <w:left w:val="single" w:sz="4" w:space="0" w:color="auto"/>
              <w:bottom w:val="single" w:sz="4" w:space="0" w:color="auto"/>
              <w:right w:val="nil"/>
            </w:tcBorders>
            <w:noWrap/>
            <w:hideMark/>
          </w:tcPr>
          <w:p w14:paraId="627D0D51" w14:textId="77777777" w:rsidR="00221F1C" w:rsidRDefault="00221F1C">
            <w:pPr>
              <w:autoSpaceDE w:val="0"/>
              <w:autoSpaceDN w:val="0"/>
              <w:adjustRightInd w:val="0"/>
              <w:spacing w:after="0" w:line="240" w:lineRule="auto"/>
              <w:rPr>
                <w:rFonts w:ascii="Arial" w:eastAsia="Times New Roman" w:hAnsi="Arial" w:cs="Arial"/>
                <w:b/>
                <w:noProof/>
                <w:color w:val="000000"/>
                <w:sz w:val="16"/>
                <w:szCs w:val="16"/>
              </w:rPr>
            </w:pPr>
            <w:r>
              <w:rPr>
                <w:rFonts w:ascii="Arial" w:hAnsi="Arial"/>
                <w:b/>
                <w:noProof/>
                <w:color w:val="000000"/>
                <w:sz w:val="16"/>
              </w:rPr>
              <w:t>Prosječne nominalne mjesečne plaće (u EUR)</w:t>
            </w:r>
          </w:p>
        </w:tc>
        <w:tc>
          <w:tcPr>
            <w:tcW w:w="600" w:type="dxa"/>
            <w:tcBorders>
              <w:top w:val="single" w:sz="4" w:space="0" w:color="auto"/>
              <w:left w:val="single" w:sz="4" w:space="0" w:color="auto"/>
              <w:bottom w:val="single" w:sz="4" w:space="0" w:color="auto"/>
              <w:right w:val="single" w:sz="4" w:space="0" w:color="auto"/>
            </w:tcBorders>
            <w:noWrap/>
            <w:hideMark/>
          </w:tcPr>
          <w:p w14:paraId="7274B67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6) 7) 8) 9)</w:t>
            </w:r>
          </w:p>
        </w:tc>
        <w:tc>
          <w:tcPr>
            <w:tcW w:w="720" w:type="dxa"/>
            <w:tcBorders>
              <w:top w:val="single" w:sz="4" w:space="0" w:color="auto"/>
              <w:left w:val="nil"/>
              <w:bottom w:val="single" w:sz="4" w:space="0" w:color="auto"/>
              <w:right w:val="single" w:sz="4" w:space="0" w:color="auto"/>
            </w:tcBorders>
            <w:hideMark/>
          </w:tcPr>
          <w:p w14:paraId="0289BFFE"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515 sw</w:t>
            </w:r>
          </w:p>
        </w:tc>
        <w:tc>
          <w:tcPr>
            <w:tcW w:w="840" w:type="dxa"/>
            <w:tcBorders>
              <w:top w:val="single" w:sz="4" w:space="0" w:color="auto"/>
              <w:left w:val="nil"/>
              <w:bottom w:val="single" w:sz="4" w:space="0" w:color="auto"/>
              <w:right w:val="single" w:sz="4" w:space="0" w:color="auto"/>
            </w:tcBorders>
            <w:hideMark/>
          </w:tcPr>
          <w:p w14:paraId="79971A0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524 sw</w:t>
            </w:r>
          </w:p>
        </w:tc>
        <w:tc>
          <w:tcPr>
            <w:tcW w:w="840" w:type="dxa"/>
            <w:tcBorders>
              <w:top w:val="single" w:sz="4" w:space="0" w:color="auto"/>
              <w:left w:val="nil"/>
              <w:bottom w:val="single" w:sz="4" w:space="0" w:color="auto"/>
              <w:right w:val="single" w:sz="4" w:space="0" w:color="auto"/>
            </w:tcBorders>
            <w:hideMark/>
          </w:tcPr>
          <w:p w14:paraId="34CDBB6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410 sw</w:t>
            </w:r>
          </w:p>
        </w:tc>
        <w:tc>
          <w:tcPr>
            <w:tcW w:w="750" w:type="dxa"/>
            <w:tcBorders>
              <w:top w:val="single" w:sz="4" w:space="0" w:color="auto"/>
              <w:left w:val="nil"/>
              <w:bottom w:val="single" w:sz="4" w:space="0" w:color="auto"/>
              <w:right w:val="single" w:sz="4" w:space="0" w:color="auto"/>
            </w:tcBorders>
            <w:hideMark/>
          </w:tcPr>
          <w:p w14:paraId="539B7F4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441 sw</w:t>
            </w:r>
          </w:p>
        </w:tc>
        <w:tc>
          <w:tcPr>
            <w:tcW w:w="839" w:type="dxa"/>
            <w:tcBorders>
              <w:top w:val="single" w:sz="4" w:space="0" w:color="auto"/>
              <w:left w:val="nil"/>
              <w:bottom w:val="single" w:sz="4" w:space="0" w:color="auto"/>
              <w:right w:val="single" w:sz="4" w:space="0" w:color="auto"/>
            </w:tcBorders>
            <w:hideMark/>
          </w:tcPr>
          <w:p w14:paraId="0F6F13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430 sew</w:t>
            </w:r>
          </w:p>
        </w:tc>
        <w:tc>
          <w:tcPr>
            <w:tcW w:w="811" w:type="dxa"/>
            <w:tcBorders>
              <w:top w:val="single" w:sz="4" w:space="0" w:color="auto"/>
              <w:left w:val="nil"/>
              <w:bottom w:val="single" w:sz="4" w:space="0" w:color="auto"/>
              <w:right w:val="single" w:sz="4" w:space="0" w:color="auto"/>
            </w:tcBorders>
            <w:hideMark/>
          </w:tcPr>
          <w:p w14:paraId="333A930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434 sew</w:t>
            </w:r>
          </w:p>
        </w:tc>
        <w:tc>
          <w:tcPr>
            <w:tcW w:w="839" w:type="dxa"/>
            <w:tcBorders>
              <w:top w:val="single" w:sz="4" w:space="0" w:color="auto"/>
              <w:left w:val="nil"/>
              <w:bottom w:val="single" w:sz="4" w:space="0" w:color="auto"/>
              <w:right w:val="single" w:sz="4" w:space="0" w:color="auto"/>
            </w:tcBorders>
            <w:hideMark/>
          </w:tcPr>
          <w:p w14:paraId="6927E51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645 sw</w:t>
            </w:r>
          </w:p>
        </w:tc>
        <w:tc>
          <w:tcPr>
            <w:tcW w:w="750" w:type="dxa"/>
            <w:tcBorders>
              <w:top w:val="single" w:sz="4" w:space="0" w:color="auto"/>
              <w:left w:val="nil"/>
              <w:bottom w:val="single" w:sz="4" w:space="0" w:color="auto"/>
              <w:right w:val="single" w:sz="4" w:space="0" w:color="auto"/>
            </w:tcBorders>
            <w:hideMark/>
          </w:tcPr>
          <w:p w14:paraId="3A8D546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706 sw</w:t>
            </w:r>
          </w:p>
        </w:tc>
        <w:tc>
          <w:tcPr>
            <w:tcW w:w="811" w:type="dxa"/>
            <w:tcBorders>
              <w:top w:val="single" w:sz="4" w:space="0" w:color="auto"/>
              <w:left w:val="nil"/>
              <w:bottom w:val="single" w:sz="4" w:space="0" w:color="auto"/>
              <w:right w:val="single" w:sz="4" w:space="0" w:color="auto"/>
            </w:tcBorders>
            <w:hideMark/>
          </w:tcPr>
          <w:p w14:paraId="5AEB456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427 sw</w:t>
            </w:r>
          </w:p>
        </w:tc>
        <w:tc>
          <w:tcPr>
            <w:tcW w:w="839" w:type="dxa"/>
            <w:tcBorders>
              <w:top w:val="single" w:sz="4" w:space="0" w:color="auto"/>
              <w:left w:val="nil"/>
              <w:bottom w:val="single" w:sz="4" w:space="0" w:color="auto"/>
              <w:right w:val="single" w:sz="4" w:space="0" w:color="auto"/>
            </w:tcBorders>
            <w:hideMark/>
          </w:tcPr>
          <w:p w14:paraId="0ED2B91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384 sw</w:t>
            </w:r>
          </w:p>
        </w:tc>
        <w:tc>
          <w:tcPr>
            <w:tcW w:w="839" w:type="dxa"/>
            <w:tcBorders>
              <w:top w:val="single" w:sz="4" w:space="0" w:color="auto"/>
              <w:left w:val="nil"/>
              <w:bottom w:val="single" w:sz="4" w:space="0" w:color="auto"/>
              <w:right w:val="single" w:sz="4" w:space="0" w:color="auto"/>
            </w:tcBorders>
            <w:hideMark/>
          </w:tcPr>
          <w:p w14:paraId="451483E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471 sw</w:t>
            </w:r>
          </w:p>
        </w:tc>
        <w:tc>
          <w:tcPr>
            <w:tcW w:w="722" w:type="dxa"/>
            <w:tcBorders>
              <w:top w:val="single" w:sz="4" w:space="0" w:color="auto"/>
              <w:left w:val="nil"/>
              <w:bottom w:val="single" w:sz="4" w:space="0" w:color="auto"/>
              <w:right w:val="single" w:sz="4" w:space="0" w:color="auto"/>
            </w:tcBorders>
            <w:hideMark/>
          </w:tcPr>
          <w:p w14:paraId="3F15CE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489 sw</w:t>
            </w:r>
          </w:p>
        </w:tc>
        <w:tc>
          <w:tcPr>
            <w:tcW w:w="758" w:type="dxa"/>
            <w:tcBorders>
              <w:top w:val="single" w:sz="4" w:space="0" w:color="auto"/>
              <w:left w:val="nil"/>
              <w:bottom w:val="single" w:sz="4" w:space="0" w:color="auto"/>
              <w:right w:val="single" w:sz="4" w:space="0" w:color="auto"/>
            </w:tcBorders>
            <w:hideMark/>
          </w:tcPr>
          <w:p w14:paraId="42972F9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477 sw</w:t>
            </w:r>
          </w:p>
        </w:tc>
        <w:tc>
          <w:tcPr>
            <w:tcW w:w="802" w:type="dxa"/>
            <w:tcBorders>
              <w:top w:val="single" w:sz="4" w:space="0" w:color="auto"/>
              <w:left w:val="nil"/>
              <w:bottom w:val="single" w:sz="4" w:space="0" w:color="auto"/>
              <w:right w:val="single" w:sz="4" w:space="0" w:color="auto"/>
            </w:tcBorders>
            <w:hideMark/>
          </w:tcPr>
          <w:p w14:paraId="3D099DB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466 sw</w:t>
            </w:r>
          </w:p>
        </w:tc>
        <w:tc>
          <w:tcPr>
            <w:tcW w:w="840" w:type="dxa"/>
            <w:tcBorders>
              <w:top w:val="single" w:sz="4" w:space="0" w:color="auto"/>
              <w:left w:val="nil"/>
              <w:bottom w:val="single" w:sz="4" w:space="0" w:color="auto"/>
              <w:right w:val="single" w:sz="4" w:space="0" w:color="auto"/>
            </w:tcBorders>
            <w:hideMark/>
          </w:tcPr>
          <w:p w14:paraId="34F4DBA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single" w:sz="4" w:space="0" w:color="auto"/>
              <w:left w:val="nil"/>
              <w:bottom w:val="single" w:sz="4" w:space="0" w:color="auto"/>
              <w:right w:val="single" w:sz="4" w:space="0" w:color="auto"/>
            </w:tcBorders>
            <w:hideMark/>
          </w:tcPr>
          <w:p w14:paraId="309BBC3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bl>
    <w:p w14:paraId="16D7A3FC" w14:textId="77777777" w:rsidR="00221F1C" w:rsidRDefault="00221F1C" w:rsidP="00221F1C">
      <w:pPr>
        <w:spacing w:after="0" w:line="240" w:lineRule="auto"/>
        <w:jc w:val="both"/>
        <w:rPr>
          <w:rFonts w:ascii="Times New Roman" w:eastAsia="Times New Roman" w:hAnsi="Times New Roman" w:cs="Times New Roman"/>
          <w:noProof/>
          <w:sz w:val="16"/>
          <w:szCs w:val="24"/>
        </w:rPr>
      </w:pPr>
      <w:r>
        <w:rPr>
          <w:noProof/>
        </w:rPr>
        <w:br w:type="page"/>
      </w:r>
    </w:p>
    <w:tbl>
      <w:tblPr>
        <w:tblW w:w="15840" w:type="dxa"/>
        <w:tblInd w:w="-492" w:type="dxa"/>
        <w:tblLayout w:type="fixed"/>
        <w:tblLook w:val="04A0" w:firstRow="1" w:lastRow="0" w:firstColumn="1" w:lastColumn="0" w:noHBand="0" w:noVBand="1"/>
      </w:tblPr>
      <w:tblGrid>
        <w:gridCol w:w="2443"/>
        <w:gridCol w:w="557"/>
        <w:gridCol w:w="720"/>
        <w:gridCol w:w="840"/>
        <w:gridCol w:w="840"/>
        <w:gridCol w:w="750"/>
        <w:gridCol w:w="839"/>
        <w:gridCol w:w="811"/>
        <w:gridCol w:w="839"/>
        <w:gridCol w:w="750"/>
        <w:gridCol w:w="811"/>
        <w:gridCol w:w="839"/>
        <w:gridCol w:w="839"/>
        <w:gridCol w:w="722"/>
        <w:gridCol w:w="720"/>
        <w:gridCol w:w="840"/>
        <w:gridCol w:w="840"/>
        <w:gridCol w:w="840"/>
      </w:tblGrid>
      <w:tr w:rsidR="00221F1C" w14:paraId="374748B4" w14:textId="77777777" w:rsidTr="009549F1">
        <w:trPr>
          <w:trHeight w:val="225"/>
        </w:trPr>
        <w:tc>
          <w:tcPr>
            <w:tcW w:w="2443" w:type="dxa"/>
            <w:vMerge w:val="restart"/>
            <w:tcBorders>
              <w:top w:val="nil"/>
              <w:left w:val="nil"/>
              <w:bottom w:val="single" w:sz="4" w:space="0" w:color="auto"/>
              <w:right w:val="single" w:sz="4" w:space="0" w:color="auto"/>
            </w:tcBorders>
            <w:noWrap/>
            <w:vAlign w:val="center"/>
            <w:hideMark/>
          </w:tcPr>
          <w:p w14:paraId="69BAC8C5" w14:textId="77777777" w:rsidR="00221F1C" w:rsidRDefault="00221F1C">
            <w:pPr>
              <w:spacing w:after="0" w:line="240" w:lineRule="auto"/>
              <w:rPr>
                <w:rFonts w:ascii="Arial" w:eastAsia="Times New Roman" w:hAnsi="Arial" w:cs="Arial"/>
                <w:noProof/>
                <w:sz w:val="16"/>
                <w:szCs w:val="16"/>
              </w:rPr>
            </w:pPr>
            <w:r>
              <w:rPr>
                <w:rFonts w:ascii="Arial" w:hAnsi="Arial"/>
                <w:b/>
                <w:noProof/>
                <w:color w:val="000000"/>
                <w:sz w:val="16"/>
              </w:rPr>
              <w:t>Obrazovanje</w:t>
            </w:r>
          </w:p>
        </w:tc>
        <w:tc>
          <w:tcPr>
            <w:tcW w:w="557" w:type="dxa"/>
            <w:vMerge w:val="restart"/>
            <w:tcBorders>
              <w:top w:val="single" w:sz="4" w:space="0" w:color="auto"/>
              <w:left w:val="single" w:sz="4" w:space="0" w:color="auto"/>
              <w:bottom w:val="single" w:sz="4" w:space="0" w:color="auto"/>
              <w:right w:val="single" w:sz="4" w:space="0" w:color="auto"/>
            </w:tcBorders>
            <w:noWrap/>
            <w:vAlign w:val="center"/>
            <w:hideMark/>
          </w:tcPr>
          <w:p w14:paraId="3DB51FAF" w14:textId="77777777" w:rsidR="00221F1C" w:rsidRDefault="00221F1C">
            <w:pPr>
              <w:spacing w:after="0" w:line="240" w:lineRule="auto"/>
              <w:rPr>
                <w:rFonts w:ascii="Arial" w:eastAsia="Times New Roman" w:hAnsi="Arial" w:cs="Arial"/>
                <w:noProof/>
                <w:sz w:val="16"/>
                <w:szCs w:val="16"/>
              </w:rPr>
            </w:pPr>
            <w:r>
              <w:rPr>
                <w:rFonts w:ascii="Arial" w:hAnsi="Arial"/>
                <w:noProof/>
                <w:sz w:val="16"/>
              </w:rPr>
              <w:t xml:space="preserve"> </w:t>
            </w:r>
            <w:r>
              <w:rPr>
                <w:rFonts w:ascii="Arial" w:hAnsi="Arial"/>
                <w:noProof/>
                <w:color w:val="000000"/>
                <w:sz w:val="16"/>
              </w:rPr>
              <w:t>Napomena</w:t>
            </w:r>
          </w:p>
        </w:tc>
        <w:tc>
          <w:tcPr>
            <w:tcW w:w="1560" w:type="dxa"/>
            <w:gridSpan w:val="2"/>
            <w:tcBorders>
              <w:top w:val="single" w:sz="4" w:space="0" w:color="auto"/>
              <w:left w:val="nil"/>
              <w:bottom w:val="single" w:sz="4" w:space="0" w:color="auto"/>
              <w:right w:val="single" w:sz="4" w:space="0" w:color="auto"/>
            </w:tcBorders>
            <w:vAlign w:val="center"/>
            <w:hideMark/>
          </w:tcPr>
          <w:p w14:paraId="688D488D"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Crna Gora</w:t>
            </w:r>
          </w:p>
        </w:tc>
        <w:tc>
          <w:tcPr>
            <w:tcW w:w="1590" w:type="dxa"/>
            <w:gridSpan w:val="2"/>
            <w:tcBorders>
              <w:top w:val="single" w:sz="4" w:space="0" w:color="auto"/>
              <w:left w:val="nil"/>
              <w:bottom w:val="single" w:sz="4" w:space="0" w:color="auto"/>
              <w:right w:val="single" w:sz="4" w:space="0" w:color="auto"/>
            </w:tcBorders>
            <w:vAlign w:val="center"/>
            <w:hideMark/>
          </w:tcPr>
          <w:p w14:paraId="0F252A1C"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Sjeverna Makedonija</w:t>
            </w:r>
          </w:p>
        </w:tc>
        <w:tc>
          <w:tcPr>
            <w:tcW w:w="1650" w:type="dxa"/>
            <w:gridSpan w:val="2"/>
            <w:tcBorders>
              <w:top w:val="single" w:sz="4" w:space="0" w:color="auto"/>
              <w:left w:val="nil"/>
              <w:bottom w:val="single" w:sz="4" w:space="0" w:color="auto"/>
              <w:right w:val="single" w:sz="4" w:space="0" w:color="auto"/>
            </w:tcBorders>
            <w:vAlign w:val="center"/>
            <w:hideMark/>
          </w:tcPr>
          <w:p w14:paraId="1FCD2254"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Albanija</w:t>
            </w:r>
          </w:p>
        </w:tc>
        <w:tc>
          <w:tcPr>
            <w:tcW w:w="1589" w:type="dxa"/>
            <w:gridSpan w:val="2"/>
            <w:tcBorders>
              <w:top w:val="single" w:sz="4" w:space="0" w:color="auto"/>
              <w:left w:val="nil"/>
              <w:bottom w:val="single" w:sz="4" w:space="0" w:color="auto"/>
              <w:right w:val="single" w:sz="4" w:space="0" w:color="auto"/>
            </w:tcBorders>
            <w:vAlign w:val="center"/>
            <w:hideMark/>
          </w:tcPr>
          <w:p w14:paraId="1BAAC629"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Srbija</w:t>
            </w:r>
          </w:p>
        </w:tc>
        <w:tc>
          <w:tcPr>
            <w:tcW w:w="1650" w:type="dxa"/>
            <w:gridSpan w:val="2"/>
            <w:tcBorders>
              <w:top w:val="single" w:sz="4" w:space="0" w:color="auto"/>
              <w:left w:val="nil"/>
              <w:bottom w:val="single" w:sz="4" w:space="0" w:color="auto"/>
              <w:right w:val="single" w:sz="4" w:space="0" w:color="auto"/>
            </w:tcBorders>
            <w:vAlign w:val="center"/>
            <w:hideMark/>
          </w:tcPr>
          <w:p w14:paraId="0180DDFA"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Turska</w:t>
            </w:r>
          </w:p>
        </w:tc>
        <w:tc>
          <w:tcPr>
            <w:tcW w:w="1561" w:type="dxa"/>
            <w:gridSpan w:val="2"/>
            <w:tcBorders>
              <w:top w:val="single" w:sz="4" w:space="0" w:color="auto"/>
              <w:left w:val="nil"/>
              <w:bottom w:val="single" w:sz="4" w:space="0" w:color="auto"/>
              <w:right w:val="single" w:sz="4" w:space="0" w:color="auto"/>
            </w:tcBorders>
            <w:vAlign w:val="center"/>
            <w:hideMark/>
          </w:tcPr>
          <w:p w14:paraId="47D0737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Bosna i</w:t>
            </w:r>
            <w:r>
              <w:rPr>
                <w:noProof/>
              </w:rPr>
              <w:t xml:space="preserve"> </w:t>
            </w:r>
            <w:r>
              <w:rPr>
                <w:noProof/>
              </w:rPr>
              <w:br/>
            </w:r>
            <w:r>
              <w:rPr>
                <w:rFonts w:ascii="Arial" w:hAnsi="Arial"/>
                <w:noProof/>
                <w:sz w:val="16"/>
              </w:rPr>
              <w:t>Hercegovina</w:t>
            </w:r>
          </w:p>
        </w:tc>
        <w:tc>
          <w:tcPr>
            <w:tcW w:w="1560" w:type="dxa"/>
            <w:gridSpan w:val="2"/>
            <w:tcBorders>
              <w:top w:val="single" w:sz="4" w:space="0" w:color="auto"/>
              <w:left w:val="nil"/>
              <w:bottom w:val="single" w:sz="4" w:space="0" w:color="auto"/>
              <w:right w:val="single" w:sz="4" w:space="0" w:color="auto"/>
            </w:tcBorders>
            <w:vAlign w:val="center"/>
            <w:hideMark/>
          </w:tcPr>
          <w:p w14:paraId="22E9BC07"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Kosovo*</w:t>
            </w:r>
          </w:p>
        </w:tc>
        <w:tc>
          <w:tcPr>
            <w:tcW w:w="1680" w:type="dxa"/>
            <w:gridSpan w:val="2"/>
            <w:tcBorders>
              <w:top w:val="single" w:sz="4" w:space="0" w:color="auto"/>
              <w:left w:val="nil"/>
              <w:bottom w:val="single" w:sz="4" w:space="0" w:color="auto"/>
              <w:right w:val="single" w:sz="4" w:space="0" w:color="auto"/>
            </w:tcBorders>
            <w:vAlign w:val="center"/>
            <w:hideMark/>
          </w:tcPr>
          <w:p w14:paraId="7BDF0ECA"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EU-27</w:t>
            </w:r>
          </w:p>
        </w:tc>
      </w:tr>
      <w:tr w:rsidR="00221F1C" w14:paraId="6E5C86C4" w14:textId="77777777" w:rsidTr="009549F1">
        <w:trPr>
          <w:trHeight w:val="225"/>
        </w:trPr>
        <w:tc>
          <w:tcPr>
            <w:tcW w:w="2443" w:type="dxa"/>
            <w:vMerge/>
            <w:tcBorders>
              <w:top w:val="nil"/>
              <w:left w:val="nil"/>
              <w:bottom w:val="single" w:sz="4" w:space="0" w:color="auto"/>
              <w:right w:val="single" w:sz="4" w:space="0" w:color="auto"/>
            </w:tcBorders>
            <w:vAlign w:val="center"/>
            <w:hideMark/>
          </w:tcPr>
          <w:p w14:paraId="44BCFBD4" w14:textId="77777777" w:rsidR="00221F1C" w:rsidRDefault="00221F1C">
            <w:pPr>
              <w:spacing w:after="0"/>
              <w:rPr>
                <w:rFonts w:ascii="Arial" w:eastAsia="Times New Roman" w:hAnsi="Arial" w:cs="Arial"/>
                <w:noProof/>
                <w:sz w:val="16"/>
                <w:szCs w:val="16"/>
                <w:lang w:eastAsia="zh-CN"/>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14:paraId="2115D713" w14:textId="77777777" w:rsidR="00221F1C" w:rsidRDefault="00221F1C">
            <w:pPr>
              <w:spacing w:after="0"/>
              <w:rPr>
                <w:rFonts w:ascii="Arial" w:eastAsia="Times New Roman" w:hAnsi="Arial" w:cs="Arial"/>
                <w:noProof/>
                <w:sz w:val="16"/>
                <w:szCs w:val="16"/>
                <w:lang w:eastAsia="zh-CN"/>
              </w:rPr>
            </w:pPr>
          </w:p>
        </w:tc>
        <w:tc>
          <w:tcPr>
            <w:tcW w:w="720" w:type="dxa"/>
            <w:tcBorders>
              <w:top w:val="nil"/>
              <w:left w:val="nil"/>
              <w:bottom w:val="single" w:sz="4" w:space="0" w:color="auto"/>
              <w:right w:val="single" w:sz="4" w:space="0" w:color="auto"/>
            </w:tcBorders>
            <w:hideMark/>
          </w:tcPr>
          <w:p w14:paraId="5DE8AC5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4227BD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0998E1D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491BF5E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50B482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nil"/>
              <w:left w:val="nil"/>
              <w:bottom w:val="single" w:sz="4" w:space="0" w:color="auto"/>
              <w:right w:val="single" w:sz="4" w:space="0" w:color="auto"/>
            </w:tcBorders>
            <w:hideMark/>
          </w:tcPr>
          <w:p w14:paraId="37F565A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5C48BAE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6D376C4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nil"/>
              <w:left w:val="nil"/>
              <w:bottom w:val="single" w:sz="4" w:space="0" w:color="auto"/>
              <w:right w:val="single" w:sz="4" w:space="0" w:color="auto"/>
            </w:tcBorders>
            <w:hideMark/>
          </w:tcPr>
          <w:p w14:paraId="02421F1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nil"/>
              <w:left w:val="nil"/>
              <w:bottom w:val="single" w:sz="4" w:space="0" w:color="auto"/>
              <w:right w:val="single" w:sz="4" w:space="0" w:color="auto"/>
            </w:tcBorders>
            <w:hideMark/>
          </w:tcPr>
          <w:p w14:paraId="3DAF5E7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0BC8D6E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nil"/>
              <w:left w:val="nil"/>
              <w:bottom w:val="single" w:sz="4" w:space="0" w:color="auto"/>
              <w:right w:val="single" w:sz="4" w:space="0" w:color="auto"/>
            </w:tcBorders>
            <w:hideMark/>
          </w:tcPr>
          <w:p w14:paraId="32E91F3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nil"/>
              <w:left w:val="nil"/>
              <w:bottom w:val="single" w:sz="4" w:space="0" w:color="auto"/>
              <w:right w:val="single" w:sz="4" w:space="0" w:color="auto"/>
            </w:tcBorders>
            <w:hideMark/>
          </w:tcPr>
          <w:p w14:paraId="345EEC1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38937B1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0CE68B5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037D060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38DBE322" w14:textId="77777777" w:rsidTr="009549F1">
        <w:trPr>
          <w:trHeight w:val="1125"/>
        </w:trPr>
        <w:tc>
          <w:tcPr>
            <w:tcW w:w="2443" w:type="dxa"/>
            <w:tcBorders>
              <w:top w:val="single" w:sz="4" w:space="0" w:color="auto"/>
              <w:left w:val="single" w:sz="4" w:space="0" w:color="auto"/>
              <w:bottom w:val="single" w:sz="4" w:space="0" w:color="auto"/>
              <w:right w:val="single" w:sz="4" w:space="0" w:color="auto"/>
            </w:tcBorders>
            <w:hideMark/>
          </w:tcPr>
          <w:p w14:paraId="6EAAF9B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Osobe koje rano napuštaju obrazovanje i osposobljavanje: postotak stanovništva u dobi od 18 do 24 godine s najviše nižim sekundarnim obrazovanjem koje nisu nastavile školovanje ili stručno osposobljavanje (%)</w:t>
            </w:r>
          </w:p>
        </w:tc>
        <w:tc>
          <w:tcPr>
            <w:tcW w:w="557" w:type="dxa"/>
            <w:tcBorders>
              <w:top w:val="nil"/>
              <w:left w:val="nil"/>
              <w:bottom w:val="single" w:sz="4" w:space="0" w:color="auto"/>
              <w:right w:val="single" w:sz="4" w:space="0" w:color="auto"/>
            </w:tcBorders>
            <w:hideMark/>
          </w:tcPr>
          <w:p w14:paraId="303A227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4149125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5,0</w:t>
            </w:r>
          </w:p>
        </w:tc>
        <w:tc>
          <w:tcPr>
            <w:tcW w:w="840" w:type="dxa"/>
            <w:tcBorders>
              <w:top w:val="nil"/>
              <w:left w:val="nil"/>
              <w:bottom w:val="single" w:sz="4" w:space="0" w:color="auto"/>
              <w:right w:val="single" w:sz="4" w:space="0" w:color="auto"/>
            </w:tcBorders>
            <w:noWrap/>
            <w:hideMark/>
          </w:tcPr>
          <w:p w14:paraId="2B52392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w:t>
            </w:r>
          </w:p>
        </w:tc>
        <w:tc>
          <w:tcPr>
            <w:tcW w:w="840" w:type="dxa"/>
            <w:tcBorders>
              <w:top w:val="nil"/>
              <w:left w:val="nil"/>
              <w:bottom w:val="single" w:sz="4" w:space="0" w:color="auto"/>
              <w:right w:val="single" w:sz="4" w:space="0" w:color="auto"/>
            </w:tcBorders>
            <w:noWrap/>
            <w:hideMark/>
          </w:tcPr>
          <w:p w14:paraId="0C68407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w:t>
            </w:r>
          </w:p>
        </w:tc>
        <w:tc>
          <w:tcPr>
            <w:tcW w:w="750" w:type="dxa"/>
            <w:tcBorders>
              <w:top w:val="nil"/>
              <w:left w:val="nil"/>
              <w:bottom w:val="single" w:sz="4" w:space="0" w:color="auto"/>
              <w:right w:val="single" w:sz="4" w:space="0" w:color="auto"/>
            </w:tcBorders>
            <w:noWrap/>
            <w:hideMark/>
          </w:tcPr>
          <w:p w14:paraId="167D521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w:t>
            </w:r>
          </w:p>
        </w:tc>
        <w:tc>
          <w:tcPr>
            <w:tcW w:w="839" w:type="dxa"/>
            <w:tcBorders>
              <w:top w:val="nil"/>
              <w:left w:val="nil"/>
              <w:bottom w:val="single" w:sz="4" w:space="0" w:color="auto"/>
              <w:right w:val="single" w:sz="4" w:space="0" w:color="auto"/>
            </w:tcBorders>
            <w:noWrap/>
            <w:hideMark/>
          </w:tcPr>
          <w:p w14:paraId="60C346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16,3 w</w:t>
            </w:r>
          </w:p>
        </w:tc>
        <w:tc>
          <w:tcPr>
            <w:tcW w:w="811" w:type="dxa"/>
            <w:tcBorders>
              <w:top w:val="nil"/>
              <w:left w:val="nil"/>
              <w:bottom w:val="single" w:sz="4" w:space="0" w:color="auto"/>
              <w:right w:val="single" w:sz="4" w:space="0" w:color="auto"/>
            </w:tcBorders>
            <w:noWrap/>
            <w:hideMark/>
          </w:tcPr>
          <w:p w14:paraId="3E66FB1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15,6 w</w:t>
            </w:r>
          </w:p>
        </w:tc>
        <w:tc>
          <w:tcPr>
            <w:tcW w:w="839" w:type="dxa"/>
            <w:tcBorders>
              <w:top w:val="nil"/>
              <w:left w:val="nil"/>
              <w:bottom w:val="single" w:sz="4" w:space="0" w:color="auto"/>
              <w:right w:val="single" w:sz="4" w:space="0" w:color="auto"/>
            </w:tcBorders>
            <w:noWrap/>
            <w:hideMark/>
          </w:tcPr>
          <w:p w14:paraId="0FBA9E2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w:t>
            </w:r>
          </w:p>
        </w:tc>
        <w:tc>
          <w:tcPr>
            <w:tcW w:w="750" w:type="dxa"/>
            <w:tcBorders>
              <w:top w:val="nil"/>
              <w:left w:val="nil"/>
              <w:bottom w:val="single" w:sz="4" w:space="0" w:color="auto"/>
              <w:right w:val="single" w:sz="4" w:space="0" w:color="auto"/>
            </w:tcBorders>
            <w:noWrap/>
            <w:hideMark/>
          </w:tcPr>
          <w:p w14:paraId="05523C5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5,6</w:t>
            </w:r>
          </w:p>
        </w:tc>
        <w:tc>
          <w:tcPr>
            <w:tcW w:w="811" w:type="dxa"/>
            <w:tcBorders>
              <w:top w:val="nil"/>
              <w:left w:val="nil"/>
              <w:bottom w:val="single" w:sz="4" w:space="0" w:color="auto"/>
              <w:right w:val="single" w:sz="4" w:space="0" w:color="auto"/>
            </w:tcBorders>
            <w:noWrap/>
            <w:hideMark/>
          </w:tcPr>
          <w:p w14:paraId="3EE1F7A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28,7</w:t>
            </w:r>
          </w:p>
        </w:tc>
        <w:tc>
          <w:tcPr>
            <w:tcW w:w="839" w:type="dxa"/>
            <w:tcBorders>
              <w:top w:val="nil"/>
              <w:left w:val="nil"/>
              <w:bottom w:val="single" w:sz="4" w:space="0" w:color="auto"/>
              <w:right w:val="single" w:sz="4" w:space="0" w:color="auto"/>
            </w:tcBorders>
            <w:noWrap/>
            <w:hideMark/>
          </w:tcPr>
          <w:p w14:paraId="7DE77D6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26,7</w:t>
            </w:r>
          </w:p>
        </w:tc>
        <w:tc>
          <w:tcPr>
            <w:tcW w:w="839" w:type="dxa"/>
            <w:tcBorders>
              <w:top w:val="nil"/>
              <w:left w:val="nil"/>
              <w:bottom w:val="single" w:sz="4" w:space="0" w:color="auto"/>
              <w:right w:val="single" w:sz="4" w:space="0" w:color="auto"/>
            </w:tcBorders>
            <w:noWrap/>
            <w:hideMark/>
          </w:tcPr>
          <w:p w14:paraId="34C335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 w</w:t>
            </w:r>
          </w:p>
        </w:tc>
        <w:tc>
          <w:tcPr>
            <w:tcW w:w="722" w:type="dxa"/>
            <w:tcBorders>
              <w:top w:val="nil"/>
              <w:left w:val="nil"/>
              <w:bottom w:val="single" w:sz="4" w:space="0" w:color="auto"/>
              <w:right w:val="single" w:sz="4" w:space="0" w:color="auto"/>
            </w:tcBorders>
            <w:noWrap/>
            <w:hideMark/>
          </w:tcPr>
          <w:p w14:paraId="3FFABC5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4,7 w</w:t>
            </w:r>
          </w:p>
        </w:tc>
        <w:tc>
          <w:tcPr>
            <w:tcW w:w="720" w:type="dxa"/>
            <w:tcBorders>
              <w:top w:val="nil"/>
              <w:left w:val="nil"/>
              <w:bottom w:val="single" w:sz="4" w:space="0" w:color="auto"/>
              <w:right w:val="single" w:sz="4" w:space="0" w:color="auto"/>
            </w:tcBorders>
            <w:noWrap/>
            <w:hideMark/>
          </w:tcPr>
          <w:p w14:paraId="1119485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8,2 w</w:t>
            </w:r>
          </w:p>
        </w:tc>
        <w:tc>
          <w:tcPr>
            <w:tcW w:w="840" w:type="dxa"/>
            <w:tcBorders>
              <w:top w:val="nil"/>
              <w:left w:val="nil"/>
              <w:bottom w:val="single" w:sz="4" w:space="0" w:color="auto"/>
              <w:right w:val="single" w:sz="4" w:space="0" w:color="auto"/>
            </w:tcBorders>
            <w:noWrap/>
            <w:hideMark/>
          </w:tcPr>
          <w:p w14:paraId="11F9753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 w</w:t>
            </w:r>
          </w:p>
        </w:tc>
        <w:tc>
          <w:tcPr>
            <w:tcW w:w="840" w:type="dxa"/>
            <w:tcBorders>
              <w:top w:val="nil"/>
              <w:left w:val="nil"/>
              <w:bottom w:val="single" w:sz="4" w:space="0" w:color="auto"/>
              <w:right w:val="single" w:sz="4" w:space="0" w:color="auto"/>
            </w:tcBorders>
            <w:noWrap/>
            <w:hideMark/>
          </w:tcPr>
          <w:p w14:paraId="2A13AF7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10,2.</w:t>
            </w:r>
          </w:p>
        </w:tc>
        <w:tc>
          <w:tcPr>
            <w:tcW w:w="840" w:type="dxa"/>
            <w:tcBorders>
              <w:top w:val="nil"/>
              <w:left w:val="nil"/>
              <w:bottom w:val="single" w:sz="4" w:space="0" w:color="auto"/>
              <w:right w:val="single" w:sz="4" w:space="0" w:color="auto"/>
            </w:tcBorders>
            <w:noWrap/>
            <w:hideMark/>
          </w:tcPr>
          <w:p w14:paraId="503FC0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9,9</w:t>
            </w:r>
          </w:p>
        </w:tc>
      </w:tr>
      <w:tr w:rsidR="00221F1C" w14:paraId="17C467D4" w14:textId="77777777" w:rsidTr="009549F1">
        <w:trPr>
          <w:trHeight w:val="450"/>
        </w:trPr>
        <w:tc>
          <w:tcPr>
            <w:tcW w:w="2443" w:type="dxa"/>
            <w:tcBorders>
              <w:top w:val="nil"/>
              <w:left w:val="single" w:sz="4" w:space="0" w:color="auto"/>
              <w:bottom w:val="single" w:sz="4" w:space="0" w:color="auto"/>
              <w:right w:val="single" w:sz="4" w:space="0" w:color="auto"/>
            </w:tcBorders>
            <w:hideMark/>
          </w:tcPr>
          <w:p w14:paraId="66A569CA"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Javni izdaci za obrazovanje kao udio u BDP-u (%)</w:t>
            </w:r>
          </w:p>
        </w:tc>
        <w:tc>
          <w:tcPr>
            <w:tcW w:w="557" w:type="dxa"/>
            <w:tcBorders>
              <w:top w:val="nil"/>
              <w:left w:val="nil"/>
              <w:bottom w:val="single" w:sz="4" w:space="0" w:color="auto"/>
              <w:right w:val="single" w:sz="4" w:space="0" w:color="auto"/>
            </w:tcBorders>
            <w:noWrap/>
            <w:hideMark/>
          </w:tcPr>
          <w:p w14:paraId="72D84D6F" w14:textId="77777777" w:rsidR="00221F1C" w:rsidRPr="00F55682" w:rsidRDefault="00221F1C">
            <w:pPr>
              <w:rPr>
                <w:rFonts w:ascii="Arial" w:eastAsia="Times New Roman" w:hAnsi="Arial" w:cs="Arial"/>
                <w:noProof/>
                <w:color w:val="000000"/>
                <w:sz w:val="16"/>
                <w:szCs w:val="16"/>
                <w:lang w:eastAsia="en-IE"/>
              </w:rPr>
            </w:pPr>
          </w:p>
        </w:tc>
        <w:tc>
          <w:tcPr>
            <w:tcW w:w="720" w:type="dxa"/>
            <w:tcBorders>
              <w:top w:val="nil"/>
              <w:left w:val="nil"/>
              <w:bottom w:val="single" w:sz="4" w:space="0" w:color="auto"/>
              <w:right w:val="single" w:sz="4" w:space="0" w:color="auto"/>
            </w:tcBorders>
            <w:noWrap/>
            <w:hideMark/>
          </w:tcPr>
          <w:p w14:paraId="6F1FA07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2B5C134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065B819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noWrap/>
            <w:hideMark/>
          </w:tcPr>
          <w:p w14:paraId="7F87B46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141FD95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 psw</w:t>
            </w:r>
          </w:p>
        </w:tc>
        <w:tc>
          <w:tcPr>
            <w:tcW w:w="811" w:type="dxa"/>
            <w:tcBorders>
              <w:top w:val="nil"/>
              <w:left w:val="nil"/>
              <w:bottom w:val="single" w:sz="4" w:space="0" w:color="auto"/>
              <w:right w:val="single" w:sz="4" w:space="0" w:color="auto"/>
            </w:tcBorders>
            <w:noWrap/>
            <w:hideMark/>
          </w:tcPr>
          <w:p w14:paraId="24E27C7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 sw</w:t>
            </w:r>
          </w:p>
        </w:tc>
        <w:tc>
          <w:tcPr>
            <w:tcW w:w="839" w:type="dxa"/>
            <w:tcBorders>
              <w:top w:val="nil"/>
              <w:left w:val="nil"/>
              <w:bottom w:val="single" w:sz="4" w:space="0" w:color="auto"/>
              <w:right w:val="single" w:sz="4" w:space="0" w:color="auto"/>
            </w:tcBorders>
            <w:noWrap/>
            <w:hideMark/>
          </w:tcPr>
          <w:p w14:paraId="1FCD6CC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 sw</w:t>
            </w:r>
          </w:p>
        </w:tc>
        <w:tc>
          <w:tcPr>
            <w:tcW w:w="750" w:type="dxa"/>
            <w:tcBorders>
              <w:top w:val="nil"/>
              <w:left w:val="nil"/>
              <w:bottom w:val="single" w:sz="4" w:space="0" w:color="auto"/>
              <w:right w:val="single" w:sz="4" w:space="0" w:color="auto"/>
            </w:tcBorders>
            <w:noWrap/>
            <w:hideMark/>
          </w:tcPr>
          <w:p w14:paraId="26D29A5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 sw</w:t>
            </w:r>
          </w:p>
        </w:tc>
        <w:tc>
          <w:tcPr>
            <w:tcW w:w="811" w:type="dxa"/>
            <w:tcBorders>
              <w:top w:val="nil"/>
              <w:left w:val="nil"/>
              <w:bottom w:val="single" w:sz="4" w:space="0" w:color="auto"/>
              <w:right w:val="single" w:sz="4" w:space="0" w:color="auto"/>
            </w:tcBorders>
            <w:noWrap/>
            <w:hideMark/>
          </w:tcPr>
          <w:p w14:paraId="7878784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4,4</w:t>
            </w:r>
          </w:p>
        </w:tc>
        <w:tc>
          <w:tcPr>
            <w:tcW w:w="839" w:type="dxa"/>
            <w:tcBorders>
              <w:top w:val="nil"/>
              <w:left w:val="nil"/>
              <w:bottom w:val="single" w:sz="4" w:space="0" w:color="auto"/>
              <w:right w:val="single" w:sz="4" w:space="0" w:color="auto"/>
            </w:tcBorders>
            <w:noWrap/>
            <w:hideMark/>
          </w:tcPr>
          <w:p w14:paraId="40AA8F1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 sw</w:t>
            </w:r>
          </w:p>
        </w:tc>
        <w:tc>
          <w:tcPr>
            <w:tcW w:w="839" w:type="dxa"/>
            <w:tcBorders>
              <w:top w:val="nil"/>
              <w:left w:val="nil"/>
              <w:bottom w:val="single" w:sz="4" w:space="0" w:color="auto"/>
              <w:right w:val="single" w:sz="4" w:space="0" w:color="auto"/>
            </w:tcBorders>
            <w:noWrap/>
            <w:hideMark/>
          </w:tcPr>
          <w:p w14:paraId="6A3F21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 sw</w:t>
            </w:r>
          </w:p>
        </w:tc>
        <w:tc>
          <w:tcPr>
            <w:tcW w:w="722" w:type="dxa"/>
            <w:tcBorders>
              <w:top w:val="nil"/>
              <w:left w:val="nil"/>
              <w:bottom w:val="single" w:sz="4" w:space="0" w:color="auto"/>
              <w:right w:val="single" w:sz="4" w:space="0" w:color="auto"/>
            </w:tcBorders>
            <w:noWrap/>
            <w:hideMark/>
          </w:tcPr>
          <w:p w14:paraId="13031F5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noWrap/>
            <w:hideMark/>
          </w:tcPr>
          <w:p w14:paraId="79D4F57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 sw</w:t>
            </w:r>
          </w:p>
        </w:tc>
        <w:tc>
          <w:tcPr>
            <w:tcW w:w="840" w:type="dxa"/>
            <w:tcBorders>
              <w:top w:val="nil"/>
              <w:left w:val="nil"/>
              <w:bottom w:val="single" w:sz="4" w:space="0" w:color="auto"/>
              <w:right w:val="single" w:sz="4" w:space="0" w:color="auto"/>
            </w:tcBorders>
            <w:noWrap/>
            <w:hideMark/>
          </w:tcPr>
          <w:p w14:paraId="79DA837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 sw</w:t>
            </w:r>
          </w:p>
        </w:tc>
        <w:tc>
          <w:tcPr>
            <w:tcW w:w="840" w:type="dxa"/>
            <w:tcBorders>
              <w:top w:val="nil"/>
              <w:left w:val="nil"/>
              <w:bottom w:val="single" w:sz="4" w:space="0" w:color="auto"/>
              <w:right w:val="single" w:sz="4" w:space="0" w:color="auto"/>
            </w:tcBorders>
            <w:noWrap/>
            <w:hideMark/>
          </w:tcPr>
          <w:p w14:paraId="4EF1676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4,7 d</w:t>
            </w:r>
          </w:p>
        </w:tc>
        <w:tc>
          <w:tcPr>
            <w:tcW w:w="840" w:type="dxa"/>
            <w:tcBorders>
              <w:top w:val="nil"/>
              <w:left w:val="nil"/>
              <w:bottom w:val="single" w:sz="4" w:space="0" w:color="auto"/>
              <w:right w:val="single" w:sz="4" w:space="0" w:color="auto"/>
            </w:tcBorders>
            <w:noWrap/>
            <w:hideMark/>
          </w:tcPr>
          <w:p w14:paraId="1E17F2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4F722D15" w14:textId="77777777" w:rsidTr="009549F1">
        <w:trPr>
          <w:trHeight w:val="675"/>
        </w:trPr>
        <w:tc>
          <w:tcPr>
            <w:tcW w:w="2443" w:type="dxa"/>
            <w:tcBorders>
              <w:top w:val="nil"/>
              <w:left w:val="single" w:sz="4" w:space="0" w:color="auto"/>
              <w:bottom w:val="single" w:sz="4" w:space="0" w:color="auto"/>
              <w:right w:val="single" w:sz="4" w:space="0" w:color="auto"/>
            </w:tcBorders>
            <w:hideMark/>
          </w:tcPr>
          <w:p w14:paraId="64CFF93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20 do 24 godine s najviše nižim sekundarnim obrazovanjem, ukupno</w:t>
            </w:r>
          </w:p>
        </w:tc>
        <w:tc>
          <w:tcPr>
            <w:tcW w:w="557" w:type="dxa"/>
            <w:tcBorders>
              <w:top w:val="nil"/>
              <w:left w:val="nil"/>
              <w:bottom w:val="single" w:sz="4" w:space="0" w:color="auto"/>
              <w:right w:val="single" w:sz="4" w:space="0" w:color="auto"/>
            </w:tcBorders>
            <w:noWrap/>
            <w:hideMark/>
          </w:tcPr>
          <w:p w14:paraId="1998C4F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14C8251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w:t>
            </w:r>
          </w:p>
        </w:tc>
        <w:tc>
          <w:tcPr>
            <w:tcW w:w="840" w:type="dxa"/>
            <w:tcBorders>
              <w:top w:val="nil"/>
              <w:left w:val="nil"/>
              <w:bottom w:val="single" w:sz="4" w:space="0" w:color="auto"/>
              <w:right w:val="single" w:sz="4" w:space="0" w:color="auto"/>
            </w:tcBorders>
            <w:noWrap/>
            <w:hideMark/>
          </w:tcPr>
          <w:p w14:paraId="5D43F7D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1388B39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8,1</w:t>
            </w:r>
          </w:p>
        </w:tc>
        <w:tc>
          <w:tcPr>
            <w:tcW w:w="750" w:type="dxa"/>
            <w:tcBorders>
              <w:top w:val="nil"/>
              <w:left w:val="nil"/>
              <w:bottom w:val="single" w:sz="4" w:space="0" w:color="auto"/>
              <w:right w:val="single" w:sz="4" w:space="0" w:color="auto"/>
            </w:tcBorders>
            <w:noWrap/>
            <w:hideMark/>
          </w:tcPr>
          <w:p w14:paraId="7E5DE38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w:t>
            </w:r>
          </w:p>
        </w:tc>
        <w:tc>
          <w:tcPr>
            <w:tcW w:w="839" w:type="dxa"/>
            <w:tcBorders>
              <w:top w:val="nil"/>
              <w:left w:val="nil"/>
              <w:bottom w:val="single" w:sz="4" w:space="0" w:color="auto"/>
              <w:right w:val="single" w:sz="4" w:space="0" w:color="auto"/>
            </w:tcBorders>
            <w:noWrap/>
            <w:hideMark/>
          </w:tcPr>
          <w:p w14:paraId="72EE4C5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3AF39C8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2EC857F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w:t>
            </w:r>
          </w:p>
        </w:tc>
        <w:tc>
          <w:tcPr>
            <w:tcW w:w="750" w:type="dxa"/>
            <w:tcBorders>
              <w:top w:val="nil"/>
              <w:left w:val="nil"/>
              <w:bottom w:val="single" w:sz="4" w:space="0" w:color="auto"/>
              <w:right w:val="single" w:sz="4" w:space="0" w:color="auto"/>
            </w:tcBorders>
            <w:noWrap/>
            <w:hideMark/>
          </w:tcPr>
          <w:p w14:paraId="56E424D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w:t>
            </w:r>
          </w:p>
        </w:tc>
        <w:tc>
          <w:tcPr>
            <w:tcW w:w="811" w:type="dxa"/>
            <w:tcBorders>
              <w:top w:val="nil"/>
              <w:left w:val="nil"/>
              <w:bottom w:val="single" w:sz="4" w:space="0" w:color="auto"/>
              <w:right w:val="single" w:sz="4" w:space="0" w:color="auto"/>
            </w:tcBorders>
            <w:noWrap/>
            <w:hideMark/>
          </w:tcPr>
          <w:p w14:paraId="0965C1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38,0</w:t>
            </w:r>
          </w:p>
        </w:tc>
        <w:tc>
          <w:tcPr>
            <w:tcW w:w="839" w:type="dxa"/>
            <w:tcBorders>
              <w:top w:val="nil"/>
              <w:left w:val="nil"/>
              <w:bottom w:val="single" w:sz="4" w:space="0" w:color="auto"/>
              <w:right w:val="single" w:sz="4" w:space="0" w:color="auto"/>
            </w:tcBorders>
            <w:noWrap/>
            <w:hideMark/>
          </w:tcPr>
          <w:p w14:paraId="1FB8F42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34,4</w:t>
            </w:r>
          </w:p>
        </w:tc>
        <w:tc>
          <w:tcPr>
            <w:tcW w:w="839" w:type="dxa"/>
            <w:tcBorders>
              <w:top w:val="nil"/>
              <w:left w:val="nil"/>
              <w:bottom w:val="single" w:sz="4" w:space="0" w:color="auto"/>
              <w:right w:val="single" w:sz="4" w:space="0" w:color="auto"/>
            </w:tcBorders>
            <w:noWrap/>
            <w:hideMark/>
          </w:tcPr>
          <w:p w14:paraId="157AE89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noWrap/>
            <w:hideMark/>
          </w:tcPr>
          <w:p w14:paraId="273A993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 bw</w:t>
            </w:r>
          </w:p>
        </w:tc>
        <w:tc>
          <w:tcPr>
            <w:tcW w:w="720" w:type="dxa"/>
            <w:tcBorders>
              <w:top w:val="nil"/>
              <w:left w:val="nil"/>
              <w:bottom w:val="single" w:sz="4" w:space="0" w:color="auto"/>
              <w:right w:val="single" w:sz="4" w:space="0" w:color="auto"/>
            </w:tcBorders>
            <w:noWrap/>
            <w:hideMark/>
          </w:tcPr>
          <w:p w14:paraId="0E14A61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8,6 w</w:t>
            </w:r>
          </w:p>
        </w:tc>
        <w:tc>
          <w:tcPr>
            <w:tcW w:w="840" w:type="dxa"/>
            <w:tcBorders>
              <w:top w:val="nil"/>
              <w:left w:val="nil"/>
              <w:bottom w:val="single" w:sz="4" w:space="0" w:color="auto"/>
              <w:right w:val="single" w:sz="4" w:space="0" w:color="auto"/>
            </w:tcBorders>
            <w:noWrap/>
            <w:hideMark/>
          </w:tcPr>
          <w:p w14:paraId="4934119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10,2 w</w:t>
            </w:r>
          </w:p>
        </w:tc>
        <w:tc>
          <w:tcPr>
            <w:tcW w:w="840" w:type="dxa"/>
            <w:tcBorders>
              <w:top w:val="nil"/>
              <w:left w:val="nil"/>
              <w:bottom w:val="single" w:sz="4" w:space="0" w:color="auto"/>
              <w:right w:val="single" w:sz="4" w:space="0" w:color="auto"/>
            </w:tcBorders>
            <w:noWrap/>
            <w:hideMark/>
          </w:tcPr>
          <w:p w14:paraId="6D940D9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16,5</w:t>
            </w:r>
          </w:p>
        </w:tc>
        <w:tc>
          <w:tcPr>
            <w:tcW w:w="840" w:type="dxa"/>
            <w:tcBorders>
              <w:top w:val="nil"/>
              <w:left w:val="nil"/>
              <w:bottom w:val="single" w:sz="4" w:space="0" w:color="auto"/>
              <w:right w:val="single" w:sz="4" w:space="0" w:color="auto"/>
            </w:tcBorders>
            <w:noWrap/>
            <w:hideMark/>
          </w:tcPr>
          <w:p w14:paraId="63DA79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15,7</w:t>
            </w:r>
          </w:p>
        </w:tc>
      </w:tr>
      <w:tr w:rsidR="00221F1C" w14:paraId="33A2D21C" w14:textId="77777777" w:rsidTr="009549F1">
        <w:trPr>
          <w:trHeight w:val="675"/>
        </w:trPr>
        <w:tc>
          <w:tcPr>
            <w:tcW w:w="2443" w:type="dxa"/>
            <w:tcBorders>
              <w:top w:val="nil"/>
              <w:left w:val="single" w:sz="4" w:space="0" w:color="auto"/>
              <w:bottom w:val="single" w:sz="4" w:space="0" w:color="auto"/>
              <w:right w:val="single" w:sz="4" w:space="0" w:color="auto"/>
            </w:tcBorders>
            <w:hideMark/>
          </w:tcPr>
          <w:p w14:paraId="6A38659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20 do 24 godine s najviše nižim sekundarnim obrazovanjem, muškarci</w:t>
            </w:r>
          </w:p>
        </w:tc>
        <w:tc>
          <w:tcPr>
            <w:tcW w:w="557" w:type="dxa"/>
            <w:tcBorders>
              <w:top w:val="nil"/>
              <w:left w:val="nil"/>
              <w:bottom w:val="single" w:sz="4" w:space="0" w:color="auto"/>
              <w:right w:val="single" w:sz="4" w:space="0" w:color="auto"/>
            </w:tcBorders>
            <w:noWrap/>
            <w:hideMark/>
          </w:tcPr>
          <w:p w14:paraId="109DCEA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110CFD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A77896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16E00A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w:t>
            </w:r>
          </w:p>
        </w:tc>
        <w:tc>
          <w:tcPr>
            <w:tcW w:w="750" w:type="dxa"/>
            <w:tcBorders>
              <w:top w:val="nil"/>
              <w:left w:val="nil"/>
              <w:bottom w:val="single" w:sz="4" w:space="0" w:color="auto"/>
              <w:right w:val="single" w:sz="4" w:space="0" w:color="auto"/>
            </w:tcBorders>
            <w:noWrap/>
            <w:hideMark/>
          </w:tcPr>
          <w:p w14:paraId="2BF5B8B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w:t>
            </w:r>
          </w:p>
        </w:tc>
        <w:tc>
          <w:tcPr>
            <w:tcW w:w="839" w:type="dxa"/>
            <w:tcBorders>
              <w:top w:val="nil"/>
              <w:left w:val="nil"/>
              <w:bottom w:val="single" w:sz="4" w:space="0" w:color="auto"/>
              <w:right w:val="single" w:sz="4" w:space="0" w:color="auto"/>
            </w:tcBorders>
            <w:noWrap/>
            <w:hideMark/>
          </w:tcPr>
          <w:p w14:paraId="0CBC86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3793ACC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3758BE8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w:t>
            </w:r>
          </w:p>
        </w:tc>
        <w:tc>
          <w:tcPr>
            <w:tcW w:w="750" w:type="dxa"/>
            <w:tcBorders>
              <w:top w:val="nil"/>
              <w:left w:val="nil"/>
              <w:bottom w:val="single" w:sz="4" w:space="0" w:color="auto"/>
              <w:right w:val="single" w:sz="4" w:space="0" w:color="auto"/>
            </w:tcBorders>
            <w:noWrap/>
            <w:hideMark/>
          </w:tcPr>
          <w:p w14:paraId="62918E7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6,0</w:t>
            </w:r>
          </w:p>
        </w:tc>
        <w:tc>
          <w:tcPr>
            <w:tcW w:w="811" w:type="dxa"/>
            <w:tcBorders>
              <w:top w:val="nil"/>
              <w:left w:val="nil"/>
              <w:bottom w:val="single" w:sz="4" w:space="0" w:color="auto"/>
              <w:right w:val="single" w:sz="4" w:space="0" w:color="auto"/>
            </w:tcBorders>
            <w:noWrap/>
            <w:hideMark/>
          </w:tcPr>
          <w:p w14:paraId="0513542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39,5</w:t>
            </w:r>
          </w:p>
        </w:tc>
        <w:tc>
          <w:tcPr>
            <w:tcW w:w="839" w:type="dxa"/>
            <w:tcBorders>
              <w:top w:val="nil"/>
              <w:left w:val="nil"/>
              <w:bottom w:val="single" w:sz="4" w:space="0" w:color="auto"/>
              <w:right w:val="single" w:sz="4" w:space="0" w:color="auto"/>
            </w:tcBorders>
            <w:noWrap/>
            <w:hideMark/>
          </w:tcPr>
          <w:p w14:paraId="518F5B3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36,7</w:t>
            </w:r>
          </w:p>
        </w:tc>
        <w:tc>
          <w:tcPr>
            <w:tcW w:w="839" w:type="dxa"/>
            <w:tcBorders>
              <w:top w:val="nil"/>
              <w:left w:val="nil"/>
              <w:bottom w:val="single" w:sz="4" w:space="0" w:color="auto"/>
              <w:right w:val="single" w:sz="4" w:space="0" w:color="auto"/>
            </w:tcBorders>
            <w:noWrap/>
            <w:hideMark/>
          </w:tcPr>
          <w:p w14:paraId="03AB360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noWrap/>
            <w:hideMark/>
          </w:tcPr>
          <w:p w14:paraId="5A449DB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 bw</w:t>
            </w:r>
          </w:p>
        </w:tc>
        <w:tc>
          <w:tcPr>
            <w:tcW w:w="720" w:type="dxa"/>
            <w:tcBorders>
              <w:top w:val="nil"/>
              <w:left w:val="nil"/>
              <w:bottom w:val="single" w:sz="4" w:space="0" w:color="auto"/>
              <w:right w:val="single" w:sz="4" w:space="0" w:color="auto"/>
            </w:tcBorders>
            <w:noWrap/>
            <w:hideMark/>
          </w:tcPr>
          <w:p w14:paraId="1563099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 w</w:t>
            </w:r>
          </w:p>
        </w:tc>
        <w:tc>
          <w:tcPr>
            <w:tcW w:w="840" w:type="dxa"/>
            <w:tcBorders>
              <w:top w:val="nil"/>
              <w:left w:val="nil"/>
              <w:bottom w:val="single" w:sz="4" w:space="0" w:color="auto"/>
              <w:right w:val="single" w:sz="4" w:space="0" w:color="auto"/>
            </w:tcBorders>
            <w:noWrap/>
            <w:hideMark/>
          </w:tcPr>
          <w:p w14:paraId="1372A6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9,1 w</w:t>
            </w:r>
          </w:p>
        </w:tc>
        <w:tc>
          <w:tcPr>
            <w:tcW w:w="840" w:type="dxa"/>
            <w:tcBorders>
              <w:top w:val="nil"/>
              <w:left w:val="nil"/>
              <w:bottom w:val="single" w:sz="4" w:space="0" w:color="auto"/>
              <w:right w:val="single" w:sz="4" w:space="0" w:color="auto"/>
            </w:tcBorders>
            <w:noWrap/>
            <w:hideMark/>
          </w:tcPr>
          <w:p w14:paraId="307846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19,0</w:t>
            </w:r>
          </w:p>
        </w:tc>
        <w:tc>
          <w:tcPr>
            <w:tcW w:w="840" w:type="dxa"/>
            <w:tcBorders>
              <w:top w:val="nil"/>
              <w:left w:val="nil"/>
              <w:bottom w:val="single" w:sz="4" w:space="0" w:color="auto"/>
              <w:right w:val="single" w:sz="4" w:space="0" w:color="auto"/>
            </w:tcBorders>
            <w:noWrap/>
            <w:hideMark/>
          </w:tcPr>
          <w:p w14:paraId="11242B6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18,5</w:t>
            </w:r>
          </w:p>
        </w:tc>
      </w:tr>
      <w:tr w:rsidR="00221F1C" w14:paraId="2CE9861B" w14:textId="77777777" w:rsidTr="009549F1">
        <w:trPr>
          <w:trHeight w:val="675"/>
        </w:trPr>
        <w:tc>
          <w:tcPr>
            <w:tcW w:w="2443" w:type="dxa"/>
            <w:tcBorders>
              <w:top w:val="nil"/>
              <w:left w:val="single" w:sz="4" w:space="0" w:color="auto"/>
              <w:bottom w:val="single" w:sz="4" w:space="0" w:color="auto"/>
              <w:right w:val="single" w:sz="4" w:space="0" w:color="auto"/>
            </w:tcBorders>
            <w:hideMark/>
          </w:tcPr>
          <w:p w14:paraId="08634A0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20 do 24 godine s najviše nižim sekundarnim obrazovanjem, žene</w:t>
            </w:r>
          </w:p>
        </w:tc>
        <w:tc>
          <w:tcPr>
            <w:tcW w:w="557" w:type="dxa"/>
            <w:tcBorders>
              <w:top w:val="nil"/>
              <w:left w:val="nil"/>
              <w:bottom w:val="single" w:sz="4" w:space="0" w:color="auto"/>
              <w:right w:val="single" w:sz="4" w:space="0" w:color="auto"/>
            </w:tcBorders>
            <w:noWrap/>
            <w:hideMark/>
          </w:tcPr>
          <w:p w14:paraId="641B977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118E1DB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1417213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5662211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9,9</w:t>
            </w:r>
          </w:p>
        </w:tc>
        <w:tc>
          <w:tcPr>
            <w:tcW w:w="750" w:type="dxa"/>
            <w:tcBorders>
              <w:top w:val="nil"/>
              <w:left w:val="nil"/>
              <w:bottom w:val="single" w:sz="4" w:space="0" w:color="auto"/>
              <w:right w:val="single" w:sz="4" w:space="0" w:color="auto"/>
            </w:tcBorders>
            <w:noWrap/>
            <w:hideMark/>
          </w:tcPr>
          <w:p w14:paraId="0D9CF8C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w:t>
            </w:r>
          </w:p>
        </w:tc>
        <w:tc>
          <w:tcPr>
            <w:tcW w:w="839" w:type="dxa"/>
            <w:tcBorders>
              <w:top w:val="nil"/>
              <w:left w:val="nil"/>
              <w:bottom w:val="single" w:sz="4" w:space="0" w:color="auto"/>
              <w:right w:val="single" w:sz="4" w:space="0" w:color="auto"/>
            </w:tcBorders>
            <w:noWrap/>
            <w:hideMark/>
          </w:tcPr>
          <w:p w14:paraId="59FFC5D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445514F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0F11C4A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7,6</w:t>
            </w:r>
          </w:p>
        </w:tc>
        <w:tc>
          <w:tcPr>
            <w:tcW w:w="750" w:type="dxa"/>
            <w:tcBorders>
              <w:top w:val="nil"/>
              <w:left w:val="nil"/>
              <w:bottom w:val="single" w:sz="4" w:space="0" w:color="auto"/>
              <w:right w:val="single" w:sz="4" w:space="0" w:color="auto"/>
            </w:tcBorders>
            <w:noWrap/>
            <w:hideMark/>
          </w:tcPr>
          <w:p w14:paraId="37B250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6,8</w:t>
            </w:r>
          </w:p>
        </w:tc>
        <w:tc>
          <w:tcPr>
            <w:tcW w:w="811" w:type="dxa"/>
            <w:tcBorders>
              <w:top w:val="nil"/>
              <w:left w:val="nil"/>
              <w:bottom w:val="single" w:sz="4" w:space="0" w:color="auto"/>
              <w:right w:val="single" w:sz="4" w:space="0" w:color="auto"/>
            </w:tcBorders>
            <w:noWrap/>
            <w:hideMark/>
          </w:tcPr>
          <w:p w14:paraId="4EB6CA1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36,6</w:t>
            </w:r>
          </w:p>
        </w:tc>
        <w:tc>
          <w:tcPr>
            <w:tcW w:w="839" w:type="dxa"/>
            <w:tcBorders>
              <w:top w:val="nil"/>
              <w:left w:val="nil"/>
              <w:bottom w:val="single" w:sz="4" w:space="0" w:color="auto"/>
              <w:right w:val="single" w:sz="4" w:space="0" w:color="auto"/>
            </w:tcBorders>
            <w:noWrap/>
            <w:hideMark/>
          </w:tcPr>
          <w:p w14:paraId="5573780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32,2</w:t>
            </w:r>
          </w:p>
        </w:tc>
        <w:tc>
          <w:tcPr>
            <w:tcW w:w="839" w:type="dxa"/>
            <w:tcBorders>
              <w:top w:val="nil"/>
              <w:left w:val="nil"/>
              <w:bottom w:val="single" w:sz="4" w:space="0" w:color="auto"/>
              <w:right w:val="single" w:sz="4" w:space="0" w:color="auto"/>
            </w:tcBorders>
            <w:noWrap/>
            <w:hideMark/>
          </w:tcPr>
          <w:p w14:paraId="49D0435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noWrap/>
            <w:hideMark/>
          </w:tcPr>
          <w:p w14:paraId="55B42D2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 bw</w:t>
            </w:r>
          </w:p>
        </w:tc>
        <w:tc>
          <w:tcPr>
            <w:tcW w:w="720" w:type="dxa"/>
            <w:tcBorders>
              <w:top w:val="nil"/>
              <w:left w:val="nil"/>
              <w:bottom w:val="single" w:sz="4" w:space="0" w:color="auto"/>
              <w:right w:val="single" w:sz="4" w:space="0" w:color="auto"/>
            </w:tcBorders>
            <w:noWrap/>
            <w:hideMark/>
          </w:tcPr>
          <w:p w14:paraId="7C362FF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9,6 w</w:t>
            </w:r>
          </w:p>
        </w:tc>
        <w:tc>
          <w:tcPr>
            <w:tcW w:w="840" w:type="dxa"/>
            <w:tcBorders>
              <w:top w:val="nil"/>
              <w:left w:val="nil"/>
              <w:bottom w:val="single" w:sz="4" w:space="0" w:color="auto"/>
              <w:right w:val="single" w:sz="4" w:space="0" w:color="auto"/>
            </w:tcBorders>
            <w:noWrap/>
            <w:hideMark/>
          </w:tcPr>
          <w:p w14:paraId="45DB63B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11,5 w</w:t>
            </w:r>
          </w:p>
        </w:tc>
        <w:tc>
          <w:tcPr>
            <w:tcW w:w="840" w:type="dxa"/>
            <w:tcBorders>
              <w:top w:val="nil"/>
              <w:left w:val="nil"/>
              <w:bottom w:val="single" w:sz="4" w:space="0" w:color="auto"/>
              <w:right w:val="single" w:sz="4" w:space="0" w:color="auto"/>
            </w:tcBorders>
            <w:noWrap/>
            <w:hideMark/>
          </w:tcPr>
          <w:p w14:paraId="0C8DFBF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13,8</w:t>
            </w:r>
          </w:p>
        </w:tc>
        <w:tc>
          <w:tcPr>
            <w:tcW w:w="840" w:type="dxa"/>
            <w:tcBorders>
              <w:top w:val="nil"/>
              <w:left w:val="nil"/>
              <w:bottom w:val="single" w:sz="4" w:space="0" w:color="auto"/>
              <w:right w:val="single" w:sz="4" w:space="0" w:color="auto"/>
            </w:tcBorders>
            <w:noWrap/>
            <w:hideMark/>
          </w:tcPr>
          <w:p w14:paraId="3E06FB7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12,9</w:t>
            </w:r>
          </w:p>
        </w:tc>
      </w:tr>
      <w:tr w:rsidR="00221F1C" w14:paraId="4B22CCD4" w14:textId="77777777" w:rsidTr="009549F1">
        <w:trPr>
          <w:trHeight w:val="450"/>
        </w:trPr>
        <w:tc>
          <w:tcPr>
            <w:tcW w:w="2443" w:type="dxa"/>
            <w:tcBorders>
              <w:top w:val="nil"/>
              <w:left w:val="single" w:sz="4" w:space="0" w:color="auto"/>
              <w:bottom w:val="single" w:sz="4" w:space="0" w:color="auto"/>
              <w:right w:val="single" w:sz="4" w:space="0" w:color="auto"/>
            </w:tcBorders>
            <w:hideMark/>
          </w:tcPr>
          <w:p w14:paraId="15CA820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20 do 24 godine s višim sekundarnim ili postsekundarnim netercijarnim obrazovanjem, ukupno</w:t>
            </w:r>
          </w:p>
        </w:tc>
        <w:tc>
          <w:tcPr>
            <w:tcW w:w="557" w:type="dxa"/>
            <w:tcBorders>
              <w:top w:val="nil"/>
              <w:left w:val="nil"/>
              <w:bottom w:val="single" w:sz="4" w:space="0" w:color="auto"/>
              <w:right w:val="single" w:sz="4" w:space="0" w:color="auto"/>
            </w:tcBorders>
            <w:noWrap/>
            <w:hideMark/>
          </w:tcPr>
          <w:p w14:paraId="14EB975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2D1AD3E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82,4</w:t>
            </w:r>
          </w:p>
        </w:tc>
        <w:tc>
          <w:tcPr>
            <w:tcW w:w="840" w:type="dxa"/>
            <w:tcBorders>
              <w:top w:val="nil"/>
              <w:left w:val="nil"/>
              <w:bottom w:val="single" w:sz="4" w:space="0" w:color="auto"/>
              <w:right w:val="single" w:sz="4" w:space="0" w:color="auto"/>
            </w:tcBorders>
            <w:noWrap/>
            <w:hideMark/>
          </w:tcPr>
          <w:p w14:paraId="79402E3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83,3</w:t>
            </w:r>
          </w:p>
        </w:tc>
        <w:tc>
          <w:tcPr>
            <w:tcW w:w="840" w:type="dxa"/>
            <w:tcBorders>
              <w:top w:val="nil"/>
              <w:left w:val="nil"/>
              <w:bottom w:val="single" w:sz="4" w:space="0" w:color="auto"/>
              <w:right w:val="single" w:sz="4" w:space="0" w:color="auto"/>
            </w:tcBorders>
            <w:noWrap/>
            <w:hideMark/>
          </w:tcPr>
          <w:p w14:paraId="2E38EF8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83,7</w:t>
            </w:r>
          </w:p>
        </w:tc>
        <w:tc>
          <w:tcPr>
            <w:tcW w:w="750" w:type="dxa"/>
            <w:tcBorders>
              <w:top w:val="nil"/>
              <w:left w:val="nil"/>
              <w:bottom w:val="single" w:sz="4" w:space="0" w:color="auto"/>
              <w:right w:val="single" w:sz="4" w:space="0" w:color="auto"/>
            </w:tcBorders>
            <w:noWrap/>
            <w:hideMark/>
          </w:tcPr>
          <w:p w14:paraId="594922A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85,2</w:t>
            </w:r>
          </w:p>
        </w:tc>
        <w:tc>
          <w:tcPr>
            <w:tcW w:w="839" w:type="dxa"/>
            <w:tcBorders>
              <w:top w:val="nil"/>
              <w:left w:val="nil"/>
              <w:bottom w:val="single" w:sz="4" w:space="0" w:color="auto"/>
              <w:right w:val="single" w:sz="4" w:space="0" w:color="auto"/>
            </w:tcBorders>
            <w:noWrap/>
            <w:hideMark/>
          </w:tcPr>
          <w:p w14:paraId="65C3EF2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28BAC71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2074BD5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85,9</w:t>
            </w:r>
          </w:p>
        </w:tc>
        <w:tc>
          <w:tcPr>
            <w:tcW w:w="750" w:type="dxa"/>
            <w:tcBorders>
              <w:top w:val="nil"/>
              <w:left w:val="nil"/>
              <w:bottom w:val="single" w:sz="4" w:space="0" w:color="auto"/>
              <w:right w:val="single" w:sz="4" w:space="0" w:color="auto"/>
            </w:tcBorders>
            <w:noWrap/>
            <w:hideMark/>
          </w:tcPr>
          <w:p w14:paraId="3990490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85,4</w:t>
            </w:r>
          </w:p>
        </w:tc>
        <w:tc>
          <w:tcPr>
            <w:tcW w:w="811" w:type="dxa"/>
            <w:tcBorders>
              <w:top w:val="nil"/>
              <w:left w:val="nil"/>
              <w:bottom w:val="single" w:sz="4" w:space="0" w:color="auto"/>
              <w:right w:val="single" w:sz="4" w:space="0" w:color="auto"/>
            </w:tcBorders>
            <w:noWrap/>
            <w:hideMark/>
          </w:tcPr>
          <w:p w14:paraId="6F4DB77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39,8</w:t>
            </w:r>
          </w:p>
        </w:tc>
        <w:tc>
          <w:tcPr>
            <w:tcW w:w="839" w:type="dxa"/>
            <w:tcBorders>
              <w:top w:val="nil"/>
              <w:left w:val="nil"/>
              <w:bottom w:val="single" w:sz="4" w:space="0" w:color="auto"/>
              <w:right w:val="single" w:sz="4" w:space="0" w:color="auto"/>
            </w:tcBorders>
            <w:noWrap/>
            <w:hideMark/>
          </w:tcPr>
          <w:p w14:paraId="1384B6C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43,1</w:t>
            </w:r>
          </w:p>
        </w:tc>
        <w:tc>
          <w:tcPr>
            <w:tcW w:w="839" w:type="dxa"/>
            <w:tcBorders>
              <w:top w:val="nil"/>
              <w:left w:val="nil"/>
              <w:bottom w:val="single" w:sz="4" w:space="0" w:color="auto"/>
              <w:right w:val="single" w:sz="4" w:space="0" w:color="auto"/>
            </w:tcBorders>
            <w:noWrap/>
            <w:hideMark/>
          </w:tcPr>
          <w:p w14:paraId="6565136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87,3 w</w:t>
            </w:r>
          </w:p>
        </w:tc>
        <w:tc>
          <w:tcPr>
            <w:tcW w:w="722" w:type="dxa"/>
            <w:tcBorders>
              <w:top w:val="nil"/>
              <w:left w:val="nil"/>
              <w:bottom w:val="single" w:sz="4" w:space="0" w:color="auto"/>
              <w:right w:val="single" w:sz="4" w:space="0" w:color="auto"/>
            </w:tcBorders>
            <w:noWrap/>
            <w:hideMark/>
          </w:tcPr>
          <w:p w14:paraId="71A68D8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84,2 bw</w:t>
            </w:r>
          </w:p>
        </w:tc>
        <w:tc>
          <w:tcPr>
            <w:tcW w:w="720" w:type="dxa"/>
            <w:tcBorders>
              <w:top w:val="nil"/>
              <w:left w:val="nil"/>
              <w:bottom w:val="single" w:sz="4" w:space="0" w:color="auto"/>
              <w:right w:val="single" w:sz="4" w:space="0" w:color="auto"/>
            </w:tcBorders>
            <w:noWrap/>
            <w:hideMark/>
          </w:tcPr>
          <w:p w14:paraId="1D90E4A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78,9 w</w:t>
            </w:r>
          </w:p>
        </w:tc>
        <w:tc>
          <w:tcPr>
            <w:tcW w:w="840" w:type="dxa"/>
            <w:tcBorders>
              <w:top w:val="nil"/>
              <w:left w:val="nil"/>
              <w:bottom w:val="single" w:sz="4" w:space="0" w:color="auto"/>
              <w:right w:val="single" w:sz="4" w:space="0" w:color="auto"/>
            </w:tcBorders>
            <w:noWrap/>
            <w:hideMark/>
          </w:tcPr>
          <w:p w14:paraId="5AA024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78,8 w</w:t>
            </w:r>
          </w:p>
        </w:tc>
        <w:tc>
          <w:tcPr>
            <w:tcW w:w="840" w:type="dxa"/>
            <w:tcBorders>
              <w:top w:val="nil"/>
              <w:left w:val="nil"/>
              <w:bottom w:val="single" w:sz="4" w:space="0" w:color="auto"/>
              <w:right w:val="single" w:sz="4" w:space="0" w:color="auto"/>
            </w:tcBorders>
            <w:noWrap/>
            <w:hideMark/>
          </w:tcPr>
          <w:p w14:paraId="4CAAA93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66,6</w:t>
            </w:r>
          </w:p>
        </w:tc>
        <w:tc>
          <w:tcPr>
            <w:tcW w:w="840" w:type="dxa"/>
            <w:tcBorders>
              <w:top w:val="nil"/>
              <w:left w:val="nil"/>
              <w:bottom w:val="single" w:sz="4" w:space="0" w:color="auto"/>
              <w:right w:val="single" w:sz="4" w:space="0" w:color="auto"/>
            </w:tcBorders>
            <w:noWrap/>
            <w:hideMark/>
          </w:tcPr>
          <w:p w14:paraId="4A2A12D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66,8</w:t>
            </w:r>
          </w:p>
        </w:tc>
      </w:tr>
      <w:tr w:rsidR="00221F1C" w14:paraId="29F80759" w14:textId="77777777" w:rsidTr="009549F1">
        <w:trPr>
          <w:trHeight w:val="450"/>
        </w:trPr>
        <w:tc>
          <w:tcPr>
            <w:tcW w:w="2443" w:type="dxa"/>
            <w:tcBorders>
              <w:top w:val="nil"/>
              <w:left w:val="single" w:sz="4" w:space="0" w:color="auto"/>
              <w:bottom w:val="single" w:sz="4" w:space="0" w:color="auto"/>
              <w:right w:val="single" w:sz="4" w:space="0" w:color="auto"/>
            </w:tcBorders>
            <w:hideMark/>
          </w:tcPr>
          <w:p w14:paraId="1118B65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20 do 24 godine s višim sekundarnim ili postsekundarnim netercijarnim obrazovanjem, muškarci</w:t>
            </w:r>
          </w:p>
        </w:tc>
        <w:tc>
          <w:tcPr>
            <w:tcW w:w="557" w:type="dxa"/>
            <w:tcBorders>
              <w:top w:val="nil"/>
              <w:left w:val="nil"/>
              <w:bottom w:val="single" w:sz="4" w:space="0" w:color="auto"/>
              <w:right w:val="single" w:sz="4" w:space="0" w:color="auto"/>
            </w:tcBorders>
            <w:noWrap/>
            <w:hideMark/>
          </w:tcPr>
          <w:p w14:paraId="7C18BCF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5C17206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85,3</w:t>
            </w:r>
          </w:p>
        </w:tc>
        <w:tc>
          <w:tcPr>
            <w:tcW w:w="840" w:type="dxa"/>
            <w:tcBorders>
              <w:top w:val="nil"/>
              <w:left w:val="nil"/>
              <w:bottom w:val="single" w:sz="4" w:space="0" w:color="auto"/>
              <w:right w:val="single" w:sz="4" w:space="0" w:color="auto"/>
            </w:tcBorders>
            <w:noWrap/>
            <w:hideMark/>
          </w:tcPr>
          <w:p w14:paraId="7E422DC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85,7</w:t>
            </w:r>
          </w:p>
        </w:tc>
        <w:tc>
          <w:tcPr>
            <w:tcW w:w="840" w:type="dxa"/>
            <w:tcBorders>
              <w:top w:val="nil"/>
              <w:left w:val="nil"/>
              <w:bottom w:val="single" w:sz="4" w:space="0" w:color="auto"/>
              <w:right w:val="single" w:sz="4" w:space="0" w:color="auto"/>
            </w:tcBorders>
            <w:noWrap/>
            <w:hideMark/>
          </w:tcPr>
          <w:p w14:paraId="4BE35E3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87,6</w:t>
            </w:r>
          </w:p>
        </w:tc>
        <w:tc>
          <w:tcPr>
            <w:tcW w:w="750" w:type="dxa"/>
            <w:tcBorders>
              <w:top w:val="nil"/>
              <w:left w:val="nil"/>
              <w:bottom w:val="single" w:sz="4" w:space="0" w:color="auto"/>
              <w:right w:val="single" w:sz="4" w:space="0" w:color="auto"/>
            </w:tcBorders>
            <w:noWrap/>
            <w:hideMark/>
          </w:tcPr>
          <w:p w14:paraId="6CA2814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89,0</w:t>
            </w:r>
          </w:p>
        </w:tc>
        <w:tc>
          <w:tcPr>
            <w:tcW w:w="839" w:type="dxa"/>
            <w:tcBorders>
              <w:top w:val="nil"/>
              <w:left w:val="nil"/>
              <w:bottom w:val="single" w:sz="4" w:space="0" w:color="auto"/>
              <w:right w:val="single" w:sz="4" w:space="0" w:color="auto"/>
            </w:tcBorders>
            <w:noWrap/>
            <w:hideMark/>
          </w:tcPr>
          <w:p w14:paraId="31457E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5215668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1A0A36E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88,1</w:t>
            </w:r>
          </w:p>
        </w:tc>
        <w:tc>
          <w:tcPr>
            <w:tcW w:w="750" w:type="dxa"/>
            <w:tcBorders>
              <w:top w:val="nil"/>
              <w:left w:val="nil"/>
              <w:bottom w:val="single" w:sz="4" w:space="0" w:color="auto"/>
              <w:right w:val="single" w:sz="4" w:space="0" w:color="auto"/>
            </w:tcBorders>
            <w:noWrap/>
            <w:hideMark/>
          </w:tcPr>
          <w:p w14:paraId="14EA410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87,5</w:t>
            </w:r>
          </w:p>
        </w:tc>
        <w:tc>
          <w:tcPr>
            <w:tcW w:w="811" w:type="dxa"/>
            <w:tcBorders>
              <w:top w:val="nil"/>
              <w:left w:val="nil"/>
              <w:bottom w:val="single" w:sz="4" w:space="0" w:color="auto"/>
              <w:right w:val="single" w:sz="4" w:space="0" w:color="auto"/>
            </w:tcBorders>
            <w:noWrap/>
            <w:hideMark/>
          </w:tcPr>
          <w:p w14:paraId="79CD409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41,7</w:t>
            </w:r>
          </w:p>
        </w:tc>
        <w:tc>
          <w:tcPr>
            <w:tcW w:w="839" w:type="dxa"/>
            <w:tcBorders>
              <w:top w:val="nil"/>
              <w:left w:val="nil"/>
              <w:bottom w:val="single" w:sz="4" w:space="0" w:color="auto"/>
              <w:right w:val="single" w:sz="4" w:space="0" w:color="auto"/>
            </w:tcBorders>
            <w:noWrap/>
            <w:hideMark/>
          </w:tcPr>
          <w:p w14:paraId="5234EB8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45,3</w:t>
            </w:r>
          </w:p>
        </w:tc>
        <w:tc>
          <w:tcPr>
            <w:tcW w:w="839" w:type="dxa"/>
            <w:tcBorders>
              <w:top w:val="nil"/>
              <w:left w:val="nil"/>
              <w:bottom w:val="single" w:sz="4" w:space="0" w:color="auto"/>
              <w:right w:val="single" w:sz="4" w:space="0" w:color="auto"/>
            </w:tcBorders>
            <w:noWrap/>
            <w:hideMark/>
          </w:tcPr>
          <w:p w14:paraId="533B825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89,9 w</w:t>
            </w:r>
          </w:p>
        </w:tc>
        <w:tc>
          <w:tcPr>
            <w:tcW w:w="722" w:type="dxa"/>
            <w:tcBorders>
              <w:top w:val="nil"/>
              <w:left w:val="nil"/>
              <w:bottom w:val="single" w:sz="4" w:space="0" w:color="auto"/>
              <w:right w:val="single" w:sz="4" w:space="0" w:color="auto"/>
            </w:tcBorders>
            <w:noWrap/>
            <w:hideMark/>
          </w:tcPr>
          <w:p w14:paraId="2D0317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86,1 bw</w:t>
            </w:r>
          </w:p>
        </w:tc>
        <w:tc>
          <w:tcPr>
            <w:tcW w:w="720" w:type="dxa"/>
            <w:tcBorders>
              <w:top w:val="nil"/>
              <w:left w:val="nil"/>
              <w:bottom w:val="single" w:sz="4" w:space="0" w:color="auto"/>
              <w:right w:val="single" w:sz="4" w:space="0" w:color="auto"/>
            </w:tcBorders>
            <w:noWrap/>
            <w:hideMark/>
          </w:tcPr>
          <w:p w14:paraId="6AB1D3D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83,3 w</w:t>
            </w:r>
          </w:p>
        </w:tc>
        <w:tc>
          <w:tcPr>
            <w:tcW w:w="840" w:type="dxa"/>
            <w:tcBorders>
              <w:top w:val="nil"/>
              <w:left w:val="nil"/>
              <w:bottom w:val="single" w:sz="4" w:space="0" w:color="auto"/>
              <w:right w:val="single" w:sz="4" w:space="0" w:color="auto"/>
            </w:tcBorders>
            <w:noWrap/>
            <w:hideMark/>
          </w:tcPr>
          <w:p w14:paraId="4318014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83,1 w</w:t>
            </w:r>
          </w:p>
        </w:tc>
        <w:tc>
          <w:tcPr>
            <w:tcW w:w="840" w:type="dxa"/>
            <w:tcBorders>
              <w:top w:val="nil"/>
              <w:left w:val="nil"/>
              <w:bottom w:val="single" w:sz="4" w:space="0" w:color="auto"/>
              <w:right w:val="single" w:sz="4" w:space="0" w:color="auto"/>
            </w:tcBorders>
            <w:noWrap/>
            <w:hideMark/>
          </w:tcPr>
          <w:p w14:paraId="0AF68A9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67,3</w:t>
            </w:r>
          </w:p>
        </w:tc>
        <w:tc>
          <w:tcPr>
            <w:tcW w:w="840" w:type="dxa"/>
            <w:tcBorders>
              <w:top w:val="nil"/>
              <w:left w:val="nil"/>
              <w:bottom w:val="single" w:sz="4" w:space="0" w:color="auto"/>
              <w:right w:val="single" w:sz="4" w:space="0" w:color="auto"/>
            </w:tcBorders>
            <w:noWrap/>
            <w:hideMark/>
          </w:tcPr>
          <w:p w14:paraId="2F2E9A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67,5</w:t>
            </w:r>
          </w:p>
        </w:tc>
      </w:tr>
      <w:tr w:rsidR="00221F1C" w14:paraId="663BA02B" w14:textId="77777777" w:rsidTr="009549F1">
        <w:trPr>
          <w:trHeight w:val="675"/>
        </w:trPr>
        <w:tc>
          <w:tcPr>
            <w:tcW w:w="2443" w:type="dxa"/>
            <w:tcBorders>
              <w:top w:val="nil"/>
              <w:left w:val="single" w:sz="4" w:space="0" w:color="auto"/>
              <w:bottom w:val="single" w:sz="4" w:space="0" w:color="auto"/>
              <w:right w:val="single" w:sz="4" w:space="0" w:color="auto"/>
            </w:tcBorders>
            <w:hideMark/>
          </w:tcPr>
          <w:p w14:paraId="2B3EACD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20 do 24 godine s višim sekundarnim ili postsekundarnim netercijarnim obrazovanjem, žene</w:t>
            </w:r>
          </w:p>
        </w:tc>
        <w:tc>
          <w:tcPr>
            <w:tcW w:w="557" w:type="dxa"/>
            <w:tcBorders>
              <w:top w:val="nil"/>
              <w:left w:val="nil"/>
              <w:bottom w:val="single" w:sz="4" w:space="0" w:color="auto"/>
              <w:right w:val="single" w:sz="4" w:space="0" w:color="auto"/>
            </w:tcBorders>
            <w:noWrap/>
            <w:hideMark/>
          </w:tcPr>
          <w:p w14:paraId="1E7A515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558FFD4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79,3</w:t>
            </w:r>
          </w:p>
        </w:tc>
        <w:tc>
          <w:tcPr>
            <w:tcW w:w="840" w:type="dxa"/>
            <w:tcBorders>
              <w:top w:val="nil"/>
              <w:left w:val="nil"/>
              <w:bottom w:val="single" w:sz="4" w:space="0" w:color="auto"/>
              <w:right w:val="single" w:sz="4" w:space="0" w:color="auto"/>
            </w:tcBorders>
            <w:noWrap/>
            <w:hideMark/>
          </w:tcPr>
          <w:p w14:paraId="0FF56CB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80,6</w:t>
            </w:r>
          </w:p>
        </w:tc>
        <w:tc>
          <w:tcPr>
            <w:tcW w:w="840" w:type="dxa"/>
            <w:tcBorders>
              <w:top w:val="nil"/>
              <w:left w:val="nil"/>
              <w:bottom w:val="single" w:sz="4" w:space="0" w:color="auto"/>
              <w:right w:val="single" w:sz="4" w:space="0" w:color="auto"/>
            </w:tcBorders>
            <w:noWrap/>
            <w:hideMark/>
          </w:tcPr>
          <w:p w14:paraId="5559222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79,4</w:t>
            </w:r>
          </w:p>
        </w:tc>
        <w:tc>
          <w:tcPr>
            <w:tcW w:w="750" w:type="dxa"/>
            <w:tcBorders>
              <w:top w:val="nil"/>
              <w:left w:val="nil"/>
              <w:bottom w:val="single" w:sz="4" w:space="0" w:color="auto"/>
              <w:right w:val="single" w:sz="4" w:space="0" w:color="auto"/>
            </w:tcBorders>
            <w:noWrap/>
            <w:hideMark/>
          </w:tcPr>
          <w:p w14:paraId="577FA19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81,1</w:t>
            </w:r>
          </w:p>
        </w:tc>
        <w:tc>
          <w:tcPr>
            <w:tcW w:w="839" w:type="dxa"/>
            <w:tcBorders>
              <w:top w:val="nil"/>
              <w:left w:val="nil"/>
              <w:bottom w:val="single" w:sz="4" w:space="0" w:color="auto"/>
              <w:right w:val="single" w:sz="4" w:space="0" w:color="auto"/>
            </w:tcBorders>
            <w:noWrap/>
            <w:hideMark/>
          </w:tcPr>
          <w:p w14:paraId="5667B20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632617B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476827B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83,7</w:t>
            </w:r>
          </w:p>
        </w:tc>
        <w:tc>
          <w:tcPr>
            <w:tcW w:w="750" w:type="dxa"/>
            <w:tcBorders>
              <w:top w:val="nil"/>
              <w:left w:val="nil"/>
              <w:bottom w:val="single" w:sz="4" w:space="0" w:color="auto"/>
              <w:right w:val="single" w:sz="4" w:space="0" w:color="auto"/>
            </w:tcBorders>
            <w:noWrap/>
            <w:hideMark/>
          </w:tcPr>
          <w:p w14:paraId="01C84A5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83,2</w:t>
            </w:r>
          </w:p>
        </w:tc>
        <w:tc>
          <w:tcPr>
            <w:tcW w:w="811" w:type="dxa"/>
            <w:tcBorders>
              <w:top w:val="nil"/>
              <w:left w:val="nil"/>
              <w:bottom w:val="single" w:sz="4" w:space="0" w:color="auto"/>
              <w:right w:val="single" w:sz="4" w:space="0" w:color="auto"/>
            </w:tcBorders>
            <w:noWrap/>
            <w:hideMark/>
          </w:tcPr>
          <w:p w14:paraId="7BD96BB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37,9</w:t>
            </w:r>
          </w:p>
        </w:tc>
        <w:tc>
          <w:tcPr>
            <w:tcW w:w="839" w:type="dxa"/>
            <w:tcBorders>
              <w:top w:val="nil"/>
              <w:left w:val="nil"/>
              <w:bottom w:val="single" w:sz="4" w:space="0" w:color="auto"/>
              <w:right w:val="single" w:sz="4" w:space="0" w:color="auto"/>
            </w:tcBorders>
            <w:noWrap/>
            <w:hideMark/>
          </w:tcPr>
          <w:p w14:paraId="5F05F91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40,8</w:t>
            </w:r>
          </w:p>
        </w:tc>
        <w:tc>
          <w:tcPr>
            <w:tcW w:w="839" w:type="dxa"/>
            <w:tcBorders>
              <w:top w:val="nil"/>
              <w:left w:val="nil"/>
              <w:bottom w:val="single" w:sz="4" w:space="0" w:color="auto"/>
              <w:right w:val="single" w:sz="4" w:space="0" w:color="auto"/>
            </w:tcBorders>
            <w:noWrap/>
            <w:hideMark/>
          </w:tcPr>
          <w:p w14:paraId="0332AF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84,1 w</w:t>
            </w:r>
          </w:p>
        </w:tc>
        <w:tc>
          <w:tcPr>
            <w:tcW w:w="722" w:type="dxa"/>
            <w:tcBorders>
              <w:top w:val="nil"/>
              <w:left w:val="nil"/>
              <w:bottom w:val="single" w:sz="4" w:space="0" w:color="auto"/>
              <w:right w:val="single" w:sz="4" w:space="0" w:color="auto"/>
            </w:tcBorders>
            <w:noWrap/>
            <w:hideMark/>
          </w:tcPr>
          <w:p w14:paraId="4A8DD11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82,3 bw</w:t>
            </w:r>
          </w:p>
        </w:tc>
        <w:tc>
          <w:tcPr>
            <w:tcW w:w="720" w:type="dxa"/>
            <w:tcBorders>
              <w:top w:val="nil"/>
              <w:left w:val="nil"/>
              <w:bottom w:val="single" w:sz="4" w:space="0" w:color="auto"/>
              <w:right w:val="single" w:sz="4" w:space="0" w:color="auto"/>
            </w:tcBorders>
            <w:noWrap/>
            <w:hideMark/>
          </w:tcPr>
          <w:p w14:paraId="3D9A2B0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73,9 w</w:t>
            </w:r>
          </w:p>
        </w:tc>
        <w:tc>
          <w:tcPr>
            <w:tcW w:w="840" w:type="dxa"/>
            <w:tcBorders>
              <w:top w:val="nil"/>
              <w:left w:val="nil"/>
              <w:bottom w:val="single" w:sz="4" w:space="0" w:color="auto"/>
              <w:right w:val="single" w:sz="4" w:space="0" w:color="auto"/>
            </w:tcBorders>
            <w:noWrap/>
            <w:hideMark/>
          </w:tcPr>
          <w:p w14:paraId="5E70AE3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73,8 w</w:t>
            </w:r>
          </w:p>
        </w:tc>
        <w:tc>
          <w:tcPr>
            <w:tcW w:w="840" w:type="dxa"/>
            <w:tcBorders>
              <w:top w:val="nil"/>
              <w:left w:val="nil"/>
              <w:bottom w:val="single" w:sz="4" w:space="0" w:color="auto"/>
              <w:right w:val="single" w:sz="4" w:space="0" w:color="auto"/>
            </w:tcBorders>
            <w:noWrap/>
            <w:hideMark/>
          </w:tcPr>
          <w:p w14:paraId="23D745B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65,8</w:t>
            </w:r>
          </w:p>
        </w:tc>
        <w:tc>
          <w:tcPr>
            <w:tcW w:w="840" w:type="dxa"/>
            <w:tcBorders>
              <w:top w:val="nil"/>
              <w:left w:val="nil"/>
              <w:bottom w:val="single" w:sz="4" w:space="0" w:color="auto"/>
              <w:right w:val="single" w:sz="4" w:space="0" w:color="auto"/>
            </w:tcBorders>
            <w:noWrap/>
            <w:hideMark/>
          </w:tcPr>
          <w:p w14:paraId="1499AAD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66,0</w:t>
            </w:r>
          </w:p>
        </w:tc>
      </w:tr>
      <w:tr w:rsidR="00221F1C" w14:paraId="198E70D7" w14:textId="77777777" w:rsidTr="009549F1">
        <w:trPr>
          <w:trHeight w:val="450"/>
        </w:trPr>
        <w:tc>
          <w:tcPr>
            <w:tcW w:w="2443" w:type="dxa"/>
            <w:tcBorders>
              <w:top w:val="nil"/>
              <w:left w:val="single" w:sz="4" w:space="0" w:color="auto"/>
              <w:bottom w:val="single" w:sz="4" w:space="0" w:color="auto"/>
              <w:right w:val="single" w:sz="4" w:space="0" w:color="auto"/>
            </w:tcBorders>
            <w:hideMark/>
          </w:tcPr>
          <w:p w14:paraId="187C75F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30 do 34 godine s tercijarnim obrazovanjem, ukupno</w:t>
            </w:r>
          </w:p>
        </w:tc>
        <w:tc>
          <w:tcPr>
            <w:tcW w:w="557" w:type="dxa"/>
            <w:tcBorders>
              <w:top w:val="nil"/>
              <w:left w:val="nil"/>
              <w:bottom w:val="single" w:sz="4" w:space="0" w:color="auto"/>
              <w:right w:val="single" w:sz="4" w:space="0" w:color="auto"/>
            </w:tcBorders>
            <w:noWrap/>
            <w:hideMark/>
          </w:tcPr>
          <w:p w14:paraId="79C5CD6E"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3466F33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36,8</w:t>
            </w:r>
          </w:p>
        </w:tc>
        <w:tc>
          <w:tcPr>
            <w:tcW w:w="840" w:type="dxa"/>
            <w:tcBorders>
              <w:top w:val="nil"/>
              <w:left w:val="nil"/>
              <w:bottom w:val="single" w:sz="4" w:space="0" w:color="auto"/>
              <w:right w:val="single" w:sz="4" w:space="0" w:color="auto"/>
            </w:tcBorders>
            <w:noWrap/>
            <w:hideMark/>
          </w:tcPr>
          <w:p w14:paraId="6C8D615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38,4</w:t>
            </w:r>
          </w:p>
        </w:tc>
        <w:tc>
          <w:tcPr>
            <w:tcW w:w="840" w:type="dxa"/>
            <w:tcBorders>
              <w:top w:val="nil"/>
              <w:left w:val="nil"/>
              <w:bottom w:val="single" w:sz="4" w:space="0" w:color="auto"/>
              <w:right w:val="single" w:sz="4" w:space="0" w:color="auto"/>
            </w:tcBorders>
            <w:noWrap/>
            <w:hideMark/>
          </w:tcPr>
          <w:p w14:paraId="06DD2B9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35,7</w:t>
            </w:r>
          </w:p>
        </w:tc>
        <w:tc>
          <w:tcPr>
            <w:tcW w:w="750" w:type="dxa"/>
            <w:tcBorders>
              <w:top w:val="nil"/>
              <w:left w:val="nil"/>
              <w:bottom w:val="single" w:sz="4" w:space="0" w:color="auto"/>
              <w:right w:val="single" w:sz="4" w:space="0" w:color="auto"/>
            </w:tcBorders>
            <w:noWrap/>
            <w:hideMark/>
          </w:tcPr>
          <w:p w14:paraId="6DDD1A0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39,7</w:t>
            </w:r>
          </w:p>
        </w:tc>
        <w:tc>
          <w:tcPr>
            <w:tcW w:w="839" w:type="dxa"/>
            <w:tcBorders>
              <w:top w:val="nil"/>
              <w:left w:val="nil"/>
              <w:bottom w:val="single" w:sz="4" w:space="0" w:color="auto"/>
              <w:right w:val="single" w:sz="4" w:space="0" w:color="auto"/>
            </w:tcBorders>
            <w:noWrap/>
            <w:hideMark/>
          </w:tcPr>
          <w:p w14:paraId="563CCC9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31,3 ew</w:t>
            </w:r>
          </w:p>
        </w:tc>
        <w:tc>
          <w:tcPr>
            <w:tcW w:w="811" w:type="dxa"/>
            <w:tcBorders>
              <w:top w:val="nil"/>
              <w:left w:val="nil"/>
              <w:bottom w:val="single" w:sz="4" w:space="0" w:color="auto"/>
              <w:right w:val="single" w:sz="4" w:space="0" w:color="auto"/>
            </w:tcBorders>
            <w:noWrap/>
            <w:hideMark/>
          </w:tcPr>
          <w:p w14:paraId="7581D0D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33,2 ew</w:t>
            </w:r>
          </w:p>
        </w:tc>
        <w:tc>
          <w:tcPr>
            <w:tcW w:w="839" w:type="dxa"/>
            <w:tcBorders>
              <w:top w:val="nil"/>
              <w:left w:val="nil"/>
              <w:bottom w:val="single" w:sz="4" w:space="0" w:color="auto"/>
              <w:right w:val="single" w:sz="4" w:space="0" w:color="auto"/>
            </w:tcBorders>
            <w:noWrap/>
            <w:hideMark/>
          </w:tcPr>
          <w:p w14:paraId="103597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33,5</w:t>
            </w:r>
          </w:p>
        </w:tc>
        <w:tc>
          <w:tcPr>
            <w:tcW w:w="750" w:type="dxa"/>
            <w:tcBorders>
              <w:top w:val="nil"/>
              <w:left w:val="nil"/>
              <w:bottom w:val="single" w:sz="4" w:space="0" w:color="auto"/>
              <w:right w:val="single" w:sz="4" w:space="0" w:color="auto"/>
            </w:tcBorders>
            <w:noWrap/>
            <w:hideMark/>
          </w:tcPr>
          <w:p w14:paraId="731443E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33,0</w:t>
            </w:r>
          </w:p>
        </w:tc>
        <w:tc>
          <w:tcPr>
            <w:tcW w:w="811" w:type="dxa"/>
            <w:tcBorders>
              <w:top w:val="nil"/>
              <w:left w:val="nil"/>
              <w:bottom w:val="single" w:sz="4" w:space="0" w:color="auto"/>
              <w:right w:val="single" w:sz="4" w:space="0" w:color="auto"/>
            </w:tcBorders>
            <w:noWrap/>
            <w:hideMark/>
          </w:tcPr>
          <w:p w14:paraId="6B7F1A2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31,4</w:t>
            </w:r>
          </w:p>
        </w:tc>
        <w:tc>
          <w:tcPr>
            <w:tcW w:w="839" w:type="dxa"/>
            <w:tcBorders>
              <w:top w:val="nil"/>
              <w:left w:val="nil"/>
              <w:bottom w:val="single" w:sz="4" w:space="0" w:color="auto"/>
              <w:right w:val="single" w:sz="4" w:space="0" w:color="auto"/>
            </w:tcBorders>
            <w:noWrap/>
            <w:hideMark/>
          </w:tcPr>
          <w:p w14:paraId="061B9E4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33,1</w:t>
            </w:r>
          </w:p>
        </w:tc>
        <w:tc>
          <w:tcPr>
            <w:tcW w:w="839" w:type="dxa"/>
            <w:tcBorders>
              <w:top w:val="nil"/>
              <w:left w:val="nil"/>
              <w:bottom w:val="single" w:sz="4" w:space="0" w:color="auto"/>
              <w:right w:val="single" w:sz="4" w:space="0" w:color="auto"/>
            </w:tcBorders>
            <w:noWrap/>
            <w:hideMark/>
          </w:tcPr>
          <w:p w14:paraId="6C945F6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22,5 w</w:t>
            </w:r>
          </w:p>
        </w:tc>
        <w:tc>
          <w:tcPr>
            <w:tcW w:w="722" w:type="dxa"/>
            <w:tcBorders>
              <w:top w:val="nil"/>
              <w:left w:val="nil"/>
              <w:bottom w:val="single" w:sz="4" w:space="0" w:color="auto"/>
              <w:right w:val="single" w:sz="4" w:space="0" w:color="auto"/>
            </w:tcBorders>
            <w:noWrap/>
            <w:hideMark/>
          </w:tcPr>
          <w:p w14:paraId="131D39E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28,4 bw</w:t>
            </w:r>
          </w:p>
        </w:tc>
        <w:tc>
          <w:tcPr>
            <w:tcW w:w="720" w:type="dxa"/>
            <w:tcBorders>
              <w:top w:val="nil"/>
              <w:left w:val="nil"/>
              <w:bottom w:val="single" w:sz="4" w:space="0" w:color="auto"/>
              <w:right w:val="single" w:sz="4" w:space="0" w:color="auto"/>
            </w:tcBorders>
            <w:noWrap/>
            <w:hideMark/>
          </w:tcPr>
          <w:p w14:paraId="6342349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24,5 w</w:t>
            </w:r>
          </w:p>
        </w:tc>
        <w:tc>
          <w:tcPr>
            <w:tcW w:w="840" w:type="dxa"/>
            <w:tcBorders>
              <w:top w:val="nil"/>
              <w:left w:val="nil"/>
              <w:bottom w:val="single" w:sz="4" w:space="0" w:color="auto"/>
              <w:right w:val="single" w:sz="4" w:space="0" w:color="auto"/>
            </w:tcBorders>
            <w:noWrap/>
            <w:hideMark/>
          </w:tcPr>
          <w:p w14:paraId="7DE88C7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29,1 w</w:t>
            </w:r>
          </w:p>
        </w:tc>
        <w:tc>
          <w:tcPr>
            <w:tcW w:w="840" w:type="dxa"/>
            <w:tcBorders>
              <w:top w:val="nil"/>
              <w:left w:val="nil"/>
              <w:bottom w:val="single" w:sz="4" w:space="0" w:color="auto"/>
              <w:right w:val="single" w:sz="4" w:space="0" w:color="auto"/>
            </w:tcBorders>
            <w:noWrap/>
            <w:hideMark/>
          </w:tcPr>
          <w:p w14:paraId="5D61F55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40,3</w:t>
            </w:r>
          </w:p>
        </w:tc>
        <w:tc>
          <w:tcPr>
            <w:tcW w:w="840" w:type="dxa"/>
            <w:tcBorders>
              <w:top w:val="nil"/>
              <w:left w:val="nil"/>
              <w:bottom w:val="single" w:sz="4" w:space="0" w:color="auto"/>
              <w:right w:val="single" w:sz="4" w:space="0" w:color="auto"/>
            </w:tcBorders>
            <w:noWrap/>
            <w:hideMark/>
          </w:tcPr>
          <w:p w14:paraId="120D0BE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41,1</w:t>
            </w:r>
          </w:p>
        </w:tc>
      </w:tr>
      <w:tr w:rsidR="00221F1C" w14:paraId="1081405A" w14:textId="77777777" w:rsidTr="009549F1">
        <w:trPr>
          <w:trHeight w:val="450"/>
        </w:trPr>
        <w:tc>
          <w:tcPr>
            <w:tcW w:w="2443" w:type="dxa"/>
            <w:tcBorders>
              <w:top w:val="nil"/>
              <w:left w:val="single" w:sz="4" w:space="0" w:color="auto"/>
              <w:bottom w:val="single" w:sz="4" w:space="0" w:color="auto"/>
              <w:right w:val="single" w:sz="4" w:space="0" w:color="auto"/>
            </w:tcBorders>
            <w:hideMark/>
          </w:tcPr>
          <w:p w14:paraId="088BAC5E"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30 do 34 godine s tercijarnim obrazovanjem, muškarci</w:t>
            </w:r>
          </w:p>
        </w:tc>
        <w:tc>
          <w:tcPr>
            <w:tcW w:w="557" w:type="dxa"/>
            <w:tcBorders>
              <w:top w:val="nil"/>
              <w:left w:val="nil"/>
              <w:bottom w:val="single" w:sz="4" w:space="0" w:color="auto"/>
              <w:right w:val="single" w:sz="4" w:space="0" w:color="auto"/>
            </w:tcBorders>
            <w:noWrap/>
            <w:hideMark/>
          </w:tcPr>
          <w:p w14:paraId="716057D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18165D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35,4</w:t>
            </w:r>
          </w:p>
        </w:tc>
        <w:tc>
          <w:tcPr>
            <w:tcW w:w="840" w:type="dxa"/>
            <w:tcBorders>
              <w:top w:val="nil"/>
              <w:left w:val="nil"/>
              <w:bottom w:val="single" w:sz="4" w:space="0" w:color="auto"/>
              <w:right w:val="single" w:sz="4" w:space="0" w:color="auto"/>
            </w:tcBorders>
            <w:noWrap/>
            <w:hideMark/>
          </w:tcPr>
          <w:p w14:paraId="2D08DB0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35,1</w:t>
            </w:r>
          </w:p>
        </w:tc>
        <w:tc>
          <w:tcPr>
            <w:tcW w:w="840" w:type="dxa"/>
            <w:tcBorders>
              <w:top w:val="nil"/>
              <w:left w:val="nil"/>
              <w:bottom w:val="single" w:sz="4" w:space="0" w:color="auto"/>
              <w:right w:val="single" w:sz="4" w:space="0" w:color="auto"/>
            </w:tcBorders>
            <w:noWrap/>
            <w:hideMark/>
          </w:tcPr>
          <w:p w14:paraId="47C698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32,1</w:t>
            </w:r>
          </w:p>
        </w:tc>
        <w:tc>
          <w:tcPr>
            <w:tcW w:w="750" w:type="dxa"/>
            <w:tcBorders>
              <w:top w:val="nil"/>
              <w:left w:val="nil"/>
              <w:bottom w:val="single" w:sz="4" w:space="0" w:color="auto"/>
              <w:right w:val="single" w:sz="4" w:space="0" w:color="auto"/>
            </w:tcBorders>
            <w:noWrap/>
            <w:hideMark/>
          </w:tcPr>
          <w:p w14:paraId="28E35EE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34,3</w:t>
            </w:r>
          </w:p>
        </w:tc>
        <w:tc>
          <w:tcPr>
            <w:tcW w:w="839" w:type="dxa"/>
            <w:tcBorders>
              <w:top w:val="nil"/>
              <w:left w:val="nil"/>
              <w:bottom w:val="single" w:sz="4" w:space="0" w:color="auto"/>
              <w:right w:val="single" w:sz="4" w:space="0" w:color="auto"/>
            </w:tcBorders>
            <w:noWrap/>
            <w:hideMark/>
          </w:tcPr>
          <w:p w14:paraId="35BBBC9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27,1 ew</w:t>
            </w:r>
          </w:p>
        </w:tc>
        <w:tc>
          <w:tcPr>
            <w:tcW w:w="811" w:type="dxa"/>
            <w:tcBorders>
              <w:top w:val="nil"/>
              <w:left w:val="nil"/>
              <w:bottom w:val="single" w:sz="4" w:space="0" w:color="auto"/>
              <w:right w:val="single" w:sz="4" w:space="0" w:color="auto"/>
            </w:tcBorders>
            <w:noWrap/>
            <w:hideMark/>
          </w:tcPr>
          <w:p w14:paraId="7E3F11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26,7 ew</w:t>
            </w:r>
          </w:p>
        </w:tc>
        <w:tc>
          <w:tcPr>
            <w:tcW w:w="839" w:type="dxa"/>
            <w:tcBorders>
              <w:top w:val="nil"/>
              <w:left w:val="nil"/>
              <w:bottom w:val="single" w:sz="4" w:space="0" w:color="auto"/>
              <w:right w:val="single" w:sz="4" w:space="0" w:color="auto"/>
            </w:tcBorders>
            <w:noWrap/>
            <w:hideMark/>
          </w:tcPr>
          <w:p w14:paraId="5499AAC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26,9</w:t>
            </w:r>
          </w:p>
        </w:tc>
        <w:tc>
          <w:tcPr>
            <w:tcW w:w="750" w:type="dxa"/>
            <w:tcBorders>
              <w:top w:val="nil"/>
              <w:left w:val="nil"/>
              <w:bottom w:val="single" w:sz="4" w:space="0" w:color="auto"/>
              <w:right w:val="single" w:sz="4" w:space="0" w:color="auto"/>
            </w:tcBorders>
            <w:noWrap/>
            <w:hideMark/>
          </w:tcPr>
          <w:p w14:paraId="26386F1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27,1</w:t>
            </w:r>
          </w:p>
        </w:tc>
        <w:tc>
          <w:tcPr>
            <w:tcW w:w="811" w:type="dxa"/>
            <w:tcBorders>
              <w:top w:val="nil"/>
              <w:left w:val="nil"/>
              <w:bottom w:val="single" w:sz="4" w:space="0" w:color="auto"/>
              <w:right w:val="single" w:sz="4" w:space="0" w:color="auto"/>
            </w:tcBorders>
            <w:noWrap/>
            <w:hideMark/>
          </w:tcPr>
          <w:p w14:paraId="5E0A183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32,7</w:t>
            </w:r>
          </w:p>
        </w:tc>
        <w:tc>
          <w:tcPr>
            <w:tcW w:w="839" w:type="dxa"/>
            <w:tcBorders>
              <w:top w:val="nil"/>
              <w:left w:val="nil"/>
              <w:bottom w:val="single" w:sz="4" w:space="0" w:color="auto"/>
              <w:right w:val="single" w:sz="4" w:space="0" w:color="auto"/>
            </w:tcBorders>
            <w:noWrap/>
            <w:hideMark/>
          </w:tcPr>
          <w:p w14:paraId="44511BC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33,9</w:t>
            </w:r>
          </w:p>
        </w:tc>
        <w:tc>
          <w:tcPr>
            <w:tcW w:w="839" w:type="dxa"/>
            <w:tcBorders>
              <w:top w:val="nil"/>
              <w:left w:val="nil"/>
              <w:bottom w:val="single" w:sz="4" w:space="0" w:color="auto"/>
              <w:right w:val="single" w:sz="4" w:space="0" w:color="auto"/>
            </w:tcBorders>
            <w:noWrap/>
            <w:hideMark/>
          </w:tcPr>
          <w:p w14:paraId="76A2800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17,3 w</w:t>
            </w:r>
          </w:p>
        </w:tc>
        <w:tc>
          <w:tcPr>
            <w:tcW w:w="722" w:type="dxa"/>
            <w:tcBorders>
              <w:top w:val="nil"/>
              <w:left w:val="nil"/>
              <w:bottom w:val="single" w:sz="4" w:space="0" w:color="auto"/>
              <w:right w:val="single" w:sz="4" w:space="0" w:color="auto"/>
            </w:tcBorders>
            <w:noWrap/>
            <w:hideMark/>
          </w:tcPr>
          <w:p w14:paraId="53172A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23,2 bw</w:t>
            </w:r>
          </w:p>
        </w:tc>
        <w:tc>
          <w:tcPr>
            <w:tcW w:w="720" w:type="dxa"/>
            <w:tcBorders>
              <w:top w:val="nil"/>
              <w:left w:val="nil"/>
              <w:bottom w:val="single" w:sz="4" w:space="0" w:color="auto"/>
              <w:right w:val="single" w:sz="4" w:space="0" w:color="auto"/>
            </w:tcBorders>
            <w:noWrap/>
            <w:hideMark/>
          </w:tcPr>
          <w:p w14:paraId="3AC23D0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22,5 w</w:t>
            </w:r>
          </w:p>
        </w:tc>
        <w:tc>
          <w:tcPr>
            <w:tcW w:w="840" w:type="dxa"/>
            <w:tcBorders>
              <w:top w:val="nil"/>
              <w:left w:val="nil"/>
              <w:bottom w:val="single" w:sz="4" w:space="0" w:color="auto"/>
              <w:right w:val="single" w:sz="4" w:space="0" w:color="auto"/>
            </w:tcBorders>
            <w:noWrap/>
            <w:hideMark/>
          </w:tcPr>
          <w:p w14:paraId="48AC3BA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28,1 w</w:t>
            </w:r>
          </w:p>
        </w:tc>
        <w:tc>
          <w:tcPr>
            <w:tcW w:w="840" w:type="dxa"/>
            <w:tcBorders>
              <w:top w:val="nil"/>
              <w:left w:val="nil"/>
              <w:bottom w:val="single" w:sz="4" w:space="0" w:color="auto"/>
              <w:right w:val="single" w:sz="4" w:space="0" w:color="auto"/>
            </w:tcBorders>
            <w:noWrap/>
            <w:hideMark/>
          </w:tcPr>
          <w:p w14:paraId="1279C7D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35,1</w:t>
            </w:r>
          </w:p>
        </w:tc>
        <w:tc>
          <w:tcPr>
            <w:tcW w:w="840" w:type="dxa"/>
            <w:tcBorders>
              <w:top w:val="nil"/>
              <w:left w:val="nil"/>
              <w:bottom w:val="single" w:sz="4" w:space="0" w:color="auto"/>
              <w:right w:val="single" w:sz="4" w:space="0" w:color="auto"/>
            </w:tcBorders>
            <w:noWrap/>
            <w:hideMark/>
          </w:tcPr>
          <w:p w14:paraId="64F4703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36,0</w:t>
            </w:r>
          </w:p>
        </w:tc>
      </w:tr>
      <w:tr w:rsidR="00221F1C" w14:paraId="6BE8FD66" w14:textId="77777777" w:rsidTr="009549F1">
        <w:trPr>
          <w:trHeight w:val="450"/>
        </w:trPr>
        <w:tc>
          <w:tcPr>
            <w:tcW w:w="2443" w:type="dxa"/>
            <w:tcBorders>
              <w:top w:val="nil"/>
              <w:left w:val="single" w:sz="4" w:space="0" w:color="auto"/>
              <w:bottom w:val="single" w:sz="4" w:space="0" w:color="auto"/>
              <w:right w:val="single" w:sz="4" w:space="0" w:color="auto"/>
            </w:tcBorders>
            <w:hideMark/>
          </w:tcPr>
          <w:p w14:paraId="498E7EC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Postotak stanovništva u dobi od 30 do 34 godine s tercijarnim obrazovanjem, žene</w:t>
            </w:r>
          </w:p>
        </w:tc>
        <w:tc>
          <w:tcPr>
            <w:tcW w:w="557" w:type="dxa"/>
            <w:tcBorders>
              <w:top w:val="nil"/>
              <w:left w:val="nil"/>
              <w:bottom w:val="single" w:sz="4" w:space="0" w:color="auto"/>
              <w:right w:val="single" w:sz="4" w:space="0" w:color="auto"/>
            </w:tcBorders>
            <w:noWrap/>
            <w:hideMark/>
          </w:tcPr>
          <w:p w14:paraId="7AA2A06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w:t>
            </w:r>
          </w:p>
        </w:tc>
        <w:tc>
          <w:tcPr>
            <w:tcW w:w="720" w:type="dxa"/>
            <w:tcBorders>
              <w:top w:val="nil"/>
              <w:left w:val="nil"/>
              <w:bottom w:val="single" w:sz="4" w:space="0" w:color="auto"/>
              <w:right w:val="single" w:sz="4" w:space="0" w:color="auto"/>
            </w:tcBorders>
            <w:noWrap/>
            <w:hideMark/>
          </w:tcPr>
          <w:p w14:paraId="4BF1C41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38,1</w:t>
            </w:r>
          </w:p>
        </w:tc>
        <w:tc>
          <w:tcPr>
            <w:tcW w:w="840" w:type="dxa"/>
            <w:tcBorders>
              <w:top w:val="nil"/>
              <w:left w:val="nil"/>
              <w:bottom w:val="single" w:sz="4" w:space="0" w:color="auto"/>
              <w:right w:val="single" w:sz="4" w:space="0" w:color="auto"/>
            </w:tcBorders>
            <w:noWrap/>
            <w:hideMark/>
          </w:tcPr>
          <w:p w14:paraId="14FCE40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41,7</w:t>
            </w:r>
          </w:p>
        </w:tc>
        <w:tc>
          <w:tcPr>
            <w:tcW w:w="840" w:type="dxa"/>
            <w:tcBorders>
              <w:top w:val="nil"/>
              <w:left w:val="nil"/>
              <w:bottom w:val="single" w:sz="4" w:space="0" w:color="auto"/>
              <w:right w:val="single" w:sz="4" w:space="0" w:color="auto"/>
            </w:tcBorders>
            <w:noWrap/>
            <w:hideMark/>
          </w:tcPr>
          <w:p w14:paraId="44C3A39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39,4</w:t>
            </w:r>
          </w:p>
        </w:tc>
        <w:tc>
          <w:tcPr>
            <w:tcW w:w="750" w:type="dxa"/>
            <w:tcBorders>
              <w:top w:val="nil"/>
              <w:left w:val="nil"/>
              <w:bottom w:val="single" w:sz="4" w:space="0" w:color="auto"/>
              <w:right w:val="single" w:sz="4" w:space="0" w:color="auto"/>
            </w:tcBorders>
            <w:noWrap/>
            <w:hideMark/>
          </w:tcPr>
          <w:p w14:paraId="2067147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45,3</w:t>
            </w:r>
          </w:p>
        </w:tc>
        <w:tc>
          <w:tcPr>
            <w:tcW w:w="839" w:type="dxa"/>
            <w:tcBorders>
              <w:top w:val="nil"/>
              <w:left w:val="nil"/>
              <w:bottom w:val="single" w:sz="4" w:space="0" w:color="auto"/>
              <w:right w:val="single" w:sz="4" w:space="0" w:color="auto"/>
            </w:tcBorders>
            <w:noWrap/>
            <w:hideMark/>
          </w:tcPr>
          <w:p w14:paraId="2D8A1AA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36,6 ew</w:t>
            </w:r>
          </w:p>
        </w:tc>
        <w:tc>
          <w:tcPr>
            <w:tcW w:w="811" w:type="dxa"/>
            <w:tcBorders>
              <w:top w:val="nil"/>
              <w:left w:val="nil"/>
              <w:bottom w:val="single" w:sz="4" w:space="0" w:color="auto"/>
              <w:right w:val="single" w:sz="4" w:space="0" w:color="auto"/>
            </w:tcBorders>
            <w:noWrap/>
            <w:hideMark/>
          </w:tcPr>
          <w:p w14:paraId="262DAD0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40,0 ew</w:t>
            </w:r>
          </w:p>
        </w:tc>
        <w:tc>
          <w:tcPr>
            <w:tcW w:w="839" w:type="dxa"/>
            <w:tcBorders>
              <w:top w:val="nil"/>
              <w:left w:val="nil"/>
              <w:bottom w:val="single" w:sz="4" w:space="0" w:color="auto"/>
              <w:right w:val="single" w:sz="4" w:space="0" w:color="auto"/>
            </w:tcBorders>
            <w:noWrap/>
            <w:hideMark/>
          </w:tcPr>
          <w:p w14:paraId="41537AA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40,4</w:t>
            </w:r>
          </w:p>
        </w:tc>
        <w:tc>
          <w:tcPr>
            <w:tcW w:w="750" w:type="dxa"/>
            <w:tcBorders>
              <w:top w:val="nil"/>
              <w:left w:val="nil"/>
              <w:bottom w:val="single" w:sz="4" w:space="0" w:color="auto"/>
              <w:right w:val="single" w:sz="4" w:space="0" w:color="auto"/>
            </w:tcBorders>
            <w:noWrap/>
            <w:hideMark/>
          </w:tcPr>
          <w:p w14:paraId="3A95FA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39,1</w:t>
            </w:r>
          </w:p>
        </w:tc>
        <w:tc>
          <w:tcPr>
            <w:tcW w:w="811" w:type="dxa"/>
            <w:tcBorders>
              <w:top w:val="nil"/>
              <w:left w:val="nil"/>
              <w:bottom w:val="single" w:sz="4" w:space="0" w:color="auto"/>
              <w:right w:val="single" w:sz="4" w:space="0" w:color="auto"/>
            </w:tcBorders>
            <w:noWrap/>
            <w:hideMark/>
          </w:tcPr>
          <w:p w14:paraId="26C5DD1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30,0</w:t>
            </w:r>
          </w:p>
        </w:tc>
        <w:tc>
          <w:tcPr>
            <w:tcW w:w="839" w:type="dxa"/>
            <w:tcBorders>
              <w:top w:val="nil"/>
              <w:left w:val="nil"/>
              <w:bottom w:val="single" w:sz="4" w:space="0" w:color="auto"/>
              <w:right w:val="single" w:sz="4" w:space="0" w:color="auto"/>
            </w:tcBorders>
            <w:noWrap/>
            <w:hideMark/>
          </w:tcPr>
          <w:p w14:paraId="0FBF3E9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32,2</w:t>
            </w:r>
          </w:p>
        </w:tc>
        <w:tc>
          <w:tcPr>
            <w:tcW w:w="839" w:type="dxa"/>
            <w:tcBorders>
              <w:top w:val="nil"/>
              <w:left w:val="nil"/>
              <w:bottom w:val="single" w:sz="4" w:space="0" w:color="auto"/>
              <w:right w:val="single" w:sz="4" w:space="0" w:color="auto"/>
            </w:tcBorders>
            <w:noWrap/>
            <w:hideMark/>
          </w:tcPr>
          <w:p w14:paraId="36D0865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28,6 w</w:t>
            </w:r>
          </w:p>
        </w:tc>
        <w:tc>
          <w:tcPr>
            <w:tcW w:w="722" w:type="dxa"/>
            <w:tcBorders>
              <w:top w:val="nil"/>
              <w:left w:val="nil"/>
              <w:bottom w:val="single" w:sz="4" w:space="0" w:color="auto"/>
              <w:right w:val="single" w:sz="4" w:space="0" w:color="auto"/>
            </w:tcBorders>
            <w:noWrap/>
            <w:hideMark/>
          </w:tcPr>
          <w:p w14:paraId="78BE718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34,0 bw</w:t>
            </w:r>
          </w:p>
        </w:tc>
        <w:tc>
          <w:tcPr>
            <w:tcW w:w="720" w:type="dxa"/>
            <w:tcBorders>
              <w:top w:val="nil"/>
              <w:left w:val="nil"/>
              <w:bottom w:val="single" w:sz="4" w:space="0" w:color="auto"/>
              <w:right w:val="single" w:sz="4" w:space="0" w:color="auto"/>
            </w:tcBorders>
            <w:noWrap/>
            <w:hideMark/>
          </w:tcPr>
          <w:p w14:paraId="3D160B2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26,8 w</w:t>
            </w:r>
          </w:p>
        </w:tc>
        <w:tc>
          <w:tcPr>
            <w:tcW w:w="840" w:type="dxa"/>
            <w:tcBorders>
              <w:top w:val="nil"/>
              <w:left w:val="nil"/>
              <w:bottom w:val="single" w:sz="4" w:space="0" w:color="auto"/>
              <w:right w:val="single" w:sz="4" w:space="0" w:color="auto"/>
            </w:tcBorders>
            <w:noWrap/>
            <w:hideMark/>
          </w:tcPr>
          <w:p w14:paraId="11B7B3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30,3 w</w:t>
            </w:r>
          </w:p>
        </w:tc>
        <w:tc>
          <w:tcPr>
            <w:tcW w:w="840" w:type="dxa"/>
            <w:tcBorders>
              <w:top w:val="nil"/>
              <w:left w:val="nil"/>
              <w:bottom w:val="single" w:sz="4" w:space="0" w:color="auto"/>
              <w:right w:val="single" w:sz="4" w:space="0" w:color="auto"/>
            </w:tcBorders>
            <w:noWrap/>
            <w:hideMark/>
          </w:tcPr>
          <w:p w14:paraId="4F7FAC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45,6</w:t>
            </w:r>
          </w:p>
        </w:tc>
        <w:tc>
          <w:tcPr>
            <w:tcW w:w="840" w:type="dxa"/>
            <w:tcBorders>
              <w:top w:val="nil"/>
              <w:left w:val="nil"/>
              <w:bottom w:val="single" w:sz="4" w:space="0" w:color="auto"/>
              <w:right w:val="single" w:sz="4" w:space="0" w:color="auto"/>
            </w:tcBorders>
            <w:noWrap/>
            <w:hideMark/>
          </w:tcPr>
          <w:p w14:paraId="7007879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46,2</w:t>
            </w:r>
          </w:p>
        </w:tc>
      </w:tr>
    </w:tbl>
    <w:p w14:paraId="644E1A94" w14:textId="00AD2B32" w:rsidR="009549F1" w:rsidRDefault="009549F1" w:rsidP="00221F1C">
      <w:pPr>
        <w:spacing w:after="0" w:line="240" w:lineRule="auto"/>
        <w:jc w:val="both"/>
        <w:rPr>
          <w:rFonts w:ascii="Times New Roman" w:eastAsia="Times New Roman" w:hAnsi="Times New Roman" w:cs="Times New Roman"/>
          <w:noProof/>
          <w:sz w:val="16"/>
          <w:szCs w:val="24"/>
        </w:rPr>
      </w:pPr>
    </w:p>
    <w:p w14:paraId="0E5EBFDC" w14:textId="77777777" w:rsidR="009549F1" w:rsidRDefault="009549F1">
      <w:pPr>
        <w:rPr>
          <w:rFonts w:ascii="Times New Roman" w:eastAsia="Times New Roman" w:hAnsi="Times New Roman" w:cs="Times New Roman"/>
          <w:noProof/>
          <w:sz w:val="16"/>
          <w:szCs w:val="24"/>
        </w:rPr>
      </w:pPr>
      <w:r>
        <w:rPr>
          <w:rFonts w:ascii="Times New Roman" w:eastAsia="Times New Roman" w:hAnsi="Times New Roman" w:cs="Times New Roman"/>
          <w:noProof/>
          <w:sz w:val="16"/>
          <w:szCs w:val="24"/>
        </w:rPr>
        <w:br w:type="page"/>
      </w:r>
    </w:p>
    <w:p w14:paraId="0AEB51C8" w14:textId="77777777" w:rsidR="00221F1C" w:rsidRDefault="00221F1C" w:rsidP="00221F1C">
      <w:pPr>
        <w:spacing w:after="0" w:line="240" w:lineRule="auto"/>
        <w:jc w:val="both"/>
        <w:rPr>
          <w:rFonts w:ascii="Times New Roman" w:eastAsia="Times New Roman" w:hAnsi="Times New Roman" w:cs="Times New Roman"/>
          <w:noProof/>
          <w:sz w:val="16"/>
          <w:szCs w:val="24"/>
        </w:rPr>
      </w:pP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221F1C" w14:paraId="7E9F22F7" w14:textId="77777777" w:rsidTr="00221F1C">
        <w:trPr>
          <w:trHeight w:val="225"/>
        </w:trPr>
        <w:tc>
          <w:tcPr>
            <w:tcW w:w="2400" w:type="dxa"/>
            <w:vMerge w:val="restart"/>
            <w:tcBorders>
              <w:top w:val="nil"/>
              <w:left w:val="nil"/>
              <w:bottom w:val="single" w:sz="4" w:space="0" w:color="auto"/>
              <w:right w:val="single" w:sz="4" w:space="0" w:color="auto"/>
            </w:tcBorders>
            <w:noWrap/>
            <w:vAlign w:val="center"/>
            <w:hideMark/>
          </w:tcPr>
          <w:p w14:paraId="235E8898" w14:textId="77777777" w:rsidR="00221F1C" w:rsidRDefault="00221F1C">
            <w:pPr>
              <w:spacing w:after="0" w:line="240" w:lineRule="auto"/>
              <w:rPr>
                <w:rFonts w:ascii="Arial" w:eastAsia="Times New Roman" w:hAnsi="Arial" w:cs="Arial"/>
                <w:noProof/>
                <w:sz w:val="16"/>
                <w:szCs w:val="16"/>
              </w:rPr>
            </w:pPr>
            <w:r>
              <w:rPr>
                <w:rFonts w:ascii="Arial" w:hAnsi="Arial"/>
                <w:b/>
                <w:noProof/>
                <w:color w:val="000000"/>
                <w:sz w:val="16"/>
              </w:rPr>
              <w:t>Nacionalni računi</w:t>
            </w:r>
          </w:p>
        </w:tc>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14:paraId="7CAAE71D" w14:textId="77777777" w:rsidR="00221F1C" w:rsidRDefault="00221F1C">
            <w:pPr>
              <w:spacing w:after="0" w:line="240" w:lineRule="auto"/>
              <w:rPr>
                <w:rFonts w:ascii="Arial" w:eastAsia="Times New Roman" w:hAnsi="Arial" w:cs="Arial"/>
                <w:noProof/>
                <w:sz w:val="16"/>
                <w:szCs w:val="16"/>
              </w:rPr>
            </w:pPr>
            <w:r>
              <w:rPr>
                <w:rFonts w:ascii="Arial" w:hAnsi="Arial"/>
                <w:noProof/>
                <w:sz w:val="16"/>
              </w:rPr>
              <w:t xml:space="preserve"> </w:t>
            </w:r>
            <w:r>
              <w:rPr>
                <w:rFonts w:ascii="Arial" w:hAnsi="Arial"/>
                <w:noProof/>
                <w:color w:val="000000"/>
                <w:sz w:val="16"/>
              </w:rPr>
              <w:t>Napomena</w:t>
            </w:r>
          </w:p>
        </w:tc>
        <w:tc>
          <w:tcPr>
            <w:tcW w:w="1560" w:type="dxa"/>
            <w:gridSpan w:val="2"/>
            <w:tcBorders>
              <w:top w:val="single" w:sz="4" w:space="0" w:color="auto"/>
              <w:left w:val="nil"/>
              <w:bottom w:val="single" w:sz="4" w:space="0" w:color="auto"/>
              <w:right w:val="single" w:sz="4" w:space="0" w:color="auto"/>
            </w:tcBorders>
            <w:vAlign w:val="center"/>
            <w:hideMark/>
          </w:tcPr>
          <w:p w14:paraId="437130B5"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Crna Gora</w:t>
            </w:r>
          </w:p>
        </w:tc>
        <w:tc>
          <w:tcPr>
            <w:tcW w:w="1590" w:type="dxa"/>
            <w:gridSpan w:val="2"/>
            <w:tcBorders>
              <w:top w:val="single" w:sz="4" w:space="0" w:color="auto"/>
              <w:left w:val="nil"/>
              <w:bottom w:val="single" w:sz="4" w:space="0" w:color="auto"/>
              <w:right w:val="single" w:sz="4" w:space="0" w:color="auto"/>
            </w:tcBorders>
            <w:vAlign w:val="center"/>
            <w:hideMark/>
          </w:tcPr>
          <w:p w14:paraId="68665C41"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Sjeverna Makedonija</w:t>
            </w:r>
          </w:p>
        </w:tc>
        <w:tc>
          <w:tcPr>
            <w:tcW w:w="1650" w:type="dxa"/>
            <w:gridSpan w:val="2"/>
            <w:tcBorders>
              <w:top w:val="single" w:sz="4" w:space="0" w:color="auto"/>
              <w:left w:val="nil"/>
              <w:bottom w:val="single" w:sz="4" w:space="0" w:color="auto"/>
              <w:right w:val="single" w:sz="4" w:space="0" w:color="auto"/>
            </w:tcBorders>
            <w:vAlign w:val="center"/>
            <w:hideMark/>
          </w:tcPr>
          <w:p w14:paraId="39EE14E9"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Albanija</w:t>
            </w:r>
          </w:p>
        </w:tc>
        <w:tc>
          <w:tcPr>
            <w:tcW w:w="1589" w:type="dxa"/>
            <w:gridSpan w:val="2"/>
            <w:tcBorders>
              <w:top w:val="single" w:sz="4" w:space="0" w:color="auto"/>
              <w:left w:val="nil"/>
              <w:bottom w:val="single" w:sz="4" w:space="0" w:color="auto"/>
              <w:right w:val="single" w:sz="4" w:space="0" w:color="auto"/>
            </w:tcBorders>
            <w:vAlign w:val="center"/>
            <w:hideMark/>
          </w:tcPr>
          <w:p w14:paraId="7DA50CAD"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Srbija</w:t>
            </w:r>
          </w:p>
        </w:tc>
        <w:tc>
          <w:tcPr>
            <w:tcW w:w="1650" w:type="dxa"/>
            <w:gridSpan w:val="2"/>
            <w:tcBorders>
              <w:top w:val="single" w:sz="4" w:space="0" w:color="auto"/>
              <w:left w:val="nil"/>
              <w:bottom w:val="single" w:sz="4" w:space="0" w:color="auto"/>
              <w:right w:val="single" w:sz="4" w:space="0" w:color="auto"/>
            </w:tcBorders>
            <w:vAlign w:val="center"/>
            <w:hideMark/>
          </w:tcPr>
          <w:p w14:paraId="3FE4477A"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Turska</w:t>
            </w:r>
          </w:p>
        </w:tc>
        <w:tc>
          <w:tcPr>
            <w:tcW w:w="1561" w:type="dxa"/>
            <w:gridSpan w:val="2"/>
            <w:tcBorders>
              <w:top w:val="single" w:sz="4" w:space="0" w:color="auto"/>
              <w:left w:val="nil"/>
              <w:bottom w:val="single" w:sz="4" w:space="0" w:color="auto"/>
              <w:right w:val="single" w:sz="4" w:space="0" w:color="auto"/>
            </w:tcBorders>
            <w:vAlign w:val="center"/>
            <w:hideMark/>
          </w:tcPr>
          <w:p w14:paraId="3396EC43"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Bosna i</w:t>
            </w:r>
            <w:r>
              <w:rPr>
                <w:noProof/>
              </w:rPr>
              <w:t xml:space="preserve"> </w:t>
            </w:r>
            <w:r>
              <w:rPr>
                <w:noProof/>
              </w:rPr>
              <w:br/>
            </w:r>
            <w:r>
              <w:rPr>
                <w:rFonts w:ascii="Arial" w:hAnsi="Arial"/>
                <w:noProof/>
                <w:sz w:val="16"/>
              </w:rPr>
              <w:t>Hercegovina</w:t>
            </w:r>
          </w:p>
        </w:tc>
        <w:tc>
          <w:tcPr>
            <w:tcW w:w="1560" w:type="dxa"/>
            <w:gridSpan w:val="2"/>
            <w:tcBorders>
              <w:top w:val="single" w:sz="4" w:space="0" w:color="auto"/>
              <w:left w:val="nil"/>
              <w:bottom w:val="single" w:sz="4" w:space="0" w:color="auto"/>
              <w:right w:val="single" w:sz="4" w:space="0" w:color="auto"/>
            </w:tcBorders>
            <w:vAlign w:val="center"/>
            <w:hideMark/>
          </w:tcPr>
          <w:p w14:paraId="3FF2911E"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Kosovo*</w:t>
            </w:r>
          </w:p>
        </w:tc>
        <w:tc>
          <w:tcPr>
            <w:tcW w:w="1680" w:type="dxa"/>
            <w:gridSpan w:val="2"/>
            <w:tcBorders>
              <w:top w:val="single" w:sz="4" w:space="0" w:color="auto"/>
              <w:left w:val="nil"/>
              <w:bottom w:val="single" w:sz="4" w:space="0" w:color="auto"/>
              <w:right w:val="single" w:sz="4" w:space="0" w:color="auto"/>
            </w:tcBorders>
            <w:vAlign w:val="center"/>
            <w:hideMark/>
          </w:tcPr>
          <w:p w14:paraId="57B61060"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EU-27</w:t>
            </w:r>
          </w:p>
        </w:tc>
      </w:tr>
      <w:tr w:rsidR="00221F1C" w14:paraId="5F597675" w14:textId="77777777" w:rsidTr="00221F1C">
        <w:trPr>
          <w:trHeight w:val="225"/>
        </w:trPr>
        <w:tc>
          <w:tcPr>
            <w:tcW w:w="2400" w:type="dxa"/>
            <w:vMerge/>
            <w:tcBorders>
              <w:top w:val="nil"/>
              <w:left w:val="nil"/>
              <w:bottom w:val="single" w:sz="4" w:space="0" w:color="auto"/>
              <w:right w:val="single" w:sz="4" w:space="0" w:color="auto"/>
            </w:tcBorders>
            <w:vAlign w:val="center"/>
            <w:hideMark/>
          </w:tcPr>
          <w:p w14:paraId="3A0D53BE" w14:textId="77777777" w:rsidR="00221F1C" w:rsidRDefault="00221F1C">
            <w:pPr>
              <w:spacing w:after="0"/>
              <w:rPr>
                <w:rFonts w:ascii="Arial" w:eastAsia="Times New Roman" w:hAnsi="Arial" w:cs="Arial"/>
                <w:noProof/>
                <w:sz w:val="16"/>
                <w:szCs w:val="16"/>
                <w:lang w:eastAsia="zh-CN"/>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2C527D29" w14:textId="77777777" w:rsidR="00221F1C" w:rsidRDefault="00221F1C">
            <w:pPr>
              <w:spacing w:after="0"/>
              <w:rPr>
                <w:rFonts w:ascii="Arial" w:eastAsia="Times New Roman" w:hAnsi="Arial" w:cs="Arial"/>
                <w:noProof/>
                <w:sz w:val="16"/>
                <w:szCs w:val="16"/>
                <w:lang w:eastAsia="zh-CN"/>
              </w:rPr>
            </w:pPr>
          </w:p>
        </w:tc>
        <w:tc>
          <w:tcPr>
            <w:tcW w:w="720" w:type="dxa"/>
            <w:tcBorders>
              <w:top w:val="nil"/>
              <w:left w:val="nil"/>
              <w:bottom w:val="single" w:sz="4" w:space="0" w:color="auto"/>
              <w:right w:val="single" w:sz="4" w:space="0" w:color="auto"/>
            </w:tcBorders>
            <w:hideMark/>
          </w:tcPr>
          <w:p w14:paraId="73985F4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378B979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01430DE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04799B3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4844FC6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nil"/>
              <w:left w:val="nil"/>
              <w:bottom w:val="single" w:sz="4" w:space="0" w:color="auto"/>
              <w:right w:val="single" w:sz="4" w:space="0" w:color="auto"/>
            </w:tcBorders>
            <w:hideMark/>
          </w:tcPr>
          <w:p w14:paraId="1992E15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32DAFD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16439FF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nil"/>
              <w:left w:val="nil"/>
              <w:bottom w:val="single" w:sz="4" w:space="0" w:color="auto"/>
              <w:right w:val="single" w:sz="4" w:space="0" w:color="auto"/>
            </w:tcBorders>
            <w:hideMark/>
          </w:tcPr>
          <w:p w14:paraId="3B5D45D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nil"/>
              <w:left w:val="nil"/>
              <w:bottom w:val="single" w:sz="4" w:space="0" w:color="auto"/>
              <w:right w:val="single" w:sz="4" w:space="0" w:color="auto"/>
            </w:tcBorders>
            <w:hideMark/>
          </w:tcPr>
          <w:p w14:paraId="044DF56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3DCCE44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nil"/>
              <w:left w:val="nil"/>
              <w:bottom w:val="single" w:sz="4" w:space="0" w:color="auto"/>
              <w:right w:val="single" w:sz="4" w:space="0" w:color="auto"/>
            </w:tcBorders>
            <w:hideMark/>
          </w:tcPr>
          <w:p w14:paraId="785F8DC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nil"/>
              <w:left w:val="nil"/>
              <w:bottom w:val="single" w:sz="4" w:space="0" w:color="auto"/>
              <w:right w:val="single" w:sz="4" w:space="0" w:color="auto"/>
            </w:tcBorders>
            <w:hideMark/>
          </w:tcPr>
          <w:p w14:paraId="04CE03E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6E785FD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1B020B1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3870EDA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0338E1E9" w14:textId="77777777" w:rsidTr="00221F1C">
        <w:trPr>
          <w:trHeight w:val="225"/>
        </w:trPr>
        <w:tc>
          <w:tcPr>
            <w:tcW w:w="2400" w:type="dxa"/>
            <w:tcBorders>
              <w:top w:val="single" w:sz="4" w:space="0" w:color="auto"/>
              <w:left w:val="single" w:sz="4" w:space="0" w:color="auto"/>
              <w:bottom w:val="single" w:sz="4" w:space="0" w:color="auto"/>
              <w:right w:val="single" w:sz="4" w:space="0" w:color="auto"/>
            </w:tcBorders>
            <w:hideMark/>
          </w:tcPr>
          <w:p w14:paraId="0622441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Bruto domaći proizvod</w:t>
            </w:r>
          </w:p>
        </w:tc>
        <w:tc>
          <w:tcPr>
            <w:tcW w:w="600" w:type="dxa"/>
            <w:tcBorders>
              <w:top w:val="nil"/>
              <w:left w:val="nil"/>
              <w:bottom w:val="single" w:sz="4" w:space="0" w:color="auto"/>
              <w:right w:val="single" w:sz="4" w:space="0" w:color="auto"/>
            </w:tcBorders>
            <w:hideMark/>
          </w:tcPr>
          <w:p w14:paraId="6B9AFB2C" w14:textId="77777777" w:rsidR="00221F1C" w:rsidRDefault="00221F1C">
            <w:pPr>
              <w:rPr>
                <w:rFonts w:ascii="Arial" w:eastAsia="Times New Roman" w:hAnsi="Arial" w:cs="Arial"/>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noWrap/>
            <w:hideMark/>
          </w:tcPr>
          <w:p w14:paraId="33A2B880" w14:textId="77777777" w:rsidR="00221F1C" w:rsidRDefault="00221F1C">
            <w:pPr>
              <w:spacing w:after="0"/>
              <w:rPr>
                <w:noProof/>
                <w:sz w:val="20"/>
                <w:szCs w:val="20"/>
                <w:lang w:val="en-IE" w:eastAsia="en-IE"/>
              </w:rPr>
            </w:pPr>
          </w:p>
        </w:tc>
        <w:tc>
          <w:tcPr>
            <w:tcW w:w="840" w:type="dxa"/>
            <w:tcBorders>
              <w:top w:val="single" w:sz="4" w:space="0" w:color="auto"/>
              <w:left w:val="single" w:sz="4" w:space="0" w:color="auto"/>
              <w:bottom w:val="single" w:sz="4" w:space="0" w:color="auto"/>
              <w:right w:val="single" w:sz="4" w:space="0" w:color="auto"/>
            </w:tcBorders>
            <w:noWrap/>
            <w:hideMark/>
          </w:tcPr>
          <w:p w14:paraId="048CE789" w14:textId="77777777" w:rsidR="00221F1C" w:rsidRDefault="00221F1C">
            <w:pPr>
              <w:spacing w:after="0"/>
              <w:rPr>
                <w:noProof/>
                <w:sz w:val="20"/>
                <w:szCs w:val="20"/>
                <w:lang w:val="en-IE" w:eastAsia="en-IE"/>
              </w:rPr>
            </w:pPr>
          </w:p>
        </w:tc>
        <w:tc>
          <w:tcPr>
            <w:tcW w:w="840" w:type="dxa"/>
            <w:tcBorders>
              <w:top w:val="single" w:sz="4" w:space="0" w:color="auto"/>
              <w:left w:val="single" w:sz="4" w:space="0" w:color="auto"/>
              <w:bottom w:val="single" w:sz="4" w:space="0" w:color="auto"/>
              <w:right w:val="single" w:sz="4" w:space="0" w:color="auto"/>
            </w:tcBorders>
            <w:noWrap/>
            <w:hideMark/>
          </w:tcPr>
          <w:p w14:paraId="2C9B2EDD" w14:textId="77777777" w:rsidR="00221F1C" w:rsidRDefault="00221F1C">
            <w:pPr>
              <w:spacing w:after="0"/>
              <w:rPr>
                <w:noProof/>
                <w:sz w:val="20"/>
                <w:szCs w:val="20"/>
                <w:lang w:val="en-IE" w:eastAsia="en-IE"/>
              </w:rPr>
            </w:pPr>
          </w:p>
        </w:tc>
        <w:tc>
          <w:tcPr>
            <w:tcW w:w="750" w:type="dxa"/>
            <w:tcBorders>
              <w:top w:val="single" w:sz="4" w:space="0" w:color="auto"/>
              <w:left w:val="single" w:sz="4" w:space="0" w:color="auto"/>
              <w:bottom w:val="single" w:sz="4" w:space="0" w:color="auto"/>
              <w:right w:val="single" w:sz="4" w:space="0" w:color="auto"/>
            </w:tcBorders>
            <w:noWrap/>
            <w:hideMark/>
          </w:tcPr>
          <w:p w14:paraId="5861A1AF" w14:textId="77777777" w:rsidR="00221F1C" w:rsidRDefault="00221F1C">
            <w:pPr>
              <w:spacing w:after="0"/>
              <w:rPr>
                <w:noProof/>
                <w:sz w:val="20"/>
                <w:szCs w:val="20"/>
                <w:lang w:val="en-IE" w:eastAsia="en-IE"/>
              </w:rPr>
            </w:pPr>
          </w:p>
        </w:tc>
        <w:tc>
          <w:tcPr>
            <w:tcW w:w="839" w:type="dxa"/>
            <w:tcBorders>
              <w:top w:val="single" w:sz="4" w:space="0" w:color="auto"/>
              <w:left w:val="single" w:sz="4" w:space="0" w:color="auto"/>
              <w:bottom w:val="single" w:sz="4" w:space="0" w:color="auto"/>
              <w:right w:val="single" w:sz="4" w:space="0" w:color="auto"/>
            </w:tcBorders>
            <w:noWrap/>
            <w:hideMark/>
          </w:tcPr>
          <w:p w14:paraId="3484A8C4" w14:textId="77777777" w:rsidR="00221F1C" w:rsidRDefault="00221F1C">
            <w:pPr>
              <w:spacing w:after="0"/>
              <w:rPr>
                <w:noProof/>
                <w:sz w:val="20"/>
                <w:szCs w:val="20"/>
                <w:lang w:val="en-IE" w:eastAsia="en-IE"/>
              </w:rPr>
            </w:pPr>
          </w:p>
        </w:tc>
        <w:tc>
          <w:tcPr>
            <w:tcW w:w="811" w:type="dxa"/>
            <w:tcBorders>
              <w:top w:val="single" w:sz="4" w:space="0" w:color="auto"/>
              <w:left w:val="single" w:sz="4" w:space="0" w:color="auto"/>
              <w:bottom w:val="single" w:sz="4" w:space="0" w:color="auto"/>
              <w:right w:val="single" w:sz="4" w:space="0" w:color="auto"/>
            </w:tcBorders>
            <w:noWrap/>
            <w:hideMark/>
          </w:tcPr>
          <w:p w14:paraId="604B3A26" w14:textId="77777777" w:rsidR="00221F1C" w:rsidRDefault="00221F1C">
            <w:pPr>
              <w:spacing w:after="0"/>
              <w:rPr>
                <w:noProof/>
                <w:sz w:val="20"/>
                <w:szCs w:val="20"/>
                <w:lang w:val="en-IE" w:eastAsia="en-IE"/>
              </w:rPr>
            </w:pPr>
          </w:p>
        </w:tc>
        <w:tc>
          <w:tcPr>
            <w:tcW w:w="839" w:type="dxa"/>
            <w:tcBorders>
              <w:top w:val="single" w:sz="4" w:space="0" w:color="auto"/>
              <w:left w:val="single" w:sz="4" w:space="0" w:color="auto"/>
              <w:bottom w:val="single" w:sz="4" w:space="0" w:color="auto"/>
              <w:right w:val="single" w:sz="4" w:space="0" w:color="auto"/>
            </w:tcBorders>
            <w:noWrap/>
            <w:hideMark/>
          </w:tcPr>
          <w:p w14:paraId="4102A091" w14:textId="77777777" w:rsidR="00221F1C" w:rsidRDefault="00221F1C">
            <w:pPr>
              <w:spacing w:after="0"/>
              <w:rPr>
                <w:noProof/>
                <w:sz w:val="20"/>
                <w:szCs w:val="20"/>
                <w:lang w:val="en-IE" w:eastAsia="en-IE"/>
              </w:rPr>
            </w:pPr>
          </w:p>
        </w:tc>
        <w:tc>
          <w:tcPr>
            <w:tcW w:w="750" w:type="dxa"/>
            <w:tcBorders>
              <w:top w:val="single" w:sz="4" w:space="0" w:color="auto"/>
              <w:left w:val="single" w:sz="4" w:space="0" w:color="auto"/>
              <w:bottom w:val="single" w:sz="4" w:space="0" w:color="auto"/>
              <w:right w:val="single" w:sz="4" w:space="0" w:color="auto"/>
            </w:tcBorders>
            <w:noWrap/>
            <w:hideMark/>
          </w:tcPr>
          <w:p w14:paraId="1CD6AF92" w14:textId="77777777" w:rsidR="00221F1C" w:rsidRDefault="00221F1C">
            <w:pPr>
              <w:spacing w:after="0"/>
              <w:rPr>
                <w:noProof/>
                <w:sz w:val="20"/>
                <w:szCs w:val="20"/>
                <w:lang w:val="en-IE" w:eastAsia="en-IE"/>
              </w:rPr>
            </w:pPr>
          </w:p>
        </w:tc>
        <w:tc>
          <w:tcPr>
            <w:tcW w:w="811" w:type="dxa"/>
            <w:tcBorders>
              <w:top w:val="single" w:sz="4" w:space="0" w:color="auto"/>
              <w:left w:val="single" w:sz="4" w:space="0" w:color="auto"/>
              <w:bottom w:val="single" w:sz="4" w:space="0" w:color="auto"/>
              <w:right w:val="single" w:sz="4" w:space="0" w:color="auto"/>
            </w:tcBorders>
            <w:noWrap/>
            <w:hideMark/>
          </w:tcPr>
          <w:p w14:paraId="731A4628" w14:textId="77777777" w:rsidR="00221F1C" w:rsidRDefault="00221F1C">
            <w:pPr>
              <w:spacing w:after="0"/>
              <w:rPr>
                <w:noProof/>
                <w:sz w:val="20"/>
                <w:szCs w:val="20"/>
                <w:lang w:val="en-IE" w:eastAsia="en-IE"/>
              </w:rPr>
            </w:pPr>
          </w:p>
        </w:tc>
        <w:tc>
          <w:tcPr>
            <w:tcW w:w="839" w:type="dxa"/>
            <w:tcBorders>
              <w:top w:val="single" w:sz="4" w:space="0" w:color="auto"/>
              <w:left w:val="single" w:sz="4" w:space="0" w:color="auto"/>
              <w:bottom w:val="single" w:sz="4" w:space="0" w:color="auto"/>
              <w:right w:val="single" w:sz="4" w:space="0" w:color="auto"/>
            </w:tcBorders>
            <w:noWrap/>
            <w:hideMark/>
          </w:tcPr>
          <w:p w14:paraId="52026FBB" w14:textId="77777777" w:rsidR="00221F1C" w:rsidRDefault="00221F1C">
            <w:pPr>
              <w:spacing w:after="0"/>
              <w:rPr>
                <w:noProof/>
                <w:sz w:val="20"/>
                <w:szCs w:val="20"/>
                <w:lang w:val="en-IE" w:eastAsia="en-IE"/>
              </w:rPr>
            </w:pPr>
          </w:p>
        </w:tc>
        <w:tc>
          <w:tcPr>
            <w:tcW w:w="839" w:type="dxa"/>
            <w:tcBorders>
              <w:top w:val="single" w:sz="4" w:space="0" w:color="auto"/>
              <w:left w:val="single" w:sz="4" w:space="0" w:color="auto"/>
              <w:bottom w:val="single" w:sz="4" w:space="0" w:color="auto"/>
              <w:right w:val="single" w:sz="4" w:space="0" w:color="auto"/>
            </w:tcBorders>
            <w:noWrap/>
            <w:hideMark/>
          </w:tcPr>
          <w:p w14:paraId="428534DF" w14:textId="77777777" w:rsidR="00221F1C" w:rsidRDefault="00221F1C">
            <w:pPr>
              <w:spacing w:after="0"/>
              <w:rPr>
                <w:noProof/>
                <w:sz w:val="20"/>
                <w:szCs w:val="20"/>
                <w:lang w:val="en-IE" w:eastAsia="en-IE"/>
              </w:rPr>
            </w:pPr>
          </w:p>
        </w:tc>
        <w:tc>
          <w:tcPr>
            <w:tcW w:w="722" w:type="dxa"/>
            <w:tcBorders>
              <w:top w:val="single" w:sz="4" w:space="0" w:color="auto"/>
              <w:left w:val="single" w:sz="4" w:space="0" w:color="auto"/>
              <w:bottom w:val="single" w:sz="4" w:space="0" w:color="auto"/>
              <w:right w:val="single" w:sz="4" w:space="0" w:color="auto"/>
            </w:tcBorders>
            <w:noWrap/>
            <w:hideMark/>
          </w:tcPr>
          <w:p w14:paraId="0B4A23FC" w14:textId="77777777" w:rsidR="00221F1C" w:rsidRDefault="00221F1C">
            <w:pPr>
              <w:spacing w:after="0"/>
              <w:rPr>
                <w:noProof/>
                <w:sz w:val="20"/>
                <w:szCs w:val="20"/>
                <w:lang w:val="en-IE" w:eastAsia="en-IE"/>
              </w:rPr>
            </w:pPr>
          </w:p>
        </w:tc>
        <w:tc>
          <w:tcPr>
            <w:tcW w:w="720" w:type="dxa"/>
            <w:tcBorders>
              <w:top w:val="single" w:sz="4" w:space="0" w:color="auto"/>
              <w:left w:val="single" w:sz="4" w:space="0" w:color="auto"/>
              <w:bottom w:val="single" w:sz="4" w:space="0" w:color="auto"/>
              <w:right w:val="single" w:sz="4" w:space="0" w:color="auto"/>
            </w:tcBorders>
            <w:noWrap/>
            <w:hideMark/>
          </w:tcPr>
          <w:p w14:paraId="36532D46" w14:textId="77777777" w:rsidR="00221F1C" w:rsidRDefault="00221F1C">
            <w:pPr>
              <w:spacing w:after="0"/>
              <w:rPr>
                <w:noProof/>
                <w:sz w:val="20"/>
                <w:szCs w:val="20"/>
                <w:lang w:val="en-IE" w:eastAsia="en-IE"/>
              </w:rPr>
            </w:pPr>
          </w:p>
        </w:tc>
        <w:tc>
          <w:tcPr>
            <w:tcW w:w="840" w:type="dxa"/>
            <w:tcBorders>
              <w:top w:val="single" w:sz="4" w:space="0" w:color="auto"/>
              <w:left w:val="single" w:sz="4" w:space="0" w:color="auto"/>
              <w:bottom w:val="single" w:sz="4" w:space="0" w:color="auto"/>
              <w:right w:val="single" w:sz="4" w:space="0" w:color="auto"/>
            </w:tcBorders>
            <w:noWrap/>
            <w:hideMark/>
          </w:tcPr>
          <w:p w14:paraId="2FFCAF25" w14:textId="77777777" w:rsidR="00221F1C" w:rsidRDefault="00221F1C">
            <w:pPr>
              <w:spacing w:after="0"/>
              <w:rPr>
                <w:noProof/>
                <w:sz w:val="20"/>
                <w:szCs w:val="20"/>
                <w:lang w:val="en-IE" w:eastAsia="en-IE"/>
              </w:rPr>
            </w:pPr>
          </w:p>
        </w:tc>
        <w:tc>
          <w:tcPr>
            <w:tcW w:w="840" w:type="dxa"/>
            <w:tcBorders>
              <w:top w:val="single" w:sz="4" w:space="0" w:color="auto"/>
              <w:left w:val="single" w:sz="4" w:space="0" w:color="auto"/>
              <w:bottom w:val="single" w:sz="4" w:space="0" w:color="auto"/>
              <w:right w:val="single" w:sz="4" w:space="0" w:color="auto"/>
            </w:tcBorders>
            <w:noWrap/>
            <w:hideMark/>
          </w:tcPr>
          <w:p w14:paraId="0BD7FAAF" w14:textId="77777777" w:rsidR="00221F1C" w:rsidRDefault="00221F1C">
            <w:pPr>
              <w:spacing w:after="0"/>
              <w:rPr>
                <w:noProof/>
                <w:sz w:val="20"/>
                <w:szCs w:val="20"/>
                <w:lang w:val="en-IE" w:eastAsia="en-IE"/>
              </w:rPr>
            </w:pPr>
          </w:p>
        </w:tc>
        <w:tc>
          <w:tcPr>
            <w:tcW w:w="840" w:type="dxa"/>
            <w:tcBorders>
              <w:top w:val="single" w:sz="4" w:space="0" w:color="auto"/>
              <w:left w:val="single" w:sz="4" w:space="0" w:color="auto"/>
              <w:bottom w:val="single" w:sz="4" w:space="0" w:color="auto"/>
              <w:right w:val="single" w:sz="4" w:space="0" w:color="auto"/>
            </w:tcBorders>
            <w:noWrap/>
            <w:hideMark/>
          </w:tcPr>
          <w:p w14:paraId="77B8AFB0" w14:textId="77777777" w:rsidR="00221F1C" w:rsidRDefault="00221F1C">
            <w:pPr>
              <w:spacing w:after="0"/>
              <w:rPr>
                <w:noProof/>
                <w:sz w:val="20"/>
                <w:szCs w:val="20"/>
                <w:lang w:val="en-IE" w:eastAsia="en-IE"/>
              </w:rPr>
            </w:pPr>
          </w:p>
        </w:tc>
      </w:tr>
      <w:tr w:rsidR="00221F1C" w14:paraId="2A005086"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383F5B9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 tekućim cijenama (u milijunima EUR)</w:t>
            </w:r>
          </w:p>
        </w:tc>
        <w:tc>
          <w:tcPr>
            <w:tcW w:w="600" w:type="dxa"/>
            <w:tcBorders>
              <w:top w:val="nil"/>
              <w:left w:val="nil"/>
              <w:bottom w:val="single" w:sz="4" w:space="0" w:color="auto"/>
              <w:right w:val="single" w:sz="4" w:space="0" w:color="auto"/>
            </w:tcBorders>
            <w:hideMark/>
          </w:tcPr>
          <w:p w14:paraId="71A8C528" w14:textId="77777777" w:rsidR="00221F1C" w:rsidRPr="00F55682" w:rsidRDefault="00221F1C">
            <w:pPr>
              <w:rPr>
                <w:rFonts w:ascii="Arial" w:eastAsia="Times New Roman" w:hAnsi="Arial" w:cs="Arial"/>
                <w:noProof/>
                <w:color w:val="000000"/>
                <w:sz w:val="16"/>
                <w:szCs w:val="16"/>
                <w:lang w:eastAsia="en-IE"/>
              </w:rPr>
            </w:pPr>
          </w:p>
        </w:tc>
        <w:tc>
          <w:tcPr>
            <w:tcW w:w="720" w:type="dxa"/>
            <w:tcBorders>
              <w:top w:val="single" w:sz="4" w:space="0" w:color="auto"/>
              <w:left w:val="nil"/>
              <w:bottom w:val="single" w:sz="4" w:space="0" w:color="auto"/>
              <w:right w:val="single" w:sz="4" w:space="0" w:color="auto"/>
            </w:tcBorders>
            <w:noWrap/>
            <w:hideMark/>
          </w:tcPr>
          <w:p w14:paraId="72A08D8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4 951</w:t>
            </w:r>
          </w:p>
        </w:tc>
        <w:tc>
          <w:tcPr>
            <w:tcW w:w="840" w:type="dxa"/>
            <w:tcBorders>
              <w:top w:val="single" w:sz="4" w:space="0" w:color="auto"/>
              <w:left w:val="nil"/>
              <w:bottom w:val="single" w:sz="4" w:space="0" w:color="auto"/>
              <w:right w:val="single" w:sz="4" w:space="0" w:color="auto"/>
            </w:tcBorders>
            <w:noWrap/>
            <w:hideMark/>
          </w:tcPr>
          <w:p w14:paraId="146394D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4 186</w:t>
            </w:r>
          </w:p>
        </w:tc>
        <w:tc>
          <w:tcPr>
            <w:tcW w:w="840" w:type="dxa"/>
            <w:tcBorders>
              <w:top w:val="single" w:sz="4" w:space="0" w:color="auto"/>
              <w:left w:val="nil"/>
              <w:bottom w:val="single" w:sz="4" w:space="0" w:color="auto"/>
              <w:right w:val="single" w:sz="4" w:space="0" w:color="auto"/>
            </w:tcBorders>
            <w:noWrap/>
            <w:hideMark/>
          </w:tcPr>
          <w:p w14:paraId="4B52F47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11 262</w:t>
            </w:r>
          </w:p>
        </w:tc>
        <w:tc>
          <w:tcPr>
            <w:tcW w:w="750" w:type="dxa"/>
            <w:tcBorders>
              <w:top w:val="single" w:sz="4" w:space="0" w:color="auto"/>
              <w:left w:val="nil"/>
              <w:bottom w:val="single" w:sz="4" w:space="0" w:color="auto"/>
              <w:right w:val="single" w:sz="4" w:space="0" w:color="auto"/>
            </w:tcBorders>
            <w:noWrap/>
            <w:hideMark/>
          </w:tcPr>
          <w:p w14:paraId="4879880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10 635 p</w:t>
            </w:r>
          </w:p>
        </w:tc>
        <w:tc>
          <w:tcPr>
            <w:tcW w:w="839" w:type="dxa"/>
            <w:tcBorders>
              <w:top w:val="single" w:sz="4" w:space="0" w:color="auto"/>
              <w:left w:val="nil"/>
              <w:bottom w:val="single" w:sz="4" w:space="0" w:color="auto"/>
              <w:right w:val="single" w:sz="4" w:space="0" w:color="auto"/>
            </w:tcBorders>
            <w:noWrap/>
            <w:hideMark/>
          </w:tcPr>
          <w:p w14:paraId="7964EFC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13 754</w:t>
            </w:r>
          </w:p>
        </w:tc>
        <w:tc>
          <w:tcPr>
            <w:tcW w:w="811" w:type="dxa"/>
            <w:tcBorders>
              <w:top w:val="single" w:sz="4" w:space="0" w:color="auto"/>
              <w:left w:val="nil"/>
              <w:bottom w:val="single" w:sz="4" w:space="0" w:color="auto"/>
              <w:right w:val="single" w:sz="4" w:space="0" w:color="auto"/>
            </w:tcBorders>
            <w:noWrap/>
            <w:hideMark/>
          </w:tcPr>
          <w:p w14:paraId="304F80B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13 283 p</w:t>
            </w:r>
          </w:p>
        </w:tc>
        <w:tc>
          <w:tcPr>
            <w:tcW w:w="839" w:type="dxa"/>
            <w:tcBorders>
              <w:top w:val="single" w:sz="4" w:space="0" w:color="auto"/>
              <w:left w:val="nil"/>
              <w:bottom w:val="single" w:sz="4" w:space="0" w:color="auto"/>
              <w:right w:val="single" w:sz="4" w:space="0" w:color="auto"/>
            </w:tcBorders>
            <w:noWrap/>
            <w:hideMark/>
          </w:tcPr>
          <w:p w14:paraId="75096A4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46 005</w:t>
            </w:r>
          </w:p>
        </w:tc>
        <w:tc>
          <w:tcPr>
            <w:tcW w:w="750" w:type="dxa"/>
            <w:tcBorders>
              <w:top w:val="single" w:sz="4" w:space="0" w:color="auto"/>
              <w:left w:val="nil"/>
              <w:bottom w:val="single" w:sz="4" w:space="0" w:color="auto"/>
              <w:right w:val="single" w:sz="4" w:space="0" w:color="auto"/>
            </w:tcBorders>
            <w:noWrap/>
            <w:hideMark/>
          </w:tcPr>
          <w:p w14:paraId="0540284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46 796</w:t>
            </w:r>
          </w:p>
        </w:tc>
        <w:tc>
          <w:tcPr>
            <w:tcW w:w="811" w:type="dxa"/>
            <w:tcBorders>
              <w:top w:val="single" w:sz="4" w:space="0" w:color="auto"/>
              <w:left w:val="nil"/>
              <w:bottom w:val="single" w:sz="4" w:space="0" w:color="auto"/>
              <w:right w:val="single" w:sz="4" w:space="0" w:color="auto"/>
            </w:tcBorders>
            <w:noWrap/>
            <w:hideMark/>
          </w:tcPr>
          <w:p w14:paraId="0955DBA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679 132</w:t>
            </w:r>
          </w:p>
        </w:tc>
        <w:tc>
          <w:tcPr>
            <w:tcW w:w="839" w:type="dxa"/>
            <w:tcBorders>
              <w:top w:val="single" w:sz="4" w:space="0" w:color="auto"/>
              <w:left w:val="nil"/>
              <w:bottom w:val="single" w:sz="4" w:space="0" w:color="auto"/>
              <w:right w:val="single" w:sz="4" w:space="0" w:color="auto"/>
            </w:tcBorders>
            <w:noWrap/>
            <w:hideMark/>
          </w:tcPr>
          <w:p w14:paraId="3DD931F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626 576</w:t>
            </w:r>
          </w:p>
        </w:tc>
        <w:tc>
          <w:tcPr>
            <w:tcW w:w="839" w:type="dxa"/>
            <w:tcBorders>
              <w:top w:val="single" w:sz="4" w:space="0" w:color="auto"/>
              <w:left w:val="nil"/>
              <w:bottom w:val="single" w:sz="4" w:space="0" w:color="auto"/>
              <w:right w:val="single" w:sz="4" w:space="0" w:color="auto"/>
            </w:tcBorders>
            <w:noWrap/>
            <w:hideMark/>
          </w:tcPr>
          <w:p w14:paraId="505DF04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18 046</w:t>
            </w:r>
          </w:p>
        </w:tc>
        <w:tc>
          <w:tcPr>
            <w:tcW w:w="722" w:type="dxa"/>
            <w:tcBorders>
              <w:top w:val="single" w:sz="4" w:space="0" w:color="auto"/>
              <w:left w:val="nil"/>
              <w:bottom w:val="single" w:sz="4" w:space="0" w:color="auto"/>
              <w:right w:val="single" w:sz="4" w:space="0" w:color="auto"/>
            </w:tcBorders>
            <w:noWrap/>
            <w:hideMark/>
          </w:tcPr>
          <w:p w14:paraId="3ED8763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17 514</w:t>
            </w:r>
          </w:p>
        </w:tc>
        <w:tc>
          <w:tcPr>
            <w:tcW w:w="720" w:type="dxa"/>
            <w:tcBorders>
              <w:top w:val="single" w:sz="4" w:space="0" w:color="auto"/>
              <w:left w:val="nil"/>
              <w:bottom w:val="single" w:sz="4" w:space="0" w:color="auto"/>
              <w:right w:val="single" w:sz="4" w:space="0" w:color="auto"/>
            </w:tcBorders>
            <w:noWrap/>
            <w:hideMark/>
          </w:tcPr>
          <w:p w14:paraId="113BF75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7 056</w:t>
            </w:r>
          </w:p>
        </w:tc>
        <w:tc>
          <w:tcPr>
            <w:tcW w:w="840" w:type="dxa"/>
            <w:tcBorders>
              <w:top w:val="single" w:sz="4" w:space="0" w:color="auto"/>
              <w:left w:val="nil"/>
              <w:bottom w:val="single" w:sz="4" w:space="0" w:color="auto"/>
              <w:right w:val="single" w:sz="4" w:space="0" w:color="auto"/>
            </w:tcBorders>
            <w:noWrap/>
            <w:hideMark/>
          </w:tcPr>
          <w:p w14:paraId="448BC8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6 772</w:t>
            </w:r>
          </w:p>
        </w:tc>
        <w:tc>
          <w:tcPr>
            <w:tcW w:w="840" w:type="dxa"/>
            <w:tcBorders>
              <w:top w:val="single" w:sz="4" w:space="0" w:color="auto"/>
              <w:left w:val="nil"/>
              <w:bottom w:val="single" w:sz="4" w:space="0" w:color="auto"/>
              <w:right w:val="single" w:sz="4" w:space="0" w:color="auto"/>
            </w:tcBorders>
            <w:noWrap/>
            <w:hideMark/>
          </w:tcPr>
          <w:p w14:paraId="4192DE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14 016 454</w:t>
            </w:r>
          </w:p>
        </w:tc>
        <w:tc>
          <w:tcPr>
            <w:tcW w:w="840" w:type="dxa"/>
            <w:tcBorders>
              <w:top w:val="single" w:sz="4" w:space="0" w:color="auto"/>
              <w:left w:val="nil"/>
              <w:bottom w:val="single" w:sz="4" w:space="0" w:color="auto"/>
              <w:right w:val="single" w:sz="4" w:space="0" w:color="auto"/>
            </w:tcBorders>
            <w:noWrap/>
            <w:hideMark/>
          </w:tcPr>
          <w:p w14:paraId="3A715CC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13 411 849</w:t>
            </w:r>
          </w:p>
        </w:tc>
      </w:tr>
      <w:tr w:rsidR="00221F1C" w14:paraId="201AEB2F"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691DFA8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 stanovniku (u EUR)</w:t>
            </w:r>
          </w:p>
        </w:tc>
        <w:tc>
          <w:tcPr>
            <w:tcW w:w="600" w:type="dxa"/>
            <w:tcBorders>
              <w:top w:val="nil"/>
              <w:left w:val="nil"/>
              <w:bottom w:val="single" w:sz="4" w:space="0" w:color="auto"/>
              <w:right w:val="single" w:sz="4" w:space="0" w:color="auto"/>
            </w:tcBorders>
            <w:hideMark/>
          </w:tcPr>
          <w:p w14:paraId="3E21ACD8"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2CF0A81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7 960</w:t>
            </w:r>
          </w:p>
        </w:tc>
        <w:tc>
          <w:tcPr>
            <w:tcW w:w="840" w:type="dxa"/>
            <w:tcBorders>
              <w:top w:val="nil"/>
              <w:left w:val="nil"/>
              <w:bottom w:val="single" w:sz="4" w:space="0" w:color="auto"/>
              <w:right w:val="single" w:sz="4" w:space="0" w:color="auto"/>
            </w:tcBorders>
            <w:noWrap/>
            <w:hideMark/>
          </w:tcPr>
          <w:p w14:paraId="276D817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6 740</w:t>
            </w:r>
          </w:p>
        </w:tc>
        <w:tc>
          <w:tcPr>
            <w:tcW w:w="840" w:type="dxa"/>
            <w:tcBorders>
              <w:top w:val="nil"/>
              <w:left w:val="nil"/>
              <w:bottom w:val="single" w:sz="4" w:space="0" w:color="auto"/>
              <w:right w:val="single" w:sz="4" w:space="0" w:color="auto"/>
            </w:tcBorders>
            <w:noWrap/>
            <w:hideMark/>
          </w:tcPr>
          <w:p w14:paraId="2F0C05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5 422 sw</w:t>
            </w:r>
          </w:p>
        </w:tc>
        <w:tc>
          <w:tcPr>
            <w:tcW w:w="750" w:type="dxa"/>
            <w:tcBorders>
              <w:top w:val="nil"/>
              <w:left w:val="nil"/>
              <w:bottom w:val="single" w:sz="4" w:space="0" w:color="auto"/>
              <w:right w:val="single" w:sz="4" w:space="0" w:color="auto"/>
            </w:tcBorders>
            <w:noWrap/>
            <w:hideMark/>
          </w:tcPr>
          <w:p w14:paraId="7B44681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5 122 psw</w:t>
            </w:r>
          </w:p>
        </w:tc>
        <w:tc>
          <w:tcPr>
            <w:tcW w:w="839" w:type="dxa"/>
            <w:tcBorders>
              <w:top w:val="nil"/>
              <w:left w:val="nil"/>
              <w:bottom w:val="single" w:sz="4" w:space="0" w:color="auto"/>
              <w:right w:val="single" w:sz="4" w:space="0" w:color="auto"/>
            </w:tcBorders>
            <w:noWrap/>
            <w:hideMark/>
          </w:tcPr>
          <w:p w14:paraId="0A5A2B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4 820</w:t>
            </w:r>
          </w:p>
        </w:tc>
        <w:tc>
          <w:tcPr>
            <w:tcW w:w="811" w:type="dxa"/>
            <w:tcBorders>
              <w:top w:val="nil"/>
              <w:left w:val="nil"/>
              <w:bottom w:val="single" w:sz="4" w:space="0" w:color="auto"/>
              <w:right w:val="single" w:sz="4" w:space="0" w:color="auto"/>
            </w:tcBorders>
            <w:noWrap/>
            <w:hideMark/>
          </w:tcPr>
          <w:p w14:paraId="40324C6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4 680 p</w:t>
            </w:r>
          </w:p>
        </w:tc>
        <w:tc>
          <w:tcPr>
            <w:tcW w:w="839" w:type="dxa"/>
            <w:tcBorders>
              <w:top w:val="nil"/>
              <w:left w:val="nil"/>
              <w:bottom w:val="single" w:sz="4" w:space="0" w:color="auto"/>
              <w:right w:val="single" w:sz="4" w:space="0" w:color="auto"/>
            </w:tcBorders>
            <w:noWrap/>
            <w:hideMark/>
          </w:tcPr>
          <w:p w14:paraId="64A97AC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6 620</w:t>
            </w:r>
          </w:p>
        </w:tc>
        <w:tc>
          <w:tcPr>
            <w:tcW w:w="750" w:type="dxa"/>
            <w:tcBorders>
              <w:top w:val="nil"/>
              <w:left w:val="nil"/>
              <w:bottom w:val="single" w:sz="4" w:space="0" w:color="auto"/>
              <w:right w:val="single" w:sz="4" w:space="0" w:color="auto"/>
            </w:tcBorders>
            <w:noWrap/>
            <w:hideMark/>
          </w:tcPr>
          <w:p w14:paraId="54D83E6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6 780</w:t>
            </w:r>
          </w:p>
        </w:tc>
        <w:tc>
          <w:tcPr>
            <w:tcW w:w="811" w:type="dxa"/>
            <w:tcBorders>
              <w:top w:val="nil"/>
              <w:left w:val="nil"/>
              <w:bottom w:val="single" w:sz="4" w:space="0" w:color="auto"/>
              <w:right w:val="single" w:sz="4" w:space="0" w:color="auto"/>
            </w:tcBorders>
            <w:noWrap/>
            <w:hideMark/>
          </w:tcPr>
          <w:p w14:paraId="06DF811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8 220</w:t>
            </w:r>
          </w:p>
        </w:tc>
        <w:tc>
          <w:tcPr>
            <w:tcW w:w="839" w:type="dxa"/>
            <w:tcBorders>
              <w:top w:val="nil"/>
              <w:left w:val="nil"/>
              <w:bottom w:val="single" w:sz="4" w:space="0" w:color="auto"/>
              <w:right w:val="single" w:sz="4" w:space="0" w:color="auto"/>
            </w:tcBorders>
            <w:noWrap/>
            <w:hideMark/>
          </w:tcPr>
          <w:p w14:paraId="476715C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7 510</w:t>
            </w:r>
          </w:p>
        </w:tc>
        <w:tc>
          <w:tcPr>
            <w:tcW w:w="839" w:type="dxa"/>
            <w:tcBorders>
              <w:top w:val="nil"/>
              <w:left w:val="nil"/>
              <w:bottom w:val="single" w:sz="4" w:space="0" w:color="auto"/>
              <w:right w:val="single" w:sz="4" w:space="0" w:color="auto"/>
            </w:tcBorders>
            <w:noWrap/>
            <w:hideMark/>
          </w:tcPr>
          <w:p w14:paraId="58BA903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5 168 ps</w:t>
            </w:r>
          </w:p>
        </w:tc>
        <w:tc>
          <w:tcPr>
            <w:tcW w:w="722" w:type="dxa"/>
            <w:tcBorders>
              <w:top w:val="nil"/>
              <w:left w:val="nil"/>
              <w:bottom w:val="single" w:sz="4" w:space="0" w:color="auto"/>
              <w:right w:val="single" w:sz="4" w:space="0" w:color="auto"/>
            </w:tcBorders>
            <w:noWrap/>
            <w:hideMark/>
          </w:tcPr>
          <w:p w14:paraId="083C490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noWrap/>
            <w:hideMark/>
          </w:tcPr>
          <w:p w14:paraId="0BCB703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3 930 s</w:t>
            </w:r>
          </w:p>
        </w:tc>
        <w:tc>
          <w:tcPr>
            <w:tcW w:w="840" w:type="dxa"/>
            <w:tcBorders>
              <w:top w:val="nil"/>
              <w:left w:val="nil"/>
              <w:bottom w:val="single" w:sz="4" w:space="0" w:color="auto"/>
              <w:right w:val="single" w:sz="4" w:space="0" w:color="auto"/>
            </w:tcBorders>
            <w:noWrap/>
            <w:hideMark/>
          </w:tcPr>
          <w:p w14:paraId="169C7E1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3 800 s</w:t>
            </w:r>
          </w:p>
        </w:tc>
        <w:tc>
          <w:tcPr>
            <w:tcW w:w="840" w:type="dxa"/>
            <w:tcBorders>
              <w:top w:val="nil"/>
              <w:left w:val="nil"/>
              <w:bottom w:val="single" w:sz="4" w:space="0" w:color="auto"/>
              <w:right w:val="single" w:sz="4" w:space="0" w:color="auto"/>
            </w:tcBorders>
            <w:noWrap/>
            <w:hideMark/>
          </w:tcPr>
          <w:p w14:paraId="0C9E143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31 300</w:t>
            </w:r>
          </w:p>
        </w:tc>
        <w:tc>
          <w:tcPr>
            <w:tcW w:w="840" w:type="dxa"/>
            <w:tcBorders>
              <w:top w:val="nil"/>
              <w:left w:val="nil"/>
              <w:bottom w:val="single" w:sz="4" w:space="0" w:color="auto"/>
              <w:right w:val="single" w:sz="4" w:space="0" w:color="auto"/>
            </w:tcBorders>
            <w:noWrap/>
            <w:hideMark/>
          </w:tcPr>
          <w:p w14:paraId="277A765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29 920</w:t>
            </w:r>
          </w:p>
        </w:tc>
      </w:tr>
      <w:tr w:rsidR="00221F1C" w14:paraId="169F8D04"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43BD1C0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Prema standardima kupovne moći (PPS) po stanovniku</w:t>
            </w:r>
          </w:p>
        </w:tc>
        <w:tc>
          <w:tcPr>
            <w:tcW w:w="600" w:type="dxa"/>
            <w:tcBorders>
              <w:top w:val="nil"/>
              <w:left w:val="nil"/>
              <w:bottom w:val="single" w:sz="4" w:space="0" w:color="auto"/>
              <w:right w:val="single" w:sz="4" w:space="0" w:color="auto"/>
            </w:tcBorders>
            <w:hideMark/>
          </w:tcPr>
          <w:p w14:paraId="48E9FE7B" w14:textId="77777777" w:rsidR="00221F1C" w:rsidRPr="00F55682" w:rsidRDefault="00221F1C">
            <w:pPr>
              <w:rPr>
                <w:rFonts w:ascii="Arial" w:eastAsia="Times New Roman" w:hAnsi="Arial" w:cs="Arial"/>
                <w:noProof/>
                <w:color w:val="000000"/>
                <w:sz w:val="16"/>
                <w:szCs w:val="16"/>
                <w:lang w:val="de-DE" w:eastAsia="en-IE"/>
              </w:rPr>
            </w:pPr>
          </w:p>
        </w:tc>
        <w:tc>
          <w:tcPr>
            <w:tcW w:w="720" w:type="dxa"/>
            <w:tcBorders>
              <w:top w:val="nil"/>
              <w:left w:val="nil"/>
              <w:bottom w:val="single" w:sz="4" w:space="0" w:color="auto"/>
              <w:right w:val="single" w:sz="4" w:space="0" w:color="auto"/>
            </w:tcBorders>
            <w:noWrap/>
            <w:hideMark/>
          </w:tcPr>
          <w:p w14:paraId="53D493C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15 696</w:t>
            </w:r>
          </w:p>
        </w:tc>
        <w:tc>
          <w:tcPr>
            <w:tcW w:w="840" w:type="dxa"/>
            <w:tcBorders>
              <w:top w:val="nil"/>
              <w:left w:val="nil"/>
              <w:bottom w:val="single" w:sz="4" w:space="0" w:color="auto"/>
              <w:right w:val="single" w:sz="4" w:space="0" w:color="auto"/>
            </w:tcBorders>
            <w:noWrap/>
            <w:hideMark/>
          </w:tcPr>
          <w:p w14:paraId="1D35B34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13 356</w:t>
            </w:r>
          </w:p>
        </w:tc>
        <w:tc>
          <w:tcPr>
            <w:tcW w:w="840" w:type="dxa"/>
            <w:tcBorders>
              <w:top w:val="nil"/>
              <w:left w:val="nil"/>
              <w:bottom w:val="single" w:sz="4" w:space="0" w:color="auto"/>
              <w:right w:val="single" w:sz="4" w:space="0" w:color="auto"/>
            </w:tcBorders>
            <w:noWrap/>
            <w:hideMark/>
          </w:tcPr>
          <w:p w14:paraId="302C566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noWrap/>
            <w:hideMark/>
          </w:tcPr>
          <w:p w14:paraId="2FFCA26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09EF77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9 524</w:t>
            </w:r>
          </w:p>
        </w:tc>
        <w:tc>
          <w:tcPr>
            <w:tcW w:w="811" w:type="dxa"/>
            <w:tcBorders>
              <w:top w:val="nil"/>
              <w:left w:val="nil"/>
              <w:bottom w:val="single" w:sz="4" w:space="0" w:color="auto"/>
              <w:right w:val="single" w:sz="4" w:space="0" w:color="auto"/>
            </w:tcBorders>
            <w:noWrap/>
            <w:hideMark/>
          </w:tcPr>
          <w:p w14:paraId="42D89A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9 109 p</w:t>
            </w:r>
          </w:p>
        </w:tc>
        <w:tc>
          <w:tcPr>
            <w:tcW w:w="839" w:type="dxa"/>
            <w:tcBorders>
              <w:top w:val="nil"/>
              <w:left w:val="nil"/>
              <w:bottom w:val="single" w:sz="4" w:space="0" w:color="auto"/>
              <w:right w:val="single" w:sz="4" w:space="0" w:color="auto"/>
            </w:tcBorders>
            <w:noWrap/>
            <w:hideMark/>
          </w:tcPr>
          <w:p w14:paraId="0AAC5E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12 805</w:t>
            </w:r>
          </w:p>
        </w:tc>
        <w:tc>
          <w:tcPr>
            <w:tcW w:w="750" w:type="dxa"/>
            <w:tcBorders>
              <w:top w:val="nil"/>
              <w:left w:val="nil"/>
              <w:bottom w:val="single" w:sz="4" w:space="0" w:color="auto"/>
              <w:right w:val="single" w:sz="4" w:space="0" w:color="auto"/>
            </w:tcBorders>
            <w:noWrap/>
            <w:hideMark/>
          </w:tcPr>
          <w:p w14:paraId="11A4810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12 758</w:t>
            </w:r>
          </w:p>
        </w:tc>
        <w:tc>
          <w:tcPr>
            <w:tcW w:w="811" w:type="dxa"/>
            <w:tcBorders>
              <w:top w:val="nil"/>
              <w:left w:val="nil"/>
              <w:bottom w:val="single" w:sz="4" w:space="0" w:color="auto"/>
              <w:right w:val="single" w:sz="4" w:space="0" w:color="auto"/>
            </w:tcBorders>
            <w:noWrap/>
            <w:hideMark/>
          </w:tcPr>
          <w:p w14:paraId="6EF64C8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18 466</w:t>
            </w:r>
          </w:p>
        </w:tc>
        <w:tc>
          <w:tcPr>
            <w:tcW w:w="839" w:type="dxa"/>
            <w:tcBorders>
              <w:top w:val="nil"/>
              <w:left w:val="nil"/>
              <w:bottom w:val="single" w:sz="4" w:space="0" w:color="auto"/>
              <w:right w:val="single" w:sz="4" w:space="0" w:color="auto"/>
            </w:tcBorders>
            <w:noWrap/>
            <w:hideMark/>
          </w:tcPr>
          <w:p w14:paraId="79E3656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18 406</w:t>
            </w:r>
          </w:p>
        </w:tc>
        <w:tc>
          <w:tcPr>
            <w:tcW w:w="839" w:type="dxa"/>
            <w:tcBorders>
              <w:top w:val="nil"/>
              <w:left w:val="nil"/>
              <w:bottom w:val="single" w:sz="4" w:space="0" w:color="auto"/>
              <w:right w:val="single" w:sz="4" w:space="0" w:color="auto"/>
            </w:tcBorders>
            <w:noWrap/>
            <w:hideMark/>
          </w:tcPr>
          <w:p w14:paraId="23B5483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10 400</w:t>
            </w:r>
          </w:p>
        </w:tc>
        <w:tc>
          <w:tcPr>
            <w:tcW w:w="722" w:type="dxa"/>
            <w:tcBorders>
              <w:top w:val="nil"/>
              <w:left w:val="nil"/>
              <w:bottom w:val="single" w:sz="4" w:space="0" w:color="auto"/>
              <w:right w:val="single" w:sz="4" w:space="0" w:color="auto"/>
            </w:tcBorders>
            <w:noWrap/>
            <w:hideMark/>
          </w:tcPr>
          <w:p w14:paraId="7CA0BB0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10 100</w:t>
            </w:r>
          </w:p>
        </w:tc>
        <w:tc>
          <w:tcPr>
            <w:tcW w:w="720" w:type="dxa"/>
            <w:tcBorders>
              <w:top w:val="nil"/>
              <w:left w:val="nil"/>
              <w:bottom w:val="single" w:sz="4" w:space="0" w:color="auto"/>
              <w:right w:val="single" w:sz="4" w:space="0" w:color="auto"/>
            </w:tcBorders>
            <w:noWrap/>
            <w:hideMark/>
          </w:tcPr>
          <w:p w14:paraId="3D32D85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62A2B72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175957C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31 302</w:t>
            </w:r>
          </w:p>
        </w:tc>
        <w:tc>
          <w:tcPr>
            <w:tcW w:w="840" w:type="dxa"/>
            <w:tcBorders>
              <w:top w:val="nil"/>
              <w:left w:val="nil"/>
              <w:bottom w:val="single" w:sz="4" w:space="0" w:color="auto"/>
              <w:right w:val="single" w:sz="4" w:space="0" w:color="auto"/>
            </w:tcBorders>
            <w:noWrap/>
            <w:hideMark/>
          </w:tcPr>
          <w:p w14:paraId="5989CD8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29 921</w:t>
            </w:r>
          </w:p>
        </w:tc>
      </w:tr>
      <w:tr w:rsidR="00221F1C" w14:paraId="2615FBA8" w14:textId="77777777" w:rsidTr="00221F1C">
        <w:trPr>
          <w:trHeight w:val="675"/>
        </w:trPr>
        <w:tc>
          <w:tcPr>
            <w:tcW w:w="2400" w:type="dxa"/>
            <w:tcBorders>
              <w:top w:val="nil"/>
              <w:left w:val="single" w:sz="4" w:space="0" w:color="auto"/>
              <w:bottom w:val="single" w:sz="4" w:space="0" w:color="auto"/>
              <w:right w:val="single" w:sz="4" w:space="0" w:color="auto"/>
            </w:tcBorders>
            <w:hideMark/>
          </w:tcPr>
          <w:p w14:paraId="01F1906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Prema standardima kupovne moći (PPS) po stanovniku, u odnosu na prosjek EU-a (EU-27 = 100)</w:t>
            </w:r>
          </w:p>
        </w:tc>
        <w:tc>
          <w:tcPr>
            <w:tcW w:w="600" w:type="dxa"/>
            <w:tcBorders>
              <w:top w:val="nil"/>
              <w:left w:val="nil"/>
              <w:bottom w:val="single" w:sz="4" w:space="0" w:color="auto"/>
              <w:right w:val="single" w:sz="4" w:space="0" w:color="auto"/>
            </w:tcBorders>
            <w:hideMark/>
          </w:tcPr>
          <w:p w14:paraId="2B3E3B07"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0D6B537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50,1</w:t>
            </w:r>
          </w:p>
        </w:tc>
        <w:tc>
          <w:tcPr>
            <w:tcW w:w="840" w:type="dxa"/>
            <w:tcBorders>
              <w:top w:val="nil"/>
              <w:left w:val="nil"/>
              <w:bottom w:val="single" w:sz="4" w:space="0" w:color="auto"/>
              <w:right w:val="single" w:sz="4" w:space="0" w:color="auto"/>
            </w:tcBorders>
            <w:noWrap/>
            <w:hideMark/>
          </w:tcPr>
          <w:p w14:paraId="696CBCA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44,6</w:t>
            </w:r>
          </w:p>
        </w:tc>
        <w:tc>
          <w:tcPr>
            <w:tcW w:w="840" w:type="dxa"/>
            <w:tcBorders>
              <w:top w:val="nil"/>
              <w:left w:val="nil"/>
              <w:bottom w:val="single" w:sz="4" w:space="0" w:color="auto"/>
              <w:right w:val="single" w:sz="4" w:space="0" w:color="auto"/>
            </w:tcBorders>
            <w:noWrap/>
            <w:hideMark/>
          </w:tcPr>
          <w:p w14:paraId="0B8DA7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38,1</w:t>
            </w:r>
          </w:p>
        </w:tc>
        <w:tc>
          <w:tcPr>
            <w:tcW w:w="750" w:type="dxa"/>
            <w:tcBorders>
              <w:top w:val="nil"/>
              <w:left w:val="nil"/>
              <w:bottom w:val="single" w:sz="4" w:space="0" w:color="auto"/>
              <w:right w:val="single" w:sz="4" w:space="0" w:color="auto"/>
            </w:tcBorders>
            <w:noWrap/>
            <w:hideMark/>
          </w:tcPr>
          <w:p w14:paraId="54714DA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19BDC05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30,4</w:t>
            </w:r>
          </w:p>
        </w:tc>
        <w:tc>
          <w:tcPr>
            <w:tcW w:w="811" w:type="dxa"/>
            <w:tcBorders>
              <w:top w:val="nil"/>
              <w:left w:val="nil"/>
              <w:bottom w:val="single" w:sz="4" w:space="0" w:color="auto"/>
              <w:right w:val="single" w:sz="4" w:space="0" w:color="auto"/>
            </w:tcBorders>
            <w:noWrap/>
            <w:hideMark/>
          </w:tcPr>
          <w:p w14:paraId="1F8973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30,4</w:t>
            </w:r>
          </w:p>
        </w:tc>
        <w:tc>
          <w:tcPr>
            <w:tcW w:w="839" w:type="dxa"/>
            <w:tcBorders>
              <w:top w:val="nil"/>
              <w:left w:val="nil"/>
              <w:bottom w:val="single" w:sz="4" w:space="0" w:color="auto"/>
              <w:right w:val="single" w:sz="4" w:space="0" w:color="auto"/>
            </w:tcBorders>
            <w:noWrap/>
            <w:hideMark/>
          </w:tcPr>
          <w:p w14:paraId="771EB7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40,9</w:t>
            </w:r>
          </w:p>
        </w:tc>
        <w:tc>
          <w:tcPr>
            <w:tcW w:w="750" w:type="dxa"/>
            <w:tcBorders>
              <w:top w:val="nil"/>
              <w:left w:val="nil"/>
              <w:bottom w:val="single" w:sz="4" w:space="0" w:color="auto"/>
              <w:right w:val="single" w:sz="4" w:space="0" w:color="auto"/>
            </w:tcBorders>
            <w:noWrap/>
            <w:hideMark/>
          </w:tcPr>
          <w:p w14:paraId="70624BD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42,6</w:t>
            </w:r>
          </w:p>
        </w:tc>
        <w:tc>
          <w:tcPr>
            <w:tcW w:w="811" w:type="dxa"/>
            <w:tcBorders>
              <w:top w:val="nil"/>
              <w:left w:val="nil"/>
              <w:bottom w:val="single" w:sz="4" w:space="0" w:color="auto"/>
              <w:right w:val="single" w:sz="4" w:space="0" w:color="auto"/>
            </w:tcBorders>
            <w:noWrap/>
            <w:hideMark/>
          </w:tcPr>
          <w:p w14:paraId="06052FC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59,0</w:t>
            </w:r>
          </w:p>
        </w:tc>
        <w:tc>
          <w:tcPr>
            <w:tcW w:w="839" w:type="dxa"/>
            <w:tcBorders>
              <w:top w:val="nil"/>
              <w:left w:val="nil"/>
              <w:bottom w:val="single" w:sz="4" w:space="0" w:color="auto"/>
              <w:right w:val="single" w:sz="4" w:space="0" w:color="auto"/>
            </w:tcBorders>
            <w:noWrap/>
            <w:hideMark/>
          </w:tcPr>
          <w:p w14:paraId="1006E5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61,5</w:t>
            </w:r>
          </w:p>
        </w:tc>
        <w:tc>
          <w:tcPr>
            <w:tcW w:w="839" w:type="dxa"/>
            <w:tcBorders>
              <w:top w:val="nil"/>
              <w:left w:val="nil"/>
              <w:bottom w:val="single" w:sz="4" w:space="0" w:color="auto"/>
              <w:right w:val="single" w:sz="4" w:space="0" w:color="auto"/>
            </w:tcBorders>
            <w:noWrap/>
            <w:hideMark/>
          </w:tcPr>
          <w:p w14:paraId="738DCB9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32,5 s</w:t>
            </w:r>
          </w:p>
        </w:tc>
        <w:tc>
          <w:tcPr>
            <w:tcW w:w="722" w:type="dxa"/>
            <w:tcBorders>
              <w:top w:val="nil"/>
              <w:left w:val="nil"/>
              <w:bottom w:val="single" w:sz="4" w:space="0" w:color="auto"/>
              <w:right w:val="single" w:sz="4" w:space="0" w:color="auto"/>
            </w:tcBorders>
            <w:noWrap/>
            <w:hideMark/>
          </w:tcPr>
          <w:p w14:paraId="21C8053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33,0 s</w:t>
            </w:r>
          </w:p>
        </w:tc>
        <w:tc>
          <w:tcPr>
            <w:tcW w:w="720" w:type="dxa"/>
            <w:tcBorders>
              <w:top w:val="nil"/>
              <w:left w:val="nil"/>
              <w:bottom w:val="single" w:sz="4" w:space="0" w:color="auto"/>
              <w:right w:val="single" w:sz="4" w:space="0" w:color="auto"/>
            </w:tcBorders>
            <w:noWrap/>
            <w:hideMark/>
          </w:tcPr>
          <w:p w14:paraId="117E0DF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2BE9980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B7A880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100</w:t>
            </w:r>
          </w:p>
        </w:tc>
        <w:tc>
          <w:tcPr>
            <w:tcW w:w="840" w:type="dxa"/>
            <w:tcBorders>
              <w:top w:val="nil"/>
              <w:left w:val="nil"/>
              <w:bottom w:val="single" w:sz="4" w:space="0" w:color="auto"/>
              <w:right w:val="single" w:sz="4" w:space="0" w:color="auto"/>
            </w:tcBorders>
            <w:noWrap/>
            <w:hideMark/>
          </w:tcPr>
          <w:p w14:paraId="66C170E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100</w:t>
            </w:r>
          </w:p>
        </w:tc>
      </w:tr>
      <w:tr w:rsidR="00221F1C" w14:paraId="7A1F34D0" w14:textId="77777777" w:rsidTr="00221F1C">
        <w:trPr>
          <w:trHeight w:val="675"/>
        </w:trPr>
        <w:tc>
          <w:tcPr>
            <w:tcW w:w="2400" w:type="dxa"/>
            <w:tcBorders>
              <w:top w:val="nil"/>
              <w:left w:val="single" w:sz="4" w:space="0" w:color="auto"/>
              <w:bottom w:val="single" w:sz="4" w:space="0" w:color="auto"/>
              <w:right w:val="single" w:sz="4" w:space="0" w:color="auto"/>
            </w:tcBorders>
            <w:hideMark/>
          </w:tcPr>
          <w:p w14:paraId="3464216A"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Realna godišnja stopa promjene (u obujmu) u usporedbi s prethodnom godinom (%)</w:t>
            </w:r>
          </w:p>
        </w:tc>
        <w:tc>
          <w:tcPr>
            <w:tcW w:w="600" w:type="dxa"/>
            <w:tcBorders>
              <w:top w:val="nil"/>
              <w:left w:val="nil"/>
              <w:bottom w:val="single" w:sz="4" w:space="0" w:color="auto"/>
              <w:right w:val="single" w:sz="4" w:space="0" w:color="auto"/>
            </w:tcBorders>
            <w:hideMark/>
          </w:tcPr>
          <w:p w14:paraId="0062C0FE" w14:textId="77777777" w:rsidR="00221F1C" w:rsidRPr="00F55682" w:rsidRDefault="00221F1C">
            <w:pPr>
              <w:rPr>
                <w:rFonts w:ascii="Arial" w:eastAsia="Times New Roman" w:hAnsi="Arial" w:cs="Arial"/>
                <w:noProof/>
                <w:color w:val="000000"/>
                <w:sz w:val="16"/>
                <w:szCs w:val="16"/>
                <w:lang w:eastAsia="en-IE"/>
              </w:rPr>
            </w:pPr>
          </w:p>
        </w:tc>
        <w:tc>
          <w:tcPr>
            <w:tcW w:w="720" w:type="dxa"/>
            <w:tcBorders>
              <w:top w:val="nil"/>
              <w:left w:val="nil"/>
              <w:bottom w:val="single" w:sz="4" w:space="0" w:color="auto"/>
              <w:right w:val="single" w:sz="4" w:space="0" w:color="auto"/>
            </w:tcBorders>
            <w:noWrap/>
            <w:hideMark/>
          </w:tcPr>
          <w:p w14:paraId="67928FC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4,1</w:t>
            </w:r>
          </w:p>
        </w:tc>
        <w:tc>
          <w:tcPr>
            <w:tcW w:w="840" w:type="dxa"/>
            <w:tcBorders>
              <w:top w:val="nil"/>
              <w:left w:val="nil"/>
              <w:bottom w:val="single" w:sz="4" w:space="0" w:color="auto"/>
              <w:right w:val="single" w:sz="4" w:space="0" w:color="auto"/>
            </w:tcBorders>
            <w:noWrap/>
            <w:hideMark/>
          </w:tcPr>
          <w:p w14:paraId="7CA3F99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–15,3</w:t>
            </w:r>
          </w:p>
        </w:tc>
        <w:tc>
          <w:tcPr>
            <w:tcW w:w="840" w:type="dxa"/>
            <w:tcBorders>
              <w:top w:val="nil"/>
              <w:left w:val="nil"/>
              <w:bottom w:val="single" w:sz="4" w:space="0" w:color="auto"/>
              <w:right w:val="single" w:sz="4" w:space="0" w:color="auto"/>
            </w:tcBorders>
            <w:noWrap/>
            <w:hideMark/>
          </w:tcPr>
          <w:p w14:paraId="39AB656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3,9</w:t>
            </w:r>
          </w:p>
        </w:tc>
        <w:tc>
          <w:tcPr>
            <w:tcW w:w="750" w:type="dxa"/>
            <w:tcBorders>
              <w:top w:val="nil"/>
              <w:left w:val="nil"/>
              <w:bottom w:val="single" w:sz="4" w:space="0" w:color="auto"/>
              <w:right w:val="single" w:sz="4" w:space="0" w:color="auto"/>
            </w:tcBorders>
            <w:noWrap/>
            <w:hideMark/>
          </w:tcPr>
          <w:p w14:paraId="7F5E265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 p</w:t>
            </w:r>
          </w:p>
        </w:tc>
        <w:tc>
          <w:tcPr>
            <w:tcW w:w="839" w:type="dxa"/>
            <w:tcBorders>
              <w:top w:val="nil"/>
              <w:left w:val="nil"/>
              <w:bottom w:val="single" w:sz="4" w:space="0" w:color="auto"/>
              <w:right w:val="single" w:sz="4" w:space="0" w:color="auto"/>
            </w:tcBorders>
            <w:noWrap/>
            <w:hideMark/>
          </w:tcPr>
          <w:p w14:paraId="59F0BB9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w:t>
            </w:r>
          </w:p>
        </w:tc>
        <w:tc>
          <w:tcPr>
            <w:tcW w:w="811" w:type="dxa"/>
            <w:tcBorders>
              <w:top w:val="nil"/>
              <w:left w:val="nil"/>
              <w:bottom w:val="single" w:sz="4" w:space="0" w:color="auto"/>
              <w:right w:val="single" w:sz="4" w:space="0" w:color="auto"/>
            </w:tcBorders>
            <w:noWrap/>
            <w:hideMark/>
          </w:tcPr>
          <w:p w14:paraId="0359FC8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 p</w:t>
            </w:r>
          </w:p>
        </w:tc>
        <w:tc>
          <w:tcPr>
            <w:tcW w:w="839" w:type="dxa"/>
            <w:tcBorders>
              <w:top w:val="nil"/>
              <w:left w:val="nil"/>
              <w:bottom w:val="single" w:sz="4" w:space="0" w:color="auto"/>
              <w:right w:val="single" w:sz="4" w:space="0" w:color="auto"/>
            </w:tcBorders>
            <w:noWrap/>
            <w:hideMark/>
          </w:tcPr>
          <w:p w14:paraId="2E3AA5D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w:t>
            </w:r>
          </w:p>
        </w:tc>
        <w:tc>
          <w:tcPr>
            <w:tcW w:w="750" w:type="dxa"/>
            <w:tcBorders>
              <w:top w:val="nil"/>
              <w:left w:val="nil"/>
              <w:bottom w:val="single" w:sz="4" w:space="0" w:color="auto"/>
              <w:right w:val="single" w:sz="4" w:space="0" w:color="auto"/>
            </w:tcBorders>
            <w:noWrap/>
            <w:hideMark/>
          </w:tcPr>
          <w:p w14:paraId="1AF9AD5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–0,9</w:t>
            </w:r>
          </w:p>
        </w:tc>
        <w:tc>
          <w:tcPr>
            <w:tcW w:w="811" w:type="dxa"/>
            <w:tcBorders>
              <w:top w:val="nil"/>
              <w:left w:val="nil"/>
              <w:bottom w:val="single" w:sz="4" w:space="0" w:color="auto"/>
              <w:right w:val="single" w:sz="4" w:space="0" w:color="auto"/>
            </w:tcBorders>
            <w:noWrap/>
            <w:hideMark/>
          </w:tcPr>
          <w:p w14:paraId="777B697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0,9</w:t>
            </w:r>
          </w:p>
        </w:tc>
        <w:tc>
          <w:tcPr>
            <w:tcW w:w="839" w:type="dxa"/>
            <w:tcBorders>
              <w:top w:val="nil"/>
              <w:left w:val="nil"/>
              <w:bottom w:val="single" w:sz="4" w:space="0" w:color="auto"/>
              <w:right w:val="single" w:sz="4" w:space="0" w:color="auto"/>
            </w:tcBorders>
            <w:noWrap/>
            <w:hideMark/>
          </w:tcPr>
          <w:p w14:paraId="548B224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w:t>
            </w:r>
          </w:p>
        </w:tc>
        <w:tc>
          <w:tcPr>
            <w:tcW w:w="839" w:type="dxa"/>
            <w:tcBorders>
              <w:top w:val="nil"/>
              <w:left w:val="nil"/>
              <w:bottom w:val="single" w:sz="4" w:space="0" w:color="auto"/>
              <w:right w:val="single" w:sz="4" w:space="0" w:color="auto"/>
            </w:tcBorders>
            <w:noWrap/>
            <w:hideMark/>
          </w:tcPr>
          <w:p w14:paraId="78ADC77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w:t>
            </w:r>
          </w:p>
        </w:tc>
        <w:tc>
          <w:tcPr>
            <w:tcW w:w="722" w:type="dxa"/>
            <w:tcBorders>
              <w:top w:val="nil"/>
              <w:left w:val="nil"/>
              <w:bottom w:val="single" w:sz="4" w:space="0" w:color="auto"/>
              <w:right w:val="single" w:sz="4" w:space="0" w:color="auto"/>
            </w:tcBorders>
            <w:noWrap/>
            <w:hideMark/>
          </w:tcPr>
          <w:p w14:paraId="3DCB093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–3,1</w:t>
            </w:r>
          </w:p>
        </w:tc>
        <w:tc>
          <w:tcPr>
            <w:tcW w:w="720" w:type="dxa"/>
            <w:tcBorders>
              <w:top w:val="nil"/>
              <w:left w:val="nil"/>
              <w:bottom w:val="single" w:sz="4" w:space="0" w:color="auto"/>
              <w:right w:val="single" w:sz="4" w:space="0" w:color="auto"/>
            </w:tcBorders>
            <w:noWrap/>
            <w:hideMark/>
          </w:tcPr>
          <w:p w14:paraId="312E225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w:t>
            </w:r>
          </w:p>
        </w:tc>
        <w:tc>
          <w:tcPr>
            <w:tcW w:w="840" w:type="dxa"/>
            <w:tcBorders>
              <w:top w:val="nil"/>
              <w:left w:val="nil"/>
              <w:bottom w:val="single" w:sz="4" w:space="0" w:color="auto"/>
              <w:right w:val="single" w:sz="4" w:space="0" w:color="auto"/>
            </w:tcBorders>
            <w:noWrap/>
            <w:hideMark/>
          </w:tcPr>
          <w:p w14:paraId="51E7E10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–5,3</w:t>
            </w:r>
          </w:p>
        </w:tc>
        <w:tc>
          <w:tcPr>
            <w:tcW w:w="840" w:type="dxa"/>
            <w:tcBorders>
              <w:top w:val="nil"/>
              <w:left w:val="nil"/>
              <w:bottom w:val="single" w:sz="4" w:space="0" w:color="auto"/>
              <w:right w:val="single" w:sz="4" w:space="0" w:color="auto"/>
            </w:tcBorders>
            <w:noWrap/>
            <w:hideMark/>
          </w:tcPr>
          <w:p w14:paraId="47B1CF8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w:t>
            </w:r>
          </w:p>
        </w:tc>
        <w:tc>
          <w:tcPr>
            <w:tcW w:w="840" w:type="dxa"/>
            <w:tcBorders>
              <w:top w:val="nil"/>
              <w:left w:val="nil"/>
              <w:bottom w:val="single" w:sz="4" w:space="0" w:color="auto"/>
              <w:right w:val="single" w:sz="4" w:space="0" w:color="auto"/>
            </w:tcBorders>
            <w:noWrap/>
            <w:hideMark/>
          </w:tcPr>
          <w:p w14:paraId="0B73F23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w:t>
            </w:r>
          </w:p>
        </w:tc>
      </w:tr>
      <w:tr w:rsidR="00221F1C" w14:paraId="78293208" w14:textId="77777777" w:rsidTr="00221F1C">
        <w:trPr>
          <w:trHeight w:val="225"/>
        </w:trPr>
        <w:tc>
          <w:tcPr>
            <w:tcW w:w="2400" w:type="dxa"/>
            <w:tcBorders>
              <w:top w:val="single" w:sz="4" w:space="0" w:color="auto"/>
              <w:left w:val="single" w:sz="4" w:space="0" w:color="auto"/>
              <w:bottom w:val="single" w:sz="4" w:space="0" w:color="auto"/>
              <w:right w:val="single" w:sz="4" w:space="0" w:color="auto"/>
            </w:tcBorders>
            <w:hideMark/>
          </w:tcPr>
          <w:p w14:paraId="1A3A08C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Bruto dodana vrijednost po glavnim sektorima</w:t>
            </w:r>
          </w:p>
        </w:tc>
        <w:tc>
          <w:tcPr>
            <w:tcW w:w="600" w:type="dxa"/>
            <w:tcBorders>
              <w:top w:val="nil"/>
              <w:left w:val="nil"/>
              <w:bottom w:val="single" w:sz="4" w:space="0" w:color="auto"/>
              <w:right w:val="single" w:sz="4" w:space="0" w:color="auto"/>
            </w:tcBorders>
            <w:hideMark/>
          </w:tcPr>
          <w:p w14:paraId="3F70500D" w14:textId="77777777" w:rsidR="00221F1C" w:rsidRDefault="00221F1C">
            <w:pPr>
              <w:rPr>
                <w:rFonts w:ascii="Arial" w:eastAsia="Times New Roman" w:hAnsi="Arial" w:cs="Arial"/>
                <w:noProof/>
                <w:color w:val="000000"/>
                <w:sz w:val="16"/>
                <w:szCs w:val="16"/>
                <w:lang w:eastAsia="zh-CN"/>
              </w:rPr>
            </w:pPr>
          </w:p>
        </w:tc>
        <w:tc>
          <w:tcPr>
            <w:tcW w:w="720" w:type="dxa"/>
            <w:tcBorders>
              <w:top w:val="nil"/>
              <w:left w:val="nil"/>
              <w:bottom w:val="single" w:sz="4" w:space="0" w:color="auto"/>
              <w:right w:val="nil"/>
            </w:tcBorders>
            <w:noWrap/>
            <w:hideMark/>
          </w:tcPr>
          <w:p w14:paraId="52BBE9AC" w14:textId="77777777" w:rsidR="00221F1C" w:rsidRPr="00F55682" w:rsidRDefault="00221F1C">
            <w:pPr>
              <w:spacing w:after="0"/>
              <w:rPr>
                <w:noProof/>
                <w:sz w:val="20"/>
                <w:szCs w:val="20"/>
                <w:lang w:eastAsia="en-IE"/>
              </w:rPr>
            </w:pPr>
          </w:p>
        </w:tc>
        <w:tc>
          <w:tcPr>
            <w:tcW w:w="840" w:type="dxa"/>
            <w:tcBorders>
              <w:top w:val="nil"/>
              <w:left w:val="nil"/>
              <w:bottom w:val="single" w:sz="4" w:space="0" w:color="auto"/>
              <w:right w:val="nil"/>
            </w:tcBorders>
            <w:noWrap/>
            <w:hideMark/>
          </w:tcPr>
          <w:p w14:paraId="0E005B5B" w14:textId="77777777" w:rsidR="00221F1C" w:rsidRPr="00F55682" w:rsidRDefault="00221F1C">
            <w:pPr>
              <w:spacing w:after="0"/>
              <w:rPr>
                <w:noProof/>
                <w:sz w:val="20"/>
                <w:szCs w:val="20"/>
                <w:lang w:eastAsia="en-IE"/>
              </w:rPr>
            </w:pPr>
          </w:p>
        </w:tc>
        <w:tc>
          <w:tcPr>
            <w:tcW w:w="840" w:type="dxa"/>
            <w:tcBorders>
              <w:top w:val="nil"/>
              <w:left w:val="nil"/>
              <w:bottom w:val="single" w:sz="4" w:space="0" w:color="auto"/>
              <w:right w:val="nil"/>
            </w:tcBorders>
            <w:noWrap/>
            <w:hideMark/>
          </w:tcPr>
          <w:p w14:paraId="3EBD6CCE" w14:textId="77777777" w:rsidR="00221F1C" w:rsidRPr="00F55682" w:rsidRDefault="00221F1C">
            <w:pPr>
              <w:spacing w:after="0"/>
              <w:rPr>
                <w:noProof/>
                <w:sz w:val="20"/>
                <w:szCs w:val="20"/>
                <w:lang w:eastAsia="en-IE"/>
              </w:rPr>
            </w:pPr>
          </w:p>
        </w:tc>
        <w:tc>
          <w:tcPr>
            <w:tcW w:w="750" w:type="dxa"/>
            <w:tcBorders>
              <w:top w:val="nil"/>
              <w:left w:val="nil"/>
              <w:bottom w:val="single" w:sz="4" w:space="0" w:color="auto"/>
              <w:right w:val="nil"/>
            </w:tcBorders>
            <w:noWrap/>
            <w:hideMark/>
          </w:tcPr>
          <w:p w14:paraId="0403DDE7" w14:textId="77777777" w:rsidR="00221F1C" w:rsidRPr="00F55682" w:rsidRDefault="00221F1C">
            <w:pPr>
              <w:spacing w:after="0"/>
              <w:rPr>
                <w:noProof/>
                <w:sz w:val="20"/>
                <w:szCs w:val="20"/>
                <w:lang w:eastAsia="en-IE"/>
              </w:rPr>
            </w:pPr>
          </w:p>
        </w:tc>
        <w:tc>
          <w:tcPr>
            <w:tcW w:w="839" w:type="dxa"/>
            <w:tcBorders>
              <w:top w:val="nil"/>
              <w:left w:val="nil"/>
              <w:bottom w:val="single" w:sz="4" w:space="0" w:color="auto"/>
              <w:right w:val="nil"/>
            </w:tcBorders>
            <w:noWrap/>
            <w:hideMark/>
          </w:tcPr>
          <w:p w14:paraId="236489D6" w14:textId="77777777" w:rsidR="00221F1C" w:rsidRPr="00F55682" w:rsidRDefault="00221F1C">
            <w:pPr>
              <w:spacing w:after="0"/>
              <w:rPr>
                <w:noProof/>
                <w:sz w:val="20"/>
                <w:szCs w:val="20"/>
                <w:lang w:eastAsia="en-IE"/>
              </w:rPr>
            </w:pPr>
          </w:p>
        </w:tc>
        <w:tc>
          <w:tcPr>
            <w:tcW w:w="811" w:type="dxa"/>
            <w:tcBorders>
              <w:top w:val="nil"/>
              <w:left w:val="nil"/>
              <w:bottom w:val="single" w:sz="4" w:space="0" w:color="auto"/>
              <w:right w:val="nil"/>
            </w:tcBorders>
            <w:noWrap/>
            <w:hideMark/>
          </w:tcPr>
          <w:p w14:paraId="6308A2F1" w14:textId="77777777" w:rsidR="00221F1C" w:rsidRPr="00F55682" w:rsidRDefault="00221F1C">
            <w:pPr>
              <w:spacing w:after="0"/>
              <w:rPr>
                <w:noProof/>
                <w:sz w:val="20"/>
                <w:szCs w:val="20"/>
                <w:lang w:eastAsia="en-IE"/>
              </w:rPr>
            </w:pPr>
          </w:p>
        </w:tc>
        <w:tc>
          <w:tcPr>
            <w:tcW w:w="839" w:type="dxa"/>
            <w:tcBorders>
              <w:top w:val="nil"/>
              <w:left w:val="nil"/>
              <w:bottom w:val="single" w:sz="4" w:space="0" w:color="auto"/>
              <w:right w:val="nil"/>
            </w:tcBorders>
            <w:noWrap/>
            <w:hideMark/>
          </w:tcPr>
          <w:p w14:paraId="5D5FED56" w14:textId="77777777" w:rsidR="00221F1C" w:rsidRPr="00F55682" w:rsidRDefault="00221F1C">
            <w:pPr>
              <w:spacing w:after="0"/>
              <w:rPr>
                <w:noProof/>
                <w:sz w:val="20"/>
                <w:szCs w:val="20"/>
                <w:lang w:eastAsia="en-IE"/>
              </w:rPr>
            </w:pPr>
          </w:p>
        </w:tc>
        <w:tc>
          <w:tcPr>
            <w:tcW w:w="750" w:type="dxa"/>
            <w:tcBorders>
              <w:top w:val="nil"/>
              <w:left w:val="nil"/>
              <w:bottom w:val="single" w:sz="4" w:space="0" w:color="auto"/>
              <w:right w:val="nil"/>
            </w:tcBorders>
            <w:noWrap/>
            <w:hideMark/>
          </w:tcPr>
          <w:p w14:paraId="4420EAC3" w14:textId="77777777" w:rsidR="00221F1C" w:rsidRPr="00F55682" w:rsidRDefault="00221F1C">
            <w:pPr>
              <w:spacing w:after="0"/>
              <w:rPr>
                <w:noProof/>
                <w:sz w:val="20"/>
                <w:szCs w:val="20"/>
                <w:lang w:eastAsia="en-IE"/>
              </w:rPr>
            </w:pPr>
          </w:p>
        </w:tc>
        <w:tc>
          <w:tcPr>
            <w:tcW w:w="811" w:type="dxa"/>
            <w:tcBorders>
              <w:top w:val="nil"/>
              <w:left w:val="nil"/>
              <w:bottom w:val="single" w:sz="4" w:space="0" w:color="auto"/>
              <w:right w:val="nil"/>
            </w:tcBorders>
            <w:noWrap/>
            <w:hideMark/>
          </w:tcPr>
          <w:p w14:paraId="3DDB119B" w14:textId="77777777" w:rsidR="00221F1C" w:rsidRPr="00F55682" w:rsidRDefault="00221F1C">
            <w:pPr>
              <w:spacing w:after="0"/>
              <w:rPr>
                <w:noProof/>
                <w:sz w:val="20"/>
                <w:szCs w:val="20"/>
                <w:lang w:eastAsia="en-IE"/>
              </w:rPr>
            </w:pPr>
          </w:p>
        </w:tc>
        <w:tc>
          <w:tcPr>
            <w:tcW w:w="839" w:type="dxa"/>
            <w:tcBorders>
              <w:top w:val="nil"/>
              <w:left w:val="nil"/>
              <w:bottom w:val="single" w:sz="4" w:space="0" w:color="auto"/>
              <w:right w:val="nil"/>
            </w:tcBorders>
            <w:noWrap/>
            <w:hideMark/>
          </w:tcPr>
          <w:p w14:paraId="183F4E30" w14:textId="77777777" w:rsidR="00221F1C" w:rsidRPr="00F55682" w:rsidRDefault="00221F1C">
            <w:pPr>
              <w:spacing w:after="0"/>
              <w:rPr>
                <w:noProof/>
                <w:sz w:val="20"/>
                <w:szCs w:val="20"/>
                <w:lang w:eastAsia="en-IE"/>
              </w:rPr>
            </w:pPr>
          </w:p>
        </w:tc>
        <w:tc>
          <w:tcPr>
            <w:tcW w:w="839" w:type="dxa"/>
            <w:tcBorders>
              <w:top w:val="nil"/>
              <w:left w:val="nil"/>
              <w:bottom w:val="single" w:sz="4" w:space="0" w:color="auto"/>
              <w:right w:val="nil"/>
            </w:tcBorders>
            <w:noWrap/>
            <w:hideMark/>
          </w:tcPr>
          <w:p w14:paraId="4FA749F9" w14:textId="77777777" w:rsidR="00221F1C" w:rsidRPr="00F55682" w:rsidRDefault="00221F1C">
            <w:pPr>
              <w:spacing w:after="0"/>
              <w:rPr>
                <w:noProof/>
                <w:sz w:val="20"/>
                <w:szCs w:val="20"/>
                <w:lang w:eastAsia="en-IE"/>
              </w:rPr>
            </w:pPr>
          </w:p>
        </w:tc>
        <w:tc>
          <w:tcPr>
            <w:tcW w:w="722" w:type="dxa"/>
            <w:tcBorders>
              <w:top w:val="nil"/>
              <w:left w:val="nil"/>
              <w:bottom w:val="single" w:sz="4" w:space="0" w:color="auto"/>
              <w:right w:val="nil"/>
            </w:tcBorders>
            <w:noWrap/>
            <w:hideMark/>
          </w:tcPr>
          <w:p w14:paraId="5FCDBAAF" w14:textId="77777777" w:rsidR="00221F1C" w:rsidRPr="00F55682" w:rsidRDefault="00221F1C">
            <w:pPr>
              <w:spacing w:after="0"/>
              <w:rPr>
                <w:noProof/>
                <w:sz w:val="20"/>
                <w:szCs w:val="20"/>
                <w:lang w:eastAsia="en-IE"/>
              </w:rPr>
            </w:pPr>
          </w:p>
        </w:tc>
        <w:tc>
          <w:tcPr>
            <w:tcW w:w="720" w:type="dxa"/>
            <w:tcBorders>
              <w:top w:val="nil"/>
              <w:left w:val="nil"/>
              <w:bottom w:val="single" w:sz="4" w:space="0" w:color="auto"/>
              <w:right w:val="nil"/>
            </w:tcBorders>
            <w:noWrap/>
            <w:hideMark/>
          </w:tcPr>
          <w:p w14:paraId="727FB49F" w14:textId="77777777" w:rsidR="00221F1C" w:rsidRPr="00F55682" w:rsidRDefault="00221F1C">
            <w:pPr>
              <w:spacing w:after="0"/>
              <w:rPr>
                <w:noProof/>
                <w:sz w:val="20"/>
                <w:szCs w:val="20"/>
                <w:lang w:eastAsia="en-IE"/>
              </w:rPr>
            </w:pPr>
          </w:p>
        </w:tc>
        <w:tc>
          <w:tcPr>
            <w:tcW w:w="840" w:type="dxa"/>
            <w:tcBorders>
              <w:top w:val="nil"/>
              <w:left w:val="nil"/>
              <w:bottom w:val="single" w:sz="4" w:space="0" w:color="auto"/>
              <w:right w:val="nil"/>
            </w:tcBorders>
            <w:noWrap/>
            <w:hideMark/>
          </w:tcPr>
          <w:p w14:paraId="28412AEE" w14:textId="77777777" w:rsidR="00221F1C" w:rsidRPr="00F55682" w:rsidRDefault="00221F1C">
            <w:pPr>
              <w:spacing w:after="0"/>
              <w:rPr>
                <w:noProof/>
                <w:sz w:val="20"/>
                <w:szCs w:val="20"/>
                <w:lang w:eastAsia="en-IE"/>
              </w:rPr>
            </w:pPr>
          </w:p>
        </w:tc>
        <w:tc>
          <w:tcPr>
            <w:tcW w:w="840" w:type="dxa"/>
            <w:noWrap/>
            <w:hideMark/>
          </w:tcPr>
          <w:p w14:paraId="6718A6FA" w14:textId="77777777" w:rsidR="00221F1C" w:rsidRPr="00F55682" w:rsidRDefault="00221F1C">
            <w:pPr>
              <w:spacing w:after="0"/>
              <w:rPr>
                <w:noProof/>
                <w:sz w:val="20"/>
                <w:szCs w:val="20"/>
                <w:lang w:eastAsia="en-IE"/>
              </w:rPr>
            </w:pPr>
          </w:p>
        </w:tc>
        <w:tc>
          <w:tcPr>
            <w:tcW w:w="840" w:type="dxa"/>
            <w:noWrap/>
            <w:hideMark/>
          </w:tcPr>
          <w:p w14:paraId="37CABFB4" w14:textId="77777777" w:rsidR="00221F1C" w:rsidRPr="00F55682" w:rsidRDefault="00221F1C">
            <w:pPr>
              <w:spacing w:after="0"/>
              <w:rPr>
                <w:noProof/>
                <w:sz w:val="20"/>
                <w:szCs w:val="20"/>
                <w:lang w:eastAsia="en-IE"/>
              </w:rPr>
            </w:pPr>
          </w:p>
        </w:tc>
      </w:tr>
      <w:tr w:rsidR="00221F1C" w14:paraId="184D2E82"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5F714E59"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Poljoprivreda, šumarstvo i ribarstvo (%)</w:t>
            </w:r>
          </w:p>
        </w:tc>
        <w:tc>
          <w:tcPr>
            <w:tcW w:w="600" w:type="dxa"/>
            <w:tcBorders>
              <w:top w:val="nil"/>
              <w:left w:val="nil"/>
              <w:bottom w:val="single" w:sz="4" w:space="0" w:color="auto"/>
              <w:right w:val="single" w:sz="4" w:space="0" w:color="auto"/>
            </w:tcBorders>
            <w:hideMark/>
          </w:tcPr>
          <w:p w14:paraId="18D78679"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1F4E972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w:t>
            </w:r>
          </w:p>
        </w:tc>
        <w:tc>
          <w:tcPr>
            <w:tcW w:w="840" w:type="dxa"/>
            <w:tcBorders>
              <w:top w:val="nil"/>
              <w:left w:val="nil"/>
              <w:bottom w:val="single" w:sz="4" w:space="0" w:color="auto"/>
              <w:right w:val="single" w:sz="4" w:space="0" w:color="auto"/>
            </w:tcBorders>
            <w:noWrap/>
            <w:hideMark/>
          </w:tcPr>
          <w:p w14:paraId="250908F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9,1</w:t>
            </w:r>
          </w:p>
        </w:tc>
        <w:tc>
          <w:tcPr>
            <w:tcW w:w="840" w:type="dxa"/>
            <w:tcBorders>
              <w:top w:val="nil"/>
              <w:left w:val="nil"/>
              <w:bottom w:val="single" w:sz="4" w:space="0" w:color="auto"/>
              <w:right w:val="single" w:sz="4" w:space="0" w:color="auto"/>
            </w:tcBorders>
            <w:noWrap/>
            <w:hideMark/>
          </w:tcPr>
          <w:p w14:paraId="66AA7B4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9,4</w:t>
            </w:r>
          </w:p>
        </w:tc>
        <w:tc>
          <w:tcPr>
            <w:tcW w:w="750" w:type="dxa"/>
            <w:tcBorders>
              <w:top w:val="nil"/>
              <w:left w:val="nil"/>
              <w:bottom w:val="single" w:sz="4" w:space="0" w:color="auto"/>
              <w:right w:val="single" w:sz="4" w:space="0" w:color="auto"/>
            </w:tcBorders>
            <w:noWrap/>
            <w:hideMark/>
          </w:tcPr>
          <w:p w14:paraId="3547EA1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9,8 p</w:t>
            </w:r>
          </w:p>
        </w:tc>
        <w:tc>
          <w:tcPr>
            <w:tcW w:w="839" w:type="dxa"/>
            <w:tcBorders>
              <w:top w:val="nil"/>
              <w:left w:val="nil"/>
              <w:bottom w:val="single" w:sz="4" w:space="0" w:color="auto"/>
              <w:right w:val="single" w:sz="4" w:space="0" w:color="auto"/>
            </w:tcBorders>
            <w:noWrap/>
            <w:hideMark/>
          </w:tcPr>
          <w:p w14:paraId="22EC875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21,0</w:t>
            </w:r>
          </w:p>
        </w:tc>
        <w:tc>
          <w:tcPr>
            <w:tcW w:w="811" w:type="dxa"/>
            <w:tcBorders>
              <w:top w:val="nil"/>
              <w:left w:val="nil"/>
              <w:bottom w:val="single" w:sz="4" w:space="0" w:color="auto"/>
              <w:right w:val="single" w:sz="4" w:space="0" w:color="auto"/>
            </w:tcBorders>
            <w:noWrap/>
            <w:hideMark/>
          </w:tcPr>
          <w:p w14:paraId="6711E32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22,0 p</w:t>
            </w:r>
          </w:p>
        </w:tc>
        <w:tc>
          <w:tcPr>
            <w:tcW w:w="839" w:type="dxa"/>
            <w:tcBorders>
              <w:top w:val="nil"/>
              <w:left w:val="nil"/>
              <w:bottom w:val="single" w:sz="4" w:space="0" w:color="auto"/>
              <w:right w:val="single" w:sz="4" w:space="0" w:color="auto"/>
            </w:tcBorders>
            <w:noWrap/>
            <w:hideMark/>
          </w:tcPr>
          <w:p w14:paraId="344476B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w:t>
            </w:r>
          </w:p>
        </w:tc>
        <w:tc>
          <w:tcPr>
            <w:tcW w:w="750" w:type="dxa"/>
            <w:tcBorders>
              <w:top w:val="nil"/>
              <w:left w:val="nil"/>
              <w:bottom w:val="single" w:sz="4" w:space="0" w:color="auto"/>
              <w:right w:val="single" w:sz="4" w:space="0" w:color="auto"/>
            </w:tcBorders>
            <w:noWrap/>
            <w:hideMark/>
          </w:tcPr>
          <w:p w14:paraId="418ADD4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7,6</w:t>
            </w:r>
          </w:p>
        </w:tc>
        <w:tc>
          <w:tcPr>
            <w:tcW w:w="811" w:type="dxa"/>
            <w:tcBorders>
              <w:top w:val="nil"/>
              <w:left w:val="nil"/>
              <w:bottom w:val="single" w:sz="4" w:space="0" w:color="auto"/>
              <w:right w:val="single" w:sz="4" w:space="0" w:color="auto"/>
            </w:tcBorders>
            <w:noWrap/>
            <w:hideMark/>
          </w:tcPr>
          <w:p w14:paraId="07582A1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w:t>
            </w:r>
          </w:p>
        </w:tc>
        <w:tc>
          <w:tcPr>
            <w:tcW w:w="839" w:type="dxa"/>
            <w:tcBorders>
              <w:top w:val="nil"/>
              <w:left w:val="nil"/>
              <w:bottom w:val="single" w:sz="4" w:space="0" w:color="auto"/>
              <w:right w:val="single" w:sz="4" w:space="0" w:color="auto"/>
            </w:tcBorders>
            <w:noWrap/>
            <w:hideMark/>
          </w:tcPr>
          <w:p w14:paraId="5C527AE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w:t>
            </w:r>
          </w:p>
        </w:tc>
        <w:tc>
          <w:tcPr>
            <w:tcW w:w="839" w:type="dxa"/>
            <w:tcBorders>
              <w:top w:val="nil"/>
              <w:left w:val="nil"/>
              <w:bottom w:val="single" w:sz="4" w:space="0" w:color="auto"/>
              <w:right w:val="single" w:sz="4" w:space="0" w:color="auto"/>
            </w:tcBorders>
            <w:noWrap/>
            <w:hideMark/>
          </w:tcPr>
          <w:p w14:paraId="634200F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w:t>
            </w:r>
          </w:p>
        </w:tc>
        <w:tc>
          <w:tcPr>
            <w:tcW w:w="722" w:type="dxa"/>
            <w:tcBorders>
              <w:top w:val="nil"/>
              <w:left w:val="nil"/>
              <w:bottom w:val="single" w:sz="4" w:space="0" w:color="auto"/>
              <w:right w:val="single" w:sz="4" w:space="0" w:color="auto"/>
            </w:tcBorders>
            <w:noWrap/>
            <w:hideMark/>
          </w:tcPr>
          <w:p w14:paraId="762C69D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w:t>
            </w:r>
          </w:p>
        </w:tc>
        <w:tc>
          <w:tcPr>
            <w:tcW w:w="720" w:type="dxa"/>
            <w:tcBorders>
              <w:top w:val="nil"/>
              <w:left w:val="nil"/>
              <w:bottom w:val="single" w:sz="4" w:space="0" w:color="auto"/>
              <w:right w:val="single" w:sz="4" w:space="0" w:color="auto"/>
            </w:tcBorders>
            <w:noWrap/>
            <w:hideMark/>
          </w:tcPr>
          <w:p w14:paraId="20E5099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9,0</w:t>
            </w:r>
          </w:p>
        </w:tc>
        <w:tc>
          <w:tcPr>
            <w:tcW w:w="840" w:type="dxa"/>
            <w:tcBorders>
              <w:top w:val="nil"/>
              <w:left w:val="nil"/>
              <w:bottom w:val="single" w:sz="4" w:space="0" w:color="auto"/>
              <w:right w:val="single" w:sz="4" w:space="0" w:color="auto"/>
            </w:tcBorders>
            <w:noWrap/>
            <w:hideMark/>
          </w:tcPr>
          <w:p w14:paraId="0DAEA1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8,9</w:t>
            </w:r>
          </w:p>
        </w:tc>
        <w:tc>
          <w:tcPr>
            <w:tcW w:w="840" w:type="dxa"/>
            <w:tcBorders>
              <w:top w:val="single" w:sz="4" w:space="0" w:color="auto"/>
              <w:left w:val="nil"/>
              <w:bottom w:val="single" w:sz="4" w:space="0" w:color="auto"/>
              <w:right w:val="single" w:sz="4" w:space="0" w:color="auto"/>
            </w:tcBorders>
            <w:noWrap/>
            <w:hideMark/>
          </w:tcPr>
          <w:p w14:paraId="7F88DA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w:t>
            </w:r>
          </w:p>
        </w:tc>
        <w:tc>
          <w:tcPr>
            <w:tcW w:w="840" w:type="dxa"/>
            <w:tcBorders>
              <w:top w:val="single" w:sz="4" w:space="0" w:color="auto"/>
              <w:left w:val="nil"/>
              <w:bottom w:val="single" w:sz="4" w:space="0" w:color="auto"/>
              <w:right w:val="single" w:sz="4" w:space="0" w:color="auto"/>
            </w:tcBorders>
            <w:noWrap/>
            <w:hideMark/>
          </w:tcPr>
          <w:p w14:paraId="403DA76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w:t>
            </w:r>
          </w:p>
        </w:tc>
      </w:tr>
      <w:tr w:rsidR="00221F1C" w14:paraId="1368C938"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63FDFB41"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Industrija (%)</w:t>
            </w:r>
          </w:p>
        </w:tc>
        <w:tc>
          <w:tcPr>
            <w:tcW w:w="600" w:type="dxa"/>
            <w:tcBorders>
              <w:top w:val="nil"/>
              <w:left w:val="nil"/>
              <w:bottom w:val="single" w:sz="4" w:space="0" w:color="auto"/>
              <w:right w:val="single" w:sz="4" w:space="0" w:color="auto"/>
            </w:tcBorders>
            <w:hideMark/>
          </w:tcPr>
          <w:p w14:paraId="219CD823"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191C834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11,9</w:t>
            </w:r>
          </w:p>
        </w:tc>
        <w:tc>
          <w:tcPr>
            <w:tcW w:w="840" w:type="dxa"/>
            <w:tcBorders>
              <w:top w:val="nil"/>
              <w:left w:val="nil"/>
              <w:bottom w:val="single" w:sz="4" w:space="0" w:color="auto"/>
              <w:right w:val="single" w:sz="4" w:space="0" w:color="auto"/>
            </w:tcBorders>
            <w:noWrap/>
            <w:hideMark/>
          </w:tcPr>
          <w:p w14:paraId="75E5A02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13,5</w:t>
            </w:r>
          </w:p>
        </w:tc>
        <w:tc>
          <w:tcPr>
            <w:tcW w:w="840" w:type="dxa"/>
            <w:tcBorders>
              <w:top w:val="nil"/>
              <w:left w:val="nil"/>
              <w:bottom w:val="single" w:sz="4" w:space="0" w:color="auto"/>
              <w:right w:val="single" w:sz="4" w:space="0" w:color="auto"/>
            </w:tcBorders>
            <w:noWrap/>
            <w:hideMark/>
          </w:tcPr>
          <w:p w14:paraId="053DAB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20,8</w:t>
            </w:r>
          </w:p>
        </w:tc>
        <w:tc>
          <w:tcPr>
            <w:tcW w:w="750" w:type="dxa"/>
            <w:tcBorders>
              <w:top w:val="nil"/>
              <w:left w:val="nil"/>
              <w:bottom w:val="single" w:sz="4" w:space="0" w:color="auto"/>
              <w:right w:val="single" w:sz="4" w:space="0" w:color="auto"/>
            </w:tcBorders>
            <w:noWrap/>
            <w:hideMark/>
          </w:tcPr>
          <w:p w14:paraId="29F18A7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19,7 p</w:t>
            </w:r>
          </w:p>
        </w:tc>
        <w:tc>
          <w:tcPr>
            <w:tcW w:w="839" w:type="dxa"/>
            <w:tcBorders>
              <w:top w:val="nil"/>
              <w:left w:val="nil"/>
              <w:bottom w:val="single" w:sz="4" w:space="0" w:color="auto"/>
              <w:right w:val="single" w:sz="4" w:space="0" w:color="auto"/>
            </w:tcBorders>
            <w:noWrap/>
            <w:hideMark/>
          </w:tcPr>
          <w:p w14:paraId="325A8C5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13,8</w:t>
            </w:r>
          </w:p>
        </w:tc>
        <w:tc>
          <w:tcPr>
            <w:tcW w:w="811" w:type="dxa"/>
            <w:tcBorders>
              <w:top w:val="nil"/>
              <w:left w:val="nil"/>
              <w:bottom w:val="single" w:sz="4" w:space="0" w:color="auto"/>
              <w:right w:val="single" w:sz="4" w:space="0" w:color="auto"/>
            </w:tcBorders>
            <w:noWrap/>
            <w:hideMark/>
          </w:tcPr>
          <w:p w14:paraId="56C5CE0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12,6 p</w:t>
            </w:r>
          </w:p>
        </w:tc>
        <w:tc>
          <w:tcPr>
            <w:tcW w:w="839" w:type="dxa"/>
            <w:tcBorders>
              <w:top w:val="nil"/>
              <w:left w:val="nil"/>
              <w:bottom w:val="single" w:sz="4" w:space="0" w:color="auto"/>
              <w:right w:val="single" w:sz="4" w:space="0" w:color="auto"/>
            </w:tcBorders>
            <w:noWrap/>
            <w:hideMark/>
          </w:tcPr>
          <w:p w14:paraId="7D7DAA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24,0</w:t>
            </w:r>
          </w:p>
        </w:tc>
        <w:tc>
          <w:tcPr>
            <w:tcW w:w="750" w:type="dxa"/>
            <w:tcBorders>
              <w:top w:val="nil"/>
              <w:left w:val="nil"/>
              <w:bottom w:val="single" w:sz="4" w:space="0" w:color="auto"/>
              <w:right w:val="single" w:sz="4" w:space="0" w:color="auto"/>
            </w:tcBorders>
            <w:noWrap/>
            <w:hideMark/>
          </w:tcPr>
          <w:p w14:paraId="590D4BA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23,4</w:t>
            </w:r>
          </w:p>
        </w:tc>
        <w:tc>
          <w:tcPr>
            <w:tcW w:w="811" w:type="dxa"/>
            <w:tcBorders>
              <w:top w:val="nil"/>
              <w:left w:val="nil"/>
              <w:bottom w:val="single" w:sz="4" w:space="0" w:color="auto"/>
              <w:right w:val="single" w:sz="4" w:space="0" w:color="auto"/>
            </w:tcBorders>
            <w:noWrap/>
            <w:hideMark/>
          </w:tcPr>
          <w:p w14:paraId="6E1C9B9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24,2</w:t>
            </w:r>
          </w:p>
        </w:tc>
        <w:tc>
          <w:tcPr>
            <w:tcW w:w="839" w:type="dxa"/>
            <w:tcBorders>
              <w:top w:val="nil"/>
              <w:left w:val="nil"/>
              <w:bottom w:val="single" w:sz="4" w:space="0" w:color="auto"/>
              <w:right w:val="single" w:sz="4" w:space="0" w:color="auto"/>
            </w:tcBorders>
            <w:noWrap/>
            <w:hideMark/>
          </w:tcPr>
          <w:p w14:paraId="5A89B9B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25,6</w:t>
            </w:r>
          </w:p>
        </w:tc>
        <w:tc>
          <w:tcPr>
            <w:tcW w:w="839" w:type="dxa"/>
            <w:tcBorders>
              <w:top w:val="nil"/>
              <w:left w:val="nil"/>
              <w:bottom w:val="single" w:sz="4" w:space="0" w:color="auto"/>
              <w:right w:val="single" w:sz="4" w:space="0" w:color="auto"/>
            </w:tcBorders>
            <w:noWrap/>
            <w:hideMark/>
          </w:tcPr>
          <w:p w14:paraId="70A73F0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23,1</w:t>
            </w:r>
          </w:p>
        </w:tc>
        <w:tc>
          <w:tcPr>
            <w:tcW w:w="722" w:type="dxa"/>
            <w:tcBorders>
              <w:top w:val="nil"/>
              <w:left w:val="nil"/>
              <w:bottom w:val="single" w:sz="4" w:space="0" w:color="auto"/>
              <w:right w:val="single" w:sz="4" w:space="0" w:color="auto"/>
            </w:tcBorders>
            <w:noWrap/>
            <w:hideMark/>
          </w:tcPr>
          <w:p w14:paraId="5B29F8A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23,0</w:t>
            </w:r>
          </w:p>
        </w:tc>
        <w:tc>
          <w:tcPr>
            <w:tcW w:w="720" w:type="dxa"/>
            <w:tcBorders>
              <w:top w:val="nil"/>
              <w:left w:val="nil"/>
              <w:bottom w:val="single" w:sz="4" w:space="0" w:color="auto"/>
              <w:right w:val="single" w:sz="4" w:space="0" w:color="auto"/>
            </w:tcBorders>
            <w:noWrap/>
            <w:hideMark/>
          </w:tcPr>
          <w:p w14:paraId="743554D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23,4</w:t>
            </w:r>
          </w:p>
        </w:tc>
        <w:tc>
          <w:tcPr>
            <w:tcW w:w="840" w:type="dxa"/>
            <w:tcBorders>
              <w:top w:val="nil"/>
              <w:left w:val="nil"/>
              <w:bottom w:val="single" w:sz="4" w:space="0" w:color="auto"/>
              <w:right w:val="single" w:sz="4" w:space="0" w:color="auto"/>
            </w:tcBorders>
            <w:noWrap/>
            <w:hideMark/>
          </w:tcPr>
          <w:p w14:paraId="3D03C5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24,1</w:t>
            </w:r>
          </w:p>
        </w:tc>
        <w:tc>
          <w:tcPr>
            <w:tcW w:w="840" w:type="dxa"/>
            <w:tcBorders>
              <w:top w:val="nil"/>
              <w:left w:val="nil"/>
              <w:bottom w:val="single" w:sz="4" w:space="0" w:color="auto"/>
              <w:right w:val="single" w:sz="4" w:space="0" w:color="auto"/>
            </w:tcBorders>
            <w:noWrap/>
            <w:hideMark/>
          </w:tcPr>
          <w:p w14:paraId="54BF3E6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19,9</w:t>
            </w:r>
          </w:p>
        </w:tc>
        <w:tc>
          <w:tcPr>
            <w:tcW w:w="840" w:type="dxa"/>
            <w:tcBorders>
              <w:top w:val="nil"/>
              <w:left w:val="nil"/>
              <w:bottom w:val="single" w:sz="4" w:space="0" w:color="auto"/>
              <w:right w:val="single" w:sz="4" w:space="0" w:color="auto"/>
            </w:tcBorders>
            <w:noWrap/>
            <w:hideMark/>
          </w:tcPr>
          <w:p w14:paraId="47C95FB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19,5</w:t>
            </w:r>
          </w:p>
        </w:tc>
      </w:tr>
      <w:tr w:rsidR="00221F1C" w14:paraId="1D92B699"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35FC1A7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Građevinarstvo (%)</w:t>
            </w:r>
          </w:p>
        </w:tc>
        <w:tc>
          <w:tcPr>
            <w:tcW w:w="600" w:type="dxa"/>
            <w:tcBorders>
              <w:top w:val="nil"/>
              <w:left w:val="nil"/>
              <w:bottom w:val="single" w:sz="4" w:space="0" w:color="auto"/>
              <w:right w:val="single" w:sz="4" w:space="0" w:color="auto"/>
            </w:tcBorders>
            <w:hideMark/>
          </w:tcPr>
          <w:p w14:paraId="239159F9"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1A3565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7,9</w:t>
            </w:r>
          </w:p>
        </w:tc>
        <w:tc>
          <w:tcPr>
            <w:tcW w:w="840" w:type="dxa"/>
            <w:tcBorders>
              <w:top w:val="nil"/>
              <w:left w:val="nil"/>
              <w:bottom w:val="single" w:sz="4" w:space="0" w:color="auto"/>
              <w:right w:val="single" w:sz="4" w:space="0" w:color="auto"/>
            </w:tcBorders>
            <w:noWrap/>
            <w:hideMark/>
          </w:tcPr>
          <w:p w14:paraId="0D76256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w:t>
            </w:r>
          </w:p>
        </w:tc>
        <w:tc>
          <w:tcPr>
            <w:tcW w:w="840" w:type="dxa"/>
            <w:tcBorders>
              <w:top w:val="nil"/>
              <w:left w:val="nil"/>
              <w:bottom w:val="single" w:sz="4" w:space="0" w:color="auto"/>
              <w:right w:val="single" w:sz="4" w:space="0" w:color="auto"/>
            </w:tcBorders>
            <w:noWrap/>
            <w:hideMark/>
          </w:tcPr>
          <w:p w14:paraId="08863FB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w:t>
            </w:r>
          </w:p>
        </w:tc>
        <w:tc>
          <w:tcPr>
            <w:tcW w:w="750" w:type="dxa"/>
            <w:tcBorders>
              <w:top w:val="nil"/>
              <w:left w:val="nil"/>
              <w:bottom w:val="single" w:sz="4" w:space="0" w:color="auto"/>
              <w:right w:val="single" w:sz="4" w:space="0" w:color="auto"/>
            </w:tcBorders>
            <w:noWrap/>
            <w:hideMark/>
          </w:tcPr>
          <w:p w14:paraId="2146C15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 p</w:t>
            </w:r>
          </w:p>
        </w:tc>
        <w:tc>
          <w:tcPr>
            <w:tcW w:w="839" w:type="dxa"/>
            <w:tcBorders>
              <w:top w:val="nil"/>
              <w:left w:val="nil"/>
              <w:bottom w:val="single" w:sz="4" w:space="0" w:color="auto"/>
              <w:right w:val="single" w:sz="4" w:space="0" w:color="auto"/>
            </w:tcBorders>
            <w:noWrap/>
            <w:hideMark/>
          </w:tcPr>
          <w:p w14:paraId="327333F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9,8</w:t>
            </w:r>
          </w:p>
        </w:tc>
        <w:tc>
          <w:tcPr>
            <w:tcW w:w="811" w:type="dxa"/>
            <w:tcBorders>
              <w:top w:val="nil"/>
              <w:left w:val="nil"/>
              <w:bottom w:val="single" w:sz="4" w:space="0" w:color="auto"/>
              <w:right w:val="single" w:sz="4" w:space="0" w:color="auto"/>
            </w:tcBorders>
            <w:noWrap/>
            <w:hideMark/>
          </w:tcPr>
          <w:p w14:paraId="089D680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10,3 p</w:t>
            </w:r>
          </w:p>
        </w:tc>
        <w:tc>
          <w:tcPr>
            <w:tcW w:w="839" w:type="dxa"/>
            <w:tcBorders>
              <w:top w:val="nil"/>
              <w:left w:val="nil"/>
              <w:bottom w:val="single" w:sz="4" w:space="0" w:color="auto"/>
              <w:right w:val="single" w:sz="4" w:space="0" w:color="auto"/>
            </w:tcBorders>
            <w:noWrap/>
            <w:hideMark/>
          </w:tcPr>
          <w:p w14:paraId="19AC40C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6,9</w:t>
            </w:r>
          </w:p>
        </w:tc>
        <w:tc>
          <w:tcPr>
            <w:tcW w:w="750" w:type="dxa"/>
            <w:tcBorders>
              <w:top w:val="nil"/>
              <w:left w:val="nil"/>
              <w:bottom w:val="single" w:sz="4" w:space="0" w:color="auto"/>
              <w:right w:val="single" w:sz="4" w:space="0" w:color="auto"/>
            </w:tcBorders>
            <w:noWrap/>
            <w:hideMark/>
          </w:tcPr>
          <w:p w14:paraId="003D547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w:t>
            </w:r>
          </w:p>
        </w:tc>
        <w:tc>
          <w:tcPr>
            <w:tcW w:w="811" w:type="dxa"/>
            <w:tcBorders>
              <w:top w:val="nil"/>
              <w:left w:val="nil"/>
              <w:bottom w:val="single" w:sz="4" w:space="0" w:color="auto"/>
              <w:right w:val="single" w:sz="4" w:space="0" w:color="auto"/>
            </w:tcBorders>
            <w:noWrap/>
            <w:hideMark/>
          </w:tcPr>
          <w:p w14:paraId="4BDEABC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6,0</w:t>
            </w:r>
          </w:p>
        </w:tc>
        <w:tc>
          <w:tcPr>
            <w:tcW w:w="839" w:type="dxa"/>
            <w:tcBorders>
              <w:top w:val="nil"/>
              <w:left w:val="nil"/>
              <w:bottom w:val="single" w:sz="4" w:space="0" w:color="auto"/>
              <w:right w:val="single" w:sz="4" w:space="0" w:color="auto"/>
            </w:tcBorders>
            <w:noWrap/>
            <w:hideMark/>
          </w:tcPr>
          <w:p w14:paraId="3870DAD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w:t>
            </w:r>
          </w:p>
        </w:tc>
        <w:tc>
          <w:tcPr>
            <w:tcW w:w="839" w:type="dxa"/>
            <w:tcBorders>
              <w:top w:val="nil"/>
              <w:left w:val="nil"/>
              <w:bottom w:val="single" w:sz="4" w:space="0" w:color="auto"/>
              <w:right w:val="single" w:sz="4" w:space="0" w:color="auto"/>
            </w:tcBorders>
            <w:noWrap/>
            <w:hideMark/>
          </w:tcPr>
          <w:p w14:paraId="5C895C4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5,0</w:t>
            </w:r>
          </w:p>
        </w:tc>
        <w:tc>
          <w:tcPr>
            <w:tcW w:w="722" w:type="dxa"/>
            <w:tcBorders>
              <w:top w:val="nil"/>
              <w:left w:val="nil"/>
              <w:bottom w:val="single" w:sz="4" w:space="0" w:color="auto"/>
              <w:right w:val="single" w:sz="4" w:space="0" w:color="auto"/>
            </w:tcBorders>
            <w:noWrap/>
            <w:hideMark/>
          </w:tcPr>
          <w:p w14:paraId="1CA4E8C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5,4</w:t>
            </w:r>
          </w:p>
        </w:tc>
        <w:tc>
          <w:tcPr>
            <w:tcW w:w="720" w:type="dxa"/>
            <w:tcBorders>
              <w:top w:val="nil"/>
              <w:left w:val="nil"/>
              <w:bottom w:val="single" w:sz="4" w:space="0" w:color="auto"/>
              <w:right w:val="single" w:sz="4" w:space="0" w:color="auto"/>
            </w:tcBorders>
            <w:noWrap/>
            <w:hideMark/>
          </w:tcPr>
          <w:p w14:paraId="7D82F8D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10,1</w:t>
            </w:r>
          </w:p>
        </w:tc>
        <w:tc>
          <w:tcPr>
            <w:tcW w:w="840" w:type="dxa"/>
            <w:tcBorders>
              <w:top w:val="nil"/>
              <w:left w:val="nil"/>
              <w:bottom w:val="single" w:sz="4" w:space="0" w:color="auto"/>
              <w:right w:val="single" w:sz="4" w:space="0" w:color="auto"/>
            </w:tcBorders>
            <w:noWrap/>
            <w:hideMark/>
          </w:tcPr>
          <w:p w14:paraId="2491A5E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9,3</w:t>
            </w:r>
          </w:p>
        </w:tc>
        <w:tc>
          <w:tcPr>
            <w:tcW w:w="840" w:type="dxa"/>
            <w:tcBorders>
              <w:top w:val="nil"/>
              <w:left w:val="nil"/>
              <w:bottom w:val="single" w:sz="4" w:space="0" w:color="auto"/>
              <w:right w:val="single" w:sz="4" w:space="0" w:color="auto"/>
            </w:tcBorders>
            <w:noWrap/>
            <w:hideMark/>
          </w:tcPr>
          <w:p w14:paraId="029564C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5,4</w:t>
            </w:r>
          </w:p>
        </w:tc>
        <w:tc>
          <w:tcPr>
            <w:tcW w:w="840" w:type="dxa"/>
            <w:tcBorders>
              <w:top w:val="nil"/>
              <w:left w:val="nil"/>
              <w:bottom w:val="single" w:sz="4" w:space="0" w:color="auto"/>
              <w:right w:val="single" w:sz="4" w:space="0" w:color="auto"/>
            </w:tcBorders>
            <w:noWrap/>
            <w:hideMark/>
          </w:tcPr>
          <w:p w14:paraId="38472CE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5,6</w:t>
            </w:r>
          </w:p>
        </w:tc>
      </w:tr>
      <w:tr w:rsidR="00221F1C" w14:paraId="5149C12B"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2073CEC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Usluge (%)</w:t>
            </w:r>
          </w:p>
        </w:tc>
        <w:tc>
          <w:tcPr>
            <w:tcW w:w="600" w:type="dxa"/>
            <w:tcBorders>
              <w:top w:val="nil"/>
              <w:left w:val="nil"/>
              <w:bottom w:val="single" w:sz="4" w:space="0" w:color="auto"/>
              <w:right w:val="single" w:sz="4" w:space="0" w:color="auto"/>
            </w:tcBorders>
            <w:hideMark/>
          </w:tcPr>
          <w:p w14:paraId="15D118F7"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11B77FB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72,2 s</w:t>
            </w:r>
          </w:p>
        </w:tc>
        <w:tc>
          <w:tcPr>
            <w:tcW w:w="840" w:type="dxa"/>
            <w:tcBorders>
              <w:top w:val="nil"/>
              <w:left w:val="nil"/>
              <w:bottom w:val="single" w:sz="4" w:space="0" w:color="auto"/>
              <w:right w:val="single" w:sz="4" w:space="0" w:color="auto"/>
            </w:tcBorders>
            <w:noWrap/>
            <w:hideMark/>
          </w:tcPr>
          <w:p w14:paraId="47AA797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70,0 s</w:t>
            </w:r>
          </w:p>
        </w:tc>
        <w:tc>
          <w:tcPr>
            <w:tcW w:w="840" w:type="dxa"/>
            <w:tcBorders>
              <w:top w:val="nil"/>
              <w:left w:val="nil"/>
              <w:bottom w:val="single" w:sz="4" w:space="0" w:color="auto"/>
              <w:right w:val="single" w:sz="4" w:space="0" w:color="auto"/>
            </w:tcBorders>
            <w:noWrap/>
            <w:hideMark/>
          </w:tcPr>
          <w:p w14:paraId="7202FE6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63,4 s</w:t>
            </w:r>
          </w:p>
        </w:tc>
        <w:tc>
          <w:tcPr>
            <w:tcW w:w="750" w:type="dxa"/>
            <w:tcBorders>
              <w:top w:val="nil"/>
              <w:left w:val="nil"/>
              <w:bottom w:val="single" w:sz="4" w:space="0" w:color="auto"/>
              <w:right w:val="single" w:sz="4" w:space="0" w:color="auto"/>
            </w:tcBorders>
            <w:noWrap/>
            <w:hideMark/>
          </w:tcPr>
          <w:p w14:paraId="77E7BC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64,1 ps</w:t>
            </w:r>
          </w:p>
        </w:tc>
        <w:tc>
          <w:tcPr>
            <w:tcW w:w="839" w:type="dxa"/>
            <w:tcBorders>
              <w:top w:val="nil"/>
              <w:left w:val="nil"/>
              <w:bottom w:val="single" w:sz="4" w:space="0" w:color="auto"/>
              <w:right w:val="single" w:sz="4" w:space="0" w:color="auto"/>
            </w:tcBorders>
            <w:noWrap/>
            <w:hideMark/>
          </w:tcPr>
          <w:p w14:paraId="102D81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55,4 s</w:t>
            </w:r>
          </w:p>
        </w:tc>
        <w:tc>
          <w:tcPr>
            <w:tcW w:w="811" w:type="dxa"/>
            <w:tcBorders>
              <w:top w:val="nil"/>
              <w:left w:val="nil"/>
              <w:bottom w:val="single" w:sz="4" w:space="0" w:color="auto"/>
              <w:right w:val="single" w:sz="4" w:space="0" w:color="auto"/>
            </w:tcBorders>
            <w:noWrap/>
            <w:hideMark/>
          </w:tcPr>
          <w:p w14:paraId="3CC0549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55,2 ps</w:t>
            </w:r>
          </w:p>
        </w:tc>
        <w:tc>
          <w:tcPr>
            <w:tcW w:w="839" w:type="dxa"/>
            <w:tcBorders>
              <w:top w:val="nil"/>
              <w:left w:val="nil"/>
              <w:bottom w:val="single" w:sz="4" w:space="0" w:color="auto"/>
              <w:right w:val="single" w:sz="4" w:space="0" w:color="auto"/>
            </w:tcBorders>
            <w:noWrap/>
            <w:hideMark/>
          </w:tcPr>
          <w:p w14:paraId="3978F6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61,9 s</w:t>
            </w:r>
          </w:p>
        </w:tc>
        <w:tc>
          <w:tcPr>
            <w:tcW w:w="750" w:type="dxa"/>
            <w:tcBorders>
              <w:top w:val="nil"/>
              <w:left w:val="nil"/>
              <w:bottom w:val="single" w:sz="4" w:space="0" w:color="auto"/>
              <w:right w:val="single" w:sz="4" w:space="0" w:color="auto"/>
            </w:tcBorders>
            <w:noWrap/>
            <w:hideMark/>
          </w:tcPr>
          <w:p w14:paraId="708CAC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62,4 s</w:t>
            </w:r>
          </w:p>
        </w:tc>
        <w:tc>
          <w:tcPr>
            <w:tcW w:w="811" w:type="dxa"/>
            <w:tcBorders>
              <w:top w:val="nil"/>
              <w:left w:val="nil"/>
              <w:bottom w:val="single" w:sz="4" w:space="0" w:color="auto"/>
              <w:right w:val="single" w:sz="4" w:space="0" w:color="auto"/>
            </w:tcBorders>
            <w:noWrap/>
            <w:hideMark/>
          </w:tcPr>
          <w:p w14:paraId="5FCB387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62,8 s</w:t>
            </w:r>
          </w:p>
        </w:tc>
        <w:tc>
          <w:tcPr>
            <w:tcW w:w="839" w:type="dxa"/>
            <w:tcBorders>
              <w:top w:val="nil"/>
              <w:left w:val="nil"/>
              <w:bottom w:val="single" w:sz="4" w:space="0" w:color="auto"/>
              <w:right w:val="single" w:sz="4" w:space="0" w:color="auto"/>
            </w:tcBorders>
            <w:noWrap/>
            <w:hideMark/>
          </w:tcPr>
          <w:p w14:paraId="1242A98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60,9 s</w:t>
            </w:r>
          </w:p>
        </w:tc>
        <w:tc>
          <w:tcPr>
            <w:tcW w:w="839" w:type="dxa"/>
            <w:tcBorders>
              <w:top w:val="nil"/>
              <w:left w:val="nil"/>
              <w:bottom w:val="single" w:sz="4" w:space="0" w:color="auto"/>
              <w:right w:val="single" w:sz="4" w:space="0" w:color="auto"/>
            </w:tcBorders>
            <w:noWrap/>
            <w:hideMark/>
          </w:tcPr>
          <w:p w14:paraId="226DF6D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65,3 s</w:t>
            </w:r>
          </w:p>
        </w:tc>
        <w:tc>
          <w:tcPr>
            <w:tcW w:w="722" w:type="dxa"/>
            <w:tcBorders>
              <w:top w:val="nil"/>
              <w:left w:val="nil"/>
              <w:bottom w:val="single" w:sz="4" w:space="0" w:color="auto"/>
              <w:right w:val="single" w:sz="4" w:space="0" w:color="auto"/>
            </w:tcBorders>
            <w:noWrap/>
            <w:hideMark/>
          </w:tcPr>
          <w:p w14:paraId="6FA326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64,5 s</w:t>
            </w:r>
          </w:p>
        </w:tc>
        <w:tc>
          <w:tcPr>
            <w:tcW w:w="720" w:type="dxa"/>
            <w:tcBorders>
              <w:top w:val="nil"/>
              <w:left w:val="nil"/>
              <w:bottom w:val="single" w:sz="4" w:space="0" w:color="auto"/>
              <w:right w:val="single" w:sz="4" w:space="0" w:color="auto"/>
            </w:tcBorders>
            <w:noWrap/>
            <w:hideMark/>
          </w:tcPr>
          <w:p w14:paraId="611AA68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57,5 s</w:t>
            </w:r>
          </w:p>
        </w:tc>
        <w:tc>
          <w:tcPr>
            <w:tcW w:w="840" w:type="dxa"/>
            <w:tcBorders>
              <w:top w:val="nil"/>
              <w:left w:val="nil"/>
              <w:bottom w:val="single" w:sz="4" w:space="0" w:color="auto"/>
              <w:right w:val="single" w:sz="4" w:space="0" w:color="auto"/>
            </w:tcBorders>
            <w:noWrap/>
            <w:hideMark/>
          </w:tcPr>
          <w:p w14:paraId="56743A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57,7 s</w:t>
            </w:r>
          </w:p>
        </w:tc>
        <w:tc>
          <w:tcPr>
            <w:tcW w:w="840" w:type="dxa"/>
            <w:tcBorders>
              <w:top w:val="nil"/>
              <w:left w:val="nil"/>
              <w:bottom w:val="single" w:sz="4" w:space="0" w:color="auto"/>
              <w:right w:val="single" w:sz="4" w:space="0" w:color="auto"/>
            </w:tcBorders>
            <w:noWrap/>
            <w:hideMark/>
          </w:tcPr>
          <w:p w14:paraId="43F055D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72,9 s</w:t>
            </w:r>
          </w:p>
        </w:tc>
        <w:tc>
          <w:tcPr>
            <w:tcW w:w="840" w:type="dxa"/>
            <w:tcBorders>
              <w:top w:val="nil"/>
              <w:left w:val="nil"/>
              <w:bottom w:val="single" w:sz="4" w:space="0" w:color="auto"/>
              <w:right w:val="single" w:sz="4" w:space="0" w:color="auto"/>
            </w:tcBorders>
            <w:noWrap/>
            <w:hideMark/>
          </w:tcPr>
          <w:p w14:paraId="7619A7D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73,0 s</w:t>
            </w:r>
          </w:p>
        </w:tc>
      </w:tr>
      <w:tr w:rsidR="00221F1C" w14:paraId="49A6A1D8" w14:textId="77777777" w:rsidTr="00221F1C">
        <w:trPr>
          <w:trHeight w:val="225"/>
        </w:trPr>
        <w:tc>
          <w:tcPr>
            <w:tcW w:w="2400" w:type="dxa"/>
            <w:noWrap/>
            <w:hideMark/>
          </w:tcPr>
          <w:p w14:paraId="15848071" w14:textId="77777777" w:rsidR="00221F1C" w:rsidRDefault="00221F1C">
            <w:pPr>
              <w:rPr>
                <w:rFonts w:ascii="Arial" w:eastAsia="Times New Roman" w:hAnsi="Arial" w:cs="Arial"/>
                <w:noProof/>
                <w:color w:val="000000"/>
                <w:sz w:val="16"/>
                <w:szCs w:val="16"/>
                <w:lang w:val="en-IE" w:eastAsia="en-IE"/>
              </w:rPr>
            </w:pPr>
          </w:p>
        </w:tc>
        <w:tc>
          <w:tcPr>
            <w:tcW w:w="600" w:type="dxa"/>
            <w:noWrap/>
            <w:hideMark/>
          </w:tcPr>
          <w:p w14:paraId="17401F28" w14:textId="77777777" w:rsidR="00221F1C" w:rsidRDefault="00221F1C">
            <w:pPr>
              <w:spacing w:after="0"/>
              <w:rPr>
                <w:noProof/>
                <w:sz w:val="20"/>
                <w:szCs w:val="20"/>
                <w:lang w:val="en-IE" w:eastAsia="en-IE"/>
              </w:rPr>
            </w:pPr>
          </w:p>
        </w:tc>
        <w:tc>
          <w:tcPr>
            <w:tcW w:w="720" w:type="dxa"/>
            <w:noWrap/>
            <w:hideMark/>
          </w:tcPr>
          <w:p w14:paraId="11F80C8A" w14:textId="77777777" w:rsidR="00221F1C" w:rsidRDefault="00221F1C">
            <w:pPr>
              <w:spacing w:after="0"/>
              <w:rPr>
                <w:noProof/>
                <w:sz w:val="20"/>
                <w:szCs w:val="20"/>
                <w:lang w:val="en-IE" w:eastAsia="en-IE"/>
              </w:rPr>
            </w:pPr>
          </w:p>
        </w:tc>
        <w:tc>
          <w:tcPr>
            <w:tcW w:w="840" w:type="dxa"/>
            <w:noWrap/>
            <w:hideMark/>
          </w:tcPr>
          <w:p w14:paraId="7405B6CA" w14:textId="77777777" w:rsidR="00221F1C" w:rsidRDefault="00221F1C">
            <w:pPr>
              <w:spacing w:after="0"/>
              <w:rPr>
                <w:noProof/>
                <w:sz w:val="20"/>
                <w:szCs w:val="20"/>
                <w:lang w:val="en-IE" w:eastAsia="en-IE"/>
              </w:rPr>
            </w:pPr>
          </w:p>
        </w:tc>
        <w:tc>
          <w:tcPr>
            <w:tcW w:w="840" w:type="dxa"/>
            <w:noWrap/>
            <w:hideMark/>
          </w:tcPr>
          <w:p w14:paraId="1A42471D" w14:textId="77777777" w:rsidR="00221F1C" w:rsidRDefault="00221F1C">
            <w:pPr>
              <w:spacing w:after="0"/>
              <w:rPr>
                <w:noProof/>
                <w:sz w:val="20"/>
                <w:szCs w:val="20"/>
                <w:lang w:val="en-IE" w:eastAsia="en-IE"/>
              </w:rPr>
            </w:pPr>
          </w:p>
        </w:tc>
        <w:tc>
          <w:tcPr>
            <w:tcW w:w="750" w:type="dxa"/>
            <w:noWrap/>
            <w:hideMark/>
          </w:tcPr>
          <w:p w14:paraId="7BAEF461" w14:textId="77777777" w:rsidR="00221F1C" w:rsidRDefault="00221F1C">
            <w:pPr>
              <w:spacing w:after="0"/>
              <w:rPr>
                <w:noProof/>
                <w:sz w:val="20"/>
                <w:szCs w:val="20"/>
                <w:lang w:val="en-IE" w:eastAsia="en-IE"/>
              </w:rPr>
            </w:pPr>
          </w:p>
        </w:tc>
        <w:tc>
          <w:tcPr>
            <w:tcW w:w="839" w:type="dxa"/>
            <w:noWrap/>
            <w:hideMark/>
          </w:tcPr>
          <w:p w14:paraId="01E22D12" w14:textId="77777777" w:rsidR="00221F1C" w:rsidRDefault="00221F1C">
            <w:pPr>
              <w:spacing w:after="0"/>
              <w:rPr>
                <w:noProof/>
                <w:sz w:val="20"/>
                <w:szCs w:val="20"/>
                <w:lang w:val="en-IE" w:eastAsia="en-IE"/>
              </w:rPr>
            </w:pPr>
          </w:p>
        </w:tc>
        <w:tc>
          <w:tcPr>
            <w:tcW w:w="811" w:type="dxa"/>
            <w:noWrap/>
            <w:hideMark/>
          </w:tcPr>
          <w:p w14:paraId="5CE7BA85" w14:textId="77777777" w:rsidR="00221F1C" w:rsidRDefault="00221F1C">
            <w:pPr>
              <w:spacing w:after="0"/>
              <w:rPr>
                <w:noProof/>
                <w:sz w:val="20"/>
                <w:szCs w:val="20"/>
                <w:lang w:val="en-IE" w:eastAsia="en-IE"/>
              </w:rPr>
            </w:pPr>
          </w:p>
        </w:tc>
        <w:tc>
          <w:tcPr>
            <w:tcW w:w="839" w:type="dxa"/>
            <w:noWrap/>
            <w:hideMark/>
          </w:tcPr>
          <w:p w14:paraId="40EB55E3" w14:textId="77777777" w:rsidR="00221F1C" w:rsidRDefault="00221F1C">
            <w:pPr>
              <w:spacing w:after="0"/>
              <w:rPr>
                <w:noProof/>
                <w:sz w:val="20"/>
                <w:szCs w:val="20"/>
                <w:lang w:val="en-IE" w:eastAsia="en-IE"/>
              </w:rPr>
            </w:pPr>
          </w:p>
        </w:tc>
        <w:tc>
          <w:tcPr>
            <w:tcW w:w="750" w:type="dxa"/>
            <w:noWrap/>
            <w:hideMark/>
          </w:tcPr>
          <w:p w14:paraId="1F4AC094" w14:textId="77777777" w:rsidR="00221F1C" w:rsidRDefault="00221F1C">
            <w:pPr>
              <w:spacing w:after="0"/>
              <w:rPr>
                <w:noProof/>
                <w:sz w:val="20"/>
                <w:szCs w:val="20"/>
                <w:lang w:val="en-IE" w:eastAsia="en-IE"/>
              </w:rPr>
            </w:pPr>
          </w:p>
        </w:tc>
        <w:tc>
          <w:tcPr>
            <w:tcW w:w="811" w:type="dxa"/>
            <w:noWrap/>
            <w:hideMark/>
          </w:tcPr>
          <w:p w14:paraId="11CAC2D0" w14:textId="77777777" w:rsidR="00221F1C" w:rsidRDefault="00221F1C">
            <w:pPr>
              <w:spacing w:after="0"/>
              <w:rPr>
                <w:noProof/>
                <w:sz w:val="20"/>
                <w:szCs w:val="20"/>
                <w:lang w:val="en-IE" w:eastAsia="en-IE"/>
              </w:rPr>
            </w:pPr>
          </w:p>
        </w:tc>
        <w:tc>
          <w:tcPr>
            <w:tcW w:w="839" w:type="dxa"/>
            <w:noWrap/>
            <w:hideMark/>
          </w:tcPr>
          <w:p w14:paraId="2AA05F42" w14:textId="77777777" w:rsidR="00221F1C" w:rsidRDefault="00221F1C">
            <w:pPr>
              <w:spacing w:after="0"/>
              <w:rPr>
                <w:noProof/>
                <w:sz w:val="20"/>
                <w:szCs w:val="20"/>
                <w:lang w:val="en-IE" w:eastAsia="en-IE"/>
              </w:rPr>
            </w:pPr>
          </w:p>
        </w:tc>
        <w:tc>
          <w:tcPr>
            <w:tcW w:w="839" w:type="dxa"/>
            <w:noWrap/>
            <w:hideMark/>
          </w:tcPr>
          <w:p w14:paraId="65733B92" w14:textId="77777777" w:rsidR="00221F1C" w:rsidRDefault="00221F1C">
            <w:pPr>
              <w:spacing w:after="0"/>
              <w:rPr>
                <w:noProof/>
                <w:sz w:val="20"/>
                <w:szCs w:val="20"/>
                <w:lang w:val="en-IE" w:eastAsia="en-IE"/>
              </w:rPr>
            </w:pPr>
          </w:p>
        </w:tc>
        <w:tc>
          <w:tcPr>
            <w:tcW w:w="722" w:type="dxa"/>
            <w:noWrap/>
            <w:hideMark/>
          </w:tcPr>
          <w:p w14:paraId="10C12CA7" w14:textId="77777777" w:rsidR="00221F1C" w:rsidRDefault="00221F1C">
            <w:pPr>
              <w:spacing w:after="0"/>
              <w:rPr>
                <w:noProof/>
                <w:sz w:val="20"/>
                <w:szCs w:val="20"/>
                <w:lang w:val="en-IE" w:eastAsia="en-IE"/>
              </w:rPr>
            </w:pPr>
          </w:p>
        </w:tc>
        <w:tc>
          <w:tcPr>
            <w:tcW w:w="720" w:type="dxa"/>
            <w:noWrap/>
            <w:hideMark/>
          </w:tcPr>
          <w:p w14:paraId="5DDAC9A0" w14:textId="77777777" w:rsidR="00221F1C" w:rsidRDefault="00221F1C">
            <w:pPr>
              <w:spacing w:after="0"/>
              <w:rPr>
                <w:noProof/>
                <w:sz w:val="20"/>
                <w:szCs w:val="20"/>
                <w:lang w:val="en-IE" w:eastAsia="en-IE"/>
              </w:rPr>
            </w:pPr>
          </w:p>
        </w:tc>
        <w:tc>
          <w:tcPr>
            <w:tcW w:w="840" w:type="dxa"/>
            <w:noWrap/>
            <w:hideMark/>
          </w:tcPr>
          <w:p w14:paraId="2D75D97D" w14:textId="77777777" w:rsidR="00221F1C" w:rsidRDefault="00221F1C">
            <w:pPr>
              <w:spacing w:after="0"/>
              <w:rPr>
                <w:noProof/>
                <w:sz w:val="20"/>
                <w:szCs w:val="20"/>
                <w:lang w:val="en-IE" w:eastAsia="en-IE"/>
              </w:rPr>
            </w:pPr>
          </w:p>
        </w:tc>
        <w:tc>
          <w:tcPr>
            <w:tcW w:w="840" w:type="dxa"/>
            <w:noWrap/>
            <w:hideMark/>
          </w:tcPr>
          <w:p w14:paraId="1D256C80" w14:textId="77777777" w:rsidR="00221F1C" w:rsidRDefault="00221F1C">
            <w:pPr>
              <w:spacing w:after="0"/>
              <w:rPr>
                <w:noProof/>
                <w:sz w:val="20"/>
                <w:szCs w:val="20"/>
                <w:lang w:val="en-IE" w:eastAsia="en-IE"/>
              </w:rPr>
            </w:pPr>
          </w:p>
        </w:tc>
        <w:tc>
          <w:tcPr>
            <w:tcW w:w="840" w:type="dxa"/>
            <w:noWrap/>
            <w:hideMark/>
          </w:tcPr>
          <w:p w14:paraId="3FC0270B" w14:textId="77777777" w:rsidR="00221F1C" w:rsidRDefault="00221F1C">
            <w:pPr>
              <w:spacing w:after="0"/>
              <w:rPr>
                <w:noProof/>
                <w:sz w:val="20"/>
                <w:szCs w:val="20"/>
                <w:lang w:val="en-IE" w:eastAsia="en-IE"/>
              </w:rPr>
            </w:pPr>
          </w:p>
        </w:tc>
      </w:tr>
      <w:tr w:rsidR="00221F1C" w14:paraId="38E3F7E3" w14:textId="77777777" w:rsidTr="00221F1C">
        <w:trPr>
          <w:trHeight w:val="225"/>
        </w:trPr>
        <w:tc>
          <w:tcPr>
            <w:tcW w:w="2400" w:type="dxa"/>
            <w:tcBorders>
              <w:top w:val="nil"/>
              <w:left w:val="nil"/>
              <w:bottom w:val="single" w:sz="4" w:space="0" w:color="auto"/>
              <w:right w:val="nil"/>
            </w:tcBorders>
            <w:noWrap/>
            <w:hideMark/>
          </w:tcPr>
          <w:p w14:paraId="189BB4F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b/>
                <w:noProof/>
                <w:color w:val="000000"/>
                <w:sz w:val="16"/>
              </w:rPr>
              <w:t>Platna bilanca</w:t>
            </w:r>
          </w:p>
        </w:tc>
        <w:tc>
          <w:tcPr>
            <w:tcW w:w="600" w:type="dxa"/>
            <w:tcBorders>
              <w:top w:val="single" w:sz="4" w:space="0" w:color="auto"/>
              <w:left w:val="single" w:sz="4" w:space="0" w:color="auto"/>
              <w:bottom w:val="single" w:sz="4" w:space="0" w:color="auto"/>
              <w:right w:val="single" w:sz="4" w:space="0" w:color="auto"/>
            </w:tcBorders>
            <w:noWrap/>
            <w:hideMark/>
          </w:tcPr>
          <w:p w14:paraId="28790A0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Napomena</w:t>
            </w:r>
          </w:p>
        </w:tc>
        <w:tc>
          <w:tcPr>
            <w:tcW w:w="720" w:type="dxa"/>
            <w:tcBorders>
              <w:top w:val="single" w:sz="4" w:space="0" w:color="auto"/>
              <w:left w:val="nil"/>
              <w:bottom w:val="single" w:sz="4" w:space="0" w:color="auto"/>
              <w:right w:val="single" w:sz="4" w:space="0" w:color="auto"/>
            </w:tcBorders>
            <w:hideMark/>
          </w:tcPr>
          <w:p w14:paraId="468229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0A7CED2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75A1E85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5F5B849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54FB2C4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single" w:sz="4" w:space="0" w:color="auto"/>
              <w:left w:val="nil"/>
              <w:bottom w:val="single" w:sz="4" w:space="0" w:color="auto"/>
              <w:right w:val="single" w:sz="4" w:space="0" w:color="auto"/>
            </w:tcBorders>
            <w:hideMark/>
          </w:tcPr>
          <w:p w14:paraId="42DDED2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56DF600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527316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single" w:sz="4" w:space="0" w:color="auto"/>
              <w:left w:val="nil"/>
              <w:bottom w:val="single" w:sz="4" w:space="0" w:color="auto"/>
              <w:right w:val="single" w:sz="4" w:space="0" w:color="auto"/>
            </w:tcBorders>
            <w:hideMark/>
          </w:tcPr>
          <w:p w14:paraId="2422BF9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single" w:sz="4" w:space="0" w:color="auto"/>
              <w:left w:val="nil"/>
              <w:bottom w:val="single" w:sz="4" w:space="0" w:color="auto"/>
              <w:right w:val="single" w:sz="4" w:space="0" w:color="auto"/>
            </w:tcBorders>
            <w:hideMark/>
          </w:tcPr>
          <w:p w14:paraId="641C611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2FC57E6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single" w:sz="4" w:space="0" w:color="auto"/>
              <w:left w:val="nil"/>
              <w:bottom w:val="single" w:sz="4" w:space="0" w:color="auto"/>
              <w:right w:val="single" w:sz="4" w:space="0" w:color="auto"/>
            </w:tcBorders>
            <w:hideMark/>
          </w:tcPr>
          <w:p w14:paraId="468F277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single" w:sz="4" w:space="0" w:color="auto"/>
              <w:left w:val="nil"/>
              <w:bottom w:val="single" w:sz="4" w:space="0" w:color="auto"/>
              <w:right w:val="single" w:sz="4" w:space="0" w:color="auto"/>
            </w:tcBorders>
            <w:hideMark/>
          </w:tcPr>
          <w:p w14:paraId="7CE99ED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2980DC6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4F93496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60730DC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42AD51A0" w14:textId="77777777" w:rsidTr="00221F1C">
        <w:trPr>
          <w:trHeight w:val="450"/>
        </w:trPr>
        <w:tc>
          <w:tcPr>
            <w:tcW w:w="2400" w:type="dxa"/>
            <w:tcBorders>
              <w:top w:val="single" w:sz="4" w:space="0" w:color="auto"/>
              <w:left w:val="single" w:sz="4" w:space="0" w:color="auto"/>
              <w:bottom w:val="single" w:sz="4" w:space="0" w:color="auto"/>
              <w:right w:val="single" w:sz="4" w:space="0" w:color="auto"/>
            </w:tcBorders>
            <w:hideMark/>
          </w:tcPr>
          <w:p w14:paraId="1CA9979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Neto (priljev – odljev) izravna strana ulaganja (u milijunima EUR)</w:t>
            </w:r>
          </w:p>
        </w:tc>
        <w:tc>
          <w:tcPr>
            <w:tcW w:w="600" w:type="dxa"/>
            <w:tcBorders>
              <w:top w:val="nil"/>
              <w:left w:val="nil"/>
              <w:bottom w:val="single" w:sz="4" w:space="0" w:color="auto"/>
              <w:right w:val="single" w:sz="4" w:space="0" w:color="auto"/>
            </w:tcBorders>
            <w:hideMark/>
          </w:tcPr>
          <w:p w14:paraId="3128F9F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27)</w:t>
            </w:r>
          </w:p>
        </w:tc>
        <w:tc>
          <w:tcPr>
            <w:tcW w:w="720" w:type="dxa"/>
            <w:tcBorders>
              <w:top w:val="nil"/>
              <w:left w:val="nil"/>
              <w:bottom w:val="single" w:sz="4" w:space="0" w:color="auto"/>
              <w:right w:val="single" w:sz="4" w:space="0" w:color="auto"/>
            </w:tcBorders>
            <w:noWrap/>
            <w:hideMark/>
          </w:tcPr>
          <w:p w14:paraId="0C0AFDA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345,0 s</w:t>
            </w:r>
          </w:p>
        </w:tc>
        <w:tc>
          <w:tcPr>
            <w:tcW w:w="840" w:type="dxa"/>
            <w:tcBorders>
              <w:top w:val="nil"/>
              <w:left w:val="nil"/>
              <w:bottom w:val="single" w:sz="4" w:space="0" w:color="auto"/>
              <w:right w:val="single" w:sz="4" w:space="0" w:color="auto"/>
            </w:tcBorders>
            <w:noWrap/>
            <w:hideMark/>
          </w:tcPr>
          <w:p w14:paraId="1CB0F57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467,5 w</w:t>
            </w:r>
          </w:p>
        </w:tc>
        <w:tc>
          <w:tcPr>
            <w:tcW w:w="840" w:type="dxa"/>
            <w:tcBorders>
              <w:top w:val="nil"/>
              <w:left w:val="nil"/>
              <w:bottom w:val="single" w:sz="4" w:space="0" w:color="auto"/>
              <w:right w:val="single" w:sz="4" w:space="0" w:color="auto"/>
            </w:tcBorders>
            <w:noWrap/>
            <w:hideMark/>
          </w:tcPr>
          <w:p w14:paraId="4BC57FE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363,3 w</w:t>
            </w:r>
          </w:p>
        </w:tc>
        <w:tc>
          <w:tcPr>
            <w:tcW w:w="750" w:type="dxa"/>
            <w:tcBorders>
              <w:top w:val="nil"/>
              <w:left w:val="nil"/>
              <w:bottom w:val="single" w:sz="4" w:space="0" w:color="auto"/>
              <w:right w:val="single" w:sz="4" w:space="0" w:color="auto"/>
            </w:tcBorders>
            <w:noWrap/>
            <w:hideMark/>
          </w:tcPr>
          <w:p w14:paraId="72C8275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154,7 w</w:t>
            </w:r>
          </w:p>
        </w:tc>
        <w:tc>
          <w:tcPr>
            <w:tcW w:w="839" w:type="dxa"/>
            <w:tcBorders>
              <w:top w:val="nil"/>
              <w:left w:val="nil"/>
              <w:bottom w:val="single" w:sz="4" w:space="0" w:color="auto"/>
              <w:right w:val="single" w:sz="4" w:space="0" w:color="auto"/>
            </w:tcBorders>
            <w:noWrap/>
            <w:hideMark/>
          </w:tcPr>
          <w:p w14:paraId="039B1D5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1 037,1 s</w:t>
            </w:r>
          </w:p>
        </w:tc>
        <w:tc>
          <w:tcPr>
            <w:tcW w:w="811" w:type="dxa"/>
            <w:tcBorders>
              <w:top w:val="nil"/>
              <w:left w:val="nil"/>
              <w:bottom w:val="single" w:sz="4" w:space="0" w:color="auto"/>
              <w:right w:val="single" w:sz="4" w:space="0" w:color="auto"/>
            </w:tcBorders>
            <w:noWrap/>
            <w:hideMark/>
          </w:tcPr>
          <w:p w14:paraId="70C049B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893,6 w</w:t>
            </w:r>
          </w:p>
        </w:tc>
        <w:tc>
          <w:tcPr>
            <w:tcW w:w="839" w:type="dxa"/>
            <w:tcBorders>
              <w:top w:val="nil"/>
              <w:left w:val="nil"/>
              <w:bottom w:val="single" w:sz="4" w:space="0" w:color="auto"/>
              <w:right w:val="single" w:sz="4" w:space="0" w:color="auto"/>
            </w:tcBorders>
            <w:noWrap/>
            <w:hideMark/>
          </w:tcPr>
          <w:p w14:paraId="1BD918D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3 551,1 w</w:t>
            </w:r>
          </w:p>
        </w:tc>
        <w:tc>
          <w:tcPr>
            <w:tcW w:w="750" w:type="dxa"/>
            <w:tcBorders>
              <w:top w:val="nil"/>
              <w:left w:val="nil"/>
              <w:bottom w:val="single" w:sz="4" w:space="0" w:color="auto"/>
              <w:right w:val="single" w:sz="4" w:space="0" w:color="auto"/>
            </w:tcBorders>
            <w:noWrap/>
            <w:hideMark/>
          </w:tcPr>
          <w:p w14:paraId="729BF4C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2 938,5 w</w:t>
            </w:r>
          </w:p>
        </w:tc>
        <w:tc>
          <w:tcPr>
            <w:tcW w:w="811" w:type="dxa"/>
            <w:tcBorders>
              <w:top w:val="nil"/>
              <w:left w:val="nil"/>
              <w:bottom w:val="single" w:sz="4" w:space="0" w:color="auto"/>
              <w:right w:val="single" w:sz="4" w:space="0" w:color="auto"/>
            </w:tcBorders>
            <w:noWrap/>
            <w:hideMark/>
          </w:tcPr>
          <w:p w14:paraId="640996D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5 639,8 s</w:t>
            </w:r>
          </w:p>
        </w:tc>
        <w:tc>
          <w:tcPr>
            <w:tcW w:w="839" w:type="dxa"/>
            <w:tcBorders>
              <w:top w:val="nil"/>
              <w:left w:val="nil"/>
              <w:bottom w:val="single" w:sz="4" w:space="0" w:color="auto"/>
              <w:right w:val="single" w:sz="4" w:space="0" w:color="auto"/>
            </w:tcBorders>
            <w:noWrap/>
            <w:hideMark/>
          </w:tcPr>
          <w:p w14:paraId="5EEC59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4 009,8 s</w:t>
            </w:r>
          </w:p>
        </w:tc>
        <w:tc>
          <w:tcPr>
            <w:tcW w:w="839" w:type="dxa"/>
            <w:tcBorders>
              <w:top w:val="nil"/>
              <w:left w:val="nil"/>
              <w:bottom w:val="single" w:sz="4" w:space="0" w:color="auto"/>
              <w:right w:val="single" w:sz="4" w:space="0" w:color="auto"/>
            </w:tcBorders>
            <w:noWrap/>
            <w:hideMark/>
          </w:tcPr>
          <w:p w14:paraId="2C4565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277,8 w</w:t>
            </w:r>
          </w:p>
        </w:tc>
        <w:tc>
          <w:tcPr>
            <w:tcW w:w="722" w:type="dxa"/>
            <w:tcBorders>
              <w:top w:val="nil"/>
              <w:left w:val="nil"/>
              <w:bottom w:val="single" w:sz="4" w:space="0" w:color="auto"/>
              <w:right w:val="single" w:sz="4" w:space="0" w:color="auto"/>
            </w:tcBorders>
            <w:noWrap/>
            <w:hideMark/>
          </w:tcPr>
          <w:p w14:paraId="7D5B6A9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296,8 w</w:t>
            </w:r>
          </w:p>
        </w:tc>
        <w:tc>
          <w:tcPr>
            <w:tcW w:w="720" w:type="dxa"/>
            <w:tcBorders>
              <w:top w:val="nil"/>
              <w:left w:val="nil"/>
              <w:bottom w:val="single" w:sz="4" w:space="0" w:color="auto"/>
              <w:right w:val="single" w:sz="4" w:space="0" w:color="auto"/>
            </w:tcBorders>
            <w:noWrap/>
            <w:hideMark/>
          </w:tcPr>
          <w:p w14:paraId="3715895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188,4 w</w:t>
            </w:r>
          </w:p>
        </w:tc>
        <w:tc>
          <w:tcPr>
            <w:tcW w:w="840" w:type="dxa"/>
            <w:tcBorders>
              <w:top w:val="nil"/>
              <w:left w:val="nil"/>
              <w:bottom w:val="single" w:sz="4" w:space="0" w:color="auto"/>
              <w:right w:val="single" w:sz="4" w:space="0" w:color="auto"/>
            </w:tcBorders>
            <w:noWrap/>
            <w:hideMark/>
          </w:tcPr>
          <w:p w14:paraId="5042779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286,6 w</w:t>
            </w:r>
          </w:p>
        </w:tc>
        <w:tc>
          <w:tcPr>
            <w:tcW w:w="840" w:type="dxa"/>
            <w:tcBorders>
              <w:top w:val="nil"/>
              <w:left w:val="nil"/>
              <w:bottom w:val="single" w:sz="4" w:space="0" w:color="auto"/>
              <w:right w:val="single" w:sz="4" w:space="0" w:color="auto"/>
            </w:tcBorders>
            <w:noWrap/>
            <w:hideMark/>
          </w:tcPr>
          <w:p w14:paraId="20F2C36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–51 947,3 s</w:t>
            </w:r>
          </w:p>
        </w:tc>
        <w:tc>
          <w:tcPr>
            <w:tcW w:w="840" w:type="dxa"/>
            <w:tcBorders>
              <w:top w:val="nil"/>
              <w:left w:val="nil"/>
              <w:bottom w:val="single" w:sz="4" w:space="0" w:color="auto"/>
              <w:right w:val="single" w:sz="4" w:space="0" w:color="auto"/>
            </w:tcBorders>
            <w:noWrap/>
            <w:hideMark/>
          </w:tcPr>
          <w:p w14:paraId="1C3F47A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77 731,3 s</w:t>
            </w:r>
          </w:p>
        </w:tc>
      </w:tr>
      <w:tr w:rsidR="00221F1C" w14:paraId="313A7491"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0E212D3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Neto (priljev – odljev) izravna strana ulaganja (% BDP-a)</w:t>
            </w:r>
          </w:p>
        </w:tc>
        <w:tc>
          <w:tcPr>
            <w:tcW w:w="600" w:type="dxa"/>
            <w:tcBorders>
              <w:top w:val="nil"/>
              <w:left w:val="nil"/>
              <w:bottom w:val="single" w:sz="4" w:space="0" w:color="auto"/>
              <w:right w:val="single" w:sz="4" w:space="0" w:color="auto"/>
            </w:tcBorders>
            <w:hideMark/>
          </w:tcPr>
          <w:p w14:paraId="29CF378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27)</w:t>
            </w:r>
          </w:p>
        </w:tc>
        <w:tc>
          <w:tcPr>
            <w:tcW w:w="720" w:type="dxa"/>
            <w:tcBorders>
              <w:top w:val="nil"/>
              <w:left w:val="nil"/>
              <w:bottom w:val="single" w:sz="4" w:space="0" w:color="auto"/>
              <w:right w:val="single" w:sz="4" w:space="0" w:color="auto"/>
            </w:tcBorders>
            <w:noWrap/>
            <w:hideMark/>
          </w:tcPr>
          <w:p w14:paraId="0D92B6A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6,97 s</w:t>
            </w:r>
          </w:p>
        </w:tc>
        <w:tc>
          <w:tcPr>
            <w:tcW w:w="840" w:type="dxa"/>
            <w:tcBorders>
              <w:top w:val="nil"/>
              <w:left w:val="nil"/>
              <w:bottom w:val="single" w:sz="4" w:space="0" w:color="auto"/>
              <w:right w:val="single" w:sz="4" w:space="0" w:color="auto"/>
            </w:tcBorders>
            <w:noWrap/>
            <w:hideMark/>
          </w:tcPr>
          <w:p w14:paraId="5076C2E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11,17 sw</w:t>
            </w:r>
          </w:p>
        </w:tc>
        <w:tc>
          <w:tcPr>
            <w:tcW w:w="840" w:type="dxa"/>
            <w:tcBorders>
              <w:top w:val="nil"/>
              <w:left w:val="nil"/>
              <w:bottom w:val="single" w:sz="4" w:space="0" w:color="auto"/>
              <w:right w:val="single" w:sz="4" w:space="0" w:color="auto"/>
            </w:tcBorders>
            <w:noWrap/>
            <w:hideMark/>
          </w:tcPr>
          <w:p w14:paraId="771F9FE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3,23 s</w:t>
            </w:r>
          </w:p>
        </w:tc>
        <w:tc>
          <w:tcPr>
            <w:tcW w:w="750" w:type="dxa"/>
            <w:tcBorders>
              <w:top w:val="nil"/>
              <w:left w:val="nil"/>
              <w:bottom w:val="single" w:sz="4" w:space="0" w:color="auto"/>
              <w:right w:val="single" w:sz="4" w:space="0" w:color="auto"/>
            </w:tcBorders>
            <w:noWrap/>
            <w:hideMark/>
          </w:tcPr>
          <w:p w14:paraId="13477E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1,44 sw</w:t>
            </w:r>
          </w:p>
        </w:tc>
        <w:tc>
          <w:tcPr>
            <w:tcW w:w="839" w:type="dxa"/>
            <w:tcBorders>
              <w:top w:val="nil"/>
              <w:left w:val="nil"/>
              <w:bottom w:val="single" w:sz="4" w:space="0" w:color="auto"/>
              <w:right w:val="single" w:sz="4" w:space="0" w:color="auto"/>
            </w:tcBorders>
            <w:noWrap/>
            <w:hideMark/>
          </w:tcPr>
          <w:p w14:paraId="38C7E7B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7,54 s</w:t>
            </w:r>
          </w:p>
        </w:tc>
        <w:tc>
          <w:tcPr>
            <w:tcW w:w="811" w:type="dxa"/>
            <w:tcBorders>
              <w:top w:val="nil"/>
              <w:left w:val="nil"/>
              <w:bottom w:val="single" w:sz="4" w:space="0" w:color="auto"/>
              <w:right w:val="single" w:sz="4" w:space="0" w:color="auto"/>
            </w:tcBorders>
            <w:noWrap/>
            <w:hideMark/>
          </w:tcPr>
          <w:p w14:paraId="681226B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6,84 sw</w:t>
            </w:r>
          </w:p>
        </w:tc>
        <w:tc>
          <w:tcPr>
            <w:tcW w:w="839" w:type="dxa"/>
            <w:tcBorders>
              <w:top w:val="nil"/>
              <w:left w:val="nil"/>
              <w:bottom w:val="single" w:sz="4" w:space="0" w:color="auto"/>
              <w:right w:val="single" w:sz="4" w:space="0" w:color="auto"/>
            </w:tcBorders>
            <w:noWrap/>
            <w:hideMark/>
          </w:tcPr>
          <w:p w14:paraId="1B63E0E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7,72 s</w:t>
            </w:r>
          </w:p>
        </w:tc>
        <w:tc>
          <w:tcPr>
            <w:tcW w:w="750" w:type="dxa"/>
            <w:tcBorders>
              <w:top w:val="nil"/>
              <w:left w:val="nil"/>
              <w:bottom w:val="single" w:sz="4" w:space="0" w:color="auto"/>
              <w:right w:val="single" w:sz="4" w:space="0" w:color="auto"/>
            </w:tcBorders>
            <w:noWrap/>
            <w:hideMark/>
          </w:tcPr>
          <w:p w14:paraId="61B8782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6,28 sw</w:t>
            </w:r>
          </w:p>
        </w:tc>
        <w:tc>
          <w:tcPr>
            <w:tcW w:w="811" w:type="dxa"/>
            <w:tcBorders>
              <w:top w:val="nil"/>
              <w:left w:val="nil"/>
              <w:bottom w:val="single" w:sz="4" w:space="0" w:color="auto"/>
              <w:right w:val="single" w:sz="4" w:space="0" w:color="auto"/>
            </w:tcBorders>
            <w:noWrap/>
            <w:hideMark/>
          </w:tcPr>
          <w:p w14:paraId="7CE74A4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0,83 s</w:t>
            </w:r>
          </w:p>
        </w:tc>
        <w:tc>
          <w:tcPr>
            <w:tcW w:w="839" w:type="dxa"/>
            <w:tcBorders>
              <w:top w:val="nil"/>
              <w:left w:val="nil"/>
              <w:bottom w:val="single" w:sz="4" w:space="0" w:color="auto"/>
              <w:right w:val="single" w:sz="4" w:space="0" w:color="auto"/>
            </w:tcBorders>
            <w:noWrap/>
            <w:hideMark/>
          </w:tcPr>
          <w:p w14:paraId="5018C61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0,64 s</w:t>
            </w:r>
          </w:p>
        </w:tc>
        <w:tc>
          <w:tcPr>
            <w:tcW w:w="839" w:type="dxa"/>
            <w:tcBorders>
              <w:top w:val="nil"/>
              <w:left w:val="nil"/>
              <w:bottom w:val="single" w:sz="4" w:space="0" w:color="auto"/>
              <w:right w:val="single" w:sz="4" w:space="0" w:color="auto"/>
            </w:tcBorders>
            <w:noWrap/>
            <w:hideMark/>
          </w:tcPr>
          <w:p w14:paraId="6174C4A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1,54 sw</w:t>
            </w:r>
          </w:p>
        </w:tc>
        <w:tc>
          <w:tcPr>
            <w:tcW w:w="722" w:type="dxa"/>
            <w:tcBorders>
              <w:top w:val="nil"/>
              <w:left w:val="nil"/>
              <w:bottom w:val="single" w:sz="4" w:space="0" w:color="auto"/>
              <w:right w:val="single" w:sz="4" w:space="0" w:color="auto"/>
            </w:tcBorders>
            <w:noWrap/>
            <w:hideMark/>
          </w:tcPr>
          <w:p w14:paraId="57A972D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1,70 sw</w:t>
            </w:r>
          </w:p>
        </w:tc>
        <w:tc>
          <w:tcPr>
            <w:tcW w:w="720" w:type="dxa"/>
            <w:tcBorders>
              <w:top w:val="nil"/>
              <w:left w:val="nil"/>
              <w:bottom w:val="single" w:sz="4" w:space="0" w:color="auto"/>
              <w:right w:val="single" w:sz="4" w:space="0" w:color="auto"/>
            </w:tcBorders>
            <w:noWrap/>
            <w:hideMark/>
          </w:tcPr>
          <w:p w14:paraId="1AA78E1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2,67 s</w:t>
            </w:r>
          </w:p>
        </w:tc>
        <w:tc>
          <w:tcPr>
            <w:tcW w:w="840" w:type="dxa"/>
            <w:tcBorders>
              <w:top w:val="nil"/>
              <w:left w:val="nil"/>
              <w:bottom w:val="single" w:sz="4" w:space="0" w:color="auto"/>
              <w:right w:val="single" w:sz="4" w:space="0" w:color="auto"/>
            </w:tcBorders>
            <w:noWrap/>
            <w:hideMark/>
          </w:tcPr>
          <w:p w14:paraId="2902654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4,23 sw</w:t>
            </w:r>
          </w:p>
        </w:tc>
        <w:tc>
          <w:tcPr>
            <w:tcW w:w="840" w:type="dxa"/>
            <w:tcBorders>
              <w:top w:val="nil"/>
              <w:left w:val="nil"/>
              <w:bottom w:val="single" w:sz="4" w:space="0" w:color="auto"/>
              <w:right w:val="single" w:sz="4" w:space="0" w:color="auto"/>
            </w:tcBorders>
            <w:noWrap/>
            <w:hideMark/>
          </w:tcPr>
          <w:p w14:paraId="5BF4A16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 0,37 s</w:t>
            </w:r>
          </w:p>
        </w:tc>
        <w:tc>
          <w:tcPr>
            <w:tcW w:w="840" w:type="dxa"/>
            <w:tcBorders>
              <w:top w:val="nil"/>
              <w:left w:val="nil"/>
              <w:bottom w:val="single" w:sz="4" w:space="0" w:color="auto"/>
              <w:right w:val="single" w:sz="4" w:space="0" w:color="auto"/>
            </w:tcBorders>
            <w:noWrap/>
            <w:hideMark/>
          </w:tcPr>
          <w:p w14:paraId="52E188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0,58 s</w:t>
            </w:r>
          </w:p>
        </w:tc>
      </w:tr>
      <w:tr w:rsidR="00221F1C" w14:paraId="272CFCEC" w14:textId="77777777" w:rsidTr="00221F1C">
        <w:trPr>
          <w:trHeight w:val="675"/>
        </w:trPr>
        <w:tc>
          <w:tcPr>
            <w:tcW w:w="2400" w:type="dxa"/>
            <w:tcBorders>
              <w:top w:val="nil"/>
              <w:left w:val="single" w:sz="4" w:space="0" w:color="auto"/>
              <w:bottom w:val="single" w:sz="4" w:space="0" w:color="auto"/>
              <w:right w:val="single" w:sz="4" w:space="0" w:color="auto"/>
            </w:tcBorders>
            <w:hideMark/>
          </w:tcPr>
          <w:p w14:paraId="2A96AB6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Neto (priljev – odljev) izravna strana ulaganja u odnosu na EU-27 (u milijunima EUR)</w:t>
            </w:r>
          </w:p>
        </w:tc>
        <w:tc>
          <w:tcPr>
            <w:tcW w:w="600" w:type="dxa"/>
            <w:tcBorders>
              <w:top w:val="nil"/>
              <w:left w:val="nil"/>
              <w:bottom w:val="single" w:sz="4" w:space="0" w:color="auto"/>
              <w:right w:val="single" w:sz="4" w:space="0" w:color="auto"/>
            </w:tcBorders>
            <w:hideMark/>
          </w:tcPr>
          <w:p w14:paraId="713A6841"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15) 28) 29)</w:t>
            </w:r>
          </w:p>
        </w:tc>
        <w:tc>
          <w:tcPr>
            <w:tcW w:w="720" w:type="dxa"/>
            <w:tcBorders>
              <w:top w:val="nil"/>
              <w:left w:val="nil"/>
              <w:bottom w:val="single" w:sz="4" w:space="0" w:color="auto"/>
              <w:right w:val="single" w:sz="4" w:space="0" w:color="auto"/>
            </w:tcBorders>
            <w:noWrap/>
            <w:hideMark/>
          </w:tcPr>
          <w:p w14:paraId="68BE7D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40,0 s</w:t>
            </w:r>
          </w:p>
        </w:tc>
        <w:tc>
          <w:tcPr>
            <w:tcW w:w="840" w:type="dxa"/>
            <w:tcBorders>
              <w:top w:val="nil"/>
              <w:left w:val="nil"/>
              <w:bottom w:val="single" w:sz="4" w:space="0" w:color="auto"/>
              <w:right w:val="single" w:sz="4" w:space="0" w:color="auto"/>
            </w:tcBorders>
            <w:noWrap/>
            <w:hideMark/>
          </w:tcPr>
          <w:p w14:paraId="6EE722D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92,9 w</w:t>
            </w:r>
          </w:p>
        </w:tc>
        <w:tc>
          <w:tcPr>
            <w:tcW w:w="840" w:type="dxa"/>
            <w:tcBorders>
              <w:top w:val="nil"/>
              <w:left w:val="nil"/>
              <w:bottom w:val="single" w:sz="4" w:space="0" w:color="auto"/>
              <w:right w:val="single" w:sz="4" w:space="0" w:color="auto"/>
            </w:tcBorders>
            <w:noWrap/>
            <w:hideMark/>
          </w:tcPr>
          <w:p w14:paraId="343094A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193,0 s</w:t>
            </w:r>
          </w:p>
        </w:tc>
        <w:tc>
          <w:tcPr>
            <w:tcW w:w="750" w:type="dxa"/>
            <w:tcBorders>
              <w:top w:val="nil"/>
              <w:left w:val="nil"/>
              <w:bottom w:val="single" w:sz="4" w:space="0" w:color="auto"/>
              <w:right w:val="single" w:sz="4" w:space="0" w:color="auto"/>
            </w:tcBorders>
            <w:noWrap/>
            <w:hideMark/>
          </w:tcPr>
          <w:p w14:paraId="46C2CE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11,0 w</w:t>
            </w:r>
          </w:p>
        </w:tc>
        <w:tc>
          <w:tcPr>
            <w:tcW w:w="839" w:type="dxa"/>
            <w:tcBorders>
              <w:top w:val="nil"/>
              <w:left w:val="nil"/>
              <w:bottom w:val="single" w:sz="4" w:space="0" w:color="auto"/>
              <w:right w:val="single" w:sz="4" w:space="0" w:color="auto"/>
            </w:tcBorders>
            <w:noWrap/>
            <w:hideMark/>
          </w:tcPr>
          <w:p w14:paraId="3A79524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610,3 s</w:t>
            </w:r>
          </w:p>
        </w:tc>
        <w:tc>
          <w:tcPr>
            <w:tcW w:w="811" w:type="dxa"/>
            <w:tcBorders>
              <w:top w:val="nil"/>
              <w:left w:val="nil"/>
              <w:bottom w:val="single" w:sz="4" w:space="0" w:color="auto"/>
              <w:right w:val="single" w:sz="4" w:space="0" w:color="auto"/>
            </w:tcBorders>
            <w:noWrap/>
            <w:hideMark/>
          </w:tcPr>
          <w:p w14:paraId="5B55593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507,0 w</w:t>
            </w:r>
          </w:p>
        </w:tc>
        <w:tc>
          <w:tcPr>
            <w:tcW w:w="839" w:type="dxa"/>
            <w:tcBorders>
              <w:top w:val="nil"/>
              <w:left w:val="nil"/>
              <w:bottom w:val="single" w:sz="4" w:space="0" w:color="auto"/>
              <w:right w:val="single" w:sz="4" w:space="0" w:color="auto"/>
            </w:tcBorders>
            <w:noWrap/>
            <w:hideMark/>
          </w:tcPr>
          <w:p w14:paraId="744C3F0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2 186,0 s</w:t>
            </w:r>
          </w:p>
        </w:tc>
        <w:tc>
          <w:tcPr>
            <w:tcW w:w="750" w:type="dxa"/>
            <w:tcBorders>
              <w:top w:val="nil"/>
              <w:left w:val="nil"/>
              <w:bottom w:val="single" w:sz="4" w:space="0" w:color="auto"/>
              <w:right w:val="single" w:sz="4" w:space="0" w:color="auto"/>
            </w:tcBorders>
            <w:noWrap/>
            <w:hideMark/>
          </w:tcPr>
          <w:p w14:paraId="2C1B34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1 932,4 w</w:t>
            </w:r>
          </w:p>
        </w:tc>
        <w:tc>
          <w:tcPr>
            <w:tcW w:w="811" w:type="dxa"/>
            <w:tcBorders>
              <w:top w:val="nil"/>
              <w:left w:val="nil"/>
              <w:bottom w:val="single" w:sz="4" w:space="0" w:color="auto"/>
              <w:right w:val="single" w:sz="4" w:space="0" w:color="auto"/>
            </w:tcBorders>
            <w:noWrap/>
            <w:hideMark/>
          </w:tcPr>
          <w:p w14:paraId="2ACC4CA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–289,2 s</w:t>
            </w:r>
          </w:p>
        </w:tc>
        <w:tc>
          <w:tcPr>
            <w:tcW w:w="839" w:type="dxa"/>
            <w:tcBorders>
              <w:top w:val="nil"/>
              <w:left w:val="nil"/>
              <w:bottom w:val="single" w:sz="4" w:space="0" w:color="auto"/>
              <w:right w:val="single" w:sz="4" w:space="0" w:color="auto"/>
            </w:tcBorders>
            <w:noWrap/>
            <w:hideMark/>
          </w:tcPr>
          <w:p w14:paraId="7AA4DFA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–12,3 w</w:t>
            </w:r>
          </w:p>
        </w:tc>
        <w:tc>
          <w:tcPr>
            <w:tcW w:w="839" w:type="dxa"/>
            <w:tcBorders>
              <w:top w:val="nil"/>
              <w:left w:val="nil"/>
              <w:bottom w:val="single" w:sz="4" w:space="0" w:color="auto"/>
              <w:right w:val="single" w:sz="4" w:space="0" w:color="auto"/>
            </w:tcBorders>
            <w:noWrap/>
            <w:hideMark/>
          </w:tcPr>
          <w:p w14:paraId="2226079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135,4 w</w:t>
            </w:r>
          </w:p>
        </w:tc>
        <w:tc>
          <w:tcPr>
            <w:tcW w:w="722" w:type="dxa"/>
            <w:tcBorders>
              <w:top w:val="nil"/>
              <w:left w:val="nil"/>
              <w:bottom w:val="single" w:sz="4" w:space="0" w:color="auto"/>
              <w:right w:val="single" w:sz="4" w:space="0" w:color="auto"/>
            </w:tcBorders>
            <w:noWrap/>
            <w:hideMark/>
          </w:tcPr>
          <w:p w14:paraId="27FD8BD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207,7 w</w:t>
            </w:r>
          </w:p>
        </w:tc>
        <w:tc>
          <w:tcPr>
            <w:tcW w:w="720" w:type="dxa"/>
            <w:tcBorders>
              <w:top w:val="nil"/>
              <w:left w:val="nil"/>
              <w:bottom w:val="single" w:sz="4" w:space="0" w:color="auto"/>
              <w:right w:val="single" w:sz="4" w:space="0" w:color="auto"/>
            </w:tcBorders>
            <w:noWrap/>
            <w:hideMark/>
          </w:tcPr>
          <w:p w14:paraId="44EB619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152,5 s</w:t>
            </w:r>
          </w:p>
        </w:tc>
        <w:tc>
          <w:tcPr>
            <w:tcW w:w="840" w:type="dxa"/>
            <w:tcBorders>
              <w:top w:val="nil"/>
              <w:left w:val="nil"/>
              <w:bottom w:val="single" w:sz="4" w:space="0" w:color="auto"/>
              <w:right w:val="single" w:sz="4" w:space="0" w:color="auto"/>
            </w:tcBorders>
            <w:noWrap/>
            <w:hideMark/>
          </w:tcPr>
          <w:p w14:paraId="150CDD6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135,6 w</w:t>
            </w:r>
          </w:p>
        </w:tc>
        <w:tc>
          <w:tcPr>
            <w:tcW w:w="840" w:type="dxa"/>
            <w:tcBorders>
              <w:top w:val="nil"/>
              <w:left w:val="nil"/>
              <w:bottom w:val="single" w:sz="4" w:space="0" w:color="auto"/>
              <w:right w:val="single" w:sz="4" w:space="0" w:color="auto"/>
            </w:tcBorders>
            <w:noWrap/>
            <w:hideMark/>
          </w:tcPr>
          <w:p w14:paraId="2996FE6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22 301,9 s</w:t>
            </w:r>
          </w:p>
        </w:tc>
        <w:tc>
          <w:tcPr>
            <w:tcW w:w="840" w:type="dxa"/>
            <w:tcBorders>
              <w:top w:val="nil"/>
              <w:left w:val="nil"/>
              <w:bottom w:val="single" w:sz="4" w:space="0" w:color="auto"/>
              <w:right w:val="single" w:sz="4" w:space="0" w:color="auto"/>
            </w:tcBorders>
            <w:noWrap/>
            <w:hideMark/>
          </w:tcPr>
          <w:p w14:paraId="20A9A50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–117 798,9 s</w:t>
            </w:r>
          </w:p>
        </w:tc>
      </w:tr>
      <w:tr w:rsidR="00221F1C" w14:paraId="4E419C41" w14:textId="77777777" w:rsidTr="00221F1C">
        <w:trPr>
          <w:trHeight w:val="675"/>
        </w:trPr>
        <w:tc>
          <w:tcPr>
            <w:tcW w:w="2400" w:type="dxa"/>
            <w:tcBorders>
              <w:top w:val="nil"/>
              <w:left w:val="single" w:sz="4" w:space="0" w:color="auto"/>
              <w:bottom w:val="single" w:sz="4" w:space="0" w:color="auto"/>
              <w:right w:val="single" w:sz="4" w:space="0" w:color="auto"/>
            </w:tcBorders>
            <w:hideMark/>
          </w:tcPr>
          <w:p w14:paraId="03EFBB7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Neto (priljev – odljev) izravna strana ulaganja u odnosu na EU-27 (% BDP-a)</w:t>
            </w:r>
          </w:p>
        </w:tc>
        <w:tc>
          <w:tcPr>
            <w:tcW w:w="600" w:type="dxa"/>
            <w:tcBorders>
              <w:top w:val="nil"/>
              <w:left w:val="nil"/>
              <w:bottom w:val="single" w:sz="4" w:space="0" w:color="auto"/>
              <w:right w:val="single" w:sz="4" w:space="0" w:color="auto"/>
            </w:tcBorders>
            <w:hideMark/>
          </w:tcPr>
          <w:p w14:paraId="1EF83E0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30) 29)</w:t>
            </w:r>
          </w:p>
        </w:tc>
        <w:tc>
          <w:tcPr>
            <w:tcW w:w="720" w:type="dxa"/>
            <w:tcBorders>
              <w:top w:val="nil"/>
              <w:left w:val="nil"/>
              <w:bottom w:val="single" w:sz="4" w:space="0" w:color="auto"/>
              <w:right w:val="single" w:sz="4" w:space="0" w:color="auto"/>
            </w:tcBorders>
            <w:noWrap/>
            <w:hideMark/>
          </w:tcPr>
          <w:p w14:paraId="3470F61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0,81 s</w:t>
            </w:r>
          </w:p>
        </w:tc>
        <w:tc>
          <w:tcPr>
            <w:tcW w:w="840" w:type="dxa"/>
            <w:tcBorders>
              <w:top w:val="nil"/>
              <w:left w:val="nil"/>
              <w:bottom w:val="single" w:sz="4" w:space="0" w:color="auto"/>
              <w:right w:val="single" w:sz="4" w:space="0" w:color="auto"/>
            </w:tcBorders>
            <w:noWrap/>
            <w:hideMark/>
          </w:tcPr>
          <w:p w14:paraId="6C9E0F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2,22 sw</w:t>
            </w:r>
          </w:p>
        </w:tc>
        <w:tc>
          <w:tcPr>
            <w:tcW w:w="840" w:type="dxa"/>
            <w:tcBorders>
              <w:top w:val="nil"/>
              <w:left w:val="nil"/>
              <w:bottom w:val="single" w:sz="4" w:space="0" w:color="auto"/>
              <w:right w:val="single" w:sz="4" w:space="0" w:color="auto"/>
            </w:tcBorders>
            <w:noWrap/>
            <w:hideMark/>
          </w:tcPr>
          <w:p w14:paraId="06C842D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1,71 s</w:t>
            </w:r>
          </w:p>
        </w:tc>
        <w:tc>
          <w:tcPr>
            <w:tcW w:w="750" w:type="dxa"/>
            <w:tcBorders>
              <w:top w:val="nil"/>
              <w:left w:val="nil"/>
              <w:bottom w:val="single" w:sz="4" w:space="0" w:color="auto"/>
              <w:right w:val="single" w:sz="4" w:space="0" w:color="auto"/>
            </w:tcBorders>
            <w:noWrap/>
            <w:hideMark/>
          </w:tcPr>
          <w:p w14:paraId="4BB9BE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0,10 sw</w:t>
            </w:r>
          </w:p>
        </w:tc>
        <w:tc>
          <w:tcPr>
            <w:tcW w:w="839" w:type="dxa"/>
            <w:tcBorders>
              <w:top w:val="nil"/>
              <w:left w:val="nil"/>
              <w:bottom w:val="single" w:sz="4" w:space="0" w:color="auto"/>
              <w:right w:val="single" w:sz="4" w:space="0" w:color="auto"/>
            </w:tcBorders>
            <w:noWrap/>
            <w:hideMark/>
          </w:tcPr>
          <w:p w14:paraId="2FC560C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4,44 s</w:t>
            </w:r>
          </w:p>
        </w:tc>
        <w:tc>
          <w:tcPr>
            <w:tcW w:w="811" w:type="dxa"/>
            <w:tcBorders>
              <w:top w:val="nil"/>
              <w:left w:val="nil"/>
              <w:bottom w:val="single" w:sz="4" w:space="0" w:color="auto"/>
              <w:right w:val="single" w:sz="4" w:space="0" w:color="auto"/>
            </w:tcBorders>
            <w:noWrap/>
            <w:hideMark/>
          </w:tcPr>
          <w:p w14:paraId="421F0BA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3,88 sw</w:t>
            </w:r>
          </w:p>
        </w:tc>
        <w:tc>
          <w:tcPr>
            <w:tcW w:w="839" w:type="dxa"/>
            <w:tcBorders>
              <w:top w:val="nil"/>
              <w:left w:val="nil"/>
              <w:bottom w:val="single" w:sz="4" w:space="0" w:color="auto"/>
              <w:right w:val="single" w:sz="4" w:space="0" w:color="auto"/>
            </w:tcBorders>
            <w:noWrap/>
            <w:hideMark/>
          </w:tcPr>
          <w:p w14:paraId="3C0F29E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4,75 s</w:t>
            </w:r>
          </w:p>
        </w:tc>
        <w:tc>
          <w:tcPr>
            <w:tcW w:w="750" w:type="dxa"/>
            <w:tcBorders>
              <w:top w:val="nil"/>
              <w:left w:val="nil"/>
              <w:bottom w:val="single" w:sz="4" w:space="0" w:color="auto"/>
              <w:right w:val="single" w:sz="4" w:space="0" w:color="auto"/>
            </w:tcBorders>
            <w:noWrap/>
            <w:hideMark/>
          </w:tcPr>
          <w:p w14:paraId="2CC7AF7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4,13 sw</w:t>
            </w:r>
          </w:p>
        </w:tc>
        <w:tc>
          <w:tcPr>
            <w:tcW w:w="811" w:type="dxa"/>
            <w:tcBorders>
              <w:top w:val="nil"/>
              <w:left w:val="nil"/>
              <w:bottom w:val="single" w:sz="4" w:space="0" w:color="auto"/>
              <w:right w:val="single" w:sz="4" w:space="0" w:color="auto"/>
            </w:tcBorders>
            <w:noWrap/>
            <w:hideMark/>
          </w:tcPr>
          <w:p w14:paraId="03A3C1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–0,04 s</w:t>
            </w:r>
          </w:p>
        </w:tc>
        <w:tc>
          <w:tcPr>
            <w:tcW w:w="839" w:type="dxa"/>
            <w:tcBorders>
              <w:top w:val="nil"/>
              <w:left w:val="nil"/>
              <w:bottom w:val="single" w:sz="4" w:space="0" w:color="auto"/>
              <w:right w:val="single" w:sz="4" w:space="0" w:color="auto"/>
            </w:tcBorders>
            <w:noWrap/>
            <w:hideMark/>
          </w:tcPr>
          <w:p w14:paraId="3C3E427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0,00 sw</w:t>
            </w:r>
          </w:p>
        </w:tc>
        <w:tc>
          <w:tcPr>
            <w:tcW w:w="839" w:type="dxa"/>
            <w:tcBorders>
              <w:top w:val="nil"/>
              <w:left w:val="nil"/>
              <w:bottom w:val="single" w:sz="4" w:space="0" w:color="auto"/>
              <w:right w:val="single" w:sz="4" w:space="0" w:color="auto"/>
            </w:tcBorders>
            <w:noWrap/>
            <w:hideMark/>
          </w:tcPr>
          <w:p w14:paraId="3B897B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0,75 sw</w:t>
            </w:r>
          </w:p>
        </w:tc>
        <w:tc>
          <w:tcPr>
            <w:tcW w:w="722" w:type="dxa"/>
            <w:tcBorders>
              <w:top w:val="nil"/>
              <w:left w:val="nil"/>
              <w:bottom w:val="single" w:sz="4" w:space="0" w:color="auto"/>
              <w:right w:val="single" w:sz="4" w:space="0" w:color="auto"/>
            </w:tcBorders>
            <w:noWrap/>
            <w:hideMark/>
          </w:tcPr>
          <w:p w14:paraId="2449DE7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1,19 sw</w:t>
            </w:r>
          </w:p>
        </w:tc>
        <w:tc>
          <w:tcPr>
            <w:tcW w:w="720" w:type="dxa"/>
            <w:tcBorders>
              <w:top w:val="nil"/>
              <w:left w:val="nil"/>
              <w:bottom w:val="single" w:sz="4" w:space="0" w:color="auto"/>
              <w:right w:val="single" w:sz="4" w:space="0" w:color="auto"/>
            </w:tcBorders>
            <w:noWrap/>
            <w:hideMark/>
          </w:tcPr>
          <w:p w14:paraId="40E7D55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2,16 s</w:t>
            </w:r>
          </w:p>
        </w:tc>
        <w:tc>
          <w:tcPr>
            <w:tcW w:w="840" w:type="dxa"/>
            <w:tcBorders>
              <w:top w:val="nil"/>
              <w:left w:val="nil"/>
              <w:bottom w:val="single" w:sz="4" w:space="0" w:color="auto"/>
              <w:right w:val="single" w:sz="4" w:space="0" w:color="auto"/>
            </w:tcBorders>
            <w:noWrap/>
            <w:hideMark/>
          </w:tcPr>
          <w:p w14:paraId="18EF61B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2,00 sw</w:t>
            </w:r>
          </w:p>
        </w:tc>
        <w:tc>
          <w:tcPr>
            <w:tcW w:w="840" w:type="dxa"/>
            <w:tcBorders>
              <w:top w:val="nil"/>
              <w:left w:val="nil"/>
              <w:bottom w:val="single" w:sz="4" w:space="0" w:color="auto"/>
              <w:right w:val="single" w:sz="4" w:space="0" w:color="auto"/>
            </w:tcBorders>
            <w:noWrap/>
            <w:hideMark/>
          </w:tcPr>
          <w:p w14:paraId="3284626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0,16 s</w:t>
            </w:r>
          </w:p>
        </w:tc>
        <w:tc>
          <w:tcPr>
            <w:tcW w:w="840" w:type="dxa"/>
            <w:tcBorders>
              <w:top w:val="nil"/>
              <w:left w:val="nil"/>
              <w:bottom w:val="single" w:sz="4" w:space="0" w:color="auto"/>
              <w:right w:val="single" w:sz="4" w:space="0" w:color="auto"/>
            </w:tcBorders>
            <w:noWrap/>
            <w:hideMark/>
          </w:tcPr>
          <w:p w14:paraId="1BC0CB3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–0,88 s</w:t>
            </w:r>
          </w:p>
        </w:tc>
      </w:tr>
      <w:tr w:rsidR="00221F1C" w14:paraId="524B7927"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4614533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Doznake kao % BDP-a</w:t>
            </w:r>
          </w:p>
        </w:tc>
        <w:tc>
          <w:tcPr>
            <w:tcW w:w="600" w:type="dxa"/>
            <w:tcBorders>
              <w:top w:val="nil"/>
              <w:left w:val="nil"/>
              <w:bottom w:val="single" w:sz="4" w:space="0" w:color="auto"/>
              <w:right w:val="single" w:sz="4" w:space="0" w:color="auto"/>
            </w:tcBorders>
            <w:hideMark/>
          </w:tcPr>
          <w:p w14:paraId="14C82FA8"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5ED903F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4,83 s</w:t>
            </w:r>
          </w:p>
        </w:tc>
        <w:tc>
          <w:tcPr>
            <w:tcW w:w="840" w:type="dxa"/>
            <w:tcBorders>
              <w:top w:val="nil"/>
              <w:left w:val="nil"/>
              <w:bottom w:val="single" w:sz="4" w:space="0" w:color="auto"/>
              <w:right w:val="single" w:sz="4" w:space="0" w:color="auto"/>
            </w:tcBorders>
            <w:noWrap/>
            <w:hideMark/>
          </w:tcPr>
          <w:p w14:paraId="467AF77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6,26 s</w:t>
            </w:r>
          </w:p>
        </w:tc>
        <w:tc>
          <w:tcPr>
            <w:tcW w:w="840" w:type="dxa"/>
            <w:tcBorders>
              <w:top w:val="nil"/>
              <w:left w:val="nil"/>
              <w:bottom w:val="single" w:sz="4" w:space="0" w:color="auto"/>
              <w:right w:val="single" w:sz="4" w:space="0" w:color="auto"/>
            </w:tcBorders>
            <w:noWrap/>
            <w:hideMark/>
          </w:tcPr>
          <w:p w14:paraId="7673B7E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1,74 s</w:t>
            </w:r>
          </w:p>
        </w:tc>
        <w:tc>
          <w:tcPr>
            <w:tcW w:w="750" w:type="dxa"/>
            <w:tcBorders>
              <w:top w:val="nil"/>
              <w:left w:val="nil"/>
              <w:bottom w:val="single" w:sz="4" w:space="0" w:color="auto"/>
              <w:right w:val="single" w:sz="4" w:space="0" w:color="auto"/>
            </w:tcBorders>
            <w:noWrap/>
            <w:hideMark/>
          </w:tcPr>
          <w:p w14:paraId="506279B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2,66 ps</w:t>
            </w:r>
          </w:p>
        </w:tc>
        <w:tc>
          <w:tcPr>
            <w:tcW w:w="839" w:type="dxa"/>
            <w:tcBorders>
              <w:top w:val="nil"/>
              <w:left w:val="nil"/>
              <w:bottom w:val="single" w:sz="4" w:space="0" w:color="auto"/>
              <w:right w:val="single" w:sz="4" w:space="0" w:color="auto"/>
            </w:tcBorders>
            <w:noWrap/>
            <w:hideMark/>
          </w:tcPr>
          <w:p w14:paraId="6CE57F0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5,11 s</w:t>
            </w:r>
          </w:p>
        </w:tc>
        <w:tc>
          <w:tcPr>
            <w:tcW w:w="811" w:type="dxa"/>
            <w:tcBorders>
              <w:top w:val="nil"/>
              <w:left w:val="nil"/>
              <w:bottom w:val="single" w:sz="4" w:space="0" w:color="auto"/>
              <w:right w:val="single" w:sz="4" w:space="0" w:color="auto"/>
            </w:tcBorders>
            <w:noWrap/>
            <w:hideMark/>
          </w:tcPr>
          <w:p w14:paraId="3B465BC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5,07 ps</w:t>
            </w:r>
          </w:p>
        </w:tc>
        <w:tc>
          <w:tcPr>
            <w:tcW w:w="839" w:type="dxa"/>
            <w:tcBorders>
              <w:top w:val="nil"/>
              <w:left w:val="nil"/>
              <w:bottom w:val="single" w:sz="4" w:space="0" w:color="auto"/>
              <w:right w:val="single" w:sz="4" w:space="0" w:color="auto"/>
            </w:tcBorders>
            <w:noWrap/>
            <w:hideMark/>
          </w:tcPr>
          <w:p w14:paraId="153B92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5,83 s</w:t>
            </w:r>
          </w:p>
        </w:tc>
        <w:tc>
          <w:tcPr>
            <w:tcW w:w="750" w:type="dxa"/>
            <w:tcBorders>
              <w:top w:val="nil"/>
              <w:left w:val="nil"/>
              <w:bottom w:val="single" w:sz="4" w:space="0" w:color="auto"/>
              <w:right w:val="single" w:sz="4" w:space="0" w:color="auto"/>
            </w:tcBorders>
            <w:noWrap/>
            <w:hideMark/>
          </w:tcPr>
          <w:p w14:paraId="295F9FE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4,81 s</w:t>
            </w:r>
          </w:p>
        </w:tc>
        <w:tc>
          <w:tcPr>
            <w:tcW w:w="811" w:type="dxa"/>
            <w:tcBorders>
              <w:top w:val="nil"/>
              <w:left w:val="nil"/>
              <w:bottom w:val="single" w:sz="4" w:space="0" w:color="auto"/>
              <w:right w:val="single" w:sz="4" w:space="0" w:color="auto"/>
            </w:tcBorders>
            <w:noWrap/>
            <w:hideMark/>
          </w:tcPr>
          <w:p w14:paraId="5485E87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0,02 s</w:t>
            </w:r>
          </w:p>
        </w:tc>
        <w:tc>
          <w:tcPr>
            <w:tcW w:w="839" w:type="dxa"/>
            <w:tcBorders>
              <w:top w:val="nil"/>
              <w:left w:val="nil"/>
              <w:bottom w:val="single" w:sz="4" w:space="0" w:color="auto"/>
              <w:right w:val="single" w:sz="4" w:space="0" w:color="auto"/>
            </w:tcBorders>
            <w:noWrap/>
            <w:hideMark/>
          </w:tcPr>
          <w:p w14:paraId="3034C4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0,02 s</w:t>
            </w:r>
          </w:p>
        </w:tc>
        <w:tc>
          <w:tcPr>
            <w:tcW w:w="839" w:type="dxa"/>
            <w:tcBorders>
              <w:top w:val="nil"/>
              <w:left w:val="nil"/>
              <w:bottom w:val="single" w:sz="4" w:space="0" w:color="auto"/>
              <w:right w:val="single" w:sz="4" w:space="0" w:color="auto"/>
            </w:tcBorders>
            <w:noWrap/>
            <w:hideMark/>
          </w:tcPr>
          <w:p w14:paraId="7355BD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8,54 s</w:t>
            </w:r>
          </w:p>
        </w:tc>
        <w:tc>
          <w:tcPr>
            <w:tcW w:w="722" w:type="dxa"/>
            <w:tcBorders>
              <w:top w:val="nil"/>
              <w:left w:val="nil"/>
              <w:bottom w:val="single" w:sz="4" w:space="0" w:color="auto"/>
              <w:right w:val="single" w:sz="4" w:space="0" w:color="auto"/>
            </w:tcBorders>
            <w:noWrap/>
            <w:hideMark/>
          </w:tcPr>
          <w:p w14:paraId="3B49F2C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7,36 s</w:t>
            </w:r>
          </w:p>
        </w:tc>
        <w:tc>
          <w:tcPr>
            <w:tcW w:w="720" w:type="dxa"/>
            <w:tcBorders>
              <w:top w:val="nil"/>
              <w:left w:val="nil"/>
              <w:bottom w:val="single" w:sz="4" w:space="0" w:color="auto"/>
              <w:right w:val="single" w:sz="4" w:space="0" w:color="auto"/>
            </w:tcBorders>
            <w:noWrap/>
            <w:hideMark/>
          </w:tcPr>
          <w:p w14:paraId="1EF29A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12,07 s</w:t>
            </w:r>
          </w:p>
        </w:tc>
        <w:tc>
          <w:tcPr>
            <w:tcW w:w="840" w:type="dxa"/>
            <w:tcBorders>
              <w:top w:val="nil"/>
              <w:left w:val="nil"/>
              <w:bottom w:val="single" w:sz="4" w:space="0" w:color="auto"/>
              <w:right w:val="single" w:sz="4" w:space="0" w:color="auto"/>
            </w:tcBorders>
            <w:noWrap/>
            <w:hideMark/>
          </w:tcPr>
          <w:p w14:paraId="5C0D9B1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14,47 s</w:t>
            </w:r>
          </w:p>
        </w:tc>
        <w:tc>
          <w:tcPr>
            <w:tcW w:w="840" w:type="dxa"/>
            <w:tcBorders>
              <w:top w:val="nil"/>
              <w:left w:val="nil"/>
              <w:bottom w:val="single" w:sz="4" w:space="0" w:color="auto"/>
              <w:right w:val="single" w:sz="4" w:space="0" w:color="auto"/>
            </w:tcBorders>
            <w:noWrap/>
            <w:hideMark/>
          </w:tcPr>
          <w:p w14:paraId="11030F6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0,15 s</w:t>
            </w:r>
          </w:p>
        </w:tc>
        <w:tc>
          <w:tcPr>
            <w:tcW w:w="840" w:type="dxa"/>
            <w:tcBorders>
              <w:top w:val="nil"/>
              <w:left w:val="nil"/>
              <w:bottom w:val="single" w:sz="4" w:space="0" w:color="auto"/>
              <w:right w:val="single" w:sz="4" w:space="0" w:color="auto"/>
            </w:tcBorders>
            <w:noWrap/>
            <w:hideMark/>
          </w:tcPr>
          <w:p w14:paraId="3D71D02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0,14 s</w:t>
            </w:r>
          </w:p>
        </w:tc>
      </w:tr>
    </w:tbl>
    <w:p w14:paraId="3473B937" w14:textId="77777777" w:rsidR="00221F1C" w:rsidRDefault="00221F1C" w:rsidP="00221F1C">
      <w:pPr>
        <w:spacing w:after="0" w:line="240" w:lineRule="auto"/>
        <w:jc w:val="both"/>
        <w:rPr>
          <w:rFonts w:ascii="Times New Roman" w:eastAsia="Times New Roman" w:hAnsi="Times New Roman" w:cs="Times New Roman"/>
          <w:noProof/>
          <w:sz w:val="18"/>
          <w:szCs w:val="24"/>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221F1C" w14:paraId="727186B3" w14:textId="77777777" w:rsidTr="00221F1C">
        <w:trPr>
          <w:trHeight w:val="225"/>
        </w:trPr>
        <w:tc>
          <w:tcPr>
            <w:tcW w:w="2400" w:type="dxa"/>
            <w:vMerge w:val="restart"/>
            <w:tcBorders>
              <w:top w:val="nil"/>
              <w:left w:val="nil"/>
              <w:bottom w:val="single" w:sz="4" w:space="0" w:color="auto"/>
              <w:right w:val="single" w:sz="4" w:space="0" w:color="auto"/>
            </w:tcBorders>
            <w:noWrap/>
            <w:vAlign w:val="center"/>
            <w:hideMark/>
          </w:tcPr>
          <w:p w14:paraId="569549F9" w14:textId="77777777" w:rsidR="00221F1C" w:rsidRDefault="00221F1C">
            <w:pPr>
              <w:spacing w:after="0" w:line="240" w:lineRule="auto"/>
              <w:rPr>
                <w:rFonts w:ascii="Arial" w:eastAsia="Times New Roman" w:hAnsi="Arial" w:cs="Arial"/>
                <w:noProof/>
                <w:sz w:val="16"/>
                <w:szCs w:val="16"/>
              </w:rPr>
            </w:pPr>
            <w:r>
              <w:rPr>
                <w:rFonts w:ascii="Arial" w:hAnsi="Arial"/>
                <w:b/>
                <w:noProof/>
                <w:sz w:val="16"/>
              </w:rPr>
              <w:t>Vanjska trgovina robom</w:t>
            </w:r>
          </w:p>
        </w:tc>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14:paraId="3843AAE0" w14:textId="77777777" w:rsidR="00221F1C" w:rsidRDefault="00221F1C">
            <w:pPr>
              <w:spacing w:after="0" w:line="240" w:lineRule="auto"/>
              <w:rPr>
                <w:rFonts w:ascii="Arial" w:eastAsia="Times New Roman" w:hAnsi="Arial" w:cs="Arial"/>
                <w:noProof/>
                <w:sz w:val="16"/>
                <w:szCs w:val="16"/>
              </w:rPr>
            </w:pPr>
            <w:r>
              <w:rPr>
                <w:rFonts w:ascii="Arial" w:hAnsi="Arial"/>
                <w:noProof/>
                <w:sz w:val="16"/>
              </w:rPr>
              <w:t xml:space="preserve"> </w:t>
            </w:r>
            <w:r>
              <w:rPr>
                <w:rFonts w:ascii="Arial" w:hAnsi="Arial"/>
                <w:noProof/>
                <w:color w:val="000000"/>
                <w:sz w:val="16"/>
              </w:rPr>
              <w:t>Napomena</w:t>
            </w:r>
          </w:p>
        </w:tc>
        <w:tc>
          <w:tcPr>
            <w:tcW w:w="1560" w:type="dxa"/>
            <w:gridSpan w:val="2"/>
            <w:tcBorders>
              <w:top w:val="single" w:sz="4" w:space="0" w:color="auto"/>
              <w:left w:val="nil"/>
              <w:bottom w:val="single" w:sz="4" w:space="0" w:color="auto"/>
              <w:right w:val="single" w:sz="4" w:space="0" w:color="auto"/>
            </w:tcBorders>
            <w:vAlign w:val="center"/>
            <w:hideMark/>
          </w:tcPr>
          <w:p w14:paraId="16FF2FEA"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Crna Gora</w:t>
            </w:r>
          </w:p>
        </w:tc>
        <w:tc>
          <w:tcPr>
            <w:tcW w:w="1590" w:type="dxa"/>
            <w:gridSpan w:val="2"/>
            <w:tcBorders>
              <w:top w:val="single" w:sz="4" w:space="0" w:color="auto"/>
              <w:left w:val="nil"/>
              <w:bottom w:val="single" w:sz="4" w:space="0" w:color="auto"/>
              <w:right w:val="single" w:sz="4" w:space="0" w:color="auto"/>
            </w:tcBorders>
            <w:vAlign w:val="center"/>
            <w:hideMark/>
          </w:tcPr>
          <w:p w14:paraId="56DDE3FF"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Sjeverna Makedonija</w:t>
            </w:r>
          </w:p>
        </w:tc>
        <w:tc>
          <w:tcPr>
            <w:tcW w:w="1650" w:type="dxa"/>
            <w:gridSpan w:val="2"/>
            <w:tcBorders>
              <w:top w:val="single" w:sz="4" w:space="0" w:color="auto"/>
              <w:left w:val="nil"/>
              <w:bottom w:val="single" w:sz="4" w:space="0" w:color="auto"/>
              <w:right w:val="single" w:sz="4" w:space="0" w:color="auto"/>
            </w:tcBorders>
            <w:vAlign w:val="center"/>
            <w:hideMark/>
          </w:tcPr>
          <w:p w14:paraId="19808C20"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Albanija</w:t>
            </w:r>
          </w:p>
        </w:tc>
        <w:tc>
          <w:tcPr>
            <w:tcW w:w="1589" w:type="dxa"/>
            <w:gridSpan w:val="2"/>
            <w:tcBorders>
              <w:top w:val="single" w:sz="4" w:space="0" w:color="auto"/>
              <w:left w:val="nil"/>
              <w:bottom w:val="single" w:sz="4" w:space="0" w:color="auto"/>
              <w:right w:val="single" w:sz="4" w:space="0" w:color="auto"/>
            </w:tcBorders>
            <w:vAlign w:val="center"/>
            <w:hideMark/>
          </w:tcPr>
          <w:p w14:paraId="738C5CF9"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Srbija</w:t>
            </w:r>
          </w:p>
        </w:tc>
        <w:tc>
          <w:tcPr>
            <w:tcW w:w="1650" w:type="dxa"/>
            <w:gridSpan w:val="2"/>
            <w:tcBorders>
              <w:top w:val="single" w:sz="4" w:space="0" w:color="auto"/>
              <w:left w:val="nil"/>
              <w:bottom w:val="single" w:sz="4" w:space="0" w:color="auto"/>
              <w:right w:val="single" w:sz="4" w:space="0" w:color="auto"/>
            </w:tcBorders>
            <w:vAlign w:val="center"/>
            <w:hideMark/>
          </w:tcPr>
          <w:p w14:paraId="6AD7A2E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Turska</w:t>
            </w:r>
          </w:p>
        </w:tc>
        <w:tc>
          <w:tcPr>
            <w:tcW w:w="1561" w:type="dxa"/>
            <w:gridSpan w:val="2"/>
            <w:tcBorders>
              <w:top w:val="single" w:sz="4" w:space="0" w:color="auto"/>
              <w:left w:val="nil"/>
              <w:bottom w:val="single" w:sz="4" w:space="0" w:color="auto"/>
              <w:right w:val="single" w:sz="4" w:space="0" w:color="auto"/>
            </w:tcBorders>
            <w:vAlign w:val="center"/>
            <w:hideMark/>
          </w:tcPr>
          <w:p w14:paraId="6D909DA0"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Bosna i</w:t>
            </w:r>
            <w:r>
              <w:rPr>
                <w:noProof/>
              </w:rPr>
              <w:t xml:space="preserve"> </w:t>
            </w:r>
            <w:r>
              <w:rPr>
                <w:noProof/>
              </w:rPr>
              <w:br/>
            </w:r>
            <w:r>
              <w:rPr>
                <w:rFonts w:ascii="Arial" w:hAnsi="Arial"/>
                <w:noProof/>
                <w:sz w:val="16"/>
              </w:rPr>
              <w:t>Hercegovina</w:t>
            </w:r>
          </w:p>
        </w:tc>
        <w:tc>
          <w:tcPr>
            <w:tcW w:w="1560" w:type="dxa"/>
            <w:gridSpan w:val="2"/>
            <w:tcBorders>
              <w:top w:val="single" w:sz="4" w:space="0" w:color="auto"/>
              <w:left w:val="nil"/>
              <w:bottom w:val="single" w:sz="4" w:space="0" w:color="auto"/>
              <w:right w:val="single" w:sz="4" w:space="0" w:color="auto"/>
            </w:tcBorders>
            <w:vAlign w:val="center"/>
            <w:hideMark/>
          </w:tcPr>
          <w:p w14:paraId="5FFC081F"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Kosovo*</w:t>
            </w:r>
          </w:p>
        </w:tc>
        <w:tc>
          <w:tcPr>
            <w:tcW w:w="1680" w:type="dxa"/>
            <w:gridSpan w:val="2"/>
            <w:tcBorders>
              <w:top w:val="single" w:sz="4" w:space="0" w:color="auto"/>
              <w:left w:val="nil"/>
              <w:bottom w:val="single" w:sz="4" w:space="0" w:color="auto"/>
              <w:right w:val="single" w:sz="4" w:space="0" w:color="auto"/>
            </w:tcBorders>
            <w:vAlign w:val="center"/>
            <w:hideMark/>
          </w:tcPr>
          <w:p w14:paraId="62D076FC"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EU-27</w:t>
            </w:r>
          </w:p>
        </w:tc>
      </w:tr>
      <w:tr w:rsidR="00221F1C" w14:paraId="7037AD2A" w14:textId="77777777" w:rsidTr="00221F1C">
        <w:trPr>
          <w:trHeight w:val="225"/>
        </w:trPr>
        <w:tc>
          <w:tcPr>
            <w:tcW w:w="2400" w:type="dxa"/>
            <w:vMerge/>
            <w:tcBorders>
              <w:top w:val="nil"/>
              <w:left w:val="nil"/>
              <w:bottom w:val="single" w:sz="4" w:space="0" w:color="auto"/>
              <w:right w:val="single" w:sz="4" w:space="0" w:color="auto"/>
            </w:tcBorders>
            <w:vAlign w:val="center"/>
            <w:hideMark/>
          </w:tcPr>
          <w:p w14:paraId="0849631D" w14:textId="77777777" w:rsidR="00221F1C" w:rsidRDefault="00221F1C">
            <w:pPr>
              <w:spacing w:after="0"/>
              <w:rPr>
                <w:rFonts w:ascii="Arial" w:eastAsia="Times New Roman" w:hAnsi="Arial" w:cs="Arial"/>
                <w:noProof/>
                <w:sz w:val="16"/>
                <w:szCs w:val="16"/>
                <w:lang w:eastAsia="zh-CN"/>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026BFA2C" w14:textId="77777777" w:rsidR="00221F1C" w:rsidRDefault="00221F1C">
            <w:pPr>
              <w:spacing w:after="0"/>
              <w:rPr>
                <w:rFonts w:ascii="Arial" w:eastAsia="Times New Roman" w:hAnsi="Arial" w:cs="Arial"/>
                <w:noProof/>
                <w:sz w:val="16"/>
                <w:szCs w:val="16"/>
                <w:lang w:eastAsia="zh-CN"/>
              </w:rPr>
            </w:pPr>
          </w:p>
        </w:tc>
        <w:tc>
          <w:tcPr>
            <w:tcW w:w="720" w:type="dxa"/>
            <w:tcBorders>
              <w:top w:val="nil"/>
              <w:left w:val="nil"/>
              <w:bottom w:val="single" w:sz="4" w:space="0" w:color="auto"/>
              <w:right w:val="single" w:sz="4" w:space="0" w:color="auto"/>
            </w:tcBorders>
            <w:hideMark/>
          </w:tcPr>
          <w:p w14:paraId="03692B0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74A4522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5EEFC1B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2EE7CFF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0E2216F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nil"/>
              <w:left w:val="nil"/>
              <w:bottom w:val="single" w:sz="4" w:space="0" w:color="auto"/>
              <w:right w:val="single" w:sz="4" w:space="0" w:color="auto"/>
            </w:tcBorders>
            <w:hideMark/>
          </w:tcPr>
          <w:p w14:paraId="4CD6D7B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691E823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52763FB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nil"/>
              <w:left w:val="nil"/>
              <w:bottom w:val="single" w:sz="4" w:space="0" w:color="auto"/>
              <w:right w:val="single" w:sz="4" w:space="0" w:color="auto"/>
            </w:tcBorders>
            <w:hideMark/>
          </w:tcPr>
          <w:p w14:paraId="1D76164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nil"/>
              <w:left w:val="nil"/>
              <w:bottom w:val="single" w:sz="4" w:space="0" w:color="auto"/>
              <w:right w:val="single" w:sz="4" w:space="0" w:color="auto"/>
            </w:tcBorders>
            <w:hideMark/>
          </w:tcPr>
          <w:p w14:paraId="5640BB3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0C5B13A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nil"/>
              <w:left w:val="nil"/>
              <w:bottom w:val="single" w:sz="4" w:space="0" w:color="auto"/>
              <w:right w:val="single" w:sz="4" w:space="0" w:color="auto"/>
            </w:tcBorders>
            <w:hideMark/>
          </w:tcPr>
          <w:p w14:paraId="1D0D01D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nil"/>
              <w:left w:val="nil"/>
              <w:bottom w:val="single" w:sz="4" w:space="0" w:color="auto"/>
              <w:right w:val="single" w:sz="4" w:space="0" w:color="auto"/>
            </w:tcBorders>
            <w:hideMark/>
          </w:tcPr>
          <w:p w14:paraId="170CAD1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5C5800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37133A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77AE2E6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762AC573"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22FB0C7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Udio izvoza u zemlje EU-27 prema vrijednosti u ukupnom izvozu (%)</w:t>
            </w:r>
          </w:p>
        </w:tc>
        <w:tc>
          <w:tcPr>
            <w:tcW w:w="600" w:type="dxa"/>
            <w:tcBorders>
              <w:top w:val="nil"/>
              <w:left w:val="nil"/>
              <w:bottom w:val="single" w:sz="4" w:space="0" w:color="auto"/>
              <w:right w:val="single" w:sz="4" w:space="0" w:color="auto"/>
            </w:tcBorders>
            <w:hideMark/>
          </w:tcPr>
          <w:p w14:paraId="141ABE00" w14:textId="77777777" w:rsidR="00221F1C" w:rsidRPr="00F55682" w:rsidRDefault="00221F1C">
            <w:pPr>
              <w:rPr>
                <w:rFonts w:ascii="Arial" w:eastAsia="Times New Roman" w:hAnsi="Arial" w:cs="Arial"/>
                <w:noProof/>
                <w:color w:val="000000"/>
                <w:sz w:val="16"/>
                <w:szCs w:val="16"/>
                <w:lang w:eastAsia="en-IE"/>
              </w:rPr>
            </w:pPr>
          </w:p>
        </w:tc>
        <w:tc>
          <w:tcPr>
            <w:tcW w:w="720" w:type="dxa"/>
            <w:tcBorders>
              <w:top w:val="nil"/>
              <w:left w:val="nil"/>
              <w:bottom w:val="single" w:sz="4" w:space="0" w:color="auto"/>
              <w:right w:val="single" w:sz="4" w:space="0" w:color="auto"/>
            </w:tcBorders>
            <w:noWrap/>
            <w:hideMark/>
          </w:tcPr>
          <w:p w14:paraId="60F7CE6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37,0 s</w:t>
            </w:r>
          </w:p>
        </w:tc>
        <w:tc>
          <w:tcPr>
            <w:tcW w:w="840" w:type="dxa"/>
            <w:tcBorders>
              <w:top w:val="nil"/>
              <w:left w:val="nil"/>
              <w:bottom w:val="single" w:sz="4" w:space="0" w:color="auto"/>
              <w:right w:val="single" w:sz="4" w:space="0" w:color="auto"/>
            </w:tcBorders>
            <w:noWrap/>
            <w:hideMark/>
          </w:tcPr>
          <w:p w14:paraId="1DB54AE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37,7 s</w:t>
            </w:r>
          </w:p>
        </w:tc>
        <w:tc>
          <w:tcPr>
            <w:tcW w:w="840" w:type="dxa"/>
            <w:tcBorders>
              <w:top w:val="nil"/>
              <w:left w:val="nil"/>
              <w:bottom w:val="single" w:sz="4" w:space="0" w:color="auto"/>
              <w:right w:val="single" w:sz="4" w:space="0" w:color="auto"/>
            </w:tcBorders>
            <w:noWrap/>
            <w:hideMark/>
          </w:tcPr>
          <w:p w14:paraId="4F07A72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78,5 s</w:t>
            </w:r>
          </w:p>
        </w:tc>
        <w:tc>
          <w:tcPr>
            <w:tcW w:w="750" w:type="dxa"/>
            <w:tcBorders>
              <w:top w:val="nil"/>
              <w:left w:val="nil"/>
              <w:bottom w:val="single" w:sz="4" w:space="0" w:color="auto"/>
              <w:right w:val="single" w:sz="4" w:space="0" w:color="auto"/>
            </w:tcBorders>
            <w:noWrap/>
            <w:hideMark/>
          </w:tcPr>
          <w:p w14:paraId="73A4938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77,5 s</w:t>
            </w:r>
          </w:p>
        </w:tc>
        <w:tc>
          <w:tcPr>
            <w:tcW w:w="839" w:type="dxa"/>
            <w:tcBorders>
              <w:top w:val="nil"/>
              <w:left w:val="nil"/>
              <w:bottom w:val="single" w:sz="4" w:space="0" w:color="auto"/>
              <w:right w:val="single" w:sz="4" w:space="0" w:color="auto"/>
            </w:tcBorders>
            <w:noWrap/>
            <w:hideMark/>
          </w:tcPr>
          <w:p w14:paraId="0BBD894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76,4 s</w:t>
            </w:r>
          </w:p>
        </w:tc>
        <w:tc>
          <w:tcPr>
            <w:tcW w:w="811" w:type="dxa"/>
            <w:tcBorders>
              <w:top w:val="nil"/>
              <w:left w:val="nil"/>
              <w:bottom w:val="single" w:sz="4" w:space="0" w:color="auto"/>
              <w:right w:val="single" w:sz="4" w:space="0" w:color="auto"/>
            </w:tcBorders>
            <w:noWrap/>
            <w:hideMark/>
          </w:tcPr>
          <w:p w14:paraId="01472E0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74,7 s</w:t>
            </w:r>
          </w:p>
        </w:tc>
        <w:tc>
          <w:tcPr>
            <w:tcW w:w="839" w:type="dxa"/>
            <w:tcBorders>
              <w:top w:val="nil"/>
              <w:left w:val="nil"/>
              <w:bottom w:val="single" w:sz="4" w:space="0" w:color="auto"/>
              <w:right w:val="single" w:sz="4" w:space="0" w:color="auto"/>
            </w:tcBorders>
            <w:noWrap/>
            <w:hideMark/>
          </w:tcPr>
          <w:p w14:paraId="22BC6F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66,3 s</w:t>
            </w:r>
          </w:p>
        </w:tc>
        <w:tc>
          <w:tcPr>
            <w:tcW w:w="750" w:type="dxa"/>
            <w:tcBorders>
              <w:top w:val="nil"/>
              <w:left w:val="nil"/>
              <w:bottom w:val="single" w:sz="4" w:space="0" w:color="auto"/>
              <w:right w:val="single" w:sz="4" w:space="0" w:color="auto"/>
            </w:tcBorders>
            <w:noWrap/>
            <w:hideMark/>
          </w:tcPr>
          <w:p w14:paraId="322153B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66,2 s</w:t>
            </w:r>
          </w:p>
        </w:tc>
        <w:tc>
          <w:tcPr>
            <w:tcW w:w="811" w:type="dxa"/>
            <w:tcBorders>
              <w:top w:val="nil"/>
              <w:left w:val="nil"/>
              <w:bottom w:val="single" w:sz="4" w:space="0" w:color="auto"/>
              <w:right w:val="single" w:sz="4" w:space="0" w:color="auto"/>
            </w:tcBorders>
            <w:noWrap/>
            <w:hideMark/>
          </w:tcPr>
          <w:p w14:paraId="439677A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42,2 s</w:t>
            </w:r>
          </w:p>
        </w:tc>
        <w:tc>
          <w:tcPr>
            <w:tcW w:w="839" w:type="dxa"/>
            <w:tcBorders>
              <w:top w:val="nil"/>
              <w:left w:val="nil"/>
              <w:bottom w:val="single" w:sz="4" w:space="0" w:color="auto"/>
              <w:right w:val="single" w:sz="4" w:space="0" w:color="auto"/>
            </w:tcBorders>
            <w:noWrap/>
            <w:hideMark/>
          </w:tcPr>
          <w:p w14:paraId="7E7918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41,1 s</w:t>
            </w:r>
          </w:p>
        </w:tc>
        <w:tc>
          <w:tcPr>
            <w:tcW w:w="839" w:type="dxa"/>
            <w:tcBorders>
              <w:top w:val="nil"/>
              <w:left w:val="nil"/>
              <w:bottom w:val="single" w:sz="4" w:space="0" w:color="auto"/>
              <w:right w:val="single" w:sz="4" w:space="0" w:color="auto"/>
            </w:tcBorders>
            <w:noWrap/>
            <w:hideMark/>
          </w:tcPr>
          <w:p w14:paraId="06B830A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72,3 s</w:t>
            </w:r>
          </w:p>
        </w:tc>
        <w:tc>
          <w:tcPr>
            <w:tcW w:w="722" w:type="dxa"/>
            <w:tcBorders>
              <w:top w:val="nil"/>
              <w:left w:val="nil"/>
              <w:bottom w:val="single" w:sz="4" w:space="0" w:color="auto"/>
              <w:right w:val="single" w:sz="4" w:space="0" w:color="auto"/>
            </w:tcBorders>
            <w:noWrap/>
            <w:hideMark/>
          </w:tcPr>
          <w:p w14:paraId="632F76D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72,4 s</w:t>
            </w:r>
          </w:p>
        </w:tc>
        <w:tc>
          <w:tcPr>
            <w:tcW w:w="720" w:type="dxa"/>
            <w:tcBorders>
              <w:top w:val="nil"/>
              <w:left w:val="nil"/>
              <w:bottom w:val="single" w:sz="4" w:space="0" w:color="auto"/>
              <w:right w:val="single" w:sz="4" w:space="0" w:color="auto"/>
            </w:tcBorders>
            <w:noWrap/>
            <w:hideMark/>
          </w:tcPr>
          <w:p w14:paraId="2EF01AA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33,2 s</w:t>
            </w:r>
          </w:p>
        </w:tc>
        <w:tc>
          <w:tcPr>
            <w:tcW w:w="840" w:type="dxa"/>
            <w:tcBorders>
              <w:top w:val="nil"/>
              <w:left w:val="nil"/>
              <w:bottom w:val="single" w:sz="4" w:space="0" w:color="auto"/>
              <w:right w:val="single" w:sz="4" w:space="0" w:color="auto"/>
            </w:tcBorders>
            <w:noWrap/>
            <w:hideMark/>
          </w:tcPr>
          <w:p w14:paraId="4C3C84F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34,5 s</w:t>
            </w:r>
          </w:p>
        </w:tc>
        <w:tc>
          <w:tcPr>
            <w:tcW w:w="840" w:type="dxa"/>
            <w:tcBorders>
              <w:top w:val="nil"/>
              <w:left w:val="nil"/>
              <w:bottom w:val="single" w:sz="4" w:space="0" w:color="auto"/>
              <w:right w:val="single" w:sz="4" w:space="0" w:color="auto"/>
            </w:tcBorders>
            <w:noWrap/>
            <w:hideMark/>
          </w:tcPr>
          <w:p w14:paraId="48C5C5F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664813C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0B232050" w14:textId="77777777" w:rsidTr="00221F1C">
        <w:trPr>
          <w:trHeight w:val="450"/>
        </w:trPr>
        <w:tc>
          <w:tcPr>
            <w:tcW w:w="2400" w:type="dxa"/>
            <w:tcBorders>
              <w:top w:val="nil"/>
              <w:left w:val="single" w:sz="4" w:space="0" w:color="auto"/>
              <w:bottom w:val="nil"/>
              <w:right w:val="single" w:sz="4" w:space="0" w:color="auto"/>
            </w:tcBorders>
            <w:hideMark/>
          </w:tcPr>
          <w:p w14:paraId="61E5D40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Udio uvoza iz zemalja EU-27 prema vrijednosti u ukupnom uvozu (%)</w:t>
            </w:r>
          </w:p>
        </w:tc>
        <w:tc>
          <w:tcPr>
            <w:tcW w:w="600" w:type="dxa"/>
            <w:tcBorders>
              <w:top w:val="nil"/>
              <w:left w:val="nil"/>
              <w:bottom w:val="single" w:sz="4" w:space="0" w:color="auto"/>
              <w:right w:val="single" w:sz="4" w:space="0" w:color="auto"/>
            </w:tcBorders>
            <w:hideMark/>
          </w:tcPr>
          <w:p w14:paraId="4903BEC6" w14:textId="77777777" w:rsidR="00221F1C" w:rsidRPr="00F55682" w:rsidRDefault="00221F1C">
            <w:pPr>
              <w:rPr>
                <w:rFonts w:ascii="Arial" w:eastAsia="Times New Roman" w:hAnsi="Arial" w:cs="Arial"/>
                <w:noProof/>
                <w:color w:val="000000"/>
                <w:sz w:val="16"/>
                <w:szCs w:val="16"/>
                <w:lang w:eastAsia="en-IE"/>
              </w:rPr>
            </w:pPr>
          </w:p>
        </w:tc>
        <w:tc>
          <w:tcPr>
            <w:tcW w:w="720" w:type="dxa"/>
            <w:tcBorders>
              <w:top w:val="nil"/>
              <w:left w:val="nil"/>
              <w:bottom w:val="single" w:sz="4" w:space="0" w:color="auto"/>
              <w:right w:val="single" w:sz="4" w:space="0" w:color="auto"/>
            </w:tcBorders>
            <w:noWrap/>
            <w:hideMark/>
          </w:tcPr>
          <w:p w14:paraId="2FBA8E8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47,0 s</w:t>
            </w:r>
          </w:p>
        </w:tc>
        <w:tc>
          <w:tcPr>
            <w:tcW w:w="840" w:type="dxa"/>
            <w:tcBorders>
              <w:top w:val="nil"/>
              <w:left w:val="nil"/>
              <w:bottom w:val="single" w:sz="4" w:space="0" w:color="auto"/>
              <w:right w:val="single" w:sz="4" w:space="0" w:color="auto"/>
            </w:tcBorders>
            <w:noWrap/>
            <w:hideMark/>
          </w:tcPr>
          <w:p w14:paraId="22FB317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44,2 s</w:t>
            </w:r>
          </w:p>
        </w:tc>
        <w:tc>
          <w:tcPr>
            <w:tcW w:w="840" w:type="dxa"/>
            <w:tcBorders>
              <w:top w:val="nil"/>
              <w:left w:val="nil"/>
              <w:bottom w:val="single" w:sz="4" w:space="0" w:color="auto"/>
              <w:right w:val="single" w:sz="4" w:space="0" w:color="auto"/>
            </w:tcBorders>
            <w:noWrap/>
            <w:hideMark/>
          </w:tcPr>
          <w:p w14:paraId="19A5098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50,8 s</w:t>
            </w:r>
          </w:p>
        </w:tc>
        <w:tc>
          <w:tcPr>
            <w:tcW w:w="750" w:type="dxa"/>
            <w:tcBorders>
              <w:top w:val="nil"/>
              <w:left w:val="nil"/>
              <w:bottom w:val="single" w:sz="4" w:space="0" w:color="auto"/>
              <w:right w:val="single" w:sz="4" w:space="0" w:color="auto"/>
            </w:tcBorders>
            <w:noWrap/>
            <w:hideMark/>
          </w:tcPr>
          <w:p w14:paraId="6B6A75F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46,3 s</w:t>
            </w:r>
          </w:p>
        </w:tc>
        <w:tc>
          <w:tcPr>
            <w:tcW w:w="839" w:type="dxa"/>
            <w:tcBorders>
              <w:top w:val="nil"/>
              <w:left w:val="nil"/>
              <w:bottom w:val="single" w:sz="4" w:space="0" w:color="auto"/>
              <w:right w:val="single" w:sz="4" w:space="0" w:color="auto"/>
            </w:tcBorders>
            <w:noWrap/>
            <w:hideMark/>
          </w:tcPr>
          <w:p w14:paraId="6E3BCE2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57,7 s</w:t>
            </w:r>
          </w:p>
        </w:tc>
        <w:tc>
          <w:tcPr>
            <w:tcW w:w="811" w:type="dxa"/>
            <w:tcBorders>
              <w:top w:val="nil"/>
              <w:left w:val="nil"/>
              <w:bottom w:val="single" w:sz="4" w:space="0" w:color="auto"/>
              <w:right w:val="single" w:sz="4" w:space="0" w:color="auto"/>
            </w:tcBorders>
            <w:noWrap/>
            <w:hideMark/>
          </w:tcPr>
          <w:p w14:paraId="0761B1E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57,9 s</w:t>
            </w:r>
          </w:p>
        </w:tc>
        <w:tc>
          <w:tcPr>
            <w:tcW w:w="839" w:type="dxa"/>
            <w:tcBorders>
              <w:top w:val="nil"/>
              <w:left w:val="nil"/>
              <w:bottom w:val="single" w:sz="4" w:space="0" w:color="auto"/>
              <w:right w:val="single" w:sz="4" w:space="0" w:color="auto"/>
            </w:tcBorders>
            <w:noWrap/>
            <w:hideMark/>
          </w:tcPr>
          <w:p w14:paraId="49F384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54,7 s</w:t>
            </w:r>
          </w:p>
        </w:tc>
        <w:tc>
          <w:tcPr>
            <w:tcW w:w="750" w:type="dxa"/>
            <w:tcBorders>
              <w:top w:val="nil"/>
              <w:left w:val="nil"/>
              <w:bottom w:val="single" w:sz="4" w:space="0" w:color="auto"/>
              <w:right w:val="single" w:sz="4" w:space="0" w:color="auto"/>
            </w:tcBorders>
            <w:noWrap/>
            <w:hideMark/>
          </w:tcPr>
          <w:p w14:paraId="1E264D9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55,7 s</w:t>
            </w:r>
          </w:p>
        </w:tc>
        <w:tc>
          <w:tcPr>
            <w:tcW w:w="811" w:type="dxa"/>
            <w:tcBorders>
              <w:top w:val="nil"/>
              <w:left w:val="nil"/>
              <w:bottom w:val="single" w:sz="4" w:space="0" w:color="auto"/>
              <w:right w:val="single" w:sz="4" w:space="0" w:color="auto"/>
            </w:tcBorders>
            <w:noWrap/>
            <w:hideMark/>
          </w:tcPr>
          <w:p w14:paraId="3E7B83B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31,6 s</w:t>
            </w:r>
          </w:p>
        </w:tc>
        <w:tc>
          <w:tcPr>
            <w:tcW w:w="839" w:type="dxa"/>
            <w:tcBorders>
              <w:top w:val="nil"/>
              <w:left w:val="nil"/>
              <w:bottom w:val="single" w:sz="4" w:space="0" w:color="auto"/>
              <w:right w:val="single" w:sz="4" w:space="0" w:color="auto"/>
            </w:tcBorders>
            <w:noWrap/>
            <w:hideMark/>
          </w:tcPr>
          <w:p w14:paraId="237969A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33,1 s</w:t>
            </w:r>
          </w:p>
        </w:tc>
        <w:tc>
          <w:tcPr>
            <w:tcW w:w="839" w:type="dxa"/>
            <w:tcBorders>
              <w:top w:val="nil"/>
              <w:left w:val="nil"/>
              <w:bottom w:val="single" w:sz="4" w:space="0" w:color="auto"/>
              <w:right w:val="single" w:sz="4" w:space="0" w:color="auto"/>
            </w:tcBorders>
            <w:noWrap/>
            <w:hideMark/>
          </w:tcPr>
          <w:p w14:paraId="03D7523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61,1 s</w:t>
            </w:r>
          </w:p>
        </w:tc>
        <w:tc>
          <w:tcPr>
            <w:tcW w:w="722" w:type="dxa"/>
            <w:tcBorders>
              <w:top w:val="nil"/>
              <w:left w:val="nil"/>
              <w:bottom w:val="single" w:sz="4" w:space="0" w:color="auto"/>
              <w:right w:val="single" w:sz="4" w:space="0" w:color="auto"/>
            </w:tcBorders>
            <w:noWrap/>
            <w:hideMark/>
          </w:tcPr>
          <w:p w14:paraId="767A997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60,8 s</w:t>
            </w:r>
          </w:p>
        </w:tc>
        <w:tc>
          <w:tcPr>
            <w:tcW w:w="720" w:type="dxa"/>
            <w:tcBorders>
              <w:top w:val="nil"/>
              <w:left w:val="nil"/>
              <w:bottom w:val="single" w:sz="4" w:space="0" w:color="auto"/>
              <w:right w:val="single" w:sz="4" w:space="0" w:color="auto"/>
            </w:tcBorders>
            <w:noWrap/>
            <w:hideMark/>
          </w:tcPr>
          <w:p w14:paraId="585E69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49,1 s</w:t>
            </w:r>
          </w:p>
        </w:tc>
        <w:tc>
          <w:tcPr>
            <w:tcW w:w="840" w:type="dxa"/>
            <w:tcBorders>
              <w:top w:val="nil"/>
              <w:left w:val="nil"/>
              <w:bottom w:val="single" w:sz="4" w:space="0" w:color="auto"/>
              <w:right w:val="single" w:sz="4" w:space="0" w:color="auto"/>
            </w:tcBorders>
            <w:noWrap/>
            <w:hideMark/>
          </w:tcPr>
          <w:p w14:paraId="3914B6D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45,8 s</w:t>
            </w:r>
          </w:p>
        </w:tc>
        <w:tc>
          <w:tcPr>
            <w:tcW w:w="840" w:type="dxa"/>
            <w:tcBorders>
              <w:top w:val="nil"/>
              <w:left w:val="nil"/>
              <w:bottom w:val="single" w:sz="4" w:space="0" w:color="auto"/>
              <w:right w:val="single" w:sz="4" w:space="0" w:color="auto"/>
            </w:tcBorders>
            <w:noWrap/>
            <w:hideMark/>
          </w:tcPr>
          <w:p w14:paraId="6AB7758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1B25907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6E0F3DCC" w14:textId="77777777" w:rsidTr="00221F1C">
        <w:trPr>
          <w:trHeight w:val="225"/>
        </w:trPr>
        <w:tc>
          <w:tcPr>
            <w:tcW w:w="2400" w:type="dxa"/>
            <w:tcBorders>
              <w:top w:val="single" w:sz="4" w:space="0" w:color="auto"/>
              <w:left w:val="single" w:sz="4" w:space="0" w:color="auto"/>
              <w:bottom w:val="single" w:sz="4" w:space="0" w:color="auto"/>
              <w:right w:val="single" w:sz="4" w:space="0" w:color="auto"/>
            </w:tcBorders>
            <w:hideMark/>
          </w:tcPr>
          <w:p w14:paraId="5D9B47B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Trgovinska bilanca (u milijunima EUR)</w:t>
            </w:r>
          </w:p>
        </w:tc>
        <w:tc>
          <w:tcPr>
            <w:tcW w:w="600" w:type="dxa"/>
            <w:tcBorders>
              <w:top w:val="nil"/>
              <w:left w:val="nil"/>
              <w:bottom w:val="single" w:sz="4" w:space="0" w:color="auto"/>
              <w:right w:val="single" w:sz="4" w:space="0" w:color="auto"/>
            </w:tcBorders>
            <w:hideMark/>
          </w:tcPr>
          <w:p w14:paraId="291A5F11"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73BDDC2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–2 185</w:t>
            </w:r>
          </w:p>
        </w:tc>
        <w:tc>
          <w:tcPr>
            <w:tcW w:w="840" w:type="dxa"/>
            <w:tcBorders>
              <w:top w:val="nil"/>
              <w:left w:val="nil"/>
              <w:bottom w:val="single" w:sz="4" w:space="0" w:color="auto"/>
              <w:right w:val="single" w:sz="4" w:space="0" w:color="auto"/>
            </w:tcBorders>
            <w:noWrap/>
            <w:hideMark/>
          </w:tcPr>
          <w:p w14:paraId="55B2A65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–1 739</w:t>
            </w:r>
          </w:p>
        </w:tc>
        <w:tc>
          <w:tcPr>
            <w:tcW w:w="840" w:type="dxa"/>
            <w:tcBorders>
              <w:top w:val="nil"/>
              <w:left w:val="nil"/>
              <w:bottom w:val="single" w:sz="4" w:space="0" w:color="auto"/>
              <w:right w:val="single" w:sz="4" w:space="0" w:color="auto"/>
            </w:tcBorders>
            <w:noWrap/>
            <w:hideMark/>
          </w:tcPr>
          <w:p w14:paraId="41A54FF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–2 040</w:t>
            </w:r>
          </w:p>
        </w:tc>
        <w:tc>
          <w:tcPr>
            <w:tcW w:w="750" w:type="dxa"/>
            <w:tcBorders>
              <w:top w:val="nil"/>
              <w:left w:val="nil"/>
              <w:bottom w:val="single" w:sz="4" w:space="0" w:color="auto"/>
              <w:right w:val="single" w:sz="4" w:space="0" w:color="auto"/>
            </w:tcBorders>
            <w:noWrap/>
            <w:hideMark/>
          </w:tcPr>
          <w:p w14:paraId="7DF9C58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–1 818</w:t>
            </w:r>
          </w:p>
        </w:tc>
        <w:tc>
          <w:tcPr>
            <w:tcW w:w="839" w:type="dxa"/>
            <w:tcBorders>
              <w:top w:val="nil"/>
              <w:left w:val="nil"/>
              <w:bottom w:val="single" w:sz="4" w:space="0" w:color="auto"/>
              <w:right w:val="single" w:sz="4" w:space="0" w:color="auto"/>
            </w:tcBorders>
            <w:noWrap/>
            <w:hideMark/>
          </w:tcPr>
          <w:p w14:paraId="721C47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–2 843</w:t>
            </w:r>
          </w:p>
        </w:tc>
        <w:tc>
          <w:tcPr>
            <w:tcW w:w="811" w:type="dxa"/>
            <w:tcBorders>
              <w:top w:val="nil"/>
              <w:left w:val="nil"/>
              <w:bottom w:val="single" w:sz="4" w:space="0" w:color="auto"/>
              <w:right w:val="single" w:sz="4" w:space="0" w:color="auto"/>
            </w:tcBorders>
            <w:noWrap/>
            <w:hideMark/>
          </w:tcPr>
          <w:p w14:paraId="41E74A4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–2 670</w:t>
            </w:r>
          </w:p>
        </w:tc>
        <w:tc>
          <w:tcPr>
            <w:tcW w:w="839" w:type="dxa"/>
            <w:tcBorders>
              <w:top w:val="nil"/>
              <w:left w:val="nil"/>
              <w:bottom w:val="single" w:sz="4" w:space="0" w:color="auto"/>
              <w:right w:val="single" w:sz="4" w:space="0" w:color="auto"/>
            </w:tcBorders>
            <w:noWrap/>
            <w:hideMark/>
          </w:tcPr>
          <w:p w14:paraId="61197DC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–5 356</w:t>
            </w:r>
          </w:p>
        </w:tc>
        <w:tc>
          <w:tcPr>
            <w:tcW w:w="750" w:type="dxa"/>
            <w:tcBorders>
              <w:top w:val="nil"/>
              <w:left w:val="nil"/>
              <w:bottom w:val="single" w:sz="4" w:space="0" w:color="auto"/>
              <w:right w:val="single" w:sz="4" w:space="0" w:color="auto"/>
            </w:tcBorders>
            <w:noWrap/>
            <w:hideMark/>
          </w:tcPr>
          <w:p w14:paraId="29FA278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–4 981</w:t>
            </w:r>
          </w:p>
        </w:tc>
        <w:tc>
          <w:tcPr>
            <w:tcW w:w="811" w:type="dxa"/>
            <w:tcBorders>
              <w:top w:val="nil"/>
              <w:left w:val="nil"/>
              <w:bottom w:val="single" w:sz="4" w:space="0" w:color="auto"/>
              <w:right w:val="single" w:sz="4" w:space="0" w:color="auto"/>
            </w:tcBorders>
            <w:noWrap/>
            <w:hideMark/>
          </w:tcPr>
          <w:p w14:paraId="7CCB851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–27 836</w:t>
            </w:r>
          </w:p>
        </w:tc>
        <w:tc>
          <w:tcPr>
            <w:tcW w:w="839" w:type="dxa"/>
            <w:tcBorders>
              <w:top w:val="nil"/>
              <w:left w:val="nil"/>
              <w:bottom w:val="single" w:sz="4" w:space="0" w:color="auto"/>
              <w:right w:val="single" w:sz="4" w:space="0" w:color="auto"/>
            </w:tcBorders>
            <w:noWrap/>
            <w:hideMark/>
          </w:tcPr>
          <w:p w14:paraId="26BE9B4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–42 293</w:t>
            </w:r>
          </w:p>
        </w:tc>
        <w:tc>
          <w:tcPr>
            <w:tcW w:w="839" w:type="dxa"/>
            <w:tcBorders>
              <w:top w:val="nil"/>
              <w:left w:val="nil"/>
              <w:bottom w:val="single" w:sz="4" w:space="0" w:color="auto"/>
              <w:right w:val="single" w:sz="4" w:space="0" w:color="auto"/>
            </w:tcBorders>
            <w:noWrap/>
            <w:hideMark/>
          </w:tcPr>
          <w:p w14:paraId="7957C27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–4 093</w:t>
            </w:r>
          </w:p>
        </w:tc>
        <w:tc>
          <w:tcPr>
            <w:tcW w:w="722" w:type="dxa"/>
            <w:tcBorders>
              <w:top w:val="nil"/>
              <w:left w:val="nil"/>
              <w:bottom w:val="single" w:sz="4" w:space="0" w:color="auto"/>
              <w:right w:val="single" w:sz="4" w:space="0" w:color="auto"/>
            </w:tcBorders>
            <w:noWrap/>
            <w:hideMark/>
          </w:tcPr>
          <w:p w14:paraId="36CB461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–3 254</w:t>
            </w:r>
          </w:p>
        </w:tc>
        <w:tc>
          <w:tcPr>
            <w:tcW w:w="720" w:type="dxa"/>
            <w:tcBorders>
              <w:top w:val="nil"/>
              <w:left w:val="nil"/>
              <w:bottom w:val="single" w:sz="4" w:space="0" w:color="auto"/>
              <w:right w:val="single" w:sz="4" w:space="0" w:color="auto"/>
            </w:tcBorders>
            <w:noWrap/>
            <w:hideMark/>
          </w:tcPr>
          <w:p w14:paraId="2F4D911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–3 114</w:t>
            </w:r>
          </w:p>
        </w:tc>
        <w:tc>
          <w:tcPr>
            <w:tcW w:w="840" w:type="dxa"/>
            <w:tcBorders>
              <w:top w:val="nil"/>
              <w:left w:val="nil"/>
              <w:bottom w:val="single" w:sz="4" w:space="0" w:color="auto"/>
              <w:right w:val="single" w:sz="4" w:space="0" w:color="auto"/>
            </w:tcBorders>
            <w:noWrap/>
            <w:hideMark/>
          </w:tcPr>
          <w:p w14:paraId="4DC3EE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–2 822</w:t>
            </w:r>
          </w:p>
        </w:tc>
        <w:tc>
          <w:tcPr>
            <w:tcW w:w="840" w:type="dxa"/>
            <w:tcBorders>
              <w:top w:val="nil"/>
              <w:left w:val="nil"/>
              <w:bottom w:val="single" w:sz="4" w:space="0" w:color="auto"/>
              <w:right w:val="single" w:sz="4" w:space="0" w:color="auto"/>
            </w:tcBorders>
            <w:noWrap/>
            <w:hideMark/>
          </w:tcPr>
          <w:p w14:paraId="70B1F68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 xml:space="preserve">     191,129 </w:t>
            </w:r>
          </w:p>
        </w:tc>
        <w:tc>
          <w:tcPr>
            <w:tcW w:w="840" w:type="dxa"/>
            <w:tcBorders>
              <w:top w:val="nil"/>
              <w:left w:val="nil"/>
              <w:bottom w:val="single" w:sz="4" w:space="0" w:color="auto"/>
              <w:right w:val="single" w:sz="4" w:space="0" w:color="auto"/>
            </w:tcBorders>
            <w:noWrap/>
            <w:hideMark/>
          </w:tcPr>
          <w:p w14:paraId="764C741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 xml:space="preserve">       215,751 </w:t>
            </w:r>
          </w:p>
        </w:tc>
      </w:tr>
      <w:tr w:rsidR="00221F1C" w14:paraId="7C653FD9"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59C29D0A"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Međunarodna trgovina robom i uslugama u odnosu na BDP</w:t>
            </w:r>
          </w:p>
        </w:tc>
        <w:tc>
          <w:tcPr>
            <w:tcW w:w="600" w:type="dxa"/>
            <w:tcBorders>
              <w:top w:val="nil"/>
              <w:left w:val="nil"/>
              <w:bottom w:val="single" w:sz="4" w:space="0" w:color="auto"/>
              <w:right w:val="single" w:sz="4" w:space="0" w:color="auto"/>
            </w:tcBorders>
            <w:hideMark/>
          </w:tcPr>
          <w:p w14:paraId="1A0F720F" w14:textId="77777777" w:rsidR="00221F1C" w:rsidRDefault="00221F1C">
            <w:pPr>
              <w:rPr>
                <w:rFonts w:ascii="Arial" w:eastAsia="Times New Roman" w:hAnsi="Arial" w:cs="Arial"/>
                <w:noProof/>
                <w:color w:val="000000"/>
                <w:sz w:val="16"/>
                <w:szCs w:val="16"/>
                <w:lang w:eastAsia="zh-CN"/>
              </w:rPr>
            </w:pPr>
          </w:p>
        </w:tc>
        <w:tc>
          <w:tcPr>
            <w:tcW w:w="720" w:type="dxa"/>
            <w:tcBorders>
              <w:top w:val="nil"/>
              <w:left w:val="nil"/>
              <w:bottom w:val="single" w:sz="4" w:space="0" w:color="auto"/>
              <w:right w:val="nil"/>
            </w:tcBorders>
            <w:noWrap/>
            <w:hideMark/>
          </w:tcPr>
          <w:p w14:paraId="5D9772BA" w14:textId="77777777" w:rsidR="00221F1C" w:rsidRPr="00F55682" w:rsidRDefault="00221F1C">
            <w:pPr>
              <w:spacing w:after="0"/>
              <w:rPr>
                <w:noProof/>
                <w:sz w:val="20"/>
                <w:szCs w:val="20"/>
                <w:lang w:eastAsia="en-IE"/>
              </w:rPr>
            </w:pPr>
          </w:p>
        </w:tc>
        <w:tc>
          <w:tcPr>
            <w:tcW w:w="840" w:type="dxa"/>
            <w:tcBorders>
              <w:top w:val="nil"/>
              <w:left w:val="nil"/>
              <w:bottom w:val="single" w:sz="4" w:space="0" w:color="auto"/>
              <w:right w:val="nil"/>
            </w:tcBorders>
            <w:noWrap/>
            <w:hideMark/>
          </w:tcPr>
          <w:p w14:paraId="16193C23" w14:textId="77777777" w:rsidR="00221F1C" w:rsidRPr="00F55682" w:rsidRDefault="00221F1C">
            <w:pPr>
              <w:spacing w:after="0"/>
              <w:rPr>
                <w:noProof/>
                <w:sz w:val="20"/>
                <w:szCs w:val="20"/>
                <w:lang w:eastAsia="en-IE"/>
              </w:rPr>
            </w:pPr>
          </w:p>
        </w:tc>
        <w:tc>
          <w:tcPr>
            <w:tcW w:w="840" w:type="dxa"/>
            <w:tcBorders>
              <w:top w:val="nil"/>
              <w:left w:val="nil"/>
              <w:bottom w:val="single" w:sz="4" w:space="0" w:color="auto"/>
              <w:right w:val="nil"/>
            </w:tcBorders>
            <w:noWrap/>
            <w:hideMark/>
          </w:tcPr>
          <w:p w14:paraId="6124DA23" w14:textId="77777777" w:rsidR="00221F1C" w:rsidRPr="00F55682" w:rsidRDefault="00221F1C">
            <w:pPr>
              <w:spacing w:after="0"/>
              <w:rPr>
                <w:noProof/>
                <w:sz w:val="20"/>
                <w:szCs w:val="20"/>
                <w:lang w:eastAsia="en-IE"/>
              </w:rPr>
            </w:pPr>
          </w:p>
        </w:tc>
        <w:tc>
          <w:tcPr>
            <w:tcW w:w="750" w:type="dxa"/>
            <w:tcBorders>
              <w:top w:val="nil"/>
              <w:left w:val="nil"/>
              <w:bottom w:val="single" w:sz="4" w:space="0" w:color="auto"/>
              <w:right w:val="nil"/>
            </w:tcBorders>
            <w:noWrap/>
            <w:hideMark/>
          </w:tcPr>
          <w:p w14:paraId="5DD15F3C" w14:textId="77777777" w:rsidR="00221F1C" w:rsidRPr="00F55682" w:rsidRDefault="00221F1C">
            <w:pPr>
              <w:spacing w:after="0"/>
              <w:rPr>
                <w:noProof/>
                <w:sz w:val="20"/>
                <w:szCs w:val="20"/>
                <w:lang w:eastAsia="en-IE"/>
              </w:rPr>
            </w:pPr>
          </w:p>
        </w:tc>
        <w:tc>
          <w:tcPr>
            <w:tcW w:w="839" w:type="dxa"/>
            <w:tcBorders>
              <w:top w:val="nil"/>
              <w:left w:val="nil"/>
              <w:bottom w:val="single" w:sz="4" w:space="0" w:color="auto"/>
              <w:right w:val="nil"/>
            </w:tcBorders>
            <w:noWrap/>
            <w:hideMark/>
          </w:tcPr>
          <w:p w14:paraId="443F5790" w14:textId="77777777" w:rsidR="00221F1C" w:rsidRPr="00F55682" w:rsidRDefault="00221F1C">
            <w:pPr>
              <w:spacing w:after="0"/>
              <w:rPr>
                <w:noProof/>
                <w:sz w:val="20"/>
                <w:szCs w:val="20"/>
                <w:lang w:eastAsia="en-IE"/>
              </w:rPr>
            </w:pPr>
          </w:p>
        </w:tc>
        <w:tc>
          <w:tcPr>
            <w:tcW w:w="811" w:type="dxa"/>
            <w:tcBorders>
              <w:top w:val="nil"/>
              <w:left w:val="nil"/>
              <w:bottom w:val="single" w:sz="4" w:space="0" w:color="auto"/>
              <w:right w:val="nil"/>
            </w:tcBorders>
            <w:noWrap/>
            <w:hideMark/>
          </w:tcPr>
          <w:p w14:paraId="4D0F1630" w14:textId="77777777" w:rsidR="00221F1C" w:rsidRPr="00F55682" w:rsidRDefault="00221F1C">
            <w:pPr>
              <w:spacing w:after="0"/>
              <w:rPr>
                <w:noProof/>
                <w:sz w:val="20"/>
                <w:szCs w:val="20"/>
                <w:lang w:eastAsia="en-IE"/>
              </w:rPr>
            </w:pPr>
          </w:p>
        </w:tc>
        <w:tc>
          <w:tcPr>
            <w:tcW w:w="839" w:type="dxa"/>
            <w:tcBorders>
              <w:top w:val="nil"/>
              <w:left w:val="nil"/>
              <w:bottom w:val="single" w:sz="4" w:space="0" w:color="auto"/>
              <w:right w:val="nil"/>
            </w:tcBorders>
            <w:noWrap/>
            <w:hideMark/>
          </w:tcPr>
          <w:p w14:paraId="56D31856" w14:textId="77777777" w:rsidR="00221F1C" w:rsidRPr="00F55682" w:rsidRDefault="00221F1C">
            <w:pPr>
              <w:spacing w:after="0"/>
              <w:rPr>
                <w:noProof/>
                <w:sz w:val="20"/>
                <w:szCs w:val="20"/>
                <w:lang w:eastAsia="en-IE"/>
              </w:rPr>
            </w:pPr>
          </w:p>
        </w:tc>
        <w:tc>
          <w:tcPr>
            <w:tcW w:w="750" w:type="dxa"/>
            <w:tcBorders>
              <w:top w:val="nil"/>
              <w:left w:val="nil"/>
              <w:bottom w:val="single" w:sz="4" w:space="0" w:color="auto"/>
              <w:right w:val="nil"/>
            </w:tcBorders>
            <w:noWrap/>
            <w:hideMark/>
          </w:tcPr>
          <w:p w14:paraId="7B598078" w14:textId="77777777" w:rsidR="00221F1C" w:rsidRPr="00F55682" w:rsidRDefault="00221F1C">
            <w:pPr>
              <w:spacing w:after="0"/>
              <w:rPr>
                <w:noProof/>
                <w:sz w:val="20"/>
                <w:szCs w:val="20"/>
                <w:lang w:eastAsia="en-IE"/>
              </w:rPr>
            </w:pPr>
          </w:p>
        </w:tc>
        <w:tc>
          <w:tcPr>
            <w:tcW w:w="811" w:type="dxa"/>
            <w:tcBorders>
              <w:top w:val="nil"/>
              <w:left w:val="nil"/>
              <w:bottom w:val="single" w:sz="4" w:space="0" w:color="auto"/>
              <w:right w:val="nil"/>
            </w:tcBorders>
            <w:noWrap/>
            <w:hideMark/>
          </w:tcPr>
          <w:p w14:paraId="33A264A5" w14:textId="77777777" w:rsidR="00221F1C" w:rsidRPr="00F55682" w:rsidRDefault="00221F1C">
            <w:pPr>
              <w:spacing w:after="0"/>
              <w:rPr>
                <w:noProof/>
                <w:sz w:val="20"/>
                <w:szCs w:val="20"/>
                <w:lang w:eastAsia="en-IE"/>
              </w:rPr>
            </w:pPr>
          </w:p>
        </w:tc>
        <w:tc>
          <w:tcPr>
            <w:tcW w:w="839" w:type="dxa"/>
            <w:tcBorders>
              <w:top w:val="nil"/>
              <w:left w:val="nil"/>
              <w:bottom w:val="single" w:sz="4" w:space="0" w:color="auto"/>
              <w:right w:val="nil"/>
            </w:tcBorders>
            <w:noWrap/>
            <w:hideMark/>
          </w:tcPr>
          <w:p w14:paraId="77FBDAE4" w14:textId="77777777" w:rsidR="00221F1C" w:rsidRPr="00F55682" w:rsidRDefault="00221F1C">
            <w:pPr>
              <w:spacing w:after="0"/>
              <w:rPr>
                <w:noProof/>
                <w:sz w:val="20"/>
                <w:szCs w:val="20"/>
                <w:lang w:eastAsia="en-IE"/>
              </w:rPr>
            </w:pPr>
          </w:p>
        </w:tc>
        <w:tc>
          <w:tcPr>
            <w:tcW w:w="839" w:type="dxa"/>
            <w:tcBorders>
              <w:top w:val="nil"/>
              <w:left w:val="nil"/>
              <w:bottom w:val="single" w:sz="4" w:space="0" w:color="auto"/>
              <w:right w:val="nil"/>
            </w:tcBorders>
            <w:noWrap/>
            <w:hideMark/>
          </w:tcPr>
          <w:p w14:paraId="14094B93" w14:textId="77777777" w:rsidR="00221F1C" w:rsidRPr="00F55682" w:rsidRDefault="00221F1C">
            <w:pPr>
              <w:spacing w:after="0"/>
              <w:rPr>
                <w:noProof/>
                <w:sz w:val="20"/>
                <w:szCs w:val="20"/>
                <w:lang w:eastAsia="en-IE"/>
              </w:rPr>
            </w:pPr>
          </w:p>
        </w:tc>
        <w:tc>
          <w:tcPr>
            <w:tcW w:w="722" w:type="dxa"/>
            <w:tcBorders>
              <w:top w:val="nil"/>
              <w:left w:val="nil"/>
              <w:bottom w:val="single" w:sz="4" w:space="0" w:color="auto"/>
              <w:right w:val="nil"/>
            </w:tcBorders>
            <w:noWrap/>
            <w:hideMark/>
          </w:tcPr>
          <w:p w14:paraId="43A50BDC" w14:textId="77777777" w:rsidR="00221F1C" w:rsidRPr="00F55682" w:rsidRDefault="00221F1C">
            <w:pPr>
              <w:spacing w:after="0"/>
              <w:rPr>
                <w:noProof/>
                <w:sz w:val="20"/>
                <w:szCs w:val="20"/>
                <w:lang w:eastAsia="en-IE"/>
              </w:rPr>
            </w:pPr>
          </w:p>
        </w:tc>
        <w:tc>
          <w:tcPr>
            <w:tcW w:w="720" w:type="dxa"/>
            <w:tcBorders>
              <w:top w:val="nil"/>
              <w:left w:val="nil"/>
              <w:bottom w:val="single" w:sz="4" w:space="0" w:color="auto"/>
              <w:right w:val="nil"/>
            </w:tcBorders>
            <w:noWrap/>
            <w:hideMark/>
          </w:tcPr>
          <w:p w14:paraId="2DC4DF60" w14:textId="77777777" w:rsidR="00221F1C" w:rsidRPr="00F55682" w:rsidRDefault="00221F1C">
            <w:pPr>
              <w:spacing w:after="0"/>
              <w:rPr>
                <w:noProof/>
                <w:sz w:val="20"/>
                <w:szCs w:val="20"/>
                <w:lang w:eastAsia="en-IE"/>
              </w:rPr>
            </w:pPr>
          </w:p>
        </w:tc>
        <w:tc>
          <w:tcPr>
            <w:tcW w:w="840" w:type="dxa"/>
            <w:tcBorders>
              <w:top w:val="nil"/>
              <w:left w:val="nil"/>
              <w:bottom w:val="single" w:sz="4" w:space="0" w:color="auto"/>
              <w:right w:val="nil"/>
            </w:tcBorders>
            <w:noWrap/>
            <w:hideMark/>
          </w:tcPr>
          <w:p w14:paraId="74BA214A" w14:textId="77777777" w:rsidR="00221F1C" w:rsidRPr="00F55682" w:rsidRDefault="00221F1C">
            <w:pPr>
              <w:spacing w:after="0"/>
              <w:rPr>
                <w:noProof/>
                <w:sz w:val="20"/>
                <w:szCs w:val="20"/>
                <w:lang w:eastAsia="en-IE"/>
              </w:rPr>
            </w:pPr>
          </w:p>
        </w:tc>
        <w:tc>
          <w:tcPr>
            <w:tcW w:w="840" w:type="dxa"/>
            <w:noWrap/>
            <w:hideMark/>
          </w:tcPr>
          <w:p w14:paraId="239C15A9" w14:textId="77777777" w:rsidR="00221F1C" w:rsidRPr="00F55682" w:rsidRDefault="00221F1C">
            <w:pPr>
              <w:spacing w:after="0"/>
              <w:rPr>
                <w:noProof/>
                <w:sz w:val="20"/>
                <w:szCs w:val="20"/>
                <w:lang w:eastAsia="en-IE"/>
              </w:rPr>
            </w:pPr>
          </w:p>
        </w:tc>
        <w:tc>
          <w:tcPr>
            <w:tcW w:w="840" w:type="dxa"/>
            <w:noWrap/>
            <w:hideMark/>
          </w:tcPr>
          <w:p w14:paraId="35F7BEF3" w14:textId="77777777" w:rsidR="00221F1C" w:rsidRPr="00F55682" w:rsidRDefault="00221F1C">
            <w:pPr>
              <w:spacing w:after="0"/>
              <w:rPr>
                <w:noProof/>
                <w:sz w:val="20"/>
                <w:szCs w:val="20"/>
                <w:lang w:eastAsia="en-IE"/>
              </w:rPr>
            </w:pPr>
          </w:p>
        </w:tc>
      </w:tr>
      <w:tr w:rsidR="00221F1C" w14:paraId="10E4A0D5"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534F6449"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Uvoz (% BDP-a)</w:t>
            </w:r>
          </w:p>
        </w:tc>
        <w:tc>
          <w:tcPr>
            <w:tcW w:w="600" w:type="dxa"/>
            <w:tcBorders>
              <w:top w:val="nil"/>
              <w:left w:val="nil"/>
              <w:bottom w:val="single" w:sz="4" w:space="0" w:color="auto"/>
              <w:right w:val="single" w:sz="4" w:space="0" w:color="auto"/>
            </w:tcBorders>
            <w:hideMark/>
          </w:tcPr>
          <w:p w14:paraId="27C7397C"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20F5124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65,0</w:t>
            </w:r>
          </w:p>
        </w:tc>
        <w:tc>
          <w:tcPr>
            <w:tcW w:w="840" w:type="dxa"/>
            <w:tcBorders>
              <w:top w:val="nil"/>
              <w:left w:val="nil"/>
              <w:bottom w:val="single" w:sz="4" w:space="0" w:color="auto"/>
              <w:right w:val="single" w:sz="4" w:space="0" w:color="auto"/>
            </w:tcBorders>
            <w:noWrap/>
            <w:hideMark/>
          </w:tcPr>
          <w:p w14:paraId="74CB0B8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61,0</w:t>
            </w:r>
          </w:p>
        </w:tc>
        <w:tc>
          <w:tcPr>
            <w:tcW w:w="840" w:type="dxa"/>
            <w:tcBorders>
              <w:top w:val="nil"/>
              <w:left w:val="nil"/>
              <w:bottom w:val="single" w:sz="4" w:space="0" w:color="auto"/>
              <w:right w:val="single" w:sz="4" w:space="0" w:color="auto"/>
            </w:tcBorders>
            <w:noWrap/>
            <w:hideMark/>
          </w:tcPr>
          <w:p w14:paraId="2C861CC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76,2</w:t>
            </w:r>
          </w:p>
        </w:tc>
        <w:tc>
          <w:tcPr>
            <w:tcW w:w="750" w:type="dxa"/>
            <w:tcBorders>
              <w:top w:val="nil"/>
              <w:left w:val="nil"/>
              <w:bottom w:val="single" w:sz="4" w:space="0" w:color="auto"/>
              <w:right w:val="single" w:sz="4" w:space="0" w:color="auto"/>
            </w:tcBorders>
            <w:noWrap/>
            <w:hideMark/>
          </w:tcPr>
          <w:p w14:paraId="300BA78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71,9 p</w:t>
            </w:r>
          </w:p>
        </w:tc>
        <w:tc>
          <w:tcPr>
            <w:tcW w:w="839" w:type="dxa"/>
            <w:tcBorders>
              <w:top w:val="nil"/>
              <w:left w:val="nil"/>
              <w:bottom w:val="single" w:sz="4" w:space="0" w:color="auto"/>
              <w:right w:val="single" w:sz="4" w:space="0" w:color="auto"/>
            </w:tcBorders>
            <w:noWrap/>
            <w:hideMark/>
          </w:tcPr>
          <w:p w14:paraId="4A26FC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45,0</w:t>
            </w:r>
          </w:p>
        </w:tc>
        <w:tc>
          <w:tcPr>
            <w:tcW w:w="811" w:type="dxa"/>
            <w:tcBorders>
              <w:top w:val="nil"/>
              <w:left w:val="nil"/>
              <w:bottom w:val="single" w:sz="4" w:space="0" w:color="auto"/>
              <w:right w:val="single" w:sz="4" w:space="0" w:color="auto"/>
            </w:tcBorders>
            <w:noWrap/>
            <w:hideMark/>
          </w:tcPr>
          <w:p w14:paraId="54A04AE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37,2 p</w:t>
            </w:r>
          </w:p>
        </w:tc>
        <w:tc>
          <w:tcPr>
            <w:tcW w:w="839" w:type="dxa"/>
            <w:tcBorders>
              <w:top w:val="nil"/>
              <w:left w:val="nil"/>
              <w:bottom w:val="single" w:sz="4" w:space="0" w:color="auto"/>
              <w:right w:val="single" w:sz="4" w:space="0" w:color="auto"/>
            </w:tcBorders>
            <w:noWrap/>
            <w:hideMark/>
          </w:tcPr>
          <w:p w14:paraId="2467358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60,9</w:t>
            </w:r>
          </w:p>
        </w:tc>
        <w:tc>
          <w:tcPr>
            <w:tcW w:w="750" w:type="dxa"/>
            <w:tcBorders>
              <w:top w:val="nil"/>
              <w:left w:val="nil"/>
              <w:bottom w:val="single" w:sz="4" w:space="0" w:color="auto"/>
              <w:right w:val="single" w:sz="4" w:space="0" w:color="auto"/>
            </w:tcBorders>
            <w:noWrap/>
            <w:hideMark/>
          </w:tcPr>
          <w:p w14:paraId="267D1DD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56,5</w:t>
            </w:r>
          </w:p>
        </w:tc>
        <w:tc>
          <w:tcPr>
            <w:tcW w:w="811" w:type="dxa"/>
            <w:tcBorders>
              <w:top w:val="nil"/>
              <w:left w:val="nil"/>
              <w:bottom w:val="single" w:sz="4" w:space="0" w:color="auto"/>
              <w:right w:val="single" w:sz="4" w:space="0" w:color="auto"/>
            </w:tcBorders>
            <w:noWrap/>
            <w:hideMark/>
          </w:tcPr>
          <w:p w14:paraId="28EE71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30,0</w:t>
            </w:r>
          </w:p>
        </w:tc>
        <w:tc>
          <w:tcPr>
            <w:tcW w:w="839" w:type="dxa"/>
            <w:tcBorders>
              <w:top w:val="nil"/>
              <w:left w:val="nil"/>
              <w:bottom w:val="single" w:sz="4" w:space="0" w:color="auto"/>
              <w:right w:val="single" w:sz="4" w:space="0" w:color="auto"/>
            </w:tcBorders>
            <w:noWrap/>
            <w:hideMark/>
          </w:tcPr>
          <w:p w14:paraId="5E856F1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32,5</w:t>
            </w:r>
          </w:p>
        </w:tc>
        <w:tc>
          <w:tcPr>
            <w:tcW w:w="839" w:type="dxa"/>
            <w:tcBorders>
              <w:top w:val="nil"/>
              <w:left w:val="nil"/>
              <w:bottom w:val="single" w:sz="4" w:space="0" w:color="auto"/>
              <w:right w:val="single" w:sz="4" w:space="0" w:color="auto"/>
            </w:tcBorders>
            <w:noWrap/>
            <w:hideMark/>
          </w:tcPr>
          <w:p w14:paraId="4004215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55,2</w:t>
            </w:r>
          </w:p>
        </w:tc>
        <w:tc>
          <w:tcPr>
            <w:tcW w:w="722" w:type="dxa"/>
            <w:tcBorders>
              <w:top w:val="nil"/>
              <w:left w:val="nil"/>
              <w:bottom w:val="single" w:sz="4" w:space="0" w:color="auto"/>
              <w:right w:val="single" w:sz="4" w:space="0" w:color="auto"/>
            </w:tcBorders>
            <w:noWrap/>
            <w:hideMark/>
          </w:tcPr>
          <w:p w14:paraId="7980123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48,5</w:t>
            </w:r>
          </w:p>
        </w:tc>
        <w:tc>
          <w:tcPr>
            <w:tcW w:w="720" w:type="dxa"/>
            <w:tcBorders>
              <w:top w:val="nil"/>
              <w:left w:val="nil"/>
              <w:bottom w:val="single" w:sz="4" w:space="0" w:color="auto"/>
              <w:right w:val="single" w:sz="4" w:space="0" w:color="auto"/>
            </w:tcBorders>
            <w:noWrap/>
            <w:hideMark/>
          </w:tcPr>
          <w:p w14:paraId="4146F13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56,4</w:t>
            </w:r>
          </w:p>
        </w:tc>
        <w:tc>
          <w:tcPr>
            <w:tcW w:w="840" w:type="dxa"/>
            <w:tcBorders>
              <w:top w:val="nil"/>
              <w:left w:val="nil"/>
              <w:bottom w:val="single" w:sz="4" w:space="0" w:color="auto"/>
              <w:right w:val="single" w:sz="4" w:space="0" w:color="auto"/>
            </w:tcBorders>
            <w:noWrap/>
            <w:hideMark/>
          </w:tcPr>
          <w:p w14:paraId="59A097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53,9</w:t>
            </w:r>
          </w:p>
        </w:tc>
        <w:tc>
          <w:tcPr>
            <w:tcW w:w="840" w:type="dxa"/>
            <w:tcBorders>
              <w:top w:val="single" w:sz="4" w:space="0" w:color="auto"/>
              <w:left w:val="nil"/>
              <w:bottom w:val="single" w:sz="4" w:space="0" w:color="auto"/>
              <w:right w:val="single" w:sz="4" w:space="0" w:color="auto"/>
            </w:tcBorders>
            <w:noWrap/>
            <w:hideMark/>
          </w:tcPr>
          <w:p w14:paraId="00F1743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45,9</w:t>
            </w:r>
          </w:p>
        </w:tc>
        <w:tc>
          <w:tcPr>
            <w:tcW w:w="840" w:type="dxa"/>
            <w:tcBorders>
              <w:top w:val="single" w:sz="4" w:space="0" w:color="auto"/>
              <w:left w:val="nil"/>
              <w:bottom w:val="single" w:sz="4" w:space="0" w:color="auto"/>
              <w:right w:val="single" w:sz="4" w:space="0" w:color="auto"/>
            </w:tcBorders>
            <w:noWrap/>
            <w:hideMark/>
          </w:tcPr>
          <w:p w14:paraId="4A03DA9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42,9</w:t>
            </w:r>
          </w:p>
        </w:tc>
      </w:tr>
      <w:tr w:rsidR="00221F1C" w14:paraId="608ACE00"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2DFAB42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Izvoz (% BDP-a)</w:t>
            </w:r>
          </w:p>
        </w:tc>
        <w:tc>
          <w:tcPr>
            <w:tcW w:w="600" w:type="dxa"/>
            <w:tcBorders>
              <w:top w:val="nil"/>
              <w:left w:val="nil"/>
              <w:bottom w:val="single" w:sz="4" w:space="0" w:color="auto"/>
              <w:right w:val="single" w:sz="4" w:space="0" w:color="auto"/>
            </w:tcBorders>
            <w:hideMark/>
          </w:tcPr>
          <w:p w14:paraId="05DD9BBA"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21ABEF7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43,8</w:t>
            </w:r>
          </w:p>
        </w:tc>
        <w:tc>
          <w:tcPr>
            <w:tcW w:w="840" w:type="dxa"/>
            <w:tcBorders>
              <w:top w:val="nil"/>
              <w:left w:val="nil"/>
              <w:bottom w:val="single" w:sz="4" w:space="0" w:color="auto"/>
              <w:right w:val="single" w:sz="4" w:space="0" w:color="auto"/>
            </w:tcBorders>
            <w:noWrap/>
            <w:hideMark/>
          </w:tcPr>
          <w:p w14:paraId="5C0E40E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26,0</w:t>
            </w:r>
          </w:p>
        </w:tc>
        <w:tc>
          <w:tcPr>
            <w:tcW w:w="840" w:type="dxa"/>
            <w:tcBorders>
              <w:top w:val="nil"/>
              <w:left w:val="nil"/>
              <w:bottom w:val="single" w:sz="4" w:space="0" w:color="auto"/>
              <w:right w:val="single" w:sz="4" w:space="0" w:color="auto"/>
            </w:tcBorders>
            <w:noWrap/>
            <w:hideMark/>
          </w:tcPr>
          <w:p w14:paraId="29DBEEB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62,4</w:t>
            </w:r>
          </w:p>
        </w:tc>
        <w:tc>
          <w:tcPr>
            <w:tcW w:w="750" w:type="dxa"/>
            <w:tcBorders>
              <w:top w:val="nil"/>
              <w:left w:val="nil"/>
              <w:bottom w:val="single" w:sz="4" w:space="0" w:color="auto"/>
              <w:right w:val="single" w:sz="4" w:space="0" w:color="auto"/>
            </w:tcBorders>
            <w:noWrap/>
            <w:hideMark/>
          </w:tcPr>
          <w:p w14:paraId="75621A2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58,9 p</w:t>
            </w:r>
          </w:p>
        </w:tc>
        <w:tc>
          <w:tcPr>
            <w:tcW w:w="839" w:type="dxa"/>
            <w:tcBorders>
              <w:top w:val="nil"/>
              <w:left w:val="nil"/>
              <w:bottom w:val="single" w:sz="4" w:space="0" w:color="auto"/>
              <w:right w:val="single" w:sz="4" w:space="0" w:color="auto"/>
            </w:tcBorders>
            <w:noWrap/>
            <w:hideMark/>
          </w:tcPr>
          <w:p w14:paraId="4F91458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31,3</w:t>
            </w:r>
          </w:p>
        </w:tc>
        <w:tc>
          <w:tcPr>
            <w:tcW w:w="811" w:type="dxa"/>
            <w:tcBorders>
              <w:top w:val="nil"/>
              <w:left w:val="nil"/>
              <w:bottom w:val="single" w:sz="4" w:space="0" w:color="auto"/>
              <w:right w:val="single" w:sz="4" w:space="0" w:color="auto"/>
            </w:tcBorders>
            <w:noWrap/>
            <w:hideMark/>
          </w:tcPr>
          <w:p w14:paraId="1325D28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22,7 p</w:t>
            </w:r>
          </w:p>
        </w:tc>
        <w:tc>
          <w:tcPr>
            <w:tcW w:w="839" w:type="dxa"/>
            <w:tcBorders>
              <w:top w:val="nil"/>
              <w:left w:val="nil"/>
              <w:bottom w:val="single" w:sz="4" w:space="0" w:color="auto"/>
              <w:right w:val="single" w:sz="4" w:space="0" w:color="auto"/>
            </w:tcBorders>
            <w:noWrap/>
            <w:hideMark/>
          </w:tcPr>
          <w:p w14:paraId="2D09F6C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51,0</w:t>
            </w:r>
          </w:p>
        </w:tc>
        <w:tc>
          <w:tcPr>
            <w:tcW w:w="750" w:type="dxa"/>
            <w:tcBorders>
              <w:top w:val="nil"/>
              <w:left w:val="nil"/>
              <w:bottom w:val="single" w:sz="4" w:space="0" w:color="auto"/>
              <w:right w:val="single" w:sz="4" w:space="0" w:color="auto"/>
            </w:tcBorders>
            <w:noWrap/>
            <w:hideMark/>
          </w:tcPr>
          <w:p w14:paraId="724E296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48,2</w:t>
            </w:r>
          </w:p>
        </w:tc>
        <w:tc>
          <w:tcPr>
            <w:tcW w:w="811" w:type="dxa"/>
            <w:tcBorders>
              <w:top w:val="nil"/>
              <w:left w:val="nil"/>
              <w:bottom w:val="single" w:sz="4" w:space="0" w:color="auto"/>
              <w:right w:val="single" w:sz="4" w:space="0" w:color="auto"/>
            </w:tcBorders>
            <w:noWrap/>
            <w:hideMark/>
          </w:tcPr>
          <w:p w14:paraId="3B975C3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32,6</w:t>
            </w:r>
          </w:p>
        </w:tc>
        <w:tc>
          <w:tcPr>
            <w:tcW w:w="839" w:type="dxa"/>
            <w:tcBorders>
              <w:top w:val="nil"/>
              <w:left w:val="nil"/>
              <w:bottom w:val="single" w:sz="4" w:space="0" w:color="auto"/>
              <w:right w:val="single" w:sz="4" w:space="0" w:color="auto"/>
            </w:tcBorders>
            <w:noWrap/>
            <w:hideMark/>
          </w:tcPr>
          <w:p w14:paraId="38B87C5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28,7</w:t>
            </w:r>
          </w:p>
        </w:tc>
        <w:tc>
          <w:tcPr>
            <w:tcW w:w="839" w:type="dxa"/>
            <w:tcBorders>
              <w:top w:val="nil"/>
              <w:left w:val="nil"/>
              <w:bottom w:val="single" w:sz="4" w:space="0" w:color="auto"/>
              <w:right w:val="single" w:sz="4" w:space="0" w:color="auto"/>
            </w:tcBorders>
            <w:noWrap/>
            <w:hideMark/>
          </w:tcPr>
          <w:p w14:paraId="188827A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40,6</w:t>
            </w:r>
          </w:p>
        </w:tc>
        <w:tc>
          <w:tcPr>
            <w:tcW w:w="722" w:type="dxa"/>
            <w:tcBorders>
              <w:top w:val="nil"/>
              <w:left w:val="nil"/>
              <w:bottom w:val="single" w:sz="4" w:space="0" w:color="auto"/>
              <w:right w:val="single" w:sz="4" w:space="0" w:color="auto"/>
            </w:tcBorders>
            <w:noWrap/>
            <w:hideMark/>
          </w:tcPr>
          <w:p w14:paraId="3A66BF3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34,5</w:t>
            </w:r>
          </w:p>
        </w:tc>
        <w:tc>
          <w:tcPr>
            <w:tcW w:w="720" w:type="dxa"/>
            <w:tcBorders>
              <w:top w:val="nil"/>
              <w:left w:val="nil"/>
              <w:bottom w:val="single" w:sz="4" w:space="0" w:color="auto"/>
              <w:right w:val="single" w:sz="4" w:space="0" w:color="auto"/>
            </w:tcBorders>
            <w:noWrap/>
            <w:hideMark/>
          </w:tcPr>
          <w:p w14:paraId="12C155C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29,3</w:t>
            </w:r>
          </w:p>
        </w:tc>
        <w:tc>
          <w:tcPr>
            <w:tcW w:w="840" w:type="dxa"/>
            <w:tcBorders>
              <w:top w:val="nil"/>
              <w:left w:val="nil"/>
              <w:bottom w:val="single" w:sz="4" w:space="0" w:color="auto"/>
              <w:right w:val="single" w:sz="4" w:space="0" w:color="auto"/>
            </w:tcBorders>
            <w:noWrap/>
            <w:hideMark/>
          </w:tcPr>
          <w:p w14:paraId="1E0475C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21,7</w:t>
            </w:r>
          </w:p>
        </w:tc>
        <w:tc>
          <w:tcPr>
            <w:tcW w:w="840" w:type="dxa"/>
            <w:tcBorders>
              <w:top w:val="nil"/>
              <w:left w:val="nil"/>
              <w:bottom w:val="single" w:sz="4" w:space="0" w:color="auto"/>
              <w:right w:val="single" w:sz="4" w:space="0" w:color="auto"/>
            </w:tcBorders>
            <w:noWrap/>
            <w:hideMark/>
          </w:tcPr>
          <w:p w14:paraId="2C264B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49,3</w:t>
            </w:r>
          </w:p>
        </w:tc>
        <w:tc>
          <w:tcPr>
            <w:tcW w:w="840" w:type="dxa"/>
            <w:tcBorders>
              <w:top w:val="nil"/>
              <w:left w:val="nil"/>
              <w:bottom w:val="single" w:sz="4" w:space="0" w:color="auto"/>
              <w:right w:val="single" w:sz="4" w:space="0" w:color="auto"/>
            </w:tcBorders>
            <w:noWrap/>
            <w:hideMark/>
          </w:tcPr>
          <w:p w14:paraId="542668A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46,6</w:t>
            </w:r>
          </w:p>
        </w:tc>
      </w:tr>
      <w:tr w:rsidR="00221F1C" w14:paraId="451B6003" w14:textId="77777777" w:rsidTr="00221F1C">
        <w:trPr>
          <w:trHeight w:val="225"/>
        </w:trPr>
        <w:tc>
          <w:tcPr>
            <w:tcW w:w="2400" w:type="dxa"/>
            <w:tcBorders>
              <w:top w:val="nil"/>
              <w:left w:val="nil"/>
              <w:bottom w:val="single" w:sz="4" w:space="0" w:color="auto"/>
              <w:right w:val="nil"/>
            </w:tcBorders>
            <w:noWrap/>
            <w:hideMark/>
          </w:tcPr>
          <w:p w14:paraId="480DBA54" w14:textId="77777777" w:rsidR="00221F1C" w:rsidRDefault="00221F1C">
            <w:pPr>
              <w:rPr>
                <w:rFonts w:ascii="Arial" w:eastAsia="Times New Roman" w:hAnsi="Arial" w:cs="Arial"/>
                <w:noProof/>
                <w:color w:val="000000"/>
                <w:sz w:val="16"/>
                <w:szCs w:val="16"/>
                <w:lang w:val="en-IE" w:eastAsia="en-IE"/>
              </w:rPr>
            </w:pPr>
          </w:p>
        </w:tc>
        <w:tc>
          <w:tcPr>
            <w:tcW w:w="600" w:type="dxa"/>
            <w:noWrap/>
            <w:hideMark/>
          </w:tcPr>
          <w:p w14:paraId="51B20AAC" w14:textId="77777777" w:rsidR="00221F1C" w:rsidRDefault="00221F1C">
            <w:pPr>
              <w:spacing w:after="0"/>
              <w:rPr>
                <w:noProof/>
                <w:sz w:val="20"/>
                <w:szCs w:val="20"/>
                <w:lang w:val="en-IE" w:eastAsia="en-IE"/>
              </w:rPr>
            </w:pPr>
          </w:p>
        </w:tc>
        <w:tc>
          <w:tcPr>
            <w:tcW w:w="720" w:type="dxa"/>
            <w:noWrap/>
            <w:hideMark/>
          </w:tcPr>
          <w:p w14:paraId="36504060" w14:textId="77777777" w:rsidR="00221F1C" w:rsidRDefault="00221F1C">
            <w:pPr>
              <w:spacing w:after="0"/>
              <w:rPr>
                <w:noProof/>
                <w:sz w:val="20"/>
                <w:szCs w:val="20"/>
                <w:lang w:val="en-IE" w:eastAsia="en-IE"/>
              </w:rPr>
            </w:pPr>
          </w:p>
        </w:tc>
        <w:tc>
          <w:tcPr>
            <w:tcW w:w="840" w:type="dxa"/>
            <w:noWrap/>
            <w:hideMark/>
          </w:tcPr>
          <w:p w14:paraId="3FC27F30" w14:textId="77777777" w:rsidR="00221F1C" w:rsidRDefault="00221F1C">
            <w:pPr>
              <w:spacing w:after="0"/>
              <w:rPr>
                <w:noProof/>
                <w:sz w:val="20"/>
                <w:szCs w:val="20"/>
                <w:lang w:val="en-IE" w:eastAsia="en-IE"/>
              </w:rPr>
            </w:pPr>
          </w:p>
        </w:tc>
        <w:tc>
          <w:tcPr>
            <w:tcW w:w="840" w:type="dxa"/>
            <w:noWrap/>
            <w:hideMark/>
          </w:tcPr>
          <w:p w14:paraId="239625E3" w14:textId="77777777" w:rsidR="00221F1C" w:rsidRDefault="00221F1C">
            <w:pPr>
              <w:spacing w:after="0"/>
              <w:rPr>
                <w:noProof/>
                <w:sz w:val="20"/>
                <w:szCs w:val="20"/>
                <w:lang w:val="en-IE" w:eastAsia="en-IE"/>
              </w:rPr>
            </w:pPr>
          </w:p>
        </w:tc>
        <w:tc>
          <w:tcPr>
            <w:tcW w:w="750" w:type="dxa"/>
            <w:noWrap/>
            <w:hideMark/>
          </w:tcPr>
          <w:p w14:paraId="523839F3" w14:textId="77777777" w:rsidR="00221F1C" w:rsidRDefault="00221F1C">
            <w:pPr>
              <w:spacing w:after="0"/>
              <w:rPr>
                <w:noProof/>
                <w:sz w:val="20"/>
                <w:szCs w:val="20"/>
                <w:lang w:val="en-IE" w:eastAsia="en-IE"/>
              </w:rPr>
            </w:pPr>
          </w:p>
        </w:tc>
        <w:tc>
          <w:tcPr>
            <w:tcW w:w="839" w:type="dxa"/>
            <w:noWrap/>
            <w:hideMark/>
          </w:tcPr>
          <w:p w14:paraId="5213F9DD" w14:textId="77777777" w:rsidR="00221F1C" w:rsidRDefault="00221F1C">
            <w:pPr>
              <w:spacing w:after="0"/>
              <w:rPr>
                <w:noProof/>
                <w:sz w:val="20"/>
                <w:szCs w:val="20"/>
                <w:lang w:val="en-IE" w:eastAsia="en-IE"/>
              </w:rPr>
            </w:pPr>
          </w:p>
        </w:tc>
        <w:tc>
          <w:tcPr>
            <w:tcW w:w="811" w:type="dxa"/>
            <w:noWrap/>
            <w:hideMark/>
          </w:tcPr>
          <w:p w14:paraId="63658446" w14:textId="77777777" w:rsidR="00221F1C" w:rsidRDefault="00221F1C">
            <w:pPr>
              <w:spacing w:after="0"/>
              <w:rPr>
                <w:noProof/>
                <w:sz w:val="20"/>
                <w:szCs w:val="20"/>
                <w:lang w:val="en-IE" w:eastAsia="en-IE"/>
              </w:rPr>
            </w:pPr>
          </w:p>
        </w:tc>
        <w:tc>
          <w:tcPr>
            <w:tcW w:w="839" w:type="dxa"/>
            <w:noWrap/>
            <w:hideMark/>
          </w:tcPr>
          <w:p w14:paraId="48906E56" w14:textId="77777777" w:rsidR="00221F1C" w:rsidRDefault="00221F1C">
            <w:pPr>
              <w:spacing w:after="0"/>
              <w:rPr>
                <w:noProof/>
                <w:sz w:val="20"/>
                <w:szCs w:val="20"/>
                <w:lang w:val="en-IE" w:eastAsia="en-IE"/>
              </w:rPr>
            </w:pPr>
          </w:p>
        </w:tc>
        <w:tc>
          <w:tcPr>
            <w:tcW w:w="750" w:type="dxa"/>
            <w:noWrap/>
            <w:hideMark/>
          </w:tcPr>
          <w:p w14:paraId="67E5AB36" w14:textId="77777777" w:rsidR="00221F1C" w:rsidRDefault="00221F1C">
            <w:pPr>
              <w:spacing w:after="0"/>
              <w:rPr>
                <w:noProof/>
                <w:sz w:val="20"/>
                <w:szCs w:val="20"/>
                <w:lang w:val="en-IE" w:eastAsia="en-IE"/>
              </w:rPr>
            </w:pPr>
          </w:p>
        </w:tc>
        <w:tc>
          <w:tcPr>
            <w:tcW w:w="811" w:type="dxa"/>
            <w:noWrap/>
            <w:hideMark/>
          </w:tcPr>
          <w:p w14:paraId="70E62BE1" w14:textId="77777777" w:rsidR="00221F1C" w:rsidRDefault="00221F1C">
            <w:pPr>
              <w:spacing w:after="0"/>
              <w:rPr>
                <w:noProof/>
                <w:sz w:val="20"/>
                <w:szCs w:val="20"/>
                <w:lang w:val="en-IE" w:eastAsia="en-IE"/>
              </w:rPr>
            </w:pPr>
          </w:p>
        </w:tc>
        <w:tc>
          <w:tcPr>
            <w:tcW w:w="839" w:type="dxa"/>
            <w:noWrap/>
            <w:hideMark/>
          </w:tcPr>
          <w:p w14:paraId="492E3AD8" w14:textId="77777777" w:rsidR="00221F1C" w:rsidRDefault="00221F1C">
            <w:pPr>
              <w:spacing w:after="0"/>
              <w:rPr>
                <w:noProof/>
                <w:sz w:val="20"/>
                <w:szCs w:val="20"/>
                <w:lang w:val="en-IE" w:eastAsia="en-IE"/>
              </w:rPr>
            </w:pPr>
          </w:p>
        </w:tc>
        <w:tc>
          <w:tcPr>
            <w:tcW w:w="839" w:type="dxa"/>
            <w:noWrap/>
            <w:hideMark/>
          </w:tcPr>
          <w:p w14:paraId="0D943DB9" w14:textId="77777777" w:rsidR="00221F1C" w:rsidRDefault="00221F1C">
            <w:pPr>
              <w:spacing w:after="0"/>
              <w:rPr>
                <w:noProof/>
                <w:sz w:val="20"/>
                <w:szCs w:val="20"/>
                <w:lang w:val="en-IE" w:eastAsia="en-IE"/>
              </w:rPr>
            </w:pPr>
          </w:p>
        </w:tc>
        <w:tc>
          <w:tcPr>
            <w:tcW w:w="722" w:type="dxa"/>
            <w:noWrap/>
            <w:hideMark/>
          </w:tcPr>
          <w:p w14:paraId="0B10A01A" w14:textId="77777777" w:rsidR="00221F1C" w:rsidRDefault="00221F1C">
            <w:pPr>
              <w:spacing w:after="0"/>
              <w:rPr>
                <w:noProof/>
                <w:sz w:val="20"/>
                <w:szCs w:val="20"/>
                <w:lang w:val="en-IE" w:eastAsia="en-IE"/>
              </w:rPr>
            </w:pPr>
          </w:p>
        </w:tc>
        <w:tc>
          <w:tcPr>
            <w:tcW w:w="720" w:type="dxa"/>
            <w:noWrap/>
            <w:hideMark/>
          </w:tcPr>
          <w:p w14:paraId="17DABA46" w14:textId="77777777" w:rsidR="00221F1C" w:rsidRDefault="00221F1C">
            <w:pPr>
              <w:spacing w:after="0"/>
              <w:rPr>
                <w:noProof/>
                <w:sz w:val="20"/>
                <w:szCs w:val="20"/>
                <w:lang w:val="en-IE" w:eastAsia="en-IE"/>
              </w:rPr>
            </w:pPr>
          </w:p>
        </w:tc>
        <w:tc>
          <w:tcPr>
            <w:tcW w:w="840" w:type="dxa"/>
            <w:noWrap/>
            <w:hideMark/>
          </w:tcPr>
          <w:p w14:paraId="3D28C514" w14:textId="77777777" w:rsidR="00221F1C" w:rsidRDefault="00221F1C">
            <w:pPr>
              <w:spacing w:after="0"/>
              <w:rPr>
                <w:noProof/>
                <w:sz w:val="20"/>
                <w:szCs w:val="20"/>
                <w:lang w:val="en-IE" w:eastAsia="en-IE"/>
              </w:rPr>
            </w:pPr>
          </w:p>
        </w:tc>
        <w:tc>
          <w:tcPr>
            <w:tcW w:w="840" w:type="dxa"/>
            <w:noWrap/>
            <w:hideMark/>
          </w:tcPr>
          <w:p w14:paraId="601D6C33" w14:textId="77777777" w:rsidR="00221F1C" w:rsidRDefault="00221F1C">
            <w:pPr>
              <w:spacing w:after="0"/>
              <w:rPr>
                <w:noProof/>
                <w:sz w:val="20"/>
                <w:szCs w:val="20"/>
                <w:lang w:val="en-IE" w:eastAsia="en-IE"/>
              </w:rPr>
            </w:pPr>
          </w:p>
        </w:tc>
        <w:tc>
          <w:tcPr>
            <w:tcW w:w="840" w:type="dxa"/>
            <w:noWrap/>
            <w:hideMark/>
          </w:tcPr>
          <w:p w14:paraId="63CCDBDC" w14:textId="77777777" w:rsidR="00221F1C" w:rsidRDefault="00221F1C">
            <w:pPr>
              <w:spacing w:after="0"/>
              <w:rPr>
                <w:noProof/>
                <w:sz w:val="20"/>
                <w:szCs w:val="20"/>
                <w:lang w:val="en-IE" w:eastAsia="en-IE"/>
              </w:rPr>
            </w:pPr>
          </w:p>
        </w:tc>
      </w:tr>
      <w:tr w:rsidR="00221F1C" w14:paraId="67B40C53" w14:textId="77777777" w:rsidTr="00221F1C">
        <w:trPr>
          <w:trHeight w:val="225"/>
        </w:trPr>
        <w:tc>
          <w:tcPr>
            <w:tcW w:w="2400" w:type="dxa"/>
            <w:tcBorders>
              <w:top w:val="single" w:sz="4" w:space="0" w:color="auto"/>
              <w:left w:val="single" w:sz="4" w:space="0" w:color="auto"/>
              <w:bottom w:val="single" w:sz="4" w:space="0" w:color="auto"/>
              <w:right w:val="nil"/>
            </w:tcBorders>
            <w:noWrap/>
            <w:hideMark/>
          </w:tcPr>
          <w:p w14:paraId="463F2BCE"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b/>
                <w:noProof/>
                <w:color w:val="000000"/>
                <w:sz w:val="16"/>
              </w:rPr>
              <w:t>Javne financije</w:t>
            </w:r>
          </w:p>
        </w:tc>
        <w:tc>
          <w:tcPr>
            <w:tcW w:w="600" w:type="dxa"/>
            <w:tcBorders>
              <w:top w:val="single" w:sz="4" w:space="0" w:color="auto"/>
              <w:left w:val="single" w:sz="4" w:space="0" w:color="auto"/>
              <w:bottom w:val="single" w:sz="4" w:space="0" w:color="auto"/>
              <w:right w:val="single" w:sz="4" w:space="0" w:color="auto"/>
            </w:tcBorders>
            <w:noWrap/>
            <w:hideMark/>
          </w:tcPr>
          <w:p w14:paraId="00805A1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Napomena</w:t>
            </w:r>
          </w:p>
        </w:tc>
        <w:tc>
          <w:tcPr>
            <w:tcW w:w="720" w:type="dxa"/>
            <w:tcBorders>
              <w:top w:val="single" w:sz="4" w:space="0" w:color="auto"/>
              <w:left w:val="nil"/>
              <w:bottom w:val="single" w:sz="4" w:space="0" w:color="auto"/>
              <w:right w:val="single" w:sz="4" w:space="0" w:color="auto"/>
            </w:tcBorders>
            <w:hideMark/>
          </w:tcPr>
          <w:p w14:paraId="570C556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0F34593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664F2B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065535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0E03D27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single" w:sz="4" w:space="0" w:color="auto"/>
              <w:left w:val="nil"/>
              <w:bottom w:val="single" w:sz="4" w:space="0" w:color="auto"/>
              <w:right w:val="single" w:sz="4" w:space="0" w:color="auto"/>
            </w:tcBorders>
            <w:hideMark/>
          </w:tcPr>
          <w:p w14:paraId="43AD1C1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631C169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479B967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single" w:sz="4" w:space="0" w:color="auto"/>
              <w:left w:val="nil"/>
              <w:bottom w:val="single" w:sz="4" w:space="0" w:color="auto"/>
              <w:right w:val="single" w:sz="4" w:space="0" w:color="auto"/>
            </w:tcBorders>
            <w:hideMark/>
          </w:tcPr>
          <w:p w14:paraId="36E742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single" w:sz="4" w:space="0" w:color="auto"/>
              <w:left w:val="nil"/>
              <w:bottom w:val="single" w:sz="4" w:space="0" w:color="auto"/>
              <w:right w:val="single" w:sz="4" w:space="0" w:color="auto"/>
            </w:tcBorders>
            <w:hideMark/>
          </w:tcPr>
          <w:p w14:paraId="6101F13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2290079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single" w:sz="4" w:space="0" w:color="auto"/>
              <w:left w:val="nil"/>
              <w:bottom w:val="single" w:sz="4" w:space="0" w:color="auto"/>
              <w:right w:val="single" w:sz="4" w:space="0" w:color="auto"/>
            </w:tcBorders>
            <w:hideMark/>
          </w:tcPr>
          <w:p w14:paraId="0A7F73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single" w:sz="4" w:space="0" w:color="auto"/>
              <w:left w:val="nil"/>
              <w:bottom w:val="single" w:sz="4" w:space="0" w:color="auto"/>
              <w:right w:val="single" w:sz="4" w:space="0" w:color="auto"/>
            </w:tcBorders>
            <w:hideMark/>
          </w:tcPr>
          <w:p w14:paraId="567F2BA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67BA6EF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763F2C7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709A3A1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3D4F8DC1"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0149C95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Suficit opće države (+) / deficit (–) (%)</w:t>
            </w:r>
          </w:p>
        </w:tc>
        <w:tc>
          <w:tcPr>
            <w:tcW w:w="600" w:type="dxa"/>
            <w:tcBorders>
              <w:top w:val="nil"/>
              <w:left w:val="nil"/>
              <w:bottom w:val="single" w:sz="4" w:space="0" w:color="auto"/>
              <w:right w:val="single" w:sz="4" w:space="0" w:color="auto"/>
            </w:tcBorders>
            <w:hideMark/>
          </w:tcPr>
          <w:p w14:paraId="06BE95E8"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5889A3B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 w</w:t>
            </w:r>
          </w:p>
        </w:tc>
        <w:tc>
          <w:tcPr>
            <w:tcW w:w="840" w:type="dxa"/>
            <w:tcBorders>
              <w:top w:val="nil"/>
              <w:left w:val="nil"/>
              <w:bottom w:val="single" w:sz="4" w:space="0" w:color="auto"/>
              <w:right w:val="single" w:sz="4" w:space="0" w:color="auto"/>
            </w:tcBorders>
            <w:noWrap/>
            <w:hideMark/>
          </w:tcPr>
          <w:p w14:paraId="3359D4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–10,7 ew</w:t>
            </w:r>
          </w:p>
        </w:tc>
        <w:tc>
          <w:tcPr>
            <w:tcW w:w="840" w:type="dxa"/>
            <w:tcBorders>
              <w:top w:val="nil"/>
              <w:left w:val="nil"/>
              <w:bottom w:val="single" w:sz="4" w:space="0" w:color="auto"/>
              <w:right w:val="single" w:sz="4" w:space="0" w:color="auto"/>
            </w:tcBorders>
            <w:noWrap/>
            <w:hideMark/>
          </w:tcPr>
          <w:p w14:paraId="1844575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 w</w:t>
            </w:r>
          </w:p>
        </w:tc>
        <w:tc>
          <w:tcPr>
            <w:tcW w:w="750" w:type="dxa"/>
            <w:tcBorders>
              <w:top w:val="nil"/>
              <w:left w:val="nil"/>
              <w:bottom w:val="single" w:sz="4" w:space="0" w:color="auto"/>
              <w:right w:val="single" w:sz="4" w:space="0" w:color="auto"/>
            </w:tcBorders>
            <w:noWrap/>
            <w:hideMark/>
          </w:tcPr>
          <w:p w14:paraId="10D7934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–8,1 w</w:t>
            </w:r>
          </w:p>
        </w:tc>
        <w:tc>
          <w:tcPr>
            <w:tcW w:w="839" w:type="dxa"/>
            <w:tcBorders>
              <w:top w:val="nil"/>
              <w:left w:val="nil"/>
              <w:bottom w:val="single" w:sz="4" w:space="0" w:color="auto"/>
              <w:right w:val="single" w:sz="4" w:space="0" w:color="auto"/>
            </w:tcBorders>
            <w:noWrap/>
            <w:hideMark/>
          </w:tcPr>
          <w:p w14:paraId="3939C92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 w</w:t>
            </w:r>
          </w:p>
        </w:tc>
        <w:tc>
          <w:tcPr>
            <w:tcW w:w="811" w:type="dxa"/>
            <w:tcBorders>
              <w:top w:val="nil"/>
              <w:left w:val="nil"/>
              <w:bottom w:val="single" w:sz="4" w:space="0" w:color="auto"/>
              <w:right w:val="single" w:sz="4" w:space="0" w:color="auto"/>
            </w:tcBorders>
            <w:noWrap/>
            <w:hideMark/>
          </w:tcPr>
          <w:p w14:paraId="78E5FBF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–6,8 w</w:t>
            </w:r>
          </w:p>
        </w:tc>
        <w:tc>
          <w:tcPr>
            <w:tcW w:w="839" w:type="dxa"/>
            <w:tcBorders>
              <w:top w:val="nil"/>
              <w:left w:val="nil"/>
              <w:bottom w:val="single" w:sz="4" w:space="0" w:color="auto"/>
              <w:right w:val="single" w:sz="4" w:space="0" w:color="auto"/>
            </w:tcBorders>
            <w:noWrap/>
            <w:hideMark/>
          </w:tcPr>
          <w:p w14:paraId="2A00DC3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–0,2 ew</w:t>
            </w:r>
          </w:p>
        </w:tc>
        <w:tc>
          <w:tcPr>
            <w:tcW w:w="750" w:type="dxa"/>
            <w:tcBorders>
              <w:top w:val="nil"/>
              <w:left w:val="nil"/>
              <w:bottom w:val="single" w:sz="4" w:space="0" w:color="auto"/>
              <w:right w:val="single" w:sz="4" w:space="0" w:color="auto"/>
            </w:tcBorders>
            <w:noWrap/>
            <w:hideMark/>
          </w:tcPr>
          <w:p w14:paraId="7E0C487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–8,0 w</w:t>
            </w:r>
          </w:p>
        </w:tc>
        <w:tc>
          <w:tcPr>
            <w:tcW w:w="811" w:type="dxa"/>
            <w:tcBorders>
              <w:top w:val="nil"/>
              <w:left w:val="nil"/>
              <w:bottom w:val="single" w:sz="4" w:space="0" w:color="auto"/>
              <w:right w:val="single" w:sz="4" w:space="0" w:color="auto"/>
            </w:tcBorders>
            <w:noWrap/>
            <w:hideMark/>
          </w:tcPr>
          <w:p w14:paraId="3846244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–4,4 w</w:t>
            </w:r>
          </w:p>
        </w:tc>
        <w:tc>
          <w:tcPr>
            <w:tcW w:w="839" w:type="dxa"/>
            <w:tcBorders>
              <w:top w:val="nil"/>
              <w:left w:val="nil"/>
              <w:bottom w:val="single" w:sz="4" w:space="0" w:color="auto"/>
              <w:right w:val="single" w:sz="4" w:space="0" w:color="auto"/>
            </w:tcBorders>
            <w:noWrap/>
            <w:hideMark/>
          </w:tcPr>
          <w:p w14:paraId="75EA803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–4,7 w</w:t>
            </w:r>
          </w:p>
        </w:tc>
        <w:tc>
          <w:tcPr>
            <w:tcW w:w="839" w:type="dxa"/>
            <w:tcBorders>
              <w:top w:val="nil"/>
              <w:left w:val="nil"/>
              <w:bottom w:val="single" w:sz="4" w:space="0" w:color="auto"/>
              <w:right w:val="single" w:sz="4" w:space="0" w:color="auto"/>
            </w:tcBorders>
            <w:noWrap/>
            <w:hideMark/>
          </w:tcPr>
          <w:p w14:paraId="4046E38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 w</w:t>
            </w:r>
          </w:p>
        </w:tc>
        <w:tc>
          <w:tcPr>
            <w:tcW w:w="722" w:type="dxa"/>
            <w:tcBorders>
              <w:top w:val="nil"/>
              <w:left w:val="nil"/>
              <w:bottom w:val="single" w:sz="4" w:space="0" w:color="auto"/>
              <w:right w:val="single" w:sz="4" w:space="0" w:color="auto"/>
            </w:tcBorders>
            <w:noWrap/>
            <w:hideMark/>
          </w:tcPr>
          <w:p w14:paraId="7A93889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–5,3 w</w:t>
            </w:r>
          </w:p>
        </w:tc>
        <w:tc>
          <w:tcPr>
            <w:tcW w:w="720" w:type="dxa"/>
            <w:tcBorders>
              <w:top w:val="nil"/>
              <w:left w:val="nil"/>
              <w:bottom w:val="single" w:sz="4" w:space="0" w:color="auto"/>
              <w:right w:val="single" w:sz="4" w:space="0" w:color="auto"/>
            </w:tcBorders>
            <w:noWrap/>
            <w:hideMark/>
          </w:tcPr>
          <w:p w14:paraId="08EBB47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–0,5 w</w:t>
            </w:r>
          </w:p>
        </w:tc>
        <w:tc>
          <w:tcPr>
            <w:tcW w:w="840" w:type="dxa"/>
            <w:tcBorders>
              <w:top w:val="nil"/>
              <w:left w:val="nil"/>
              <w:bottom w:val="single" w:sz="4" w:space="0" w:color="auto"/>
              <w:right w:val="single" w:sz="4" w:space="0" w:color="auto"/>
            </w:tcBorders>
            <w:noWrap/>
            <w:hideMark/>
          </w:tcPr>
          <w:p w14:paraId="5577084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–5,2 w</w:t>
            </w:r>
          </w:p>
        </w:tc>
        <w:tc>
          <w:tcPr>
            <w:tcW w:w="840" w:type="dxa"/>
            <w:tcBorders>
              <w:top w:val="single" w:sz="4" w:space="0" w:color="auto"/>
              <w:left w:val="nil"/>
              <w:bottom w:val="single" w:sz="4" w:space="0" w:color="auto"/>
              <w:right w:val="single" w:sz="4" w:space="0" w:color="auto"/>
            </w:tcBorders>
            <w:noWrap/>
            <w:hideMark/>
          </w:tcPr>
          <w:p w14:paraId="52857DD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–0,6</w:t>
            </w:r>
          </w:p>
        </w:tc>
        <w:tc>
          <w:tcPr>
            <w:tcW w:w="840" w:type="dxa"/>
            <w:tcBorders>
              <w:top w:val="single" w:sz="4" w:space="0" w:color="auto"/>
              <w:left w:val="nil"/>
              <w:bottom w:val="single" w:sz="4" w:space="0" w:color="auto"/>
              <w:right w:val="single" w:sz="4" w:space="0" w:color="auto"/>
            </w:tcBorders>
            <w:noWrap/>
            <w:hideMark/>
          </w:tcPr>
          <w:p w14:paraId="66393FC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–6,8</w:t>
            </w:r>
          </w:p>
        </w:tc>
      </w:tr>
      <w:tr w:rsidR="00221F1C" w14:paraId="3A53D84D"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2FFDF94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Dug opće države (%)</w:t>
            </w:r>
          </w:p>
        </w:tc>
        <w:tc>
          <w:tcPr>
            <w:tcW w:w="600" w:type="dxa"/>
            <w:tcBorders>
              <w:top w:val="nil"/>
              <w:left w:val="nil"/>
              <w:bottom w:val="single" w:sz="4" w:space="0" w:color="auto"/>
              <w:right w:val="single" w:sz="4" w:space="0" w:color="auto"/>
            </w:tcBorders>
            <w:hideMark/>
          </w:tcPr>
          <w:p w14:paraId="3D50322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10)</w:t>
            </w:r>
          </w:p>
        </w:tc>
        <w:tc>
          <w:tcPr>
            <w:tcW w:w="720" w:type="dxa"/>
            <w:tcBorders>
              <w:top w:val="nil"/>
              <w:left w:val="nil"/>
              <w:bottom w:val="single" w:sz="4" w:space="0" w:color="auto"/>
              <w:right w:val="single" w:sz="4" w:space="0" w:color="auto"/>
            </w:tcBorders>
            <w:noWrap/>
            <w:hideMark/>
          </w:tcPr>
          <w:p w14:paraId="48A06EC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76,5 w</w:t>
            </w:r>
          </w:p>
        </w:tc>
        <w:tc>
          <w:tcPr>
            <w:tcW w:w="840" w:type="dxa"/>
            <w:tcBorders>
              <w:top w:val="nil"/>
              <w:left w:val="nil"/>
              <w:bottom w:val="single" w:sz="4" w:space="0" w:color="auto"/>
              <w:right w:val="single" w:sz="4" w:space="0" w:color="auto"/>
            </w:tcBorders>
            <w:noWrap/>
            <w:hideMark/>
          </w:tcPr>
          <w:p w14:paraId="4DC606F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103,1 w</w:t>
            </w:r>
          </w:p>
        </w:tc>
        <w:tc>
          <w:tcPr>
            <w:tcW w:w="840" w:type="dxa"/>
            <w:tcBorders>
              <w:top w:val="nil"/>
              <w:left w:val="nil"/>
              <w:bottom w:val="single" w:sz="4" w:space="0" w:color="auto"/>
              <w:right w:val="single" w:sz="4" w:space="0" w:color="auto"/>
            </w:tcBorders>
            <w:noWrap/>
            <w:hideMark/>
          </w:tcPr>
          <w:p w14:paraId="4105AFD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40,7 w</w:t>
            </w:r>
          </w:p>
        </w:tc>
        <w:tc>
          <w:tcPr>
            <w:tcW w:w="750" w:type="dxa"/>
            <w:tcBorders>
              <w:top w:val="nil"/>
              <w:left w:val="nil"/>
              <w:bottom w:val="single" w:sz="4" w:space="0" w:color="auto"/>
              <w:right w:val="single" w:sz="4" w:space="0" w:color="auto"/>
            </w:tcBorders>
            <w:noWrap/>
            <w:hideMark/>
          </w:tcPr>
          <w:p w14:paraId="1238500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51,2 w</w:t>
            </w:r>
          </w:p>
        </w:tc>
        <w:tc>
          <w:tcPr>
            <w:tcW w:w="839" w:type="dxa"/>
            <w:tcBorders>
              <w:top w:val="nil"/>
              <w:left w:val="nil"/>
              <w:bottom w:val="single" w:sz="4" w:space="0" w:color="auto"/>
              <w:right w:val="single" w:sz="4" w:space="0" w:color="auto"/>
            </w:tcBorders>
            <w:noWrap/>
            <w:hideMark/>
          </w:tcPr>
          <w:p w14:paraId="1562225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63,3 w</w:t>
            </w:r>
          </w:p>
        </w:tc>
        <w:tc>
          <w:tcPr>
            <w:tcW w:w="811" w:type="dxa"/>
            <w:tcBorders>
              <w:top w:val="nil"/>
              <w:left w:val="nil"/>
              <w:bottom w:val="single" w:sz="4" w:space="0" w:color="auto"/>
              <w:right w:val="single" w:sz="4" w:space="0" w:color="auto"/>
            </w:tcBorders>
            <w:noWrap/>
            <w:hideMark/>
          </w:tcPr>
          <w:p w14:paraId="70CC0D4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72,7 w</w:t>
            </w:r>
          </w:p>
        </w:tc>
        <w:tc>
          <w:tcPr>
            <w:tcW w:w="839" w:type="dxa"/>
            <w:tcBorders>
              <w:top w:val="nil"/>
              <w:left w:val="nil"/>
              <w:bottom w:val="single" w:sz="4" w:space="0" w:color="auto"/>
              <w:right w:val="single" w:sz="4" w:space="0" w:color="auto"/>
            </w:tcBorders>
            <w:noWrap/>
            <w:hideMark/>
          </w:tcPr>
          <w:p w14:paraId="5F25C3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52,9 ew</w:t>
            </w:r>
          </w:p>
        </w:tc>
        <w:tc>
          <w:tcPr>
            <w:tcW w:w="750" w:type="dxa"/>
            <w:tcBorders>
              <w:top w:val="nil"/>
              <w:left w:val="nil"/>
              <w:bottom w:val="single" w:sz="4" w:space="0" w:color="auto"/>
              <w:right w:val="single" w:sz="4" w:space="0" w:color="auto"/>
            </w:tcBorders>
            <w:noWrap/>
            <w:hideMark/>
          </w:tcPr>
          <w:p w14:paraId="46BFFDC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57,7 w</w:t>
            </w:r>
          </w:p>
        </w:tc>
        <w:tc>
          <w:tcPr>
            <w:tcW w:w="811" w:type="dxa"/>
            <w:tcBorders>
              <w:top w:val="nil"/>
              <w:left w:val="nil"/>
              <w:bottom w:val="single" w:sz="4" w:space="0" w:color="auto"/>
              <w:right w:val="single" w:sz="4" w:space="0" w:color="auto"/>
            </w:tcBorders>
            <w:noWrap/>
            <w:hideMark/>
          </w:tcPr>
          <w:p w14:paraId="4E76EC5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32,7 w</w:t>
            </w:r>
          </w:p>
        </w:tc>
        <w:tc>
          <w:tcPr>
            <w:tcW w:w="839" w:type="dxa"/>
            <w:tcBorders>
              <w:top w:val="nil"/>
              <w:left w:val="nil"/>
              <w:bottom w:val="single" w:sz="4" w:space="0" w:color="auto"/>
              <w:right w:val="single" w:sz="4" w:space="0" w:color="auto"/>
            </w:tcBorders>
            <w:noWrap/>
            <w:hideMark/>
          </w:tcPr>
          <w:p w14:paraId="4354CE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39,8 w</w:t>
            </w:r>
          </w:p>
        </w:tc>
        <w:tc>
          <w:tcPr>
            <w:tcW w:w="839" w:type="dxa"/>
            <w:tcBorders>
              <w:top w:val="nil"/>
              <w:left w:val="nil"/>
              <w:bottom w:val="single" w:sz="4" w:space="0" w:color="auto"/>
              <w:right w:val="single" w:sz="4" w:space="0" w:color="auto"/>
            </w:tcBorders>
            <w:noWrap/>
            <w:hideMark/>
          </w:tcPr>
          <w:p w14:paraId="277ED2E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32,7 w</w:t>
            </w:r>
          </w:p>
        </w:tc>
        <w:tc>
          <w:tcPr>
            <w:tcW w:w="722" w:type="dxa"/>
            <w:tcBorders>
              <w:top w:val="nil"/>
              <w:left w:val="nil"/>
              <w:bottom w:val="single" w:sz="4" w:space="0" w:color="auto"/>
              <w:right w:val="single" w:sz="4" w:space="0" w:color="auto"/>
            </w:tcBorders>
            <w:noWrap/>
            <w:hideMark/>
          </w:tcPr>
          <w:p w14:paraId="476DDC6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36,6 w</w:t>
            </w:r>
          </w:p>
        </w:tc>
        <w:tc>
          <w:tcPr>
            <w:tcW w:w="720" w:type="dxa"/>
            <w:tcBorders>
              <w:top w:val="nil"/>
              <w:left w:val="nil"/>
              <w:bottom w:val="single" w:sz="4" w:space="0" w:color="auto"/>
              <w:right w:val="single" w:sz="4" w:space="0" w:color="auto"/>
            </w:tcBorders>
            <w:noWrap/>
            <w:hideMark/>
          </w:tcPr>
          <w:p w14:paraId="5CAE531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17,5 w</w:t>
            </w:r>
          </w:p>
        </w:tc>
        <w:tc>
          <w:tcPr>
            <w:tcW w:w="840" w:type="dxa"/>
            <w:tcBorders>
              <w:top w:val="nil"/>
              <w:left w:val="nil"/>
              <w:bottom w:val="single" w:sz="4" w:space="0" w:color="auto"/>
              <w:right w:val="single" w:sz="4" w:space="0" w:color="auto"/>
            </w:tcBorders>
            <w:noWrap/>
            <w:hideMark/>
          </w:tcPr>
          <w:p w14:paraId="26B7294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21,8 w</w:t>
            </w:r>
          </w:p>
        </w:tc>
        <w:tc>
          <w:tcPr>
            <w:tcW w:w="840" w:type="dxa"/>
            <w:tcBorders>
              <w:top w:val="nil"/>
              <w:left w:val="nil"/>
              <w:bottom w:val="single" w:sz="4" w:space="0" w:color="auto"/>
              <w:right w:val="single" w:sz="4" w:space="0" w:color="auto"/>
            </w:tcBorders>
            <w:noWrap/>
            <w:hideMark/>
          </w:tcPr>
          <w:p w14:paraId="5BB71C9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77,5</w:t>
            </w:r>
          </w:p>
        </w:tc>
        <w:tc>
          <w:tcPr>
            <w:tcW w:w="840" w:type="dxa"/>
            <w:tcBorders>
              <w:top w:val="nil"/>
              <w:left w:val="nil"/>
              <w:bottom w:val="single" w:sz="4" w:space="0" w:color="auto"/>
              <w:right w:val="single" w:sz="4" w:space="0" w:color="auto"/>
            </w:tcBorders>
            <w:noWrap/>
            <w:hideMark/>
          </w:tcPr>
          <w:p w14:paraId="1AD00B7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90,0</w:t>
            </w:r>
          </w:p>
        </w:tc>
      </w:tr>
    </w:tbl>
    <w:p w14:paraId="3D9DCB2E" w14:textId="77777777" w:rsidR="00221F1C" w:rsidRDefault="00221F1C" w:rsidP="00221F1C">
      <w:pPr>
        <w:spacing w:after="0" w:line="240" w:lineRule="auto"/>
        <w:rPr>
          <w:rFonts w:ascii="Arial" w:eastAsia="Times New Roman" w:hAnsi="Arial" w:cs="Arial"/>
          <w:noProof/>
          <w:color w:val="000000"/>
          <w:sz w:val="16"/>
          <w:szCs w:val="16"/>
          <w:lang w:eastAsia="zh-CN"/>
        </w:rPr>
        <w:sectPr w:rsidR="00221F1C">
          <w:headerReference w:type="even" r:id="rId30"/>
          <w:headerReference w:type="default" r:id="rId31"/>
          <w:footerReference w:type="even" r:id="rId32"/>
          <w:footerReference w:type="default" r:id="rId33"/>
          <w:headerReference w:type="first" r:id="rId34"/>
          <w:footerReference w:type="first" r:id="rId35"/>
          <w:pgSz w:w="16839" w:h="11907" w:orient="landscape"/>
          <w:pgMar w:top="1134" w:right="1134" w:bottom="851" w:left="1134" w:header="709" w:footer="709" w:gutter="0"/>
          <w:cols w:space="720"/>
        </w:sectPr>
      </w:pP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221F1C" w14:paraId="6A6FC422" w14:textId="77777777" w:rsidTr="00221F1C">
        <w:trPr>
          <w:trHeight w:val="225"/>
        </w:trPr>
        <w:tc>
          <w:tcPr>
            <w:tcW w:w="2400" w:type="dxa"/>
            <w:vMerge w:val="restart"/>
            <w:tcBorders>
              <w:top w:val="nil"/>
              <w:left w:val="nil"/>
              <w:bottom w:val="single" w:sz="4" w:space="0" w:color="auto"/>
              <w:right w:val="single" w:sz="4" w:space="0" w:color="auto"/>
            </w:tcBorders>
            <w:noWrap/>
            <w:vAlign w:val="center"/>
            <w:hideMark/>
          </w:tcPr>
          <w:p w14:paraId="698868F1"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b/>
                <w:noProof/>
                <w:sz w:val="16"/>
              </w:rPr>
              <w:t>Financijski pokazatelji</w:t>
            </w:r>
          </w:p>
        </w:tc>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14:paraId="312EDF76"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Napomena</w:t>
            </w:r>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14:paraId="6E3F79A5"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Crna Gora</w:t>
            </w:r>
          </w:p>
        </w:tc>
        <w:tc>
          <w:tcPr>
            <w:tcW w:w="1590" w:type="dxa"/>
            <w:gridSpan w:val="2"/>
            <w:tcBorders>
              <w:top w:val="single" w:sz="4" w:space="0" w:color="auto"/>
              <w:left w:val="single" w:sz="4" w:space="0" w:color="auto"/>
              <w:bottom w:val="single" w:sz="4" w:space="0" w:color="auto"/>
              <w:right w:val="single" w:sz="4" w:space="0" w:color="auto"/>
            </w:tcBorders>
            <w:noWrap/>
            <w:vAlign w:val="center"/>
            <w:hideMark/>
          </w:tcPr>
          <w:p w14:paraId="142AAF99"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Sjeverna Makedonija</w:t>
            </w:r>
          </w:p>
        </w:tc>
        <w:tc>
          <w:tcPr>
            <w:tcW w:w="1650" w:type="dxa"/>
            <w:gridSpan w:val="2"/>
            <w:tcBorders>
              <w:top w:val="single" w:sz="4" w:space="0" w:color="auto"/>
              <w:left w:val="single" w:sz="4" w:space="0" w:color="auto"/>
              <w:bottom w:val="single" w:sz="4" w:space="0" w:color="auto"/>
              <w:right w:val="single" w:sz="4" w:space="0" w:color="auto"/>
            </w:tcBorders>
            <w:noWrap/>
            <w:vAlign w:val="center"/>
            <w:hideMark/>
          </w:tcPr>
          <w:p w14:paraId="449F2F6A"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Albanija</w:t>
            </w:r>
          </w:p>
        </w:tc>
        <w:tc>
          <w:tcPr>
            <w:tcW w:w="1589" w:type="dxa"/>
            <w:gridSpan w:val="2"/>
            <w:tcBorders>
              <w:top w:val="single" w:sz="4" w:space="0" w:color="auto"/>
              <w:left w:val="single" w:sz="4" w:space="0" w:color="auto"/>
              <w:bottom w:val="single" w:sz="4" w:space="0" w:color="auto"/>
              <w:right w:val="single" w:sz="4" w:space="0" w:color="auto"/>
            </w:tcBorders>
            <w:noWrap/>
            <w:vAlign w:val="center"/>
            <w:hideMark/>
          </w:tcPr>
          <w:p w14:paraId="29EABD24"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Srbija</w:t>
            </w:r>
          </w:p>
        </w:tc>
        <w:tc>
          <w:tcPr>
            <w:tcW w:w="1650" w:type="dxa"/>
            <w:gridSpan w:val="2"/>
            <w:tcBorders>
              <w:top w:val="single" w:sz="4" w:space="0" w:color="auto"/>
              <w:left w:val="single" w:sz="4" w:space="0" w:color="auto"/>
              <w:bottom w:val="single" w:sz="4" w:space="0" w:color="auto"/>
              <w:right w:val="single" w:sz="4" w:space="0" w:color="auto"/>
            </w:tcBorders>
            <w:noWrap/>
            <w:vAlign w:val="center"/>
            <w:hideMark/>
          </w:tcPr>
          <w:p w14:paraId="2D66DA6E"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Turska</w:t>
            </w:r>
          </w:p>
        </w:tc>
        <w:tc>
          <w:tcPr>
            <w:tcW w:w="1561" w:type="dxa"/>
            <w:gridSpan w:val="2"/>
            <w:tcBorders>
              <w:top w:val="single" w:sz="4" w:space="0" w:color="auto"/>
              <w:left w:val="single" w:sz="4" w:space="0" w:color="auto"/>
              <w:bottom w:val="single" w:sz="4" w:space="0" w:color="auto"/>
              <w:right w:val="single" w:sz="4" w:space="0" w:color="auto"/>
            </w:tcBorders>
            <w:noWrap/>
            <w:vAlign w:val="center"/>
            <w:hideMark/>
          </w:tcPr>
          <w:p w14:paraId="5DD68B5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Bosna i</w:t>
            </w:r>
            <w:r>
              <w:rPr>
                <w:noProof/>
              </w:rPr>
              <w:t xml:space="preserve"> </w:t>
            </w:r>
            <w:r>
              <w:rPr>
                <w:noProof/>
              </w:rPr>
              <w:br/>
            </w:r>
            <w:r>
              <w:rPr>
                <w:rFonts w:ascii="Arial" w:hAnsi="Arial"/>
                <w:noProof/>
                <w:sz w:val="16"/>
              </w:rPr>
              <w:t>Hercegovina</w:t>
            </w:r>
          </w:p>
        </w:tc>
        <w:tc>
          <w:tcPr>
            <w:tcW w:w="1560" w:type="dxa"/>
            <w:gridSpan w:val="2"/>
            <w:tcBorders>
              <w:top w:val="single" w:sz="4" w:space="0" w:color="auto"/>
              <w:left w:val="single" w:sz="4" w:space="0" w:color="auto"/>
              <w:bottom w:val="single" w:sz="4" w:space="0" w:color="auto"/>
              <w:right w:val="single" w:sz="4" w:space="0" w:color="auto"/>
            </w:tcBorders>
            <w:noWrap/>
            <w:vAlign w:val="center"/>
            <w:hideMark/>
          </w:tcPr>
          <w:p w14:paraId="0AABAF1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Kosovo*</w:t>
            </w:r>
          </w:p>
        </w:tc>
        <w:tc>
          <w:tcPr>
            <w:tcW w:w="1680" w:type="dxa"/>
            <w:gridSpan w:val="2"/>
            <w:tcBorders>
              <w:top w:val="single" w:sz="4" w:space="0" w:color="auto"/>
              <w:left w:val="single" w:sz="4" w:space="0" w:color="auto"/>
              <w:bottom w:val="single" w:sz="4" w:space="0" w:color="auto"/>
              <w:right w:val="single" w:sz="4" w:space="0" w:color="auto"/>
            </w:tcBorders>
            <w:noWrap/>
            <w:vAlign w:val="center"/>
            <w:hideMark/>
          </w:tcPr>
          <w:p w14:paraId="7767F6B0"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EU-27</w:t>
            </w:r>
          </w:p>
        </w:tc>
      </w:tr>
      <w:tr w:rsidR="00221F1C" w14:paraId="598E6939" w14:textId="77777777" w:rsidTr="00221F1C">
        <w:trPr>
          <w:trHeight w:val="225"/>
        </w:trPr>
        <w:tc>
          <w:tcPr>
            <w:tcW w:w="2400" w:type="dxa"/>
            <w:vMerge/>
            <w:tcBorders>
              <w:top w:val="nil"/>
              <w:left w:val="nil"/>
              <w:bottom w:val="single" w:sz="4" w:space="0" w:color="auto"/>
              <w:right w:val="single" w:sz="4" w:space="0" w:color="auto"/>
            </w:tcBorders>
            <w:vAlign w:val="center"/>
            <w:hideMark/>
          </w:tcPr>
          <w:p w14:paraId="5CC4327A" w14:textId="77777777" w:rsidR="00221F1C" w:rsidRDefault="00221F1C">
            <w:pPr>
              <w:spacing w:after="0"/>
              <w:rPr>
                <w:rFonts w:ascii="Arial" w:eastAsia="Times New Roman" w:hAnsi="Arial" w:cs="Arial"/>
                <w:noProof/>
                <w:color w:val="000000"/>
                <w:sz w:val="16"/>
                <w:szCs w:val="16"/>
                <w:lang w:eastAsia="zh-CN"/>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DD16243" w14:textId="77777777" w:rsidR="00221F1C" w:rsidRDefault="00221F1C">
            <w:pPr>
              <w:spacing w:after="0"/>
              <w:rPr>
                <w:rFonts w:ascii="Arial" w:eastAsia="Times New Roman" w:hAnsi="Arial" w:cs="Arial"/>
                <w:noProof/>
                <w:color w:val="000000"/>
                <w:sz w:val="16"/>
                <w:szCs w:val="16"/>
                <w:lang w:eastAsia="zh-CN"/>
              </w:rPr>
            </w:pPr>
          </w:p>
        </w:tc>
        <w:tc>
          <w:tcPr>
            <w:tcW w:w="720" w:type="dxa"/>
            <w:tcBorders>
              <w:top w:val="single" w:sz="4" w:space="0" w:color="auto"/>
              <w:left w:val="nil"/>
              <w:bottom w:val="single" w:sz="4" w:space="0" w:color="auto"/>
              <w:right w:val="single" w:sz="4" w:space="0" w:color="auto"/>
            </w:tcBorders>
            <w:hideMark/>
          </w:tcPr>
          <w:p w14:paraId="14B38C6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471EA3E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7D820C1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011692E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5A0EFCA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single" w:sz="4" w:space="0" w:color="auto"/>
              <w:left w:val="nil"/>
              <w:bottom w:val="single" w:sz="4" w:space="0" w:color="auto"/>
              <w:right w:val="single" w:sz="4" w:space="0" w:color="auto"/>
            </w:tcBorders>
            <w:hideMark/>
          </w:tcPr>
          <w:p w14:paraId="0BFEED0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4DD9105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1B54ED2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single" w:sz="4" w:space="0" w:color="auto"/>
              <w:left w:val="nil"/>
              <w:bottom w:val="single" w:sz="4" w:space="0" w:color="auto"/>
              <w:right w:val="single" w:sz="4" w:space="0" w:color="auto"/>
            </w:tcBorders>
            <w:hideMark/>
          </w:tcPr>
          <w:p w14:paraId="241A4A8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single" w:sz="4" w:space="0" w:color="auto"/>
              <w:left w:val="nil"/>
              <w:bottom w:val="single" w:sz="4" w:space="0" w:color="auto"/>
              <w:right w:val="single" w:sz="4" w:space="0" w:color="auto"/>
            </w:tcBorders>
            <w:hideMark/>
          </w:tcPr>
          <w:p w14:paraId="1FA91B3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358508F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single" w:sz="4" w:space="0" w:color="auto"/>
              <w:left w:val="nil"/>
              <w:bottom w:val="single" w:sz="4" w:space="0" w:color="auto"/>
              <w:right w:val="single" w:sz="4" w:space="0" w:color="auto"/>
            </w:tcBorders>
            <w:hideMark/>
          </w:tcPr>
          <w:p w14:paraId="4BB576E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single" w:sz="4" w:space="0" w:color="auto"/>
              <w:left w:val="nil"/>
              <w:bottom w:val="single" w:sz="4" w:space="0" w:color="auto"/>
              <w:right w:val="single" w:sz="4" w:space="0" w:color="auto"/>
            </w:tcBorders>
            <w:hideMark/>
          </w:tcPr>
          <w:p w14:paraId="0B9F0B8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6F89254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7B69328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0DC4FF9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65D36F12" w14:textId="77777777" w:rsidTr="00221F1C">
        <w:trPr>
          <w:trHeight w:val="450"/>
        </w:trPr>
        <w:tc>
          <w:tcPr>
            <w:tcW w:w="2400" w:type="dxa"/>
            <w:tcBorders>
              <w:top w:val="single" w:sz="4" w:space="0" w:color="auto"/>
              <w:left w:val="single" w:sz="4" w:space="0" w:color="auto"/>
              <w:bottom w:val="single" w:sz="4" w:space="0" w:color="auto"/>
              <w:right w:val="single" w:sz="4" w:space="0" w:color="auto"/>
            </w:tcBorders>
            <w:hideMark/>
          </w:tcPr>
          <w:p w14:paraId="476784FA"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Godišnja promjena maloprodajnih cijena (%)</w:t>
            </w:r>
          </w:p>
        </w:tc>
        <w:tc>
          <w:tcPr>
            <w:tcW w:w="600" w:type="dxa"/>
            <w:tcBorders>
              <w:top w:val="nil"/>
              <w:left w:val="nil"/>
              <w:bottom w:val="single" w:sz="4" w:space="0" w:color="auto"/>
              <w:right w:val="single" w:sz="4" w:space="0" w:color="auto"/>
            </w:tcBorders>
            <w:hideMark/>
          </w:tcPr>
          <w:p w14:paraId="6965396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11)</w:t>
            </w:r>
          </w:p>
        </w:tc>
        <w:tc>
          <w:tcPr>
            <w:tcW w:w="720" w:type="dxa"/>
            <w:tcBorders>
              <w:top w:val="nil"/>
              <w:left w:val="nil"/>
              <w:bottom w:val="single" w:sz="4" w:space="0" w:color="auto"/>
              <w:right w:val="single" w:sz="4" w:space="0" w:color="auto"/>
            </w:tcBorders>
            <w:noWrap/>
            <w:hideMark/>
          </w:tcPr>
          <w:p w14:paraId="6B58AC7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0,5 w</w:t>
            </w:r>
          </w:p>
        </w:tc>
        <w:tc>
          <w:tcPr>
            <w:tcW w:w="840" w:type="dxa"/>
            <w:tcBorders>
              <w:top w:val="nil"/>
              <w:left w:val="nil"/>
              <w:bottom w:val="single" w:sz="4" w:space="0" w:color="auto"/>
              <w:right w:val="single" w:sz="4" w:space="0" w:color="auto"/>
            </w:tcBorders>
            <w:noWrap/>
            <w:hideMark/>
          </w:tcPr>
          <w:p w14:paraId="43DD2EF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–0,8 w</w:t>
            </w:r>
          </w:p>
        </w:tc>
        <w:tc>
          <w:tcPr>
            <w:tcW w:w="840" w:type="dxa"/>
            <w:tcBorders>
              <w:top w:val="nil"/>
              <w:left w:val="nil"/>
              <w:bottom w:val="single" w:sz="4" w:space="0" w:color="auto"/>
              <w:right w:val="single" w:sz="4" w:space="0" w:color="auto"/>
            </w:tcBorders>
            <w:noWrap/>
            <w:hideMark/>
          </w:tcPr>
          <w:p w14:paraId="175F9C9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0,7 d</w:t>
            </w:r>
          </w:p>
        </w:tc>
        <w:tc>
          <w:tcPr>
            <w:tcW w:w="750" w:type="dxa"/>
            <w:tcBorders>
              <w:top w:val="nil"/>
              <w:left w:val="nil"/>
              <w:bottom w:val="single" w:sz="4" w:space="0" w:color="auto"/>
              <w:right w:val="single" w:sz="4" w:space="0" w:color="auto"/>
            </w:tcBorders>
            <w:noWrap/>
            <w:hideMark/>
          </w:tcPr>
          <w:p w14:paraId="4A060A3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 d</w:t>
            </w:r>
          </w:p>
        </w:tc>
        <w:tc>
          <w:tcPr>
            <w:tcW w:w="839" w:type="dxa"/>
            <w:tcBorders>
              <w:top w:val="nil"/>
              <w:left w:val="nil"/>
              <w:bottom w:val="single" w:sz="4" w:space="0" w:color="auto"/>
              <w:right w:val="single" w:sz="4" w:space="0" w:color="auto"/>
            </w:tcBorders>
            <w:noWrap/>
            <w:hideMark/>
          </w:tcPr>
          <w:p w14:paraId="64C1D76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 w</w:t>
            </w:r>
          </w:p>
        </w:tc>
        <w:tc>
          <w:tcPr>
            <w:tcW w:w="811" w:type="dxa"/>
            <w:tcBorders>
              <w:top w:val="nil"/>
              <w:left w:val="nil"/>
              <w:bottom w:val="single" w:sz="4" w:space="0" w:color="auto"/>
              <w:right w:val="single" w:sz="4" w:space="0" w:color="auto"/>
            </w:tcBorders>
            <w:noWrap/>
            <w:hideMark/>
          </w:tcPr>
          <w:p w14:paraId="7B70C5C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 w</w:t>
            </w:r>
          </w:p>
        </w:tc>
        <w:tc>
          <w:tcPr>
            <w:tcW w:w="839" w:type="dxa"/>
            <w:tcBorders>
              <w:top w:val="nil"/>
              <w:left w:val="nil"/>
              <w:bottom w:val="single" w:sz="4" w:space="0" w:color="auto"/>
              <w:right w:val="single" w:sz="4" w:space="0" w:color="auto"/>
            </w:tcBorders>
            <w:noWrap/>
            <w:hideMark/>
          </w:tcPr>
          <w:p w14:paraId="30607B2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 d</w:t>
            </w:r>
          </w:p>
        </w:tc>
        <w:tc>
          <w:tcPr>
            <w:tcW w:w="750" w:type="dxa"/>
            <w:tcBorders>
              <w:top w:val="nil"/>
              <w:left w:val="nil"/>
              <w:bottom w:val="single" w:sz="4" w:space="0" w:color="auto"/>
              <w:right w:val="single" w:sz="4" w:space="0" w:color="auto"/>
            </w:tcBorders>
            <w:noWrap/>
            <w:hideMark/>
          </w:tcPr>
          <w:p w14:paraId="0062280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 d</w:t>
            </w:r>
          </w:p>
        </w:tc>
        <w:tc>
          <w:tcPr>
            <w:tcW w:w="811" w:type="dxa"/>
            <w:tcBorders>
              <w:top w:val="nil"/>
              <w:left w:val="nil"/>
              <w:bottom w:val="single" w:sz="4" w:space="0" w:color="auto"/>
              <w:right w:val="single" w:sz="4" w:space="0" w:color="auto"/>
            </w:tcBorders>
            <w:noWrap/>
            <w:hideMark/>
          </w:tcPr>
          <w:p w14:paraId="50A603E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15,2 d</w:t>
            </w:r>
          </w:p>
        </w:tc>
        <w:tc>
          <w:tcPr>
            <w:tcW w:w="839" w:type="dxa"/>
            <w:tcBorders>
              <w:top w:val="nil"/>
              <w:left w:val="nil"/>
              <w:bottom w:val="single" w:sz="4" w:space="0" w:color="auto"/>
              <w:right w:val="single" w:sz="4" w:space="0" w:color="auto"/>
            </w:tcBorders>
            <w:noWrap/>
            <w:hideMark/>
          </w:tcPr>
          <w:p w14:paraId="0BF0CF0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12,3 d</w:t>
            </w:r>
          </w:p>
        </w:tc>
        <w:tc>
          <w:tcPr>
            <w:tcW w:w="839" w:type="dxa"/>
            <w:tcBorders>
              <w:top w:val="nil"/>
              <w:left w:val="nil"/>
              <w:bottom w:val="single" w:sz="4" w:space="0" w:color="auto"/>
              <w:right w:val="single" w:sz="4" w:space="0" w:color="auto"/>
            </w:tcBorders>
            <w:noWrap/>
            <w:hideMark/>
          </w:tcPr>
          <w:p w14:paraId="3043D99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0,6 w</w:t>
            </w:r>
          </w:p>
        </w:tc>
        <w:tc>
          <w:tcPr>
            <w:tcW w:w="722" w:type="dxa"/>
            <w:tcBorders>
              <w:top w:val="nil"/>
              <w:left w:val="nil"/>
              <w:bottom w:val="single" w:sz="4" w:space="0" w:color="auto"/>
              <w:right w:val="single" w:sz="4" w:space="0" w:color="auto"/>
            </w:tcBorders>
            <w:noWrap/>
            <w:hideMark/>
          </w:tcPr>
          <w:p w14:paraId="35FEAA8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 w</w:t>
            </w:r>
          </w:p>
        </w:tc>
        <w:tc>
          <w:tcPr>
            <w:tcW w:w="720" w:type="dxa"/>
            <w:tcBorders>
              <w:top w:val="nil"/>
              <w:left w:val="nil"/>
              <w:bottom w:val="single" w:sz="4" w:space="0" w:color="auto"/>
              <w:right w:val="single" w:sz="4" w:space="0" w:color="auto"/>
            </w:tcBorders>
            <w:noWrap/>
            <w:hideMark/>
          </w:tcPr>
          <w:p w14:paraId="05E1CE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 w</w:t>
            </w:r>
          </w:p>
        </w:tc>
        <w:tc>
          <w:tcPr>
            <w:tcW w:w="840" w:type="dxa"/>
            <w:tcBorders>
              <w:top w:val="nil"/>
              <w:left w:val="nil"/>
              <w:bottom w:val="single" w:sz="4" w:space="0" w:color="auto"/>
              <w:right w:val="single" w:sz="4" w:space="0" w:color="auto"/>
            </w:tcBorders>
            <w:noWrap/>
            <w:hideMark/>
          </w:tcPr>
          <w:p w14:paraId="42B6E29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0,2 w</w:t>
            </w:r>
          </w:p>
        </w:tc>
        <w:tc>
          <w:tcPr>
            <w:tcW w:w="840" w:type="dxa"/>
            <w:tcBorders>
              <w:top w:val="nil"/>
              <w:left w:val="nil"/>
              <w:bottom w:val="single" w:sz="4" w:space="0" w:color="auto"/>
              <w:right w:val="single" w:sz="4" w:space="0" w:color="auto"/>
            </w:tcBorders>
            <w:noWrap/>
            <w:hideMark/>
          </w:tcPr>
          <w:p w14:paraId="7D205B2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w:t>
            </w:r>
          </w:p>
        </w:tc>
        <w:tc>
          <w:tcPr>
            <w:tcW w:w="840" w:type="dxa"/>
            <w:tcBorders>
              <w:top w:val="nil"/>
              <w:left w:val="nil"/>
              <w:bottom w:val="single" w:sz="4" w:space="0" w:color="auto"/>
              <w:right w:val="single" w:sz="4" w:space="0" w:color="auto"/>
            </w:tcBorders>
            <w:noWrap/>
            <w:hideMark/>
          </w:tcPr>
          <w:p w14:paraId="5D56CBC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0,7.</w:t>
            </w:r>
          </w:p>
        </w:tc>
      </w:tr>
      <w:tr w:rsidR="00221F1C" w14:paraId="15A39D26"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7B58FC1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Privatni dug, konsolidiran, u odnosu na BDP (%)</w:t>
            </w:r>
          </w:p>
        </w:tc>
        <w:tc>
          <w:tcPr>
            <w:tcW w:w="600" w:type="dxa"/>
            <w:tcBorders>
              <w:top w:val="nil"/>
              <w:left w:val="nil"/>
              <w:bottom w:val="single" w:sz="4" w:space="0" w:color="auto"/>
              <w:right w:val="single" w:sz="4" w:space="0" w:color="auto"/>
            </w:tcBorders>
            <w:hideMark/>
          </w:tcPr>
          <w:p w14:paraId="1FCB4C61"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12) 13)</w:t>
            </w:r>
          </w:p>
        </w:tc>
        <w:tc>
          <w:tcPr>
            <w:tcW w:w="720" w:type="dxa"/>
            <w:tcBorders>
              <w:top w:val="nil"/>
              <w:left w:val="nil"/>
              <w:bottom w:val="single" w:sz="4" w:space="0" w:color="auto"/>
              <w:right w:val="single" w:sz="4" w:space="0" w:color="auto"/>
            </w:tcBorders>
            <w:noWrap/>
            <w:hideMark/>
          </w:tcPr>
          <w:p w14:paraId="553DF93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458F3E0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234B541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noWrap/>
            <w:hideMark/>
          </w:tcPr>
          <w:p w14:paraId="1BE6672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7110FB3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338367D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5332A5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noWrap/>
            <w:hideMark/>
          </w:tcPr>
          <w:p w14:paraId="58F6960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06E70BC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 w</w:t>
            </w:r>
          </w:p>
        </w:tc>
        <w:tc>
          <w:tcPr>
            <w:tcW w:w="839" w:type="dxa"/>
            <w:tcBorders>
              <w:top w:val="nil"/>
              <w:left w:val="nil"/>
              <w:bottom w:val="single" w:sz="4" w:space="0" w:color="auto"/>
              <w:right w:val="single" w:sz="4" w:space="0" w:color="auto"/>
            </w:tcBorders>
            <w:noWrap/>
            <w:hideMark/>
          </w:tcPr>
          <w:p w14:paraId="68BB745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10,3 w</w:t>
            </w:r>
          </w:p>
        </w:tc>
        <w:tc>
          <w:tcPr>
            <w:tcW w:w="839" w:type="dxa"/>
            <w:tcBorders>
              <w:top w:val="nil"/>
              <w:left w:val="nil"/>
              <w:bottom w:val="single" w:sz="4" w:space="0" w:color="auto"/>
              <w:right w:val="single" w:sz="4" w:space="0" w:color="auto"/>
            </w:tcBorders>
            <w:noWrap/>
            <w:hideMark/>
          </w:tcPr>
          <w:p w14:paraId="7A6BC78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3,8 w</w:t>
            </w:r>
          </w:p>
        </w:tc>
        <w:tc>
          <w:tcPr>
            <w:tcW w:w="722" w:type="dxa"/>
            <w:tcBorders>
              <w:top w:val="nil"/>
              <w:left w:val="nil"/>
              <w:bottom w:val="single" w:sz="4" w:space="0" w:color="auto"/>
              <w:right w:val="single" w:sz="4" w:space="0" w:color="auto"/>
            </w:tcBorders>
            <w:noWrap/>
            <w:hideMark/>
          </w:tcPr>
          <w:p w14:paraId="13D3A67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–1,2 w</w:t>
            </w:r>
          </w:p>
        </w:tc>
        <w:tc>
          <w:tcPr>
            <w:tcW w:w="720" w:type="dxa"/>
            <w:tcBorders>
              <w:top w:val="nil"/>
              <w:left w:val="nil"/>
              <w:bottom w:val="single" w:sz="4" w:space="0" w:color="auto"/>
              <w:right w:val="single" w:sz="4" w:space="0" w:color="auto"/>
            </w:tcBorders>
            <w:noWrap/>
            <w:hideMark/>
          </w:tcPr>
          <w:p w14:paraId="39A71F3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5B64787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86E22A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74344E0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20D5328E"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40D06C7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Ukupan vanjski dug u odnosu na BDP (%)</w:t>
            </w:r>
          </w:p>
        </w:tc>
        <w:tc>
          <w:tcPr>
            <w:tcW w:w="600" w:type="dxa"/>
            <w:tcBorders>
              <w:top w:val="nil"/>
              <w:left w:val="nil"/>
              <w:bottom w:val="single" w:sz="4" w:space="0" w:color="auto"/>
              <w:right w:val="single" w:sz="4" w:space="0" w:color="auto"/>
            </w:tcBorders>
            <w:hideMark/>
          </w:tcPr>
          <w:p w14:paraId="16DE94E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14) 15) 16)</w:t>
            </w:r>
          </w:p>
        </w:tc>
        <w:tc>
          <w:tcPr>
            <w:tcW w:w="720" w:type="dxa"/>
            <w:tcBorders>
              <w:top w:val="nil"/>
              <w:left w:val="nil"/>
              <w:bottom w:val="single" w:sz="4" w:space="0" w:color="auto"/>
              <w:right w:val="single" w:sz="4" w:space="0" w:color="auto"/>
            </w:tcBorders>
            <w:noWrap/>
            <w:hideMark/>
          </w:tcPr>
          <w:p w14:paraId="74045E0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169,0 sw</w:t>
            </w:r>
          </w:p>
        </w:tc>
        <w:tc>
          <w:tcPr>
            <w:tcW w:w="840" w:type="dxa"/>
            <w:tcBorders>
              <w:top w:val="nil"/>
              <w:left w:val="nil"/>
              <w:bottom w:val="single" w:sz="4" w:space="0" w:color="auto"/>
              <w:right w:val="single" w:sz="4" w:space="0" w:color="auto"/>
            </w:tcBorders>
            <w:noWrap/>
            <w:hideMark/>
          </w:tcPr>
          <w:p w14:paraId="66981E2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224,1 sw</w:t>
            </w:r>
          </w:p>
        </w:tc>
        <w:tc>
          <w:tcPr>
            <w:tcW w:w="840" w:type="dxa"/>
            <w:tcBorders>
              <w:top w:val="nil"/>
              <w:left w:val="nil"/>
              <w:bottom w:val="single" w:sz="4" w:space="0" w:color="auto"/>
              <w:right w:val="single" w:sz="4" w:space="0" w:color="auto"/>
            </w:tcBorders>
            <w:noWrap/>
            <w:hideMark/>
          </w:tcPr>
          <w:p w14:paraId="74C91E9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72,4 s</w:t>
            </w:r>
          </w:p>
        </w:tc>
        <w:tc>
          <w:tcPr>
            <w:tcW w:w="750" w:type="dxa"/>
            <w:tcBorders>
              <w:top w:val="nil"/>
              <w:left w:val="nil"/>
              <w:bottom w:val="single" w:sz="4" w:space="0" w:color="auto"/>
              <w:right w:val="single" w:sz="4" w:space="0" w:color="auto"/>
            </w:tcBorders>
            <w:noWrap/>
            <w:hideMark/>
          </w:tcPr>
          <w:p w14:paraId="62A8A7E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80,3 ps</w:t>
            </w:r>
          </w:p>
        </w:tc>
        <w:tc>
          <w:tcPr>
            <w:tcW w:w="839" w:type="dxa"/>
            <w:tcBorders>
              <w:top w:val="nil"/>
              <w:left w:val="nil"/>
              <w:bottom w:val="single" w:sz="4" w:space="0" w:color="auto"/>
              <w:right w:val="single" w:sz="4" w:space="0" w:color="auto"/>
            </w:tcBorders>
            <w:noWrap/>
            <w:hideMark/>
          </w:tcPr>
          <w:p w14:paraId="7B3E49B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59,9 s</w:t>
            </w:r>
          </w:p>
        </w:tc>
        <w:tc>
          <w:tcPr>
            <w:tcW w:w="811" w:type="dxa"/>
            <w:tcBorders>
              <w:top w:val="nil"/>
              <w:left w:val="nil"/>
              <w:bottom w:val="single" w:sz="4" w:space="0" w:color="auto"/>
              <w:right w:val="single" w:sz="4" w:space="0" w:color="auto"/>
            </w:tcBorders>
            <w:noWrap/>
            <w:hideMark/>
          </w:tcPr>
          <w:p w14:paraId="1F9EFAE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64,3 ps</w:t>
            </w:r>
          </w:p>
        </w:tc>
        <w:tc>
          <w:tcPr>
            <w:tcW w:w="839" w:type="dxa"/>
            <w:tcBorders>
              <w:top w:val="nil"/>
              <w:left w:val="nil"/>
              <w:bottom w:val="single" w:sz="4" w:space="0" w:color="auto"/>
              <w:right w:val="single" w:sz="4" w:space="0" w:color="auto"/>
            </w:tcBorders>
            <w:noWrap/>
            <w:hideMark/>
          </w:tcPr>
          <w:p w14:paraId="310C287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61,4 sw</w:t>
            </w:r>
          </w:p>
        </w:tc>
        <w:tc>
          <w:tcPr>
            <w:tcW w:w="750" w:type="dxa"/>
            <w:tcBorders>
              <w:top w:val="nil"/>
              <w:left w:val="nil"/>
              <w:bottom w:val="single" w:sz="4" w:space="0" w:color="auto"/>
              <w:right w:val="single" w:sz="4" w:space="0" w:color="auto"/>
            </w:tcBorders>
            <w:noWrap/>
            <w:hideMark/>
          </w:tcPr>
          <w:p w14:paraId="3A7A22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65,8 sw</w:t>
            </w:r>
          </w:p>
        </w:tc>
        <w:tc>
          <w:tcPr>
            <w:tcW w:w="811" w:type="dxa"/>
            <w:tcBorders>
              <w:top w:val="nil"/>
              <w:left w:val="nil"/>
              <w:bottom w:val="single" w:sz="4" w:space="0" w:color="auto"/>
              <w:right w:val="single" w:sz="4" w:space="0" w:color="auto"/>
            </w:tcBorders>
            <w:noWrap/>
            <w:hideMark/>
          </w:tcPr>
          <w:p w14:paraId="7A8D08B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54,8 sw</w:t>
            </w:r>
          </w:p>
        </w:tc>
        <w:tc>
          <w:tcPr>
            <w:tcW w:w="839" w:type="dxa"/>
            <w:tcBorders>
              <w:top w:val="nil"/>
              <w:left w:val="nil"/>
              <w:bottom w:val="single" w:sz="4" w:space="0" w:color="auto"/>
              <w:right w:val="single" w:sz="4" w:space="0" w:color="auto"/>
            </w:tcBorders>
            <w:noWrap/>
            <w:hideMark/>
          </w:tcPr>
          <w:p w14:paraId="0F95225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60,5 sw</w:t>
            </w:r>
          </w:p>
        </w:tc>
        <w:tc>
          <w:tcPr>
            <w:tcW w:w="839" w:type="dxa"/>
            <w:tcBorders>
              <w:top w:val="nil"/>
              <w:left w:val="nil"/>
              <w:bottom w:val="single" w:sz="4" w:space="0" w:color="auto"/>
              <w:right w:val="single" w:sz="4" w:space="0" w:color="auto"/>
            </w:tcBorders>
            <w:noWrap/>
            <w:hideMark/>
          </w:tcPr>
          <w:p w14:paraId="67540C3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63,6 sw</w:t>
            </w:r>
          </w:p>
        </w:tc>
        <w:tc>
          <w:tcPr>
            <w:tcW w:w="722" w:type="dxa"/>
            <w:tcBorders>
              <w:top w:val="nil"/>
              <w:left w:val="nil"/>
              <w:bottom w:val="single" w:sz="4" w:space="0" w:color="auto"/>
              <w:right w:val="single" w:sz="4" w:space="0" w:color="auto"/>
            </w:tcBorders>
            <w:noWrap/>
            <w:hideMark/>
          </w:tcPr>
          <w:p w14:paraId="1E66AB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64,9 sw</w:t>
            </w:r>
          </w:p>
        </w:tc>
        <w:tc>
          <w:tcPr>
            <w:tcW w:w="720" w:type="dxa"/>
            <w:tcBorders>
              <w:top w:val="nil"/>
              <w:left w:val="nil"/>
              <w:bottom w:val="single" w:sz="4" w:space="0" w:color="auto"/>
              <w:right w:val="single" w:sz="4" w:space="0" w:color="auto"/>
            </w:tcBorders>
            <w:noWrap/>
            <w:hideMark/>
          </w:tcPr>
          <w:p w14:paraId="63C0979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31,2 sw</w:t>
            </w:r>
          </w:p>
        </w:tc>
        <w:tc>
          <w:tcPr>
            <w:tcW w:w="840" w:type="dxa"/>
            <w:tcBorders>
              <w:top w:val="nil"/>
              <w:left w:val="nil"/>
              <w:bottom w:val="single" w:sz="4" w:space="0" w:color="auto"/>
              <w:right w:val="single" w:sz="4" w:space="0" w:color="auto"/>
            </w:tcBorders>
            <w:noWrap/>
            <w:hideMark/>
          </w:tcPr>
          <w:p w14:paraId="6E852E7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37,2 sw</w:t>
            </w:r>
          </w:p>
        </w:tc>
        <w:tc>
          <w:tcPr>
            <w:tcW w:w="840" w:type="dxa"/>
            <w:tcBorders>
              <w:top w:val="nil"/>
              <w:left w:val="nil"/>
              <w:bottom w:val="single" w:sz="4" w:space="0" w:color="auto"/>
              <w:right w:val="single" w:sz="4" w:space="0" w:color="auto"/>
            </w:tcBorders>
            <w:noWrap/>
            <w:hideMark/>
          </w:tcPr>
          <w:p w14:paraId="0654493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6A88E5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52DB1F66"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2E01236A"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Ukupan dug u stranoj valuti u odnosu na BDP (%)</w:t>
            </w:r>
          </w:p>
        </w:tc>
        <w:tc>
          <w:tcPr>
            <w:tcW w:w="600" w:type="dxa"/>
            <w:tcBorders>
              <w:top w:val="nil"/>
              <w:left w:val="nil"/>
              <w:bottom w:val="single" w:sz="4" w:space="0" w:color="auto"/>
              <w:right w:val="single" w:sz="4" w:space="0" w:color="auto"/>
            </w:tcBorders>
            <w:hideMark/>
          </w:tcPr>
          <w:p w14:paraId="7CB86B5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17)</w:t>
            </w:r>
          </w:p>
        </w:tc>
        <w:tc>
          <w:tcPr>
            <w:tcW w:w="720" w:type="dxa"/>
            <w:tcBorders>
              <w:top w:val="nil"/>
              <w:left w:val="nil"/>
              <w:bottom w:val="single" w:sz="4" w:space="0" w:color="auto"/>
              <w:right w:val="single" w:sz="4" w:space="0" w:color="auto"/>
            </w:tcBorders>
            <w:noWrap/>
            <w:hideMark/>
          </w:tcPr>
          <w:p w14:paraId="49FA5CD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 w</w:t>
            </w:r>
          </w:p>
        </w:tc>
        <w:tc>
          <w:tcPr>
            <w:tcW w:w="840" w:type="dxa"/>
            <w:tcBorders>
              <w:top w:val="nil"/>
              <w:left w:val="nil"/>
              <w:bottom w:val="single" w:sz="4" w:space="0" w:color="auto"/>
              <w:right w:val="single" w:sz="4" w:space="0" w:color="auto"/>
            </w:tcBorders>
            <w:noWrap/>
            <w:hideMark/>
          </w:tcPr>
          <w:p w14:paraId="24C8908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17 w</w:t>
            </w:r>
          </w:p>
        </w:tc>
        <w:tc>
          <w:tcPr>
            <w:tcW w:w="840" w:type="dxa"/>
            <w:tcBorders>
              <w:top w:val="nil"/>
              <w:left w:val="nil"/>
              <w:bottom w:val="single" w:sz="4" w:space="0" w:color="auto"/>
              <w:right w:val="single" w:sz="4" w:space="0" w:color="auto"/>
            </w:tcBorders>
            <w:noWrap/>
            <w:hideMark/>
          </w:tcPr>
          <w:p w14:paraId="3D5D5E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noWrap/>
            <w:hideMark/>
          </w:tcPr>
          <w:p w14:paraId="41FFAEC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08E0739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60 w</w:t>
            </w:r>
          </w:p>
        </w:tc>
        <w:tc>
          <w:tcPr>
            <w:tcW w:w="811" w:type="dxa"/>
            <w:tcBorders>
              <w:top w:val="nil"/>
              <w:left w:val="nil"/>
              <w:bottom w:val="single" w:sz="4" w:space="0" w:color="auto"/>
              <w:right w:val="single" w:sz="4" w:space="0" w:color="auto"/>
            </w:tcBorders>
            <w:noWrap/>
            <w:hideMark/>
          </w:tcPr>
          <w:p w14:paraId="25C022C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66 w</w:t>
            </w:r>
          </w:p>
        </w:tc>
        <w:tc>
          <w:tcPr>
            <w:tcW w:w="839" w:type="dxa"/>
            <w:tcBorders>
              <w:top w:val="nil"/>
              <w:left w:val="nil"/>
              <w:bottom w:val="single" w:sz="4" w:space="0" w:color="auto"/>
              <w:right w:val="single" w:sz="4" w:space="0" w:color="auto"/>
            </w:tcBorders>
            <w:noWrap/>
            <w:hideMark/>
          </w:tcPr>
          <w:p w14:paraId="570316D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50" w:type="dxa"/>
            <w:tcBorders>
              <w:top w:val="nil"/>
              <w:left w:val="nil"/>
              <w:bottom w:val="single" w:sz="4" w:space="0" w:color="auto"/>
              <w:right w:val="single" w:sz="4" w:space="0" w:color="auto"/>
            </w:tcBorders>
            <w:noWrap/>
            <w:hideMark/>
          </w:tcPr>
          <w:p w14:paraId="2C901B2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11" w:type="dxa"/>
            <w:tcBorders>
              <w:top w:val="nil"/>
              <w:left w:val="nil"/>
              <w:bottom w:val="single" w:sz="4" w:space="0" w:color="auto"/>
              <w:right w:val="single" w:sz="4" w:space="0" w:color="auto"/>
            </w:tcBorders>
            <w:noWrap/>
            <w:hideMark/>
          </w:tcPr>
          <w:p w14:paraId="2F6FB53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6B86C77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39" w:type="dxa"/>
            <w:tcBorders>
              <w:top w:val="nil"/>
              <w:left w:val="nil"/>
              <w:bottom w:val="single" w:sz="4" w:space="0" w:color="auto"/>
              <w:right w:val="single" w:sz="4" w:space="0" w:color="auto"/>
            </w:tcBorders>
            <w:noWrap/>
            <w:hideMark/>
          </w:tcPr>
          <w:p w14:paraId="2C9F99B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2" w:type="dxa"/>
            <w:tcBorders>
              <w:top w:val="nil"/>
              <w:left w:val="nil"/>
              <w:bottom w:val="single" w:sz="4" w:space="0" w:color="auto"/>
              <w:right w:val="single" w:sz="4" w:space="0" w:color="auto"/>
            </w:tcBorders>
            <w:noWrap/>
            <w:hideMark/>
          </w:tcPr>
          <w:p w14:paraId="01D9E2C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720" w:type="dxa"/>
            <w:tcBorders>
              <w:top w:val="nil"/>
              <w:left w:val="nil"/>
              <w:bottom w:val="single" w:sz="4" w:space="0" w:color="auto"/>
              <w:right w:val="single" w:sz="4" w:space="0" w:color="auto"/>
            </w:tcBorders>
            <w:noWrap/>
            <w:hideMark/>
          </w:tcPr>
          <w:p w14:paraId="1EDD63C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2E48A1D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375342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25DC85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6EA21995"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3B50609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Kamatne stope na zaduživanje (godinu dana), godišnje (%)</w:t>
            </w:r>
          </w:p>
        </w:tc>
        <w:tc>
          <w:tcPr>
            <w:tcW w:w="600" w:type="dxa"/>
            <w:tcBorders>
              <w:top w:val="nil"/>
              <w:left w:val="nil"/>
              <w:bottom w:val="single" w:sz="4" w:space="0" w:color="auto"/>
              <w:right w:val="single" w:sz="4" w:space="0" w:color="auto"/>
            </w:tcBorders>
            <w:hideMark/>
          </w:tcPr>
          <w:p w14:paraId="1595BD0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18) 19) 20) 21) 22)</w:t>
            </w:r>
          </w:p>
        </w:tc>
        <w:tc>
          <w:tcPr>
            <w:tcW w:w="720" w:type="dxa"/>
            <w:tcBorders>
              <w:top w:val="nil"/>
              <w:left w:val="nil"/>
              <w:bottom w:val="single" w:sz="4" w:space="0" w:color="auto"/>
              <w:right w:val="single" w:sz="4" w:space="0" w:color="auto"/>
            </w:tcBorders>
            <w:noWrap/>
            <w:hideMark/>
          </w:tcPr>
          <w:p w14:paraId="2C82407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6,01 w</w:t>
            </w:r>
          </w:p>
        </w:tc>
        <w:tc>
          <w:tcPr>
            <w:tcW w:w="840" w:type="dxa"/>
            <w:tcBorders>
              <w:top w:val="nil"/>
              <w:left w:val="nil"/>
              <w:bottom w:val="single" w:sz="4" w:space="0" w:color="auto"/>
              <w:right w:val="single" w:sz="4" w:space="0" w:color="auto"/>
            </w:tcBorders>
            <w:noWrap/>
            <w:hideMark/>
          </w:tcPr>
          <w:p w14:paraId="1BEEE2A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5,84 w</w:t>
            </w:r>
          </w:p>
        </w:tc>
        <w:tc>
          <w:tcPr>
            <w:tcW w:w="840" w:type="dxa"/>
            <w:tcBorders>
              <w:top w:val="nil"/>
              <w:left w:val="nil"/>
              <w:bottom w:val="single" w:sz="4" w:space="0" w:color="auto"/>
              <w:right w:val="single" w:sz="4" w:space="0" w:color="auto"/>
            </w:tcBorders>
            <w:noWrap/>
            <w:hideMark/>
          </w:tcPr>
          <w:p w14:paraId="367AE67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2,75 w</w:t>
            </w:r>
          </w:p>
        </w:tc>
        <w:tc>
          <w:tcPr>
            <w:tcW w:w="750" w:type="dxa"/>
            <w:tcBorders>
              <w:top w:val="nil"/>
              <w:left w:val="nil"/>
              <w:bottom w:val="single" w:sz="4" w:space="0" w:color="auto"/>
              <w:right w:val="single" w:sz="4" w:space="0" w:color="auto"/>
            </w:tcBorders>
            <w:noWrap/>
            <w:hideMark/>
          </w:tcPr>
          <w:p w14:paraId="23E7E7A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2,00 w</w:t>
            </w:r>
          </w:p>
        </w:tc>
        <w:tc>
          <w:tcPr>
            <w:tcW w:w="839" w:type="dxa"/>
            <w:tcBorders>
              <w:top w:val="nil"/>
              <w:left w:val="nil"/>
              <w:bottom w:val="single" w:sz="4" w:space="0" w:color="auto"/>
              <w:right w:val="single" w:sz="4" w:space="0" w:color="auto"/>
            </w:tcBorders>
            <w:noWrap/>
            <w:hideMark/>
          </w:tcPr>
          <w:p w14:paraId="12AEC0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6,27 w</w:t>
            </w:r>
          </w:p>
        </w:tc>
        <w:tc>
          <w:tcPr>
            <w:tcW w:w="811" w:type="dxa"/>
            <w:tcBorders>
              <w:top w:val="nil"/>
              <w:left w:val="nil"/>
              <w:bottom w:val="single" w:sz="4" w:space="0" w:color="auto"/>
              <w:right w:val="single" w:sz="4" w:space="0" w:color="auto"/>
            </w:tcBorders>
            <w:noWrap/>
            <w:hideMark/>
          </w:tcPr>
          <w:p w14:paraId="55213EA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6,10 w</w:t>
            </w:r>
          </w:p>
        </w:tc>
        <w:tc>
          <w:tcPr>
            <w:tcW w:w="839" w:type="dxa"/>
            <w:tcBorders>
              <w:top w:val="nil"/>
              <w:left w:val="nil"/>
              <w:bottom w:val="single" w:sz="4" w:space="0" w:color="auto"/>
              <w:right w:val="single" w:sz="4" w:space="0" w:color="auto"/>
            </w:tcBorders>
            <w:noWrap/>
            <w:hideMark/>
          </w:tcPr>
          <w:p w14:paraId="776D55C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3,50 w</w:t>
            </w:r>
          </w:p>
        </w:tc>
        <w:tc>
          <w:tcPr>
            <w:tcW w:w="750" w:type="dxa"/>
            <w:tcBorders>
              <w:top w:val="nil"/>
              <w:left w:val="nil"/>
              <w:bottom w:val="single" w:sz="4" w:space="0" w:color="auto"/>
              <w:right w:val="single" w:sz="4" w:space="0" w:color="auto"/>
            </w:tcBorders>
            <w:noWrap/>
            <w:hideMark/>
          </w:tcPr>
          <w:p w14:paraId="388157B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1,90 w</w:t>
            </w:r>
          </w:p>
        </w:tc>
        <w:tc>
          <w:tcPr>
            <w:tcW w:w="811" w:type="dxa"/>
            <w:tcBorders>
              <w:top w:val="nil"/>
              <w:left w:val="nil"/>
              <w:bottom w:val="single" w:sz="4" w:space="0" w:color="auto"/>
              <w:right w:val="single" w:sz="4" w:space="0" w:color="auto"/>
            </w:tcBorders>
            <w:noWrap/>
            <w:hideMark/>
          </w:tcPr>
          <w:p w14:paraId="550FC56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15,84 w</w:t>
            </w:r>
          </w:p>
        </w:tc>
        <w:tc>
          <w:tcPr>
            <w:tcW w:w="839" w:type="dxa"/>
            <w:tcBorders>
              <w:top w:val="nil"/>
              <w:left w:val="nil"/>
              <w:bottom w:val="single" w:sz="4" w:space="0" w:color="auto"/>
              <w:right w:val="single" w:sz="4" w:space="0" w:color="auto"/>
            </w:tcBorders>
            <w:noWrap/>
            <w:hideMark/>
          </w:tcPr>
          <w:p w14:paraId="5914CEC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16,46 w</w:t>
            </w:r>
          </w:p>
        </w:tc>
        <w:tc>
          <w:tcPr>
            <w:tcW w:w="839" w:type="dxa"/>
            <w:tcBorders>
              <w:top w:val="nil"/>
              <w:left w:val="nil"/>
              <w:bottom w:val="single" w:sz="4" w:space="0" w:color="auto"/>
              <w:right w:val="single" w:sz="4" w:space="0" w:color="auto"/>
            </w:tcBorders>
            <w:noWrap/>
            <w:hideMark/>
          </w:tcPr>
          <w:p w14:paraId="0E4E1B7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3,29 w</w:t>
            </w:r>
          </w:p>
        </w:tc>
        <w:tc>
          <w:tcPr>
            <w:tcW w:w="722" w:type="dxa"/>
            <w:tcBorders>
              <w:top w:val="nil"/>
              <w:left w:val="nil"/>
              <w:bottom w:val="single" w:sz="4" w:space="0" w:color="auto"/>
              <w:right w:val="single" w:sz="4" w:space="0" w:color="auto"/>
            </w:tcBorders>
            <w:noWrap/>
            <w:hideMark/>
          </w:tcPr>
          <w:p w14:paraId="657F5B6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3,05 w</w:t>
            </w:r>
          </w:p>
        </w:tc>
        <w:tc>
          <w:tcPr>
            <w:tcW w:w="720" w:type="dxa"/>
            <w:tcBorders>
              <w:top w:val="nil"/>
              <w:left w:val="nil"/>
              <w:bottom w:val="single" w:sz="4" w:space="0" w:color="auto"/>
              <w:right w:val="single" w:sz="4" w:space="0" w:color="auto"/>
            </w:tcBorders>
            <w:noWrap/>
            <w:hideMark/>
          </w:tcPr>
          <w:p w14:paraId="61E31FD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6,51 w</w:t>
            </w:r>
          </w:p>
        </w:tc>
        <w:tc>
          <w:tcPr>
            <w:tcW w:w="840" w:type="dxa"/>
            <w:tcBorders>
              <w:top w:val="nil"/>
              <w:left w:val="nil"/>
              <w:bottom w:val="single" w:sz="4" w:space="0" w:color="auto"/>
              <w:right w:val="single" w:sz="4" w:space="0" w:color="auto"/>
            </w:tcBorders>
            <w:noWrap/>
            <w:hideMark/>
          </w:tcPr>
          <w:p w14:paraId="614A551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6,21 w</w:t>
            </w:r>
          </w:p>
        </w:tc>
        <w:tc>
          <w:tcPr>
            <w:tcW w:w="840" w:type="dxa"/>
            <w:tcBorders>
              <w:top w:val="nil"/>
              <w:left w:val="nil"/>
              <w:bottom w:val="single" w:sz="4" w:space="0" w:color="auto"/>
              <w:right w:val="single" w:sz="4" w:space="0" w:color="auto"/>
            </w:tcBorders>
            <w:noWrap/>
            <w:hideMark/>
          </w:tcPr>
          <w:p w14:paraId="7BB07F6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D15210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7B04EC04" w14:textId="77777777" w:rsidTr="00221F1C">
        <w:trPr>
          <w:trHeight w:val="450"/>
        </w:trPr>
        <w:tc>
          <w:tcPr>
            <w:tcW w:w="2400" w:type="dxa"/>
            <w:tcBorders>
              <w:top w:val="nil"/>
              <w:left w:val="single" w:sz="4" w:space="0" w:color="auto"/>
              <w:bottom w:val="single" w:sz="4" w:space="0" w:color="auto"/>
              <w:right w:val="single" w:sz="4" w:space="0" w:color="auto"/>
            </w:tcBorders>
            <w:hideMark/>
          </w:tcPr>
          <w:p w14:paraId="5BBC60D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Kamatne stope na depozite (godinu dana), godišnje (%)</w:t>
            </w:r>
          </w:p>
        </w:tc>
        <w:tc>
          <w:tcPr>
            <w:tcW w:w="600" w:type="dxa"/>
            <w:tcBorders>
              <w:top w:val="nil"/>
              <w:left w:val="nil"/>
              <w:bottom w:val="single" w:sz="4" w:space="0" w:color="auto"/>
              <w:right w:val="single" w:sz="4" w:space="0" w:color="auto"/>
            </w:tcBorders>
            <w:hideMark/>
          </w:tcPr>
          <w:p w14:paraId="64DCE25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18) 19) 23) 24) 25) 26)</w:t>
            </w:r>
          </w:p>
        </w:tc>
        <w:tc>
          <w:tcPr>
            <w:tcW w:w="720" w:type="dxa"/>
            <w:tcBorders>
              <w:top w:val="nil"/>
              <w:left w:val="nil"/>
              <w:bottom w:val="single" w:sz="4" w:space="0" w:color="auto"/>
              <w:right w:val="single" w:sz="4" w:space="0" w:color="auto"/>
            </w:tcBorders>
            <w:noWrap/>
            <w:hideMark/>
          </w:tcPr>
          <w:p w14:paraId="08E303B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0,40 w</w:t>
            </w:r>
          </w:p>
        </w:tc>
        <w:tc>
          <w:tcPr>
            <w:tcW w:w="840" w:type="dxa"/>
            <w:tcBorders>
              <w:top w:val="nil"/>
              <w:left w:val="nil"/>
              <w:bottom w:val="single" w:sz="4" w:space="0" w:color="auto"/>
              <w:right w:val="single" w:sz="4" w:space="0" w:color="auto"/>
            </w:tcBorders>
            <w:noWrap/>
            <w:hideMark/>
          </w:tcPr>
          <w:p w14:paraId="08121F2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0,40 w</w:t>
            </w:r>
          </w:p>
        </w:tc>
        <w:tc>
          <w:tcPr>
            <w:tcW w:w="840" w:type="dxa"/>
            <w:tcBorders>
              <w:top w:val="nil"/>
              <w:left w:val="nil"/>
              <w:bottom w:val="single" w:sz="4" w:space="0" w:color="auto"/>
              <w:right w:val="single" w:sz="4" w:space="0" w:color="auto"/>
            </w:tcBorders>
            <w:noWrap/>
            <w:hideMark/>
          </w:tcPr>
          <w:p w14:paraId="3A410FC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0,15 w</w:t>
            </w:r>
          </w:p>
        </w:tc>
        <w:tc>
          <w:tcPr>
            <w:tcW w:w="750" w:type="dxa"/>
            <w:tcBorders>
              <w:top w:val="nil"/>
              <w:left w:val="nil"/>
              <w:bottom w:val="single" w:sz="4" w:space="0" w:color="auto"/>
              <w:right w:val="single" w:sz="4" w:space="0" w:color="auto"/>
            </w:tcBorders>
            <w:noWrap/>
            <w:hideMark/>
          </w:tcPr>
          <w:p w14:paraId="6D080B0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0,15 w</w:t>
            </w:r>
          </w:p>
        </w:tc>
        <w:tc>
          <w:tcPr>
            <w:tcW w:w="839" w:type="dxa"/>
            <w:tcBorders>
              <w:top w:val="nil"/>
              <w:left w:val="nil"/>
              <w:bottom w:val="single" w:sz="4" w:space="0" w:color="auto"/>
              <w:right w:val="single" w:sz="4" w:space="0" w:color="auto"/>
            </w:tcBorders>
            <w:noWrap/>
            <w:hideMark/>
          </w:tcPr>
          <w:p w14:paraId="689B15E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0,49 w</w:t>
            </w:r>
          </w:p>
        </w:tc>
        <w:tc>
          <w:tcPr>
            <w:tcW w:w="811" w:type="dxa"/>
            <w:tcBorders>
              <w:top w:val="nil"/>
              <w:left w:val="nil"/>
              <w:bottom w:val="single" w:sz="4" w:space="0" w:color="auto"/>
              <w:right w:val="single" w:sz="4" w:space="0" w:color="auto"/>
            </w:tcBorders>
            <w:noWrap/>
            <w:hideMark/>
          </w:tcPr>
          <w:p w14:paraId="20A4388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0,40 w</w:t>
            </w:r>
          </w:p>
        </w:tc>
        <w:tc>
          <w:tcPr>
            <w:tcW w:w="839" w:type="dxa"/>
            <w:tcBorders>
              <w:top w:val="nil"/>
              <w:left w:val="nil"/>
              <w:bottom w:val="single" w:sz="4" w:space="0" w:color="auto"/>
              <w:right w:val="single" w:sz="4" w:space="0" w:color="auto"/>
            </w:tcBorders>
            <w:noWrap/>
            <w:hideMark/>
          </w:tcPr>
          <w:p w14:paraId="5719655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1,00 w</w:t>
            </w:r>
          </w:p>
        </w:tc>
        <w:tc>
          <w:tcPr>
            <w:tcW w:w="750" w:type="dxa"/>
            <w:tcBorders>
              <w:top w:val="nil"/>
              <w:left w:val="nil"/>
              <w:bottom w:val="single" w:sz="4" w:space="0" w:color="auto"/>
              <w:right w:val="single" w:sz="4" w:space="0" w:color="auto"/>
            </w:tcBorders>
            <w:noWrap/>
            <w:hideMark/>
          </w:tcPr>
          <w:p w14:paraId="045098D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0,10 w</w:t>
            </w:r>
          </w:p>
        </w:tc>
        <w:tc>
          <w:tcPr>
            <w:tcW w:w="811" w:type="dxa"/>
            <w:tcBorders>
              <w:top w:val="nil"/>
              <w:left w:val="nil"/>
              <w:bottom w:val="single" w:sz="4" w:space="0" w:color="auto"/>
              <w:right w:val="single" w:sz="4" w:space="0" w:color="auto"/>
            </w:tcBorders>
            <w:noWrap/>
            <w:hideMark/>
          </w:tcPr>
          <w:p w14:paraId="23041D5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14,56 w</w:t>
            </w:r>
          </w:p>
        </w:tc>
        <w:tc>
          <w:tcPr>
            <w:tcW w:w="839" w:type="dxa"/>
            <w:tcBorders>
              <w:top w:val="nil"/>
              <w:left w:val="nil"/>
              <w:bottom w:val="single" w:sz="4" w:space="0" w:color="auto"/>
              <w:right w:val="single" w:sz="4" w:space="0" w:color="auto"/>
            </w:tcBorders>
            <w:noWrap/>
            <w:hideMark/>
          </w:tcPr>
          <w:p w14:paraId="6FE7478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13,51 w</w:t>
            </w:r>
          </w:p>
        </w:tc>
        <w:tc>
          <w:tcPr>
            <w:tcW w:w="839" w:type="dxa"/>
            <w:tcBorders>
              <w:top w:val="nil"/>
              <w:left w:val="nil"/>
              <w:bottom w:val="single" w:sz="4" w:space="0" w:color="auto"/>
              <w:right w:val="single" w:sz="4" w:space="0" w:color="auto"/>
            </w:tcBorders>
            <w:noWrap/>
            <w:hideMark/>
          </w:tcPr>
          <w:p w14:paraId="16B028F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0,06 w</w:t>
            </w:r>
          </w:p>
        </w:tc>
        <w:tc>
          <w:tcPr>
            <w:tcW w:w="722" w:type="dxa"/>
            <w:tcBorders>
              <w:top w:val="nil"/>
              <w:left w:val="nil"/>
              <w:bottom w:val="single" w:sz="4" w:space="0" w:color="auto"/>
              <w:right w:val="single" w:sz="4" w:space="0" w:color="auto"/>
            </w:tcBorders>
            <w:noWrap/>
            <w:hideMark/>
          </w:tcPr>
          <w:p w14:paraId="7F1F54D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0,07 w</w:t>
            </w:r>
          </w:p>
        </w:tc>
        <w:tc>
          <w:tcPr>
            <w:tcW w:w="720" w:type="dxa"/>
            <w:tcBorders>
              <w:top w:val="nil"/>
              <w:left w:val="nil"/>
              <w:bottom w:val="single" w:sz="4" w:space="0" w:color="auto"/>
              <w:right w:val="single" w:sz="4" w:space="0" w:color="auto"/>
            </w:tcBorders>
            <w:noWrap/>
            <w:hideMark/>
          </w:tcPr>
          <w:p w14:paraId="70063A7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1,46 w</w:t>
            </w:r>
          </w:p>
        </w:tc>
        <w:tc>
          <w:tcPr>
            <w:tcW w:w="840" w:type="dxa"/>
            <w:tcBorders>
              <w:top w:val="nil"/>
              <w:left w:val="nil"/>
              <w:bottom w:val="single" w:sz="4" w:space="0" w:color="auto"/>
              <w:right w:val="single" w:sz="4" w:space="0" w:color="auto"/>
            </w:tcBorders>
            <w:noWrap/>
            <w:hideMark/>
          </w:tcPr>
          <w:p w14:paraId="39FD74A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1,49 w</w:t>
            </w:r>
          </w:p>
        </w:tc>
        <w:tc>
          <w:tcPr>
            <w:tcW w:w="840" w:type="dxa"/>
            <w:tcBorders>
              <w:top w:val="nil"/>
              <w:left w:val="nil"/>
              <w:bottom w:val="single" w:sz="4" w:space="0" w:color="auto"/>
              <w:right w:val="single" w:sz="4" w:space="0" w:color="auto"/>
            </w:tcBorders>
            <w:noWrap/>
            <w:hideMark/>
          </w:tcPr>
          <w:p w14:paraId="4B70A53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B7E656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6FD6A93F" w14:textId="77777777" w:rsidTr="00221F1C">
        <w:trPr>
          <w:trHeight w:val="450"/>
        </w:trPr>
        <w:tc>
          <w:tcPr>
            <w:tcW w:w="2400" w:type="dxa"/>
            <w:tcBorders>
              <w:top w:val="single" w:sz="4" w:space="0" w:color="auto"/>
              <w:left w:val="single" w:sz="4" w:space="0" w:color="auto"/>
              <w:bottom w:val="single" w:sz="4" w:space="0" w:color="auto"/>
              <w:right w:val="single" w:sz="4" w:space="0" w:color="auto"/>
            </w:tcBorders>
            <w:hideMark/>
          </w:tcPr>
          <w:p w14:paraId="06DF6039"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Vrijednost pričuvne imovine (uključujući zlato) (u milijunima EUR)</w:t>
            </w:r>
          </w:p>
        </w:tc>
        <w:tc>
          <w:tcPr>
            <w:tcW w:w="600" w:type="dxa"/>
            <w:tcBorders>
              <w:top w:val="nil"/>
              <w:left w:val="nil"/>
              <w:bottom w:val="single" w:sz="4" w:space="0" w:color="auto"/>
              <w:right w:val="single" w:sz="4" w:space="0" w:color="auto"/>
            </w:tcBorders>
            <w:hideMark/>
          </w:tcPr>
          <w:p w14:paraId="427B2D7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19) 15) 16)</w:t>
            </w:r>
          </w:p>
        </w:tc>
        <w:tc>
          <w:tcPr>
            <w:tcW w:w="720" w:type="dxa"/>
            <w:tcBorders>
              <w:top w:val="nil"/>
              <w:left w:val="nil"/>
              <w:bottom w:val="single" w:sz="4" w:space="0" w:color="auto"/>
              <w:right w:val="single" w:sz="4" w:space="0" w:color="auto"/>
            </w:tcBorders>
            <w:noWrap/>
            <w:hideMark/>
          </w:tcPr>
          <w:p w14:paraId="0A8C285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1 366,8 w</w:t>
            </w:r>
          </w:p>
        </w:tc>
        <w:tc>
          <w:tcPr>
            <w:tcW w:w="840" w:type="dxa"/>
            <w:tcBorders>
              <w:top w:val="nil"/>
              <w:left w:val="nil"/>
              <w:bottom w:val="single" w:sz="4" w:space="0" w:color="auto"/>
              <w:right w:val="single" w:sz="4" w:space="0" w:color="auto"/>
            </w:tcBorders>
            <w:noWrap/>
            <w:hideMark/>
          </w:tcPr>
          <w:p w14:paraId="3DF5547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1 738,5 w</w:t>
            </w:r>
          </w:p>
        </w:tc>
        <w:tc>
          <w:tcPr>
            <w:tcW w:w="840" w:type="dxa"/>
            <w:tcBorders>
              <w:top w:val="nil"/>
              <w:left w:val="nil"/>
              <w:bottom w:val="single" w:sz="4" w:space="0" w:color="auto"/>
              <w:right w:val="single" w:sz="4" w:space="0" w:color="auto"/>
            </w:tcBorders>
            <w:noWrap/>
            <w:hideMark/>
          </w:tcPr>
          <w:p w14:paraId="07B673E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3 262,6 w</w:t>
            </w:r>
          </w:p>
        </w:tc>
        <w:tc>
          <w:tcPr>
            <w:tcW w:w="750" w:type="dxa"/>
            <w:tcBorders>
              <w:top w:val="nil"/>
              <w:left w:val="nil"/>
              <w:bottom w:val="single" w:sz="4" w:space="0" w:color="auto"/>
              <w:right w:val="single" w:sz="4" w:space="0" w:color="auto"/>
            </w:tcBorders>
            <w:noWrap/>
            <w:hideMark/>
          </w:tcPr>
          <w:p w14:paraId="7D887B5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3 359,9 w</w:t>
            </w:r>
          </w:p>
        </w:tc>
        <w:tc>
          <w:tcPr>
            <w:tcW w:w="839" w:type="dxa"/>
            <w:tcBorders>
              <w:top w:val="nil"/>
              <w:left w:val="nil"/>
              <w:bottom w:val="single" w:sz="4" w:space="0" w:color="auto"/>
              <w:right w:val="single" w:sz="4" w:space="0" w:color="auto"/>
            </w:tcBorders>
            <w:noWrap/>
            <w:hideMark/>
          </w:tcPr>
          <w:p w14:paraId="77F0BB6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3 359,6 w</w:t>
            </w:r>
          </w:p>
        </w:tc>
        <w:tc>
          <w:tcPr>
            <w:tcW w:w="811" w:type="dxa"/>
            <w:tcBorders>
              <w:top w:val="nil"/>
              <w:left w:val="nil"/>
              <w:bottom w:val="single" w:sz="4" w:space="0" w:color="auto"/>
              <w:right w:val="single" w:sz="4" w:space="0" w:color="auto"/>
            </w:tcBorders>
            <w:noWrap/>
            <w:hideMark/>
          </w:tcPr>
          <w:p w14:paraId="69534A7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3 942,4 w</w:t>
            </w:r>
          </w:p>
        </w:tc>
        <w:tc>
          <w:tcPr>
            <w:tcW w:w="839" w:type="dxa"/>
            <w:tcBorders>
              <w:top w:val="nil"/>
              <w:left w:val="nil"/>
              <w:bottom w:val="single" w:sz="4" w:space="0" w:color="auto"/>
              <w:right w:val="single" w:sz="4" w:space="0" w:color="auto"/>
            </w:tcBorders>
            <w:noWrap/>
            <w:hideMark/>
          </w:tcPr>
          <w:p w14:paraId="3B5DB46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13 378,5 w</w:t>
            </w:r>
          </w:p>
        </w:tc>
        <w:tc>
          <w:tcPr>
            <w:tcW w:w="750" w:type="dxa"/>
            <w:tcBorders>
              <w:top w:val="nil"/>
              <w:left w:val="nil"/>
              <w:bottom w:val="single" w:sz="4" w:space="0" w:color="auto"/>
              <w:right w:val="single" w:sz="4" w:space="0" w:color="auto"/>
            </w:tcBorders>
            <w:noWrap/>
            <w:hideMark/>
          </w:tcPr>
          <w:p w14:paraId="14DE3A6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13 491,7 w</w:t>
            </w:r>
          </w:p>
        </w:tc>
        <w:tc>
          <w:tcPr>
            <w:tcW w:w="811" w:type="dxa"/>
            <w:tcBorders>
              <w:top w:val="nil"/>
              <w:left w:val="nil"/>
              <w:bottom w:val="single" w:sz="4" w:space="0" w:color="auto"/>
              <w:right w:val="single" w:sz="4" w:space="0" w:color="auto"/>
            </w:tcBorders>
            <w:noWrap/>
            <w:hideMark/>
          </w:tcPr>
          <w:p w14:paraId="2C72F4E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94 413,6 w</w:t>
            </w:r>
          </w:p>
        </w:tc>
        <w:tc>
          <w:tcPr>
            <w:tcW w:w="839" w:type="dxa"/>
            <w:tcBorders>
              <w:top w:val="nil"/>
              <w:left w:val="nil"/>
              <w:bottom w:val="single" w:sz="4" w:space="0" w:color="auto"/>
              <w:right w:val="single" w:sz="4" w:space="0" w:color="auto"/>
            </w:tcBorders>
            <w:noWrap/>
            <w:hideMark/>
          </w:tcPr>
          <w:p w14:paraId="512A354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81 664,3 w</w:t>
            </w:r>
          </w:p>
        </w:tc>
        <w:tc>
          <w:tcPr>
            <w:tcW w:w="839" w:type="dxa"/>
            <w:tcBorders>
              <w:top w:val="nil"/>
              <w:left w:val="nil"/>
              <w:bottom w:val="single" w:sz="4" w:space="0" w:color="auto"/>
              <w:right w:val="single" w:sz="4" w:space="0" w:color="auto"/>
            </w:tcBorders>
            <w:noWrap/>
            <w:hideMark/>
          </w:tcPr>
          <w:p w14:paraId="5B4BE70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6 441,1 w</w:t>
            </w:r>
          </w:p>
        </w:tc>
        <w:tc>
          <w:tcPr>
            <w:tcW w:w="722" w:type="dxa"/>
            <w:tcBorders>
              <w:top w:val="nil"/>
              <w:left w:val="nil"/>
              <w:bottom w:val="single" w:sz="4" w:space="0" w:color="auto"/>
              <w:right w:val="single" w:sz="4" w:space="0" w:color="auto"/>
            </w:tcBorders>
            <w:noWrap/>
            <w:hideMark/>
          </w:tcPr>
          <w:p w14:paraId="09EB9EE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7 091,0 w</w:t>
            </w:r>
          </w:p>
        </w:tc>
        <w:tc>
          <w:tcPr>
            <w:tcW w:w="720" w:type="dxa"/>
            <w:tcBorders>
              <w:top w:val="nil"/>
              <w:left w:val="nil"/>
              <w:bottom w:val="single" w:sz="4" w:space="0" w:color="auto"/>
              <w:right w:val="single" w:sz="4" w:space="0" w:color="auto"/>
            </w:tcBorders>
            <w:noWrap/>
            <w:hideMark/>
          </w:tcPr>
          <w:p w14:paraId="2F3C2B8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863,7 w</w:t>
            </w:r>
          </w:p>
        </w:tc>
        <w:tc>
          <w:tcPr>
            <w:tcW w:w="840" w:type="dxa"/>
            <w:tcBorders>
              <w:top w:val="nil"/>
              <w:left w:val="nil"/>
              <w:bottom w:val="single" w:sz="4" w:space="0" w:color="auto"/>
              <w:right w:val="single" w:sz="4" w:space="0" w:color="auto"/>
            </w:tcBorders>
            <w:noWrap/>
            <w:hideMark/>
          </w:tcPr>
          <w:p w14:paraId="325EE6E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900,8 w</w:t>
            </w:r>
          </w:p>
        </w:tc>
        <w:tc>
          <w:tcPr>
            <w:tcW w:w="840" w:type="dxa"/>
            <w:tcBorders>
              <w:top w:val="nil"/>
              <w:left w:val="nil"/>
              <w:bottom w:val="single" w:sz="4" w:space="0" w:color="auto"/>
              <w:right w:val="single" w:sz="4" w:space="0" w:color="auto"/>
            </w:tcBorders>
            <w:noWrap/>
            <w:hideMark/>
          </w:tcPr>
          <w:p w14:paraId="7DCD3EB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45EB52D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01BD5CFA" w14:textId="77777777" w:rsidTr="00221F1C">
        <w:trPr>
          <w:trHeight w:val="450"/>
        </w:trPr>
        <w:tc>
          <w:tcPr>
            <w:tcW w:w="2400" w:type="dxa"/>
            <w:tcBorders>
              <w:top w:val="single" w:sz="4" w:space="0" w:color="auto"/>
              <w:left w:val="single" w:sz="4" w:space="0" w:color="auto"/>
              <w:bottom w:val="single" w:sz="4" w:space="0" w:color="auto"/>
              <w:right w:val="single" w:sz="4" w:space="0" w:color="auto"/>
            </w:tcBorders>
            <w:hideMark/>
          </w:tcPr>
          <w:p w14:paraId="1927C23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Međunarodne rezerve – protuvrijednost u mjesecima uvoza</w:t>
            </w:r>
          </w:p>
        </w:tc>
        <w:tc>
          <w:tcPr>
            <w:tcW w:w="600" w:type="dxa"/>
            <w:tcBorders>
              <w:top w:val="nil"/>
              <w:left w:val="nil"/>
              <w:bottom w:val="single" w:sz="4" w:space="0" w:color="auto"/>
              <w:right w:val="single" w:sz="4" w:space="0" w:color="auto"/>
            </w:tcBorders>
            <w:hideMark/>
          </w:tcPr>
          <w:p w14:paraId="2553447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19) 15) 16)</w:t>
            </w:r>
          </w:p>
        </w:tc>
        <w:tc>
          <w:tcPr>
            <w:tcW w:w="720" w:type="dxa"/>
            <w:tcBorders>
              <w:top w:val="nil"/>
              <w:left w:val="nil"/>
              <w:bottom w:val="single" w:sz="4" w:space="0" w:color="auto"/>
              <w:right w:val="single" w:sz="4" w:space="0" w:color="auto"/>
            </w:tcBorders>
            <w:noWrap/>
            <w:hideMark/>
          </w:tcPr>
          <w:p w14:paraId="0675C2A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5,1 sw</w:t>
            </w:r>
          </w:p>
        </w:tc>
        <w:tc>
          <w:tcPr>
            <w:tcW w:w="840" w:type="dxa"/>
            <w:tcBorders>
              <w:top w:val="nil"/>
              <w:left w:val="nil"/>
              <w:bottom w:val="single" w:sz="4" w:space="0" w:color="auto"/>
              <w:right w:val="single" w:sz="4" w:space="0" w:color="auto"/>
            </w:tcBorders>
            <w:noWrap/>
            <w:hideMark/>
          </w:tcPr>
          <w:p w14:paraId="6EB9301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8,2 sw</w:t>
            </w:r>
          </w:p>
        </w:tc>
        <w:tc>
          <w:tcPr>
            <w:tcW w:w="840" w:type="dxa"/>
            <w:tcBorders>
              <w:top w:val="nil"/>
              <w:left w:val="nil"/>
              <w:bottom w:val="single" w:sz="4" w:space="0" w:color="auto"/>
              <w:right w:val="single" w:sz="4" w:space="0" w:color="auto"/>
            </w:tcBorders>
            <w:noWrap/>
            <w:hideMark/>
          </w:tcPr>
          <w:p w14:paraId="5177081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4,6 sw</w:t>
            </w:r>
          </w:p>
        </w:tc>
        <w:tc>
          <w:tcPr>
            <w:tcW w:w="750" w:type="dxa"/>
            <w:tcBorders>
              <w:top w:val="nil"/>
              <w:left w:val="nil"/>
              <w:bottom w:val="single" w:sz="4" w:space="0" w:color="auto"/>
              <w:right w:val="single" w:sz="4" w:space="0" w:color="auto"/>
            </w:tcBorders>
            <w:noWrap/>
            <w:hideMark/>
          </w:tcPr>
          <w:p w14:paraId="5E7E78D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5,3 sw</w:t>
            </w:r>
          </w:p>
        </w:tc>
        <w:tc>
          <w:tcPr>
            <w:tcW w:w="839" w:type="dxa"/>
            <w:tcBorders>
              <w:top w:val="nil"/>
              <w:left w:val="nil"/>
              <w:bottom w:val="single" w:sz="4" w:space="0" w:color="auto"/>
              <w:right w:val="single" w:sz="4" w:space="0" w:color="auto"/>
            </w:tcBorders>
            <w:noWrap/>
            <w:hideMark/>
          </w:tcPr>
          <w:p w14:paraId="34EE3D6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6,5 sw</w:t>
            </w:r>
          </w:p>
        </w:tc>
        <w:tc>
          <w:tcPr>
            <w:tcW w:w="811" w:type="dxa"/>
            <w:tcBorders>
              <w:top w:val="nil"/>
              <w:left w:val="nil"/>
              <w:bottom w:val="single" w:sz="4" w:space="0" w:color="auto"/>
              <w:right w:val="single" w:sz="4" w:space="0" w:color="auto"/>
            </w:tcBorders>
            <w:noWrap/>
            <w:hideMark/>
          </w:tcPr>
          <w:p w14:paraId="32B555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9,6 sw</w:t>
            </w:r>
          </w:p>
        </w:tc>
        <w:tc>
          <w:tcPr>
            <w:tcW w:w="839" w:type="dxa"/>
            <w:tcBorders>
              <w:top w:val="nil"/>
              <w:left w:val="nil"/>
              <w:bottom w:val="single" w:sz="4" w:space="0" w:color="auto"/>
              <w:right w:val="single" w:sz="4" w:space="0" w:color="auto"/>
            </w:tcBorders>
            <w:noWrap/>
            <w:hideMark/>
          </w:tcPr>
          <w:p w14:paraId="71B04A4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5,7 sw</w:t>
            </w:r>
          </w:p>
        </w:tc>
        <w:tc>
          <w:tcPr>
            <w:tcW w:w="750" w:type="dxa"/>
            <w:tcBorders>
              <w:top w:val="nil"/>
              <w:left w:val="nil"/>
              <w:bottom w:val="single" w:sz="4" w:space="0" w:color="auto"/>
              <w:right w:val="single" w:sz="4" w:space="0" w:color="auto"/>
            </w:tcBorders>
            <w:noWrap/>
            <w:hideMark/>
          </w:tcPr>
          <w:p w14:paraId="131FA78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6,1 sw</w:t>
            </w:r>
          </w:p>
        </w:tc>
        <w:tc>
          <w:tcPr>
            <w:tcW w:w="811" w:type="dxa"/>
            <w:tcBorders>
              <w:top w:val="nil"/>
              <w:left w:val="nil"/>
              <w:bottom w:val="single" w:sz="4" w:space="0" w:color="auto"/>
              <w:right w:val="single" w:sz="4" w:space="0" w:color="auto"/>
            </w:tcBorders>
            <w:noWrap/>
            <w:hideMark/>
          </w:tcPr>
          <w:p w14:paraId="406A65A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5,6 sw</w:t>
            </w:r>
          </w:p>
        </w:tc>
        <w:tc>
          <w:tcPr>
            <w:tcW w:w="839" w:type="dxa"/>
            <w:tcBorders>
              <w:top w:val="nil"/>
              <w:left w:val="nil"/>
              <w:bottom w:val="single" w:sz="4" w:space="0" w:color="auto"/>
              <w:right w:val="single" w:sz="4" w:space="0" w:color="auto"/>
            </w:tcBorders>
            <w:noWrap/>
            <w:hideMark/>
          </w:tcPr>
          <w:p w14:paraId="4CCB2E7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4,9 sw</w:t>
            </w:r>
          </w:p>
        </w:tc>
        <w:tc>
          <w:tcPr>
            <w:tcW w:w="839" w:type="dxa"/>
            <w:tcBorders>
              <w:top w:val="nil"/>
              <w:left w:val="nil"/>
              <w:bottom w:val="single" w:sz="4" w:space="0" w:color="auto"/>
              <w:right w:val="single" w:sz="4" w:space="0" w:color="auto"/>
            </w:tcBorders>
            <w:noWrap/>
            <w:hideMark/>
          </w:tcPr>
          <w:p w14:paraId="29C30AF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 sw</w:t>
            </w:r>
          </w:p>
        </w:tc>
        <w:tc>
          <w:tcPr>
            <w:tcW w:w="722" w:type="dxa"/>
            <w:tcBorders>
              <w:top w:val="nil"/>
              <w:left w:val="nil"/>
              <w:bottom w:val="single" w:sz="4" w:space="0" w:color="auto"/>
              <w:right w:val="single" w:sz="4" w:space="0" w:color="auto"/>
            </w:tcBorders>
            <w:noWrap/>
            <w:hideMark/>
          </w:tcPr>
          <w:p w14:paraId="3A8856E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10,0 sw</w:t>
            </w:r>
          </w:p>
        </w:tc>
        <w:tc>
          <w:tcPr>
            <w:tcW w:w="720" w:type="dxa"/>
            <w:tcBorders>
              <w:top w:val="nil"/>
              <w:left w:val="nil"/>
              <w:bottom w:val="single" w:sz="4" w:space="0" w:color="auto"/>
              <w:right w:val="single" w:sz="4" w:space="0" w:color="auto"/>
            </w:tcBorders>
            <w:noWrap/>
            <w:hideMark/>
          </w:tcPr>
          <w:p w14:paraId="1B79FBF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 sw</w:t>
            </w:r>
          </w:p>
        </w:tc>
        <w:tc>
          <w:tcPr>
            <w:tcW w:w="840" w:type="dxa"/>
            <w:tcBorders>
              <w:top w:val="nil"/>
              <w:left w:val="nil"/>
              <w:bottom w:val="single" w:sz="4" w:space="0" w:color="auto"/>
              <w:right w:val="single" w:sz="4" w:space="0" w:color="auto"/>
            </w:tcBorders>
            <w:noWrap/>
            <w:hideMark/>
          </w:tcPr>
          <w:p w14:paraId="31C2E5E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 sw</w:t>
            </w:r>
          </w:p>
        </w:tc>
        <w:tc>
          <w:tcPr>
            <w:tcW w:w="840" w:type="dxa"/>
            <w:tcBorders>
              <w:top w:val="nil"/>
              <w:left w:val="nil"/>
              <w:bottom w:val="single" w:sz="4" w:space="0" w:color="auto"/>
              <w:right w:val="single" w:sz="4" w:space="0" w:color="auto"/>
            </w:tcBorders>
            <w:noWrap/>
            <w:hideMark/>
          </w:tcPr>
          <w:p w14:paraId="1CF9AB5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12F618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bl>
    <w:p w14:paraId="58A489A2" w14:textId="77777777" w:rsidR="00221F1C" w:rsidRDefault="00221F1C" w:rsidP="00221F1C">
      <w:pPr>
        <w:spacing w:after="0" w:line="240" w:lineRule="auto"/>
        <w:jc w:val="both"/>
        <w:rPr>
          <w:rFonts w:ascii="Times New Roman" w:eastAsia="Times New Roman" w:hAnsi="Times New Roman" w:cs="Times New Roman"/>
          <w:noProof/>
          <w:sz w:val="18"/>
          <w:szCs w:val="24"/>
        </w:rPr>
      </w:pPr>
      <w:r>
        <w:rPr>
          <w:noProof/>
        </w:rPr>
        <w:br w:type="page"/>
      </w:r>
    </w:p>
    <w:tbl>
      <w:tblPr>
        <w:tblW w:w="15840" w:type="dxa"/>
        <w:tblInd w:w="-492" w:type="dxa"/>
        <w:tblLayout w:type="fixed"/>
        <w:tblLook w:val="04A0" w:firstRow="1" w:lastRow="0" w:firstColumn="1" w:lastColumn="0" w:noHBand="0" w:noVBand="1"/>
      </w:tblPr>
      <w:tblGrid>
        <w:gridCol w:w="2400"/>
        <w:gridCol w:w="600"/>
        <w:gridCol w:w="720"/>
        <w:gridCol w:w="840"/>
        <w:gridCol w:w="840"/>
        <w:gridCol w:w="750"/>
        <w:gridCol w:w="839"/>
        <w:gridCol w:w="811"/>
        <w:gridCol w:w="839"/>
        <w:gridCol w:w="750"/>
        <w:gridCol w:w="811"/>
        <w:gridCol w:w="839"/>
        <w:gridCol w:w="839"/>
        <w:gridCol w:w="722"/>
        <w:gridCol w:w="720"/>
        <w:gridCol w:w="840"/>
        <w:gridCol w:w="840"/>
        <w:gridCol w:w="840"/>
      </w:tblGrid>
      <w:tr w:rsidR="00221F1C" w14:paraId="0FD24B9B" w14:textId="77777777" w:rsidTr="00221F1C">
        <w:trPr>
          <w:trHeight w:val="225"/>
        </w:trPr>
        <w:tc>
          <w:tcPr>
            <w:tcW w:w="2400" w:type="dxa"/>
            <w:vMerge w:val="restart"/>
            <w:tcBorders>
              <w:top w:val="nil"/>
              <w:left w:val="nil"/>
              <w:bottom w:val="single" w:sz="4" w:space="0" w:color="auto"/>
              <w:right w:val="single" w:sz="4" w:space="0" w:color="auto"/>
            </w:tcBorders>
            <w:noWrap/>
            <w:vAlign w:val="center"/>
            <w:hideMark/>
          </w:tcPr>
          <w:p w14:paraId="3B40E924" w14:textId="77777777" w:rsidR="00221F1C" w:rsidRDefault="00221F1C">
            <w:pPr>
              <w:spacing w:after="0" w:line="240" w:lineRule="auto"/>
              <w:rPr>
                <w:rFonts w:ascii="Arial" w:eastAsia="Times New Roman" w:hAnsi="Arial" w:cs="Arial"/>
                <w:noProof/>
                <w:sz w:val="16"/>
                <w:szCs w:val="16"/>
              </w:rPr>
            </w:pPr>
            <w:r>
              <w:rPr>
                <w:rFonts w:ascii="Arial" w:hAnsi="Arial"/>
                <w:b/>
                <w:noProof/>
                <w:sz w:val="16"/>
              </w:rPr>
              <w:t>Poslovni sektor</w:t>
            </w:r>
          </w:p>
        </w:tc>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14:paraId="443CDA07" w14:textId="77777777" w:rsidR="00221F1C" w:rsidRDefault="00221F1C">
            <w:pPr>
              <w:spacing w:after="0" w:line="240" w:lineRule="auto"/>
              <w:rPr>
                <w:rFonts w:ascii="Arial" w:eastAsia="Times New Roman" w:hAnsi="Arial" w:cs="Arial"/>
                <w:noProof/>
                <w:sz w:val="16"/>
                <w:szCs w:val="16"/>
              </w:rPr>
            </w:pPr>
            <w:r>
              <w:rPr>
                <w:rFonts w:ascii="Arial" w:hAnsi="Arial"/>
                <w:noProof/>
                <w:sz w:val="16"/>
              </w:rPr>
              <w:t xml:space="preserve"> </w:t>
            </w:r>
            <w:r>
              <w:rPr>
                <w:rFonts w:ascii="Arial" w:hAnsi="Arial"/>
                <w:noProof/>
                <w:color w:val="000000"/>
                <w:sz w:val="16"/>
              </w:rPr>
              <w:t>Napomena</w:t>
            </w:r>
          </w:p>
        </w:tc>
        <w:tc>
          <w:tcPr>
            <w:tcW w:w="1560" w:type="dxa"/>
            <w:gridSpan w:val="2"/>
            <w:tcBorders>
              <w:top w:val="single" w:sz="4" w:space="0" w:color="auto"/>
              <w:left w:val="nil"/>
              <w:bottom w:val="single" w:sz="4" w:space="0" w:color="auto"/>
              <w:right w:val="single" w:sz="4" w:space="0" w:color="auto"/>
            </w:tcBorders>
            <w:vAlign w:val="center"/>
            <w:hideMark/>
          </w:tcPr>
          <w:p w14:paraId="6D85111D"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Crna Gora</w:t>
            </w:r>
          </w:p>
        </w:tc>
        <w:tc>
          <w:tcPr>
            <w:tcW w:w="1590" w:type="dxa"/>
            <w:gridSpan w:val="2"/>
            <w:tcBorders>
              <w:top w:val="single" w:sz="4" w:space="0" w:color="auto"/>
              <w:left w:val="nil"/>
              <w:bottom w:val="single" w:sz="4" w:space="0" w:color="auto"/>
              <w:right w:val="single" w:sz="4" w:space="0" w:color="auto"/>
            </w:tcBorders>
            <w:vAlign w:val="center"/>
            <w:hideMark/>
          </w:tcPr>
          <w:p w14:paraId="24EE65D2"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Sjeverna Makedonija</w:t>
            </w:r>
          </w:p>
        </w:tc>
        <w:tc>
          <w:tcPr>
            <w:tcW w:w="1650" w:type="dxa"/>
            <w:gridSpan w:val="2"/>
            <w:tcBorders>
              <w:top w:val="single" w:sz="4" w:space="0" w:color="auto"/>
              <w:left w:val="nil"/>
              <w:bottom w:val="single" w:sz="4" w:space="0" w:color="auto"/>
              <w:right w:val="single" w:sz="4" w:space="0" w:color="auto"/>
            </w:tcBorders>
            <w:vAlign w:val="center"/>
            <w:hideMark/>
          </w:tcPr>
          <w:p w14:paraId="68C4EC7F"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Albanija</w:t>
            </w:r>
          </w:p>
        </w:tc>
        <w:tc>
          <w:tcPr>
            <w:tcW w:w="1589" w:type="dxa"/>
            <w:gridSpan w:val="2"/>
            <w:tcBorders>
              <w:top w:val="single" w:sz="4" w:space="0" w:color="auto"/>
              <w:left w:val="nil"/>
              <w:bottom w:val="single" w:sz="4" w:space="0" w:color="auto"/>
              <w:right w:val="single" w:sz="4" w:space="0" w:color="auto"/>
            </w:tcBorders>
            <w:vAlign w:val="center"/>
            <w:hideMark/>
          </w:tcPr>
          <w:p w14:paraId="65B1C1B7"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Srbija</w:t>
            </w:r>
          </w:p>
        </w:tc>
        <w:tc>
          <w:tcPr>
            <w:tcW w:w="1650" w:type="dxa"/>
            <w:gridSpan w:val="2"/>
            <w:tcBorders>
              <w:top w:val="single" w:sz="4" w:space="0" w:color="auto"/>
              <w:left w:val="nil"/>
              <w:bottom w:val="single" w:sz="4" w:space="0" w:color="auto"/>
              <w:right w:val="single" w:sz="4" w:space="0" w:color="auto"/>
            </w:tcBorders>
            <w:vAlign w:val="center"/>
            <w:hideMark/>
          </w:tcPr>
          <w:p w14:paraId="6F6173CD"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Turska</w:t>
            </w:r>
          </w:p>
        </w:tc>
        <w:tc>
          <w:tcPr>
            <w:tcW w:w="1561" w:type="dxa"/>
            <w:gridSpan w:val="2"/>
            <w:tcBorders>
              <w:top w:val="single" w:sz="4" w:space="0" w:color="auto"/>
              <w:left w:val="nil"/>
              <w:bottom w:val="single" w:sz="4" w:space="0" w:color="auto"/>
              <w:right w:val="single" w:sz="4" w:space="0" w:color="auto"/>
            </w:tcBorders>
            <w:vAlign w:val="center"/>
            <w:hideMark/>
          </w:tcPr>
          <w:p w14:paraId="08A47603"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Bosna i</w:t>
            </w:r>
            <w:r>
              <w:rPr>
                <w:noProof/>
              </w:rPr>
              <w:t xml:space="preserve"> </w:t>
            </w:r>
            <w:r>
              <w:rPr>
                <w:noProof/>
              </w:rPr>
              <w:br/>
            </w:r>
            <w:r>
              <w:rPr>
                <w:rFonts w:ascii="Arial" w:hAnsi="Arial"/>
                <w:noProof/>
                <w:sz w:val="16"/>
              </w:rPr>
              <w:t>Hercegovina</w:t>
            </w:r>
          </w:p>
        </w:tc>
        <w:tc>
          <w:tcPr>
            <w:tcW w:w="1560" w:type="dxa"/>
            <w:gridSpan w:val="2"/>
            <w:tcBorders>
              <w:top w:val="single" w:sz="4" w:space="0" w:color="auto"/>
              <w:left w:val="nil"/>
              <w:bottom w:val="single" w:sz="4" w:space="0" w:color="auto"/>
              <w:right w:val="single" w:sz="4" w:space="0" w:color="auto"/>
            </w:tcBorders>
            <w:vAlign w:val="center"/>
            <w:hideMark/>
          </w:tcPr>
          <w:p w14:paraId="2850125B"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Kosovo*</w:t>
            </w:r>
          </w:p>
        </w:tc>
        <w:tc>
          <w:tcPr>
            <w:tcW w:w="1680" w:type="dxa"/>
            <w:gridSpan w:val="2"/>
            <w:tcBorders>
              <w:top w:val="single" w:sz="4" w:space="0" w:color="auto"/>
              <w:left w:val="nil"/>
              <w:bottom w:val="single" w:sz="4" w:space="0" w:color="auto"/>
              <w:right w:val="single" w:sz="4" w:space="0" w:color="auto"/>
            </w:tcBorders>
            <w:vAlign w:val="center"/>
            <w:hideMark/>
          </w:tcPr>
          <w:p w14:paraId="22DCE88E" w14:textId="77777777" w:rsidR="00221F1C" w:rsidRDefault="00221F1C">
            <w:pPr>
              <w:spacing w:after="0" w:line="240" w:lineRule="auto"/>
              <w:jc w:val="center"/>
              <w:rPr>
                <w:rFonts w:ascii="Arial" w:eastAsia="Times New Roman" w:hAnsi="Arial" w:cs="Arial"/>
                <w:noProof/>
                <w:sz w:val="16"/>
                <w:szCs w:val="16"/>
              </w:rPr>
            </w:pPr>
            <w:r>
              <w:rPr>
                <w:rFonts w:ascii="Arial" w:hAnsi="Arial"/>
                <w:noProof/>
                <w:sz w:val="16"/>
              </w:rPr>
              <w:t>EU-27</w:t>
            </w:r>
          </w:p>
        </w:tc>
      </w:tr>
      <w:tr w:rsidR="00221F1C" w14:paraId="75B95BB4" w14:textId="77777777" w:rsidTr="00221F1C">
        <w:trPr>
          <w:trHeight w:val="225"/>
        </w:trPr>
        <w:tc>
          <w:tcPr>
            <w:tcW w:w="2400" w:type="dxa"/>
            <w:vMerge/>
            <w:tcBorders>
              <w:top w:val="nil"/>
              <w:left w:val="nil"/>
              <w:bottom w:val="single" w:sz="4" w:space="0" w:color="auto"/>
              <w:right w:val="single" w:sz="4" w:space="0" w:color="auto"/>
            </w:tcBorders>
            <w:vAlign w:val="center"/>
            <w:hideMark/>
          </w:tcPr>
          <w:p w14:paraId="11AB3FBF" w14:textId="77777777" w:rsidR="00221F1C" w:rsidRDefault="00221F1C">
            <w:pPr>
              <w:spacing w:after="0"/>
              <w:rPr>
                <w:rFonts w:ascii="Arial" w:eastAsia="Times New Roman" w:hAnsi="Arial" w:cs="Arial"/>
                <w:noProof/>
                <w:sz w:val="16"/>
                <w:szCs w:val="16"/>
                <w:lang w:eastAsia="zh-CN"/>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71B92BF8" w14:textId="77777777" w:rsidR="00221F1C" w:rsidRDefault="00221F1C">
            <w:pPr>
              <w:spacing w:after="0"/>
              <w:rPr>
                <w:rFonts w:ascii="Arial" w:eastAsia="Times New Roman" w:hAnsi="Arial" w:cs="Arial"/>
                <w:noProof/>
                <w:sz w:val="16"/>
                <w:szCs w:val="16"/>
                <w:lang w:eastAsia="zh-CN"/>
              </w:rPr>
            </w:pPr>
          </w:p>
        </w:tc>
        <w:tc>
          <w:tcPr>
            <w:tcW w:w="720" w:type="dxa"/>
            <w:tcBorders>
              <w:top w:val="nil"/>
              <w:left w:val="nil"/>
              <w:bottom w:val="single" w:sz="4" w:space="0" w:color="auto"/>
              <w:right w:val="single" w:sz="4" w:space="0" w:color="auto"/>
            </w:tcBorders>
            <w:hideMark/>
          </w:tcPr>
          <w:p w14:paraId="67D8C20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019866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4EB355E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50F2FA3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14754AD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nil"/>
              <w:left w:val="nil"/>
              <w:bottom w:val="single" w:sz="4" w:space="0" w:color="auto"/>
              <w:right w:val="single" w:sz="4" w:space="0" w:color="auto"/>
            </w:tcBorders>
            <w:hideMark/>
          </w:tcPr>
          <w:p w14:paraId="72C4416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6E0D70C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nil"/>
              <w:left w:val="nil"/>
              <w:bottom w:val="single" w:sz="4" w:space="0" w:color="auto"/>
              <w:right w:val="single" w:sz="4" w:space="0" w:color="auto"/>
            </w:tcBorders>
            <w:hideMark/>
          </w:tcPr>
          <w:p w14:paraId="14AC0E8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nil"/>
              <w:left w:val="nil"/>
              <w:bottom w:val="single" w:sz="4" w:space="0" w:color="auto"/>
              <w:right w:val="single" w:sz="4" w:space="0" w:color="auto"/>
            </w:tcBorders>
            <w:hideMark/>
          </w:tcPr>
          <w:p w14:paraId="27B55C1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nil"/>
              <w:left w:val="nil"/>
              <w:bottom w:val="single" w:sz="4" w:space="0" w:color="auto"/>
              <w:right w:val="single" w:sz="4" w:space="0" w:color="auto"/>
            </w:tcBorders>
            <w:hideMark/>
          </w:tcPr>
          <w:p w14:paraId="739A56B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nil"/>
              <w:left w:val="nil"/>
              <w:bottom w:val="single" w:sz="4" w:space="0" w:color="auto"/>
              <w:right w:val="single" w:sz="4" w:space="0" w:color="auto"/>
            </w:tcBorders>
            <w:hideMark/>
          </w:tcPr>
          <w:p w14:paraId="02FD701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nil"/>
              <w:left w:val="nil"/>
              <w:bottom w:val="single" w:sz="4" w:space="0" w:color="auto"/>
              <w:right w:val="single" w:sz="4" w:space="0" w:color="auto"/>
            </w:tcBorders>
            <w:hideMark/>
          </w:tcPr>
          <w:p w14:paraId="4FC1F27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nil"/>
              <w:left w:val="nil"/>
              <w:bottom w:val="single" w:sz="4" w:space="0" w:color="auto"/>
              <w:right w:val="single" w:sz="4" w:space="0" w:color="auto"/>
            </w:tcBorders>
            <w:hideMark/>
          </w:tcPr>
          <w:p w14:paraId="5E7F2CA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4FE0CB5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nil"/>
              <w:left w:val="nil"/>
              <w:bottom w:val="single" w:sz="4" w:space="0" w:color="auto"/>
              <w:right w:val="single" w:sz="4" w:space="0" w:color="auto"/>
            </w:tcBorders>
            <w:hideMark/>
          </w:tcPr>
          <w:p w14:paraId="7DE5F68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nil"/>
              <w:left w:val="nil"/>
              <w:bottom w:val="single" w:sz="4" w:space="0" w:color="auto"/>
              <w:right w:val="single" w:sz="4" w:space="0" w:color="auto"/>
            </w:tcBorders>
            <w:hideMark/>
          </w:tcPr>
          <w:p w14:paraId="7A2EEF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1EBDE623" w14:textId="77777777" w:rsidTr="00221F1C">
        <w:trPr>
          <w:trHeight w:val="450"/>
        </w:trPr>
        <w:tc>
          <w:tcPr>
            <w:tcW w:w="2400" w:type="dxa"/>
            <w:tcBorders>
              <w:top w:val="single" w:sz="4" w:space="0" w:color="auto"/>
              <w:left w:val="single" w:sz="4" w:space="0" w:color="auto"/>
              <w:bottom w:val="single" w:sz="4" w:space="0" w:color="auto"/>
              <w:right w:val="single" w:sz="4" w:space="0" w:color="auto"/>
            </w:tcBorders>
            <w:hideMark/>
          </w:tcPr>
          <w:p w14:paraId="62FFFB6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Indeks industrijske proizvodnje (2015. = 100)</w:t>
            </w:r>
          </w:p>
        </w:tc>
        <w:tc>
          <w:tcPr>
            <w:tcW w:w="600" w:type="dxa"/>
            <w:tcBorders>
              <w:top w:val="nil"/>
              <w:left w:val="nil"/>
              <w:bottom w:val="single" w:sz="4" w:space="0" w:color="auto"/>
              <w:right w:val="single" w:sz="4" w:space="0" w:color="auto"/>
            </w:tcBorders>
            <w:hideMark/>
          </w:tcPr>
          <w:p w14:paraId="115C97B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31)</w:t>
            </w:r>
          </w:p>
        </w:tc>
        <w:tc>
          <w:tcPr>
            <w:tcW w:w="720" w:type="dxa"/>
            <w:tcBorders>
              <w:top w:val="nil"/>
              <w:left w:val="nil"/>
              <w:bottom w:val="single" w:sz="4" w:space="0" w:color="auto"/>
              <w:right w:val="single" w:sz="4" w:space="0" w:color="auto"/>
            </w:tcBorders>
            <w:noWrap/>
            <w:hideMark/>
          </w:tcPr>
          <w:p w14:paraId="2835975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106,7</w:t>
            </w:r>
          </w:p>
        </w:tc>
        <w:tc>
          <w:tcPr>
            <w:tcW w:w="840" w:type="dxa"/>
            <w:tcBorders>
              <w:top w:val="nil"/>
              <w:left w:val="nil"/>
              <w:bottom w:val="single" w:sz="4" w:space="0" w:color="auto"/>
              <w:right w:val="single" w:sz="4" w:space="0" w:color="auto"/>
            </w:tcBorders>
            <w:noWrap/>
            <w:hideMark/>
          </w:tcPr>
          <w:p w14:paraId="2AFB6CC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105,6</w:t>
            </w:r>
          </w:p>
        </w:tc>
        <w:tc>
          <w:tcPr>
            <w:tcW w:w="840" w:type="dxa"/>
            <w:tcBorders>
              <w:top w:val="nil"/>
              <w:left w:val="nil"/>
              <w:bottom w:val="single" w:sz="4" w:space="0" w:color="auto"/>
              <w:right w:val="single" w:sz="4" w:space="0" w:color="auto"/>
            </w:tcBorders>
            <w:noWrap/>
            <w:hideMark/>
          </w:tcPr>
          <w:p w14:paraId="0A88BA0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113,2</w:t>
            </w:r>
          </w:p>
        </w:tc>
        <w:tc>
          <w:tcPr>
            <w:tcW w:w="750" w:type="dxa"/>
            <w:tcBorders>
              <w:top w:val="nil"/>
              <w:left w:val="nil"/>
              <w:bottom w:val="single" w:sz="4" w:space="0" w:color="auto"/>
              <w:right w:val="single" w:sz="4" w:space="0" w:color="auto"/>
            </w:tcBorders>
            <w:noWrap/>
            <w:hideMark/>
          </w:tcPr>
          <w:p w14:paraId="3A56618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102,4</w:t>
            </w:r>
          </w:p>
        </w:tc>
        <w:tc>
          <w:tcPr>
            <w:tcW w:w="839" w:type="dxa"/>
            <w:tcBorders>
              <w:top w:val="nil"/>
              <w:left w:val="nil"/>
              <w:bottom w:val="single" w:sz="4" w:space="0" w:color="auto"/>
              <w:right w:val="single" w:sz="4" w:space="0" w:color="auto"/>
            </w:tcBorders>
            <w:noWrap/>
            <w:hideMark/>
          </w:tcPr>
          <w:p w14:paraId="1EE986D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95,5 w</w:t>
            </w:r>
          </w:p>
        </w:tc>
        <w:tc>
          <w:tcPr>
            <w:tcW w:w="811" w:type="dxa"/>
            <w:tcBorders>
              <w:top w:val="nil"/>
              <w:left w:val="nil"/>
              <w:bottom w:val="single" w:sz="4" w:space="0" w:color="auto"/>
              <w:right w:val="single" w:sz="4" w:space="0" w:color="auto"/>
            </w:tcBorders>
            <w:noWrap/>
            <w:hideMark/>
          </w:tcPr>
          <w:p w14:paraId="7FE5A78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89,5 w</w:t>
            </w:r>
          </w:p>
        </w:tc>
        <w:tc>
          <w:tcPr>
            <w:tcW w:w="839" w:type="dxa"/>
            <w:tcBorders>
              <w:top w:val="nil"/>
              <w:left w:val="nil"/>
              <w:bottom w:val="single" w:sz="4" w:space="0" w:color="auto"/>
              <w:right w:val="single" w:sz="4" w:space="0" w:color="auto"/>
            </w:tcBorders>
            <w:noWrap/>
            <w:hideMark/>
          </w:tcPr>
          <w:p w14:paraId="285A1C8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111,3</w:t>
            </w:r>
          </w:p>
        </w:tc>
        <w:tc>
          <w:tcPr>
            <w:tcW w:w="750" w:type="dxa"/>
            <w:tcBorders>
              <w:top w:val="nil"/>
              <w:left w:val="nil"/>
              <w:bottom w:val="single" w:sz="4" w:space="0" w:color="auto"/>
              <w:right w:val="single" w:sz="4" w:space="0" w:color="auto"/>
            </w:tcBorders>
            <w:noWrap/>
            <w:hideMark/>
          </w:tcPr>
          <w:p w14:paraId="2405190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111,0</w:t>
            </w:r>
          </w:p>
        </w:tc>
        <w:tc>
          <w:tcPr>
            <w:tcW w:w="811" w:type="dxa"/>
            <w:tcBorders>
              <w:top w:val="nil"/>
              <w:left w:val="nil"/>
              <w:bottom w:val="single" w:sz="4" w:space="0" w:color="auto"/>
              <w:right w:val="single" w:sz="4" w:space="0" w:color="auto"/>
            </w:tcBorders>
            <w:noWrap/>
            <w:hideMark/>
          </w:tcPr>
          <w:p w14:paraId="729DB49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113,6</w:t>
            </w:r>
          </w:p>
        </w:tc>
        <w:tc>
          <w:tcPr>
            <w:tcW w:w="839" w:type="dxa"/>
            <w:tcBorders>
              <w:top w:val="nil"/>
              <w:left w:val="nil"/>
              <w:bottom w:val="single" w:sz="4" w:space="0" w:color="auto"/>
              <w:right w:val="single" w:sz="4" w:space="0" w:color="auto"/>
            </w:tcBorders>
            <w:noWrap/>
            <w:hideMark/>
          </w:tcPr>
          <w:p w14:paraId="27254A7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115,4</w:t>
            </w:r>
          </w:p>
        </w:tc>
        <w:tc>
          <w:tcPr>
            <w:tcW w:w="839" w:type="dxa"/>
            <w:tcBorders>
              <w:top w:val="nil"/>
              <w:left w:val="nil"/>
              <w:bottom w:val="single" w:sz="4" w:space="0" w:color="auto"/>
              <w:right w:val="single" w:sz="4" w:space="0" w:color="auto"/>
            </w:tcBorders>
            <w:noWrap/>
            <w:hideMark/>
          </w:tcPr>
          <w:p w14:paraId="5CA7643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103,5</w:t>
            </w:r>
          </w:p>
        </w:tc>
        <w:tc>
          <w:tcPr>
            <w:tcW w:w="722" w:type="dxa"/>
            <w:tcBorders>
              <w:top w:val="nil"/>
              <w:left w:val="nil"/>
              <w:bottom w:val="single" w:sz="4" w:space="0" w:color="auto"/>
              <w:right w:val="single" w:sz="4" w:space="0" w:color="auto"/>
            </w:tcBorders>
            <w:noWrap/>
            <w:hideMark/>
          </w:tcPr>
          <w:p w14:paraId="1CBC84C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96,7</w:t>
            </w:r>
          </w:p>
        </w:tc>
        <w:tc>
          <w:tcPr>
            <w:tcW w:w="720" w:type="dxa"/>
            <w:tcBorders>
              <w:top w:val="nil"/>
              <w:left w:val="nil"/>
              <w:bottom w:val="single" w:sz="4" w:space="0" w:color="auto"/>
              <w:right w:val="single" w:sz="4" w:space="0" w:color="auto"/>
            </w:tcBorders>
            <w:noWrap/>
            <w:hideMark/>
          </w:tcPr>
          <w:p w14:paraId="073E5DE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7EA4FC5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1A71BA3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106,2</w:t>
            </w:r>
          </w:p>
        </w:tc>
        <w:tc>
          <w:tcPr>
            <w:tcW w:w="840" w:type="dxa"/>
            <w:tcBorders>
              <w:top w:val="nil"/>
              <w:left w:val="nil"/>
              <w:bottom w:val="single" w:sz="4" w:space="0" w:color="auto"/>
              <w:right w:val="single" w:sz="4" w:space="0" w:color="auto"/>
            </w:tcBorders>
            <w:noWrap/>
            <w:hideMark/>
          </w:tcPr>
          <w:p w14:paraId="1801F91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98,5</w:t>
            </w:r>
          </w:p>
        </w:tc>
      </w:tr>
      <w:tr w:rsidR="00221F1C" w14:paraId="3B4450C4" w14:textId="77777777" w:rsidTr="00221F1C">
        <w:trPr>
          <w:trHeight w:val="225"/>
        </w:trPr>
        <w:tc>
          <w:tcPr>
            <w:tcW w:w="2400" w:type="dxa"/>
            <w:noWrap/>
            <w:hideMark/>
          </w:tcPr>
          <w:p w14:paraId="76328D13" w14:textId="77777777" w:rsidR="00221F1C" w:rsidRDefault="00221F1C">
            <w:pPr>
              <w:rPr>
                <w:rFonts w:ascii="Arial" w:eastAsia="Times New Roman" w:hAnsi="Arial" w:cs="Arial"/>
                <w:noProof/>
                <w:color w:val="000000"/>
                <w:sz w:val="16"/>
                <w:szCs w:val="16"/>
                <w:lang w:val="en-IE" w:eastAsia="en-IE"/>
              </w:rPr>
            </w:pPr>
          </w:p>
        </w:tc>
        <w:tc>
          <w:tcPr>
            <w:tcW w:w="600" w:type="dxa"/>
            <w:noWrap/>
            <w:hideMark/>
          </w:tcPr>
          <w:p w14:paraId="0C5B133B" w14:textId="77777777" w:rsidR="00221F1C" w:rsidRDefault="00221F1C">
            <w:pPr>
              <w:spacing w:after="0"/>
              <w:rPr>
                <w:noProof/>
                <w:sz w:val="20"/>
                <w:szCs w:val="20"/>
                <w:lang w:val="en-IE" w:eastAsia="en-IE"/>
              </w:rPr>
            </w:pPr>
          </w:p>
        </w:tc>
        <w:tc>
          <w:tcPr>
            <w:tcW w:w="720" w:type="dxa"/>
            <w:noWrap/>
            <w:hideMark/>
          </w:tcPr>
          <w:p w14:paraId="1CFD85B1" w14:textId="77777777" w:rsidR="00221F1C" w:rsidRDefault="00221F1C">
            <w:pPr>
              <w:spacing w:after="0"/>
              <w:rPr>
                <w:noProof/>
                <w:sz w:val="20"/>
                <w:szCs w:val="20"/>
                <w:lang w:val="en-IE" w:eastAsia="en-IE"/>
              </w:rPr>
            </w:pPr>
          </w:p>
        </w:tc>
        <w:tc>
          <w:tcPr>
            <w:tcW w:w="840" w:type="dxa"/>
            <w:noWrap/>
            <w:hideMark/>
          </w:tcPr>
          <w:p w14:paraId="44FEA72D" w14:textId="77777777" w:rsidR="00221F1C" w:rsidRDefault="00221F1C">
            <w:pPr>
              <w:spacing w:after="0"/>
              <w:rPr>
                <w:noProof/>
                <w:sz w:val="20"/>
                <w:szCs w:val="20"/>
                <w:lang w:val="en-IE" w:eastAsia="en-IE"/>
              </w:rPr>
            </w:pPr>
          </w:p>
        </w:tc>
        <w:tc>
          <w:tcPr>
            <w:tcW w:w="840" w:type="dxa"/>
            <w:noWrap/>
            <w:hideMark/>
          </w:tcPr>
          <w:p w14:paraId="786034F2" w14:textId="77777777" w:rsidR="00221F1C" w:rsidRDefault="00221F1C">
            <w:pPr>
              <w:spacing w:after="0"/>
              <w:rPr>
                <w:noProof/>
                <w:sz w:val="20"/>
                <w:szCs w:val="20"/>
                <w:lang w:val="en-IE" w:eastAsia="en-IE"/>
              </w:rPr>
            </w:pPr>
          </w:p>
        </w:tc>
        <w:tc>
          <w:tcPr>
            <w:tcW w:w="750" w:type="dxa"/>
            <w:noWrap/>
            <w:hideMark/>
          </w:tcPr>
          <w:p w14:paraId="1DDC32AF" w14:textId="77777777" w:rsidR="00221F1C" w:rsidRDefault="00221F1C">
            <w:pPr>
              <w:spacing w:after="0"/>
              <w:rPr>
                <w:noProof/>
                <w:sz w:val="20"/>
                <w:szCs w:val="20"/>
                <w:lang w:val="en-IE" w:eastAsia="en-IE"/>
              </w:rPr>
            </w:pPr>
          </w:p>
        </w:tc>
        <w:tc>
          <w:tcPr>
            <w:tcW w:w="839" w:type="dxa"/>
            <w:noWrap/>
            <w:hideMark/>
          </w:tcPr>
          <w:p w14:paraId="23912656" w14:textId="77777777" w:rsidR="00221F1C" w:rsidRDefault="00221F1C">
            <w:pPr>
              <w:spacing w:after="0"/>
              <w:rPr>
                <w:noProof/>
                <w:sz w:val="20"/>
                <w:szCs w:val="20"/>
                <w:lang w:val="en-IE" w:eastAsia="en-IE"/>
              </w:rPr>
            </w:pPr>
          </w:p>
        </w:tc>
        <w:tc>
          <w:tcPr>
            <w:tcW w:w="811" w:type="dxa"/>
            <w:noWrap/>
            <w:hideMark/>
          </w:tcPr>
          <w:p w14:paraId="12788504" w14:textId="77777777" w:rsidR="00221F1C" w:rsidRDefault="00221F1C">
            <w:pPr>
              <w:spacing w:after="0"/>
              <w:rPr>
                <w:noProof/>
                <w:sz w:val="20"/>
                <w:szCs w:val="20"/>
                <w:lang w:val="en-IE" w:eastAsia="en-IE"/>
              </w:rPr>
            </w:pPr>
          </w:p>
        </w:tc>
        <w:tc>
          <w:tcPr>
            <w:tcW w:w="839" w:type="dxa"/>
            <w:noWrap/>
            <w:hideMark/>
          </w:tcPr>
          <w:p w14:paraId="3493A0C7" w14:textId="77777777" w:rsidR="00221F1C" w:rsidRDefault="00221F1C">
            <w:pPr>
              <w:spacing w:after="0"/>
              <w:rPr>
                <w:noProof/>
                <w:sz w:val="20"/>
                <w:szCs w:val="20"/>
                <w:lang w:val="en-IE" w:eastAsia="en-IE"/>
              </w:rPr>
            </w:pPr>
          </w:p>
        </w:tc>
        <w:tc>
          <w:tcPr>
            <w:tcW w:w="750" w:type="dxa"/>
            <w:noWrap/>
            <w:hideMark/>
          </w:tcPr>
          <w:p w14:paraId="1E8BC039" w14:textId="77777777" w:rsidR="00221F1C" w:rsidRDefault="00221F1C">
            <w:pPr>
              <w:spacing w:after="0"/>
              <w:rPr>
                <w:noProof/>
                <w:sz w:val="20"/>
                <w:szCs w:val="20"/>
                <w:lang w:val="en-IE" w:eastAsia="en-IE"/>
              </w:rPr>
            </w:pPr>
          </w:p>
        </w:tc>
        <w:tc>
          <w:tcPr>
            <w:tcW w:w="811" w:type="dxa"/>
            <w:noWrap/>
            <w:hideMark/>
          </w:tcPr>
          <w:p w14:paraId="7259FA95" w14:textId="77777777" w:rsidR="00221F1C" w:rsidRDefault="00221F1C">
            <w:pPr>
              <w:spacing w:after="0"/>
              <w:rPr>
                <w:noProof/>
                <w:sz w:val="20"/>
                <w:szCs w:val="20"/>
                <w:lang w:val="en-IE" w:eastAsia="en-IE"/>
              </w:rPr>
            </w:pPr>
          </w:p>
        </w:tc>
        <w:tc>
          <w:tcPr>
            <w:tcW w:w="839" w:type="dxa"/>
            <w:noWrap/>
            <w:hideMark/>
          </w:tcPr>
          <w:p w14:paraId="00EF28F5" w14:textId="77777777" w:rsidR="00221F1C" w:rsidRDefault="00221F1C">
            <w:pPr>
              <w:spacing w:after="0"/>
              <w:rPr>
                <w:noProof/>
                <w:sz w:val="20"/>
                <w:szCs w:val="20"/>
                <w:lang w:val="en-IE" w:eastAsia="en-IE"/>
              </w:rPr>
            </w:pPr>
          </w:p>
        </w:tc>
        <w:tc>
          <w:tcPr>
            <w:tcW w:w="839" w:type="dxa"/>
            <w:noWrap/>
            <w:hideMark/>
          </w:tcPr>
          <w:p w14:paraId="7202F82C" w14:textId="77777777" w:rsidR="00221F1C" w:rsidRDefault="00221F1C">
            <w:pPr>
              <w:spacing w:after="0"/>
              <w:rPr>
                <w:noProof/>
                <w:sz w:val="20"/>
                <w:szCs w:val="20"/>
                <w:lang w:val="en-IE" w:eastAsia="en-IE"/>
              </w:rPr>
            </w:pPr>
          </w:p>
        </w:tc>
        <w:tc>
          <w:tcPr>
            <w:tcW w:w="722" w:type="dxa"/>
            <w:noWrap/>
            <w:hideMark/>
          </w:tcPr>
          <w:p w14:paraId="76F7A086" w14:textId="77777777" w:rsidR="00221F1C" w:rsidRDefault="00221F1C">
            <w:pPr>
              <w:spacing w:after="0"/>
              <w:rPr>
                <w:noProof/>
                <w:sz w:val="20"/>
                <w:szCs w:val="20"/>
                <w:lang w:val="en-IE" w:eastAsia="en-IE"/>
              </w:rPr>
            </w:pPr>
          </w:p>
        </w:tc>
        <w:tc>
          <w:tcPr>
            <w:tcW w:w="720" w:type="dxa"/>
            <w:noWrap/>
            <w:hideMark/>
          </w:tcPr>
          <w:p w14:paraId="14D639AE" w14:textId="77777777" w:rsidR="00221F1C" w:rsidRDefault="00221F1C">
            <w:pPr>
              <w:spacing w:after="0"/>
              <w:rPr>
                <w:noProof/>
                <w:sz w:val="20"/>
                <w:szCs w:val="20"/>
                <w:lang w:val="en-IE" w:eastAsia="en-IE"/>
              </w:rPr>
            </w:pPr>
          </w:p>
        </w:tc>
        <w:tc>
          <w:tcPr>
            <w:tcW w:w="840" w:type="dxa"/>
            <w:noWrap/>
            <w:hideMark/>
          </w:tcPr>
          <w:p w14:paraId="796F8B91" w14:textId="77777777" w:rsidR="00221F1C" w:rsidRDefault="00221F1C">
            <w:pPr>
              <w:spacing w:after="0"/>
              <w:rPr>
                <w:noProof/>
                <w:sz w:val="20"/>
                <w:szCs w:val="20"/>
                <w:lang w:val="en-IE" w:eastAsia="en-IE"/>
              </w:rPr>
            </w:pPr>
          </w:p>
        </w:tc>
        <w:tc>
          <w:tcPr>
            <w:tcW w:w="840" w:type="dxa"/>
            <w:noWrap/>
            <w:hideMark/>
          </w:tcPr>
          <w:p w14:paraId="474A4531" w14:textId="77777777" w:rsidR="00221F1C" w:rsidRDefault="00221F1C">
            <w:pPr>
              <w:spacing w:after="0"/>
              <w:rPr>
                <w:noProof/>
                <w:sz w:val="20"/>
                <w:szCs w:val="20"/>
                <w:lang w:val="en-IE" w:eastAsia="en-IE"/>
              </w:rPr>
            </w:pPr>
          </w:p>
        </w:tc>
        <w:tc>
          <w:tcPr>
            <w:tcW w:w="840" w:type="dxa"/>
            <w:noWrap/>
            <w:hideMark/>
          </w:tcPr>
          <w:p w14:paraId="074D4B09" w14:textId="77777777" w:rsidR="00221F1C" w:rsidRDefault="00221F1C">
            <w:pPr>
              <w:spacing w:after="0"/>
              <w:rPr>
                <w:noProof/>
                <w:sz w:val="20"/>
                <w:szCs w:val="20"/>
                <w:lang w:val="en-IE" w:eastAsia="en-IE"/>
              </w:rPr>
            </w:pPr>
          </w:p>
        </w:tc>
      </w:tr>
      <w:tr w:rsidR="00221F1C" w14:paraId="4FF5F319" w14:textId="77777777" w:rsidTr="00221F1C">
        <w:trPr>
          <w:trHeight w:val="225"/>
        </w:trPr>
        <w:tc>
          <w:tcPr>
            <w:tcW w:w="2400" w:type="dxa"/>
            <w:tcBorders>
              <w:top w:val="nil"/>
              <w:left w:val="nil"/>
              <w:bottom w:val="single" w:sz="4" w:space="0" w:color="auto"/>
              <w:right w:val="nil"/>
            </w:tcBorders>
            <w:noWrap/>
            <w:hideMark/>
          </w:tcPr>
          <w:p w14:paraId="46DB476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b/>
                <w:noProof/>
                <w:sz w:val="16"/>
              </w:rPr>
              <w:t>Infrastruktura</w:t>
            </w:r>
          </w:p>
        </w:tc>
        <w:tc>
          <w:tcPr>
            <w:tcW w:w="600" w:type="dxa"/>
            <w:tcBorders>
              <w:top w:val="single" w:sz="4" w:space="0" w:color="auto"/>
              <w:left w:val="single" w:sz="4" w:space="0" w:color="auto"/>
              <w:bottom w:val="single" w:sz="4" w:space="0" w:color="auto"/>
              <w:right w:val="single" w:sz="4" w:space="0" w:color="auto"/>
            </w:tcBorders>
            <w:noWrap/>
            <w:hideMark/>
          </w:tcPr>
          <w:p w14:paraId="654EBF8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Napomena</w:t>
            </w:r>
          </w:p>
        </w:tc>
        <w:tc>
          <w:tcPr>
            <w:tcW w:w="720" w:type="dxa"/>
            <w:tcBorders>
              <w:top w:val="single" w:sz="4" w:space="0" w:color="auto"/>
              <w:left w:val="nil"/>
              <w:bottom w:val="single" w:sz="4" w:space="0" w:color="auto"/>
              <w:right w:val="single" w:sz="4" w:space="0" w:color="auto"/>
            </w:tcBorders>
            <w:hideMark/>
          </w:tcPr>
          <w:p w14:paraId="1915EBE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79085C5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50CBDB8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37B2E85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658776C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single" w:sz="4" w:space="0" w:color="auto"/>
              <w:left w:val="nil"/>
              <w:bottom w:val="single" w:sz="4" w:space="0" w:color="auto"/>
              <w:right w:val="single" w:sz="4" w:space="0" w:color="auto"/>
            </w:tcBorders>
            <w:hideMark/>
          </w:tcPr>
          <w:p w14:paraId="18E51DE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28B88C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4B05CBF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single" w:sz="4" w:space="0" w:color="auto"/>
              <w:left w:val="nil"/>
              <w:bottom w:val="single" w:sz="4" w:space="0" w:color="auto"/>
              <w:right w:val="single" w:sz="4" w:space="0" w:color="auto"/>
            </w:tcBorders>
            <w:hideMark/>
          </w:tcPr>
          <w:p w14:paraId="386E4E1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single" w:sz="4" w:space="0" w:color="auto"/>
              <w:left w:val="nil"/>
              <w:bottom w:val="single" w:sz="4" w:space="0" w:color="auto"/>
              <w:right w:val="single" w:sz="4" w:space="0" w:color="auto"/>
            </w:tcBorders>
            <w:hideMark/>
          </w:tcPr>
          <w:p w14:paraId="7AB7C61D"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773831F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single" w:sz="4" w:space="0" w:color="auto"/>
              <w:left w:val="nil"/>
              <w:bottom w:val="single" w:sz="4" w:space="0" w:color="auto"/>
              <w:right w:val="single" w:sz="4" w:space="0" w:color="auto"/>
            </w:tcBorders>
            <w:hideMark/>
          </w:tcPr>
          <w:p w14:paraId="41E2564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single" w:sz="4" w:space="0" w:color="auto"/>
              <w:left w:val="nil"/>
              <w:bottom w:val="single" w:sz="4" w:space="0" w:color="auto"/>
              <w:right w:val="single" w:sz="4" w:space="0" w:color="auto"/>
            </w:tcBorders>
            <w:hideMark/>
          </w:tcPr>
          <w:p w14:paraId="2315CC5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164E30C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50B21B1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5BC5D7D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74571BB3" w14:textId="77777777" w:rsidTr="00221F1C">
        <w:trPr>
          <w:trHeight w:val="450"/>
        </w:trPr>
        <w:tc>
          <w:tcPr>
            <w:tcW w:w="2400" w:type="dxa"/>
            <w:tcBorders>
              <w:top w:val="single" w:sz="4" w:space="0" w:color="auto"/>
              <w:left w:val="single" w:sz="4" w:space="0" w:color="auto"/>
              <w:bottom w:val="single" w:sz="4" w:space="0" w:color="auto"/>
              <w:right w:val="single" w:sz="4" w:space="0" w:color="auto"/>
            </w:tcBorders>
            <w:hideMark/>
          </w:tcPr>
          <w:p w14:paraId="297BF56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Gustoća željezničke mreže (pruge kojima se prometuje na 1 000 km²)</w:t>
            </w:r>
          </w:p>
        </w:tc>
        <w:tc>
          <w:tcPr>
            <w:tcW w:w="600" w:type="dxa"/>
            <w:tcBorders>
              <w:top w:val="nil"/>
              <w:left w:val="nil"/>
              <w:bottom w:val="single" w:sz="4" w:space="0" w:color="auto"/>
              <w:right w:val="single" w:sz="4" w:space="0" w:color="auto"/>
            </w:tcBorders>
            <w:hideMark/>
          </w:tcPr>
          <w:p w14:paraId="13832D4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32) 33)</w:t>
            </w:r>
          </w:p>
        </w:tc>
        <w:tc>
          <w:tcPr>
            <w:tcW w:w="720" w:type="dxa"/>
            <w:tcBorders>
              <w:top w:val="nil"/>
              <w:left w:val="nil"/>
              <w:bottom w:val="single" w:sz="4" w:space="0" w:color="auto"/>
              <w:right w:val="single" w:sz="4" w:space="0" w:color="auto"/>
            </w:tcBorders>
            <w:noWrap/>
            <w:hideMark/>
          </w:tcPr>
          <w:p w14:paraId="2A6D4FC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18,0 s</w:t>
            </w:r>
          </w:p>
        </w:tc>
        <w:tc>
          <w:tcPr>
            <w:tcW w:w="840" w:type="dxa"/>
            <w:tcBorders>
              <w:top w:val="nil"/>
              <w:left w:val="nil"/>
              <w:bottom w:val="single" w:sz="4" w:space="0" w:color="auto"/>
              <w:right w:val="single" w:sz="4" w:space="0" w:color="auto"/>
            </w:tcBorders>
            <w:noWrap/>
            <w:hideMark/>
          </w:tcPr>
          <w:p w14:paraId="3E9AE56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575F854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26,9 s</w:t>
            </w:r>
          </w:p>
        </w:tc>
        <w:tc>
          <w:tcPr>
            <w:tcW w:w="750" w:type="dxa"/>
            <w:tcBorders>
              <w:top w:val="nil"/>
              <w:left w:val="nil"/>
              <w:bottom w:val="single" w:sz="4" w:space="0" w:color="auto"/>
              <w:right w:val="single" w:sz="4" w:space="0" w:color="auto"/>
            </w:tcBorders>
            <w:noWrap/>
            <w:hideMark/>
          </w:tcPr>
          <w:p w14:paraId="068894A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26,9 s</w:t>
            </w:r>
          </w:p>
        </w:tc>
        <w:tc>
          <w:tcPr>
            <w:tcW w:w="839" w:type="dxa"/>
            <w:tcBorders>
              <w:top w:val="nil"/>
              <w:left w:val="nil"/>
              <w:bottom w:val="single" w:sz="4" w:space="0" w:color="auto"/>
              <w:right w:val="single" w:sz="4" w:space="0" w:color="auto"/>
            </w:tcBorders>
            <w:noWrap/>
            <w:hideMark/>
          </w:tcPr>
          <w:p w14:paraId="40BB129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5,9 sw</w:t>
            </w:r>
          </w:p>
        </w:tc>
        <w:tc>
          <w:tcPr>
            <w:tcW w:w="811" w:type="dxa"/>
            <w:tcBorders>
              <w:top w:val="nil"/>
              <w:left w:val="nil"/>
              <w:bottom w:val="single" w:sz="4" w:space="0" w:color="auto"/>
              <w:right w:val="single" w:sz="4" w:space="0" w:color="auto"/>
            </w:tcBorders>
            <w:noWrap/>
            <w:hideMark/>
          </w:tcPr>
          <w:p w14:paraId="63C63CB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7,8 sw</w:t>
            </w:r>
          </w:p>
        </w:tc>
        <w:tc>
          <w:tcPr>
            <w:tcW w:w="839" w:type="dxa"/>
            <w:tcBorders>
              <w:top w:val="nil"/>
              <w:left w:val="nil"/>
              <w:bottom w:val="single" w:sz="4" w:space="0" w:color="auto"/>
              <w:right w:val="single" w:sz="4" w:space="0" w:color="auto"/>
            </w:tcBorders>
            <w:noWrap/>
            <w:hideMark/>
          </w:tcPr>
          <w:p w14:paraId="471357D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48,5 sw</w:t>
            </w:r>
          </w:p>
        </w:tc>
        <w:tc>
          <w:tcPr>
            <w:tcW w:w="750" w:type="dxa"/>
            <w:tcBorders>
              <w:top w:val="nil"/>
              <w:left w:val="nil"/>
              <w:bottom w:val="single" w:sz="4" w:space="0" w:color="auto"/>
              <w:right w:val="single" w:sz="4" w:space="0" w:color="auto"/>
            </w:tcBorders>
            <w:noWrap/>
            <w:hideMark/>
          </w:tcPr>
          <w:p w14:paraId="4C1D075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43,2 sw</w:t>
            </w:r>
          </w:p>
        </w:tc>
        <w:tc>
          <w:tcPr>
            <w:tcW w:w="811" w:type="dxa"/>
            <w:tcBorders>
              <w:top w:val="nil"/>
              <w:left w:val="nil"/>
              <w:bottom w:val="single" w:sz="4" w:space="0" w:color="auto"/>
              <w:right w:val="single" w:sz="4" w:space="0" w:color="auto"/>
            </w:tcBorders>
            <w:noWrap/>
            <w:hideMark/>
          </w:tcPr>
          <w:p w14:paraId="10AFEF6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13,3 s</w:t>
            </w:r>
          </w:p>
        </w:tc>
        <w:tc>
          <w:tcPr>
            <w:tcW w:w="839" w:type="dxa"/>
            <w:tcBorders>
              <w:top w:val="nil"/>
              <w:left w:val="nil"/>
              <w:bottom w:val="single" w:sz="4" w:space="0" w:color="auto"/>
              <w:right w:val="single" w:sz="4" w:space="0" w:color="auto"/>
            </w:tcBorders>
            <w:noWrap/>
            <w:hideMark/>
          </w:tcPr>
          <w:p w14:paraId="487FDE8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13,3 s</w:t>
            </w:r>
          </w:p>
        </w:tc>
        <w:tc>
          <w:tcPr>
            <w:tcW w:w="839" w:type="dxa"/>
            <w:tcBorders>
              <w:top w:val="nil"/>
              <w:left w:val="nil"/>
              <w:bottom w:val="single" w:sz="4" w:space="0" w:color="auto"/>
              <w:right w:val="single" w:sz="4" w:space="0" w:color="auto"/>
            </w:tcBorders>
            <w:noWrap/>
            <w:hideMark/>
          </w:tcPr>
          <w:p w14:paraId="6C884C3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19,9 sw</w:t>
            </w:r>
          </w:p>
        </w:tc>
        <w:tc>
          <w:tcPr>
            <w:tcW w:w="722" w:type="dxa"/>
            <w:tcBorders>
              <w:top w:val="nil"/>
              <w:left w:val="nil"/>
              <w:bottom w:val="single" w:sz="4" w:space="0" w:color="auto"/>
              <w:right w:val="single" w:sz="4" w:space="0" w:color="auto"/>
            </w:tcBorders>
            <w:noWrap/>
            <w:hideMark/>
          </w:tcPr>
          <w:p w14:paraId="43E0A0C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19,9 sw</w:t>
            </w:r>
          </w:p>
        </w:tc>
        <w:tc>
          <w:tcPr>
            <w:tcW w:w="720" w:type="dxa"/>
            <w:tcBorders>
              <w:top w:val="nil"/>
              <w:left w:val="nil"/>
              <w:bottom w:val="single" w:sz="4" w:space="0" w:color="auto"/>
              <w:right w:val="single" w:sz="4" w:space="0" w:color="auto"/>
            </w:tcBorders>
            <w:noWrap/>
            <w:hideMark/>
          </w:tcPr>
          <w:p w14:paraId="1B8531E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30,5 sw</w:t>
            </w:r>
          </w:p>
        </w:tc>
        <w:tc>
          <w:tcPr>
            <w:tcW w:w="840" w:type="dxa"/>
            <w:tcBorders>
              <w:top w:val="nil"/>
              <w:left w:val="nil"/>
              <w:bottom w:val="single" w:sz="4" w:space="0" w:color="auto"/>
              <w:right w:val="single" w:sz="4" w:space="0" w:color="auto"/>
            </w:tcBorders>
            <w:noWrap/>
            <w:hideMark/>
          </w:tcPr>
          <w:p w14:paraId="5FD7966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30,5 sw</w:t>
            </w:r>
          </w:p>
        </w:tc>
        <w:tc>
          <w:tcPr>
            <w:tcW w:w="840" w:type="dxa"/>
            <w:tcBorders>
              <w:top w:val="nil"/>
              <w:left w:val="nil"/>
              <w:bottom w:val="single" w:sz="4" w:space="0" w:color="auto"/>
              <w:right w:val="single" w:sz="4" w:space="0" w:color="auto"/>
            </w:tcBorders>
            <w:noWrap/>
            <w:hideMark/>
          </w:tcPr>
          <w:p w14:paraId="6CB1A51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76173B9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093DF009" w14:textId="77777777" w:rsidTr="00221F1C">
        <w:trPr>
          <w:trHeight w:val="225"/>
        </w:trPr>
        <w:tc>
          <w:tcPr>
            <w:tcW w:w="2400" w:type="dxa"/>
            <w:tcBorders>
              <w:top w:val="nil"/>
              <w:left w:val="single" w:sz="4" w:space="0" w:color="auto"/>
              <w:bottom w:val="single" w:sz="4" w:space="0" w:color="auto"/>
              <w:right w:val="single" w:sz="4" w:space="0" w:color="auto"/>
            </w:tcBorders>
            <w:hideMark/>
          </w:tcPr>
          <w:p w14:paraId="4CCE933E"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Duljina autocesta (u kilometrima)</w:t>
            </w:r>
          </w:p>
        </w:tc>
        <w:tc>
          <w:tcPr>
            <w:tcW w:w="600" w:type="dxa"/>
            <w:tcBorders>
              <w:top w:val="nil"/>
              <w:left w:val="nil"/>
              <w:bottom w:val="single" w:sz="4" w:space="0" w:color="auto"/>
              <w:right w:val="single" w:sz="4" w:space="0" w:color="auto"/>
            </w:tcBorders>
            <w:hideMark/>
          </w:tcPr>
          <w:p w14:paraId="2BF39D0C" w14:textId="77777777" w:rsidR="00221F1C" w:rsidRDefault="00221F1C">
            <w:pPr>
              <w:rPr>
                <w:rFonts w:ascii="Arial" w:eastAsia="Times New Roman" w:hAnsi="Arial" w:cs="Arial"/>
                <w:noProof/>
                <w:color w:val="000000"/>
                <w:sz w:val="16"/>
                <w:szCs w:val="16"/>
                <w:lang w:val="en-IE" w:eastAsia="en-IE"/>
              </w:rPr>
            </w:pPr>
          </w:p>
        </w:tc>
        <w:tc>
          <w:tcPr>
            <w:tcW w:w="720" w:type="dxa"/>
            <w:tcBorders>
              <w:top w:val="nil"/>
              <w:left w:val="nil"/>
              <w:bottom w:val="single" w:sz="4" w:space="0" w:color="auto"/>
              <w:right w:val="single" w:sz="4" w:space="0" w:color="auto"/>
            </w:tcBorders>
            <w:noWrap/>
            <w:hideMark/>
          </w:tcPr>
          <w:p w14:paraId="3BDCA1F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 xml:space="preserve"> z</w:t>
            </w:r>
          </w:p>
        </w:tc>
        <w:tc>
          <w:tcPr>
            <w:tcW w:w="840" w:type="dxa"/>
            <w:tcBorders>
              <w:top w:val="nil"/>
              <w:left w:val="nil"/>
              <w:bottom w:val="single" w:sz="4" w:space="0" w:color="auto"/>
              <w:right w:val="single" w:sz="4" w:space="0" w:color="auto"/>
            </w:tcBorders>
            <w:noWrap/>
            <w:hideMark/>
          </w:tcPr>
          <w:p w14:paraId="1A3D401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 xml:space="preserve"> z</w:t>
            </w:r>
          </w:p>
        </w:tc>
        <w:tc>
          <w:tcPr>
            <w:tcW w:w="840" w:type="dxa"/>
            <w:tcBorders>
              <w:top w:val="nil"/>
              <w:left w:val="nil"/>
              <w:bottom w:val="single" w:sz="4" w:space="0" w:color="auto"/>
              <w:right w:val="single" w:sz="4" w:space="0" w:color="auto"/>
            </w:tcBorders>
            <w:noWrap/>
            <w:hideMark/>
          </w:tcPr>
          <w:p w14:paraId="3AD08C4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335</w:t>
            </w:r>
          </w:p>
        </w:tc>
        <w:tc>
          <w:tcPr>
            <w:tcW w:w="750" w:type="dxa"/>
            <w:tcBorders>
              <w:top w:val="nil"/>
              <w:left w:val="nil"/>
              <w:bottom w:val="single" w:sz="4" w:space="0" w:color="auto"/>
              <w:right w:val="single" w:sz="4" w:space="0" w:color="auto"/>
            </w:tcBorders>
            <w:noWrap/>
            <w:hideMark/>
          </w:tcPr>
          <w:p w14:paraId="6DA20B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335</w:t>
            </w:r>
          </w:p>
        </w:tc>
        <w:tc>
          <w:tcPr>
            <w:tcW w:w="839" w:type="dxa"/>
            <w:tcBorders>
              <w:top w:val="nil"/>
              <w:left w:val="nil"/>
              <w:bottom w:val="single" w:sz="4" w:space="0" w:color="auto"/>
              <w:right w:val="single" w:sz="4" w:space="0" w:color="auto"/>
            </w:tcBorders>
            <w:noWrap/>
            <w:hideMark/>
          </w:tcPr>
          <w:p w14:paraId="7CA7F40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 xml:space="preserve"> z</w:t>
            </w:r>
          </w:p>
        </w:tc>
        <w:tc>
          <w:tcPr>
            <w:tcW w:w="811" w:type="dxa"/>
            <w:tcBorders>
              <w:top w:val="nil"/>
              <w:left w:val="nil"/>
              <w:bottom w:val="single" w:sz="4" w:space="0" w:color="auto"/>
              <w:right w:val="single" w:sz="4" w:space="0" w:color="auto"/>
            </w:tcBorders>
            <w:noWrap/>
            <w:hideMark/>
          </w:tcPr>
          <w:p w14:paraId="524958E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22</w:t>
            </w:r>
          </w:p>
        </w:tc>
        <w:tc>
          <w:tcPr>
            <w:tcW w:w="839" w:type="dxa"/>
            <w:tcBorders>
              <w:top w:val="nil"/>
              <w:left w:val="nil"/>
              <w:bottom w:val="single" w:sz="4" w:space="0" w:color="auto"/>
              <w:right w:val="single" w:sz="4" w:space="0" w:color="auto"/>
            </w:tcBorders>
            <w:noWrap/>
            <w:hideMark/>
          </w:tcPr>
          <w:p w14:paraId="62E578B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928 w</w:t>
            </w:r>
          </w:p>
        </w:tc>
        <w:tc>
          <w:tcPr>
            <w:tcW w:w="750" w:type="dxa"/>
            <w:tcBorders>
              <w:top w:val="nil"/>
              <w:left w:val="nil"/>
              <w:bottom w:val="single" w:sz="4" w:space="0" w:color="auto"/>
              <w:right w:val="single" w:sz="4" w:space="0" w:color="auto"/>
            </w:tcBorders>
            <w:noWrap/>
            <w:hideMark/>
          </w:tcPr>
          <w:p w14:paraId="18546DD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928</w:t>
            </w:r>
          </w:p>
        </w:tc>
        <w:tc>
          <w:tcPr>
            <w:tcW w:w="811" w:type="dxa"/>
            <w:tcBorders>
              <w:top w:val="nil"/>
              <w:left w:val="nil"/>
              <w:bottom w:val="single" w:sz="4" w:space="0" w:color="auto"/>
              <w:right w:val="single" w:sz="4" w:space="0" w:color="auto"/>
            </w:tcBorders>
            <w:noWrap/>
            <w:hideMark/>
          </w:tcPr>
          <w:p w14:paraId="7A07239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3 060</w:t>
            </w:r>
          </w:p>
        </w:tc>
        <w:tc>
          <w:tcPr>
            <w:tcW w:w="839" w:type="dxa"/>
            <w:tcBorders>
              <w:top w:val="nil"/>
              <w:left w:val="nil"/>
              <w:bottom w:val="single" w:sz="4" w:space="0" w:color="auto"/>
              <w:right w:val="single" w:sz="4" w:space="0" w:color="auto"/>
            </w:tcBorders>
            <w:noWrap/>
            <w:hideMark/>
          </w:tcPr>
          <w:p w14:paraId="7EECC75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3 523</w:t>
            </w:r>
          </w:p>
        </w:tc>
        <w:tc>
          <w:tcPr>
            <w:tcW w:w="839" w:type="dxa"/>
            <w:tcBorders>
              <w:top w:val="nil"/>
              <w:left w:val="nil"/>
              <w:bottom w:val="single" w:sz="4" w:space="0" w:color="auto"/>
              <w:right w:val="single" w:sz="4" w:space="0" w:color="auto"/>
            </w:tcBorders>
            <w:noWrap/>
            <w:hideMark/>
          </w:tcPr>
          <w:p w14:paraId="5CA962D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208</w:t>
            </w:r>
          </w:p>
        </w:tc>
        <w:tc>
          <w:tcPr>
            <w:tcW w:w="722" w:type="dxa"/>
            <w:tcBorders>
              <w:top w:val="nil"/>
              <w:left w:val="nil"/>
              <w:bottom w:val="single" w:sz="4" w:space="0" w:color="auto"/>
              <w:right w:val="single" w:sz="4" w:space="0" w:color="auto"/>
            </w:tcBorders>
            <w:noWrap/>
            <w:hideMark/>
          </w:tcPr>
          <w:p w14:paraId="694208D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218</w:t>
            </w:r>
          </w:p>
        </w:tc>
        <w:tc>
          <w:tcPr>
            <w:tcW w:w="720" w:type="dxa"/>
            <w:tcBorders>
              <w:top w:val="nil"/>
              <w:left w:val="nil"/>
              <w:bottom w:val="single" w:sz="4" w:space="0" w:color="auto"/>
              <w:right w:val="single" w:sz="4" w:space="0" w:color="auto"/>
            </w:tcBorders>
            <w:noWrap/>
            <w:hideMark/>
          </w:tcPr>
          <w:p w14:paraId="255A943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137 w</w:t>
            </w:r>
          </w:p>
        </w:tc>
        <w:tc>
          <w:tcPr>
            <w:tcW w:w="840" w:type="dxa"/>
            <w:tcBorders>
              <w:top w:val="nil"/>
              <w:left w:val="nil"/>
              <w:bottom w:val="single" w:sz="4" w:space="0" w:color="auto"/>
              <w:right w:val="single" w:sz="4" w:space="0" w:color="auto"/>
            </w:tcBorders>
            <w:noWrap/>
            <w:hideMark/>
          </w:tcPr>
          <w:p w14:paraId="1EF5204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137 w</w:t>
            </w:r>
          </w:p>
        </w:tc>
        <w:tc>
          <w:tcPr>
            <w:tcW w:w="840" w:type="dxa"/>
            <w:tcBorders>
              <w:top w:val="nil"/>
              <w:left w:val="nil"/>
              <w:bottom w:val="single" w:sz="4" w:space="0" w:color="auto"/>
              <w:right w:val="single" w:sz="4" w:space="0" w:color="auto"/>
            </w:tcBorders>
            <w:noWrap/>
            <w:hideMark/>
          </w:tcPr>
          <w:p w14:paraId="3CE522C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c>
          <w:tcPr>
            <w:tcW w:w="840" w:type="dxa"/>
            <w:tcBorders>
              <w:top w:val="nil"/>
              <w:left w:val="nil"/>
              <w:bottom w:val="single" w:sz="4" w:space="0" w:color="auto"/>
              <w:right w:val="single" w:sz="4" w:space="0" w:color="auto"/>
            </w:tcBorders>
            <w:noWrap/>
            <w:hideMark/>
          </w:tcPr>
          <w:p w14:paraId="3D733ED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w:t>
            </w:r>
          </w:p>
        </w:tc>
      </w:tr>
      <w:tr w:rsidR="00221F1C" w14:paraId="62275029" w14:textId="77777777" w:rsidTr="00221F1C">
        <w:trPr>
          <w:trHeight w:val="225"/>
        </w:trPr>
        <w:tc>
          <w:tcPr>
            <w:tcW w:w="2400" w:type="dxa"/>
            <w:hideMark/>
          </w:tcPr>
          <w:p w14:paraId="282E3268" w14:textId="77777777" w:rsidR="00221F1C" w:rsidRDefault="00221F1C">
            <w:pPr>
              <w:rPr>
                <w:rFonts w:ascii="Arial" w:eastAsia="Times New Roman" w:hAnsi="Arial" w:cs="Arial"/>
                <w:noProof/>
                <w:color w:val="000000"/>
                <w:sz w:val="16"/>
                <w:szCs w:val="16"/>
                <w:lang w:val="en-IE" w:eastAsia="en-IE"/>
              </w:rPr>
            </w:pPr>
          </w:p>
        </w:tc>
        <w:tc>
          <w:tcPr>
            <w:tcW w:w="600" w:type="dxa"/>
            <w:hideMark/>
          </w:tcPr>
          <w:p w14:paraId="0F508EE9" w14:textId="77777777" w:rsidR="00221F1C" w:rsidRDefault="00221F1C">
            <w:pPr>
              <w:spacing w:after="0"/>
              <w:rPr>
                <w:noProof/>
                <w:sz w:val="20"/>
                <w:szCs w:val="20"/>
                <w:lang w:val="en-IE" w:eastAsia="en-IE"/>
              </w:rPr>
            </w:pPr>
          </w:p>
        </w:tc>
        <w:tc>
          <w:tcPr>
            <w:tcW w:w="720" w:type="dxa"/>
            <w:hideMark/>
          </w:tcPr>
          <w:p w14:paraId="20872CEE" w14:textId="77777777" w:rsidR="00221F1C" w:rsidRDefault="00221F1C">
            <w:pPr>
              <w:spacing w:after="0"/>
              <w:rPr>
                <w:noProof/>
                <w:sz w:val="20"/>
                <w:szCs w:val="20"/>
                <w:lang w:val="en-IE" w:eastAsia="en-IE"/>
              </w:rPr>
            </w:pPr>
          </w:p>
        </w:tc>
        <w:tc>
          <w:tcPr>
            <w:tcW w:w="840" w:type="dxa"/>
            <w:hideMark/>
          </w:tcPr>
          <w:p w14:paraId="7CD36758" w14:textId="77777777" w:rsidR="00221F1C" w:rsidRDefault="00221F1C">
            <w:pPr>
              <w:spacing w:after="0"/>
              <w:rPr>
                <w:noProof/>
                <w:sz w:val="20"/>
                <w:szCs w:val="20"/>
                <w:lang w:val="en-IE" w:eastAsia="en-IE"/>
              </w:rPr>
            </w:pPr>
          </w:p>
        </w:tc>
        <w:tc>
          <w:tcPr>
            <w:tcW w:w="840" w:type="dxa"/>
            <w:hideMark/>
          </w:tcPr>
          <w:p w14:paraId="5530A6B6" w14:textId="77777777" w:rsidR="00221F1C" w:rsidRDefault="00221F1C">
            <w:pPr>
              <w:spacing w:after="0"/>
              <w:rPr>
                <w:noProof/>
                <w:sz w:val="20"/>
                <w:szCs w:val="20"/>
                <w:lang w:val="en-IE" w:eastAsia="en-IE"/>
              </w:rPr>
            </w:pPr>
          </w:p>
        </w:tc>
        <w:tc>
          <w:tcPr>
            <w:tcW w:w="750" w:type="dxa"/>
            <w:hideMark/>
          </w:tcPr>
          <w:p w14:paraId="467864D1" w14:textId="77777777" w:rsidR="00221F1C" w:rsidRDefault="00221F1C">
            <w:pPr>
              <w:spacing w:after="0"/>
              <w:rPr>
                <w:noProof/>
                <w:sz w:val="20"/>
                <w:szCs w:val="20"/>
                <w:lang w:val="en-IE" w:eastAsia="en-IE"/>
              </w:rPr>
            </w:pPr>
          </w:p>
        </w:tc>
        <w:tc>
          <w:tcPr>
            <w:tcW w:w="839" w:type="dxa"/>
            <w:hideMark/>
          </w:tcPr>
          <w:p w14:paraId="13C07175" w14:textId="77777777" w:rsidR="00221F1C" w:rsidRDefault="00221F1C">
            <w:pPr>
              <w:spacing w:after="0"/>
              <w:rPr>
                <w:noProof/>
                <w:sz w:val="20"/>
                <w:szCs w:val="20"/>
                <w:lang w:val="en-IE" w:eastAsia="en-IE"/>
              </w:rPr>
            </w:pPr>
          </w:p>
        </w:tc>
        <w:tc>
          <w:tcPr>
            <w:tcW w:w="811" w:type="dxa"/>
            <w:hideMark/>
          </w:tcPr>
          <w:p w14:paraId="58CD4C93" w14:textId="77777777" w:rsidR="00221F1C" w:rsidRDefault="00221F1C">
            <w:pPr>
              <w:spacing w:after="0"/>
              <w:rPr>
                <w:noProof/>
                <w:sz w:val="20"/>
                <w:szCs w:val="20"/>
                <w:lang w:val="en-IE" w:eastAsia="en-IE"/>
              </w:rPr>
            </w:pPr>
          </w:p>
        </w:tc>
        <w:tc>
          <w:tcPr>
            <w:tcW w:w="839" w:type="dxa"/>
            <w:hideMark/>
          </w:tcPr>
          <w:p w14:paraId="56FF90A6" w14:textId="77777777" w:rsidR="00221F1C" w:rsidRDefault="00221F1C">
            <w:pPr>
              <w:spacing w:after="0"/>
              <w:rPr>
                <w:noProof/>
                <w:sz w:val="20"/>
                <w:szCs w:val="20"/>
                <w:lang w:val="en-IE" w:eastAsia="en-IE"/>
              </w:rPr>
            </w:pPr>
          </w:p>
        </w:tc>
        <w:tc>
          <w:tcPr>
            <w:tcW w:w="750" w:type="dxa"/>
            <w:hideMark/>
          </w:tcPr>
          <w:p w14:paraId="255D03B4" w14:textId="77777777" w:rsidR="00221F1C" w:rsidRDefault="00221F1C">
            <w:pPr>
              <w:spacing w:after="0"/>
              <w:rPr>
                <w:noProof/>
                <w:sz w:val="20"/>
                <w:szCs w:val="20"/>
                <w:lang w:val="en-IE" w:eastAsia="en-IE"/>
              </w:rPr>
            </w:pPr>
          </w:p>
        </w:tc>
        <w:tc>
          <w:tcPr>
            <w:tcW w:w="811" w:type="dxa"/>
            <w:hideMark/>
          </w:tcPr>
          <w:p w14:paraId="7C63CA3B" w14:textId="77777777" w:rsidR="00221F1C" w:rsidRDefault="00221F1C">
            <w:pPr>
              <w:spacing w:after="0"/>
              <w:rPr>
                <w:noProof/>
                <w:sz w:val="20"/>
                <w:szCs w:val="20"/>
                <w:lang w:val="en-IE" w:eastAsia="en-IE"/>
              </w:rPr>
            </w:pPr>
          </w:p>
        </w:tc>
        <w:tc>
          <w:tcPr>
            <w:tcW w:w="839" w:type="dxa"/>
            <w:hideMark/>
          </w:tcPr>
          <w:p w14:paraId="1B524255" w14:textId="77777777" w:rsidR="00221F1C" w:rsidRDefault="00221F1C">
            <w:pPr>
              <w:spacing w:after="0"/>
              <w:rPr>
                <w:noProof/>
                <w:sz w:val="20"/>
                <w:szCs w:val="20"/>
                <w:lang w:val="en-IE" w:eastAsia="en-IE"/>
              </w:rPr>
            </w:pPr>
          </w:p>
        </w:tc>
        <w:tc>
          <w:tcPr>
            <w:tcW w:w="839" w:type="dxa"/>
            <w:hideMark/>
          </w:tcPr>
          <w:p w14:paraId="3DC764F6" w14:textId="77777777" w:rsidR="00221F1C" w:rsidRDefault="00221F1C">
            <w:pPr>
              <w:spacing w:after="0"/>
              <w:rPr>
                <w:noProof/>
                <w:sz w:val="20"/>
                <w:szCs w:val="20"/>
                <w:lang w:val="en-IE" w:eastAsia="en-IE"/>
              </w:rPr>
            </w:pPr>
          </w:p>
        </w:tc>
        <w:tc>
          <w:tcPr>
            <w:tcW w:w="722" w:type="dxa"/>
            <w:hideMark/>
          </w:tcPr>
          <w:p w14:paraId="2579000B" w14:textId="77777777" w:rsidR="00221F1C" w:rsidRDefault="00221F1C">
            <w:pPr>
              <w:spacing w:after="0"/>
              <w:rPr>
                <w:noProof/>
                <w:sz w:val="20"/>
                <w:szCs w:val="20"/>
                <w:lang w:val="en-IE" w:eastAsia="en-IE"/>
              </w:rPr>
            </w:pPr>
          </w:p>
        </w:tc>
        <w:tc>
          <w:tcPr>
            <w:tcW w:w="720" w:type="dxa"/>
            <w:hideMark/>
          </w:tcPr>
          <w:p w14:paraId="2E037532" w14:textId="77777777" w:rsidR="00221F1C" w:rsidRDefault="00221F1C">
            <w:pPr>
              <w:spacing w:after="0"/>
              <w:rPr>
                <w:noProof/>
                <w:sz w:val="20"/>
                <w:szCs w:val="20"/>
                <w:lang w:val="en-IE" w:eastAsia="en-IE"/>
              </w:rPr>
            </w:pPr>
          </w:p>
        </w:tc>
        <w:tc>
          <w:tcPr>
            <w:tcW w:w="840" w:type="dxa"/>
            <w:hideMark/>
          </w:tcPr>
          <w:p w14:paraId="55B3D8C7" w14:textId="77777777" w:rsidR="00221F1C" w:rsidRDefault="00221F1C">
            <w:pPr>
              <w:spacing w:after="0"/>
              <w:rPr>
                <w:noProof/>
                <w:sz w:val="20"/>
                <w:szCs w:val="20"/>
                <w:lang w:val="en-IE" w:eastAsia="en-IE"/>
              </w:rPr>
            </w:pPr>
          </w:p>
        </w:tc>
        <w:tc>
          <w:tcPr>
            <w:tcW w:w="840" w:type="dxa"/>
            <w:hideMark/>
          </w:tcPr>
          <w:p w14:paraId="6F902D6C" w14:textId="77777777" w:rsidR="00221F1C" w:rsidRDefault="00221F1C">
            <w:pPr>
              <w:spacing w:after="0"/>
              <w:rPr>
                <w:noProof/>
                <w:sz w:val="20"/>
                <w:szCs w:val="20"/>
                <w:lang w:val="en-IE" w:eastAsia="en-IE"/>
              </w:rPr>
            </w:pPr>
          </w:p>
        </w:tc>
        <w:tc>
          <w:tcPr>
            <w:tcW w:w="840" w:type="dxa"/>
            <w:hideMark/>
          </w:tcPr>
          <w:p w14:paraId="092B6DFE" w14:textId="77777777" w:rsidR="00221F1C" w:rsidRDefault="00221F1C">
            <w:pPr>
              <w:spacing w:after="0"/>
              <w:rPr>
                <w:noProof/>
                <w:sz w:val="20"/>
                <w:szCs w:val="20"/>
                <w:lang w:val="en-IE" w:eastAsia="en-IE"/>
              </w:rPr>
            </w:pPr>
          </w:p>
        </w:tc>
      </w:tr>
      <w:tr w:rsidR="00221F1C" w14:paraId="0F123C3B" w14:textId="77777777" w:rsidTr="00221F1C">
        <w:trPr>
          <w:trHeight w:val="225"/>
        </w:trPr>
        <w:tc>
          <w:tcPr>
            <w:tcW w:w="2400" w:type="dxa"/>
            <w:tcBorders>
              <w:top w:val="nil"/>
              <w:left w:val="nil"/>
              <w:bottom w:val="single" w:sz="4" w:space="0" w:color="auto"/>
              <w:right w:val="nil"/>
            </w:tcBorders>
            <w:noWrap/>
            <w:hideMark/>
          </w:tcPr>
          <w:p w14:paraId="193B192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b/>
                <w:noProof/>
                <w:sz w:val="16"/>
              </w:rPr>
              <w:t>Energetika</w:t>
            </w:r>
          </w:p>
        </w:tc>
        <w:tc>
          <w:tcPr>
            <w:tcW w:w="600" w:type="dxa"/>
            <w:tcBorders>
              <w:top w:val="single" w:sz="4" w:space="0" w:color="auto"/>
              <w:left w:val="single" w:sz="4" w:space="0" w:color="auto"/>
              <w:bottom w:val="single" w:sz="4" w:space="0" w:color="auto"/>
              <w:right w:val="single" w:sz="4" w:space="0" w:color="auto"/>
            </w:tcBorders>
            <w:noWrap/>
            <w:hideMark/>
          </w:tcPr>
          <w:p w14:paraId="0B40A1F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Napomena</w:t>
            </w:r>
          </w:p>
        </w:tc>
        <w:tc>
          <w:tcPr>
            <w:tcW w:w="720" w:type="dxa"/>
            <w:tcBorders>
              <w:top w:val="single" w:sz="4" w:space="0" w:color="auto"/>
              <w:left w:val="nil"/>
              <w:bottom w:val="single" w:sz="4" w:space="0" w:color="auto"/>
              <w:right w:val="single" w:sz="4" w:space="0" w:color="auto"/>
            </w:tcBorders>
            <w:hideMark/>
          </w:tcPr>
          <w:p w14:paraId="49936949"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373AF17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6B4DEA7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2728FD0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6A808E26"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11" w:type="dxa"/>
            <w:tcBorders>
              <w:top w:val="single" w:sz="4" w:space="0" w:color="auto"/>
              <w:left w:val="nil"/>
              <w:bottom w:val="single" w:sz="4" w:space="0" w:color="auto"/>
              <w:right w:val="single" w:sz="4" w:space="0" w:color="auto"/>
            </w:tcBorders>
            <w:hideMark/>
          </w:tcPr>
          <w:p w14:paraId="60DA2B0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2CB0D87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50" w:type="dxa"/>
            <w:tcBorders>
              <w:top w:val="single" w:sz="4" w:space="0" w:color="auto"/>
              <w:left w:val="nil"/>
              <w:bottom w:val="single" w:sz="4" w:space="0" w:color="auto"/>
              <w:right w:val="single" w:sz="4" w:space="0" w:color="auto"/>
            </w:tcBorders>
            <w:hideMark/>
          </w:tcPr>
          <w:p w14:paraId="176C7CC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11" w:type="dxa"/>
            <w:tcBorders>
              <w:top w:val="single" w:sz="4" w:space="0" w:color="auto"/>
              <w:left w:val="nil"/>
              <w:bottom w:val="single" w:sz="4" w:space="0" w:color="auto"/>
              <w:right w:val="single" w:sz="4" w:space="0" w:color="auto"/>
            </w:tcBorders>
            <w:hideMark/>
          </w:tcPr>
          <w:p w14:paraId="37FAF52B"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39" w:type="dxa"/>
            <w:tcBorders>
              <w:top w:val="single" w:sz="4" w:space="0" w:color="auto"/>
              <w:left w:val="nil"/>
              <w:bottom w:val="single" w:sz="4" w:space="0" w:color="auto"/>
              <w:right w:val="single" w:sz="4" w:space="0" w:color="auto"/>
            </w:tcBorders>
            <w:hideMark/>
          </w:tcPr>
          <w:p w14:paraId="319C528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39" w:type="dxa"/>
            <w:tcBorders>
              <w:top w:val="single" w:sz="4" w:space="0" w:color="auto"/>
              <w:left w:val="nil"/>
              <w:bottom w:val="single" w:sz="4" w:space="0" w:color="auto"/>
              <w:right w:val="single" w:sz="4" w:space="0" w:color="auto"/>
            </w:tcBorders>
            <w:hideMark/>
          </w:tcPr>
          <w:p w14:paraId="5516F21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722" w:type="dxa"/>
            <w:tcBorders>
              <w:top w:val="single" w:sz="4" w:space="0" w:color="auto"/>
              <w:left w:val="nil"/>
              <w:bottom w:val="single" w:sz="4" w:space="0" w:color="auto"/>
              <w:right w:val="single" w:sz="4" w:space="0" w:color="auto"/>
            </w:tcBorders>
            <w:hideMark/>
          </w:tcPr>
          <w:p w14:paraId="6C5134A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720" w:type="dxa"/>
            <w:tcBorders>
              <w:top w:val="single" w:sz="4" w:space="0" w:color="auto"/>
              <w:left w:val="nil"/>
              <w:bottom w:val="single" w:sz="4" w:space="0" w:color="auto"/>
              <w:right w:val="single" w:sz="4" w:space="0" w:color="auto"/>
            </w:tcBorders>
            <w:hideMark/>
          </w:tcPr>
          <w:p w14:paraId="025E4A5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765659F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c>
          <w:tcPr>
            <w:tcW w:w="840" w:type="dxa"/>
            <w:tcBorders>
              <w:top w:val="single" w:sz="4" w:space="0" w:color="auto"/>
              <w:left w:val="nil"/>
              <w:bottom w:val="single" w:sz="4" w:space="0" w:color="auto"/>
              <w:right w:val="single" w:sz="4" w:space="0" w:color="auto"/>
            </w:tcBorders>
            <w:hideMark/>
          </w:tcPr>
          <w:p w14:paraId="69C7718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2019.</w:t>
            </w:r>
          </w:p>
        </w:tc>
        <w:tc>
          <w:tcPr>
            <w:tcW w:w="840" w:type="dxa"/>
            <w:tcBorders>
              <w:top w:val="single" w:sz="4" w:space="0" w:color="auto"/>
              <w:left w:val="nil"/>
              <w:bottom w:val="single" w:sz="4" w:space="0" w:color="auto"/>
              <w:right w:val="single" w:sz="4" w:space="0" w:color="auto"/>
            </w:tcBorders>
            <w:hideMark/>
          </w:tcPr>
          <w:p w14:paraId="235BAD40"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2020.</w:t>
            </w:r>
          </w:p>
        </w:tc>
      </w:tr>
      <w:tr w:rsidR="00221F1C" w14:paraId="430F541D" w14:textId="77777777" w:rsidTr="00221F1C">
        <w:trPr>
          <w:trHeight w:val="225"/>
        </w:trPr>
        <w:tc>
          <w:tcPr>
            <w:tcW w:w="2400" w:type="dxa"/>
            <w:tcBorders>
              <w:top w:val="single" w:sz="4" w:space="0" w:color="auto"/>
              <w:left w:val="single" w:sz="4" w:space="0" w:color="auto"/>
              <w:bottom w:val="single" w:sz="4" w:space="0" w:color="auto"/>
              <w:right w:val="single" w:sz="4" w:space="0" w:color="auto"/>
            </w:tcBorders>
            <w:hideMark/>
          </w:tcPr>
          <w:p w14:paraId="499D5DF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Neto uvoz energije u odnosu na BDP</w:t>
            </w:r>
          </w:p>
        </w:tc>
        <w:tc>
          <w:tcPr>
            <w:tcW w:w="600" w:type="dxa"/>
            <w:tcBorders>
              <w:top w:val="nil"/>
              <w:left w:val="nil"/>
              <w:bottom w:val="single" w:sz="4" w:space="0" w:color="auto"/>
              <w:right w:val="single" w:sz="4" w:space="0" w:color="auto"/>
            </w:tcBorders>
            <w:hideMark/>
          </w:tcPr>
          <w:p w14:paraId="352A2E29" w14:textId="77777777" w:rsidR="00221F1C" w:rsidRPr="00F55682" w:rsidRDefault="00221F1C">
            <w:pPr>
              <w:rPr>
                <w:rFonts w:ascii="Arial" w:eastAsia="Times New Roman" w:hAnsi="Arial" w:cs="Arial"/>
                <w:noProof/>
                <w:color w:val="000000"/>
                <w:sz w:val="16"/>
                <w:szCs w:val="16"/>
                <w:lang w:eastAsia="en-IE"/>
              </w:rPr>
            </w:pPr>
          </w:p>
        </w:tc>
        <w:tc>
          <w:tcPr>
            <w:tcW w:w="720" w:type="dxa"/>
            <w:tcBorders>
              <w:top w:val="nil"/>
              <w:left w:val="nil"/>
              <w:bottom w:val="single" w:sz="4" w:space="0" w:color="auto"/>
              <w:right w:val="single" w:sz="4" w:space="0" w:color="auto"/>
            </w:tcBorders>
            <w:noWrap/>
            <w:hideMark/>
          </w:tcPr>
          <w:p w14:paraId="2E39B08A"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s</w:t>
            </w:r>
          </w:p>
        </w:tc>
        <w:tc>
          <w:tcPr>
            <w:tcW w:w="840" w:type="dxa"/>
            <w:tcBorders>
              <w:top w:val="nil"/>
              <w:left w:val="nil"/>
              <w:bottom w:val="single" w:sz="4" w:space="0" w:color="auto"/>
              <w:right w:val="single" w:sz="4" w:space="0" w:color="auto"/>
            </w:tcBorders>
            <w:noWrap/>
            <w:hideMark/>
          </w:tcPr>
          <w:p w14:paraId="76366935"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s</w:t>
            </w:r>
          </w:p>
        </w:tc>
        <w:tc>
          <w:tcPr>
            <w:tcW w:w="840" w:type="dxa"/>
            <w:tcBorders>
              <w:top w:val="nil"/>
              <w:left w:val="nil"/>
              <w:bottom w:val="single" w:sz="4" w:space="0" w:color="auto"/>
              <w:right w:val="single" w:sz="4" w:space="0" w:color="auto"/>
            </w:tcBorders>
            <w:noWrap/>
            <w:hideMark/>
          </w:tcPr>
          <w:p w14:paraId="206F169C"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7 s</w:t>
            </w:r>
          </w:p>
        </w:tc>
        <w:tc>
          <w:tcPr>
            <w:tcW w:w="750" w:type="dxa"/>
            <w:tcBorders>
              <w:top w:val="nil"/>
              <w:left w:val="nil"/>
              <w:bottom w:val="single" w:sz="4" w:space="0" w:color="auto"/>
              <w:right w:val="single" w:sz="4" w:space="0" w:color="auto"/>
            </w:tcBorders>
            <w:noWrap/>
            <w:hideMark/>
          </w:tcPr>
          <w:p w14:paraId="60C317F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 ps</w:t>
            </w:r>
          </w:p>
        </w:tc>
        <w:tc>
          <w:tcPr>
            <w:tcW w:w="839" w:type="dxa"/>
            <w:tcBorders>
              <w:top w:val="nil"/>
              <w:left w:val="nil"/>
              <w:bottom w:val="single" w:sz="4" w:space="0" w:color="auto"/>
              <w:right w:val="single" w:sz="4" w:space="0" w:color="auto"/>
            </w:tcBorders>
            <w:noWrap/>
            <w:hideMark/>
          </w:tcPr>
          <w:p w14:paraId="377C4364"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s</w:t>
            </w:r>
          </w:p>
        </w:tc>
        <w:tc>
          <w:tcPr>
            <w:tcW w:w="811" w:type="dxa"/>
            <w:tcBorders>
              <w:top w:val="nil"/>
              <w:left w:val="nil"/>
              <w:bottom w:val="single" w:sz="4" w:space="0" w:color="auto"/>
              <w:right w:val="single" w:sz="4" w:space="0" w:color="auto"/>
            </w:tcBorders>
            <w:noWrap/>
            <w:hideMark/>
          </w:tcPr>
          <w:p w14:paraId="35321E2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 ps</w:t>
            </w:r>
          </w:p>
        </w:tc>
        <w:tc>
          <w:tcPr>
            <w:tcW w:w="839" w:type="dxa"/>
            <w:tcBorders>
              <w:top w:val="nil"/>
              <w:left w:val="nil"/>
              <w:bottom w:val="single" w:sz="4" w:space="0" w:color="auto"/>
              <w:right w:val="single" w:sz="4" w:space="0" w:color="auto"/>
            </w:tcBorders>
            <w:noWrap/>
            <w:hideMark/>
          </w:tcPr>
          <w:p w14:paraId="5EBCB628"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 s</w:t>
            </w:r>
          </w:p>
        </w:tc>
        <w:tc>
          <w:tcPr>
            <w:tcW w:w="750" w:type="dxa"/>
            <w:tcBorders>
              <w:top w:val="nil"/>
              <w:left w:val="nil"/>
              <w:bottom w:val="single" w:sz="4" w:space="0" w:color="auto"/>
              <w:right w:val="single" w:sz="4" w:space="0" w:color="auto"/>
            </w:tcBorders>
            <w:noWrap/>
            <w:hideMark/>
          </w:tcPr>
          <w:p w14:paraId="08A50882"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s</w:t>
            </w:r>
          </w:p>
        </w:tc>
        <w:tc>
          <w:tcPr>
            <w:tcW w:w="811" w:type="dxa"/>
            <w:tcBorders>
              <w:top w:val="nil"/>
              <w:left w:val="nil"/>
              <w:bottom w:val="single" w:sz="4" w:space="0" w:color="auto"/>
              <w:right w:val="single" w:sz="4" w:space="0" w:color="auto"/>
            </w:tcBorders>
            <w:noWrap/>
            <w:hideMark/>
          </w:tcPr>
          <w:p w14:paraId="3E440CE3"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s</w:t>
            </w:r>
          </w:p>
        </w:tc>
        <w:tc>
          <w:tcPr>
            <w:tcW w:w="839" w:type="dxa"/>
            <w:tcBorders>
              <w:top w:val="nil"/>
              <w:left w:val="nil"/>
              <w:bottom w:val="single" w:sz="4" w:space="0" w:color="auto"/>
              <w:right w:val="single" w:sz="4" w:space="0" w:color="auto"/>
            </w:tcBorders>
            <w:noWrap/>
            <w:hideMark/>
          </w:tcPr>
          <w:p w14:paraId="53AF3A0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 s</w:t>
            </w:r>
          </w:p>
        </w:tc>
        <w:tc>
          <w:tcPr>
            <w:tcW w:w="839" w:type="dxa"/>
            <w:tcBorders>
              <w:top w:val="nil"/>
              <w:left w:val="nil"/>
              <w:bottom w:val="single" w:sz="4" w:space="0" w:color="auto"/>
              <w:right w:val="single" w:sz="4" w:space="0" w:color="auto"/>
            </w:tcBorders>
            <w:noWrap/>
            <w:hideMark/>
          </w:tcPr>
          <w:p w14:paraId="0451148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5 s</w:t>
            </w:r>
          </w:p>
        </w:tc>
        <w:tc>
          <w:tcPr>
            <w:tcW w:w="722" w:type="dxa"/>
            <w:tcBorders>
              <w:top w:val="nil"/>
              <w:left w:val="nil"/>
              <w:bottom w:val="single" w:sz="4" w:space="0" w:color="auto"/>
              <w:right w:val="single" w:sz="4" w:space="0" w:color="auto"/>
            </w:tcBorders>
            <w:noWrap/>
            <w:hideMark/>
          </w:tcPr>
          <w:p w14:paraId="358D428E"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3 s</w:t>
            </w:r>
          </w:p>
        </w:tc>
        <w:tc>
          <w:tcPr>
            <w:tcW w:w="720" w:type="dxa"/>
            <w:tcBorders>
              <w:top w:val="nil"/>
              <w:left w:val="nil"/>
              <w:bottom w:val="single" w:sz="4" w:space="0" w:color="auto"/>
              <w:right w:val="single" w:sz="4" w:space="0" w:color="auto"/>
            </w:tcBorders>
            <w:noWrap/>
            <w:hideMark/>
          </w:tcPr>
          <w:p w14:paraId="073F0E51"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6 s</w:t>
            </w:r>
          </w:p>
        </w:tc>
        <w:tc>
          <w:tcPr>
            <w:tcW w:w="840" w:type="dxa"/>
            <w:tcBorders>
              <w:top w:val="nil"/>
              <w:left w:val="nil"/>
              <w:bottom w:val="single" w:sz="4" w:space="0" w:color="auto"/>
              <w:right w:val="single" w:sz="4" w:space="0" w:color="auto"/>
            </w:tcBorders>
            <w:noWrap/>
            <w:hideMark/>
          </w:tcPr>
          <w:p w14:paraId="1914ECE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4 s</w:t>
            </w:r>
          </w:p>
        </w:tc>
        <w:tc>
          <w:tcPr>
            <w:tcW w:w="840" w:type="dxa"/>
            <w:tcBorders>
              <w:top w:val="nil"/>
              <w:left w:val="nil"/>
              <w:bottom w:val="single" w:sz="4" w:space="0" w:color="auto"/>
              <w:right w:val="single" w:sz="4" w:space="0" w:color="auto"/>
            </w:tcBorders>
            <w:noWrap/>
            <w:hideMark/>
          </w:tcPr>
          <w:p w14:paraId="52D12B97"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2,6 s</w:t>
            </w:r>
          </w:p>
        </w:tc>
        <w:tc>
          <w:tcPr>
            <w:tcW w:w="840" w:type="dxa"/>
            <w:tcBorders>
              <w:top w:val="nil"/>
              <w:left w:val="nil"/>
              <w:bottom w:val="single" w:sz="4" w:space="0" w:color="auto"/>
              <w:right w:val="single" w:sz="4" w:space="0" w:color="auto"/>
            </w:tcBorders>
            <w:noWrap/>
            <w:hideMark/>
          </w:tcPr>
          <w:p w14:paraId="3D82193F" w14:textId="77777777" w:rsidR="00221F1C" w:rsidRDefault="00221F1C">
            <w:pPr>
              <w:autoSpaceDE w:val="0"/>
              <w:autoSpaceDN w:val="0"/>
              <w:adjustRightInd w:val="0"/>
              <w:spacing w:after="0" w:line="240" w:lineRule="auto"/>
              <w:jc w:val="center"/>
              <w:rPr>
                <w:rFonts w:ascii="Arial" w:eastAsia="Times New Roman" w:hAnsi="Arial" w:cs="Arial"/>
                <w:noProof/>
                <w:color w:val="000000"/>
                <w:sz w:val="16"/>
                <w:szCs w:val="16"/>
              </w:rPr>
            </w:pPr>
            <w:r>
              <w:rPr>
                <w:rFonts w:ascii="Arial" w:hAnsi="Arial"/>
                <w:noProof/>
                <w:color w:val="000000"/>
                <w:sz w:val="16"/>
              </w:rPr>
              <w:t>1,6 s</w:t>
            </w:r>
          </w:p>
        </w:tc>
      </w:tr>
    </w:tbl>
    <w:p w14:paraId="3E1AA84A" w14:textId="77777777" w:rsidR="00221F1C" w:rsidRDefault="00221F1C" w:rsidP="00221F1C">
      <w:pPr>
        <w:spacing w:after="0" w:line="240" w:lineRule="auto"/>
        <w:rPr>
          <w:rFonts w:ascii="Arial" w:eastAsia="Times New Roman" w:hAnsi="Arial" w:cs="Arial"/>
          <w:noProof/>
          <w:sz w:val="16"/>
          <w:szCs w:val="16"/>
          <w:lang w:eastAsia="en-GB"/>
        </w:rPr>
      </w:pPr>
    </w:p>
    <w:p w14:paraId="1FB6EADD" w14:textId="77777777" w:rsidR="00221F1C" w:rsidRDefault="00221F1C" w:rsidP="00221F1C">
      <w:pPr>
        <w:spacing w:after="0" w:line="240" w:lineRule="auto"/>
        <w:rPr>
          <w:rFonts w:ascii="Arial" w:eastAsia="Times New Roman" w:hAnsi="Arial" w:cs="Arial"/>
          <w:noProof/>
          <w:sz w:val="16"/>
          <w:szCs w:val="16"/>
        </w:rPr>
      </w:pPr>
      <w:r>
        <w:rPr>
          <w:rFonts w:ascii="Arial" w:hAnsi="Arial"/>
          <w:b/>
          <w:noProof/>
          <w:sz w:val="16"/>
        </w:rPr>
        <w:t>Izvor: Eurostat i statistička tijela na zapadnom Balkanu i u Turskoj</w:t>
      </w:r>
    </w:p>
    <w:p w14:paraId="475CDACE" w14:textId="77777777" w:rsidR="00221F1C" w:rsidRDefault="00221F1C" w:rsidP="00221F1C">
      <w:pPr>
        <w:spacing w:after="0" w:line="240" w:lineRule="auto"/>
        <w:rPr>
          <w:rFonts w:ascii="Arial" w:eastAsia="Times New Roman" w:hAnsi="Arial" w:cs="Arial"/>
          <w:noProof/>
          <w:sz w:val="16"/>
          <w:szCs w:val="16"/>
          <w:lang w:eastAsia="en-GB"/>
        </w:rPr>
      </w:pPr>
    </w:p>
    <w:p w14:paraId="5042E55B" w14:textId="77777777" w:rsidR="00221F1C" w:rsidRDefault="00221F1C" w:rsidP="00221F1C">
      <w:pPr>
        <w:spacing w:after="0" w:line="240" w:lineRule="auto"/>
        <w:rPr>
          <w:rFonts w:ascii="Arial" w:eastAsia="Times New Roman" w:hAnsi="Arial" w:cs="Arial"/>
          <w:noProof/>
          <w:sz w:val="16"/>
          <w:szCs w:val="16"/>
          <w:lang w:eastAsia="en-GB"/>
        </w:rPr>
        <w:sectPr w:rsidR="00221F1C">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851" w:left="1134" w:header="709" w:footer="709" w:gutter="0"/>
          <w:cols w:space="720"/>
        </w:sectPr>
      </w:pPr>
    </w:p>
    <w:p w14:paraId="3165A9B4" w14:textId="77777777" w:rsidR="00221F1C" w:rsidRDefault="00221F1C" w:rsidP="00221F1C">
      <w:pPr>
        <w:spacing w:after="0" w:line="240" w:lineRule="auto"/>
        <w:rPr>
          <w:rFonts w:ascii="Arial" w:eastAsia="Times New Roman" w:hAnsi="Arial" w:cs="Arial"/>
          <w:noProof/>
          <w:sz w:val="16"/>
          <w:szCs w:val="16"/>
          <w:lang w:eastAsia="en-GB"/>
        </w:rPr>
      </w:pPr>
    </w:p>
    <w:tbl>
      <w:tblPr>
        <w:tblW w:w="0" w:type="auto"/>
        <w:tblInd w:w="78" w:type="dxa"/>
        <w:tblLayout w:type="fixed"/>
        <w:tblLook w:val="04A0" w:firstRow="1" w:lastRow="0" w:firstColumn="1" w:lastColumn="0" w:noHBand="0" w:noVBand="1"/>
      </w:tblPr>
      <w:tblGrid>
        <w:gridCol w:w="456"/>
        <w:gridCol w:w="13466"/>
      </w:tblGrid>
      <w:tr w:rsidR="00221F1C" w14:paraId="20E5C5BD" w14:textId="77777777" w:rsidTr="00221F1C">
        <w:trPr>
          <w:trHeight w:val="91"/>
        </w:trPr>
        <w:tc>
          <w:tcPr>
            <w:tcW w:w="456" w:type="dxa"/>
          </w:tcPr>
          <w:p w14:paraId="242C2979"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4D3FBA9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 = nije dostupno</w:t>
            </w:r>
          </w:p>
        </w:tc>
      </w:tr>
      <w:tr w:rsidR="00221F1C" w14:paraId="4FFFDB0E" w14:textId="77777777" w:rsidTr="00221F1C">
        <w:trPr>
          <w:trHeight w:val="91"/>
        </w:trPr>
        <w:tc>
          <w:tcPr>
            <w:tcW w:w="456" w:type="dxa"/>
          </w:tcPr>
          <w:p w14:paraId="29DFB4CF"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0628382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 = prekid u seriji</w:t>
            </w:r>
          </w:p>
        </w:tc>
      </w:tr>
      <w:tr w:rsidR="00221F1C" w14:paraId="6F52135B" w14:textId="77777777" w:rsidTr="00221F1C">
        <w:trPr>
          <w:trHeight w:val="91"/>
        </w:trPr>
        <w:tc>
          <w:tcPr>
            <w:tcW w:w="456" w:type="dxa"/>
          </w:tcPr>
          <w:p w14:paraId="25839795"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445AED6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d = različita definicija</w:t>
            </w:r>
          </w:p>
        </w:tc>
      </w:tr>
      <w:tr w:rsidR="00221F1C" w14:paraId="630FB13F" w14:textId="77777777" w:rsidTr="00221F1C">
        <w:trPr>
          <w:trHeight w:val="91"/>
        </w:trPr>
        <w:tc>
          <w:tcPr>
            <w:tcW w:w="456" w:type="dxa"/>
          </w:tcPr>
          <w:p w14:paraId="3ABD77D4"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11AADDE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e = procijenjena vrijednost</w:t>
            </w:r>
          </w:p>
        </w:tc>
      </w:tr>
      <w:tr w:rsidR="00221F1C" w14:paraId="6144B591" w14:textId="77777777" w:rsidTr="00221F1C">
        <w:trPr>
          <w:trHeight w:val="91"/>
        </w:trPr>
        <w:tc>
          <w:tcPr>
            <w:tcW w:w="456" w:type="dxa"/>
          </w:tcPr>
          <w:p w14:paraId="6C0F9EEB"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2E507FD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 = privremena vrijednost</w:t>
            </w:r>
          </w:p>
        </w:tc>
      </w:tr>
      <w:tr w:rsidR="00221F1C" w14:paraId="6295BB9F" w14:textId="77777777" w:rsidTr="00221F1C">
        <w:trPr>
          <w:trHeight w:val="91"/>
        </w:trPr>
        <w:tc>
          <w:tcPr>
            <w:tcW w:w="456" w:type="dxa"/>
          </w:tcPr>
          <w:p w14:paraId="23F65571"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3C389AC1"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s = procjena Eurostata</w:t>
            </w:r>
          </w:p>
        </w:tc>
      </w:tr>
      <w:tr w:rsidR="00221F1C" w14:paraId="6A87CD4D" w14:textId="77777777" w:rsidTr="00221F1C">
        <w:trPr>
          <w:trHeight w:val="91"/>
        </w:trPr>
        <w:tc>
          <w:tcPr>
            <w:tcW w:w="456" w:type="dxa"/>
          </w:tcPr>
          <w:p w14:paraId="254BB6FA"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64B7641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w = podaci koje dostavlja nacionalno statističko tijelo i za koje je ono odgovorno te se objavljuju u skladu s primljenim podacima, bez provjere njihove kvalitete i pridržavanja pravila statističke metodologije EU-a</w:t>
            </w:r>
          </w:p>
        </w:tc>
      </w:tr>
      <w:tr w:rsidR="00221F1C" w14:paraId="02A506B9" w14:textId="77777777" w:rsidTr="00221F1C">
        <w:trPr>
          <w:trHeight w:val="91"/>
        </w:trPr>
        <w:tc>
          <w:tcPr>
            <w:tcW w:w="456" w:type="dxa"/>
          </w:tcPr>
          <w:p w14:paraId="76DBE1FB"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6C79404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z = nije primjenjivo i stoga iznosi 0</w:t>
            </w:r>
          </w:p>
        </w:tc>
      </w:tr>
      <w:tr w:rsidR="00221F1C" w14:paraId="3792FB35" w14:textId="77777777" w:rsidTr="00221F1C">
        <w:trPr>
          <w:trHeight w:val="91"/>
        </w:trPr>
        <w:tc>
          <w:tcPr>
            <w:tcW w:w="456" w:type="dxa"/>
          </w:tcPr>
          <w:p w14:paraId="0FFF899A"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594E9AB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 = ovom se oznakom ne dovode u pitanje stajališta o statusu te je ona u skladu s RVSUN-om 1244/1999 i mišljenjem Međunarodnog suda o proglašenju neovisnosti Kosova.</w:t>
            </w:r>
          </w:p>
        </w:tc>
      </w:tr>
      <w:tr w:rsidR="00221F1C" w14:paraId="6DF94498" w14:textId="77777777" w:rsidTr="00221F1C">
        <w:trPr>
          <w:trHeight w:val="91"/>
        </w:trPr>
        <w:tc>
          <w:tcPr>
            <w:tcW w:w="456" w:type="dxa"/>
          </w:tcPr>
          <w:p w14:paraId="1CBC0316"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tcPr>
          <w:p w14:paraId="73CF2CDE"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lang w:val="en-IE" w:eastAsia="en-IE"/>
              </w:rPr>
            </w:pPr>
          </w:p>
        </w:tc>
      </w:tr>
      <w:tr w:rsidR="00221F1C" w14:paraId="7594C3C1" w14:textId="77777777" w:rsidTr="00221F1C">
        <w:trPr>
          <w:trHeight w:val="91"/>
        </w:trPr>
        <w:tc>
          <w:tcPr>
            <w:tcW w:w="456" w:type="dxa"/>
          </w:tcPr>
          <w:p w14:paraId="0EC9767B"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lang w:val="en-IE" w:eastAsia="en-IE"/>
              </w:rPr>
            </w:pPr>
          </w:p>
        </w:tc>
        <w:tc>
          <w:tcPr>
            <w:tcW w:w="13466" w:type="dxa"/>
            <w:hideMark/>
          </w:tcPr>
          <w:p w14:paraId="61D2F88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Bilješke:</w:t>
            </w:r>
          </w:p>
        </w:tc>
      </w:tr>
      <w:tr w:rsidR="00221F1C" w14:paraId="3034FF68" w14:textId="77777777" w:rsidTr="00221F1C">
        <w:trPr>
          <w:trHeight w:val="91"/>
        </w:trPr>
        <w:tc>
          <w:tcPr>
            <w:tcW w:w="456" w:type="dxa"/>
            <w:hideMark/>
          </w:tcPr>
          <w:p w14:paraId="6726C137"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w:t>
            </w:r>
          </w:p>
        </w:tc>
        <w:tc>
          <w:tcPr>
            <w:tcW w:w="13466" w:type="dxa"/>
            <w:hideMark/>
          </w:tcPr>
          <w:p w14:paraId="54CF4FCB"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od siječnja 2020. kontinuirano se tijekom godine provodi istraživanje o radnoj snazi u Bosni i Hercegovini, a podaci se objavljuju svaka tri mjeseca. Osim toga, od 2020. provodi se postupak kalibracije pondera prema procjenama stanovništva po petogodišnjim dobnim skupinama.</w:t>
            </w:r>
          </w:p>
        </w:tc>
      </w:tr>
      <w:tr w:rsidR="00221F1C" w14:paraId="412DC8FB" w14:textId="77777777" w:rsidTr="00221F1C">
        <w:trPr>
          <w:trHeight w:val="91"/>
        </w:trPr>
        <w:tc>
          <w:tcPr>
            <w:tcW w:w="456" w:type="dxa"/>
            <w:hideMark/>
          </w:tcPr>
          <w:p w14:paraId="7C36F864"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w:t>
            </w:r>
          </w:p>
        </w:tc>
        <w:tc>
          <w:tcPr>
            <w:tcW w:w="13466" w:type="dxa"/>
            <w:hideMark/>
          </w:tcPr>
          <w:p w14:paraId="63E41CB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Crna Gora: podaci se odnose na udio zaposlenih u javnom sektoru u usporedbi s ukupnim brojem zaposlenih.</w:t>
            </w:r>
          </w:p>
        </w:tc>
      </w:tr>
      <w:tr w:rsidR="00221F1C" w14:paraId="59477CF3" w14:textId="77777777" w:rsidTr="00221F1C">
        <w:trPr>
          <w:trHeight w:val="91"/>
        </w:trPr>
        <w:tc>
          <w:tcPr>
            <w:tcW w:w="456" w:type="dxa"/>
            <w:hideMark/>
          </w:tcPr>
          <w:p w14:paraId="148429BE"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3)</w:t>
            </w:r>
          </w:p>
        </w:tc>
        <w:tc>
          <w:tcPr>
            <w:tcW w:w="13466" w:type="dxa"/>
            <w:hideMark/>
          </w:tcPr>
          <w:p w14:paraId="2D42085C"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Sjeverna Makedonija: u javnom sektoru uključeni su podaci: ostalo (miješano, kolektivno, državno, neodređeno).</w:t>
            </w:r>
          </w:p>
        </w:tc>
      </w:tr>
      <w:tr w:rsidR="00221F1C" w14:paraId="6FA8752E" w14:textId="77777777" w:rsidTr="00221F1C">
        <w:trPr>
          <w:trHeight w:val="91"/>
        </w:trPr>
        <w:tc>
          <w:tcPr>
            <w:tcW w:w="456" w:type="dxa"/>
            <w:hideMark/>
          </w:tcPr>
          <w:p w14:paraId="269153B7"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4)</w:t>
            </w:r>
          </w:p>
        </w:tc>
        <w:tc>
          <w:tcPr>
            <w:tcW w:w="13466" w:type="dxa"/>
            <w:hideMark/>
          </w:tcPr>
          <w:p w14:paraId="30455A5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javni sektor uključuje NACE Rev. 2 odjeljke O, P i Q, dok privatni sektor uključuje ostale odjeljke NACE.</w:t>
            </w:r>
          </w:p>
        </w:tc>
      </w:tr>
      <w:tr w:rsidR="00221F1C" w14:paraId="6E49B449" w14:textId="77777777" w:rsidTr="00221F1C">
        <w:trPr>
          <w:trHeight w:val="91"/>
        </w:trPr>
        <w:tc>
          <w:tcPr>
            <w:tcW w:w="456" w:type="dxa"/>
            <w:hideMark/>
          </w:tcPr>
          <w:p w14:paraId="2CA445EC"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5)</w:t>
            </w:r>
          </w:p>
        </w:tc>
        <w:tc>
          <w:tcPr>
            <w:tcW w:w="13466" w:type="dxa"/>
            <w:hideMark/>
          </w:tcPr>
          <w:p w14:paraId="351B2AE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Crna Gora: prekid u seriji jer su prethodno samo zaposlenici odgovarali na to pitanje; od 2018. na to pitanje odgovaraju sve zaposlene osobe.</w:t>
            </w:r>
          </w:p>
        </w:tc>
      </w:tr>
      <w:tr w:rsidR="00221F1C" w14:paraId="58E36D75" w14:textId="77777777" w:rsidTr="00221F1C">
        <w:trPr>
          <w:trHeight w:val="91"/>
        </w:trPr>
        <w:tc>
          <w:tcPr>
            <w:tcW w:w="456" w:type="dxa"/>
            <w:hideMark/>
          </w:tcPr>
          <w:p w14:paraId="1C964297"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6)</w:t>
            </w:r>
          </w:p>
        </w:tc>
        <w:tc>
          <w:tcPr>
            <w:tcW w:w="13466" w:type="dxa"/>
            <w:hideMark/>
          </w:tcPr>
          <w:p w14:paraId="4B856E4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Albanija: izvor informacija: Glavna porezna uprava, obveznici socijalnog osiguranja; izračun INSTAT-a.</w:t>
            </w:r>
          </w:p>
        </w:tc>
      </w:tr>
      <w:tr w:rsidR="00221F1C" w14:paraId="5F73D848" w14:textId="77777777" w:rsidTr="00221F1C">
        <w:trPr>
          <w:trHeight w:val="91"/>
        </w:trPr>
        <w:tc>
          <w:tcPr>
            <w:tcW w:w="456" w:type="dxa"/>
            <w:hideMark/>
          </w:tcPr>
          <w:p w14:paraId="27EB0409"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7)</w:t>
            </w:r>
          </w:p>
        </w:tc>
        <w:tc>
          <w:tcPr>
            <w:tcW w:w="13466" w:type="dxa"/>
            <w:hideMark/>
          </w:tcPr>
          <w:p w14:paraId="7E06A1A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Turska: izvor: istraživanje o dohotku i životnim uvjetima.</w:t>
            </w:r>
          </w:p>
        </w:tc>
      </w:tr>
      <w:tr w:rsidR="00221F1C" w14:paraId="4CE80083" w14:textId="77777777" w:rsidTr="00221F1C">
        <w:trPr>
          <w:trHeight w:val="91"/>
        </w:trPr>
        <w:tc>
          <w:tcPr>
            <w:tcW w:w="456" w:type="dxa"/>
            <w:hideMark/>
          </w:tcPr>
          <w:p w14:paraId="7A3D3BE9"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8)</w:t>
            </w:r>
          </w:p>
        </w:tc>
        <w:tc>
          <w:tcPr>
            <w:tcW w:w="13466" w:type="dxa"/>
            <w:hideMark/>
          </w:tcPr>
          <w:p w14:paraId="1A30603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neto dohodak.</w:t>
            </w:r>
          </w:p>
        </w:tc>
      </w:tr>
      <w:tr w:rsidR="00221F1C" w14:paraId="28FB7A4D" w14:textId="77777777" w:rsidTr="00221F1C">
        <w:trPr>
          <w:trHeight w:val="91"/>
        </w:trPr>
        <w:tc>
          <w:tcPr>
            <w:tcW w:w="456" w:type="dxa"/>
            <w:hideMark/>
          </w:tcPr>
          <w:p w14:paraId="7B6875F5"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9)</w:t>
            </w:r>
          </w:p>
        </w:tc>
        <w:tc>
          <w:tcPr>
            <w:tcW w:w="13466" w:type="dxa"/>
            <w:hideMark/>
          </w:tcPr>
          <w:p w14:paraId="71822612"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Kosovo: revidirani su podaci za plaće 2012.–2019.</w:t>
            </w:r>
          </w:p>
        </w:tc>
      </w:tr>
      <w:tr w:rsidR="00221F1C" w14:paraId="76E8A7C3" w14:textId="77777777" w:rsidTr="00221F1C">
        <w:trPr>
          <w:trHeight w:val="91"/>
        </w:trPr>
        <w:tc>
          <w:tcPr>
            <w:tcW w:w="456" w:type="dxa"/>
            <w:hideMark/>
          </w:tcPr>
          <w:p w14:paraId="528F95E4"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10)</w:t>
            </w:r>
          </w:p>
        </w:tc>
        <w:tc>
          <w:tcPr>
            <w:tcW w:w="13466" w:type="dxa"/>
            <w:hideMark/>
          </w:tcPr>
          <w:p w14:paraId="69763553"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kraj godine (31. prosinca).</w:t>
            </w:r>
          </w:p>
        </w:tc>
      </w:tr>
      <w:tr w:rsidR="00221F1C" w14:paraId="3F26702A" w14:textId="77777777" w:rsidTr="00221F1C">
        <w:trPr>
          <w:trHeight w:val="91"/>
        </w:trPr>
        <w:tc>
          <w:tcPr>
            <w:tcW w:w="456" w:type="dxa"/>
            <w:hideMark/>
          </w:tcPr>
          <w:p w14:paraId="5678D248"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11)</w:t>
            </w:r>
          </w:p>
        </w:tc>
        <w:tc>
          <w:tcPr>
            <w:tcW w:w="13466" w:type="dxa"/>
            <w:hideMark/>
          </w:tcPr>
          <w:p w14:paraId="74280A7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inflacija potrošačkih cijena.</w:t>
            </w:r>
          </w:p>
        </w:tc>
      </w:tr>
      <w:tr w:rsidR="00221F1C" w14:paraId="605BB8E1" w14:textId="77777777" w:rsidTr="00221F1C">
        <w:trPr>
          <w:trHeight w:val="91"/>
        </w:trPr>
        <w:tc>
          <w:tcPr>
            <w:tcW w:w="456" w:type="dxa"/>
            <w:hideMark/>
          </w:tcPr>
          <w:p w14:paraId="40A9DBB1"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12)</w:t>
            </w:r>
          </w:p>
        </w:tc>
        <w:tc>
          <w:tcPr>
            <w:tcW w:w="13466" w:type="dxa"/>
            <w:hideMark/>
          </w:tcPr>
          <w:p w14:paraId="4F5DE65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Turska: podaci obuhvaćaju dužničke vrijednosne papire i zajmove.</w:t>
            </w:r>
          </w:p>
        </w:tc>
      </w:tr>
      <w:tr w:rsidR="00221F1C" w14:paraId="063998EB" w14:textId="77777777" w:rsidTr="00221F1C">
        <w:trPr>
          <w:trHeight w:val="91"/>
        </w:trPr>
        <w:tc>
          <w:tcPr>
            <w:tcW w:w="456" w:type="dxa"/>
            <w:hideMark/>
          </w:tcPr>
          <w:p w14:paraId="39D07EEF"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13)</w:t>
            </w:r>
          </w:p>
        </w:tc>
        <w:tc>
          <w:tcPr>
            <w:tcW w:w="13466" w:type="dxa"/>
            <w:hideMark/>
          </w:tcPr>
          <w:p w14:paraId="0EA25F9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podaci za monetarne financijske institucije.</w:t>
            </w:r>
          </w:p>
        </w:tc>
      </w:tr>
      <w:tr w:rsidR="00221F1C" w14:paraId="6146DF5B" w14:textId="77777777" w:rsidTr="00221F1C">
        <w:trPr>
          <w:trHeight w:val="91"/>
        </w:trPr>
        <w:tc>
          <w:tcPr>
            <w:tcW w:w="456" w:type="dxa"/>
            <w:hideMark/>
          </w:tcPr>
          <w:p w14:paraId="6AAC3547"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14)</w:t>
            </w:r>
          </w:p>
        </w:tc>
        <w:tc>
          <w:tcPr>
            <w:tcW w:w="13466" w:type="dxa"/>
            <w:hideMark/>
          </w:tcPr>
          <w:p w14:paraId="6B84D0B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Srbija: službeni vanjski dug Republike Srbije.</w:t>
            </w:r>
          </w:p>
        </w:tc>
      </w:tr>
      <w:tr w:rsidR="00221F1C" w14:paraId="515848EC" w14:textId="77777777" w:rsidTr="00221F1C">
        <w:trPr>
          <w:trHeight w:val="91"/>
        </w:trPr>
        <w:tc>
          <w:tcPr>
            <w:tcW w:w="456" w:type="dxa"/>
            <w:hideMark/>
          </w:tcPr>
          <w:p w14:paraId="76F383CA"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15)</w:t>
            </w:r>
          </w:p>
        </w:tc>
        <w:tc>
          <w:tcPr>
            <w:tcW w:w="13466" w:type="dxa"/>
            <w:hideMark/>
          </w:tcPr>
          <w:p w14:paraId="7713E58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Turska: za konverziju u eure korišten prosječan godišnji tečaj.</w:t>
            </w:r>
          </w:p>
        </w:tc>
      </w:tr>
      <w:tr w:rsidR="00221F1C" w14:paraId="4CAEE65D" w14:textId="77777777" w:rsidTr="00221F1C">
        <w:trPr>
          <w:trHeight w:val="91"/>
        </w:trPr>
        <w:tc>
          <w:tcPr>
            <w:tcW w:w="456" w:type="dxa"/>
            <w:hideMark/>
          </w:tcPr>
          <w:p w14:paraId="42F27574"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16)</w:t>
            </w:r>
          </w:p>
        </w:tc>
        <w:tc>
          <w:tcPr>
            <w:tcW w:w="13466" w:type="dxa"/>
            <w:hideMark/>
          </w:tcPr>
          <w:p w14:paraId="6A90B64F"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na temelju šestog izdanja priručnika MMF-a o platnoj bilanci.</w:t>
            </w:r>
          </w:p>
        </w:tc>
      </w:tr>
      <w:tr w:rsidR="00221F1C" w14:paraId="337CB4DA" w14:textId="77777777" w:rsidTr="00221F1C">
        <w:trPr>
          <w:trHeight w:val="91"/>
        </w:trPr>
        <w:tc>
          <w:tcPr>
            <w:tcW w:w="456" w:type="dxa"/>
            <w:hideMark/>
          </w:tcPr>
          <w:p w14:paraId="6CC86CAD"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17)</w:t>
            </w:r>
          </w:p>
        </w:tc>
        <w:tc>
          <w:tcPr>
            <w:tcW w:w="13466" w:type="dxa"/>
            <w:hideMark/>
          </w:tcPr>
          <w:p w14:paraId="5FFE227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Albanija: vanjski dug (uključujući izravna strana ulaganja).</w:t>
            </w:r>
          </w:p>
        </w:tc>
      </w:tr>
      <w:tr w:rsidR="00221F1C" w14:paraId="5D7A550A" w14:textId="77777777" w:rsidTr="00221F1C">
        <w:trPr>
          <w:trHeight w:val="91"/>
        </w:trPr>
        <w:tc>
          <w:tcPr>
            <w:tcW w:w="456" w:type="dxa"/>
            <w:hideMark/>
          </w:tcPr>
          <w:p w14:paraId="5232DA93"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18)</w:t>
            </w:r>
          </w:p>
        </w:tc>
        <w:tc>
          <w:tcPr>
            <w:tcW w:w="13466" w:type="dxa"/>
            <w:hideMark/>
          </w:tcPr>
          <w:p w14:paraId="03F808E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Crna Gora: ponderirana prosječna efektivna kamatna stopa, na nepodmirene iznose, godišnje.</w:t>
            </w:r>
          </w:p>
        </w:tc>
      </w:tr>
      <w:tr w:rsidR="00221F1C" w14:paraId="71A5DD64" w14:textId="77777777" w:rsidTr="00221F1C">
        <w:trPr>
          <w:trHeight w:val="91"/>
        </w:trPr>
        <w:tc>
          <w:tcPr>
            <w:tcW w:w="456" w:type="dxa"/>
            <w:hideMark/>
          </w:tcPr>
          <w:p w14:paraId="391D59A5"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19)</w:t>
            </w:r>
          </w:p>
        </w:tc>
        <w:tc>
          <w:tcPr>
            <w:tcW w:w="13466" w:type="dxa"/>
            <w:hideMark/>
          </w:tcPr>
          <w:p w14:paraId="3604CFD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Sjeverna Makedonija: kraj godine (31. prosinca).</w:t>
            </w:r>
          </w:p>
        </w:tc>
      </w:tr>
      <w:tr w:rsidR="00221F1C" w14:paraId="51C6AC1B" w14:textId="77777777" w:rsidTr="00221F1C">
        <w:trPr>
          <w:trHeight w:val="91"/>
        </w:trPr>
        <w:tc>
          <w:tcPr>
            <w:tcW w:w="456" w:type="dxa"/>
            <w:hideMark/>
          </w:tcPr>
          <w:p w14:paraId="032B3C51"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20)</w:t>
            </w:r>
          </w:p>
        </w:tc>
        <w:tc>
          <w:tcPr>
            <w:tcW w:w="13466" w:type="dxa"/>
            <w:hideMark/>
          </w:tcPr>
          <w:p w14:paraId="2CB5B3F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Albanija: prosječna ponderirana stopa primijenjena na nove zajmove na 12 mjeseci tijekom odgovarajućeg mjeseca i s dospijećem u roku od 12 mjeseci.</w:t>
            </w:r>
          </w:p>
        </w:tc>
      </w:tr>
      <w:tr w:rsidR="00221F1C" w14:paraId="533A0ADA" w14:textId="77777777" w:rsidTr="00221F1C">
        <w:trPr>
          <w:trHeight w:val="91"/>
        </w:trPr>
        <w:tc>
          <w:tcPr>
            <w:tcW w:w="456" w:type="dxa"/>
            <w:hideMark/>
          </w:tcPr>
          <w:p w14:paraId="4DC56552"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21)</w:t>
            </w:r>
          </w:p>
        </w:tc>
        <w:tc>
          <w:tcPr>
            <w:tcW w:w="13466" w:type="dxa"/>
            <w:hideMark/>
          </w:tcPr>
          <w:p w14:paraId="28CCC8A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kratkoročne stope na zaduživanje u nacionalnoj valuti odobrene nefinancijskim društvima (ponderirani prosjek).</w:t>
            </w:r>
          </w:p>
        </w:tc>
      </w:tr>
      <w:tr w:rsidR="00221F1C" w14:paraId="3134121A" w14:textId="77777777" w:rsidTr="00221F1C">
        <w:trPr>
          <w:trHeight w:val="91"/>
        </w:trPr>
        <w:tc>
          <w:tcPr>
            <w:tcW w:w="456" w:type="dxa"/>
            <w:hideMark/>
          </w:tcPr>
          <w:p w14:paraId="74BF2DC6"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22)</w:t>
            </w:r>
          </w:p>
        </w:tc>
        <w:tc>
          <w:tcPr>
            <w:tcW w:w="13466" w:type="dxa"/>
            <w:hideMark/>
          </w:tcPr>
          <w:p w14:paraId="654C0A4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podaci su revidirani zbog ispravaka u nekoliko banaka.</w:t>
            </w:r>
          </w:p>
        </w:tc>
      </w:tr>
      <w:tr w:rsidR="00221F1C" w14:paraId="180F39EB" w14:textId="77777777" w:rsidTr="00221F1C">
        <w:trPr>
          <w:trHeight w:val="91"/>
        </w:trPr>
        <w:tc>
          <w:tcPr>
            <w:tcW w:w="456" w:type="dxa"/>
            <w:hideMark/>
          </w:tcPr>
          <w:p w14:paraId="35A73907"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23)</w:t>
            </w:r>
          </w:p>
        </w:tc>
        <w:tc>
          <w:tcPr>
            <w:tcW w:w="13466" w:type="dxa"/>
            <w:hideMark/>
          </w:tcPr>
          <w:p w14:paraId="6B438341"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Albanija: kamatna stopa na depozite predstavlja ponderiranu prosječnu stopu za nove depozite tijekom odgovarajućeg mjeseca s dospijećem od 12 mjeseci.</w:t>
            </w:r>
          </w:p>
        </w:tc>
      </w:tr>
      <w:tr w:rsidR="00221F1C" w14:paraId="5CFBB2E3" w14:textId="77777777" w:rsidTr="00221F1C">
        <w:trPr>
          <w:trHeight w:val="91"/>
        </w:trPr>
        <w:tc>
          <w:tcPr>
            <w:tcW w:w="456" w:type="dxa"/>
            <w:hideMark/>
          </w:tcPr>
          <w:p w14:paraId="1B2DB607"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24)</w:t>
            </w:r>
          </w:p>
        </w:tc>
        <w:tc>
          <w:tcPr>
            <w:tcW w:w="13466" w:type="dxa"/>
            <w:hideMark/>
          </w:tcPr>
          <w:p w14:paraId="43ACF339"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Turska: prosjek mjesečnih podataka. Prekonoćna stalno raspoloživa mogućnost deponiranja.</w:t>
            </w:r>
          </w:p>
        </w:tc>
      </w:tr>
      <w:tr w:rsidR="00221F1C" w14:paraId="7CB7A934" w14:textId="77777777" w:rsidTr="00221F1C">
        <w:trPr>
          <w:trHeight w:val="91"/>
        </w:trPr>
        <w:tc>
          <w:tcPr>
            <w:tcW w:w="456" w:type="dxa"/>
            <w:hideMark/>
          </w:tcPr>
          <w:p w14:paraId="3F0A9EDC"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25)</w:t>
            </w:r>
          </w:p>
        </w:tc>
        <w:tc>
          <w:tcPr>
            <w:tcW w:w="13466" w:type="dxa"/>
            <w:hideMark/>
          </w:tcPr>
          <w:p w14:paraId="157D231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stope na depozite po viđenju u nacionalnoj valuti kućanstava (ponderirani prosjek).</w:t>
            </w:r>
          </w:p>
        </w:tc>
      </w:tr>
      <w:tr w:rsidR="00221F1C" w14:paraId="0978F7EE" w14:textId="77777777" w:rsidTr="00221F1C">
        <w:trPr>
          <w:trHeight w:val="91"/>
        </w:trPr>
        <w:tc>
          <w:tcPr>
            <w:tcW w:w="456" w:type="dxa"/>
            <w:hideMark/>
          </w:tcPr>
          <w:p w14:paraId="2CE32228"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26)</w:t>
            </w:r>
          </w:p>
        </w:tc>
        <w:tc>
          <w:tcPr>
            <w:tcW w:w="13466" w:type="dxa"/>
            <w:hideMark/>
          </w:tcPr>
          <w:p w14:paraId="20A23286"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podaci za prosinac 2018.</w:t>
            </w:r>
          </w:p>
        </w:tc>
      </w:tr>
      <w:tr w:rsidR="00221F1C" w14:paraId="77A555FE" w14:textId="77777777" w:rsidTr="00221F1C">
        <w:trPr>
          <w:trHeight w:val="91"/>
        </w:trPr>
        <w:tc>
          <w:tcPr>
            <w:tcW w:w="456" w:type="dxa"/>
            <w:hideMark/>
          </w:tcPr>
          <w:p w14:paraId="00CC1040"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27)</w:t>
            </w:r>
          </w:p>
        </w:tc>
        <w:tc>
          <w:tcPr>
            <w:tcW w:w="13466" w:type="dxa"/>
            <w:hideMark/>
          </w:tcPr>
          <w:p w14:paraId="2F980FDD"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na temelju priručnika MMF-a o platnoj bilanci, pristup na temelju aktive i pasive.</w:t>
            </w:r>
          </w:p>
        </w:tc>
      </w:tr>
      <w:tr w:rsidR="00221F1C" w14:paraId="30A2E833" w14:textId="77777777" w:rsidTr="00221F1C">
        <w:trPr>
          <w:trHeight w:val="91"/>
        </w:trPr>
        <w:tc>
          <w:tcPr>
            <w:tcW w:w="456" w:type="dxa"/>
            <w:hideMark/>
          </w:tcPr>
          <w:p w14:paraId="1CE0EC45"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28)</w:t>
            </w:r>
          </w:p>
        </w:tc>
        <w:tc>
          <w:tcPr>
            <w:tcW w:w="13466" w:type="dxa"/>
            <w:hideMark/>
          </w:tcPr>
          <w:p w14:paraId="7BD4E004"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Turska: na temelju BPM6.</w:t>
            </w:r>
          </w:p>
        </w:tc>
      </w:tr>
      <w:tr w:rsidR="00221F1C" w14:paraId="1DF73092" w14:textId="77777777" w:rsidTr="00221F1C">
        <w:trPr>
          <w:trHeight w:val="91"/>
        </w:trPr>
        <w:tc>
          <w:tcPr>
            <w:tcW w:w="456" w:type="dxa"/>
            <w:hideMark/>
          </w:tcPr>
          <w:p w14:paraId="74B2B1FC"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29)</w:t>
            </w:r>
          </w:p>
        </w:tc>
        <w:tc>
          <w:tcPr>
            <w:tcW w:w="13466" w:type="dxa"/>
            <w:hideMark/>
          </w:tcPr>
          <w:p w14:paraId="0662F900"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na temelju šestog izdanja priručnika MMF-a o platnoj bilanci i četvrtog izdanja OECD-ove referentne definicije inozemnih izravnih ulaganja.</w:t>
            </w:r>
          </w:p>
        </w:tc>
      </w:tr>
      <w:tr w:rsidR="00221F1C" w14:paraId="10804C27" w14:textId="77777777" w:rsidTr="00221F1C">
        <w:trPr>
          <w:trHeight w:val="91"/>
        </w:trPr>
        <w:tc>
          <w:tcPr>
            <w:tcW w:w="456" w:type="dxa"/>
            <w:hideMark/>
          </w:tcPr>
          <w:p w14:paraId="2F0F1407"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30)</w:t>
            </w:r>
          </w:p>
        </w:tc>
        <w:tc>
          <w:tcPr>
            <w:tcW w:w="13466" w:type="dxa"/>
            <w:hideMark/>
          </w:tcPr>
          <w:p w14:paraId="708012DA"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Turska: za konverziju u eure korišten prosječan godišnji tečaj.</w:t>
            </w:r>
          </w:p>
          <w:p w14:paraId="7C602BE1"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Na temelju BPM6.</w:t>
            </w:r>
          </w:p>
        </w:tc>
      </w:tr>
      <w:tr w:rsidR="00221F1C" w14:paraId="749782FF" w14:textId="77777777" w:rsidTr="00221F1C">
        <w:trPr>
          <w:trHeight w:val="91"/>
        </w:trPr>
        <w:tc>
          <w:tcPr>
            <w:tcW w:w="456" w:type="dxa"/>
            <w:hideMark/>
          </w:tcPr>
          <w:p w14:paraId="24F63FEC"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31)</w:t>
            </w:r>
          </w:p>
        </w:tc>
        <w:tc>
          <w:tcPr>
            <w:tcW w:w="13466" w:type="dxa"/>
            <w:hideMark/>
          </w:tcPr>
          <w:p w14:paraId="15FF0CB7"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Albanija: aktivnost B_D.</w:t>
            </w:r>
          </w:p>
        </w:tc>
      </w:tr>
      <w:tr w:rsidR="00221F1C" w14:paraId="2312095A" w14:textId="77777777" w:rsidTr="00221F1C">
        <w:trPr>
          <w:trHeight w:val="91"/>
        </w:trPr>
        <w:tc>
          <w:tcPr>
            <w:tcW w:w="456" w:type="dxa"/>
            <w:hideMark/>
          </w:tcPr>
          <w:p w14:paraId="73896B84"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32)</w:t>
            </w:r>
          </w:p>
        </w:tc>
        <w:tc>
          <w:tcPr>
            <w:tcW w:w="13466" w:type="dxa"/>
            <w:hideMark/>
          </w:tcPr>
          <w:p w14:paraId="79EEA2F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Srbija: podaci na dan 31. prosinca ove godine, osim za 2021., za koju su podaci na dan 1. siječnja 2021.</w:t>
            </w:r>
          </w:p>
          <w:p w14:paraId="52EE8285"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Podaci su preuzeti od Republičkog geodetskog zavoda.</w:t>
            </w:r>
          </w:p>
        </w:tc>
      </w:tr>
      <w:tr w:rsidR="00221F1C" w14:paraId="7ACC99D8" w14:textId="77777777" w:rsidTr="00221F1C">
        <w:trPr>
          <w:trHeight w:val="91"/>
        </w:trPr>
        <w:tc>
          <w:tcPr>
            <w:tcW w:w="456" w:type="dxa"/>
            <w:hideMark/>
          </w:tcPr>
          <w:p w14:paraId="05FD7DCB" w14:textId="77777777" w:rsidR="00221F1C" w:rsidRDefault="00221F1C">
            <w:pPr>
              <w:autoSpaceDE w:val="0"/>
              <w:autoSpaceDN w:val="0"/>
              <w:adjustRightInd w:val="0"/>
              <w:spacing w:after="0" w:line="240" w:lineRule="auto"/>
              <w:jc w:val="right"/>
              <w:rPr>
                <w:rFonts w:ascii="Arial" w:eastAsia="Times New Roman" w:hAnsi="Arial" w:cs="Arial"/>
                <w:noProof/>
                <w:color w:val="000000"/>
                <w:sz w:val="16"/>
                <w:szCs w:val="16"/>
              </w:rPr>
            </w:pPr>
            <w:r>
              <w:rPr>
                <w:rFonts w:ascii="Arial" w:hAnsi="Arial"/>
                <w:noProof/>
                <w:color w:val="000000"/>
                <w:sz w:val="16"/>
              </w:rPr>
              <w:t>33)</w:t>
            </w:r>
          </w:p>
        </w:tc>
        <w:tc>
          <w:tcPr>
            <w:tcW w:w="13466" w:type="dxa"/>
            <w:hideMark/>
          </w:tcPr>
          <w:p w14:paraId="68CF7BC8" w14:textId="77777777" w:rsidR="00221F1C" w:rsidRDefault="00221F1C">
            <w:pPr>
              <w:autoSpaceDE w:val="0"/>
              <w:autoSpaceDN w:val="0"/>
              <w:adjustRightInd w:val="0"/>
              <w:spacing w:after="0" w:line="240" w:lineRule="auto"/>
              <w:rPr>
                <w:rFonts w:ascii="Arial" w:eastAsia="Times New Roman" w:hAnsi="Arial" w:cs="Arial"/>
                <w:noProof/>
                <w:color w:val="000000"/>
                <w:sz w:val="16"/>
                <w:szCs w:val="16"/>
              </w:rPr>
            </w:pPr>
            <w:r>
              <w:rPr>
                <w:rFonts w:ascii="Arial" w:hAnsi="Arial"/>
                <w:noProof/>
                <w:color w:val="000000"/>
                <w:sz w:val="16"/>
              </w:rPr>
              <w:t>Bosna i Hercegovina: procjena kopnene vode iznosi 210 km².</w:t>
            </w:r>
          </w:p>
        </w:tc>
      </w:tr>
    </w:tbl>
    <w:p w14:paraId="1636ECC8" w14:textId="77777777" w:rsidR="00221F1C" w:rsidRDefault="00221F1C" w:rsidP="00221F1C">
      <w:pPr>
        <w:spacing w:after="0"/>
        <w:rPr>
          <w:rFonts w:ascii="Times New Roman" w:hAnsi="Times New Roman" w:cs="Times New Roman"/>
          <w:noProof/>
          <w:sz w:val="24"/>
          <w:szCs w:val="24"/>
        </w:rPr>
        <w:sectPr w:rsidR="00221F1C">
          <w:headerReference w:type="even" r:id="rId42"/>
          <w:headerReference w:type="default" r:id="rId43"/>
          <w:footerReference w:type="even" r:id="rId44"/>
          <w:footerReference w:type="default" r:id="rId45"/>
          <w:headerReference w:type="first" r:id="rId46"/>
          <w:footerReference w:type="first" r:id="rId47"/>
          <w:pgSz w:w="15840" w:h="12240" w:orient="landscape"/>
          <w:pgMar w:top="1440" w:right="1440" w:bottom="1440" w:left="1440" w:header="709" w:footer="709" w:gutter="0"/>
          <w:cols w:space="720"/>
        </w:sectPr>
      </w:pPr>
    </w:p>
    <w:tbl>
      <w:tblPr>
        <w:tblStyle w:val="GridTable1Light-Accent11"/>
        <w:tblW w:w="15030" w:type="dxa"/>
        <w:jc w:val="center"/>
        <w:tblInd w:w="0" w:type="dxa"/>
        <w:tblLayout w:type="fixed"/>
        <w:tblLook w:val="04A0" w:firstRow="1" w:lastRow="0" w:firstColumn="1" w:lastColumn="0" w:noHBand="0" w:noVBand="1"/>
      </w:tblPr>
      <w:tblGrid>
        <w:gridCol w:w="3121"/>
        <w:gridCol w:w="1702"/>
        <w:gridCol w:w="1702"/>
        <w:gridCol w:w="1701"/>
        <w:gridCol w:w="1701"/>
        <w:gridCol w:w="1701"/>
        <w:gridCol w:w="1701"/>
        <w:gridCol w:w="1701"/>
      </w:tblGrid>
      <w:tr w:rsidR="00221F1C" w14:paraId="593BF532" w14:textId="77777777" w:rsidTr="00221F1C">
        <w:trPr>
          <w:cnfStyle w:val="100000000000" w:firstRow="1" w:lastRow="0" w:firstColumn="0" w:lastColumn="0" w:oddVBand="0" w:evenVBand="0" w:oddHBand="0" w:evenHBand="0" w:firstRowFirstColumn="0" w:firstRowLastColumn="0" w:lastRowFirstColumn="0" w:lastRowLastColumn="0"/>
          <w:trHeight w:val="569"/>
          <w:jc w:val="center"/>
        </w:trPr>
        <w:tc>
          <w:tcPr>
            <w:cnfStyle w:val="001000000000" w:firstRow="0" w:lastRow="0" w:firstColumn="1" w:lastColumn="0" w:oddVBand="0" w:evenVBand="0" w:oddHBand="0" w:evenHBand="0" w:firstRowFirstColumn="0" w:firstRowLastColumn="0" w:lastRowFirstColumn="0" w:lastRowLastColumn="0"/>
            <w:tcW w:w="3119"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54266B21" w14:textId="77777777" w:rsidR="00221F1C" w:rsidRDefault="00221F1C">
            <w:pPr>
              <w:spacing w:after="200" w:line="276" w:lineRule="auto"/>
              <w:jc w:val="center"/>
              <w:rPr>
                <w:rFonts w:ascii="Times New Roman" w:hAnsi="Times New Roman" w:cs="Times New Roman"/>
                <w:noProof/>
                <w:color w:val="FFFFFF" w:themeColor="background1"/>
                <w:vertAlign w:val="superscript"/>
              </w:rPr>
            </w:pPr>
            <w:r>
              <w:rPr>
                <w:rFonts w:ascii="Times New Roman" w:hAnsi="Times New Roman"/>
                <w:noProof/>
                <w:color w:val="FFFFFF" w:themeColor="background1"/>
              </w:rPr>
              <w:t>Indeksi</w:t>
            </w:r>
            <w:r>
              <w:rPr>
                <w:rFonts w:ascii="Times New Roman" w:hAnsi="Times New Roman" w:cs="Times New Roman"/>
                <w:noProof/>
                <w:color w:val="FFFFFF" w:themeColor="background1"/>
                <w:vertAlign w:val="superscript"/>
              </w:rPr>
              <w:footnoteReference w:id="10"/>
            </w:r>
          </w:p>
        </w:tc>
        <w:tc>
          <w:tcPr>
            <w:tcW w:w="11907" w:type="dxa"/>
            <w:gridSpan w:val="7"/>
            <w:tcBorders>
              <w:top w:val="single" w:sz="4" w:space="0" w:color="auto"/>
              <w:left w:val="single" w:sz="4" w:space="0" w:color="auto"/>
              <w:bottom w:val="single" w:sz="4" w:space="0" w:color="auto"/>
              <w:right w:val="single" w:sz="4" w:space="0" w:color="auto"/>
            </w:tcBorders>
            <w:shd w:val="clear" w:color="auto" w:fill="0070C0"/>
            <w:vAlign w:val="center"/>
            <w:hideMark/>
          </w:tcPr>
          <w:p w14:paraId="60E8ACD9" w14:textId="77777777" w:rsidR="00221F1C" w:rsidRDefault="00221F1C">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FFFFFF" w:themeColor="background1"/>
              </w:rPr>
            </w:pPr>
            <w:r>
              <w:rPr>
                <w:rFonts w:ascii="Times New Roman" w:hAnsi="Times New Roman"/>
                <w:smallCaps/>
                <w:noProof/>
                <w:color w:val="FFFFFF" w:themeColor="background1"/>
              </w:rPr>
              <w:t>Pokazatelji treće strane povezani sa stanjem demokracije, dobrim upravljanjem i vladavinom prava u zemljama kandidatkinjama i potencijalnim kandidatkinjama</w:t>
            </w:r>
            <w:r>
              <w:rPr>
                <w:rFonts w:ascii="Times New Roman" w:hAnsi="Times New Roman" w:cs="Times New Roman"/>
                <w:smallCaps/>
                <w:noProof/>
                <w:color w:val="FFFFFF" w:themeColor="background1"/>
                <w:vertAlign w:val="superscript"/>
              </w:rPr>
              <w:footnoteReference w:id="11"/>
            </w:r>
            <w:r>
              <w:rPr>
                <w:rFonts w:ascii="Times New Roman" w:hAnsi="Times New Roman"/>
                <w:smallCaps/>
                <w:noProof/>
                <w:color w:val="FFFFFF" w:themeColor="background1"/>
              </w:rPr>
              <w:t>.</w:t>
            </w:r>
          </w:p>
        </w:tc>
      </w:tr>
      <w:tr w:rsidR="00221F1C" w14:paraId="0D97BB1D"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vMerge/>
            <w:tcBorders>
              <w:top w:val="single" w:sz="4" w:space="0" w:color="auto"/>
              <w:left w:val="single" w:sz="4" w:space="0" w:color="auto"/>
              <w:bottom w:val="single" w:sz="4" w:space="0" w:color="auto"/>
              <w:right w:val="single" w:sz="4" w:space="0" w:color="auto"/>
            </w:tcBorders>
            <w:vAlign w:val="center"/>
            <w:hideMark/>
          </w:tcPr>
          <w:p w14:paraId="6C3A5C5F" w14:textId="77777777" w:rsidR="00221F1C" w:rsidRDefault="00221F1C">
            <w:pPr>
              <w:rPr>
                <w:rFonts w:ascii="Times New Roman" w:hAnsi="Times New Roman" w:cs="Times New Roman"/>
                <w:noProof/>
                <w:color w:val="FFFFFF" w:themeColor="background1"/>
                <w:vertAlign w:val="superscript"/>
              </w:rPr>
            </w:pP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5F6A738" w14:textId="77777777" w:rsidR="00221F1C" w:rsidRDefault="00221F1C">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rPr>
            </w:pPr>
            <w:r>
              <w:rPr>
                <w:rFonts w:ascii="Times New Roman" w:hAnsi="Times New Roman"/>
                <w:b/>
                <w:noProof/>
                <w:color w:val="FFFFFF" w:themeColor="background1"/>
              </w:rPr>
              <w:t>Albanija</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279C8D1" w14:textId="77777777" w:rsidR="00221F1C" w:rsidRDefault="00221F1C">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rPr>
            </w:pPr>
            <w:r>
              <w:rPr>
                <w:rFonts w:ascii="Times New Roman" w:hAnsi="Times New Roman"/>
                <w:b/>
                <w:noProof/>
                <w:color w:val="FFFFFF" w:themeColor="background1"/>
              </w:rPr>
              <w:t>Bosna i Hercegovina</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519B99E" w14:textId="77777777" w:rsidR="00221F1C" w:rsidRDefault="00221F1C">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rPr>
            </w:pPr>
            <w:r>
              <w:rPr>
                <w:rFonts w:ascii="Times New Roman" w:hAnsi="Times New Roman"/>
                <w:b/>
                <w:noProof/>
                <w:color w:val="FFFFFF" w:themeColor="background1"/>
              </w:rPr>
              <w:t>Kosovo</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6F2A502" w14:textId="77777777" w:rsidR="00221F1C" w:rsidRDefault="00221F1C">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rPr>
            </w:pPr>
            <w:r>
              <w:rPr>
                <w:rFonts w:ascii="Times New Roman" w:hAnsi="Times New Roman"/>
                <w:b/>
                <w:noProof/>
                <w:color w:val="FFFFFF" w:themeColor="background1"/>
              </w:rPr>
              <w:t>Sjeverna Makedonija</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5B129EC" w14:textId="77777777" w:rsidR="00221F1C" w:rsidRDefault="00221F1C">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rPr>
            </w:pPr>
            <w:r>
              <w:rPr>
                <w:rFonts w:ascii="Times New Roman" w:hAnsi="Times New Roman"/>
                <w:b/>
                <w:noProof/>
                <w:color w:val="FFFFFF" w:themeColor="background1"/>
              </w:rPr>
              <w:t>Crna Gora</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8A227A9" w14:textId="77777777" w:rsidR="00221F1C" w:rsidRDefault="00221F1C">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rPr>
            </w:pPr>
            <w:r>
              <w:rPr>
                <w:rFonts w:ascii="Times New Roman" w:hAnsi="Times New Roman"/>
                <w:b/>
                <w:noProof/>
                <w:color w:val="FFFFFF" w:themeColor="background1"/>
              </w:rPr>
              <w:t>Srbija</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D871EF" w14:textId="77777777" w:rsidR="00221F1C" w:rsidRDefault="00221F1C">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rPr>
            </w:pPr>
            <w:r>
              <w:rPr>
                <w:rFonts w:ascii="Times New Roman" w:hAnsi="Times New Roman"/>
                <w:b/>
                <w:noProof/>
                <w:color w:val="FFFFFF" w:themeColor="background1"/>
              </w:rPr>
              <w:t>Turska</w:t>
            </w:r>
          </w:p>
        </w:tc>
      </w:tr>
      <w:tr w:rsidR="00221F1C" w14:paraId="76640076"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007C" w14:textId="77777777" w:rsidR="00221F1C" w:rsidRDefault="00221F1C">
            <w:pPr>
              <w:rPr>
                <w:rFonts w:ascii="Times New Roman" w:hAnsi="Times New Roman" w:cs="Times New Roman"/>
                <w:noProof/>
                <w:sz w:val="16"/>
                <w:szCs w:val="16"/>
              </w:rPr>
            </w:pPr>
          </w:p>
          <w:p w14:paraId="2F094A52" w14:textId="77777777" w:rsidR="00221F1C" w:rsidRDefault="00221F1C">
            <w:pPr>
              <w:rPr>
                <w:rFonts w:ascii="Times New Roman" w:hAnsi="Times New Roman" w:cs="Times New Roman"/>
                <w:noProof/>
                <w:sz w:val="16"/>
                <w:szCs w:val="16"/>
              </w:rPr>
            </w:pPr>
            <w:r>
              <w:rPr>
                <w:rFonts w:ascii="Times New Roman" w:hAnsi="Times New Roman"/>
                <w:noProof/>
                <w:sz w:val="16"/>
              </w:rPr>
              <w:t>Izvješće o nacijama u tranziciji 2022. – ocjena stanja demokracije, Freedom House</w:t>
            </w:r>
          </w:p>
          <w:p w14:paraId="12750B40" w14:textId="77777777" w:rsidR="00221F1C" w:rsidRDefault="004C7FED">
            <w:pPr>
              <w:rPr>
                <w:rFonts w:ascii="Times New Roman" w:hAnsi="Times New Roman" w:cs="Times New Roman"/>
                <w:noProof/>
                <w:color w:val="0563C1" w:themeColor="hyperlink"/>
                <w:sz w:val="16"/>
                <w:szCs w:val="16"/>
                <w:u w:val="single"/>
              </w:rPr>
            </w:pPr>
            <w:hyperlink r:id="rId48" w:history="1">
              <w:r w:rsidR="00C96F9A">
                <w:rPr>
                  <w:rStyle w:val="Hyperlink"/>
                  <w:rFonts w:ascii="Times New Roman" w:hAnsi="Times New Roman"/>
                  <w:noProof/>
                  <w:color w:val="0563C1" w:themeColor="hyperlink"/>
                  <w:sz w:val="16"/>
                </w:rPr>
                <w:t>https://freedomhouse.org/countries/nations-transit/scores</w:t>
              </w:r>
            </w:hyperlink>
          </w:p>
          <w:p w14:paraId="2F3D5976" w14:textId="77777777" w:rsidR="00221F1C" w:rsidRDefault="00221F1C">
            <w:pPr>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F9DDB1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45EA9EF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46/100</w:t>
            </w:r>
          </w:p>
          <w:p w14:paraId="54E0C6D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46/100)</w:t>
            </w:r>
          </w:p>
          <w:p w14:paraId="4E38010A"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tranzicijski ili hibridni režim</w:t>
            </w:r>
          </w:p>
          <w:p w14:paraId="558CB08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tranzicijski ili hibridni režim)</w:t>
            </w:r>
          </w:p>
          <w:p w14:paraId="115DFBD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D93798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38/100</w:t>
            </w:r>
          </w:p>
          <w:p w14:paraId="7DA993F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39/100)</w:t>
            </w:r>
          </w:p>
          <w:p w14:paraId="6D9D805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tranzicijski ili hibridni režim</w:t>
            </w:r>
          </w:p>
          <w:p w14:paraId="4E51196A"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tranzicijski ili hibridni režim)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48DDF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38/100</w:t>
            </w:r>
          </w:p>
          <w:p w14:paraId="3E76FF4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36/100)</w:t>
            </w:r>
          </w:p>
          <w:p w14:paraId="762C1E6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tranzicijski ili hibridni režim</w:t>
            </w:r>
          </w:p>
          <w:p w14:paraId="15967C6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tranzicijski ili hibridni režim)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2F5D5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47/100</w:t>
            </w:r>
          </w:p>
          <w:p w14:paraId="391D08A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47/100)</w:t>
            </w:r>
          </w:p>
          <w:p w14:paraId="29E2E3E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tranzicijski ili hibridni režim</w:t>
            </w:r>
          </w:p>
          <w:p w14:paraId="004D4BC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tranzicijski ili hibridni režim)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61536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47/100</w:t>
            </w:r>
          </w:p>
          <w:p w14:paraId="20CA950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47/100)</w:t>
            </w:r>
          </w:p>
          <w:p w14:paraId="16C31AC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tranzicijski ili hibridni režim</w:t>
            </w:r>
          </w:p>
          <w:p w14:paraId="55E664A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tranzicijski ili hibridni režim)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B1701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46/100</w:t>
            </w:r>
          </w:p>
          <w:p w14:paraId="6C26902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48/100)</w:t>
            </w:r>
          </w:p>
          <w:p w14:paraId="1E75FC6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tranzicijski ili hibridni režim</w:t>
            </w:r>
          </w:p>
          <w:p w14:paraId="2F617F3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tranzicijski ili hibridni režim)</w:t>
            </w:r>
          </w:p>
        </w:tc>
        <w:tc>
          <w:tcPr>
            <w:tcW w:w="1701" w:type="dxa"/>
            <w:tcBorders>
              <w:top w:val="single" w:sz="4" w:space="0" w:color="auto"/>
              <w:left w:val="single" w:sz="4" w:space="0" w:color="auto"/>
              <w:bottom w:val="single" w:sz="4" w:space="0" w:color="auto"/>
              <w:right w:val="single" w:sz="4" w:space="0" w:color="auto"/>
            </w:tcBorders>
            <w:vAlign w:val="center"/>
          </w:tcPr>
          <w:p w14:paraId="4A59715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645DD7B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Nije primjenjivo</w:t>
            </w:r>
          </w:p>
          <w:p w14:paraId="7F2981C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r>
      <w:tr w:rsidR="00221F1C" w14:paraId="0B8BA54F"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29AFC" w14:textId="77777777" w:rsidR="00221F1C" w:rsidRDefault="00221F1C">
            <w:pPr>
              <w:rPr>
                <w:rFonts w:ascii="Times New Roman" w:hAnsi="Times New Roman" w:cs="Times New Roman"/>
                <w:noProof/>
                <w:sz w:val="16"/>
                <w:szCs w:val="16"/>
              </w:rPr>
            </w:pPr>
          </w:p>
          <w:p w14:paraId="48B0B9F2" w14:textId="77777777" w:rsidR="00221F1C" w:rsidRDefault="00221F1C">
            <w:pPr>
              <w:rPr>
                <w:rFonts w:ascii="Times New Roman" w:hAnsi="Times New Roman" w:cs="Times New Roman"/>
                <w:noProof/>
                <w:sz w:val="16"/>
                <w:szCs w:val="16"/>
              </w:rPr>
            </w:pPr>
            <w:r>
              <w:rPr>
                <w:rFonts w:ascii="Times New Roman" w:hAnsi="Times New Roman"/>
                <w:noProof/>
                <w:sz w:val="16"/>
              </w:rPr>
              <w:t>Izvješće o slobodi u svijetu 2022. – globalne ocjene slobode po zemljama, Freedom House</w:t>
            </w:r>
          </w:p>
          <w:p w14:paraId="3EDA5141" w14:textId="77777777" w:rsidR="00221F1C" w:rsidRDefault="004C7FED">
            <w:pPr>
              <w:rPr>
                <w:rFonts w:ascii="Times New Roman" w:hAnsi="Times New Roman" w:cs="Times New Roman"/>
                <w:noProof/>
                <w:color w:val="0563C1" w:themeColor="hyperlink"/>
                <w:sz w:val="16"/>
                <w:szCs w:val="16"/>
                <w:u w:val="single"/>
              </w:rPr>
            </w:pPr>
            <w:hyperlink r:id="rId49" w:history="1">
              <w:r w:rsidR="00C96F9A">
                <w:rPr>
                  <w:rStyle w:val="Hyperlink"/>
                  <w:rFonts w:ascii="Times New Roman" w:hAnsi="Times New Roman"/>
                  <w:noProof/>
                  <w:color w:val="0563C1" w:themeColor="hyperlink"/>
                  <w:sz w:val="16"/>
                </w:rPr>
                <w:t>https://freedomhouse.org/countries/freedom-world/scores</w:t>
              </w:r>
            </w:hyperlink>
          </w:p>
          <w:p w14:paraId="586C0A5F" w14:textId="77777777" w:rsidR="00221F1C" w:rsidRDefault="00221F1C">
            <w:pPr>
              <w:rPr>
                <w:rFonts w:ascii="Times New Roman" w:hAnsi="Times New Roman" w:cs="Times New Roman"/>
                <w:noProof/>
                <w:color w:val="0563C1" w:themeColor="hyperlink"/>
                <w:sz w:val="16"/>
                <w:szCs w:val="16"/>
                <w:u w:val="singl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3D6BD9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67/100</w:t>
            </w:r>
          </w:p>
          <w:p w14:paraId="20345D5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66/100)</w:t>
            </w:r>
          </w:p>
          <w:p w14:paraId="13ECB1E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djelomično slobodna</w:t>
            </w:r>
          </w:p>
          <w:p w14:paraId="7A71138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djelomično slobodna)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07EA0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53/100</w:t>
            </w:r>
          </w:p>
          <w:p w14:paraId="4DA903DA"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53/100)</w:t>
            </w:r>
          </w:p>
          <w:p w14:paraId="680593B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djelomično slobodna</w:t>
            </w:r>
          </w:p>
          <w:p w14:paraId="3900C54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djelomično slobodna)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DCB1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56/100</w:t>
            </w:r>
          </w:p>
          <w:p w14:paraId="5984894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54/100)</w:t>
            </w:r>
          </w:p>
          <w:p w14:paraId="4C92EF2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djelomično slobodna</w:t>
            </w:r>
          </w:p>
          <w:p w14:paraId="3BEDE29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djelomično slobodna)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1AADD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67/100</w:t>
            </w:r>
          </w:p>
          <w:p w14:paraId="0A8D16E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66/100)</w:t>
            </w:r>
          </w:p>
          <w:p w14:paraId="61B3B1E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djelomično slobodna</w:t>
            </w:r>
          </w:p>
          <w:p w14:paraId="45BC773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djelomično slobodna)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35FE0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67/100</w:t>
            </w:r>
          </w:p>
          <w:p w14:paraId="345E265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63/100)</w:t>
            </w:r>
          </w:p>
          <w:p w14:paraId="1AF2618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djelomično slobodna</w:t>
            </w:r>
          </w:p>
          <w:p w14:paraId="5F94442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djelomično slobodna)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08147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62/100</w:t>
            </w:r>
          </w:p>
          <w:p w14:paraId="0F04FF5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64/100)</w:t>
            </w:r>
          </w:p>
          <w:p w14:paraId="4DC40FE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djelomično slobodna</w:t>
            </w:r>
          </w:p>
          <w:p w14:paraId="75A321A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djelomično slobodna)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4FE75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32/100</w:t>
            </w:r>
          </w:p>
          <w:p w14:paraId="2A6B4B2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32/100)</w:t>
            </w:r>
          </w:p>
          <w:p w14:paraId="712DE5E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Status: nije slobodna.</w:t>
            </w:r>
          </w:p>
          <w:p w14:paraId="08D9187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nije slobodna)</w:t>
            </w:r>
          </w:p>
        </w:tc>
      </w:tr>
      <w:tr w:rsidR="00221F1C" w14:paraId="0E82DECA" w14:textId="77777777" w:rsidTr="00221F1C">
        <w:trPr>
          <w:trHeight w:val="1757"/>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17DA7" w14:textId="77777777" w:rsidR="00221F1C" w:rsidRDefault="00221F1C">
            <w:pPr>
              <w:rPr>
                <w:rFonts w:ascii="Times New Roman" w:hAnsi="Times New Roman" w:cs="Times New Roman"/>
                <w:noProof/>
                <w:sz w:val="16"/>
                <w:szCs w:val="16"/>
              </w:rPr>
            </w:pPr>
            <w:r>
              <w:rPr>
                <w:rFonts w:ascii="Times New Roman" w:hAnsi="Times New Roman"/>
                <w:noProof/>
                <w:sz w:val="16"/>
              </w:rPr>
              <w:t xml:space="preserve">Indeks demokracije 2021. – Obavještajni odjel tjednika The Economist </w:t>
            </w:r>
          </w:p>
          <w:p w14:paraId="5C4E1AC0" w14:textId="77777777" w:rsidR="00221F1C" w:rsidRDefault="004C7FED">
            <w:pPr>
              <w:rPr>
                <w:rFonts w:ascii="Times New Roman" w:hAnsi="Times New Roman" w:cs="Times New Roman"/>
                <w:noProof/>
                <w:color w:val="0563C1" w:themeColor="hyperlink"/>
                <w:sz w:val="16"/>
                <w:szCs w:val="16"/>
                <w:u w:val="single"/>
              </w:rPr>
            </w:pPr>
            <w:hyperlink r:id="rId50" w:history="1">
              <w:r w:rsidR="00C96F9A">
                <w:rPr>
                  <w:rStyle w:val="Hyperlink"/>
                  <w:rFonts w:ascii="Times New Roman" w:hAnsi="Times New Roman"/>
                  <w:noProof/>
                  <w:color w:val="0563C1" w:themeColor="hyperlink"/>
                  <w:sz w:val="16"/>
                </w:rPr>
                <w:t>https://www.eiu.com/n/campaigns/democracy-index-2021/</w:t>
              </w:r>
            </w:hyperlink>
          </w:p>
          <w:p w14:paraId="3B652299" w14:textId="77777777" w:rsidR="00221F1C" w:rsidRDefault="00221F1C">
            <w:pPr>
              <w:rPr>
                <w:rFonts w:ascii="Times New Roman" w:hAnsi="Times New Roman" w:cs="Times New Roman"/>
                <w:noProof/>
                <w:sz w:val="16"/>
                <w:szCs w:val="16"/>
              </w:rPr>
            </w:pPr>
            <w:r>
              <w:rPr>
                <w:rFonts w:ascii="Times New Roman" w:hAnsi="Times New Roman"/>
                <w:noProof/>
                <w:sz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1ED222C" w14:textId="77777777" w:rsidR="00221F1C" w:rsidRPr="00E76610" w:rsidRDefault="00221F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7144BC9C"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6,11/10</w:t>
            </w:r>
          </w:p>
          <w:p w14:paraId="7504A993"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6,08/10)</w:t>
            </w:r>
          </w:p>
          <w:p w14:paraId="4EEA64D0"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68/167</w:t>
            </w:r>
          </w:p>
          <w:p w14:paraId="112A5582"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71/167)</w:t>
            </w:r>
          </w:p>
          <w:p w14:paraId="201F1CD1"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Vrsta režima: manjkava demokracija</w:t>
            </w:r>
          </w:p>
          <w:p w14:paraId="64A1476E"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manjkava demokracija)</w:t>
            </w:r>
          </w:p>
          <w:p w14:paraId="1A3E2812"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0"/>
                <w:szCs w:val="10"/>
              </w:rPr>
            </w:pPr>
          </w:p>
          <w:p w14:paraId="5D93FD99" w14:textId="77777777" w:rsidR="00221F1C" w:rsidRPr="00E76610" w:rsidRDefault="00221F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4"/>
                <w:szCs w:val="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74C63A"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5,04/10</w:t>
            </w:r>
          </w:p>
          <w:p w14:paraId="47E56B46"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4,84/10)</w:t>
            </w:r>
          </w:p>
          <w:p w14:paraId="47512BDB"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95/167</w:t>
            </w:r>
          </w:p>
          <w:p w14:paraId="100C38B8"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101/167)</w:t>
            </w:r>
          </w:p>
          <w:p w14:paraId="3FE89B3F"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Vrsta režima: hibridni režim</w:t>
            </w:r>
          </w:p>
          <w:p w14:paraId="5998A6C3"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hibridni režim)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26FBD"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1FC58AE4"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Nije primjenjivo</w:t>
            </w:r>
          </w:p>
          <w:p w14:paraId="786E0F83"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607C1"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6,03/10</w:t>
            </w:r>
          </w:p>
          <w:p w14:paraId="4C7457FF"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5,89/10)</w:t>
            </w:r>
          </w:p>
          <w:p w14:paraId="2660A628"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73/167</w:t>
            </w:r>
          </w:p>
          <w:p w14:paraId="64D3222C"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78/167)</w:t>
            </w:r>
          </w:p>
          <w:p w14:paraId="12D2E36E"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Vrsta režima: manjkava demokracija</w:t>
            </w:r>
          </w:p>
          <w:p w14:paraId="3F6BA696"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hibridni režim)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E2A81A"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6,02/10</w:t>
            </w:r>
          </w:p>
          <w:p w14:paraId="5557BE97"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5,77/10)</w:t>
            </w:r>
          </w:p>
          <w:p w14:paraId="22379C32"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74/167</w:t>
            </w:r>
          </w:p>
          <w:p w14:paraId="4A6FEEDF"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81/167)</w:t>
            </w:r>
          </w:p>
          <w:p w14:paraId="432BD081"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Vrsta režima: manjkava demokracija</w:t>
            </w:r>
          </w:p>
          <w:p w14:paraId="02EAC97F" w14:textId="77777777" w:rsidR="00221F1C" w:rsidRPr="00E76610"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hibridni režim)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0BE7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42D6BC7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6,36/10</w:t>
            </w:r>
          </w:p>
          <w:p w14:paraId="4308C94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6,22/10)</w:t>
            </w:r>
          </w:p>
          <w:p w14:paraId="431FAD1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63/167</w:t>
            </w:r>
          </w:p>
          <w:p w14:paraId="313F6F6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66/167)</w:t>
            </w:r>
          </w:p>
          <w:p w14:paraId="69A23A9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Vrsta režima: manjkava demokracija</w:t>
            </w:r>
          </w:p>
          <w:p w14:paraId="0FAE306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manjkava demokracija)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82F9A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4,35/10</w:t>
            </w:r>
          </w:p>
          <w:p w14:paraId="43B0D55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4,48/10)</w:t>
            </w:r>
          </w:p>
          <w:p w14:paraId="71F5114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103/167</w:t>
            </w:r>
          </w:p>
          <w:p w14:paraId="61A4536A"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104/167)</w:t>
            </w:r>
          </w:p>
          <w:p w14:paraId="7820F12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Vrsta režima: hibridni režim</w:t>
            </w:r>
          </w:p>
          <w:p w14:paraId="22CF873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hibridni režim)</w:t>
            </w:r>
          </w:p>
        </w:tc>
      </w:tr>
      <w:tr w:rsidR="00221F1C" w14:paraId="18EDEDCB"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99963" w14:textId="77777777" w:rsidR="00221F1C" w:rsidRDefault="00221F1C">
            <w:pPr>
              <w:rPr>
                <w:rFonts w:ascii="Times New Roman" w:hAnsi="Times New Roman" w:cs="Times New Roman"/>
                <w:noProof/>
                <w:sz w:val="16"/>
                <w:szCs w:val="16"/>
              </w:rPr>
            </w:pPr>
            <w:r>
              <w:rPr>
                <w:rFonts w:ascii="Times New Roman" w:hAnsi="Times New Roman"/>
                <w:noProof/>
                <w:sz w:val="16"/>
              </w:rPr>
              <w:t>Svjetski indeks slobode medija 2022. – Reporteri bez granica</w:t>
            </w:r>
          </w:p>
          <w:p w14:paraId="7E6E5908" w14:textId="77777777" w:rsidR="00221F1C" w:rsidRDefault="00221F1C">
            <w:pPr>
              <w:rPr>
                <w:rFonts w:ascii="Times New Roman" w:hAnsi="Times New Roman" w:cs="Times New Roman"/>
                <w:noProof/>
                <w:sz w:val="16"/>
                <w:szCs w:val="16"/>
              </w:rPr>
            </w:pPr>
            <w:r>
              <w:rPr>
                <w:rFonts w:ascii="Times New Roman" w:hAnsi="Times New Roman"/>
                <w:noProof/>
                <w:color w:val="0563C1" w:themeColor="hyperlink"/>
                <w:sz w:val="16"/>
                <w:u w:val="single"/>
              </w:rPr>
              <w:t>https://rsf.org/en/index</w:t>
            </w:r>
          </w:p>
        </w:tc>
        <w:tc>
          <w:tcPr>
            <w:tcW w:w="1701" w:type="dxa"/>
            <w:tcBorders>
              <w:top w:val="single" w:sz="4" w:space="0" w:color="auto"/>
              <w:left w:val="single" w:sz="4" w:space="0" w:color="auto"/>
              <w:bottom w:val="single" w:sz="4" w:space="0" w:color="auto"/>
              <w:right w:val="single" w:sz="4" w:space="0" w:color="auto"/>
            </w:tcBorders>
            <w:vAlign w:val="center"/>
          </w:tcPr>
          <w:p w14:paraId="6A5A819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highlight w:val="yellow"/>
              </w:rPr>
            </w:pPr>
          </w:p>
          <w:p w14:paraId="2D2A571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Globalna ocjena: 56,41/100</w:t>
            </w:r>
          </w:p>
          <w:p w14:paraId="4C5C1A5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69,41/100)</w:t>
            </w:r>
          </w:p>
          <w:p w14:paraId="046C828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103/180</w:t>
            </w:r>
          </w:p>
          <w:p w14:paraId="51D7807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83/180)</w:t>
            </w:r>
          </w:p>
          <w:p w14:paraId="5367CA1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highlight w:val="yellow"/>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BFC58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Globalna ocjena: 65,64/100</w:t>
            </w:r>
          </w:p>
          <w:p w14:paraId="0B0A376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71,66/100)</w:t>
            </w:r>
          </w:p>
          <w:p w14:paraId="21FBE5A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67/180</w:t>
            </w:r>
          </w:p>
          <w:p w14:paraId="57A4ECF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highlight w:val="yellow"/>
              </w:rPr>
            </w:pPr>
            <w:r>
              <w:rPr>
                <w:rFonts w:ascii="Times New Roman" w:hAnsi="Times New Roman"/>
                <w:noProof/>
                <w:sz w:val="16"/>
              </w:rPr>
              <w:t>(2021.: 58/180)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472C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Globalna ocjena: 67,00/100</w:t>
            </w:r>
          </w:p>
          <w:p w14:paraId="2A5470C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69,68/100)</w:t>
            </w:r>
          </w:p>
          <w:p w14:paraId="04780B9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61/180</w:t>
            </w:r>
          </w:p>
          <w:p w14:paraId="0C62672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highlight w:val="yellow"/>
              </w:rPr>
            </w:pPr>
            <w:r>
              <w:rPr>
                <w:rFonts w:ascii="Times New Roman" w:hAnsi="Times New Roman"/>
                <w:noProof/>
                <w:sz w:val="16"/>
              </w:rPr>
              <w:t>(2021.: 78/180)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1BB98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Globalna ocjena: 68,44/100</w:t>
            </w:r>
          </w:p>
          <w:p w14:paraId="60A8532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68,33/100)</w:t>
            </w:r>
          </w:p>
          <w:p w14:paraId="348A7EA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57/180</w:t>
            </w:r>
          </w:p>
          <w:p w14:paraId="40294F5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highlight w:val="yellow"/>
              </w:rPr>
            </w:pPr>
            <w:r>
              <w:rPr>
                <w:rFonts w:ascii="Times New Roman" w:hAnsi="Times New Roman"/>
                <w:noProof/>
                <w:sz w:val="16"/>
              </w:rPr>
              <w:t>(2021.: 90/180)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D6914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Globalna ocjena: 66,54/100</w:t>
            </w:r>
          </w:p>
          <w:p w14:paraId="4191341A"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65,67/100)</w:t>
            </w:r>
          </w:p>
          <w:p w14:paraId="7A88B05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63/180</w:t>
            </w:r>
          </w:p>
          <w:p w14:paraId="68E122B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highlight w:val="yellow"/>
              </w:rPr>
            </w:pPr>
            <w:r>
              <w:rPr>
                <w:rFonts w:ascii="Times New Roman" w:hAnsi="Times New Roman"/>
                <w:noProof/>
                <w:sz w:val="16"/>
              </w:rPr>
              <w:t>(2021.: 104/180)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C9F2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Globalna ocjena: 61,51/100</w:t>
            </w:r>
          </w:p>
          <w:p w14:paraId="3972F74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67,97/100)</w:t>
            </w:r>
          </w:p>
          <w:p w14:paraId="0A865E8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79/180</w:t>
            </w:r>
          </w:p>
          <w:p w14:paraId="5FE4354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highlight w:val="yellow"/>
              </w:rPr>
            </w:pPr>
            <w:r>
              <w:rPr>
                <w:rFonts w:ascii="Times New Roman" w:hAnsi="Times New Roman"/>
                <w:noProof/>
                <w:sz w:val="16"/>
              </w:rPr>
              <w:t>(2021.: 93/180)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DDE54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Globalna ocjena: 41,25/100</w:t>
            </w:r>
          </w:p>
          <w:p w14:paraId="6BB0A20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(2021.: 50,21/100)</w:t>
            </w:r>
          </w:p>
          <w:p w14:paraId="72443E2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149/180</w:t>
            </w:r>
          </w:p>
          <w:p w14:paraId="3F11621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highlight w:val="yellow"/>
              </w:rPr>
            </w:pPr>
            <w:r>
              <w:rPr>
                <w:rFonts w:ascii="Times New Roman" w:hAnsi="Times New Roman"/>
                <w:noProof/>
                <w:sz w:val="16"/>
              </w:rPr>
              <w:t>(2021.: 153/180)</w:t>
            </w:r>
          </w:p>
        </w:tc>
      </w:tr>
      <w:tr w:rsidR="00221F1C" w14:paraId="634EA56F"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856DD" w14:textId="77777777" w:rsidR="00221F1C" w:rsidRDefault="00221F1C">
            <w:pPr>
              <w:rPr>
                <w:rFonts w:ascii="Times New Roman" w:hAnsi="Times New Roman" w:cs="Times New Roman"/>
                <w:noProof/>
                <w:sz w:val="16"/>
                <w:szCs w:val="16"/>
              </w:rPr>
            </w:pPr>
            <w:r>
              <w:rPr>
                <w:rFonts w:ascii="Times New Roman" w:hAnsi="Times New Roman"/>
                <w:noProof/>
                <w:sz w:val="16"/>
              </w:rPr>
              <w:t>Indeks vladavine prava 2021. – World Justice Project</w:t>
            </w:r>
          </w:p>
          <w:p w14:paraId="72B95F7B" w14:textId="77777777" w:rsidR="00221F1C" w:rsidRDefault="004C7FED">
            <w:pPr>
              <w:rPr>
                <w:rFonts w:ascii="Times New Roman" w:hAnsi="Times New Roman" w:cs="Times New Roman"/>
                <w:noProof/>
                <w:sz w:val="16"/>
                <w:szCs w:val="16"/>
              </w:rPr>
            </w:pPr>
            <w:hyperlink r:id="rId51" w:history="1">
              <w:r w:rsidR="00C96F9A">
                <w:rPr>
                  <w:rStyle w:val="Hyperlink"/>
                  <w:rFonts w:ascii="Times New Roman" w:hAnsi="Times New Roman"/>
                  <w:noProof/>
                  <w:color w:val="0563C1" w:themeColor="hyperlink"/>
                  <w:sz w:val="16"/>
                </w:rPr>
                <w:t>https://worldjusticeproject.org/rule-of-law-index/global/2021</w:t>
              </w:r>
            </w:hyperlink>
            <w:r w:rsidR="00C96F9A">
              <w:rPr>
                <w:rFonts w:ascii="Times New Roman" w:hAnsi="Times New Roman"/>
                <w:noProof/>
                <w:sz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90F3F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0,49/1</w:t>
            </w:r>
          </w:p>
          <w:p w14:paraId="6FECDF9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0,50/1)</w:t>
            </w:r>
          </w:p>
          <w:p w14:paraId="6D4A83E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Globalni poredak: 83/139</w:t>
            </w:r>
          </w:p>
          <w:p w14:paraId="5EB37CC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78/128)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C5BC6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0,52/1</w:t>
            </w:r>
          </w:p>
          <w:p w14:paraId="0AD8749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0,52/1)</w:t>
            </w:r>
          </w:p>
          <w:p w14:paraId="2CFC68F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Globalni poredak: 72/139</w:t>
            </w:r>
          </w:p>
          <w:p w14:paraId="6A52BAF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64/128)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B98A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3D7B3ED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0,55/1</w:t>
            </w:r>
          </w:p>
          <w:p w14:paraId="3C269C9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0,54/1)</w:t>
            </w:r>
          </w:p>
          <w:p w14:paraId="30523F9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Globalni poredak: 60/139</w:t>
            </w:r>
          </w:p>
          <w:p w14:paraId="5E5DA16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54/128)</w:t>
            </w:r>
          </w:p>
          <w:p w14:paraId="4905AC5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B1106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0,53/1</w:t>
            </w:r>
          </w:p>
          <w:p w14:paraId="18CED28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0,53/1)</w:t>
            </w:r>
          </w:p>
          <w:p w14:paraId="516F44C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Globalni poredak: 64/139</w:t>
            </w:r>
          </w:p>
          <w:p w14:paraId="34AF82C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58/128)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38F45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Nije primjenjivo</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039F7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0,49/1</w:t>
            </w:r>
          </w:p>
          <w:p w14:paraId="6608EEC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0,50/1)</w:t>
            </w:r>
          </w:p>
          <w:p w14:paraId="7FBDD0C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Globalni poredak: 81/139</w:t>
            </w:r>
          </w:p>
          <w:p w14:paraId="2FFFB69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75/128)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0BA2C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Ukupna ocjena: 0,42/1</w:t>
            </w:r>
          </w:p>
          <w:p w14:paraId="59709EC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0,43/1)</w:t>
            </w:r>
          </w:p>
          <w:p w14:paraId="50884D7A"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Globalni poredak: 117/139</w:t>
            </w:r>
          </w:p>
          <w:p w14:paraId="18111B3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107/128)</w:t>
            </w:r>
          </w:p>
        </w:tc>
      </w:tr>
      <w:tr w:rsidR="00221F1C" w14:paraId="62857E61"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D8EF4" w14:textId="77777777" w:rsidR="00221F1C" w:rsidRDefault="00221F1C">
            <w:pPr>
              <w:rPr>
                <w:rFonts w:ascii="Times New Roman" w:hAnsi="Times New Roman" w:cs="Times New Roman"/>
                <w:noProof/>
                <w:sz w:val="16"/>
                <w:szCs w:val="16"/>
              </w:rPr>
            </w:pPr>
          </w:p>
          <w:p w14:paraId="7DD21B9A" w14:textId="77777777" w:rsidR="00221F1C" w:rsidRDefault="00221F1C">
            <w:pPr>
              <w:rPr>
                <w:rFonts w:ascii="Times New Roman" w:hAnsi="Times New Roman" w:cs="Times New Roman"/>
                <w:noProof/>
                <w:sz w:val="16"/>
                <w:szCs w:val="16"/>
              </w:rPr>
            </w:pPr>
            <w:r>
              <w:rPr>
                <w:rFonts w:ascii="Times New Roman" w:hAnsi="Times New Roman"/>
                <w:noProof/>
                <w:sz w:val="16"/>
              </w:rPr>
              <w:t>Svjetski pokazatelji upravljanja 2021. – vladavina prava, grupa Svjetske banke</w:t>
            </w:r>
          </w:p>
          <w:p w14:paraId="0079D18B" w14:textId="77777777" w:rsidR="00221F1C" w:rsidRDefault="004C7FED">
            <w:pPr>
              <w:rPr>
                <w:rFonts w:ascii="Times New Roman" w:hAnsi="Times New Roman" w:cs="Times New Roman"/>
                <w:noProof/>
                <w:sz w:val="16"/>
                <w:szCs w:val="16"/>
              </w:rPr>
            </w:pPr>
            <w:hyperlink r:id="rId52" w:history="1">
              <w:r w:rsidR="00C96F9A">
                <w:rPr>
                  <w:rStyle w:val="Hyperlink"/>
                  <w:rFonts w:ascii="Times New Roman" w:hAnsi="Times New Roman"/>
                  <w:noProof/>
                  <w:color w:val="0563C1" w:themeColor="hyperlink"/>
                  <w:sz w:val="16"/>
                </w:rPr>
                <w:t>http://info.worldbank.org/governance/wgi/</w:t>
              </w:r>
            </w:hyperlink>
            <w:r w:rsidR="00C96F9A">
              <w:rPr>
                <w:rFonts w:ascii="Times New Roman" w:hAnsi="Times New Roman"/>
                <w:noProof/>
                <w:sz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6878D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43,75/100</w:t>
            </w:r>
          </w:p>
          <w:p w14:paraId="2EF1BF6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40,87/100)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48C72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42,79/100</w:t>
            </w:r>
          </w:p>
          <w:p w14:paraId="020D233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42,79/100)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0D057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43,27/100</w:t>
            </w:r>
          </w:p>
          <w:p w14:paraId="0796A1B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39,42/100)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59B0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52,40/100</w:t>
            </w:r>
          </w:p>
          <w:p w14:paraId="0FDA31D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51,92/100)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B5EE9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52,88/100</w:t>
            </w:r>
          </w:p>
          <w:p w14:paraId="1E8E5A7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54,33/100)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3151A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50,96/100</w:t>
            </w:r>
          </w:p>
          <w:p w14:paraId="3D159BDA"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51,44/100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08D88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36,54/100</w:t>
            </w:r>
          </w:p>
          <w:p w14:paraId="4B67A72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38,46/100)</w:t>
            </w:r>
          </w:p>
        </w:tc>
      </w:tr>
      <w:tr w:rsidR="00221F1C" w14:paraId="6FE0B22F"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E3F68" w14:textId="77777777" w:rsidR="00221F1C" w:rsidRDefault="00221F1C">
            <w:pPr>
              <w:rPr>
                <w:rFonts w:ascii="Times New Roman" w:hAnsi="Times New Roman" w:cs="Times New Roman"/>
                <w:noProof/>
                <w:sz w:val="16"/>
                <w:szCs w:val="16"/>
              </w:rPr>
            </w:pPr>
          </w:p>
          <w:p w14:paraId="72E34F65" w14:textId="77777777" w:rsidR="00221F1C" w:rsidRDefault="00221F1C">
            <w:pPr>
              <w:rPr>
                <w:rFonts w:ascii="Times New Roman" w:hAnsi="Times New Roman" w:cs="Times New Roman"/>
                <w:noProof/>
                <w:sz w:val="16"/>
                <w:szCs w:val="16"/>
              </w:rPr>
            </w:pPr>
            <w:r>
              <w:rPr>
                <w:rFonts w:ascii="Times New Roman" w:hAnsi="Times New Roman"/>
                <w:noProof/>
                <w:sz w:val="16"/>
              </w:rPr>
              <w:t>Svjetski pokazatelji upravljanja 2021. – učinkovitost vlade, grupa Svjetske banke</w:t>
            </w:r>
          </w:p>
          <w:p w14:paraId="1569D4FF" w14:textId="77777777" w:rsidR="00221F1C" w:rsidRDefault="004C7FED">
            <w:pPr>
              <w:rPr>
                <w:rFonts w:ascii="Times New Roman" w:hAnsi="Times New Roman" w:cs="Times New Roman"/>
                <w:noProof/>
                <w:sz w:val="16"/>
                <w:szCs w:val="16"/>
              </w:rPr>
            </w:pPr>
            <w:hyperlink r:id="rId53" w:history="1">
              <w:r w:rsidR="00C96F9A">
                <w:rPr>
                  <w:rStyle w:val="Hyperlink"/>
                  <w:rFonts w:ascii="Times New Roman" w:hAnsi="Times New Roman"/>
                  <w:noProof/>
                  <w:color w:val="0563C1" w:themeColor="hyperlink"/>
                  <w:sz w:val="16"/>
                </w:rPr>
                <w:t>http://info.worldbank.org/governance/wgi/</w:t>
              </w:r>
            </w:hyperlink>
            <w:r w:rsidR="00C96F9A">
              <w:rPr>
                <w:rFonts w:ascii="Times New Roman" w:hAnsi="Times New Roman"/>
                <w:noProof/>
                <w:sz w:val="16"/>
              </w:rPr>
              <w:t xml:space="preserve"> </w:t>
            </w:r>
          </w:p>
          <w:p w14:paraId="181D057E" w14:textId="77777777" w:rsidR="00221F1C" w:rsidRDefault="00221F1C">
            <w:pPr>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2C6877D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3ECAF88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53,37/100</w:t>
            </w:r>
          </w:p>
          <w:p w14:paraId="0BAD496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48,08/100</w:t>
            </w:r>
          </w:p>
          <w:p w14:paraId="11E6DA8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0593CA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13,46/100</w:t>
            </w:r>
          </w:p>
          <w:p w14:paraId="5A79094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12,98/100)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568CA"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42,79/100</w:t>
            </w:r>
          </w:p>
          <w:p w14:paraId="7D720D9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39,90/100)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0053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1955D59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50,00/100</w:t>
            </w:r>
          </w:p>
          <w:p w14:paraId="0CEFF94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55,29/100)</w:t>
            </w:r>
          </w:p>
          <w:p w14:paraId="6D3B7A4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DCDD87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7CF5562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53,85/100</w:t>
            </w:r>
          </w:p>
          <w:p w14:paraId="6AF797C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50,96/100)</w:t>
            </w:r>
          </w:p>
          <w:p w14:paraId="37864CF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44597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55,77/100</w:t>
            </w:r>
          </w:p>
          <w:p w14:paraId="7728A54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52,88/100)</w:t>
            </w:r>
          </w:p>
        </w:tc>
        <w:tc>
          <w:tcPr>
            <w:tcW w:w="1701" w:type="dxa"/>
            <w:tcBorders>
              <w:top w:val="single" w:sz="4" w:space="0" w:color="auto"/>
              <w:left w:val="single" w:sz="4" w:space="0" w:color="auto"/>
              <w:bottom w:val="single" w:sz="4" w:space="0" w:color="auto"/>
              <w:right w:val="single" w:sz="4" w:space="0" w:color="auto"/>
            </w:tcBorders>
            <w:vAlign w:val="center"/>
          </w:tcPr>
          <w:p w14:paraId="6D59BBC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2686C96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w:t>
            </w:r>
          </w:p>
          <w:p w14:paraId="1BE8EF6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49,52/100</w:t>
            </w:r>
          </w:p>
          <w:p w14:paraId="5234EF6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47,60/100)</w:t>
            </w:r>
          </w:p>
          <w:p w14:paraId="53D00F1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r>
      <w:tr w:rsidR="00221F1C" w14:paraId="5640C76A"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0AF6F" w14:textId="77777777" w:rsidR="00221F1C" w:rsidRDefault="00221F1C">
            <w:pPr>
              <w:rPr>
                <w:rFonts w:ascii="Times New Roman" w:hAnsi="Times New Roman" w:cs="Times New Roman"/>
                <w:noProof/>
                <w:sz w:val="16"/>
                <w:szCs w:val="16"/>
              </w:rPr>
            </w:pPr>
          </w:p>
          <w:p w14:paraId="72F700A0" w14:textId="77777777" w:rsidR="00221F1C" w:rsidRDefault="00221F1C">
            <w:pPr>
              <w:rPr>
                <w:rFonts w:ascii="Times New Roman" w:hAnsi="Times New Roman" w:cs="Times New Roman"/>
                <w:noProof/>
                <w:sz w:val="16"/>
                <w:szCs w:val="16"/>
              </w:rPr>
            </w:pPr>
            <w:r>
              <w:rPr>
                <w:rFonts w:ascii="Times New Roman" w:hAnsi="Times New Roman"/>
                <w:noProof/>
                <w:sz w:val="16"/>
              </w:rPr>
              <w:t>Svjetski pokazatelji upravljanja 2021. – kontrola korupcije, grupa Svjetske banke</w:t>
            </w:r>
          </w:p>
          <w:p w14:paraId="08DFE906" w14:textId="77777777" w:rsidR="00221F1C" w:rsidRDefault="004C7FED">
            <w:pPr>
              <w:rPr>
                <w:rFonts w:ascii="Times New Roman" w:hAnsi="Times New Roman" w:cs="Times New Roman"/>
                <w:noProof/>
                <w:color w:val="0563C1" w:themeColor="hyperlink"/>
                <w:sz w:val="16"/>
                <w:szCs w:val="16"/>
                <w:u w:val="single"/>
              </w:rPr>
            </w:pPr>
            <w:hyperlink r:id="rId54" w:history="1">
              <w:r w:rsidR="00C96F9A">
                <w:rPr>
                  <w:rStyle w:val="Hyperlink"/>
                  <w:rFonts w:ascii="Times New Roman" w:hAnsi="Times New Roman"/>
                  <w:noProof/>
                  <w:color w:val="0563C1" w:themeColor="hyperlink"/>
                  <w:sz w:val="16"/>
                </w:rPr>
                <w:t>http://info.worldbank.org/governance/wgi/</w:t>
              </w:r>
            </w:hyperlink>
          </w:p>
          <w:p w14:paraId="10FB3811" w14:textId="77777777" w:rsidR="00221F1C" w:rsidRDefault="00221F1C">
            <w:pPr>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A2901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31,73/100</w:t>
            </w:r>
          </w:p>
          <w:p w14:paraId="477E606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31,73/100)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45230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 xml:space="preserve">Percentilni poredak: 28,85/100 </w:t>
            </w:r>
          </w:p>
          <w:p w14:paraId="355E056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28,37/100)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156C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156A991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44,71/100</w:t>
            </w:r>
          </w:p>
          <w:p w14:paraId="357EB80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37,02/100)</w:t>
            </w:r>
          </w:p>
          <w:p w14:paraId="5966CDB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FCCC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43,27/100</w:t>
            </w:r>
          </w:p>
          <w:p w14:paraId="258F2D6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34,62/100)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CDBD1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54,33/100</w:t>
            </w:r>
          </w:p>
          <w:p w14:paraId="6FDBA15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55,77/100)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9C18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36,06/100</w:t>
            </w:r>
          </w:p>
          <w:p w14:paraId="72132B1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38,46/100)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690EA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Percentilni poredak: 40,38/100</w:t>
            </w:r>
          </w:p>
          <w:p w14:paraId="2D6351AB"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43,27/100)</w:t>
            </w:r>
          </w:p>
        </w:tc>
      </w:tr>
      <w:tr w:rsidR="00221F1C" w14:paraId="1CF5C652" w14:textId="77777777" w:rsidTr="00221F1C">
        <w:trPr>
          <w:trHeight w:val="20"/>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F137D" w14:textId="77777777" w:rsidR="00221F1C" w:rsidRDefault="00221F1C">
            <w:pPr>
              <w:rPr>
                <w:rFonts w:ascii="Times New Roman" w:hAnsi="Times New Roman" w:cs="Times New Roman"/>
                <w:noProof/>
                <w:sz w:val="16"/>
                <w:szCs w:val="16"/>
              </w:rPr>
            </w:pPr>
            <w:r>
              <w:rPr>
                <w:rFonts w:ascii="Times New Roman" w:hAnsi="Times New Roman"/>
                <w:noProof/>
                <w:sz w:val="16"/>
              </w:rPr>
              <w:t xml:space="preserve">Indeks percepcije korupcije 2021. – Transparency International </w:t>
            </w:r>
          </w:p>
          <w:p w14:paraId="3F0B5E0E" w14:textId="77777777" w:rsidR="00221F1C" w:rsidRDefault="004C7FED">
            <w:pPr>
              <w:rPr>
                <w:rFonts w:ascii="Times New Roman" w:hAnsi="Times New Roman" w:cs="Times New Roman"/>
                <w:noProof/>
                <w:color w:val="0563C1" w:themeColor="hyperlink"/>
                <w:sz w:val="16"/>
                <w:szCs w:val="16"/>
                <w:u w:val="single"/>
              </w:rPr>
            </w:pPr>
            <w:hyperlink r:id="rId55" w:history="1">
              <w:r w:rsidR="00C96F9A">
                <w:rPr>
                  <w:rStyle w:val="Hyperlink"/>
                  <w:rFonts w:ascii="Times New Roman" w:hAnsi="Times New Roman"/>
                  <w:noProof/>
                  <w:color w:val="0563C1" w:themeColor="hyperlink"/>
                  <w:sz w:val="16"/>
                </w:rPr>
                <w:t>https://www.transparency.org/en/cpi/2021</w:t>
              </w:r>
            </w:hyperlink>
          </w:p>
          <w:p w14:paraId="3224090B" w14:textId="77777777" w:rsidR="00221F1C" w:rsidRDefault="00221F1C">
            <w:pPr>
              <w:rPr>
                <w:rFonts w:ascii="Times New Roman" w:hAnsi="Times New Roman" w:cs="Times New Roman"/>
                <w:noProof/>
                <w:sz w:val="16"/>
                <w:szCs w:val="16"/>
              </w:rPr>
            </w:pPr>
            <w:r>
              <w:rPr>
                <w:rFonts w:ascii="Times New Roman" w:hAnsi="Times New Roman"/>
                <w:noProof/>
                <w:sz w:val="16"/>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7BA93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Ocjena: 35/100</w:t>
            </w:r>
          </w:p>
          <w:p w14:paraId="4216672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36/100)</w:t>
            </w:r>
          </w:p>
          <w:p w14:paraId="707F753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110/180</w:t>
            </w:r>
          </w:p>
          <w:p w14:paraId="64C1A8F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104/180)</w:t>
            </w:r>
          </w:p>
        </w:tc>
        <w:tc>
          <w:tcPr>
            <w:tcW w:w="1701" w:type="dxa"/>
            <w:tcBorders>
              <w:top w:val="single" w:sz="4" w:space="0" w:color="auto"/>
              <w:left w:val="single" w:sz="4" w:space="0" w:color="auto"/>
              <w:bottom w:val="single" w:sz="4" w:space="0" w:color="auto"/>
              <w:right w:val="single" w:sz="4" w:space="0" w:color="auto"/>
            </w:tcBorders>
            <w:vAlign w:val="center"/>
          </w:tcPr>
          <w:p w14:paraId="747BAC5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478EC68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Ocjena: 35/100</w:t>
            </w:r>
          </w:p>
          <w:p w14:paraId="4B62923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35/100)</w:t>
            </w:r>
          </w:p>
          <w:p w14:paraId="1F8F2C4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110/180</w:t>
            </w:r>
          </w:p>
          <w:p w14:paraId="52A28EC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111/180)</w:t>
            </w:r>
          </w:p>
          <w:p w14:paraId="414BA90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14C3D"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5CF684F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Ocjena: 39/100</w:t>
            </w:r>
          </w:p>
          <w:p w14:paraId="7857080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36/100)</w:t>
            </w:r>
          </w:p>
          <w:p w14:paraId="3DDB3B9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87/180</w:t>
            </w:r>
          </w:p>
          <w:p w14:paraId="1E8A34A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104/180)</w:t>
            </w:r>
          </w:p>
          <w:p w14:paraId="3711A203"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1164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054126D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Ocjena: 39/100</w:t>
            </w:r>
          </w:p>
          <w:p w14:paraId="2F7C0004"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35/100)</w:t>
            </w:r>
          </w:p>
          <w:p w14:paraId="4319613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87/180</w:t>
            </w:r>
          </w:p>
          <w:p w14:paraId="3FB4151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111/180)</w:t>
            </w:r>
          </w:p>
          <w:p w14:paraId="7A99C21C"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7B8933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7EF3DC1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Ocjena: 46/100</w:t>
            </w:r>
          </w:p>
          <w:p w14:paraId="6C4EA8EE"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45/100)</w:t>
            </w:r>
          </w:p>
          <w:p w14:paraId="20B39F2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64/180</w:t>
            </w:r>
          </w:p>
          <w:p w14:paraId="25EE9722"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67/180)</w:t>
            </w:r>
          </w:p>
          <w:p w14:paraId="4D28AAA6"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77E1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021D25C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Ocjena: 38/100</w:t>
            </w:r>
          </w:p>
          <w:p w14:paraId="333E1815"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38/100)</w:t>
            </w:r>
          </w:p>
          <w:p w14:paraId="702EB598"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96/180</w:t>
            </w:r>
          </w:p>
          <w:p w14:paraId="4AF98280"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94/180)</w:t>
            </w:r>
          </w:p>
          <w:p w14:paraId="6110531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A51B84F"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p w14:paraId="3C1885B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Ocjena: 38/100</w:t>
            </w:r>
          </w:p>
          <w:p w14:paraId="13CDACB9"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40/100)</w:t>
            </w:r>
          </w:p>
          <w:p w14:paraId="5467EB61"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Poredak: 96/180</w:t>
            </w:r>
          </w:p>
          <w:p w14:paraId="31BDCE9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r>
              <w:rPr>
                <w:rFonts w:ascii="Times New Roman" w:hAnsi="Times New Roman"/>
                <w:noProof/>
                <w:sz w:val="16"/>
              </w:rPr>
              <w:t>(2020.: 86/180)</w:t>
            </w:r>
          </w:p>
          <w:p w14:paraId="59AB5557" w14:textId="77777777" w:rsidR="00221F1C" w:rsidRDefault="00221F1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6"/>
                <w:szCs w:val="16"/>
              </w:rPr>
            </w:pPr>
          </w:p>
        </w:tc>
      </w:tr>
    </w:tbl>
    <w:p w14:paraId="1BC5F7DB" w14:textId="77777777" w:rsidR="00221F1C" w:rsidRDefault="00221F1C" w:rsidP="00221F1C">
      <w:pPr>
        <w:spacing w:after="120" w:line="240" w:lineRule="auto"/>
        <w:jc w:val="both"/>
        <w:rPr>
          <w:noProof/>
        </w:rPr>
        <w:sectPr w:rsidR="00221F1C" w:rsidSect="00221F1C">
          <w:headerReference w:type="even" r:id="rId56"/>
          <w:headerReference w:type="default" r:id="rId57"/>
          <w:footerReference w:type="even" r:id="rId58"/>
          <w:footerReference w:type="default" r:id="rId59"/>
          <w:headerReference w:type="first" r:id="rId60"/>
          <w:footerReference w:type="first" r:id="rId61"/>
          <w:pgSz w:w="15840" w:h="12240" w:orient="landscape"/>
          <w:pgMar w:top="1440" w:right="1440" w:bottom="1440" w:left="1440" w:header="709" w:footer="709" w:gutter="0"/>
          <w:cols w:space="720"/>
          <w:docGrid w:linePitch="360"/>
        </w:sectPr>
      </w:pPr>
    </w:p>
    <w:p w14:paraId="14C24BA7" w14:textId="77777777" w:rsidR="00CD2279" w:rsidRDefault="00CD2279" w:rsidP="00221F1C">
      <w:pPr>
        <w:spacing w:after="120" w:line="240" w:lineRule="auto"/>
        <w:jc w:val="both"/>
        <w:rPr>
          <w:noProof/>
        </w:rPr>
      </w:pPr>
    </w:p>
    <w:sectPr w:rsidR="00CD2279" w:rsidSect="00793448">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85D07" w14:textId="77777777" w:rsidR="00162613" w:rsidRDefault="00162613" w:rsidP="00793448">
      <w:pPr>
        <w:spacing w:after="0" w:line="240" w:lineRule="auto"/>
      </w:pPr>
      <w:r>
        <w:separator/>
      </w:r>
    </w:p>
  </w:endnote>
  <w:endnote w:type="continuationSeparator" w:id="0">
    <w:p w14:paraId="10C97B01" w14:textId="77777777" w:rsidR="00162613" w:rsidRDefault="00162613" w:rsidP="0079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DB5B6" w14:textId="77777777" w:rsidR="004C7FED" w:rsidRPr="004C7FED" w:rsidRDefault="004C7FED" w:rsidP="004C7F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53B1" w14:textId="77777777" w:rsidR="009549F1" w:rsidRDefault="009549F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029002"/>
      <w:docPartObj>
        <w:docPartGallery w:val="Page Numbers (Bottom of Page)"/>
        <w:docPartUnique/>
      </w:docPartObj>
    </w:sdtPr>
    <w:sdtEndPr>
      <w:rPr>
        <w:noProof/>
      </w:rPr>
    </w:sdtEndPr>
    <w:sdtContent>
      <w:p w14:paraId="18BEDF3D" w14:textId="41F7865D" w:rsidR="009549F1" w:rsidRDefault="009549F1">
        <w:pPr>
          <w:pStyle w:val="Footer"/>
          <w:jc w:val="center"/>
        </w:pPr>
        <w:r>
          <w:fldChar w:fldCharType="begin"/>
        </w:r>
        <w:r>
          <w:instrText xml:space="preserve"> PAGE   \* MERGEFORMAT </w:instrText>
        </w:r>
        <w:r>
          <w:fldChar w:fldCharType="separate"/>
        </w:r>
        <w:r w:rsidR="00B251C6">
          <w:rPr>
            <w:noProof/>
          </w:rPr>
          <w:t>47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CEABD" w14:textId="77777777" w:rsidR="009549F1" w:rsidRDefault="009549F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1B5F" w14:textId="77777777" w:rsidR="009549F1" w:rsidRDefault="009549F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313827"/>
      <w:docPartObj>
        <w:docPartGallery w:val="Page Numbers (Bottom of Page)"/>
        <w:docPartUnique/>
      </w:docPartObj>
    </w:sdtPr>
    <w:sdtEndPr>
      <w:rPr>
        <w:noProof/>
      </w:rPr>
    </w:sdtEndPr>
    <w:sdtContent>
      <w:p w14:paraId="3524DFC2" w14:textId="6FDD26C3" w:rsidR="009549F1" w:rsidRDefault="009549F1">
        <w:pPr>
          <w:pStyle w:val="Footer"/>
          <w:jc w:val="center"/>
        </w:pPr>
        <w:r>
          <w:fldChar w:fldCharType="begin"/>
        </w:r>
        <w:r>
          <w:instrText xml:space="preserve"> PAGE   \* MERGEFORMAT </w:instrText>
        </w:r>
        <w:r>
          <w:fldChar w:fldCharType="separate"/>
        </w:r>
        <w:r w:rsidR="00B251C6">
          <w:rPr>
            <w:noProof/>
          </w:rPr>
          <w:t>49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989C" w14:textId="77777777" w:rsidR="009549F1" w:rsidRDefault="009549F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4F6D" w14:textId="77777777" w:rsidR="009549F1" w:rsidRDefault="009549F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443988"/>
      <w:docPartObj>
        <w:docPartGallery w:val="Page Numbers (Bottom of Page)"/>
        <w:docPartUnique/>
      </w:docPartObj>
    </w:sdtPr>
    <w:sdtEndPr>
      <w:rPr>
        <w:noProof/>
      </w:rPr>
    </w:sdtEndPr>
    <w:sdtContent>
      <w:p w14:paraId="65E4FBDC" w14:textId="308C2E54" w:rsidR="009549F1" w:rsidRDefault="009549F1">
        <w:pPr>
          <w:pStyle w:val="Footer"/>
          <w:jc w:val="center"/>
        </w:pPr>
        <w:r>
          <w:fldChar w:fldCharType="begin"/>
        </w:r>
        <w:r>
          <w:instrText xml:space="preserve"> PAGE   \* MERGEFORMAT </w:instrText>
        </w:r>
        <w:r>
          <w:fldChar w:fldCharType="separate"/>
        </w:r>
        <w:r w:rsidR="00B251C6">
          <w:rPr>
            <w:noProof/>
          </w:rPr>
          <w:t>50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CAE1E" w14:textId="77777777" w:rsidR="009549F1" w:rsidRDefault="009549F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F123" w14:textId="77777777" w:rsidR="009549F1" w:rsidRDefault="00954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416" w14:textId="76E167F8" w:rsidR="00B251C6" w:rsidRPr="004C7FED" w:rsidRDefault="004C7FED" w:rsidP="004C7FED">
    <w:pPr>
      <w:pStyle w:val="FooterCoverPage"/>
      <w:rPr>
        <w:rFonts w:ascii="Arial" w:hAnsi="Arial" w:cs="Arial"/>
        <w:b/>
        <w:sz w:val="48"/>
      </w:rPr>
    </w:pPr>
    <w:r w:rsidRPr="004C7FED">
      <w:rPr>
        <w:rFonts w:ascii="Arial" w:hAnsi="Arial" w:cs="Arial"/>
        <w:b/>
        <w:sz w:val="48"/>
      </w:rPr>
      <w:t>HR</w:t>
    </w:r>
    <w:r w:rsidRPr="004C7FED">
      <w:rPr>
        <w:rFonts w:ascii="Arial" w:hAnsi="Arial" w:cs="Arial"/>
        <w:b/>
        <w:sz w:val="48"/>
      </w:rPr>
      <w:tab/>
    </w:r>
    <w:r w:rsidRPr="004C7FED">
      <w:rPr>
        <w:rFonts w:ascii="Arial" w:hAnsi="Arial" w:cs="Arial"/>
        <w:b/>
        <w:sz w:val="48"/>
      </w:rPr>
      <w:tab/>
    </w:r>
    <w:r w:rsidRPr="004C7FED">
      <w:tab/>
    </w:r>
    <w:r w:rsidRPr="004C7FED">
      <w:rPr>
        <w:rFonts w:ascii="Arial" w:hAnsi="Arial" w:cs="Arial"/>
        <w:b/>
        <w:sz w:val="48"/>
      </w:rPr>
      <w:t>HR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456040"/>
      <w:docPartObj>
        <w:docPartGallery w:val="Page Numbers (Bottom of Page)"/>
        <w:docPartUnique/>
      </w:docPartObj>
    </w:sdtPr>
    <w:sdtEndPr>
      <w:rPr>
        <w:noProof/>
      </w:rPr>
    </w:sdtEndPr>
    <w:sdtContent>
      <w:p w14:paraId="59FDCC11" w14:textId="50FDFA41" w:rsidR="009549F1" w:rsidRDefault="009549F1">
        <w:pPr>
          <w:pStyle w:val="Footer"/>
          <w:jc w:val="center"/>
        </w:pPr>
        <w:r>
          <w:fldChar w:fldCharType="begin"/>
        </w:r>
        <w:r>
          <w:instrText xml:space="preserve"> PAGE   \* MERGEFORMAT </w:instrText>
        </w:r>
        <w:r>
          <w:fldChar w:fldCharType="separate"/>
        </w:r>
        <w:r w:rsidR="00B251C6">
          <w:rPr>
            <w:noProof/>
          </w:rPr>
          <w:t>52</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9897" w14:textId="77777777" w:rsidR="009549F1" w:rsidRDefault="009549F1">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211E" w14:textId="77777777" w:rsidR="009549F1" w:rsidRDefault="009549F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001916"/>
      <w:docPartObj>
        <w:docPartGallery w:val="Page Numbers (Bottom of Page)"/>
        <w:docPartUnique/>
      </w:docPartObj>
    </w:sdtPr>
    <w:sdtEndPr>
      <w:rPr>
        <w:noProof/>
      </w:rPr>
    </w:sdtEndPr>
    <w:sdtContent>
      <w:p w14:paraId="3BB96F08" w14:textId="6A5F6854" w:rsidR="009549F1" w:rsidRDefault="009549F1">
        <w:pPr>
          <w:pStyle w:val="Footer"/>
          <w:jc w:val="center"/>
        </w:pPr>
        <w:r>
          <w:fldChar w:fldCharType="begin"/>
        </w:r>
        <w:r>
          <w:instrText xml:space="preserve"> PAGE   \* MERGEFORMAT </w:instrText>
        </w:r>
        <w:r>
          <w:fldChar w:fldCharType="separate"/>
        </w:r>
        <w:r w:rsidR="00B251C6">
          <w:rPr>
            <w:noProof/>
          </w:rPr>
          <w:t>53</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86FE" w14:textId="77777777" w:rsidR="009549F1" w:rsidRDefault="00954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49F4" w14:textId="77777777" w:rsidR="004C7FED" w:rsidRPr="004C7FED" w:rsidRDefault="004C7FED" w:rsidP="004C7FE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040E" w14:textId="77777777" w:rsidR="009549F1" w:rsidRDefault="009549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E238" w14:textId="77777777" w:rsidR="009549F1" w:rsidRDefault="009549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076941"/>
      <w:docPartObj>
        <w:docPartGallery w:val="Page Numbers (Bottom of Page)"/>
        <w:docPartUnique/>
      </w:docPartObj>
    </w:sdtPr>
    <w:sdtEndPr>
      <w:rPr>
        <w:noProof/>
      </w:rPr>
    </w:sdtEndPr>
    <w:sdtContent>
      <w:p w14:paraId="788E6D4A" w14:textId="05E609B4" w:rsidR="009549F1" w:rsidRDefault="009549F1">
        <w:pPr>
          <w:pStyle w:val="Footer"/>
          <w:jc w:val="center"/>
        </w:pPr>
        <w:r>
          <w:fldChar w:fldCharType="begin"/>
        </w:r>
        <w:r>
          <w:instrText xml:space="preserve"> PAGE   \* MERGEFORMAT </w:instrText>
        </w:r>
        <w:r>
          <w:fldChar w:fldCharType="separate"/>
        </w:r>
        <w:r w:rsidR="004C7FED">
          <w:rPr>
            <w:noProof/>
          </w:rPr>
          <w:t>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21C9" w14:textId="77777777" w:rsidR="009549F1" w:rsidRDefault="009549F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74969"/>
      <w:docPartObj>
        <w:docPartGallery w:val="Page Numbers (Bottom of Page)"/>
        <w:docPartUnique/>
      </w:docPartObj>
    </w:sdtPr>
    <w:sdtEndPr>
      <w:rPr>
        <w:noProof/>
      </w:rPr>
    </w:sdtEndPr>
    <w:sdtContent>
      <w:p w14:paraId="5AE1ECBC" w14:textId="0B6FABA8" w:rsidR="009549F1" w:rsidRDefault="009549F1">
        <w:pPr>
          <w:pStyle w:val="Footer"/>
          <w:jc w:val="center"/>
        </w:pPr>
        <w:r>
          <w:fldChar w:fldCharType="begin"/>
        </w:r>
        <w:r>
          <w:instrText xml:space="preserve"> PAGE   \* MERGEFORMAT </w:instrText>
        </w:r>
        <w:r>
          <w:fldChar w:fldCharType="separate"/>
        </w:r>
        <w:r w:rsidR="004C7FED">
          <w:rPr>
            <w:noProof/>
          </w:rP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2261" w14:textId="77777777" w:rsidR="009549F1" w:rsidRDefault="0095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C49FE" w14:textId="77777777" w:rsidR="00162613" w:rsidRDefault="00162613" w:rsidP="00793448">
      <w:pPr>
        <w:spacing w:after="0" w:line="240" w:lineRule="auto"/>
      </w:pPr>
      <w:r>
        <w:separator/>
      </w:r>
    </w:p>
  </w:footnote>
  <w:footnote w:type="continuationSeparator" w:id="0">
    <w:p w14:paraId="57E64B8B" w14:textId="77777777" w:rsidR="00162613" w:rsidRDefault="00162613" w:rsidP="00793448">
      <w:pPr>
        <w:spacing w:after="0" w:line="240" w:lineRule="auto"/>
      </w:pPr>
      <w:r>
        <w:continuationSeparator/>
      </w:r>
    </w:p>
  </w:footnote>
  <w:footnote w:id="1">
    <w:p w14:paraId="3C1CD573" w14:textId="77777777" w:rsidR="009549F1" w:rsidRDefault="009549F1" w:rsidP="00221F1C">
      <w:pPr>
        <w:pStyle w:val="FootnoteText"/>
        <w:rPr>
          <w:rFonts w:ascii="Times New Roman" w:hAnsi="Times New Roman" w:cs="Times New Roman"/>
        </w:rPr>
      </w:pPr>
      <w:r>
        <w:rPr>
          <w:rStyle w:val="FootnoteReference"/>
        </w:rPr>
        <w:footnoteRef/>
      </w:r>
      <w:r>
        <w:rPr>
          <w:rFonts w:ascii="Times New Roman" w:hAnsi="Times New Roman"/>
        </w:rPr>
        <w:t xml:space="preserve"> SWD(2020) 223 final.</w:t>
      </w:r>
    </w:p>
  </w:footnote>
  <w:footnote w:id="2">
    <w:p w14:paraId="3935824E" w14:textId="77777777" w:rsidR="009549F1" w:rsidRDefault="009549F1" w:rsidP="00221F1C">
      <w:pPr>
        <w:pStyle w:val="FootnoteText"/>
        <w:rPr>
          <w:rFonts w:ascii="Times New Roman" w:hAnsi="Times New Roman" w:cs="Times New Roman"/>
        </w:rPr>
      </w:pPr>
      <w:r>
        <w:rPr>
          <w:rStyle w:val="FootnoteReference"/>
        </w:rPr>
        <w:footnoteRef/>
      </w:r>
      <w:r>
        <w:rPr>
          <w:rFonts w:ascii="Times New Roman" w:hAnsi="Times New Roman"/>
        </w:rPr>
        <w:t xml:space="preserve"> COM(2020) 641 final.</w:t>
      </w:r>
    </w:p>
  </w:footnote>
  <w:footnote w:id="3">
    <w:p w14:paraId="54D4C8E5" w14:textId="77777777" w:rsidR="009549F1" w:rsidRDefault="009549F1" w:rsidP="00221F1C">
      <w:pPr>
        <w:pStyle w:val="FootnoteText"/>
        <w:rPr>
          <w:rFonts w:ascii="Times New Roman" w:hAnsi="Times New Roman" w:cs="Times New Roman"/>
        </w:rPr>
      </w:pPr>
      <w:r>
        <w:rPr>
          <w:rStyle w:val="FootnoteReference"/>
        </w:rPr>
        <w:footnoteRef/>
      </w:r>
      <w:r>
        <w:rPr>
          <w:rFonts w:ascii="Times New Roman" w:hAnsi="Times New Roman"/>
        </w:rPr>
        <w:t xml:space="preserve"> COM(2020) 641 final.</w:t>
      </w:r>
    </w:p>
  </w:footnote>
  <w:footnote w:id="4">
    <w:p w14:paraId="022BDBE0" w14:textId="77777777" w:rsidR="009549F1" w:rsidRDefault="009549F1" w:rsidP="00221F1C">
      <w:pPr>
        <w:pStyle w:val="FootnoteText"/>
      </w:pPr>
      <w:r>
        <w:rPr>
          <w:rStyle w:val="FootnoteReference"/>
        </w:rPr>
        <w:footnoteRef/>
      </w:r>
      <w:r>
        <w:rPr>
          <w:rFonts w:ascii="Times New Roman" w:hAnsi="Times New Roman"/>
        </w:rPr>
        <w:t xml:space="preserve"> SWD(2020) 223 final.</w:t>
      </w:r>
    </w:p>
  </w:footnote>
  <w:footnote w:id="5">
    <w:p w14:paraId="679EDC51" w14:textId="77777777" w:rsidR="009549F1" w:rsidRDefault="009549F1" w:rsidP="00221F1C">
      <w:pPr>
        <w:jc w:val="both"/>
        <w:rPr>
          <w:rFonts w:ascii="Times New Roman" w:hAnsi="Times New Roman" w:cs="Times New Roman"/>
          <w:sz w:val="20"/>
          <w:szCs w:val="20"/>
        </w:rPr>
      </w:pPr>
      <w:r>
        <w:rPr>
          <w:rStyle w:val="FootnoteReference"/>
        </w:rPr>
        <w:footnoteRef/>
      </w:r>
      <w:r>
        <w:rPr>
          <w:rFonts w:ascii="Times New Roman" w:hAnsi="Times New Roman"/>
        </w:rPr>
        <w:t xml:space="preserve"> </w:t>
      </w:r>
      <w:r>
        <w:rPr>
          <w:rFonts w:ascii="Times New Roman" w:hAnsi="Times New Roman"/>
          <w:sz w:val="20"/>
        </w:rPr>
        <w:t>Sve te skupine pripadaju „Romima” u smislu okvira EU-a za nacionalne strategije integracije Roma.</w:t>
      </w:r>
    </w:p>
  </w:footnote>
  <w:footnote w:id="6">
    <w:p w14:paraId="5476F541" w14:textId="77777777" w:rsidR="009549F1" w:rsidRDefault="009549F1" w:rsidP="00221F1C">
      <w:pPr>
        <w:pStyle w:val="FootnoteText"/>
        <w:rPr>
          <w:rFonts w:ascii="Times New Roman" w:hAnsi="Times New Roman" w:cs="Times New Roman"/>
        </w:rPr>
      </w:pPr>
      <w:r>
        <w:rPr>
          <w:rStyle w:val="FootnoteReference"/>
        </w:rPr>
        <w:footnoteRef/>
      </w:r>
      <w:r>
        <w:rPr>
          <w:rFonts w:ascii="Times New Roman" w:hAnsi="Times New Roman"/>
        </w:rPr>
        <w:t xml:space="preserve"> </w:t>
      </w:r>
      <w:hyperlink r:id="rId1" w:history="1">
        <w:r>
          <w:rPr>
            <w:rStyle w:val="Hyperlink"/>
            <w:rFonts w:ascii="Times New Roman" w:hAnsi="Times New Roman"/>
          </w:rPr>
          <w:t>https://www.wbif.eu/wbif-investments</w:t>
        </w:r>
      </w:hyperlink>
    </w:p>
  </w:footnote>
  <w:footnote w:id="7">
    <w:p w14:paraId="72ABA9AF" w14:textId="77777777" w:rsidR="009549F1" w:rsidRDefault="009549F1" w:rsidP="00221F1C">
      <w:pPr>
        <w:pStyle w:val="FootnoteText"/>
        <w:rPr>
          <w:rFonts w:ascii="Times New Roman" w:hAnsi="Times New Roman" w:cs="Times New Roman"/>
        </w:rPr>
      </w:pPr>
      <w:r>
        <w:rPr>
          <w:rStyle w:val="FootnoteReference"/>
        </w:rPr>
        <w:footnoteRef/>
      </w:r>
      <w:r>
        <w:rPr>
          <w:rFonts w:ascii="Times New Roman" w:hAnsi="Times New Roman"/>
        </w:rPr>
        <w:t xml:space="preserve"> </w:t>
      </w:r>
      <w:hyperlink r:id="rId2" w:history="1">
        <w:r>
          <w:rPr>
            <w:rStyle w:val="Hyperlink"/>
            <w:rFonts w:ascii="Times New Roman" w:hAnsi="Times New Roman"/>
          </w:rPr>
          <w:t>Deklaracija o budućnosti interneta |</w:t>
        </w:r>
      </w:hyperlink>
      <w:hyperlink r:id="rId3" w:history="1">
        <w:r>
          <w:rPr>
            <w:rStyle w:val="Hyperlink"/>
            <w:rFonts w:ascii="Times New Roman" w:hAnsi="Times New Roman"/>
          </w:rPr>
          <w:t xml:space="preserve"> Oblikovanje digitalne budućnosti Europe (europa.eu)</w:t>
        </w:r>
      </w:hyperlink>
      <w:r>
        <w:t>.</w:t>
      </w:r>
    </w:p>
  </w:footnote>
  <w:footnote w:id="8">
    <w:p w14:paraId="3E998E11" w14:textId="77777777" w:rsidR="009549F1" w:rsidRDefault="009549F1" w:rsidP="00221F1C">
      <w:pPr>
        <w:pStyle w:val="FootnoteText"/>
        <w:rPr>
          <w:rFonts w:ascii="Times New Roman" w:hAnsi="Times New Roman" w:cs="Times New Roman"/>
        </w:rPr>
      </w:pPr>
      <w:r>
        <w:rPr>
          <w:rStyle w:val="FootnoteReference"/>
        </w:rPr>
        <w:footnoteRef/>
      </w:r>
      <w:r>
        <w:rPr>
          <w:rFonts w:ascii="Times New Roman" w:hAnsi="Times New Roman"/>
        </w:rPr>
        <w:t xml:space="preserve"> </w:t>
      </w:r>
      <w:hyperlink r:id="rId4" w:history="1">
        <w:r>
          <w:rPr>
            <w:rStyle w:val="Hyperlink"/>
            <w:rFonts w:ascii="Times New Roman" w:hAnsi="Times New Roman"/>
          </w:rPr>
          <w:t>SWD(2020) 223 final</w:t>
        </w:r>
      </w:hyperlink>
      <w:r>
        <w:t>.</w:t>
      </w:r>
    </w:p>
  </w:footnote>
  <w:footnote w:id="9">
    <w:p w14:paraId="23EC06CE" w14:textId="77777777" w:rsidR="009549F1" w:rsidRDefault="009549F1" w:rsidP="00221F1C">
      <w:pPr>
        <w:pStyle w:val="FootnoteText"/>
        <w:spacing w:after="120"/>
        <w:rPr>
          <w:rFonts w:ascii="Times New Roman" w:hAnsi="Times New Roman" w:cs="Times New Roman"/>
        </w:rPr>
      </w:pPr>
      <w:r>
        <w:rPr>
          <w:rStyle w:val="FootnoteReference"/>
        </w:rPr>
        <w:footnoteRef/>
      </w:r>
      <w:r>
        <w:rPr>
          <w:rFonts w:ascii="Times New Roman" w:hAnsi="Times New Roman"/>
        </w:rPr>
        <w:t xml:space="preserve"> Izjava iz Sofije od 6. studenoga 2020.</w:t>
      </w:r>
    </w:p>
  </w:footnote>
  <w:footnote w:id="10">
    <w:p w14:paraId="30CDE481" w14:textId="77777777" w:rsidR="009549F1" w:rsidRDefault="009549F1" w:rsidP="00221F1C">
      <w:pPr>
        <w:pStyle w:val="FootnoteText"/>
        <w:rPr>
          <w:rFonts w:ascii="Times New Roman" w:hAnsi="Times New Roman" w:cs="Times New Roman"/>
          <w:sz w:val="16"/>
          <w:szCs w:val="16"/>
        </w:rPr>
      </w:pPr>
      <w:r>
        <w:rPr>
          <w:rStyle w:val="FootnoteReference"/>
          <w:sz w:val="16"/>
          <w:szCs w:val="16"/>
        </w:rPr>
        <w:footnoteRef/>
      </w:r>
      <w:r>
        <w:rPr>
          <w:rFonts w:ascii="Times New Roman" w:hAnsi="Times New Roman"/>
          <w:sz w:val="16"/>
        </w:rPr>
        <w:t xml:space="preserve"> U porecima i indeksima koje objavljuju treće strane navedenima u tablici ne uzimaju se u obzir sve zemlje kandidatkinje i potencijalne kandidatkinje.</w:t>
      </w:r>
    </w:p>
  </w:footnote>
  <w:footnote w:id="11">
    <w:p w14:paraId="65C3F045" w14:textId="77777777" w:rsidR="009549F1" w:rsidRDefault="009549F1" w:rsidP="00221F1C">
      <w:pPr>
        <w:pStyle w:val="FootnoteText"/>
        <w:rPr>
          <w:rFonts w:ascii="Times New Roman" w:hAnsi="Times New Roman" w:cs="Times New Roman"/>
          <w:sz w:val="16"/>
          <w:szCs w:val="16"/>
        </w:rPr>
      </w:pPr>
      <w:r>
        <w:rPr>
          <w:rStyle w:val="FootnoteReference"/>
          <w:sz w:val="16"/>
          <w:szCs w:val="16"/>
        </w:rPr>
        <w:footnoteRef/>
      </w:r>
      <w:r>
        <w:rPr>
          <w:rFonts w:ascii="Times New Roman" w:hAnsi="Times New Roman"/>
          <w:sz w:val="16"/>
        </w:rPr>
        <w:t xml:space="preserve"> U tablici se navodi najnoviji dostupan poredak na ljestvici i/ili ocjena trećih strana. Dodatna upućivanja na podatke iz prethodne procjene navode se u zagradi ako postoje.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9B50D" w14:textId="77777777" w:rsidR="004C7FED" w:rsidRPr="004C7FED" w:rsidRDefault="004C7FED" w:rsidP="004C7F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E8C2" w14:textId="77777777" w:rsidR="009549F1" w:rsidRDefault="009549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CFAC" w14:textId="77777777" w:rsidR="009549F1" w:rsidRDefault="009549F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19112" w14:textId="77777777" w:rsidR="009549F1" w:rsidRDefault="009549F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8C6C8" w14:textId="77777777" w:rsidR="009549F1" w:rsidRDefault="009549F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96C3C" w14:textId="77777777" w:rsidR="009549F1" w:rsidRDefault="009549F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15C1" w14:textId="77777777" w:rsidR="009549F1" w:rsidRDefault="009549F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3551" w14:textId="77777777" w:rsidR="009549F1" w:rsidRDefault="009549F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C8A72" w14:textId="77777777" w:rsidR="009549F1" w:rsidRDefault="009549F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FC08" w14:textId="77777777" w:rsidR="009549F1" w:rsidRDefault="009549F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230D" w14:textId="77777777" w:rsidR="009549F1" w:rsidRDefault="00954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C008" w14:textId="77777777" w:rsidR="004C7FED" w:rsidRPr="004C7FED" w:rsidRDefault="004C7FED" w:rsidP="004C7FED">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11CA" w14:textId="77777777" w:rsidR="009549F1" w:rsidRDefault="009549F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0488" w14:textId="77777777" w:rsidR="009549F1" w:rsidRDefault="009549F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22994" w14:textId="77777777" w:rsidR="009549F1" w:rsidRDefault="009549F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47D51" w14:textId="77777777" w:rsidR="009549F1" w:rsidRDefault="009549F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91116" w14:textId="77777777" w:rsidR="009549F1" w:rsidRDefault="00954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A64B" w14:textId="77777777" w:rsidR="004C7FED" w:rsidRPr="004C7FED" w:rsidRDefault="004C7FED" w:rsidP="004C7FE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4829" w14:textId="77777777" w:rsidR="009549F1" w:rsidRDefault="009549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04DF" w14:textId="77777777" w:rsidR="009549F1" w:rsidRDefault="009549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F28AA" w14:textId="77777777" w:rsidR="009549F1" w:rsidRDefault="009549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3DD00" w14:textId="77777777" w:rsidR="009549F1" w:rsidRDefault="009549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C4E00" w14:textId="77777777" w:rsidR="009549F1" w:rsidRDefault="009549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335E" w14:textId="77777777" w:rsidR="009549F1" w:rsidRDefault="00954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E43525"/>
    <w:multiLevelType w:val="multilevel"/>
    <w:tmpl w:val="76202BFE"/>
    <w:name w:val="List Number 3"/>
    <w:lvl w:ilvl="0">
      <w:start w:val="1"/>
      <w:numFmt w:val="decimal"/>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C8E5578"/>
    <w:multiLevelType w:val="hybridMultilevel"/>
    <w:tmpl w:val="3C5E69AA"/>
    <w:lvl w:ilvl="0" w:tplc="E1E81236">
      <w:start w:val="4"/>
      <w:numFmt w:val="decimal"/>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4E930D7"/>
    <w:multiLevelType w:val="multilevel"/>
    <w:tmpl w:val="EFD2E05E"/>
    <w:name w:val="List Number 2"/>
    <w:lvl w:ilvl="0">
      <w:start w:val="1"/>
      <w:numFmt w:val="decimal"/>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5459E8"/>
    <w:multiLevelType w:val="singleLevel"/>
    <w:tmpl w:val="2188C922"/>
    <w:name w:val="Bullet 1"/>
    <w:lvl w:ilvl="0">
      <w:start w:val="1"/>
      <w:numFmt w:val="bullet"/>
      <w:pStyle w:val="Tiret1"/>
      <w:lvlText w:val="–"/>
      <w:lvlJc w:val="left"/>
      <w:pPr>
        <w:tabs>
          <w:tab w:val="num" w:pos="1417"/>
        </w:tabs>
        <w:ind w:left="1417" w:hanging="567"/>
      </w:pPr>
    </w:lvl>
  </w:abstractNum>
  <w:abstractNum w:abstractNumId="9" w15:restartNumberingAfterBreak="0">
    <w:nsid w:val="3BA736C9"/>
    <w:multiLevelType w:val="singleLevel"/>
    <w:tmpl w:val="F00A6C0C"/>
    <w:lvl w:ilvl="0">
      <w:start w:val="1"/>
      <w:numFmt w:val="bullet"/>
      <w:pStyle w:val="Tiret0"/>
      <w:lvlText w:val="–"/>
      <w:lvlJc w:val="left"/>
      <w:pPr>
        <w:tabs>
          <w:tab w:val="num" w:pos="850"/>
        </w:tabs>
        <w:ind w:left="850" w:hanging="850"/>
      </w:pPr>
    </w:lvl>
  </w:abstractNum>
  <w:abstractNum w:abstractNumId="10" w15:restartNumberingAfterBreak="0">
    <w:nsid w:val="3C90278F"/>
    <w:multiLevelType w:val="singleLevel"/>
    <w:tmpl w:val="0FE08974"/>
    <w:lvl w:ilvl="0">
      <w:start w:val="1"/>
      <w:numFmt w:val="bullet"/>
      <w:pStyle w:val="Tiret3"/>
      <w:lvlText w:val="–"/>
      <w:lvlJc w:val="left"/>
      <w:pPr>
        <w:tabs>
          <w:tab w:val="num" w:pos="2551"/>
        </w:tabs>
        <w:ind w:left="2551" w:hanging="567"/>
      </w:pPr>
    </w:lvl>
  </w:abstractNum>
  <w:abstractNum w:abstractNumId="11"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48842C30"/>
    <w:multiLevelType w:val="singleLevel"/>
    <w:tmpl w:val="4FA60B90"/>
    <w:name w:val="List Bullet 3"/>
    <w:lvl w:ilvl="0">
      <w:start w:val="1"/>
      <w:numFmt w:val="bullet"/>
      <w:pStyle w:val="Bullet4"/>
      <w:lvlText w:val=""/>
      <w:lvlJc w:val="left"/>
      <w:pPr>
        <w:tabs>
          <w:tab w:val="num" w:pos="3118"/>
        </w:tabs>
        <w:ind w:left="3118" w:hanging="567"/>
      </w:pPr>
      <w:rPr>
        <w:rFonts w:ascii="Symbol" w:hAnsi="Symbol" w:hint="default"/>
      </w:rPr>
    </w:lvl>
  </w:abstractNum>
  <w:abstractNum w:abstractNumId="13" w15:restartNumberingAfterBreak="0">
    <w:nsid w:val="49CE1DBF"/>
    <w:multiLevelType w:val="hybridMultilevel"/>
    <w:tmpl w:val="5CC43250"/>
    <w:lvl w:ilvl="0" w:tplc="DFE4E45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15" w15:restartNumberingAfterBreak="0">
    <w:nsid w:val="568864DC"/>
    <w:multiLevelType w:val="singleLevel"/>
    <w:tmpl w:val="485EBDAC"/>
    <w:lvl w:ilvl="0">
      <w:start w:val="1"/>
      <w:numFmt w:val="bullet"/>
      <w:pStyle w:val="Tiret4"/>
      <w:lvlText w:val="–"/>
      <w:lvlJc w:val="left"/>
      <w:pPr>
        <w:tabs>
          <w:tab w:val="num" w:pos="3118"/>
        </w:tabs>
        <w:ind w:left="3118" w:hanging="567"/>
      </w:pPr>
    </w:lvl>
  </w:abstractNum>
  <w:abstractNum w:abstractNumId="16"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18" w15:restartNumberingAfterBreak="0">
    <w:nsid w:val="5F8C3B69"/>
    <w:multiLevelType w:val="multilevel"/>
    <w:tmpl w:val="9B14DAA8"/>
    <w:name w:val="Tiret 0"/>
    <w:lvl w:ilvl="0">
      <w:start w:val="1"/>
      <w:numFmt w:val="decimal"/>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F9C40AA"/>
    <w:multiLevelType w:val="singleLevel"/>
    <w:tmpl w:val="B89CB5A2"/>
    <w:name w:val="List Number"/>
    <w:lvl w:ilvl="0">
      <w:start w:val="1"/>
      <w:numFmt w:val="bullet"/>
      <w:pStyle w:val="Bullet2"/>
      <w:lvlText w:val=""/>
      <w:lvlJc w:val="left"/>
      <w:pPr>
        <w:tabs>
          <w:tab w:val="num" w:pos="1984"/>
        </w:tabs>
        <w:ind w:left="1984" w:hanging="567"/>
      </w:pPr>
      <w:rPr>
        <w:rFonts w:ascii="Symbol" w:hAnsi="Symbol" w:hint="default"/>
      </w:rPr>
    </w:lvl>
  </w:abstractNum>
  <w:abstractNum w:abstractNumId="20" w15:restartNumberingAfterBreak="0">
    <w:nsid w:val="62970F71"/>
    <w:multiLevelType w:val="singleLevel"/>
    <w:tmpl w:val="5AFA8C72"/>
    <w:name w:val="Tiret 3"/>
    <w:lvl w:ilvl="0">
      <w:start w:val="1"/>
      <w:numFmt w:val="bullet"/>
      <w:pStyle w:val="Tiret2"/>
      <w:lvlText w:val="–"/>
      <w:lvlJc w:val="left"/>
      <w:pPr>
        <w:tabs>
          <w:tab w:val="num" w:pos="1984"/>
        </w:tabs>
        <w:ind w:left="1984" w:hanging="567"/>
      </w:pPr>
    </w:lvl>
  </w:abstractNum>
  <w:abstractNum w:abstractNumId="21"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69995580"/>
    <w:multiLevelType w:val="singleLevel"/>
    <w:tmpl w:val="75CC7CBA"/>
    <w:name w:val="List Dash 1"/>
    <w:lvl w:ilvl="0">
      <w:start w:val="1"/>
      <w:numFmt w:val="decimal"/>
      <w:pStyle w:val="Considrant"/>
      <w:lvlText w:val="(%1)"/>
      <w:lvlJc w:val="left"/>
      <w:pPr>
        <w:tabs>
          <w:tab w:val="num" w:pos="709"/>
        </w:tabs>
        <w:ind w:left="709" w:hanging="709"/>
      </w:pPr>
    </w:lvl>
  </w:abstractNum>
  <w:abstractNum w:abstractNumId="23" w15:restartNumberingAfterBreak="0">
    <w:nsid w:val="6A6901C1"/>
    <w:multiLevelType w:val="singleLevel"/>
    <w:tmpl w:val="208841AE"/>
    <w:name w:val="Bullet 4"/>
    <w:lvl w:ilvl="0">
      <w:start w:val="1"/>
      <w:numFmt w:val="bullet"/>
      <w:pStyle w:val="ListBullet1"/>
      <w:lvlText w:val=""/>
      <w:lvlJc w:val="left"/>
      <w:pPr>
        <w:tabs>
          <w:tab w:val="num" w:pos="1134"/>
        </w:tabs>
        <w:ind w:left="1134" w:hanging="283"/>
      </w:pPr>
      <w:rPr>
        <w:rFonts w:ascii="Symbol" w:hAnsi="Symbol" w:hint="default"/>
      </w:rPr>
    </w:lvl>
  </w:abstractNum>
  <w:abstractNum w:abstractNumId="24"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5C26F71"/>
    <w:multiLevelType w:val="multilevel"/>
    <w:tmpl w:val="E01E7708"/>
    <w:name w:val="Default"/>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8A241BD"/>
    <w:multiLevelType w:val="singleLevel"/>
    <w:tmpl w:val="53C4DF32"/>
    <w:name w:val="List Bullet 1"/>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27" w15:restartNumberingAfterBreak="0">
    <w:nsid w:val="79C96D36"/>
    <w:multiLevelType w:val="multilevel"/>
    <w:tmpl w:val="BE983CE4"/>
    <w:name w:val="List Dash 3"/>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BE95D7F"/>
    <w:multiLevelType w:val="multilevel"/>
    <w:tmpl w:val="F126F780"/>
    <w:name w:val="List Number 1"/>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9" w15:restartNumberingAfterBreak="0">
    <w:nsid w:val="7D8820A0"/>
    <w:multiLevelType w:val="singleLevel"/>
    <w:tmpl w:val="54F6C7B4"/>
    <w:name w:val="List Bullet"/>
    <w:lvl w:ilvl="0">
      <w:start w:val="1"/>
      <w:numFmt w:val="bullet"/>
      <w:pStyle w:val="ListDash4"/>
      <w:lvlText w:val="–"/>
      <w:lvlJc w:val="left"/>
      <w:pPr>
        <w:tabs>
          <w:tab w:val="num" w:pos="1134"/>
        </w:tabs>
        <w:ind w:left="1134" w:hanging="283"/>
      </w:pPr>
      <w:rPr>
        <w:rFonts w:ascii="Times New Roman" w:hAnsi="Times New Roman"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9"/>
  </w:num>
  <w:num w:numId="11">
    <w:abstractNumId w:val="8"/>
  </w:num>
  <w:num w:numId="12">
    <w:abstractNumId w:val="20"/>
  </w:num>
  <w:num w:numId="13">
    <w:abstractNumId w:val="10"/>
  </w:num>
  <w:num w:numId="14">
    <w:abstractNumId w:val="1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9"/>
  </w:num>
  <w:num w:numId="19">
    <w:abstractNumId w:val="17"/>
  </w:num>
  <w:num w:numId="20">
    <w:abstractNumId w:val="12"/>
  </w:num>
  <w:num w:numId="21">
    <w:abstractNumId w:val="22"/>
    <w:lvlOverride w:ilvl="0">
      <w:startOverride w:val="1"/>
    </w:lvlOverride>
  </w:num>
  <w:num w:numId="22">
    <w:abstractNumId w:val="23"/>
  </w:num>
  <w:num w:numId="23">
    <w:abstractNumId w:val="11"/>
  </w:num>
  <w:num w:numId="24">
    <w:abstractNumId w:val="21"/>
  </w:num>
  <w:num w:numId="25">
    <w:abstractNumId w:val="16"/>
  </w:num>
  <w:num w:numId="26">
    <w:abstractNumId w:val="26"/>
  </w:num>
  <w:num w:numId="27">
    <w:abstractNumId w:val="29"/>
  </w:num>
  <w:num w:numId="28">
    <w:abstractNumId w:val="2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t;UNUSED&gt;"/>
    <w:docVar w:name="LW_ANNEX_NBR_FIRST" w:val="1"/>
    <w:docVar w:name="LW_ANNEX_NBR_LAST" w:val="4"/>
    <w:docVar w:name="LW_ANNEX_UNIQUE" w:val="0"/>
    <w:docVar w:name="LW_CORRIGENDUM" w:val="&lt;UNUSED&gt;"/>
    <w:docVar w:name="LW_COVERPAGE_EXISTS" w:val="True"/>
    <w:docVar w:name="LW_COVERPAGE_GUID" w:val="C656D4AE-F73D-44CF-A8CF-0C07DB796528"/>
    <w:docVar w:name="LW_COVERPAGE_TYPE" w:val="1"/>
    <w:docVar w:name="LW_CROSSREFERENCE" w:val="{SWD(2022) 332 final} - {SWD(2022) 333 final} - {SWD(2022) 334 final} - {SWD(2022) 335 final} - {SWD(2022) 336 final} - {SWD(2022) 337 final} - {SWD(2022) 338 final}"/>
    <w:docVar w:name="LW_DocType" w:val="NORMAL"/>
    <w:docVar w:name="LW_EMISSION" w:val="12.10.2022."/>
    <w:docVar w:name="LW_EMISSION_ISODATE" w:val="2022-10-12"/>
    <w:docVar w:name="LW_EMISSION_LOCATION" w:val="BRX"/>
    <w:docVar w:name="LW_EMISSION_PREFIX" w:val="Bruxelles, "/>
    <w:docVar w:name="LW_EMISSION_SUFFIX" w:val="&lt;EMPTY&gt;"/>
    <w:docVar w:name="LW_ID_DOCTYPE_NONLW" w:val="CP-039"/>
    <w:docVar w:name="LW_LANGUE" w:val="HR"/>
    <w:docVar w:name="LW_LEVEL_OF_SENSITIVITY" w:val="Standard treatment"/>
    <w:docVar w:name="LW_NOM.INST" w:val="EUROPSKA KOMISIJA"/>
    <w:docVar w:name="LW_NOM.INST_JOINTDOC" w:val="&lt;EMPTY&gt;"/>
    <w:docVar w:name="LW_OBJETACTEPRINCIPAL.CP" w:val="Komunikacija o politici proširenja EU-a za 2022."/>
    <w:docVar w:name="LW_PART_NBR" w:val="&lt;UNUSED&gt;"/>
    <w:docVar w:name="LW_PART_NBR_TOTAL" w:val="&lt;UNUSED&gt;"/>
    <w:docVar w:name="LW_REF.INST.NEW" w:val="COM"/>
    <w:docVar w:name="LW_REF.INST.NEW_ADOPTED" w:val="final"/>
    <w:docVar w:name="LW_REF.INST.NEW_TEXT" w:val="(2022) 5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ZI_x000b_"/>
    <w:docVar w:name="LW_TYPEACTEPRINCIPAL.CP" w:val="KOMUNIKACIJI KOMISIJE EUROPSKOM PARLAMENTU, VIJEĆU, EUROPSKOM GOSPODARSKOM I SOCIJALNOM ODBORU I ODBORU REGIJA"/>
    <w:docVar w:name="LwApiVersions" w:val="LW4CoDe 1.23.2.0; LW 8.0, Build 20211117"/>
  </w:docVars>
  <w:rsids>
    <w:rsidRoot w:val="00793448"/>
    <w:rsid w:val="00046D95"/>
    <w:rsid w:val="00137BAF"/>
    <w:rsid w:val="00162613"/>
    <w:rsid w:val="001D5527"/>
    <w:rsid w:val="001F20B0"/>
    <w:rsid w:val="001F215E"/>
    <w:rsid w:val="00221F1C"/>
    <w:rsid w:val="002375CC"/>
    <w:rsid w:val="00242471"/>
    <w:rsid w:val="002F29F4"/>
    <w:rsid w:val="00326B0C"/>
    <w:rsid w:val="00410B76"/>
    <w:rsid w:val="00454BCD"/>
    <w:rsid w:val="00462661"/>
    <w:rsid w:val="004C7CF5"/>
    <w:rsid w:val="004C7FED"/>
    <w:rsid w:val="004D0590"/>
    <w:rsid w:val="005030E5"/>
    <w:rsid w:val="00517F32"/>
    <w:rsid w:val="005210D7"/>
    <w:rsid w:val="005518BE"/>
    <w:rsid w:val="005D4526"/>
    <w:rsid w:val="00613313"/>
    <w:rsid w:val="00621E07"/>
    <w:rsid w:val="006476B2"/>
    <w:rsid w:val="006561D0"/>
    <w:rsid w:val="00694373"/>
    <w:rsid w:val="006A7861"/>
    <w:rsid w:val="006C6127"/>
    <w:rsid w:val="006D12D0"/>
    <w:rsid w:val="00702495"/>
    <w:rsid w:val="00793448"/>
    <w:rsid w:val="007D4C18"/>
    <w:rsid w:val="00941DD9"/>
    <w:rsid w:val="009549F1"/>
    <w:rsid w:val="009B59E7"/>
    <w:rsid w:val="009C23DC"/>
    <w:rsid w:val="00A21AF6"/>
    <w:rsid w:val="00A363D8"/>
    <w:rsid w:val="00A84A2D"/>
    <w:rsid w:val="00AA79B4"/>
    <w:rsid w:val="00AC1659"/>
    <w:rsid w:val="00AF518F"/>
    <w:rsid w:val="00B00BDD"/>
    <w:rsid w:val="00B251C6"/>
    <w:rsid w:val="00B37A14"/>
    <w:rsid w:val="00BA34D2"/>
    <w:rsid w:val="00BA6856"/>
    <w:rsid w:val="00C92843"/>
    <w:rsid w:val="00C96F9A"/>
    <w:rsid w:val="00CC022D"/>
    <w:rsid w:val="00CD2279"/>
    <w:rsid w:val="00CE3A90"/>
    <w:rsid w:val="00D17E29"/>
    <w:rsid w:val="00D366BF"/>
    <w:rsid w:val="00D76F96"/>
    <w:rsid w:val="00E03C84"/>
    <w:rsid w:val="00E24B94"/>
    <w:rsid w:val="00E27624"/>
    <w:rsid w:val="00E76610"/>
    <w:rsid w:val="00EA5315"/>
    <w:rsid w:val="00EB1AF9"/>
    <w:rsid w:val="00ED4A8D"/>
    <w:rsid w:val="00EF4565"/>
    <w:rsid w:val="00F55682"/>
    <w:rsid w:val="00F55CC5"/>
    <w:rsid w:val="00FD3F47"/>
    <w:rsid w:val="00FF0F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D73B"/>
  <w15:chartTrackingRefBased/>
  <w15:docId w15:val="{3C3665FE-BE50-48CB-82A6-CC543379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qFormat/>
    <w:rsid w:val="00221F1C"/>
    <w:pPr>
      <w:keepNext/>
      <w:numPr>
        <w:numId w:val="1"/>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semiHidden/>
    <w:unhideWhenUsed/>
    <w:qFormat/>
    <w:rsid w:val="00221F1C"/>
    <w:pPr>
      <w:keepNext/>
      <w:numPr>
        <w:ilvl w:val="1"/>
        <w:numId w:val="1"/>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semiHidden/>
    <w:unhideWhenUsed/>
    <w:qFormat/>
    <w:rsid w:val="00221F1C"/>
    <w:pPr>
      <w:keepNext/>
      <w:numPr>
        <w:ilvl w:val="2"/>
        <w:numId w:val="1"/>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semiHidden/>
    <w:unhideWhenUsed/>
    <w:qFormat/>
    <w:rsid w:val="00221F1C"/>
    <w:pPr>
      <w:keepNext/>
      <w:numPr>
        <w:ilvl w:val="3"/>
        <w:numId w:val="1"/>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93448"/>
    <w:rPr>
      <w:color w:val="0000FF"/>
      <w:shd w:val="clear" w:color="auto" w:fill="auto"/>
    </w:rPr>
  </w:style>
  <w:style w:type="paragraph" w:styleId="Header">
    <w:name w:val="header"/>
    <w:basedOn w:val="Normal"/>
    <w:link w:val="HeaderChar"/>
    <w:uiPriority w:val="99"/>
    <w:unhideWhenUsed/>
    <w:rsid w:val="0079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448"/>
  </w:style>
  <w:style w:type="paragraph" w:styleId="Footer">
    <w:name w:val="footer"/>
    <w:basedOn w:val="Normal"/>
    <w:link w:val="FooterChar"/>
    <w:uiPriority w:val="99"/>
    <w:unhideWhenUsed/>
    <w:rsid w:val="0079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448"/>
  </w:style>
  <w:style w:type="paragraph" w:customStyle="1" w:styleId="Pagedecouverture">
    <w:name w:val="Page de couverture"/>
    <w:basedOn w:val="Normal"/>
    <w:next w:val="Normal"/>
    <w:uiPriority w:val="99"/>
    <w:rsid w:val="00793448"/>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rsid w:val="00793448"/>
    <w:pPr>
      <w:spacing w:before="360" w:after="0" w:line="240" w:lineRule="auto"/>
      <w:jc w:val="center"/>
    </w:pPr>
    <w:rPr>
      <w:rFonts w:ascii="Times New Roman" w:hAnsi="Times New Roman" w:cs="Times New Roman"/>
      <w:b/>
      <w:sz w:val="24"/>
    </w:rPr>
  </w:style>
  <w:style w:type="paragraph" w:customStyle="1" w:styleId="Accompagnant">
    <w:name w:val="Accompagnant"/>
    <w:basedOn w:val="Normal"/>
    <w:next w:val="Normal"/>
    <w:uiPriority w:val="99"/>
    <w:rsid w:val="00793448"/>
    <w:pPr>
      <w:spacing w:after="240" w:line="240" w:lineRule="auto"/>
      <w:jc w:val="center"/>
    </w:pPr>
    <w:rPr>
      <w:rFonts w:ascii="Times New Roman" w:hAnsi="Times New Roman" w:cs="Times New Roman"/>
      <w:b/>
      <w:i/>
      <w:sz w:val="24"/>
    </w:rPr>
  </w:style>
  <w:style w:type="paragraph" w:customStyle="1" w:styleId="Typeacteprincipal">
    <w:name w:val="Type acte principal"/>
    <w:basedOn w:val="Normal"/>
    <w:next w:val="Normal"/>
    <w:uiPriority w:val="99"/>
    <w:rsid w:val="00793448"/>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uiPriority w:val="99"/>
    <w:rsid w:val="00793448"/>
    <w:pPr>
      <w:spacing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79344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sid w:val="00793448"/>
    <w:rPr>
      <w:rFonts w:ascii="Times New Roman" w:hAnsi="Times New Roman" w:cs="Times New Roman"/>
      <w:b/>
      <w:sz w:val="24"/>
    </w:rPr>
  </w:style>
  <w:style w:type="character" w:customStyle="1" w:styleId="FooterCoverPageChar">
    <w:name w:val="Footer Cover Page Char"/>
    <w:basedOn w:val="TypedudocumentChar"/>
    <w:link w:val="FooterCoverPage"/>
    <w:rsid w:val="00793448"/>
    <w:rPr>
      <w:rFonts w:ascii="Times New Roman" w:hAnsi="Times New Roman" w:cs="Times New Roman"/>
      <w:b w:val="0"/>
      <w:sz w:val="24"/>
    </w:rPr>
  </w:style>
  <w:style w:type="paragraph" w:customStyle="1" w:styleId="FooterSensitivity">
    <w:name w:val="Footer Sensitivity"/>
    <w:basedOn w:val="Normal"/>
    <w:link w:val="FooterSensitivityChar"/>
    <w:rsid w:val="0079344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sid w:val="00793448"/>
    <w:rPr>
      <w:rFonts w:ascii="Times New Roman" w:hAnsi="Times New Roman" w:cs="Times New Roman"/>
      <w:b/>
      <w:sz w:val="32"/>
    </w:rPr>
  </w:style>
  <w:style w:type="paragraph" w:customStyle="1" w:styleId="HeaderCoverPage">
    <w:name w:val="Header Cover Page"/>
    <w:basedOn w:val="Normal"/>
    <w:link w:val="HeaderCoverPageChar"/>
    <w:rsid w:val="0079344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sid w:val="00793448"/>
    <w:rPr>
      <w:rFonts w:ascii="Times New Roman" w:hAnsi="Times New Roman" w:cs="Times New Roman"/>
      <w:b w:val="0"/>
      <w:sz w:val="24"/>
    </w:rPr>
  </w:style>
  <w:style w:type="paragraph" w:customStyle="1" w:styleId="HeaderSensitivity">
    <w:name w:val="Header Sensitivity"/>
    <w:basedOn w:val="Normal"/>
    <w:link w:val="HeaderSensitivityChar"/>
    <w:rsid w:val="0079344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sid w:val="00793448"/>
    <w:rPr>
      <w:rFonts w:ascii="Times New Roman" w:hAnsi="Times New Roman" w:cs="Times New Roman"/>
      <w:b/>
      <w:sz w:val="32"/>
    </w:rPr>
  </w:style>
  <w:style w:type="paragraph" w:customStyle="1" w:styleId="HeaderSensitivityRight">
    <w:name w:val="Header Sensitivity Right"/>
    <w:basedOn w:val="Normal"/>
    <w:link w:val="HeaderSensitivityRightChar"/>
    <w:rsid w:val="0079344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sid w:val="00793448"/>
    <w:rPr>
      <w:rFonts w:ascii="Times New Roman" w:hAnsi="Times New Roman" w:cs="Times New Roman"/>
      <w:b w:val="0"/>
      <w:sz w:val="28"/>
    </w:r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rsid w:val="005D4526"/>
    <w:pPr>
      <w:spacing w:after="0" w:line="240" w:lineRule="auto"/>
    </w:pPr>
    <w:rPr>
      <w:sz w:val="20"/>
      <w:szCs w:val="20"/>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sid w:val="005D4526"/>
    <w:rPr>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FootnotesymbolCarZchn"/>
    <w:unhideWhenUsed/>
    <w:qFormat/>
    <w:rsid w:val="005D4526"/>
    <w:rPr>
      <w:vertAlign w:val="superscript"/>
    </w:rPr>
  </w:style>
  <w:style w:type="character" w:styleId="Hyperlink">
    <w:name w:val="Hyperlink"/>
    <w:uiPriority w:val="99"/>
    <w:rsid w:val="005D4526"/>
    <w:rPr>
      <w:color w:val="0000FF"/>
      <w:u w:val="single"/>
      <w:shd w:val="clear" w:color="auto" w:fill="auto"/>
    </w:rPr>
  </w:style>
  <w:style w:type="paragraph" w:customStyle="1" w:styleId="Default">
    <w:name w:val="Default"/>
    <w:basedOn w:val="Normal"/>
    <w:link w:val="DefaultChar"/>
    <w:rsid w:val="005D4526"/>
    <w:pPr>
      <w:autoSpaceDE w:val="0"/>
      <w:autoSpaceDN w:val="0"/>
      <w:spacing w:after="0" w:line="240" w:lineRule="auto"/>
    </w:pPr>
    <w:rPr>
      <w:rFonts w:ascii="Symbol" w:hAnsi="Symbol" w:cs="Times New Roman"/>
      <w:color w:val="000000"/>
      <w:sz w:val="24"/>
      <w:szCs w:val="24"/>
      <w:lang w:eastAsia="en-GB"/>
    </w:rPr>
  </w:style>
  <w:style w:type="character" w:customStyle="1" w:styleId="DefaultChar">
    <w:name w:val="Default Char"/>
    <w:link w:val="Default"/>
    <w:locked/>
    <w:rsid w:val="005D4526"/>
    <w:rPr>
      <w:rFonts w:ascii="Symbol" w:hAnsi="Symbol" w:cs="Times New Roman"/>
      <w:color w:val="000000"/>
      <w:sz w:val="24"/>
      <w:szCs w:val="24"/>
      <w:lang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5D4526"/>
    <w:pPr>
      <w:spacing w:line="240" w:lineRule="exact"/>
      <w:jc w:val="both"/>
    </w:pPr>
    <w:rPr>
      <w:vertAlign w:val="superscript"/>
    </w:rPr>
  </w:style>
  <w:style w:type="table" w:styleId="GridTable1Light-Accent1">
    <w:name w:val="Grid Table 1 Light Accent 1"/>
    <w:basedOn w:val="TableNormal"/>
    <w:uiPriority w:val="46"/>
    <w:rsid w:val="005D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no0020spacing">
    <w:name w:val="no_0020spacing"/>
    <w:basedOn w:val="Normal"/>
    <w:uiPriority w:val="99"/>
    <w:rsid w:val="005D45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CharChar">
    <w:name w:val="BVI fnr Char1 Char Char Char"/>
    <w:aliases w:val="BVI fnr Car Car Char1 Char Char Char,BVI fnr Car Char1 Char Char Char,BVI fnr Car Car Car Car Char Char1 Char Char"/>
    <w:basedOn w:val="Normal"/>
    <w:uiPriority w:val="99"/>
    <w:qFormat/>
    <w:rsid w:val="005D4526"/>
    <w:pPr>
      <w:spacing w:before="360" w:line="240" w:lineRule="exact"/>
    </w:pPr>
    <w:rPr>
      <w:vertAlign w:val="superscript"/>
    </w:rPr>
  </w:style>
  <w:style w:type="character" w:customStyle="1" w:styleId="markedcontent">
    <w:name w:val="markedcontent"/>
    <w:basedOn w:val="DefaultParagraphFont"/>
    <w:rsid w:val="005D4526"/>
  </w:style>
  <w:style w:type="character" w:customStyle="1" w:styleId="normaltextrun">
    <w:name w:val="normaltextrun"/>
    <w:basedOn w:val="DefaultParagraphFont"/>
    <w:rsid w:val="005D4526"/>
  </w:style>
  <w:style w:type="character" w:customStyle="1" w:styleId="Heading1Char">
    <w:name w:val="Heading 1 Char"/>
    <w:basedOn w:val="DefaultParagraphFont"/>
    <w:link w:val="Heading1"/>
    <w:rsid w:val="00221F1C"/>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semiHidden/>
    <w:rsid w:val="00221F1C"/>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semiHidden/>
    <w:rsid w:val="00221F1C"/>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semiHidden/>
    <w:rsid w:val="00221F1C"/>
    <w:rPr>
      <w:rFonts w:ascii="Times New Roman" w:eastAsia="Times New Roman" w:hAnsi="Times New Roman" w:cs="Times New Roman"/>
      <w:bCs/>
      <w:sz w:val="24"/>
      <w:szCs w:val="28"/>
    </w:rPr>
  </w:style>
  <w:style w:type="character" w:styleId="FollowedHyperlink">
    <w:name w:val="FollowedHyperlink"/>
    <w:basedOn w:val="DefaultParagraphFont"/>
    <w:uiPriority w:val="99"/>
    <w:semiHidden/>
    <w:unhideWhenUsed/>
    <w:rsid w:val="00221F1C"/>
    <w:rPr>
      <w:color w:val="954F72" w:themeColor="followedHyperlink"/>
      <w:u w:val="single"/>
    </w:rPr>
  </w:style>
  <w:style w:type="paragraph" w:customStyle="1" w:styleId="Text1">
    <w:name w:val="Text 1"/>
    <w:basedOn w:val="Normal"/>
    <w:uiPriority w:val="99"/>
    <w:semiHidden/>
    <w:rsid w:val="00221F1C"/>
    <w:pPr>
      <w:spacing w:before="120" w:after="120" w:line="240" w:lineRule="auto"/>
      <w:ind w:left="850"/>
      <w:jc w:val="both"/>
    </w:pPr>
    <w:rPr>
      <w:rFonts w:ascii="Times New Roman" w:eastAsia="Times New Roman" w:hAnsi="Times New Roman" w:cs="Times New Roman"/>
      <w:sz w:val="24"/>
      <w:szCs w:val="24"/>
    </w:rPr>
  </w:style>
  <w:style w:type="paragraph" w:customStyle="1" w:styleId="msonormal0">
    <w:name w:val="msonormal"/>
    <w:basedOn w:val="Normal"/>
    <w:uiPriority w:val="99"/>
    <w:semiHidden/>
    <w:rsid w:val="00221F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21F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99"/>
    <w:semiHidden/>
    <w:unhideWhenUsed/>
    <w:rsid w:val="00221F1C"/>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autoRedefine/>
    <w:uiPriority w:val="99"/>
    <w:semiHidden/>
    <w:unhideWhenUsed/>
    <w:rsid w:val="00221F1C"/>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autoRedefine/>
    <w:uiPriority w:val="99"/>
    <w:semiHidden/>
    <w:unhideWhenUsed/>
    <w:rsid w:val="00221F1C"/>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autoRedefine/>
    <w:uiPriority w:val="99"/>
    <w:semiHidden/>
    <w:unhideWhenUsed/>
    <w:rsid w:val="00221F1C"/>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autoRedefine/>
    <w:uiPriority w:val="99"/>
    <w:semiHidden/>
    <w:unhideWhenUsed/>
    <w:rsid w:val="00221F1C"/>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autoRedefine/>
    <w:uiPriority w:val="99"/>
    <w:semiHidden/>
    <w:unhideWhenUsed/>
    <w:rsid w:val="00221F1C"/>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autoRedefine/>
    <w:uiPriority w:val="99"/>
    <w:semiHidden/>
    <w:unhideWhenUsed/>
    <w:rsid w:val="00221F1C"/>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autoRedefine/>
    <w:uiPriority w:val="99"/>
    <w:semiHidden/>
    <w:unhideWhenUsed/>
    <w:rsid w:val="00221F1C"/>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autoRedefine/>
    <w:uiPriority w:val="99"/>
    <w:semiHidden/>
    <w:unhideWhenUsed/>
    <w:rsid w:val="00221F1C"/>
    <w:pPr>
      <w:tabs>
        <w:tab w:val="right" w:leader="dot" w:pos="9071"/>
      </w:tabs>
      <w:spacing w:before="120" w:after="120" w:line="240" w:lineRule="auto"/>
      <w:jc w:val="both"/>
    </w:pPr>
    <w:rPr>
      <w:rFonts w:ascii="Times New Roman" w:eastAsia="Times New Roman" w:hAnsi="Times New Roman" w:cs="Times New Roman"/>
      <w:sz w:val="24"/>
      <w:szCs w:val="24"/>
    </w:rPr>
  </w:style>
  <w:style w:type="character" w:customStyle="1" w:styleId="FootnoteTextChar1">
    <w:name w:val="Footnote Text Char1"/>
    <w:aliases w:val="single space Char1,footnote text Char1,Tekst przypisu Char2,Tekst przypisu Char Char1,Footnote Text Char1 Char Char1,Footnote Text Char Char Char Char1,Footnote Text Char Char Char2,Footnote Text Char1 Char Char Char Char Char1"/>
    <w:basedOn w:val="DefaultParagraphFont"/>
    <w:semiHidden/>
    <w:rsid w:val="00221F1C"/>
    <w:rPr>
      <w:sz w:val="20"/>
      <w:szCs w:val="20"/>
    </w:rPr>
  </w:style>
  <w:style w:type="paragraph" w:styleId="CommentText">
    <w:name w:val="annotation text"/>
    <w:basedOn w:val="Normal"/>
    <w:link w:val="CommentTextChar"/>
    <w:uiPriority w:val="99"/>
    <w:semiHidden/>
    <w:unhideWhenUsed/>
    <w:rsid w:val="00221F1C"/>
    <w:pPr>
      <w:spacing w:line="240" w:lineRule="auto"/>
    </w:pPr>
    <w:rPr>
      <w:sz w:val="20"/>
      <w:szCs w:val="20"/>
    </w:rPr>
  </w:style>
  <w:style w:type="character" w:customStyle="1" w:styleId="CommentTextChar">
    <w:name w:val="Comment Text Char"/>
    <w:basedOn w:val="DefaultParagraphFont"/>
    <w:link w:val="CommentText"/>
    <w:uiPriority w:val="99"/>
    <w:semiHidden/>
    <w:rsid w:val="00221F1C"/>
    <w:rPr>
      <w:sz w:val="20"/>
      <w:szCs w:val="20"/>
    </w:rPr>
  </w:style>
  <w:style w:type="paragraph" w:styleId="Caption">
    <w:name w:val="caption"/>
    <w:basedOn w:val="Normal"/>
    <w:next w:val="Normal"/>
    <w:uiPriority w:val="99"/>
    <w:semiHidden/>
    <w:unhideWhenUsed/>
    <w:qFormat/>
    <w:rsid w:val="00221F1C"/>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semiHidden/>
    <w:unhideWhenUsed/>
    <w:rsid w:val="00221F1C"/>
    <w:pPr>
      <w:spacing w:before="120" w:after="120" w:line="240" w:lineRule="auto"/>
      <w:jc w:val="both"/>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21F1C"/>
    <w:pPr>
      <w:numPr>
        <w:numId w:val="2"/>
      </w:numPr>
      <w:tabs>
        <w:tab w:val="num"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paragraph" w:styleId="ListNumber">
    <w:name w:val="List Number"/>
    <w:basedOn w:val="Normal"/>
    <w:uiPriority w:val="99"/>
    <w:semiHidden/>
    <w:unhideWhenUsed/>
    <w:rsid w:val="00221F1C"/>
    <w:pPr>
      <w:numPr>
        <w:numId w:val="3"/>
      </w:numPr>
      <w:spacing w:before="120" w:after="120" w:line="240" w:lineRule="auto"/>
      <w:jc w:val="both"/>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221F1C"/>
    <w:pPr>
      <w:numPr>
        <w:numId w:val="4"/>
      </w:numPr>
      <w:tabs>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uiPriority w:val="99"/>
    <w:semiHidden/>
    <w:unhideWhenUsed/>
    <w:rsid w:val="00221F1C"/>
    <w:pPr>
      <w:numPr>
        <w:numId w:val="5"/>
      </w:numPr>
      <w:tabs>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uiPriority w:val="99"/>
    <w:semiHidden/>
    <w:unhideWhenUsed/>
    <w:rsid w:val="00221F1C"/>
    <w:pPr>
      <w:numPr>
        <w:numId w:val="6"/>
      </w:numPr>
      <w:tabs>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Number2">
    <w:name w:val="List Number 2"/>
    <w:basedOn w:val="Normal"/>
    <w:uiPriority w:val="99"/>
    <w:semiHidden/>
    <w:unhideWhenUsed/>
    <w:rsid w:val="00221F1C"/>
    <w:pPr>
      <w:numPr>
        <w:numId w:val="7"/>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uiPriority w:val="99"/>
    <w:semiHidden/>
    <w:unhideWhenUsed/>
    <w:rsid w:val="00221F1C"/>
    <w:pPr>
      <w:numPr>
        <w:numId w:val="8"/>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uiPriority w:val="99"/>
    <w:semiHidden/>
    <w:unhideWhenUsed/>
    <w:rsid w:val="00221F1C"/>
    <w:pPr>
      <w:numPr>
        <w:numId w:val="9"/>
      </w:numPr>
      <w:spacing w:before="120" w:after="120" w:line="240" w:lineRule="auto"/>
      <w:jc w:val="both"/>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221F1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21F1C"/>
    <w:rPr>
      <w:rFonts w:ascii="Calibri" w:hAnsi="Calibri"/>
      <w:szCs w:val="21"/>
      <w:lang w:val="hr-HR"/>
    </w:rPr>
  </w:style>
  <w:style w:type="paragraph" w:styleId="CommentSubject">
    <w:name w:val="annotation subject"/>
    <w:basedOn w:val="CommentText"/>
    <w:next w:val="CommentText"/>
    <w:link w:val="CommentSubjectChar"/>
    <w:uiPriority w:val="99"/>
    <w:semiHidden/>
    <w:unhideWhenUsed/>
    <w:rsid w:val="00221F1C"/>
    <w:rPr>
      <w:b/>
      <w:bCs/>
    </w:rPr>
  </w:style>
  <w:style w:type="character" w:customStyle="1" w:styleId="CommentSubjectChar">
    <w:name w:val="Comment Subject Char"/>
    <w:basedOn w:val="CommentTextChar"/>
    <w:link w:val="CommentSubject"/>
    <w:uiPriority w:val="99"/>
    <w:semiHidden/>
    <w:rsid w:val="00221F1C"/>
    <w:rPr>
      <w:b/>
      <w:bCs/>
      <w:sz w:val="20"/>
      <w:szCs w:val="20"/>
    </w:rPr>
  </w:style>
  <w:style w:type="paragraph" w:styleId="BalloonText">
    <w:name w:val="Balloon Text"/>
    <w:basedOn w:val="Normal"/>
    <w:link w:val="BalloonTextChar"/>
    <w:uiPriority w:val="99"/>
    <w:semiHidden/>
    <w:unhideWhenUsed/>
    <w:rsid w:val="00221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F1C"/>
    <w:rPr>
      <w:rFonts w:ascii="Segoe UI" w:hAnsi="Segoe UI" w:cs="Segoe UI"/>
      <w:sz w:val="18"/>
      <w:szCs w:val="18"/>
    </w:rPr>
  </w:style>
  <w:style w:type="paragraph" w:styleId="Revision">
    <w:name w:val="Revision"/>
    <w:uiPriority w:val="99"/>
    <w:semiHidden/>
    <w:rsid w:val="00221F1C"/>
    <w:pPr>
      <w:spacing w:after="0" w:line="240" w:lineRule="auto"/>
    </w:pPr>
  </w:style>
  <w:style w:type="character" w:customStyle="1" w:styleId="ListParagraphChar">
    <w:name w:val="List Paragraph Char"/>
    <w:aliases w:val="Bullets Char,Numbered List Paragraph Char,Dot pt Char,F5 List Paragraph Char,List Paragraph1 Char,No Spacing1 Char,List Paragraph Char Char Char Char,Indicator Text Char,Numbered Para 1 Char,Bullet 1 Char,Bullet Points Char,EC Char"/>
    <w:link w:val="ListParagraph"/>
    <w:qFormat/>
    <w:locked/>
    <w:rsid w:val="00221F1C"/>
  </w:style>
  <w:style w:type="paragraph" w:styleId="ListParagraph">
    <w:name w:val="List Paragraph"/>
    <w:aliases w:val="Bullets,Numbered List Paragraph,Dot pt,F5 List Paragraph,List Paragraph1,No Spacing1,List Paragraph Char Char Char,Indicator Text,Numbered Para 1,Bullet 1,Colorful List - Accent 11,Bullet Points,List Paragraph2,MAIN CONTENT,ANNEX,EC,L,2,3"/>
    <w:basedOn w:val="Normal"/>
    <w:link w:val="ListParagraphChar"/>
    <w:qFormat/>
    <w:rsid w:val="00221F1C"/>
    <w:pPr>
      <w:spacing w:line="256" w:lineRule="auto"/>
      <w:ind w:left="720"/>
      <w:contextualSpacing/>
    </w:pPr>
  </w:style>
  <w:style w:type="paragraph" w:styleId="TOCHeading">
    <w:name w:val="TOC Heading"/>
    <w:basedOn w:val="Normal"/>
    <w:next w:val="Normal"/>
    <w:uiPriority w:val="99"/>
    <w:semiHidden/>
    <w:unhideWhenUsed/>
    <w:qFormat/>
    <w:rsid w:val="00221F1C"/>
    <w:pPr>
      <w:spacing w:before="120" w:after="240" w:line="240" w:lineRule="auto"/>
      <w:jc w:val="center"/>
    </w:pPr>
    <w:rPr>
      <w:rFonts w:ascii="Times New Roman" w:eastAsia="Times New Roman" w:hAnsi="Times New Roman" w:cs="Times New Roman"/>
      <w:b/>
      <w:sz w:val="28"/>
      <w:szCs w:val="24"/>
    </w:rPr>
  </w:style>
  <w:style w:type="paragraph" w:customStyle="1" w:styleId="HeaderLandscape">
    <w:name w:val="HeaderLandscape"/>
    <w:basedOn w:val="Normal"/>
    <w:uiPriority w:val="99"/>
    <w:semiHidden/>
    <w:rsid w:val="00221F1C"/>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uiPriority w:val="99"/>
    <w:semiHidden/>
    <w:rsid w:val="00221F1C"/>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paragraph" w:customStyle="1" w:styleId="Text2">
    <w:name w:val="Text 2"/>
    <w:basedOn w:val="Normal"/>
    <w:uiPriority w:val="99"/>
    <w:semiHidden/>
    <w:rsid w:val="00221F1C"/>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uiPriority w:val="99"/>
    <w:semiHidden/>
    <w:rsid w:val="00221F1C"/>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uiPriority w:val="99"/>
    <w:semiHidden/>
    <w:rsid w:val="00221F1C"/>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uiPriority w:val="99"/>
    <w:semiHidden/>
    <w:rsid w:val="00221F1C"/>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uiPriority w:val="99"/>
    <w:semiHidden/>
    <w:rsid w:val="00221F1C"/>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uiPriority w:val="99"/>
    <w:semiHidden/>
    <w:rsid w:val="00221F1C"/>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uiPriority w:val="99"/>
    <w:semiHidden/>
    <w:rsid w:val="00221F1C"/>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uiPriority w:val="99"/>
    <w:semiHidden/>
    <w:rsid w:val="00221F1C"/>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uiPriority w:val="99"/>
    <w:semiHidden/>
    <w:rsid w:val="00221F1C"/>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uiPriority w:val="99"/>
    <w:semiHidden/>
    <w:rsid w:val="00221F1C"/>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uiPriority w:val="99"/>
    <w:semiHidden/>
    <w:rsid w:val="00221F1C"/>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uiPriority w:val="99"/>
    <w:semiHidden/>
    <w:rsid w:val="00221F1C"/>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uiPriority w:val="99"/>
    <w:semiHidden/>
    <w:rsid w:val="00221F1C"/>
    <w:pPr>
      <w:numPr>
        <w:numId w:val="10"/>
      </w:numPr>
    </w:pPr>
  </w:style>
  <w:style w:type="paragraph" w:customStyle="1" w:styleId="Tiret1">
    <w:name w:val="Tiret 1"/>
    <w:basedOn w:val="Point1"/>
    <w:uiPriority w:val="99"/>
    <w:semiHidden/>
    <w:rsid w:val="00221F1C"/>
    <w:pPr>
      <w:numPr>
        <w:numId w:val="11"/>
      </w:numPr>
    </w:pPr>
  </w:style>
  <w:style w:type="paragraph" w:customStyle="1" w:styleId="Tiret2">
    <w:name w:val="Tiret 2"/>
    <w:basedOn w:val="Point2"/>
    <w:uiPriority w:val="99"/>
    <w:semiHidden/>
    <w:rsid w:val="00221F1C"/>
    <w:pPr>
      <w:numPr>
        <w:numId w:val="12"/>
      </w:numPr>
    </w:pPr>
  </w:style>
  <w:style w:type="paragraph" w:customStyle="1" w:styleId="Tiret3">
    <w:name w:val="Tiret 3"/>
    <w:basedOn w:val="Point3"/>
    <w:uiPriority w:val="99"/>
    <w:semiHidden/>
    <w:rsid w:val="00221F1C"/>
    <w:pPr>
      <w:numPr>
        <w:numId w:val="13"/>
      </w:numPr>
    </w:pPr>
  </w:style>
  <w:style w:type="paragraph" w:customStyle="1" w:styleId="Tiret4">
    <w:name w:val="Tiret 4"/>
    <w:basedOn w:val="Point4"/>
    <w:uiPriority w:val="99"/>
    <w:semiHidden/>
    <w:rsid w:val="00221F1C"/>
    <w:pPr>
      <w:numPr>
        <w:numId w:val="14"/>
      </w:numPr>
    </w:pPr>
  </w:style>
  <w:style w:type="paragraph" w:customStyle="1" w:styleId="PointDouble0">
    <w:name w:val="PointDouble 0"/>
    <w:basedOn w:val="Normal"/>
    <w:uiPriority w:val="99"/>
    <w:semiHidden/>
    <w:rsid w:val="00221F1C"/>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uiPriority w:val="99"/>
    <w:semiHidden/>
    <w:rsid w:val="00221F1C"/>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uiPriority w:val="99"/>
    <w:semiHidden/>
    <w:rsid w:val="00221F1C"/>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uiPriority w:val="99"/>
    <w:semiHidden/>
    <w:rsid w:val="00221F1C"/>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uiPriority w:val="99"/>
    <w:semiHidden/>
    <w:rsid w:val="00221F1C"/>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uiPriority w:val="99"/>
    <w:semiHidden/>
    <w:rsid w:val="00221F1C"/>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uiPriority w:val="99"/>
    <w:semiHidden/>
    <w:rsid w:val="00221F1C"/>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uiPriority w:val="99"/>
    <w:semiHidden/>
    <w:rsid w:val="00221F1C"/>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uiPriority w:val="99"/>
    <w:semiHidden/>
    <w:rsid w:val="00221F1C"/>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uiPriority w:val="99"/>
    <w:semiHidden/>
    <w:rsid w:val="00221F1C"/>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uiPriority w:val="99"/>
    <w:semiHidden/>
    <w:rsid w:val="00221F1C"/>
    <w:pPr>
      <w:numPr>
        <w:numId w:val="15"/>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uiPriority w:val="99"/>
    <w:semiHidden/>
    <w:rsid w:val="00221F1C"/>
    <w:pPr>
      <w:numPr>
        <w:ilvl w:val="1"/>
        <w:numId w:val="15"/>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uiPriority w:val="99"/>
    <w:semiHidden/>
    <w:rsid w:val="00221F1C"/>
    <w:pPr>
      <w:numPr>
        <w:ilvl w:val="2"/>
        <w:numId w:val="15"/>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uiPriority w:val="99"/>
    <w:semiHidden/>
    <w:rsid w:val="00221F1C"/>
    <w:pPr>
      <w:numPr>
        <w:ilvl w:val="3"/>
        <w:numId w:val="15"/>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uiPriority w:val="99"/>
    <w:semiHidden/>
    <w:rsid w:val="00221F1C"/>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uiPriority w:val="99"/>
    <w:semiHidden/>
    <w:rsid w:val="00221F1C"/>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uiPriority w:val="99"/>
    <w:semiHidden/>
    <w:rsid w:val="00221F1C"/>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uiPriority w:val="99"/>
    <w:semiHidden/>
    <w:rsid w:val="00221F1C"/>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uiPriority w:val="99"/>
    <w:semiHidden/>
    <w:rsid w:val="00221F1C"/>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uiPriority w:val="99"/>
    <w:semiHidden/>
    <w:rsid w:val="00221F1C"/>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uiPriority w:val="99"/>
    <w:semiHidden/>
    <w:rsid w:val="00221F1C"/>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uiPriority w:val="99"/>
    <w:semiHidden/>
    <w:rsid w:val="00221F1C"/>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uiPriority w:val="99"/>
    <w:semiHidden/>
    <w:rsid w:val="00221F1C"/>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uiPriority w:val="99"/>
    <w:semiHidden/>
    <w:rsid w:val="00221F1C"/>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uiPriority w:val="99"/>
    <w:semiHidden/>
    <w:rsid w:val="00221F1C"/>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uiPriority w:val="99"/>
    <w:semiHidden/>
    <w:rsid w:val="00221F1C"/>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uiPriority w:val="99"/>
    <w:semiHidden/>
    <w:rsid w:val="00221F1C"/>
    <w:pPr>
      <w:spacing w:before="120" w:after="120" w:line="240" w:lineRule="auto"/>
      <w:jc w:val="center"/>
    </w:pPr>
    <w:rPr>
      <w:rFonts w:ascii="Times New Roman" w:eastAsia="Times New Roman" w:hAnsi="Times New Roman" w:cs="Times New Roman"/>
      <w:b/>
      <w:sz w:val="24"/>
      <w:szCs w:val="24"/>
    </w:rPr>
  </w:style>
  <w:style w:type="paragraph" w:customStyle="1" w:styleId="Point0number">
    <w:name w:val="Point 0 (number)"/>
    <w:basedOn w:val="Normal"/>
    <w:uiPriority w:val="99"/>
    <w:semiHidden/>
    <w:rsid w:val="00221F1C"/>
    <w:pPr>
      <w:numPr>
        <w:numId w:val="16"/>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uiPriority w:val="99"/>
    <w:semiHidden/>
    <w:rsid w:val="00221F1C"/>
    <w:pPr>
      <w:numPr>
        <w:ilvl w:val="2"/>
        <w:numId w:val="16"/>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uiPriority w:val="99"/>
    <w:semiHidden/>
    <w:rsid w:val="00221F1C"/>
    <w:pPr>
      <w:numPr>
        <w:ilvl w:val="4"/>
        <w:numId w:val="16"/>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uiPriority w:val="99"/>
    <w:semiHidden/>
    <w:rsid w:val="00221F1C"/>
    <w:pPr>
      <w:numPr>
        <w:ilvl w:val="6"/>
        <w:numId w:val="16"/>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uiPriority w:val="99"/>
    <w:semiHidden/>
    <w:rsid w:val="00221F1C"/>
    <w:pPr>
      <w:numPr>
        <w:ilvl w:val="1"/>
        <w:numId w:val="16"/>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uiPriority w:val="99"/>
    <w:semiHidden/>
    <w:rsid w:val="00221F1C"/>
    <w:pPr>
      <w:numPr>
        <w:ilvl w:val="3"/>
        <w:numId w:val="16"/>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uiPriority w:val="99"/>
    <w:semiHidden/>
    <w:rsid w:val="00221F1C"/>
    <w:pPr>
      <w:numPr>
        <w:ilvl w:val="5"/>
        <w:numId w:val="16"/>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uiPriority w:val="99"/>
    <w:semiHidden/>
    <w:rsid w:val="00221F1C"/>
    <w:pPr>
      <w:numPr>
        <w:ilvl w:val="7"/>
        <w:numId w:val="16"/>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uiPriority w:val="99"/>
    <w:semiHidden/>
    <w:rsid w:val="00221F1C"/>
    <w:pPr>
      <w:numPr>
        <w:ilvl w:val="8"/>
        <w:numId w:val="16"/>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uiPriority w:val="99"/>
    <w:semiHidden/>
    <w:rsid w:val="00221F1C"/>
    <w:pPr>
      <w:numPr>
        <w:numId w:val="17"/>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uiPriority w:val="99"/>
    <w:semiHidden/>
    <w:rsid w:val="00221F1C"/>
    <w:pPr>
      <w:numPr>
        <w:numId w:val="18"/>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uiPriority w:val="99"/>
    <w:semiHidden/>
    <w:rsid w:val="00221F1C"/>
    <w:pPr>
      <w:numPr>
        <w:numId w:val="19"/>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uiPriority w:val="99"/>
    <w:semiHidden/>
    <w:rsid w:val="00221F1C"/>
    <w:pPr>
      <w:numPr>
        <w:numId w:val="20"/>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uiPriority w:val="99"/>
    <w:semiHidden/>
    <w:rsid w:val="00221F1C"/>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uiPriority w:val="99"/>
    <w:semiHidden/>
    <w:rsid w:val="00221F1C"/>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uiPriority w:val="99"/>
    <w:semiHidden/>
    <w:rsid w:val="00221F1C"/>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uiPriority w:val="99"/>
    <w:semiHidden/>
    <w:rsid w:val="00221F1C"/>
    <w:pPr>
      <w:keepNext/>
      <w:spacing w:before="120" w:after="0" w:line="240" w:lineRule="auto"/>
      <w:jc w:val="both"/>
    </w:pPr>
    <w:rPr>
      <w:rFonts w:ascii="Times New Roman" w:eastAsia="Times New Roman" w:hAnsi="Times New Roman" w:cs="Times New Roman"/>
      <w:sz w:val="24"/>
      <w:szCs w:val="24"/>
    </w:rPr>
  </w:style>
  <w:style w:type="paragraph" w:customStyle="1" w:styleId="Applicationdirecte">
    <w:name w:val="Application directe"/>
    <w:basedOn w:val="Normal"/>
    <w:next w:val="Fait"/>
    <w:uiPriority w:val="99"/>
    <w:semiHidden/>
    <w:rsid w:val="00221F1C"/>
    <w:pPr>
      <w:spacing w:before="48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uiPriority w:val="99"/>
    <w:semiHidden/>
    <w:rsid w:val="00221F1C"/>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uiPriority w:val="99"/>
    <w:semiHidden/>
    <w:rsid w:val="00221F1C"/>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uiPriority w:val="99"/>
    <w:semiHidden/>
    <w:rsid w:val="00221F1C"/>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uiPriority w:val="99"/>
    <w:semiHidden/>
    <w:rsid w:val="00221F1C"/>
    <w:pPr>
      <w:spacing w:before="360" w:after="120" w:line="240" w:lineRule="auto"/>
      <w:jc w:val="center"/>
    </w:pPr>
    <w:rPr>
      <w:rFonts w:ascii="Times New Roman" w:eastAsia="Times New Roman" w:hAnsi="Times New Roman" w:cs="Times New Roman"/>
      <w:sz w:val="24"/>
      <w:szCs w:val="24"/>
    </w:rPr>
  </w:style>
  <w:style w:type="paragraph" w:customStyle="1" w:styleId="TypedudocumentPagedecouverture">
    <w:name w:val="Type du document (Page de couverture)"/>
    <w:basedOn w:val="Typedudocument"/>
    <w:next w:val="TitreobjetPagedecouverture"/>
    <w:uiPriority w:val="99"/>
    <w:semiHidden/>
    <w:rsid w:val="00221F1C"/>
    <w:rPr>
      <w:rFonts w:eastAsia="Times New Roman"/>
      <w:szCs w:val="24"/>
    </w:rPr>
  </w:style>
  <w:style w:type="paragraph" w:customStyle="1" w:styleId="Confidentialit">
    <w:name w:val="Confidentialité"/>
    <w:basedOn w:val="Normal"/>
    <w:next w:val="TypedudocumentPagedecouverture"/>
    <w:uiPriority w:val="99"/>
    <w:semiHidden/>
    <w:rsid w:val="00221F1C"/>
    <w:pPr>
      <w:spacing w:before="240" w:after="240" w:line="240" w:lineRule="auto"/>
      <w:ind w:left="5103"/>
      <w:jc w:val="both"/>
    </w:pPr>
    <w:rPr>
      <w:rFonts w:ascii="Times New Roman" w:eastAsia="Times New Roman" w:hAnsi="Times New Roman" w:cs="Times New Roman"/>
      <w:i/>
      <w:sz w:val="32"/>
      <w:szCs w:val="24"/>
    </w:rPr>
  </w:style>
  <w:style w:type="paragraph" w:customStyle="1" w:styleId="TitreobjetPagedecouverture">
    <w:name w:val="Titre objet (Page de couverture)"/>
    <w:basedOn w:val="Titreobjet"/>
    <w:next w:val="Sous-titreobjetPagedecouverture"/>
    <w:uiPriority w:val="99"/>
    <w:semiHidden/>
    <w:rsid w:val="00221F1C"/>
  </w:style>
  <w:style w:type="paragraph" w:customStyle="1" w:styleId="Sous-titreobjet">
    <w:name w:val="Sous-titre objet"/>
    <w:basedOn w:val="Normal"/>
    <w:uiPriority w:val="99"/>
    <w:semiHidden/>
    <w:rsid w:val="00221F1C"/>
    <w:pPr>
      <w:spacing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uiPriority w:val="99"/>
    <w:semiHidden/>
    <w:rsid w:val="00221F1C"/>
    <w:pPr>
      <w:spacing w:before="360" w:after="360" w:line="240" w:lineRule="auto"/>
      <w:jc w:val="center"/>
    </w:pPr>
    <w:rPr>
      <w:rFonts w:ascii="Times New Roman" w:eastAsia="Times New Roman" w:hAnsi="Times New Roman" w:cs="Times New Roman"/>
      <w:b/>
      <w:sz w:val="24"/>
      <w:szCs w:val="24"/>
    </w:rPr>
  </w:style>
  <w:style w:type="paragraph" w:customStyle="1" w:styleId="Sous-titreobjetPagedecouverture">
    <w:name w:val="Sous-titre objet (Page de couverture)"/>
    <w:basedOn w:val="Sous-titreobjet"/>
    <w:uiPriority w:val="99"/>
    <w:semiHidden/>
    <w:rsid w:val="00221F1C"/>
  </w:style>
  <w:style w:type="paragraph" w:customStyle="1" w:styleId="Considrant">
    <w:name w:val="Considérant"/>
    <w:basedOn w:val="Normal"/>
    <w:uiPriority w:val="99"/>
    <w:semiHidden/>
    <w:rsid w:val="00221F1C"/>
    <w:pPr>
      <w:numPr>
        <w:numId w:val="21"/>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uiPriority w:val="99"/>
    <w:semiHidden/>
    <w:rsid w:val="00221F1C"/>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uiPriority w:val="99"/>
    <w:semiHidden/>
    <w:rsid w:val="00221F1C"/>
    <w:pPr>
      <w:spacing w:before="360" w:after="0" w:line="240" w:lineRule="auto"/>
      <w:jc w:val="center"/>
    </w:pPr>
    <w:rPr>
      <w:rFonts w:ascii="Times New Roman" w:eastAsia="Times New Roman" w:hAnsi="Times New Roman" w:cs="Times New Roman"/>
      <w:b/>
      <w:sz w:val="24"/>
      <w:szCs w:val="24"/>
    </w:rPr>
  </w:style>
  <w:style w:type="paragraph" w:customStyle="1" w:styleId="Rfrenceinstitutionnelle">
    <w:name w:val="Référence institutionnelle"/>
    <w:basedOn w:val="Normal"/>
    <w:next w:val="Confidentialit"/>
    <w:uiPriority w:val="99"/>
    <w:semiHidden/>
    <w:rsid w:val="00221F1C"/>
    <w:pPr>
      <w:spacing w:after="240" w:line="240" w:lineRule="auto"/>
      <w:ind w:left="5103"/>
    </w:pPr>
    <w:rPr>
      <w:rFonts w:ascii="Times New Roman" w:eastAsia="Times New Roman" w:hAnsi="Times New Roman" w:cs="Times New Roman"/>
      <w:sz w:val="24"/>
      <w:szCs w:val="24"/>
    </w:rPr>
  </w:style>
  <w:style w:type="paragraph" w:customStyle="1" w:styleId="Emission">
    <w:name w:val="Emission"/>
    <w:basedOn w:val="Normal"/>
    <w:next w:val="Rfrenceinstitutionnelle"/>
    <w:uiPriority w:val="99"/>
    <w:semiHidden/>
    <w:rsid w:val="00221F1C"/>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uiPriority w:val="99"/>
    <w:semiHidden/>
    <w:rsid w:val="00221F1C"/>
    <w:pPr>
      <w:spacing w:before="120" w:after="120" w:line="240" w:lineRule="auto"/>
      <w:jc w:val="center"/>
    </w:pPr>
    <w:rPr>
      <w:rFonts w:ascii="Times New Roman" w:eastAsia="Times New Roman" w:hAnsi="Times New Roman" w:cs="Times New Roman"/>
      <w:b/>
      <w:sz w:val="24"/>
      <w:szCs w:val="24"/>
      <w:u w:val="single"/>
    </w:rPr>
  </w:style>
  <w:style w:type="paragraph" w:customStyle="1" w:styleId="Titrearticle">
    <w:name w:val="Titre article"/>
    <w:basedOn w:val="Normal"/>
    <w:next w:val="Normal"/>
    <w:uiPriority w:val="99"/>
    <w:semiHidden/>
    <w:rsid w:val="00221F1C"/>
    <w:pPr>
      <w:keepNext/>
      <w:spacing w:before="360" w:after="120" w:line="240" w:lineRule="auto"/>
      <w:jc w:val="center"/>
    </w:pPr>
    <w:rPr>
      <w:rFonts w:ascii="Times New Roman" w:eastAsia="Times New Roman" w:hAnsi="Times New Roman" w:cs="Times New Roman"/>
      <w:i/>
      <w:sz w:val="24"/>
      <w:szCs w:val="24"/>
    </w:rPr>
  </w:style>
  <w:style w:type="paragraph" w:customStyle="1" w:styleId="Formuledadoption">
    <w:name w:val="Formule d'adoption"/>
    <w:basedOn w:val="Normal"/>
    <w:next w:val="Titrearticle"/>
    <w:uiPriority w:val="99"/>
    <w:semiHidden/>
    <w:rsid w:val="00221F1C"/>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uiPriority w:val="99"/>
    <w:semiHidden/>
    <w:rsid w:val="00221F1C"/>
    <w:pPr>
      <w:keepNext/>
      <w:spacing w:before="600" w:after="120" w:line="240" w:lineRule="auto"/>
      <w:jc w:val="both"/>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uiPriority w:val="99"/>
    <w:semiHidden/>
    <w:rsid w:val="00221F1C"/>
    <w:pPr>
      <w:spacing w:after="0" w:line="240" w:lineRule="auto"/>
      <w:ind w:left="5103"/>
    </w:pPr>
    <w:rPr>
      <w:rFonts w:ascii="Times New Roman" w:eastAsia="Times New Roman" w:hAnsi="Times New Roman" w:cs="Times New Roman"/>
      <w:sz w:val="24"/>
      <w:szCs w:val="24"/>
    </w:rPr>
  </w:style>
  <w:style w:type="paragraph" w:customStyle="1" w:styleId="Langue">
    <w:name w:val="Langue"/>
    <w:basedOn w:val="Normal"/>
    <w:next w:val="Rfrenceinterne"/>
    <w:uiPriority w:val="99"/>
    <w:semiHidden/>
    <w:rsid w:val="00221F1C"/>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institutionnelle">
    <w:name w:val="Référence interinstitutionnelle"/>
    <w:basedOn w:val="Normal"/>
    <w:next w:val="Statut"/>
    <w:uiPriority w:val="99"/>
    <w:semiHidden/>
    <w:rsid w:val="00221F1C"/>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uiPriority w:val="99"/>
    <w:semiHidden/>
    <w:rsid w:val="00221F1C"/>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uiPriority w:val="99"/>
    <w:semiHidden/>
    <w:rsid w:val="00221F1C"/>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uiPriority w:val="99"/>
    <w:semiHidden/>
    <w:rsid w:val="00221F1C"/>
    <w:pPr>
      <w:spacing w:after="0" w:line="240" w:lineRule="auto"/>
    </w:pPr>
    <w:rPr>
      <w:rFonts w:ascii="Arial" w:eastAsia="Times New Roman" w:hAnsi="Arial" w:cs="Arial"/>
      <w:sz w:val="24"/>
      <w:szCs w:val="24"/>
    </w:rPr>
  </w:style>
  <w:style w:type="paragraph" w:customStyle="1" w:styleId="Address">
    <w:name w:val="Address"/>
    <w:basedOn w:val="Normal"/>
    <w:next w:val="Normal"/>
    <w:uiPriority w:val="99"/>
    <w:semiHidden/>
    <w:rsid w:val="00221F1C"/>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uiPriority w:val="99"/>
    <w:semiHidden/>
    <w:rsid w:val="00221F1C"/>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uiPriority w:val="99"/>
    <w:semiHidden/>
    <w:rsid w:val="00221F1C"/>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uiPriority w:val="99"/>
    <w:semiHidden/>
    <w:rsid w:val="00221F1C"/>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uiPriority w:val="99"/>
    <w:semiHidden/>
    <w:rsid w:val="00221F1C"/>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uiPriority w:val="99"/>
    <w:semiHidden/>
    <w:rsid w:val="00221F1C"/>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uiPriority w:val="99"/>
    <w:semiHidden/>
    <w:rsid w:val="00221F1C"/>
  </w:style>
  <w:style w:type="paragraph" w:customStyle="1" w:styleId="RfrenceinterinstitutionnellePagedecouverture">
    <w:name w:val="Référence interinstitutionnelle (Page de couverture)"/>
    <w:basedOn w:val="Rfrenceinterinstitutionnelle"/>
    <w:next w:val="Confidentialit"/>
    <w:uiPriority w:val="99"/>
    <w:semiHidden/>
    <w:rsid w:val="00221F1C"/>
  </w:style>
  <w:style w:type="paragraph" w:customStyle="1" w:styleId="StatutPagedecouverture">
    <w:name w:val="Statut (Page de couverture)"/>
    <w:basedOn w:val="Statut"/>
    <w:next w:val="TypedudocumentPagedecouverture"/>
    <w:uiPriority w:val="99"/>
    <w:semiHidden/>
    <w:rsid w:val="00221F1C"/>
  </w:style>
  <w:style w:type="paragraph" w:customStyle="1" w:styleId="Volume">
    <w:name w:val="Volume"/>
    <w:basedOn w:val="Normal"/>
    <w:next w:val="Confidentialit"/>
    <w:uiPriority w:val="99"/>
    <w:semiHidden/>
    <w:rsid w:val="00221F1C"/>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uiPriority w:val="99"/>
    <w:semiHidden/>
    <w:rsid w:val="00221F1C"/>
    <w:pPr>
      <w:spacing w:after="240"/>
    </w:pPr>
  </w:style>
  <w:style w:type="paragraph" w:customStyle="1" w:styleId="IntrtEEEPagedecouverture">
    <w:name w:val="Intérêt EEE (Page de couverture)"/>
    <w:basedOn w:val="IntrtEEE"/>
    <w:next w:val="Rfrencecroise"/>
    <w:uiPriority w:val="99"/>
    <w:semiHidden/>
    <w:rsid w:val="00221F1C"/>
  </w:style>
  <w:style w:type="paragraph" w:customStyle="1" w:styleId="TypeacteprincipalPagedecouverture">
    <w:name w:val="Type acte principal (Page de couverture)"/>
    <w:basedOn w:val="Typeacteprincipal"/>
    <w:next w:val="ObjetacteprincipalPagedecouverture"/>
    <w:uiPriority w:val="99"/>
    <w:semiHidden/>
    <w:rsid w:val="00221F1C"/>
    <w:rPr>
      <w:rFonts w:eastAsia="Times New Roman"/>
      <w:szCs w:val="24"/>
    </w:rPr>
  </w:style>
  <w:style w:type="paragraph" w:customStyle="1" w:styleId="AccompagnantPagedecouverture">
    <w:name w:val="Accompagnant (Page de couverture)"/>
    <w:basedOn w:val="Accompagnant"/>
    <w:next w:val="TypeacteprincipalPagedecouverture"/>
    <w:uiPriority w:val="99"/>
    <w:semiHidden/>
    <w:rsid w:val="00221F1C"/>
    <w:rPr>
      <w:rFonts w:eastAsia="Times New Roman"/>
      <w:szCs w:val="24"/>
    </w:rPr>
  </w:style>
  <w:style w:type="paragraph" w:customStyle="1" w:styleId="ObjetacteprincipalPagedecouverture">
    <w:name w:val="Objet acte principal (Page de couverture)"/>
    <w:basedOn w:val="Objetacteprincipal"/>
    <w:next w:val="Rfrencecroise"/>
    <w:uiPriority w:val="99"/>
    <w:semiHidden/>
    <w:rsid w:val="00221F1C"/>
    <w:rPr>
      <w:rFonts w:eastAsia="Times New Roman"/>
      <w:szCs w:val="24"/>
    </w:rPr>
  </w:style>
  <w:style w:type="paragraph" w:customStyle="1" w:styleId="LanguesfaisantfoiPagedecouverture">
    <w:name w:val="Langues faisant foi (Page de couverture)"/>
    <w:basedOn w:val="Normal"/>
    <w:next w:val="Normal"/>
    <w:uiPriority w:val="99"/>
    <w:semiHidden/>
    <w:rsid w:val="00221F1C"/>
    <w:pPr>
      <w:spacing w:before="360" w:after="0" w:line="240" w:lineRule="auto"/>
      <w:jc w:val="center"/>
    </w:pPr>
    <w:rPr>
      <w:rFonts w:ascii="Times New Roman" w:eastAsia="Times New Roman" w:hAnsi="Times New Roman" w:cs="Times New Roman"/>
      <w:sz w:val="24"/>
      <w:szCs w:val="24"/>
    </w:rPr>
  </w:style>
  <w:style w:type="paragraph" w:customStyle="1" w:styleId="ListBullet1">
    <w:name w:val="List Bullet 1"/>
    <w:basedOn w:val="Normal"/>
    <w:uiPriority w:val="99"/>
    <w:semiHidden/>
    <w:rsid w:val="00221F1C"/>
    <w:pPr>
      <w:numPr>
        <w:numId w:val="2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uiPriority w:val="99"/>
    <w:semiHidden/>
    <w:rsid w:val="00221F1C"/>
    <w:pPr>
      <w:numPr>
        <w:numId w:val="2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uiPriority w:val="99"/>
    <w:semiHidden/>
    <w:rsid w:val="00221F1C"/>
    <w:pPr>
      <w:numPr>
        <w:numId w:val="2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uiPriority w:val="99"/>
    <w:semiHidden/>
    <w:rsid w:val="00221F1C"/>
    <w:pPr>
      <w:numPr>
        <w:numId w:val="2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uiPriority w:val="99"/>
    <w:semiHidden/>
    <w:rsid w:val="00221F1C"/>
    <w:pPr>
      <w:numPr>
        <w:numId w:val="2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uiPriority w:val="99"/>
    <w:semiHidden/>
    <w:rsid w:val="00221F1C"/>
    <w:pPr>
      <w:numPr>
        <w:numId w:val="2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uiPriority w:val="99"/>
    <w:semiHidden/>
    <w:rsid w:val="00221F1C"/>
    <w:pPr>
      <w:numPr>
        <w:numId w:val="28"/>
      </w:numPr>
    </w:pPr>
    <w:rPr>
      <w:lang w:eastAsia="de-DE"/>
    </w:rPr>
  </w:style>
  <w:style w:type="paragraph" w:customStyle="1" w:styleId="ListNumberLevel2">
    <w:name w:val="List Number (Level 2)"/>
    <w:basedOn w:val="Normal"/>
    <w:uiPriority w:val="99"/>
    <w:semiHidden/>
    <w:rsid w:val="00221F1C"/>
    <w:pPr>
      <w:numPr>
        <w:ilvl w:val="1"/>
        <w:numId w:val="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uiPriority w:val="99"/>
    <w:semiHidden/>
    <w:rsid w:val="00221F1C"/>
    <w:pPr>
      <w:numPr>
        <w:ilvl w:val="1"/>
        <w:numId w:val="28"/>
      </w:numPr>
    </w:pPr>
    <w:rPr>
      <w:lang w:eastAsia="de-DE"/>
    </w:rPr>
  </w:style>
  <w:style w:type="paragraph" w:customStyle="1" w:styleId="ListNumber2Level2">
    <w:name w:val="List Number 2 (Level 2)"/>
    <w:basedOn w:val="Text2"/>
    <w:uiPriority w:val="99"/>
    <w:semiHidden/>
    <w:rsid w:val="00221F1C"/>
    <w:pPr>
      <w:numPr>
        <w:ilvl w:val="1"/>
        <w:numId w:val="4"/>
      </w:numPr>
    </w:pPr>
    <w:rPr>
      <w:lang w:eastAsia="de-DE"/>
    </w:rPr>
  </w:style>
  <w:style w:type="paragraph" w:customStyle="1" w:styleId="ListNumber3Level2">
    <w:name w:val="List Number 3 (Level 2)"/>
    <w:basedOn w:val="Text3"/>
    <w:uiPriority w:val="99"/>
    <w:semiHidden/>
    <w:rsid w:val="00221F1C"/>
    <w:pPr>
      <w:numPr>
        <w:ilvl w:val="1"/>
        <w:numId w:val="5"/>
      </w:numPr>
    </w:pPr>
    <w:rPr>
      <w:lang w:eastAsia="de-DE"/>
    </w:rPr>
  </w:style>
  <w:style w:type="paragraph" w:customStyle="1" w:styleId="ListNumber4Level2">
    <w:name w:val="List Number 4 (Level 2)"/>
    <w:basedOn w:val="Text4"/>
    <w:uiPriority w:val="99"/>
    <w:semiHidden/>
    <w:rsid w:val="00221F1C"/>
    <w:pPr>
      <w:numPr>
        <w:ilvl w:val="1"/>
        <w:numId w:val="6"/>
      </w:numPr>
    </w:pPr>
    <w:rPr>
      <w:lang w:eastAsia="de-DE"/>
    </w:rPr>
  </w:style>
  <w:style w:type="paragraph" w:customStyle="1" w:styleId="ListNumberLevel3">
    <w:name w:val="List Number (Level 3)"/>
    <w:basedOn w:val="Normal"/>
    <w:uiPriority w:val="99"/>
    <w:semiHidden/>
    <w:rsid w:val="00221F1C"/>
    <w:pPr>
      <w:numPr>
        <w:ilvl w:val="2"/>
        <w:numId w:val="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uiPriority w:val="99"/>
    <w:semiHidden/>
    <w:rsid w:val="00221F1C"/>
    <w:pPr>
      <w:numPr>
        <w:ilvl w:val="2"/>
        <w:numId w:val="28"/>
      </w:numPr>
    </w:pPr>
    <w:rPr>
      <w:lang w:eastAsia="de-DE"/>
    </w:rPr>
  </w:style>
  <w:style w:type="paragraph" w:customStyle="1" w:styleId="ListNumber2Level3">
    <w:name w:val="List Number 2 (Level 3)"/>
    <w:basedOn w:val="Text2"/>
    <w:uiPriority w:val="99"/>
    <w:semiHidden/>
    <w:rsid w:val="00221F1C"/>
    <w:pPr>
      <w:numPr>
        <w:ilvl w:val="2"/>
        <w:numId w:val="4"/>
      </w:numPr>
    </w:pPr>
    <w:rPr>
      <w:lang w:eastAsia="de-DE"/>
    </w:rPr>
  </w:style>
  <w:style w:type="paragraph" w:customStyle="1" w:styleId="ListNumber3Level3">
    <w:name w:val="List Number 3 (Level 3)"/>
    <w:basedOn w:val="Text3"/>
    <w:uiPriority w:val="99"/>
    <w:semiHidden/>
    <w:rsid w:val="00221F1C"/>
    <w:pPr>
      <w:numPr>
        <w:ilvl w:val="2"/>
        <w:numId w:val="5"/>
      </w:numPr>
    </w:pPr>
    <w:rPr>
      <w:lang w:eastAsia="de-DE"/>
    </w:rPr>
  </w:style>
  <w:style w:type="paragraph" w:customStyle="1" w:styleId="ListNumber4Level3">
    <w:name w:val="List Number 4 (Level 3)"/>
    <w:basedOn w:val="Text4"/>
    <w:uiPriority w:val="99"/>
    <w:semiHidden/>
    <w:rsid w:val="00221F1C"/>
    <w:pPr>
      <w:numPr>
        <w:ilvl w:val="2"/>
        <w:numId w:val="6"/>
      </w:numPr>
    </w:pPr>
    <w:rPr>
      <w:lang w:eastAsia="de-DE"/>
    </w:rPr>
  </w:style>
  <w:style w:type="paragraph" w:customStyle="1" w:styleId="ListNumberLevel4">
    <w:name w:val="List Number (Level 4)"/>
    <w:basedOn w:val="Normal"/>
    <w:uiPriority w:val="99"/>
    <w:semiHidden/>
    <w:rsid w:val="00221F1C"/>
    <w:pPr>
      <w:numPr>
        <w:ilvl w:val="3"/>
        <w:numId w:val="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uiPriority w:val="99"/>
    <w:semiHidden/>
    <w:rsid w:val="00221F1C"/>
    <w:pPr>
      <w:numPr>
        <w:ilvl w:val="3"/>
        <w:numId w:val="28"/>
      </w:numPr>
    </w:pPr>
    <w:rPr>
      <w:lang w:eastAsia="de-DE"/>
    </w:rPr>
  </w:style>
  <w:style w:type="paragraph" w:customStyle="1" w:styleId="ListNumber2Level4">
    <w:name w:val="List Number 2 (Level 4)"/>
    <w:basedOn w:val="Text2"/>
    <w:uiPriority w:val="99"/>
    <w:semiHidden/>
    <w:rsid w:val="00221F1C"/>
    <w:pPr>
      <w:numPr>
        <w:ilvl w:val="3"/>
        <w:numId w:val="4"/>
      </w:numPr>
    </w:pPr>
    <w:rPr>
      <w:lang w:eastAsia="de-DE"/>
    </w:rPr>
  </w:style>
  <w:style w:type="paragraph" w:customStyle="1" w:styleId="ListNumber3Level4">
    <w:name w:val="List Number 3 (Level 4)"/>
    <w:basedOn w:val="Text3"/>
    <w:uiPriority w:val="99"/>
    <w:semiHidden/>
    <w:rsid w:val="00221F1C"/>
    <w:pPr>
      <w:numPr>
        <w:ilvl w:val="3"/>
        <w:numId w:val="5"/>
      </w:numPr>
    </w:pPr>
    <w:rPr>
      <w:lang w:eastAsia="de-DE"/>
    </w:rPr>
  </w:style>
  <w:style w:type="paragraph" w:customStyle="1" w:styleId="ListNumber4Level4">
    <w:name w:val="List Number 4 (Level 4)"/>
    <w:basedOn w:val="Text4"/>
    <w:uiPriority w:val="99"/>
    <w:semiHidden/>
    <w:rsid w:val="00221F1C"/>
    <w:pPr>
      <w:numPr>
        <w:ilvl w:val="3"/>
        <w:numId w:val="6"/>
      </w:numPr>
    </w:pPr>
    <w:rPr>
      <w:lang w:eastAsia="de-DE"/>
    </w:rPr>
  </w:style>
  <w:style w:type="paragraph" w:customStyle="1" w:styleId="font5">
    <w:name w:val="font5"/>
    <w:basedOn w:val="Normal"/>
    <w:uiPriority w:val="99"/>
    <w:semiHidden/>
    <w:rsid w:val="00221F1C"/>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uiPriority w:val="99"/>
    <w:semiHidden/>
    <w:rsid w:val="00221F1C"/>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uiPriority w:val="99"/>
    <w:semiHidden/>
    <w:rsid w:val="00221F1C"/>
    <w:pPr>
      <w:pBdr>
        <w:top w:val="single" w:sz="8" w:space="0" w:color="auto"/>
        <w:bottom w:val="single" w:sz="8" w:space="0" w:color="auto"/>
      </w:pBdr>
      <w:spacing w:before="100" w:beforeAutospacing="1" w:after="100" w:afterAutospacing="1" w:line="240" w:lineRule="auto"/>
    </w:pPr>
    <w:rPr>
      <w:rFonts w:ascii="Arial" w:eastAsia="Times New Roman" w:hAnsi="Arial" w:cs="Arial"/>
      <w:b/>
      <w:bCs/>
      <w:lang w:eastAsia="en-GB"/>
    </w:rPr>
  </w:style>
  <w:style w:type="paragraph" w:customStyle="1" w:styleId="xl68">
    <w:name w:val="xl68"/>
    <w:basedOn w:val="Normal"/>
    <w:uiPriority w:val="99"/>
    <w:semiHidden/>
    <w:rsid w:val="00221F1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uiPriority w:val="99"/>
    <w:semiHidden/>
    <w:rsid w:val="00221F1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0">
    <w:name w:val="xl70"/>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71">
    <w:name w:val="xl71"/>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2">
    <w:name w:val="xl72"/>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3">
    <w:name w:val="xl73"/>
    <w:basedOn w:val="Normal"/>
    <w:uiPriority w:val="99"/>
    <w:semiHidden/>
    <w:rsid w:val="00221F1C"/>
    <w:pPr>
      <w:spacing w:before="100" w:beforeAutospacing="1" w:after="100" w:afterAutospacing="1" w:line="240" w:lineRule="auto"/>
    </w:pPr>
    <w:rPr>
      <w:rFonts w:ascii="Arial" w:eastAsia="Times New Roman" w:hAnsi="Arial" w:cs="Arial"/>
      <w:sz w:val="24"/>
      <w:szCs w:val="24"/>
      <w:lang w:eastAsia="en-GB"/>
    </w:rPr>
  </w:style>
  <w:style w:type="paragraph" w:customStyle="1" w:styleId="xl74">
    <w:name w:val="xl74"/>
    <w:basedOn w:val="Normal"/>
    <w:uiPriority w:val="99"/>
    <w:semiHidden/>
    <w:rsid w:val="00221F1C"/>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5">
    <w:name w:val="xl75"/>
    <w:basedOn w:val="Normal"/>
    <w:uiPriority w:val="99"/>
    <w:semiHidden/>
    <w:rsid w:val="00221F1C"/>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76">
    <w:name w:val="xl76"/>
    <w:basedOn w:val="Normal"/>
    <w:uiPriority w:val="99"/>
    <w:semiHidden/>
    <w:rsid w:val="00221F1C"/>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7">
    <w:name w:val="xl77"/>
    <w:basedOn w:val="Normal"/>
    <w:uiPriority w:val="99"/>
    <w:semiHidden/>
    <w:rsid w:val="00221F1C"/>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78">
    <w:name w:val="xl78"/>
    <w:basedOn w:val="Normal"/>
    <w:uiPriority w:val="99"/>
    <w:semiHidden/>
    <w:rsid w:val="00221F1C"/>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79">
    <w:name w:val="xl79"/>
    <w:basedOn w:val="Normal"/>
    <w:uiPriority w:val="99"/>
    <w:semiHidden/>
    <w:rsid w:val="00221F1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0">
    <w:name w:val="xl80"/>
    <w:basedOn w:val="Normal"/>
    <w:uiPriority w:val="99"/>
    <w:semiHidden/>
    <w:rsid w:val="00221F1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1">
    <w:name w:val="xl81"/>
    <w:basedOn w:val="Normal"/>
    <w:uiPriority w:val="99"/>
    <w:semiHidden/>
    <w:rsid w:val="00221F1C"/>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82">
    <w:name w:val="xl82"/>
    <w:basedOn w:val="Normal"/>
    <w:uiPriority w:val="99"/>
    <w:semiHidden/>
    <w:rsid w:val="00221F1C"/>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3">
    <w:name w:val="xl83"/>
    <w:basedOn w:val="Normal"/>
    <w:uiPriority w:val="99"/>
    <w:semiHidden/>
    <w:rsid w:val="00221F1C"/>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4">
    <w:name w:val="xl84"/>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5">
    <w:name w:val="xl85"/>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6">
    <w:name w:val="xl86"/>
    <w:basedOn w:val="Normal"/>
    <w:uiPriority w:val="99"/>
    <w:semiHidden/>
    <w:rsid w:val="00221F1C"/>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87">
    <w:name w:val="xl87"/>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88">
    <w:name w:val="xl88"/>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89">
    <w:name w:val="xl89"/>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0">
    <w:name w:val="xl90"/>
    <w:basedOn w:val="Normal"/>
    <w:uiPriority w:val="99"/>
    <w:semiHidden/>
    <w:rsid w:val="00221F1C"/>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91">
    <w:name w:val="xl91"/>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92">
    <w:name w:val="xl92"/>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93">
    <w:name w:val="xl93"/>
    <w:basedOn w:val="Normal"/>
    <w:uiPriority w:val="99"/>
    <w:semiHidden/>
    <w:rsid w:val="00221F1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4">
    <w:name w:val="xl94"/>
    <w:basedOn w:val="Normal"/>
    <w:uiPriority w:val="99"/>
    <w:semiHidden/>
    <w:rsid w:val="00221F1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5">
    <w:name w:val="xl95"/>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6">
    <w:name w:val="xl96"/>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7">
    <w:name w:val="xl97"/>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98">
    <w:name w:val="xl98"/>
    <w:basedOn w:val="Normal"/>
    <w:uiPriority w:val="99"/>
    <w:semiHidden/>
    <w:rsid w:val="00221F1C"/>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en-GB"/>
    </w:rPr>
  </w:style>
  <w:style w:type="paragraph" w:customStyle="1" w:styleId="xl99">
    <w:name w:val="xl99"/>
    <w:basedOn w:val="Normal"/>
    <w:uiPriority w:val="99"/>
    <w:semiHidden/>
    <w:rsid w:val="00221F1C"/>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0">
    <w:name w:val="xl100"/>
    <w:basedOn w:val="Normal"/>
    <w:uiPriority w:val="99"/>
    <w:semiHidden/>
    <w:rsid w:val="00221F1C"/>
    <w:pPr>
      <w:spacing w:before="100" w:beforeAutospacing="1" w:after="100" w:afterAutospacing="1" w:line="240" w:lineRule="auto"/>
      <w:jc w:val="center"/>
    </w:pPr>
    <w:rPr>
      <w:rFonts w:ascii="Arial" w:eastAsia="Times New Roman" w:hAnsi="Arial" w:cs="Arial"/>
      <w:b/>
      <w:bCs/>
      <w:sz w:val="24"/>
      <w:szCs w:val="24"/>
      <w:lang w:eastAsia="en-GB"/>
    </w:rPr>
  </w:style>
  <w:style w:type="paragraph" w:customStyle="1" w:styleId="xl101">
    <w:name w:val="xl101"/>
    <w:basedOn w:val="Normal"/>
    <w:uiPriority w:val="99"/>
    <w:semiHidden/>
    <w:rsid w:val="00221F1C"/>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2">
    <w:name w:val="xl102"/>
    <w:basedOn w:val="Normal"/>
    <w:uiPriority w:val="99"/>
    <w:semiHidden/>
    <w:rsid w:val="00221F1C"/>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3">
    <w:name w:val="xl103"/>
    <w:basedOn w:val="Normal"/>
    <w:uiPriority w:val="99"/>
    <w:semiHidden/>
    <w:rsid w:val="00221F1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4">
    <w:name w:val="xl104"/>
    <w:basedOn w:val="Normal"/>
    <w:uiPriority w:val="99"/>
    <w:semiHidden/>
    <w:rsid w:val="00221F1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64">
    <w:name w:val="xl64"/>
    <w:basedOn w:val="Normal"/>
    <w:uiPriority w:val="99"/>
    <w:semiHidden/>
    <w:rsid w:val="00221F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65">
    <w:name w:val="xl65"/>
    <w:basedOn w:val="Normal"/>
    <w:uiPriority w:val="99"/>
    <w:semiHidden/>
    <w:rsid w:val="00221F1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character" w:styleId="CommentReference">
    <w:name w:val="annotation reference"/>
    <w:basedOn w:val="DefaultParagraphFont"/>
    <w:semiHidden/>
    <w:unhideWhenUsed/>
    <w:rsid w:val="00221F1C"/>
    <w:rPr>
      <w:sz w:val="16"/>
      <w:szCs w:val="16"/>
    </w:rPr>
  </w:style>
  <w:style w:type="character" w:customStyle="1" w:styleId="Marker1">
    <w:name w:val="Marker1"/>
    <w:rsid w:val="00221F1C"/>
    <w:rPr>
      <w:color w:val="008000"/>
    </w:rPr>
  </w:style>
  <w:style w:type="character" w:customStyle="1" w:styleId="Marker2">
    <w:name w:val="Marker2"/>
    <w:rsid w:val="00221F1C"/>
    <w:rPr>
      <w:color w:val="FF0000"/>
    </w:rPr>
  </w:style>
  <w:style w:type="character" w:customStyle="1" w:styleId="Added">
    <w:name w:val="Added"/>
    <w:rsid w:val="00221F1C"/>
    <w:rPr>
      <w:b/>
      <w:bCs w:val="0"/>
      <w:u w:val="single"/>
    </w:rPr>
  </w:style>
  <w:style w:type="character" w:customStyle="1" w:styleId="Deleted">
    <w:name w:val="Deleted"/>
    <w:rsid w:val="00221F1C"/>
    <w:rPr>
      <w:strike/>
    </w:rPr>
  </w:style>
  <w:style w:type="table" w:customStyle="1" w:styleId="GridTable1Light-Accent11">
    <w:name w:val="Grid Table 1 Light - Accent 11"/>
    <w:basedOn w:val="TableNormal"/>
    <w:uiPriority w:val="46"/>
    <w:rsid w:val="00221F1C"/>
    <w:pPr>
      <w:spacing w:after="0" w:line="240" w:lineRule="auto"/>
    </w:p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hyperlink" Target="https://www.eiu.com/n/campaigns/democracy-index-2021/" TargetMode="External"/><Relationship Id="rId55" Type="http://schemas.openxmlformats.org/officeDocument/2006/relationships/hyperlink" Target="https://www.transparency.org/en/cpi/2021" TargetMode="External"/><Relationship Id="rId63" Type="http://schemas.openxmlformats.org/officeDocument/2006/relationships/header" Target="header23.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hyperlink" Target="http://info.worldbank.org/governance/wgi/" TargetMode="External"/><Relationship Id="rId58" Type="http://schemas.openxmlformats.org/officeDocument/2006/relationships/footer" Target="footer19.xml"/><Relationship Id="rId66" Type="http://schemas.openxmlformats.org/officeDocument/2006/relationships/header" Target="header2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yperlink" Target="https://freedomhouse.org/countries/freedom-world/scores" TargetMode="External"/><Relationship Id="rId57" Type="http://schemas.openxmlformats.org/officeDocument/2006/relationships/header" Target="header20.xml"/><Relationship Id="rId61" Type="http://schemas.openxmlformats.org/officeDocument/2006/relationships/footer" Target="footer2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yperlink" Target="http://info.worldbank.org/governance/wgi/" TargetMode="External"/><Relationship Id="rId60" Type="http://schemas.openxmlformats.org/officeDocument/2006/relationships/header" Target="header21.xml"/><Relationship Id="rId65" Type="http://schemas.openxmlformats.org/officeDocument/2006/relationships/footer" Target="footer2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yperlink" Target="https://freedomhouse.org/countries/nations-transit/scores" TargetMode="External"/><Relationship Id="rId56" Type="http://schemas.openxmlformats.org/officeDocument/2006/relationships/header" Target="header19.xml"/><Relationship Id="rId64" Type="http://schemas.openxmlformats.org/officeDocument/2006/relationships/footer" Target="footer22.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orldjusticeproject.org/rule-of-law-index/global/2021"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yperlink" Target="http://info.worldbank.org/governance/wgi/" TargetMode="External"/><Relationship Id="rId62" Type="http://schemas.openxmlformats.org/officeDocument/2006/relationships/header" Target="header22.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hr/node/10917" TargetMode="External"/><Relationship Id="rId2" Type="http://schemas.openxmlformats.org/officeDocument/2006/relationships/hyperlink" Target="https://digital-strategy.ec.europa.eu/hr/node/10917" TargetMode="External"/><Relationship Id="rId1" Type="http://schemas.openxmlformats.org/officeDocument/2006/relationships/hyperlink" Target="https://www.wbif.eu/wbif-investments" TargetMode="External"/><Relationship Id="rId4" Type="http://schemas.openxmlformats.org/officeDocument/2006/relationships/hyperlink" Target="https://ec.europa.eu/neighbourhood-enlargement/system/files/2020-10/green_agenda_for_the_western_balkan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FC6C9FD1F8AD243B17D9A9F2789C25C" ma:contentTypeVersion="2" ma:contentTypeDescription="Create a new document in this library." ma:contentTypeScope="" ma:versionID="6d645c12cd836c46c04bc588ed9e71c9">
  <xsd:schema xmlns:xsd="http://www.w3.org/2001/XMLSchema" xmlns:xs="http://www.w3.org/2001/XMLSchema" xmlns:p="http://schemas.microsoft.com/office/2006/metadata/properties" xmlns:ns2="http://schemas.microsoft.com/sharepoint/v3/fields" xmlns:ns3="501295eb-a415-4b21-b5e1-8f3c3ceded51" xmlns:ns4="dd7017fd-8015-4bdb-a4b6-f8af8c5771db" targetNamespace="http://schemas.microsoft.com/office/2006/metadata/properties" ma:root="true" ma:fieldsID="df63ae4696643b20df9c72079a3060cf" ns2:_="" ns3:_="" ns4:_="">
    <xsd:import namespace="http://schemas.microsoft.com/sharepoint/v3/fields"/>
    <xsd:import namespace="501295eb-a415-4b21-b5e1-8f3c3ceded51"/>
    <xsd:import namespace="dd7017fd-8015-4bdb-a4b6-f8af8c5771d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1295eb-a415-4b21-b5e1-8f3c3ceded5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d7017fd-8015-4bdb-a4b6-f8af8c5771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501295eb-a415-4b21-b5e1-8f3c3ceded51" xsi:nil="true"/>
    <EC_Collab_DocumentLanguage xmlns="501295eb-a415-4b21-b5e1-8f3c3ceded51">EN</EC_Collab_DocumentLanguage>
    <_Status xmlns="http://schemas.microsoft.com/sharepoint/v3/fields">Not Started</_Status>
    <EC_Collab_Status xmlns="501295eb-a415-4b21-b5e1-8f3c3ceded51">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BD861-6FE0-4338-B6C7-55C092475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01295eb-a415-4b21-b5e1-8f3c3ceded51"/>
    <ds:schemaRef ds:uri="dd7017fd-8015-4bdb-a4b6-f8af8c577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7D2B2-8A00-4F94-BBD7-FFA7388E1C69}">
  <ds:schemaRefs>
    <ds:schemaRef ds:uri="http://schemas.microsoft.com/sharepoint/v3/contenttype/forms"/>
  </ds:schemaRefs>
</ds:datastoreItem>
</file>

<file path=customXml/itemProps3.xml><?xml version="1.0" encoding="utf-8"?>
<ds:datastoreItem xmlns:ds="http://schemas.openxmlformats.org/officeDocument/2006/customXml" ds:itemID="{7C32596B-7757-4C54-9C73-122B67D61691}">
  <ds:schemaRefs>
    <ds:schemaRef ds:uri="http://schemas.microsoft.com/office/2006/metadata/properties"/>
    <ds:schemaRef ds:uri="http://schemas.microsoft.com/office/infopath/2007/PartnerControls"/>
    <ds:schemaRef ds:uri="501295eb-a415-4b21-b5e1-8f3c3ceded51"/>
    <ds:schemaRef ds:uri="http://schemas.microsoft.com/sharepoint/v3/fields"/>
  </ds:schemaRefs>
</ds:datastoreItem>
</file>

<file path=customXml/itemProps4.xml><?xml version="1.0" encoding="utf-8"?>
<ds:datastoreItem xmlns:ds="http://schemas.openxmlformats.org/officeDocument/2006/customXml" ds:itemID="{9DF7BD5A-AD6C-4BBF-9E52-72D2C2C5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25136</Words>
  <Characters>143281</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KRETTEK Heike (NEAR)</dc:creator>
  <cp:keywords/>
  <dc:description/>
  <cp:lastModifiedBy>EC CoDe</cp:lastModifiedBy>
  <cp:revision>24</cp:revision>
  <dcterms:created xsi:type="dcterms:W3CDTF">2022-10-13T12:44:00Z</dcterms:created>
  <dcterms:modified xsi:type="dcterms:W3CDTF">2022-11-18T16:46:00Z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4</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8.1, Build 20220902</vt:lpwstr>
  </property>
  <property fmtid="{D5CDD505-2E9C-101B-9397-08002B2CF9AE}" pid="11" name="Created using">
    <vt:lpwstr>LW 8.0.1, Build 20220429</vt:lpwstr>
  </property>
  <property fmtid="{D5CDD505-2E9C-101B-9397-08002B2CF9AE}" pid="12" name="MSIP_Label_6bd9ddd1-4d20-43f6-abfa-fc3c07406f94_Enabled">
    <vt:lpwstr>true</vt:lpwstr>
  </property>
  <property fmtid="{D5CDD505-2E9C-101B-9397-08002B2CF9AE}" pid="13" name="MSIP_Label_6bd9ddd1-4d20-43f6-abfa-fc3c07406f94_SetDate">
    <vt:lpwstr>2022-09-15T08:17:50Z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0b5550d1-ff72-41be-8573-90a8825ec2f8</vt:lpwstr>
  </property>
  <property fmtid="{D5CDD505-2E9C-101B-9397-08002B2CF9AE}" pid="18" name="MSIP_Label_6bd9ddd1-4d20-43f6-abfa-fc3c07406f94_ContentBits">
    <vt:lpwstr>0</vt:lpwstr>
  </property>
  <property fmtid="{D5CDD505-2E9C-101B-9397-08002B2CF9AE}" pid="19" name="ContentTypeId">
    <vt:lpwstr>0x010100258AA79CEB83498886A3A0868112325000FFC6C9FD1F8AD243B17D9A9F2789C25C</vt:lpwstr>
  </property>
</Properties>
</file>