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829B2" w14:textId="6EAAD576" w:rsidR="00AD3AA1" w:rsidRDefault="00052A71" w:rsidP="00052A71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1BC660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E668E298-9EDA-4B7F-854C-1CDA44516576" style="width:455.25pt;height:396.75pt">
            <v:imagedata r:id="rId11" o:title=""/>
          </v:shape>
        </w:pict>
      </w:r>
    </w:p>
    <w:bookmarkEnd w:id="0"/>
    <w:p w14:paraId="198C4F12" w14:textId="77777777" w:rsidR="00AD3AA1" w:rsidRDefault="00AD3AA1" w:rsidP="00AD3AA1">
      <w:pPr>
        <w:rPr>
          <w:noProof/>
        </w:rPr>
        <w:sectPr w:rsidR="00AD3AA1" w:rsidSect="00052A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4AE5550A" w14:textId="6D0F5E53" w:rsidR="00B72FA4" w:rsidRPr="00F92D5C" w:rsidRDefault="00B72FA4" w:rsidP="00B72FA4">
      <w:pPr>
        <w:spacing w:afterLines="120" w:after="288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</w:rPr>
        <w:lastRenderedPageBreak/>
        <w:t>1. melléklet</w:t>
      </w:r>
    </w:p>
    <w:p w14:paraId="5AFC2D35" w14:textId="77777777" w:rsidR="00B72FA4" w:rsidRPr="0021352A" w:rsidRDefault="00B72FA4" w:rsidP="00B72FA4">
      <w:pPr>
        <w:jc w:val="center"/>
        <w:rPr>
          <w:rFonts w:ascii="Times New Roman" w:hAnsi="Times New Roman" w:cs="Times New Roman"/>
          <w:noProof/>
        </w:rPr>
      </w:pPr>
      <w:r>
        <w:rPr>
          <w:rStyle w:val="Strong"/>
          <w:rFonts w:ascii="Times New Roman" w:hAnsi="Times New Roman"/>
          <w:noProof/>
          <w:sz w:val="24"/>
        </w:rPr>
        <w:t>A műtrágyák jelentősége az élelmezésbiztonság szempontjából és a túlzott felhasználás kockázata</w:t>
      </w:r>
    </w:p>
    <w:p w14:paraId="175F3C86" w14:textId="63364397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 műtrágyák fontos szerepet játszanak az élelmiszer-termelésben.</w:t>
      </w:r>
      <w:r>
        <w:rPr>
          <w:rFonts w:ascii="Times New Roman" w:hAnsi="Times New Roman"/>
          <w:noProof/>
          <w:sz w:val="24"/>
        </w:rPr>
        <w:t xml:space="preserve"> Jelenleg a világ élelmiszer-termelésének mintegy 50 %-a függ az ásványi műtrágyák használatától. Hasonlóképpen a műtrágyák intenzív használata jelentős hatással van az egészségre, az éghajlatra és a környezetre.</w:t>
      </w:r>
    </w:p>
    <w:p w14:paraId="3BA1943B" w14:textId="665384A4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</w:t>
      </w:r>
      <w:r>
        <w:rPr>
          <w:rFonts w:ascii="Times New Roman" w:hAnsi="Times New Roman"/>
          <w:b/>
          <w:noProof/>
          <w:sz w:val="24"/>
        </w:rPr>
        <w:t>tápanyagok</w:t>
      </w:r>
      <w:r>
        <w:rPr>
          <w:rFonts w:ascii="Times New Roman" w:hAnsi="Times New Roman"/>
          <w:noProof/>
          <w:sz w:val="24"/>
        </w:rPr>
        <w:t xml:space="preserve"> trágyázás révén történő talajba juttatása a biológiai határokon belül növeli a biomassza előállítását és a potenciális </w:t>
      </w:r>
      <w:r>
        <w:rPr>
          <w:rFonts w:ascii="Times New Roman" w:hAnsi="Times New Roman"/>
          <w:b/>
          <w:noProof/>
          <w:sz w:val="24"/>
        </w:rPr>
        <w:t>terméshozamot</w:t>
      </w:r>
      <w:r>
        <w:rPr>
          <w:rFonts w:ascii="Times New Roman" w:hAnsi="Times New Roman"/>
          <w:noProof/>
          <w:sz w:val="24"/>
        </w:rPr>
        <w:t>, valamint hozzájárul a szén-dioxid leválasztásához. A növények felszívják a talajból a tápanyagokat, és felhasználják őket a növekedéshez, ezáltal kimerítve a talajt. A műtrágyák tápanyagokat juttatnak vissza a talajba. Kisebb területen nagyobb mennyiségű termést (gabona, fű stb.) lehet előállítani, ami csökkenti a globális élelmiszer-termeléshez szü</w:t>
      </w:r>
      <w:r w:rsidR="004A11FB">
        <w:rPr>
          <w:rFonts w:ascii="Times New Roman" w:hAnsi="Times New Roman"/>
          <w:noProof/>
          <w:sz w:val="24"/>
        </w:rPr>
        <w:t>kséges mezőgazdasági területet.</w:t>
      </w:r>
    </w:p>
    <w:p w14:paraId="40C07413" w14:textId="77777777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trágyák lehetnek </w:t>
      </w:r>
      <w:r>
        <w:rPr>
          <w:rFonts w:ascii="Times New Roman" w:hAnsi="Times New Roman"/>
          <w:b/>
          <w:noProof/>
          <w:sz w:val="24"/>
        </w:rPr>
        <w:t>ásványi vagy szerves</w:t>
      </w:r>
      <w:r>
        <w:rPr>
          <w:rFonts w:ascii="Times New Roman" w:hAnsi="Times New Roman"/>
          <w:noProof/>
          <w:sz w:val="24"/>
        </w:rPr>
        <w:t xml:space="preserve"> eredetűek. </w:t>
      </w:r>
    </w:p>
    <w:p w14:paraId="3231D22C" w14:textId="1FAD37DC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növények növekedéséhez három kulcsfontosságú tápanyag szükséges: </w:t>
      </w:r>
      <w:r>
        <w:rPr>
          <w:rFonts w:ascii="Times New Roman" w:hAnsi="Times New Roman"/>
          <w:b/>
          <w:noProof/>
          <w:sz w:val="24"/>
        </w:rPr>
        <w:t>nitrogén (N), foszfor (P) és kálium (K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1"/>
      </w:r>
      <w:r>
        <w:rPr>
          <w:rFonts w:ascii="Times New Roman" w:hAnsi="Times New Roman"/>
          <w:b/>
          <w:noProof/>
          <w:sz w:val="24"/>
        </w:rPr>
        <w:t>)</w:t>
      </w:r>
      <w:r>
        <w:rPr>
          <w:rFonts w:ascii="Times New Roman" w:hAnsi="Times New Roman"/>
          <w:noProof/>
          <w:sz w:val="24"/>
        </w:rPr>
        <w:t>. A foszfor és a kálium a bányászott ércben és kőzetben található tápanyagok (ásványi trágyák). A világ gabonanövényeihez a legnagyobb mennyiségben használt tápanyag a nitrogén. Míg a mezőgazdasági termelők bizonyos ideig lemondhatnak a foszfor és a kálium alkalmazásáról anélkül, hogy ez negatív hatást gyakorolna a terméshozamra, a nitrogén</w:t>
      </w:r>
      <w:r w:rsidR="004A11FB">
        <w:rPr>
          <w:rFonts w:ascii="Times New Roman" w:hAnsi="Times New Roman"/>
          <w:noProof/>
          <w:sz w:val="24"/>
        </w:rPr>
        <w:t>t rendszeresen kell alkalmazni.</w:t>
      </w:r>
    </w:p>
    <w:p w14:paraId="3C58B096" w14:textId="77777777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Bár nehéz megállapítani a pontos arányt, a nitrogénműtrágya növénytermesztésben történő használatának nem tervezett 20 %-os csökkenése az EU-ban várhatóan 4-5 %-kal csökkenti a terméshozamot (az optimális trágyázási arány alapján)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2"/>
      </w:r>
      <w:r>
        <w:rPr>
          <w:rFonts w:ascii="Times New Roman" w:hAnsi="Times New Roman"/>
          <w:noProof/>
          <w:sz w:val="24"/>
        </w:rPr>
        <w:t>.</w:t>
      </w:r>
    </w:p>
    <w:p w14:paraId="317B32B9" w14:textId="3EA2B910" w:rsidR="00B72FA4" w:rsidRPr="005E4C28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szintetikus nitrogénműtrágyák előállítása sok energiát igényel. Az EU-ban az energiaforrás általában a földgáz, amely a </w:t>
      </w:r>
      <w:r>
        <w:rPr>
          <w:rFonts w:ascii="Times New Roman" w:hAnsi="Times New Roman"/>
          <w:b/>
          <w:noProof/>
          <w:sz w:val="24"/>
        </w:rPr>
        <w:t>szintetikus nitrogénműtrágyákhoz</w:t>
      </w:r>
      <w:r>
        <w:rPr>
          <w:rFonts w:ascii="Times New Roman" w:hAnsi="Times New Roman"/>
          <w:noProof/>
          <w:sz w:val="24"/>
        </w:rPr>
        <w:t xml:space="preserve"> szükséges hidrogén (H</w:t>
      </w:r>
      <w:r>
        <w:rPr>
          <w:rFonts w:ascii="Times New Roman" w:hAnsi="Times New Roman"/>
          <w:noProof/>
          <w:sz w:val="24"/>
          <w:vertAlign w:val="subscript"/>
        </w:rPr>
        <w:t>2</w:t>
      </w:r>
      <w:r>
        <w:rPr>
          <w:rFonts w:ascii="Times New Roman" w:hAnsi="Times New Roman"/>
          <w:noProof/>
          <w:sz w:val="24"/>
        </w:rPr>
        <w:t>) előállításának alapanyagaként is szolgál (</w:t>
      </w:r>
      <w:r>
        <w:rPr>
          <w:rFonts w:ascii="Times New Roman" w:hAnsi="Times New Roman"/>
          <w:b/>
          <w:noProof/>
          <w:sz w:val="24"/>
        </w:rPr>
        <w:t>a közbenső termék az ammónia</w:t>
      </w:r>
      <w:r>
        <w:rPr>
          <w:rFonts w:ascii="Times New Roman" w:hAnsi="Times New Roman"/>
          <w:noProof/>
          <w:sz w:val="24"/>
        </w:rPr>
        <w:t xml:space="preserve"> [NH</w:t>
      </w:r>
      <w:r>
        <w:rPr>
          <w:rFonts w:ascii="Times New Roman" w:hAnsi="Times New Roman"/>
          <w:noProof/>
          <w:sz w:val="24"/>
          <w:vertAlign w:val="subscript"/>
        </w:rPr>
        <w:t>3</w:t>
      </w:r>
      <w:r>
        <w:rPr>
          <w:rFonts w:ascii="Times New Roman" w:hAnsi="Times New Roman"/>
          <w:noProof/>
          <w:sz w:val="24"/>
        </w:rPr>
        <w:t>]). E folyamat során a nitrogént a levegőből nyerik.</w:t>
      </w:r>
    </w:p>
    <w:p w14:paraId="5E55C0F1" w14:textId="5B1DAC3E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nitrogénműtrágyák előállítása jelentős </w:t>
      </w:r>
      <w:r>
        <w:rPr>
          <w:rFonts w:ascii="Times New Roman" w:hAnsi="Times New Roman"/>
          <w:b/>
          <w:noProof/>
          <w:sz w:val="24"/>
        </w:rPr>
        <w:t>szén-dioxid-kibocsátással</w:t>
      </w:r>
      <w:r>
        <w:rPr>
          <w:rFonts w:ascii="Times New Roman" w:hAnsi="Times New Roman"/>
          <w:noProof/>
          <w:sz w:val="24"/>
        </w:rPr>
        <w:t xml:space="preserve"> jár. Ez a kibocsátáscsökkentési technológiák folyamatos javulásától függetlenül így van, különösen az uniós gyártóüzemekben.</w:t>
      </w:r>
    </w:p>
    <w:p w14:paraId="1AD7C04F" w14:textId="1C65B352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Ha a trágyát nem megfelelően alkalmazzák, a </w:t>
      </w:r>
      <w:r>
        <w:rPr>
          <w:rFonts w:ascii="Times New Roman" w:hAnsi="Times New Roman"/>
          <w:b/>
          <w:noProof/>
          <w:sz w:val="24"/>
        </w:rPr>
        <w:t>tápanyagveszteség</w:t>
      </w:r>
      <w:r>
        <w:rPr>
          <w:rFonts w:ascii="Times New Roman" w:hAnsi="Times New Roman"/>
          <w:noProof/>
          <w:sz w:val="24"/>
        </w:rPr>
        <w:t xml:space="preserve"> a szántóföldekre kijuttatott mennyiség 50–60 %-át is elérheti. Az EU a nitrogén esetében több mint háromszorosan, a foszfor esetében pedig kétszeresen túllépi bolygónk tűrőképességének biztonságos határait a műtrágyák esetében. A műtrágyákat az EU számos részén túlzott mértékben alkalmazzák, kevés nyilvánvaló hozamnövekedéssel. Az EU teljes (gáz halmazállapotú) </w:t>
      </w:r>
      <w:r>
        <w:rPr>
          <w:rFonts w:ascii="Times New Roman" w:hAnsi="Times New Roman"/>
          <w:b/>
          <w:noProof/>
          <w:sz w:val="24"/>
        </w:rPr>
        <w:t>ammóniakibocsátásának</w:t>
      </w:r>
      <w:r>
        <w:rPr>
          <w:rFonts w:ascii="Times New Roman" w:hAnsi="Times New Roman"/>
          <w:noProof/>
          <w:sz w:val="24"/>
        </w:rPr>
        <w:t xml:space="preserve"> több mint 90 %-a a mezőgazdaságból származik; ennek 80 %-a istállótrágyából, 20 %-a pedig ásványi trágyából származik. A túlzott alkalmazás miatt a műtrágyák </w:t>
      </w:r>
      <w:r>
        <w:rPr>
          <w:rFonts w:ascii="Times New Roman" w:hAnsi="Times New Roman"/>
          <w:b/>
          <w:noProof/>
          <w:sz w:val="24"/>
        </w:rPr>
        <w:t>kimosódása és elfolyása</w:t>
      </w:r>
      <w:r>
        <w:rPr>
          <w:rFonts w:ascii="Times New Roman" w:hAnsi="Times New Roman"/>
          <w:noProof/>
          <w:sz w:val="24"/>
        </w:rPr>
        <w:t xml:space="preserve"> a talajban és a vízben található túlzott tápanyagkoncentráció fő oka, amely károsíthatja az ökoszisztémákat és a vízminőséget. Ezek a hatások különböző mértékben származhatnak ásványi és szerves trágyákból (a fel nem dolgozott istállótrágya jellemzően rosszabb kimosódási tulajdonságokkal rendelkezik, mint az ásványi műtrágyák). Amikor a műtrágyák kiszivárognak a környezetbe, </w:t>
      </w:r>
      <w:r>
        <w:rPr>
          <w:rFonts w:ascii="Times New Roman" w:hAnsi="Times New Roman"/>
          <w:b/>
          <w:noProof/>
          <w:sz w:val="24"/>
        </w:rPr>
        <w:t>dinitrogén-oxid</w:t>
      </w:r>
      <w:r>
        <w:rPr>
          <w:rFonts w:ascii="Times New Roman" w:hAnsi="Times New Roman"/>
          <w:noProof/>
          <w:sz w:val="24"/>
        </w:rPr>
        <w:t>, egy nagy üvegházhatással bíró gáz termelését is serkentik.</w:t>
      </w:r>
    </w:p>
    <w:p w14:paraId="61F9599C" w14:textId="77777777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</w:t>
      </w:r>
      <w:r>
        <w:rPr>
          <w:rFonts w:ascii="Times New Roman" w:hAnsi="Times New Roman"/>
          <w:b/>
          <w:noProof/>
          <w:sz w:val="24"/>
        </w:rPr>
        <w:t>optimalizált műtrágyafelhasználási hatékonyság</w:t>
      </w:r>
      <w:r>
        <w:rPr>
          <w:rFonts w:ascii="Times New Roman" w:hAnsi="Times New Roman"/>
          <w:noProof/>
          <w:sz w:val="24"/>
        </w:rPr>
        <w:t xml:space="preserve"> célja, hogy csökkentse a tényleges és az elérhető terméshozam közötti szakadékot, ezáltal csökkentve a műtrágyapazarlást és a környezeti károkat.</w:t>
      </w:r>
    </w:p>
    <w:p w14:paraId="35EF9761" w14:textId="2666B17A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ásványi trágyáknak az előállításuk során semmi vagy kevesebb kibocsátással járó </w:t>
      </w:r>
      <w:r>
        <w:rPr>
          <w:rFonts w:ascii="Times New Roman" w:hAnsi="Times New Roman"/>
          <w:b/>
          <w:noProof/>
          <w:sz w:val="24"/>
        </w:rPr>
        <w:t>szerves trágyákkal</w:t>
      </w:r>
      <w:r>
        <w:rPr>
          <w:rFonts w:ascii="Times New Roman" w:hAnsi="Times New Roman"/>
          <w:noProof/>
          <w:sz w:val="24"/>
        </w:rPr>
        <w:t xml:space="preserve"> való teljes helyettesítése rövid távon nem megvalósítható, tekintettel a meglévő föld- és élelmezésbiztonsági korlátokra és a jelenlegi táplálkozási szokásokra. Az </w:t>
      </w:r>
      <w:r>
        <w:rPr>
          <w:rFonts w:ascii="Times New Roman" w:hAnsi="Times New Roman"/>
          <w:b/>
          <w:noProof/>
          <w:sz w:val="24"/>
        </w:rPr>
        <w:t>importált ásványi műtrágyák használata és az azoktól való függés</w:t>
      </w:r>
      <w:r>
        <w:rPr>
          <w:rFonts w:ascii="Times New Roman" w:hAnsi="Times New Roman"/>
          <w:noProof/>
          <w:sz w:val="24"/>
        </w:rPr>
        <w:t xml:space="preserve"> azonban jelentősen csökkenthető a körforgásos gazdaság olyan megközelítéseinek bevezetésével és kiterjesztésével, mint a szennyvízből és más biohulladékokból (például háztartásokból származó komposztált zöld hulladékból) származó tápanyagok újrahasznosítása vagy a feldolgozott trágya felhasználása az elfolyási jellemzők javítása érdekében. Léteznek például az iszapból származó foszfor és nitrogén minimális újrafelhasználási és újrahasznosítási arányára vonatkozó szabályok, amelyeket a Bizottság a települési szennyvíz kezeléséről szóló felülvizsgált irányelvben</w:t>
      </w:r>
      <w:r>
        <w:rPr>
          <w:rStyle w:val="FootnoteReference"/>
          <w:rFonts w:ascii="Times New Roman" w:hAnsi="Times New Roman" w:cs="Times New Roman"/>
          <w:noProof/>
          <w:sz w:val="24"/>
        </w:rPr>
        <w:footnoteReference w:id="3"/>
      </w:r>
      <w:r>
        <w:rPr>
          <w:rFonts w:ascii="Times New Roman" w:hAnsi="Times New Roman"/>
          <w:noProof/>
          <w:sz w:val="24"/>
        </w:rPr>
        <w:t xml:space="preserve"> javasolt.</w:t>
      </w:r>
    </w:p>
    <w:p w14:paraId="438F38AF" w14:textId="0E79C226" w:rsidR="00B72FA4" w:rsidRDefault="00B72FA4" w:rsidP="00B72FA4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mezőgazdasági üzemekben a nitrogénfelhasználás hatékonyságának – a gazdálkodási gyakorlatok és a talajjal kapcsolatos ismeretek javítása, a precíziós gazdálkodás hasznosítása, valamint a nitrátokra vonatkozó cselekvési programok környezetszennyezés megelőzésére és csökkentésére irányuló intézkedéseinek végrehajtása révén történő – növelése elengedhetetlen a túlzott műtrágyahasználat csökkentéséhez, és hozzájárul a környezeti veszteségek csökkentéséhez és a tápanyagmegtartás javításához, csakúgy, mint az ökológiai gazdálkodás támogatásának növelése, a kisebb nitrogénigényű vagy a levegőből nitrogént megkötő, ezáltal a talajt tápláló növények termesztése. E megközelítések mindegyike járulékos előnyökkel kecsegtet környezetvédelmi, éghajlati és gazdasági szempontból, és erősíteni fogja az EU nyitott stratégiai autonómiáját. Az EU rezilienciájának és élelmezésbiztonságának javítása érdekében fel kell gyorsítani az e megközelítéseket támogató szakpolitikákat és intézkedéseket.</w:t>
      </w:r>
    </w:p>
    <w:p w14:paraId="4075F2D4" w14:textId="37DE1D2B" w:rsidR="00B72FA4" w:rsidRDefault="00B72FA4" w:rsidP="00A80E3D">
      <w:pPr>
        <w:spacing w:afterLines="120" w:after="288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br w:type="page"/>
      </w:r>
    </w:p>
    <w:p w14:paraId="391161C8" w14:textId="161C600C" w:rsidR="00EC2A9D" w:rsidRPr="00A80E3D" w:rsidRDefault="00AD3AA1" w:rsidP="00A80E3D">
      <w:pPr>
        <w:spacing w:afterLines="120" w:after="288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2. melléklet</w:t>
      </w:r>
    </w:p>
    <w:p w14:paraId="093C150C" w14:textId="6FBA6965" w:rsidR="22D8C74A" w:rsidRDefault="22D8C74A" w:rsidP="106FDA49">
      <w:pPr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 műtrágyapiacok helyzete az EU-ban és világszerte</w:t>
      </w:r>
    </w:p>
    <w:p w14:paraId="6AE113D7" w14:textId="7A8A3E34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</w:t>
      </w:r>
      <w:r>
        <w:rPr>
          <w:rFonts w:ascii="Times New Roman" w:hAnsi="Times New Roman"/>
          <w:b/>
          <w:noProof/>
          <w:sz w:val="24"/>
        </w:rPr>
        <w:t>európai műtrágyaipar</w:t>
      </w:r>
      <w:r>
        <w:rPr>
          <w:rFonts w:ascii="Times New Roman" w:hAnsi="Times New Roman"/>
          <w:noProof/>
          <w:sz w:val="24"/>
        </w:rPr>
        <w:t xml:space="preserve"> több mint 120 termelőüzemmel rendelkezik szerte a tagállamokban, ami jelzi az élelmezésbiztonság terén betöltött stratégiai szerepét. Az ágazat 2017-ben 61 000 főt foglalkoztatott, és 2017–2019-ben átlagos forgalma 23,3 milliárd EUR volt.</w:t>
      </w:r>
    </w:p>
    <w:p w14:paraId="57C3054E" w14:textId="6B884D46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</w:t>
      </w:r>
      <w:r>
        <w:rPr>
          <w:rFonts w:ascii="Times New Roman" w:hAnsi="Times New Roman"/>
          <w:b/>
          <w:noProof/>
          <w:sz w:val="24"/>
        </w:rPr>
        <w:t>előállított közbenső és a kész műtrágyatermékek teljes mennyisége</w:t>
      </w:r>
      <w:r>
        <w:rPr>
          <w:rFonts w:ascii="Times New Roman" w:hAnsi="Times New Roman"/>
          <w:noProof/>
          <w:sz w:val="24"/>
        </w:rPr>
        <w:t xml:space="preserve"> az EU-27-ben átlagosan 40,2 millió tonna volt (2019–2021). Az értéket tekintve a legnagyobb termelők Németország, Lengyelország, Franciaország és Spanyolország. Az ásványi műtrágyatermékek előállítása mellett az EU-27 üzemei 12,2 millió tonna ammóniát állítottak elő, amelyet főként műtrágyagyártásra, de más iparágakban, például vegyi anyagok előállítására is használnak. Az ammóniából előállított AdBlue-t reagensként használják a dízelkipufogógázok által okozott légszennyezés csökkentésére, és a szállításhoz használt teherautók miatt kritikus fontosságú az ellátási láncok számára. A szén-dioxid az ammóniatermelés fontos mellékterméke</w:t>
      </w:r>
      <w:r>
        <w:rPr>
          <w:rFonts w:ascii="Times New Roman" w:hAnsi="Times New Roman" w:cs="Times New Roman"/>
          <w:noProof/>
          <w:sz w:val="24"/>
          <w:vertAlign w:val="superscript"/>
        </w:rPr>
        <w:footnoteReference w:id="4"/>
      </w:r>
      <w:r w:rsidR="004A11FB">
        <w:rPr>
          <w:rFonts w:ascii="Times New Roman" w:hAnsi="Times New Roman"/>
          <w:noProof/>
          <w:sz w:val="24"/>
        </w:rPr>
        <w:t>.</w:t>
      </w:r>
    </w:p>
    <w:p w14:paraId="337D504F" w14:textId="3EB7CC94" w:rsidR="00B35E6C" w:rsidRDefault="00B35E6C" w:rsidP="00A80E3D">
      <w:pPr>
        <w:keepNext/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1. táblázat: Közbenső és kész műtrágyatermékek előállítása az EU-ban (1 000 tonna) </w:t>
      </w:r>
    </w:p>
    <w:p w14:paraId="2C30252E" w14:textId="6FA39AEA" w:rsidR="00786777" w:rsidRDefault="0023228F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2330E8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727AEE01" wp14:editId="4147DC1F">
            <wp:extent cx="5760720" cy="814705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3C8A" w14:textId="09450F6B" w:rsidR="00786777" w:rsidRPr="00A80E3D" w:rsidRDefault="00786777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Forrás: EUROSTAT Prodcom</w:t>
      </w:r>
    </w:p>
    <w:p w14:paraId="6FAF783F" w14:textId="64A0CA7F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</w:t>
      </w:r>
      <w:r>
        <w:rPr>
          <w:rFonts w:ascii="Times New Roman" w:hAnsi="Times New Roman"/>
          <w:b/>
          <w:noProof/>
          <w:sz w:val="24"/>
        </w:rPr>
        <w:t>ásványi nitrogénműtrágyák</w:t>
      </w:r>
      <w:r>
        <w:rPr>
          <w:rFonts w:ascii="Times New Roman" w:hAnsi="Times New Roman"/>
          <w:noProof/>
          <w:sz w:val="24"/>
        </w:rPr>
        <w:t xml:space="preserve"> mezőgazdasági </w:t>
      </w:r>
      <w:r>
        <w:rPr>
          <w:rFonts w:ascii="Times New Roman" w:hAnsi="Times New Roman"/>
          <w:b/>
          <w:noProof/>
          <w:sz w:val="24"/>
        </w:rPr>
        <w:t>fogyasztása</w:t>
      </w:r>
      <w:r>
        <w:rPr>
          <w:rFonts w:ascii="Times New Roman" w:hAnsi="Times New Roman"/>
          <w:noProof/>
          <w:sz w:val="24"/>
        </w:rPr>
        <w:t xml:space="preserve"> a becslések szerint 2018-ban 10,3 millió tonna volt az EU27-ben (tonna nitrogénben kifejezve). Az </w:t>
      </w:r>
      <w:r>
        <w:rPr>
          <w:rFonts w:ascii="Times New Roman" w:hAnsi="Times New Roman"/>
          <w:b/>
          <w:noProof/>
          <w:sz w:val="24"/>
        </w:rPr>
        <w:t>ásványi foszfátműtrágya-felhasználás</w:t>
      </w:r>
      <w:r>
        <w:rPr>
          <w:rFonts w:ascii="Times New Roman" w:hAnsi="Times New Roman"/>
          <w:noProof/>
          <w:sz w:val="24"/>
        </w:rPr>
        <w:t xml:space="preserve"> 2018-ban elérte az 1,2 millió tonnát. A szintetikus nitrogénműtrágyák felhasználása 2000 és 2018 között viszonylag stabil maradt, míg az ásványi foszforműtrágyák felhasználása a 2000. évi mintegy 1,6 millió tonnáról 2018-re 1,2 millió tonnára csökkent.</w:t>
      </w:r>
    </w:p>
    <w:p w14:paraId="03DF651F" w14:textId="21FDE7C1" w:rsidR="00FC4CD2" w:rsidRDefault="00FC4CD2" w:rsidP="00A80E3D">
      <w:pPr>
        <w:keepNext/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1. ábra: Ásványi műtrágyák használata az EU-ban (millió tonna tápanyag)</w:t>
      </w:r>
    </w:p>
    <w:p w14:paraId="73678272" w14:textId="534ADB94" w:rsidR="00FC4CD2" w:rsidRDefault="0023228F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E7588D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79D6AAD5" wp14:editId="15A0C5DF">
            <wp:extent cx="5760720" cy="376047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6E07" w14:textId="20D9BCD0" w:rsidR="00FC4CD2" w:rsidRPr="00A80E3D" w:rsidRDefault="00FC4CD2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Forrás: Eurostat</w:t>
      </w:r>
    </w:p>
    <w:p w14:paraId="39A4ECD7" w14:textId="6FE13804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műtrágyák </w:t>
      </w:r>
      <w:r>
        <w:rPr>
          <w:rFonts w:ascii="Times New Roman" w:hAnsi="Times New Roman"/>
          <w:b/>
          <w:noProof/>
          <w:sz w:val="24"/>
        </w:rPr>
        <w:t>nemzetközi kereskedelme</w:t>
      </w:r>
      <w:r>
        <w:rPr>
          <w:rFonts w:ascii="Times New Roman" w:hAnsi="Times New Roman"/>
          <w:noProof/>
          <w:sz w:val="24"/>
        </w:rPr>
        <w:t xml:space="preserve"> erősen koncentrált: 2020-ban a nitrogén (N) globális kereskedelmének 43 %-át, a foszfátok (P) 76 %-át és a hamuzsír (K) 83 %-át az öt legnagyobb tápanyagexportőr tette ki. A műtrágyák előállításához felhasznált nyersanyagkészletek egyenlőtlenül oszlanak meg. A globális foszforlelőhelyek mindegyike Európán kívül található: a </w:t>
      </w:r>
      <w:r>
        <w:rPr>
          <w:rFonts w:ascii="Times New Roman" w:hAnsi="Times New Roman"/>
          <w:b/>
          <w:noProof/>
          <w:sz w:val="24"/>
        </w:rPr>
        <w:t>nyersfoszfátbányászat</w:t>
      </w:r>
      <w:r>
        <w:rPr>
          <w:rFonts w:ascii="Times New Roman" w:hAnsi="Times New Roman"/>
          <w:noProof/>
          <w:sz w:val="24"/>
        </w:rPr>
        <w:t xml:space="preserve"> mintegy háromnegyede Kína, Marokkó, Szaúd-Arábia, Oroszország, az Egyesült Államok és Tunézia között oszlik meg. A globális készletek 68 %-a a fehéroroszországi, kanadai és oroszországi </w:t>
      </w:r>
      <w:r>
        <w:rPr>
          <w:rFonts w:ascii="Times New Roman" w:hAnsi="Times New Roman"/>
          <w:b/>
          <w:noProof/>
          <w:sz w:val="24"/>
        </w:rPr>
        <w:t>hamuzsírlelőhelyekről</w:t>
      </w:r>
      <w:r w:rsidR="004A11FB">
        <w:rPr>
          <w:rFonts w:ascii="Times New Roman" w:hAnsi="Times New Roman"/>
          <w:noProof/>
          <w:sz w:val="24"/>
        </w:rPr>
        <w:t xml:space="preserve"> származik.</w:t>
      </w:r>
    </w:p>
    <w:p w14:paraId="4CF8D7A1" w14:textId="7B3CBDBD" w:rsidR="00495A0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Az EU</w:t>
      </w:r>
      <w:r>
        <w:rPr>
          <w:rFonts w:ascii="Times New Roman" w:hAnsi="Times New Roman"/>
          <w:noProof/>
          <w:sz w:val="24"/>
        </w:rPr>
        <w:t xml:space="preserve"> 2021-ben mintegy 26 millió tonna nitrogént, foszfátot, káliumot és közbenső terméket </w:t>
      </w:r>
      <w:r>
        <w:rPr>
          <w:rFonts w:ascii="Times New Roman" w:hAnsi="Times New Roman"/>
          <w:b/>
          <w:noProof/>
          <w:sz w:val="24"/>
        </w:rPr>
        <w:t>importált</w:t>
      </w:r>
      <w:r>
        <w:rPr>
          <w:rFonts w:ascii="Times New Roman" w:hAnsi="Times New Roman"/>
          <w:noProof/>
          <w:sz w:val="24"/>
        </w:rPr>
        <w:t xml:space="preserve">, elsősorban nitrogénalapú (10,6 millió tonna) – azaz ammóniát, karbamidot, karbamid-ammónium-nitrátot, ammónium-nitrátot stb. tartalmazó – termékeket, hamuzsírt (3,4 millió tonna), foszfort és prekurzorokat (6,4 millió tonna), valamint a három tápanyagot – nitrogént (N), foszfort (P) és káliumot (K) (5,6 millió tonna) – tartalmazó összetett műtrágyákat. A behozatal az EU nitrogén-, foszfát- és hamuzsír-fogyasztásának 30, 68, illetve 85 %-át teszi ki. Ami a </w:t>
      </w:r>
      <w:r>
        <w:rPr>
          <w:rFonts w:ascii="Times New Roman" w:hAnsi="Times New Roman"/>
          <w:b/>
          <w:noProof/>
          <w:sz w:val="24"/>
        </w:rPr>
        <w:t>foszfátokat</w:t>
      </w:r>
      <w:r>
        <w:rPr>
          <w:rFonts w:ascii="Times New Roman" w:hAnsi="Times New Roman"/>
          <w:noProof/>
          <w:sz w:val="24"/>
        </w:rPr>
        <w:t xml:space="preserve"> illeti, az uniós import 28 %-a Marokkóból, 23 %-a pedig Oroszországból származik. A </w:t>
      </w:r>
      <w:r>
        <w:rPr>
          <w:rFonts w:ascii="Times New Roman" w:hAnsi="Times New Roman"/>
          <w:b/>
          <w:noProof/>
          <w:sz w:val="24"/>
        </w:rPr>
        <w:t>hamuzsír</w:t>
      </w:r>
      <w:r>
        <w:rPr>
          <w:rFonts w:ascii="Times New Roman" w:hAnsi="Times New Roman"/>
          <w:noProof/>
          <w:sz w:val="24"/>
        </w:rPr>
        <w:t xml:space="preserve"> esetében az uniós import</w:t>
      </w:r>
      <w:r>
        <w:rPr>
          <w:rFonts w:ascii="Times New Roman" w:hAnsi="Times New Roman" w:cs="Times New Roman"/>
          <w:noProof/>
          <w:sz w:val="24"/>
          <w:vertAlign w:val="superscript"/>
        </w:rPr>
        <w:footnoteReference w:id="5"/>
      </w:r>
      <w:r>
        <w:rPr>
          <w:rFonts w:ascii="Times New Roman" w:hAnsi="Times New Roman"/>
          <w:noProof/>
          <w:sz w:val="24"/>
        </w:rPr>
        <w:t xml:space="preserve"> 64 %-a Oroszországból és Belaruszból</w:t>
      </w:r>
      <w:r>
        <w:rPr>
          <w:rFonts w:ascii="Times New Roman" w:hAnsi="Times New Roman" w:cs="Times New Roman"/>
          <w:noProof/>
          <w:sz w:val="24"/>
          <w:vertAlign w:val="superscript"/>
        </w:rPr>
        <w:footnoteReference w:id="6"/>
      </w:r>
      <w:r w:rsidR="004A11FB">
        <w:rPr>
          <w:rFonts w:ascii="Times New Roman" w:hAnsi="Times New Roman"/>
          <w:noProof/>
          <w:sz w:val="24"/>
        </w:rPr>
        <w:t xml:space="preserve"> származott.</w:t>
      </w:r>
    </w:p>
    <w:p w14:paraId="071ED9F0" w14:textId="5487BA56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2022-re vonatkozó, az év első nyolc hónapján alapuló becslések szerint a műtrágyaimport összességében mintegy 13 %-kal csökkent, főként a hamuzsír, a foszfátok és az összetett műtrágyák tekintetében, míg az ammónia- és nitrogénműtrágyák behozatala 2022-ben jelentősen nőtt (az év első nyolc hónapjában 19 %-kal nőtt 2021 azonos időszakához képest).</w:t>
      </w:r>
    </w:p>
    <w:p w14:paraId="4BE26852" w14:textId="5EC761C0" w:rsidR="008F2563" w:rsidRDefault="008F2563" w:rsidP="008F2563">
      <w:pPr>
        <w:keepNext/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2. ábra: Közbenső és kész műtrágyák uniós behozatala (millió tonna termék) – január-augusztus</w:t>
      </w:r>
    </w:p>
    <w:p w14:paraId="47C8E9FB" w14:textId="0B4AB5A8" w:rsidR="008F2563" w:rsidRDefault="0023228F" w:rsidP="008F256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491277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4C27A195" wp14:editId="668B4F33">
            <wp:extent cx="5760720" cy="3763010"/>
            <wp:effectExtent l="0" t="0" r="0" b="8890"/>
            <wp:docPr id="9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51402" w14:textId="31158570" w:rsidR="008F2563" w:rsidRPr="00AA2C36" w:rsidRDefault="008F2563" w:rsidP="008F256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Forrás: Eurostat Comext</w:t>
      </w:r>
    </w:p>
    <w:p w14:paraId="616B4D86" w14:textId="704FDA7B" w:rsidR="008F2563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Az </w:t>
      </w:r>
      <w:r>
        <w:rPr>
          <w:rFonts w:ascii="Times New Roman" w:hAnsi="Times New Roman"/>
          <w:b/>
          <w:noProof/>
          <w:sz w:val="24"/>
        </w:rPr>
        <w:t>uniós műtrágyaexport</w:t>
      </w:r>
      <w:r>
        <w:rPr>
          <w:rFonts w:ascii="Times New Roman" w:hAnsi="Times New Roman"/>
          <w:noProof/>
          <w:sz w:val="24"/>
        </w:rPr>
        <w:t xml:space="preserve"> 2021-ben évente 12,9 millió tonnát tett ki, ez főként nitrogénműtrágya (7,8 millió tonna) és összetett mű</w:t>
      </w:r>
      <w:r w:rsidR="004A11FB">
        <w:rPr>
          <w:rFonts w:ascii="Times New Roman" w:hAnsi="Times New Roman"/>
          <w:noProof/>
          <w:sz w:val="24"/>
        </w:rPr>
        <w:t>trágya (3,6 millió tonna) volt.</w:t>
      </w:r>
    </w:p>
    <w:p w14:paraId="459B79E5" w14:textId="5152FEDE" w:rsidR="00EC2A9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t>2022-ben csökkent az ásványi műtrágyák exportja (–13 % az év első nyolc hónapjában 2021-hez képest).</w:t>
      </w:r>
    </w:p>
    <w:p w14:paraId="38A658BB" w14:textId="68FB5932" w:rsidR="008F2563" w:rsidRDefault="008F2563" w:rsidP="008F2563">
      <w:pPr>
        <w:keepNext/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3. ábra: Közbenső és kész műtrágyák uniós kivitele (millió tonna termék) – január-augusztus</w:t>
      </w:r>
    </w:p>
    <w:p w14:paraId="60A6D1ED" w14:textId="454C5C3A" w:rsidR="008F2563" w:rsidRDefault="0023228F" w:rsidP="008F256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5546F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1D7AFBB5" wp14:editId="7CE57988">
            <wp:extent cx="5760720" cy="3763010"/>
            <wp:effectExtent l="0" t="0" r="0" b="8890"/>
            <wp:docPr id="10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062B0" w14:textId="77777777" w:rsidR="008F2563" w:rsidRPr="00AA2C36" w:rsidRDefault="008F2563" w:rsidP="008F256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Forrás: Eurostat Comext</w:t>
      </w:r>
    </w:p>
    <w:p w14:paraId="18BBF671" w14:textId="67A6ECCE" w:rsidR="00EC614B" w:rsidRDefault="00EC614B" w:rsidP="00EC614B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magas és változékony műtrágyaárak kihívást jelentenek az uniós mezőgazdasági termelők számára. A műtrágyák a </w:t>
      </w:r>
      <w:r>
        <w:rPr>
          <w:rFonts w:ascii="Times New Roman" w:hAnsi="Times New Roman"/>
          <w:b/>
          <w:noProof/>
          <w:sz w:val="24"/>
        </w:rPr>
        <w:t>mezőgazdasági termelők inputköltségeinek jelentős részét</w:t>
      </w:r>
      <w:r>
        <w:rPr>
          <w:rFonts w:ascii="Times New Roman" w:hAnsi="Times New Roman"/>
          <w:noProof/>
          <w:sz w:val="24"/>
        </w:rPr>
        <w:t xml:space="preserve"> teszik ki: a 2017–2020 közötti időszakban átlagosan mintegy 6 %-ot, a szántóföldi növényekkel foglalkozó mezőgazdasági termelők esetében pedig 12 %-ot. A mezőgazdasági árucikkek magas árai miatt a szántóföldi növények termelői számára a magas árak ellenére is megérheti optimális műtrágyamennyiséget használni. A mezőgazdasági termelők azonban </w:t>
      </w:r>
      <w:r>
        <w:rPr>
          <w:rFonts w:ascii="Times New Roman" w:hAnsi="Times New Roman"/>
          <w:b/>
          <w:noProof/>
          <w:sz w:val="24"/>
        </w:rPr>
        <w:t>nem ismerik bizonyossággal a jövőbeli terményárakat</w:t>
      </w:r>
      <w:r>
        <w:rPr>
          <w:rFonts w:ascii="Times New Roman" w:hAnsi="Times New Roman"/>
          <w:noProof/>
          <w:sz w:val="24"/>
        </w:rPr>
        <w:t>. A műtrágyaárindexek az utóbbi időben nagyobb mértékben növekedtek, mint az élelmiszertermékek árindexei, ami „ollóhatásra” utal. A mezőgazdasági termelők rendszerint műtrágyakészleteket halmoznak fel a következő nyári vetési időszakra. 2022-ben elhala</w:t>
      </w:r>
      <w:r w:rsidR="004A11FB">
        <w:rPr>
          <w:rFonts w:ascii="Times New Roman" w:hAnsi="Times New Roman"/>
          <w:noProof/>
          <w:sz w:val="24"/>
        </w:rPr>
        <w:t>sztották ezeket a vásárlásokat.</w:t>
      </w:r>
    </w:p>
    <w:p w14:paraId="78A01862" w14:textId="53C44776" w:rsidR="00EC2A9D" w:rsidRPr="00820915" w:rsidRDefault="00EC2A9D" w:rsidP="00F318F0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</w:t>
      </w:r>
      <w:r>
        <w:rPr>
          <w:rFonts w:ascii="Times New Roman" w:hAnsi="Times New Roman"/>
          <w:b/>
          <w:noProof/>
          <w:sz w:val="24"/>
        </w:rPr>
        <w:t>műtrágya világpiaci ára</w:t>
      </w:r>
      <w:r>
        <w:rPr>
          <w:rFonts w:ascii="Times New Roman" w:hAnsi="Times New Roman"/>
          <w:noProof/>
          <w:sz w:val="24"/>
        </w:rPr>
        <w:t xml:space="preserve"> 2021 eleje óta fokozatosan emelkedett, és 2021 szeptembere és novembere között, az Ukrajna elleni orosz inváziót követően, majd 2022 áprilisában tetőzött. Az árak azóta kissé csökkentek, elsősorban a nitrogén- és foszfáttartalmú műtrágyák esetében. Szeptemberben áremelkedés volt tapasztalható, különösen a karbamid esetében. A 2016–2020-as referencia-időszak átlagához képest az árak 2022 szeptemberében még mindig rendkívül magasak: +128 % a diammónium-foszfát, +200 % a karbamid és +141 % a hamuzsír esetében.</w:t>
      </w:r>
    </w:p>
    <w:p w14:paraId="30D471C5" w14:textId="74AD18F5" w:rsidR="00EC2A9D" w:rsidRDefault="00771619" w:rsidP="00F318F0">
      <w:pPr>
        <w:keepNext/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4. ábra: A m</w:t>
      </w:r>
      <w:r w:rsidR="00EC2A9D">
        <w:rPr>
          <w:rFonts w:ascii="Times New Roman" w:hAnsi="Times New Roman"/>
          <w:noProof/>
          <w:sz w:val="24"/>
        </w:rPr>
        <w:t>űtrágyatermékek világpiaci ára (USD/tonna)</w:t>
      </w:r>
    </w:p>
    <w:p w14:paraId="611D6A4E" w14:textId="5511AE4E" w:rsidR="00EC2A9D" w:rsidRDefault="0023228F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7F3848"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2258C9EB" wp14:editId="11E8AC69">
            <wp:extent cx="5760720" cy="3761740"/>
            <wp:effectExtent l="0" t="0" r="0" b="0"/>
            <wp:docPr id="11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2713" w14:textId="77777777" w:rsidR="00EC2A9D" w:rsidRPr="00A80E3D" w:rsidRDefault="00EC2A9D" w:rsidP="00EC2A9D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16"/>
        </w:rPr>
      </w:pPr>
      <w:r>
        <w:rPr>
          <w:rFonts w:ascii="Times New Roman" w:hAnsi="Times New Roman"/>
          <w:noProof/>
          <w:sz w:val="16"/>
        </w:rPr>
        <w:t>Forrás: A Világbank nyersanyagár-adatai</w:t>
      </w:r>
    </w:p>
    <w:p w14:paraId="6EBFD5D0" w14:textId="2BF64F5D" w:rsidR="000E4023" w:rsidRDefault="000E4023" w:rsidP="19609A9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A </w:t>
      </w:r>
      <w:r>
        <w:rPr>
          <w:rFonts w:ascii="Times New Roman" w:hAnsi="Times New Roman"/>
          <w:b/>
          <w:noProof/>
          <w:sz w:val="24"/>
        </w:rPr>
        <w:t>globális műtrágyapiacokat súlyosan érintette</w:t>
      </w:r>
      <w:r>
        <w:rPr>
          <w:rFonts w:ascii="Times New Roman" w:hAnsi="Times New Roman"/>
          <w:noProof/>
          <w:sz w:val="24"/>
        </w:rPr>
        <w:t xml:space="preserve"> Oroszország Ukrajna elleni inváziója, különösen a földgáztól való függésük és a piaci zavarok, többek között a kulcsfontosságú termelő országok, például Oroszország és Kína által bevezetett </w:t>
      </w:r>
      <w:r>
        <w:rPr>
          <w:rFonts w:ascii="Times New Roman" w:hAnsi="Times New Roman"/>
          <w:b/>
          <w:noProof/>
          <w:sz w:val="24"/>
        </w:rPr>
        <w:t>exportkorlátozások</w:t>
      </w:r>
      <w:r>
        <w:rPr>
          <w:rFonts w:ascii="Times New Roman" w:hAnsi="Times New Roman"/>
          <w:noProof/>
          <w:sz w:val="24"/>
        </w:rPr>
        <w:t xml:space="preserve"> miatt. Oroszország a világ vezető műtrágyaexportőre, különös tekintettel a nitrogénre, valamint a foszfáttartalmú műtrágyák második legfontosabb exportőre. Egy olyan fontos gyártó, mint Oroszország által a műtrágyaexportra vonatkozóan bevezetett korlátozások különösen súlyosan érintik a világpiacot.</w:t>
      </w:r>
    </w:p>
    <w:p w14:paraId="507A76BC" w14:textId="7139BBF6" w:rsidR="000E4023" w:rsidRDefault="000E4023" w:rsidP="000E4023">
      <w:pPr>
        <w:spacing w:afterLines="120" w:after="288" w:line="240" w:lineRule="auto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 műtrágyák megfizethetősége romlott, mivel a műtrágyaárak gyorsabban emelkedtek, mint a mezőgazdasági termékek árai. Világszerte számos ország csupán néhány kereskedelmi partnerre támaszkodik a műtrágyaimport tekintetében, ezért trágyaimport-számláik és termelési költségeik is megemelkednek, ami viszont negatívan fogja befolyásolni a betakarítást. Ha a következő vetési időszakig magasak maradnak a műtrágyaárak, a probléma valószínűleg a rizstermesztést is eléri, ez pedig mintegy 3 milliárd embert fog kedvezőtlenül érinteni Amerikában és Ázsiában, akik számára a rizs alapvető élelmiszer.</w:t>
      </w:r>
    </w:p>
    <w:sectPr w:rsidR="000E4023" w:rsidSect="00AD3AA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2DC0D8" w16cid:durableId="20CBF511"/>
  <w16cid:commentId w16cid:paraId="284C0C64" w16cid:durableId="5F25C9E0"/>
  <w16cid:commentId w16cid:paraId="08841DB7" w16cid:durableId="2B6145A2"/>
  <w16cid:commentId w16cid:paraId="4F74B099" w16cid:durableId="51DF78A9"/>
  <w16cid:commentId w16cid:paraId="4AA7C37C" w16cid:durableId="7918F530"/>
  <w16cid:commentId w16cid:paraId="21034716" w16cid:durableId="00CC43D9"/>
  <w16cid:commentId w16cid:paraId="15CAE512" w16cid:durableId="209A1E4E"/>
  <w16cid:commentId w16cid:paraId="23C2A15B" w16cid:durableId="267B3B57"/>
  <w16cid:commentId w16cid:paraId="7CB4F446" w16cid:durableId="4446B5C9"/>
  <w16cid:commentId w16cid:paraId="450C27ED" w16cid:durableId="64988EBD"/>
  <w16cid:commentId w16cid:paraId="7E648ABB" w16cid:durableId="0E6B1DED"/>
  <w16cid:commentId w16cid:paraId="13A0DBEF" w16cid:durableId="6311A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DD439" w14:textId="77777777" w:rsidR="00EC2A9D" w:rsidRDefault="00EC2A9D" w:rsidP="00EC2A9D">
      <w:pPr>
        <w:spacing w:after="0" w:line="240" w:lineRule="auto"/>
      </w:pPr>
      <w:r>
        <w:separator/>
      </w:r>
    </w:p>
  </w:endnote>
  <w:endnote w:type="continuationSeparator" w:id="0">
    <w:p w14:paraId="782868F6" w14:textId="77777777" w:rsidR="00EC2A9D" w:rsidRDefault="00EC2A9D" w:rsidP="00EC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19A7" w14:textId="77777777" w:rsidR="00052A71" w:rsidRPr="00052A71" w:rsidRDefault="00052A71" w:rsidP="0005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8BECE" w14:textId="56BDCE7D" w:rsidR="00AD3AA1" w:rsidRPr="00052A71" w:rsidRDefault="00052A71" w:rsidP="00052A71">
    <w:pPr>
      <w:pStyle w:val="FooterCoverPage"/>
      <w:spacing w:after="288"/>
      <w:rPr>
        <w:rFonts w:ascii="Arial" w:hAnsi="Arial" w:cs="Arial"/>
        <w:b/>
        <w:sz w:val="48"/>
      </w:rPr>
    </w:pPr>
    <w:r w:rsidRPr="00052A71">
      <w:rPr>
        <w:rFonts w:ascii="Arial" w:hAnsi="Arial" w:cs="Arial"/>
        <w:b/>
        <w:sz w:val="48"/>
      </w:rPr>
      <w:t>HU</w:t>
    </w:r>
    <w:r w:rsidRPr="00052A71">
      <w:rPr>
        <w:rFonts w:ascii="Arial" w:hAnsi="Arial" w:cs="Arial"/>
        <w:b/>
        <w:sz w:val="48"/>
      </w:rPr>
      <w:tab/>
    </w:r>
    <w:r w:rsidRPr="00052A71">
      <w:rPr>
        <w:rFonts w:ascii="Arial" w:hAnsi="Arial" w:cs="Arial"/>
        <w:b/>
        <w:sz w:val="48"/>
      </w:rPr>
      <w:tab/>
    </w:r>
    <w:r w:rsidRPr="00052A71">
      <w:tab/>
    </w:r>
    <w:r w:rsidRPr="00052A71">
      <w:rPr>
        <w:rFonts w:ascii="Arial" w:hAnsi="Arial" w:cs="Arial"/>
        <w:b/>
        <w:sz w:val="48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107DB" w14:textId="77777777" w:rsidR="00AD3AA1" w:rsidRPr="00052A71" w:rsidRDefault="00AD3AA1" w:rsidP="00052A71">
    <w:pPr>
      <w:pStyle w:val="FooterCoverPage"/>
      <w:spacing w:after="28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A8AA" w14:textId="77777777" w:rsidR="00AD3AA1" w:rsidRDefault="00AD3AA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890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87A89D2" w14:textId="2D25AE82" w:rsidR="00AD3AA1" w:rsidRPr="00B97DCE" w:rsidRDefault="00AD3AA1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052A71">
          <w:rPr>
            <w:rFonts w:ascii="Times New Roman" w:hAnsi="Times New Roman" w:cs="Times New Roman"/>
            <w:noProof/>
            <w:sz w:val="24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00617A7" w14:textId="77777777" w:rsidR="00AD3AA1" w:rsidRDefault="00AD3AA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909" w14:textId="77777777" w:rsidR="00AD3AA1" w:rsidRDefault="00AD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2ED5" w14:textId="77777777" w:rsidR="00EC2A9D" w:rsidRDefault="00EC2A9D" w:rsidP="00EC2A9D">
      <w:pPr>
        <w:spacing w:after="0" w:line="240" w:lineRule="auto"/>
      </w:pPr>
      <w:r>
        <w:separator/>
      </w:r>
    </w:p>
  </w:footnote>
  <w:footnote w:type="continuationSeparator" w:id="0">
    <w:p w14:paraId="55248F38" w14:textId="77777777" w:rsidR="00EC2A9D" w:rsidRDefault="00EC2A9D" w:rsidP="00EC2A9D">
      <w:pPr>
        <w:spacing w:after="0" w:line="240" w:lineRule="auto"/>
      </w:pPr>
      <w:r>
        <w:continuationSeparator/>
      </w:r>
    </w:p>
  </w:footnote>
  <w:footnote w:id="1">
    <w:p w14:paraId="3D7E8364" w14:textId="77777777" w:rsidR="00B72FA4" w:rsidRDefault="00B72FA4" w:rsidP="00B72F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 K a káliumot jelöli.</w:t>
      </w:r>
    </w:p>
  </w:footnote>
  <w:footnote w:id="2">
    <w:p w14:paraId="39837675" w14:textId="77777777" w:rsidR="00B72FA4" w:rsidRPr="00E9433A" w:rsidRDefault="00B72FA4" w:rsidP="00B72F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Ezek az adatok egy műtrágyagyártó által az elmúlt 15 évben a többféle nitrogéntartalom alapján végzett tudományos kísérletekből származnak. Meg kell jegyezni, hogy Európa egyes régióiban túllépik az optimális trágyázás mértékét.</w:t>
      </w:r>
    </w:p>
  </w:footnote>
  <w:footnote w:id="3">
    <w:p w14:paraId="03644C43" w14:textId="77777777" w:rsidR="00B72FA4" w:rsidRPr="007A5798" w:rsidRDefault="00B72FA4" w:rsidP="00B72F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 Tanács 91/271/EGK irányelve (1991. május 21.) a települési szennyvíz kezeléséről.</w:t>
      </w:r>
    </w:p>
  </w:footnote>
  <w:footnote w:id="4">
    <w:p w14:paraId="2F0AF091" w14:textId="006347C3" w:rsidR="00EC2A9D" w:rsidRPr="00F31359" w:rsidRDefault="00EC2A9D" w:rsidP="00EC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Állatok elkábítására, hús csomagolására az eltarthatóság meghosszabbítása érdekében, valamint szénsavas italokhoz használják.</w:t>
      </w:r>
    </w:p>
  </w:footnote>
  <w:footnote w:id="5">
    <w:p w14:paraId="51BBAD49" w14:textId="1BD54AE2" w:rsidR="00EC2A9D" w:rsidRPr="00F31359" w:rsidRDefault="00EC2A9D" w:rsidP="00EC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Európai Bizottság (2020), </w:t>
      </w:r>
      <w:hyperlink r:id="rId1" w:history="1">
        <w:r>
          <w:rPr>
            <w:rStyle w:val="Hyperlink"/>
          </w:rPr>
          <w:t>Non-critical Raw Materials Factsheets</w:t>
        </w:r>
      </w:hyperlink>
      <w:r>
        <w:t xml:space="preserve"> (Nem kritikus fontosságú nyersanyagokra vonatkozó tájékoztatók), 412. o.</w:t>
      </w:r>
    </w:p>
  </w:footnote>
  <w:footnote w:id="6">
    <w:p w14:paraId="27F3B5B8" w14:textId="3D2D5612" w:rsidR="00EC2A9D" w:rsidRPr="00F31359" w:rsidDel="003670C4" w:rsidRDefault="00EC2A9D" w:rsidP="00EC2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Az EU 2021. június 24-én korlátozó intézkedéseket vezetett be a Belaruszból származó hamuzsír behozatalára vonatkozóan, válaszul az országban elkövetett súlyos emberi jogi jogsértések eszkalálódására.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BFFA" w14:textId="77777777" w:rsidR="00052A71" w:rsidRPr="00052A71" w:rsidRDefault="00052A71" w:rsidP="0005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C0075" w14:textId="77777777" w:rsidR="00AD3AA1" w:rsidRPr="00052A71" w:rsidRDefault="00AD3AA1" w:rsidP="00052A71">
    <w:pPr>
      <w:pStyle w:val="HeaderCoverPage"/>
      <w:spacing w:after="2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AA668" w14:textId="77777777" w:rsidR="00AD3AA1" w:rsidRPr="00052A71" w:rsidRDefault="00AD3AA1" w:rsidP="00052A71">
    <w:pPr>
      <w:pStyle w:val="HeaderCoverPage"/>
      <w:spacing w:after="28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9150" w14:textId="77777777" w:rsidR="00AD3AA1" w:rsidRDefault="00AD3AA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2618" w14:textId="77777777" w:rsidR="00AD3AA1" w:rsidRDefault="00AD3AA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CCB38" w14:textId="77777777" w:rsidR="00AD3AA1" w:rsidRDefault="00AD3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5145E"/>
    <w:multiLevelType w:val="multilevel"/>
    <w:tmpl w:val="4086C41E"/>
    <w:lvl w:ilvl="0">
      <w:start w:val="1"/>
      <w:numFmt w:val="decimal"/>
      <w:pStyle w:val="Heading1"/>
      <w:lvlText w:val="%1."/>
      <w:lvlJc w:val="left"/>
      <w:pPr>
        <w:tabs>
          <w:tab w:val="num" w:pos="482"/>
        </w:tabs>
        <w:ind w:left="482" w:hanging="48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564"/>
        </w:tabs>
        <w:ind w:left="2564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562"/>
        </w:tabs>
        <w:ind w:left="2562" w:hanging="720"/>
      </w:pPr>
      <w:rPr>
        <w:i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2"/>
        </w:tabs>
        <w:ind w:left="1922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a következőhöz: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668E298-9EDA-4B7F-854C-1CDA44516576"/>
    <w:docVar w:name="LW_COVERPAGE_TYPE" w:val="1"/>
    <w:docVar w:name="LW_CROSSREFERENCE" w:val="&lt;UNUSED&gt;"/>
    <w:docVar w:name="LW_DocType" w:val="NORMAL"/>
    <w:docVar w:name="LW_EMISSION" w:val="2022.11.9."/>
    <w:docVar w:name="LW_EMISSION_ISODATE" w:val="2022-11-09"/>
    <w:docVar w:name="LW_EMISSION_LOCATION" w:val="BRX"/>
    <w:docVar w:name="LW_EMISSION_PREFIX" w:val="Brüsszel, "/>
    <w:docVar w:name="LW_EMISSION_SUFFIX" w:val=" "/>
    <w:docVar w:name="LW_ID_DOCTYPE_NONLW" w:val="CP-039"/>
    <w:docVar w:name="LW_LANGUE" w:val="HU"/>
    <w:docVar w:name="LW_LEVEL_OF_SENSITIVITY" w:val="Standard treatment"/>
    <w:docVar w:name="LW_NOM.INST" w:val="EURÓPAI BIZOTTSÁG"/>
    <w:docVar w:name="LW_NOM.INST_JOINTDOC" w:val="&lt;EMPTY&gt;"/>
    <w:docVar w:name="LW_OBJETACTEPRINCIPAL.CP" w:val="&lt;FMT:Bold&gt;A műtrágyák rendelkezésre állásának és megfizethetőségének biztosítása&lt;/FMT&gt;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2) 59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MELLÉKLETEK_x000b_"/>
    <w:docVar w:name="LW_TYPEACTEPRINCIPAL.CP" w:val="A BIZOTTSÁG KÖZLEMÉNYE AZ EURÓPAI PARLAMENTNEK, A TANÁCSNAK, AZ EURÓPAI GAZDASÁGI ÉS SZOCIÁLIS BIZOTTSÁGNAK ÉS A RÉGIÓK BIZOTTSÁGÁNAK"/>
    <w:docVar w:name="LwApiVersions" w:val="LW4CoDe 1.23.2.0; LW 8.0, Build 20211117"/>
  </w:docVars>
  <w:rsids>
    <w:rsidRoot w:val="00EC2A9D"/>
    <w:rsid w:val="00032312"/>
    <w:rsid w:val="00040258"/>
    <w:rsid w:val="000440FA"/>
    <w:rsid w:val="00044B8A"/>
    <w:rsid w:val="00052A71"/>
    <w:rsid w:val="00054E19"/>
    <w:rsid w:val="000943FB"/>
    <w:rsid w:val="00094E09"/>
    <w:rsid w:val="00094E1A"/>
    <w:rsid w:val="000C01A0"/>
    <w:rsid w:val="000E4023"/>
    <w:rsid w:val="000E6DBC"/>
    <w:rsid w:val="000F2510"/>
    <w:rsid w:val="000F72DE"/>
    <w:rsid w:val="000F7B72"/>
    <w:rsid w:val="00126891"/>
    <w:rsid w:val="00135E27"/>
    <w:rsid w:val="001377BA"/>
    <w:rsid w:val="00177989"/>
    <w:rsid w:val="00196A1C"/>
    <w:rsid w:val="001C6F85"/>
    <w:rsid w:val="001E196E"/>
    <w:rsid w:val="0021352A"/>
    <w:rsid w:val="002148CD"/>
    <w:rsid w:val="00216E21"/>
    <w:rsid w:val="00221A10"/>
    <w:rsid w:val="0023228F"/>
    <w:rsid w:val="00242AE8"/>
    <w:rsid w:val="00242FD8"/>
    <w:rsid w:val="002568A6"/>
    <w:rsid w:val="00262627"/>
    <w:rsid w:val="00286076"/>
    <w:rsid w:val="00290998"/>
    <w:rsid w:val="002A1D56"/>
    <w:rsid w:val="002C0ADD"/>
    <w:rsid w:val="002D3FAD"/>
    <w:rsid w:val="002F6E01"/>
    <w:rsid w:val="00300FF4"/>
    <w:rsid w:val="003239D3"/>
    <w:rsid w:val="0034231F"/>
    <w:rsid w:val="00346FBB"/>
    <w:rsid w:val="00356842"/>
    <w:rsid w:val="00375703"/>
    <w:rsid w:val="00391837"/>
    <w:rsid w:val="003D4510"/>
    <w:rsid w:val="003D72BD"/>
    <w:rsid w:val="003F5F27"/>
    <w:rsid w:val="0042267F"/>
    <w:rsid w:val="004301F0"/>
    <w:rsid w:val="004356D3"/>
    <w:rsid w:val="00450110"/>
    <w:rsid w:val="004532CC"/>
    <w:rsid w:val="00455828"/>
    <w:rsid w:val="004671D9"/>
    <w:rsid w:val="00495A0D"/>
    <w:rsid w:val="004A11FB"/>
    <w:rsid w:val="004A16EA"/>
    <w:rsid w:val="004B76DE"/>
    <w:rsid w:val="004C1909"/>
    <w:rsid w:val="00535F89"/>
    <w:rsid w:val="00541405"/>
    <w:rsid w:val="00557B2C"/>
    <w:rsid w:val="005612D8"/>
    <w:rsid w:val="00570DB2"/>
    <w:rsid w:val="005B5867"/>
    <w:rsid w:val="005D0E9C"/>
    <w:rsid w:val="00605D92"/>
    <w:rsid w:val="00646F9E"/>
    <w:rsid w:val="00665898"/>
    <w:rsid w:val="0069411F"/>
    <w:rsid w:val="006A0C77"/>
    <w:rsid w:val="006B78BD"/>
    <w:rsid w:val="006C39EA"/>
    <w:rsid w:val="006E4514"/>
    <w:rsid w:val="006E52D6"/>
    <w:rsid w:val="0074007F"/>
    <w:rsid w:val="0075616B"/>
    <w:rsid w:val="00771619"/>
    <w:rsid w:val="00780988"/>
    <w:rsid w:val="00786777"/>
    <w:rsid w:val="007E32C9"/>
    <w:rsid w:val="00802BA4"/>
    <w:rsid w:val="0081266E"/>
    <w:rsid w:val="00827101"/>
    <w:rsid w:val="00836348"/>
    <w:rsid w:val="00847787"/>
    <w:rsid w:val="008565E9"/>
    <w:rsid w:val="00893CB9"/>
    <w:rsid w:val="008B078D"/>
    <w:rsid w:val="008C0015"/>
    <w:rsid w:val="008E6626"/>
    <w:rsid w:val="008F2563"/>
    <w:rsid w:val="009139C0"/>
    <w:rsid w:val="0094638E"/>
    <w:rsid w:val="009A4AA3"/>
    <w:rsid w:val="009D092C"/>
    <w:rsid w:val="00A4661B"/>
    <w:rsid w:val="00A80E3D"/>
    <w:rsid w:val="00AC70F8"/>
    <w:rsid w:val="00AD3AA1"/>
    <w:rsid w:val="00AE5902"/>
    <w:rsid w:val="00B104B1"/>
    <w:rsid w:val="00B35E6C"/>
    <w:rsid w:val="00B40EFD"/>
    <w:rsid w:val="00B56A2C"/>
    <w:rsid w:val="00B67740"/>
    <w:rsid w:val="00B67C7B"/>
    <w:rsid w:val="00B70013"/>
    <w:rsid w:val="00B72FA4"/>
    <w:rsid w:val="00B87DD4"/>
    <w:rsid w:val="00B97DCE"/>
    <w:rsid w:val="00BC086E"/>
    <w:rsid w:val="00BC6723"/>
    <w:rsid w:val="00BE3727"/>
    <w:rsid w:val="00BF548B"/>
    <w:rsid w:val="00BF584E"/>
    <w:rsid w:val="00C057EA"/>
    <w:rsid w:val="00C115A2"/>
    <w:rsid w:val="00C3156D"/>
    <w:rsid w:val="00C342D3"/>
    <w:rsid w:val="00C66EC4"/>
    <w:rsid w:val="00CA014E"/>
    <w:rsid w:val="00D31654"/>
    <w:rsid w:val="00D833A4"/>
    <w:rsid w:val="00D9116C"/>
    <w:rsid w:val="00D95FD1"/>
    <w:rsid w:val="00DB1225"/>
    <w:rsid w:val="00DE0B8F"/>
    <w:rsid w:val="00E95C53"/>
    <w:rsid w:val="00EA08F6"/>
    <w:rsid w:val="00EA52EA"/>
    <w:rsid w:val="00EA6473"/>
    <w:rsid w:val="00EC2A9D"/>
    <w:rsid w:val="00EC614B"/>
    <w:rsid w:val="00EF0D40"/>
    <w:rsid w:val="00F0040C"/>
    <w:rsid w:val="00F15554"/>
    <w:rsid w:val="00F318F0"/>
    <w:rsid w:val="00F3252E"/>
    <w:rsid w:val="00F64645"/>
    <w:rsid w:val="00F92A52"/>
    <w:rsid w:val="00FC0C4E"/>
    <w:rsid w:val="00FC4CD2"/>
    <w:rsid w:val="00FF2D4A"/>
    <w:rsid w:val="106FDA49"/>
    <w:rsid w:val="19609A93"/>
    <w:rsid w:val="1A01EA66"/>
    <w:rsid w:val="22D8C74A"/>
    <w:rsid w:val="273C7BAD"/>
    <w:rsid w:val="2970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3F3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A9D"/>
  </w:style>
  <w:style w:type="paragraph" w:styleId="Heading1">
    <w:name w:val="heading 1"/>
    <w:basedOn w:val="Normal"/>
    <w:next w:val="Normal"/>
    <w:link w:val="Heading1Char"/>
    <w:uiPriority w:val="1"/>
    <w:qFormat/>
    <w:rsid w:val="000E4023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0E4023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023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E4023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0E4023"/>
    <w:pPr>
      <w:keepNext/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</w:rPr>
  </w:style>
  <w:style w:type="paragraph" w:styleId="Heading6">
    <w:name w:val="heading 6"/>
    <w:basedOn w:val="Normal"/>
    <w:next w:val="Normal"/>
    <w:link w:val="Heading6Char"/>
    <w:semiHidden/>
    <w:qFormat/>
    <w:rsid w:val="000E4023"/>
    <w:pPr>
      <w:keepNext/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</w:rPr>
  </w:style>
  <w:style w:type="paragraph" w:styleId="Heading7">
    <w:name w:val="heading 7"/>
    <w:basedOn w:val="Normal"/>
    <w:next w:val="Normal"/>
    <w:link w:val="Heading7Char"/>
    <w:semiHidden/>
    <w:qFormat/>
    <w:rsid w:val="000E4023"/>
    <w:pPr>
      <w:keepNext/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qFormat/>
    <w:rsid w:val="000E4023"/>
    <w:pPr>
      <w:keepNext/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 w:val="24"/>
    </w:rPr>
  </w:style>
  <w:style w:type="paragraph" w:styleId="Heading9">
    <w:name w:val="heading 9"/>
    <w:basedOn w:val="Normal"/>
    <w:next w:val="Normal"/>
    <w:link w:val="Heading9Char"/>
    <w:semiHidden/>
    <w:qFormat/>
    <w:rsid w:val="000E4023"/>
    <w:pPr>
      <w:keepNext/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C2A9D"/>
    <w:rPr>
      <w:color w:val="0000FF"/>
      <w:u w:val="single"/>
    </w:rPr>
  </w:style>
  <w:style w:type="character" w:styleId="FootnoteReference">
    <w:name w:val="footnote reference"/>
    <w:link w:val="CharCharChar"/>
    <w:qFormat/>
    <w:rsid w:val="00EC2A9D"/>
    <w:rPr>
      <w:vertAlign w:val="superscript"/>
    </w:rPr>
  </w:style>
  <w:style w:type="paragraph" w:customStyle="1" w:styleId="CharCharChar">
    <w:name w:val="Char Char Char"/>
    <w:basedOn w:val="Normal"/>
    <w:link w:val="FootnoteReference"/>
    <w:qFormat/>
    <w:rsid w:val="00EC2A9D"/>
    <w:pPr>
      <w:spacing w:after="160" w:line="240" w:lineRule="exact"/>
    </w:pPr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EC2A9D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EC2A9D"/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rsid w:val="00EC2A9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C2A9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A9D"/>
    <w:rPr>
      <w:rFonts w:ascii="Times New Roman" w:eastAsia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9D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9D"/>
    <w:rPr>
      <w:rFonts w:ascii="Segoe UI" w:hAnsi="Segoe UI" w:cs="Segoe U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787"/>
    <w:pPr>
      <w:spacing w:after="200"/>
      <w:jc w:val="left"/>
    </w:pPr>
    <w:rPr>
      <w:rFonts w:asciiTheme="minorHAnsi" w:eastAsiaTheme="minorHAnsi" w:hAnsiTheme="minorHAnsi" w:cstheme="minorBidi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787"/>
    <w:rPr>
      <w:rFonts w:ascii="Times New Roman" w:eastAsia="Times New Roman" w:hAnsi="Times New Roman" w:cs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E4023"/>
    <w:rPr>
      <w:rFonts w:ascii="Times New Roman" w:eastAsia="Times New Roman" w:hAnsi="Times New Roman" w:cs="Times New Roman"/>
      <w:b/>
      <w:smallCaps/>
      <w:sz w:val="24"/>
    </w:rPr>
  </w:style>
  <w:style w:type="character" w:customStyle="1" w:styleId="Heading2Char">
    <w:name w:val="Heading 2 Char"/>
    <w:basedOn w:val="DefaultParagraphFont"/>
    <w:link w:val="Heading2"/>
    <w:uiPriority w:val="1"/>
    <w:rsid w:val="000E4023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0E4023"/>
    <w:rPr>
      <w:rFonts w:ascii="Times New Roman" w:eastAsia="Times New Roman" w:hAnsi="Times New Roman" w:cs="Times New Roman"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E4023"/>
    <w:rPr>
      <w:rFonts w:ascii="Times New Roman" w:eastAsia="Times New Roman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0E4023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0E4023"/>
    <w:rPr>
      <w:rFonts w:ascii="Times New Roman" w:eastAsia="Times New Roman" w:hAnsi="Times New Roman" w:cs="Times New Roman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4023"/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E4023"/>
    <w:rPr>
      <w:rFonts w:ascii="Times New Roman" w:eastAsia="Times New Roman" w:hAnsi="Times New Roman" w:cs="Times New Roman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0E4023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3D"/>
  </w:style>
  <w:style w:type="paragraph" w:styleId="Footer">
    <w:name w:val="footer"/>
    <w:basedOn w:val="Normal"/>
    <w:link w:val="FooterChar"/>
    <w:uiPriority w:val="99"/>
    <w:unhideWhenUsed/>
    <w:rsid w:val="00A80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3D"/>
  </w:style>
  <w:style w:type="character" w:styleId="Strong">
    <w:name w:val="Strong"/>
    <w:qFormat/>
    <w:rsid w:val="00B72FA4"/>
    <w:rPr>
      <w:b/>
    </w:rPr>
  </w:style>
  <w:style w:type="character" w:customStyle="1" w:styleId="Marker">
    <w:name w:val="Marker"/>
    <w:basedOn w:val="DefaultParagraphFont"/>
    <w:rsid w:val="00AD3AA1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AD3AA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AD3AA1"/>
    <w:pPr>
      <w:tabs>
        <w:tab w:val="center" w:pos="4535"/>
        <w:tab w:val="right" w:pos="9071"/>
        <w:tab w:val="right" w:pos="9921"/>
      </w:tabs>
      <w:spacing w:before="360" w:afterLines="12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AD3AA1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AD3A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Lines="12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AD3AA1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AD3AA1"/>
    <w:pPr>
      <w:tabs>
        <w:tab w:val="center" w:pos="4535"/>
        <w:tab w:val="right" w:pos="9071"/>
      </w:tabs>
      <w:spacing w:afterLines="120"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AD3AA1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AD3A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120"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AD3AA1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AD3AA1"/>
    <w:pPr>
      <w:spacing w:afterLines="120"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AD3AA1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6.emf"/><Relationship Id="rId27" Type="http://schemas.openxmlformats.org/officeDocument/2006/relationships/header" Target="header6.xml"/><Relationship Id="rId30" Type="http://schemas.openxmlformats.org/officeDocument/2006/relationships/theme" Target="theme/theme1.xml"/><Relationship Id="Re37e0f38e84a492e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docsroom/documents/42883/attachments/3/translations/en/renditions/n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DCC0AC9070440AC8F58F2A787C016" ma:contentTypeVersion="4" ma:contentTypeDescription="Create a new document." ma:contentTypeScope="" ma:versionID="6b6c4d6dcf57ec963e5782d0f234ebca">
  <xsd:schema xmlns:xsd="http://www.w3.org/2001/XMLSchema" xmlns:xs="http://www.w3.org/2001/XMLSchema" xmlns:p="http://schemas.microsoft.com/office/2006/metadata/properties" xmlns:ns2="a1ae7e3d-ea02-4f8b-a6ae-4ba92f54bfa6" xmlns:ns3="39579b5d-f307-4cba-adf0-92bbc0d34603" targetNamespace="http://schemas.microsoft.com/office/2006/metadata/properties" ma:root="true" ma:fieldsID="c3fc4101192be32eca7d01dca346a804" ns2:_="" ns3:_="">
    <xsd:import namespace="a1ae7e3d-ea02-4f8b-a6ae-4ba92f54bfa6"/>
    <xsd:import namespace="39579b5d-f307-4cba-adf0-92bbc0d34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e7e3d-ea02-4f8b-a6ae-4ba92f54b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79b5d-f307-4cba-adf0-92bbc0d346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0A6C-D978-4B92-BA7D-6B9CB264A7B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9579b5d-f307-4cba-adf0-92bbc0d34603"/>
    <ds:schemaRef ds:uri="http://www.w3.org/XML/1998/namespace"/>
    <ds:schemaRef ds:uri="a1ae7e3d-ea02-4f8b-a6ae-4ba92f54bfa6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F34BE8-24B8-4F02-8E83-226FECF4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22A16-2BB2-4BBF-B042-6C2D3C62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e7e3d-ea02-4f8b-a6ae-4ba92f54bfa6"/>
    <ds:schemaRef ds:uri="39579b5d-f307-4cba-adf0-92bbc0d34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5B58F-7C8B-498C-90E0-93D9F1D3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2022-11-05T10:07:00Z</dcterms:created>
  <dcterms:modified xsi:type="dcterms:W3CDTF">2022-11-21T07:27:00Z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8.1, Build 20220902</vt:lpwstr>
  </property>
  <property fmtid="{D5CDD505-2E9C-101B-9397-08002B2CF9AE}" pid="11" name="Created using">
    <vt:lpwstr>LW 8.1, Build 20220902</vt:lpwstr>
  </property>
  <property fmtid="{D5CDD505-2E9C-101B-9397-08002B2CF9AE}" pid="12" name="ContentTypeId">
    <vt:lpwstr>0x0101008B4DCC0AC9070440AC8F58F2A787C016</vt:lpwstr>
  </property>
</Properties>
</file>