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829B2" w14:textId="4A82B845" w:rsidR="00AD3AA1" w:rsidRDefault="009C07A5" w:rsidP="009C07A5">
      <w:pPr>
        <w:pStyle w:val="Pagedecouverture"/>
        <w:rPr>
          <w:noProof/>
        </w:rPr>
      </w:pPr>
      <w:bookmarkStart w:id="0" w:name="LW_BM_COVERPAGE"/>
      <w:r>
        <w:rPr>
          <w:noProof/>
        </w:rPr>
        <w:pict w14:anchorId="634C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4B7C2EA-2070-4ABF-BCD7-C1BDEF7F9659" style="width:455.25pt;height:396.75pt">
            <v:imagedata r:id="rId11" o:title=""/>
          </v:shape>
        </w:pict>
      </w:r>
    </w:p>
    <w:bookmarkEnd w:id="0"/>
    <w:p w14:paraId="198C4F12" w14:textId="77777777" w:rsidR="00AD3AA1" w:rsidRDefault="00AD3AA1" w:rsidP="00AD3AA1">
      <w:pPr>
        <w:rPr>
          <w:noProof/>
        </w:rPr>
        <w:sectPr w:rsidR="00AD3AA1" w:rsidSect="009C07A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AE5550A" w14:textId="6D0F5E53" w:rsidR="00B72FA4" w:rsidRPr="00F92D5C" w:rsidRDefault="00B72FA4" w:rsidP="00B72FA4">
      <w:pPr>
        <w:spacing w:afterLines="120" w:after="288"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Приложение 1</w:t>
      </w:r>
    </w:p>
    <w:p w14:paraId="5AFC2D35" w14:textId="77777777" w:rsidR="00B72FA4" w:rsidRPr="0021352A" w:rsidRDefault="00B72FA4" w:rsidP="00B72FA4">
      <w:pPr>
        <w:jc w:val="center"/>
        <w:rPr>
          <w:rFonts w:ascii="Times New Roman" w:hAnsi="Times New Roman" w:cs="Times New Roman"/>
          <w:noProof/>
        </w:rPr>
      </w:pPr>
      <w:r>
        <w:rPr>
          <w:rStyle w:val="Strong"/>
          <w:rFonts w:ascii="Times New Roman" w:hAnsi="Times New Roman"/>
          <w:noProof/>
          <w:sz w:val="24"/>
        </w:rPr>
        <w:t>Значението на торовете за продоволствената сигурност и рискът от прекомерна употреба</w:t>
      </w:r>
    </w:p>
    <w:p w14:paraId="175F3C86" w14:textId="6336439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Торовете играят важна роля за производството на храни.</w:t>
      </w:r>
      <w:r>
        <w:rPr>
          <w:rFonts w:ascii="Times New Roman" w:hAnsi="Times New Roman"/>
          <w:noProof/>
          <w:sz w:val="24"/>
        </w:rPr>
        <w:t xml:space="preserve"> Смята се, че до 50 % от световното производство на храни днес зависи от използването на минерални торове. Същевременно интензивната употреба на торове оказва значително въздействие върху здравето, климата и околната среда.</w:t>
      </w:r>
    </w:p>
    <w:p w14:paraId="3BA1943B" w14:textId="79B7BD4F"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Добавянето на </w:t>
      </w:r>
      <w:r>
        <w:rPr>
          <w:rFonts w:ascii="Times New Roman" w:hAnsi="Times New Roman"/>
          <w:b/>
          <w:noProof/>
          <w:sz w:val="24"/>
        </w:rPr>
        <w:t>хранителни вещества</w:t>
      </w:r>
      <w:r>
        <w:rPr>
          <w:rFonts w:ascii="Times New Roman" w:hAnsi="Times New Roman"/>
          <w:noProof/>
          <w:sz w:val="24"/>
        </w:rPr>
        <w:t xml:space="preserve"> в почвата чрез торове увеличава, в рамките на биологичните граници, производството на биомаса и потенциалните </w:t>
      </w:r>
      <w:r>
        <w:rPr>
          <w:rFonts w:ascii="Times New Roman" w:hAnsi="Times New Roman"/>
          <w:b/>
          <w:noProof/>
          <w:sz w:val="24"/>
        </w:rPr>
        <w:t>добиви от културите</w:t>
      </w:r>
      <w:r>
        <w:rPr>
          <w:rFonts w:ascii="Times New Roman" w:hAnsi="Times New Roman"/>
          <w:noProof/>
          <w:sz w:val="24"/>
        </w:rPr>
        <w:t xml:space="preserve"> и спомага за улавянето на въглероден диоксид. Растенията абсорбират хранителни вещества от почвата и ги използват за своя растеж, като по този начин изтощават почвата. Торовете добавят отново хранителни вещества в почвата. По-голямо количество продукция (т.е. зърно, трева и т.н.) може да се произведе на по-малка площ, което ограничава земеделските площи, необходими за производството на храни в световен мащаб. </w:t>
      </w:r>
    </w:p>
    <w:p w14:paraId="40C07413" w14:textId="7777777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Торовете могат да бъдат от </w:t>
      </w:r>
      <w:r>
        <w:rPr>
          <w:rFonts w:ascii="Times New Roman" w:hAnsi="Times New Roman"/>
          <w:b/>
          <w:noProof/>
          <w:sz w:val="24"/>
        </w:rPr>
        <w:t>минерален или органичен</w:t>
      </w:r>
      <w:r>
        <w:rPr>
          <w:rFonts w:ascii="Times New Roman" w:hAnsi="Times New Roman"/>
          <w:noProof/>
          <w:sz w:val="24"/>
        </w:rPr>
        <w:t xml:space="preserve"> произход. </w:t>
      </w:r>
    </w:p>
    <w:p w14:paraId="3231D22C" w14:textId="489D5889" w:rsidR="00B72FA4" w:rsidRDefault="00B72FA4" w:rsidP="00B72FA4">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Съществуват три хранителни вещества, които са от съществено значение за растежа на растенията: </w:t>
      </w:r>
      <w:r>
        <w:rPr>
          <w:rFonts w:ascii="Times New Roman" w:hAnsi="Times New Roman"/>
          <w:b/>
          <w:noProof/>
          <w:sz w:val="24"/>
        </w:rPr>
        <w:t>азот (N), фосфор (P) и калий (K</w:t>
      </w:r>
      <w:r>
        <w:rPr>
          <w:rStyle w:val="FootnoteReference"/>
          <w:rFonts w:ascii="Times New Roman" w:hAnsi="Times New Roman" w:cs="Times New Roman"/>
          <w:noProof/>
          <w:sz w:val="24"/>
          <w:szCs w:val="24"/>
        </w:rPr>
        <w:footnoteReference w:id="1"/>
      </w:r>
      <w:r>
        <w:rPr>
          <w:rFonts w:ascii="Times New Roman" w:hAnsi="Times New Roman"/>
          <w:b/>
          <w:noProof/>
          <w:sz w:val="24"/>
        </w:rPr>
        <w:t>)</w:t>
      </w:r>
      <w:r>
        <w:rPr>
          <w:rFonts w:ascii="Times New Roman" w:hAnsi="Times New Roman"/>
          <w:noProof/>
          <w:sz w:val="24"/>
        </w:rPr>
        <w:t xml:space="preserve">. Фосфорът и калият са хранителни вещества, съдържащи се в добитата руда и скални материали (минерални торове). Азотът е хранителното вещество, което се използва в най-големи количества при зърнените култури в света. Той трябва да се прилага редовно, докато земеделските стопани могат да се откажат от прилагането на фосфор и калий за определен период от време, без това да окаже отрицателно въздействие върху добивите. </w:t>
      </w:r>
    </w:p>
    <w:p w14:paraId="3C58B096" w14:textId="77777777"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Макар и да е трудно да се определи точно съотношение, евентуално непреднамерено намаляване на азотните торове с 20 % при отглеждането на култура като пшеницата в ЕС се очаква да доведе до намаляване на добива с 4—5 % (въз основа на оптималната норма на торене)</w:t>
      </w:r>
      <w:r>
        <w:rPr>
          <w:rStyle w:val="FootnoteReference"/>
          <w:rFonts w:ascii="Times New Roman" w:hAnsi="Times New Roman" w:cs="Times New Roman"/>
          <w:noProof/>
          <w:sz w:val="24"/>
          <w:szCs w:val="24"/>
        </w:rPr>
        <w:footnoteReference w:id="2"/>
      </w:r>
      <w:r>
        <w:rPr>
          <w:rFonts w:ascii="Times New Roman" w:hAnsi="Times New Roman"/>
          <w:noProof/>
          <w:sz w:val="24"/>
        </w:rPr>
        <w:t>.</w:t>
      </w:r>
    </w:p>
    <w:p w14:paraId="317B32B9" w14:textId="3EA2B910" w:rsidR="00B72FA4" w:rsidRPr="005E4C28"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Производството на синтетични азотни торове изисква много енергия. В ЕС източник на енергия обикновено е природният газ, който служи и като изходна суровина за производството на водород (H</w:t>
      </w:r>
      <w:r>
        <w:rPr>
          <w:rFonts w:ascii="Times New Roman" w:hAnsi="Times New Roman"/>
          <w:noProof/>
          <w:sz w:val="24"/>
          <w:vertAlign w:val="subscript"/>
        </w:rPr>
        <w:t>2</w:t>
      </w:r>
      <w:r>
        <w:rPr>
          <w:rFonts w:ascii="Times New Roman" w:hAnsi="Times New Roman"/>
          <w:noProof/>
          <w:sz w:val="24"/>
        </w:rPr>
        <w:t xml:space="preserve">), необходим за </w:t>
      </w:r>
      <w:r>
        <w:rPr>
          <w:rFonts w:ascii="Times New Roman" w:hAnsi="Times New Roman"/>
          <w:b/>
          <w:noProof/>
          <w:sz w:val="24"/>
        </w:rPr>
        <w:t>синтетичните азотни торове (като междинният продукт е амоняк </w:t>
      </w:r>
      <w:r>
        <w:rPr>
          <w:rFonts w:ascii="Times New Roman" w:hAnsi="Times New Roman"/>
          <w:noProof/>
          <w:sz w:val="24"/>
        </w:rPr>
        <w:t>(NH</w:t>
      </w:r>
      <w:r>
        <w:rPr>
          <w:rFonts w:ascii="Times New Roman" w:hAnsi="Times New Roman"/>
          <w:noProof/>
          <w:sz w:val="24"/>
          <w:vertAlign w:val="subscript"/>
        </w:rPr>
        <w:t>3)</w:t>
      </w:r>
      <w:r>
        <w:rPr>
          <w:rFonts w:ascii="Times New Roman" w:hAnsi="Times New Roman"/>
          <w:noProof/>
          <w:sz w:val="24"/>
        </w:rPr>
        <w:t>). При този процес се извлича азот от въздуха.</w:t>
      </w:r>
    </w:p>
    <w:p w14:paraId="5E55C0F1" w14:textId="5B1DAC3E"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Производството на азотни торове генерира значителни </w:t>
      </w:r>
      <w:r>
        <w:rPr>
          <w:rFonts w:ascii="Times New Roman" w:hAnsi="Times New Roman"/>
          <w:b/>
          <w:noProof/>
          <w:sz w:val="24"/>
        </w:rPr>
        <w:t>емисии на CO</w:t>
      </w:r>
      <w:r>
        <w:rPr>
          <w:rFonts w:ascii="Times New Roman" w:hAnsi="Times New Roman"/>
          <w:b/>
          <w:noProof/>
          <w:sz w:val="24"/>
          <w:vertAlign w:val="subscript"/>
        </w:rPr>
        <w:t>2</w:t>
      </w:r>
      <w:r>
        <w:rPr>
          <w:rFonts w:ascii="Times New Roman" w:hAnsi="Times New Roman"/>
          <w:noProof/>
          <w:sz w:val="24"/>
        </w:rPr>
        <w:t>. Това се случва независимо от постоянното усъвършенстване на технологиите за намаляване на емисиите, особено в производствените обекти в ЕС.</w:t>
      </w:r>
    </w:p>
    <w:p w14:paraId="1AD7C04F" w14:textId="1C65B352"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Ако торовете не се прилагат правилно, </w:t>
      </w:r>
      <w:r>
        <w:rPr>
          <w:rFonts w:ascii="Times New Roman" w:hAnsi="Times New Roman"/>
          <w:b/>
          <w:noProof/>
          <w:sz w:val="24"/>
        </w:rPr>
        <w:t>загубите на хранителни вещества</w:t>
      </w:r>
      <w:r>
        <w:rPr>
          <w:rFonts w:ascii="Times New Roman" w:hAnsi="Times New Roman"/>
          <w:noProof/>
          <w:sz w:val="24"/>
        </w:rPr>
        <w:t xml:space="preserve"> могат да достигнат до 50—60 % от количествата, използвани на полето. Използването на азот и фосфор в ЕС надхвърля съответно повече от трикратно и двукратно границите, които се считат за безопасни за планетата по отношение на торовете. В много части на ЕС торовете се използват прекомерно, без това да доведе до очевидно повишаване на добивите. Повече от 90 % от съвкупните (газообразни) емисии на </w:t>
      </w:r>
      <w:r>
        <w:rPr>
          <w:rFonts w:ascii="Times New Roman" w:hAnsi="Times New Roman"/>
          <w:b/>
          <w:noProof/>
          <w:sz w:val="24"/>
        </w:rPr>
        <w:t>амоняк</w:t>
      </w:r>
      <w:r>
        <w:rPr>
          <w:rFonts w:ascii="Times New Roman" w:hAnsi="Times New Roman"/>
          <w:noProof/>
          <w:sz w:val="24"/>
        </w:rPr>
        <w:t xml:space="preserve"> в ЕС се дължат на селското стопанство; 80 % от тях идват от оборски тор, а 20 % — от минерални торове. </w:t>
      </w:r>
      <w:r>
        <w:rPr>
          <w:rFonts w:ascii="Times New Roman" w:hAnsi="Times New Roman"/>
          <w:b/>
          <w:noProof/>
          <w:sz w:val="24"/>
        </w:rPr>
        <w:t>Излугването и оттичането</w:t>
      </w:r>
      <w:r>
        <w:rPr>
          <w:rFonts w:ascii="Times New Roman" w:hAnsi="Times New Roman"/>
          <w:noProof/>
          <w:sz w:val="24"/>
        </w:rPr>
        <w:t xml:space="preserve"> на торове, дължащи се на прекомерното им прилагане, са основни причини за наличието на прекомерни концентрации на хранителни вещества в почвата и водата, които могат да навредят на екосистемите и качеството на водата. Такива ефекти могат да се дължат както на минералните, така и на органичните торове, в различна степен (непреработеният оборски тор обикновено има по-лоши характеристики на излугване от минералните торове). Когато торовете попаднат в околната среда, те също така стимулират производството на </w:t>
      </w:r>
      <w:r>
        <w:rPr>
          <w:rFonts w:ascii="Times New Roman" w:hAnsi="Times New Roman"/>
          <w:b/>
          <w:noProof/>
          <w:sz w:val="24"/>
        </w:rPr>
        <w:t>азотен оксид</w:t>
      </w:r>
      <w:r>
        <w:rPr>
          <w:rFonts w:ascii="Times New Roman" w:hAnsi="Times New Roman"/>
          <w:noProof/>
          <w:sz w:val="24"/>
        </w:rPr>
        <w:t> — мощен парников газ.</w:t>
      </w:r>
    </w:p>
    <w:p w14:paraId="61F9599C" w14:textId="77777777" w:rsidR="00B72FA4" w:rsidRDefault="00B72FA4" w:rsidP="00B72FA4">
      <w:pPr>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 xml:space="preserve">Целта на </w:t>
      </w:r>
      <w:r>
        <w:rPr>
          <w:rFonts w:ascii="Times New Roman" w:hAnsi="Times New Roman"/>
          <w:b/>
          <w:noProof/>
          <w:sz w:val="24"/>
        </w:rPr>
        <w:t>оптимизираната ефективност на използване на торовете</w:t>
      </w:r>
      <w:r>
        <w:rPr>
          <w:rFonts w:ascii="Times New Roman" w:hAnsi="Times New Roman"/>
          <w:noProof/>
          <w:sz w:val="24"/>
        </w:rPr>
        <w:t xml:space="preserve"> е да се намали разликата между действителния и достижимия добив, като по този начин се намали разхищението на торове и вредата за околната среда.</w:t>
      </w:r>
    </w:p>
    <w:p w14:paraId="35EF9761" w14:textId="2666B17A"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Пълното заместване на минералните торове с </w:t>
      </w:r>
      <w:r>
        <w:rPr>
          <w:rFonts w:ascii="Times New Roman" w:hAnsi="Times New Roman"/>
          <w:b/>
          <w:noProof/>
          <w:sz w:val="24"/>
        </w:rPr>
        <w:t>органични торове</w:t>
      </w:r>
      <w:r>
        <w:rPr>
          <w:rFonts w:ascii="Times New Roman" w:hAnsi="Times New Roman"/>
          <w:noProof/>
          <w:sz w:val="24"/>
        </w:rPr>
        <w:t xml:space="preserve">, които не генерират никакви или генерират по-малко емисии по време на производството, не е осъществимо в краткосрочен план, предвид съществуващите ограничения, свързани със земята и продоволствената сигурност, и сегашните модели на хранене. </w:t>
      </w:r>
      <w:r>
        <w:rPr>
          <w:rFonts w:ascii="Times New Roman" w:hAnsi="Times New Roman"/>
          <w:b/>
          <w:noProof/>
          <w:sz w:val="24"/>
        </w:rPr>
        <w:t>Значително намаляване на употребата и зависимостта от вносни минерални торове</w:t>
      </w:r>
      <w:r>
        <w:rPr>
          <w:rFonts w:ascii="Times New Roman" w:hAnsi="Times New Roman"/>
          <w:noProof/>
          <w:sz w:val="24"/>
        </w:rPr>
        <w:t xml:space="preserve"> обаче може да се постигне чрез прилагане и разширяване на подходите на кръговата икономика, като например рециклиране на хранителни вещества от отпадъчни води и други биологични отпадъци (например компостирани зелени отпадъци от домакинствата) или използване на преработен оборски тор за подобряване на характеристиките на оттичане. Съществуват например правила за минималните нива на повторна употреба и рециклиране на фосфор и азот от утайки, които Комисията е предложила в преработената Директива за пречистването на градските отпадъчни води</w:t>
      </w:r>
      <w:r>
        <w:rPr>
          <w:rStyle w:val="FootnoteReference"/>
          <w:rFonts w:ascii="Times New Roman" w:hAnsi="Times New Roman" w:cs="Times New Roman"/>
          <w:noProof/>
          <w:sz w:val="24"/>
          <w:szCs w:val="24"/>
          <w:lang w:eastAsia="fr-BE"/>
        </w:rPr>
        <w:footnoteReference w:id="3"/>
      </w:r>
      <w:r>
        <w:rPr>
          <w:rFonts w:ascii="Times New Roman" w:hAnsi="Times New Roman"/>
          <w:noProof/>
          <w:sz w:val="24"/>
        </w:rPr>
        <w:t>.</w:t>
      </w:r>
    </w:p>
    <w:p w14:paraId="438F38AF" w14:textId="0E79C226" w:rsidR="00B72FA4" w:rsidRDefault="00B72FA4" w:rsidP="00B72FA4">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Повишаването на ефективността на използването на азот в стопанствата чрез подобряване на земеделските практики, познаване на почвите и използване на прецизното земеделие, както и прилагането на мерките за предотвратяване и намаляване на замърсяването, предвидени в програмите за действие по отношение на нитратите, са от съществено значение за намаляване на прекомерната употреба на торове и ще допринесат за намаляване на загубите в околната среда и подобряване на задържането на хранителни вещества. Увеличава се и подкрепата за биологичното земеделие, отглеждането на култури, които имат по-малка нужда от азот или поемат азота от въздуха, като по този начин подхранват почвата. Всички тези подходи обещават съпътстващи ползи за околната среда, климата и икономиката и ще укрепят отворената стратегическа автономност на ЕС. Следва да се ускорят политиките и мерките в подкрепа на тези подходи с цел да се подобри устойчивостта и продоволствената сигурност на ЕС.</w:t>
      </w:r>
    </w:p>
    <w:p w14:paraId="4075F2D4" w14:textId="37DE1D2B" w:rsidR="00B72FA4" w:rsidRDefault="00B72FA4" w:rsidP="00A80E3D">
      <w:pPr>
        <w:spacing w:afterLines="120" w:after="288" w:line="240" w:lineRule="auto"/>
        <w:jc w:val="center"/>
        <w:rPr>
          <w:rFonts w:ascii="Times New Roman" w:hAnsi="Times New Roman" w:cs="Times New Roman"/>
          <w:b/>
          <w:iCs/>
          <w:noProof/>
          <w:sz w:val="28"/>
          <w:szCs w:val="28"/>
        </w:rPr>
      </w:pPr>
      <w:r>
        <w:rPr>
          <w:noProof/>
        </w:rPr>
        <w:br w:type="page"/>
      </w:r>
    </w:p>
    <w:p w14:paraId="391161C8" w14:textId="161C600C" w:rsidR="00EC2A9D" w:rsidRPr="00A80E3D" w:rsidRDefault="00AD3AA1" w:rsidP="00A80E3D">
      <w:pPr>
        <w:spacing w:afterLines="120" w:after="288" w:line="240" w:lineRule="auto"/>
        <w:jc w:val="center"/>
        <w:rPr>
          <w:rFonts w:ascii="Times New Roman" w:hAnsi="Times New Roman" w:cs="Times New Roman"/>
          <w:b/>
          <w:noProof/>
          <w:sz w:val="28"/>
          <w:szCs w:val="28"/>
        </w:rPr>
      </w:pPr>
      <w:r>
        <w:rPr>
          <w:rFonts w:ascii="Times New Roman" w:hAnsi="Times New Roman"/>
          <w:b/>
          <w:noProof/>
          <w:sz w:val="28"/>
        </w:rPr>
        <w:t>Приложение 2</w:t>
      </w:r>
    </w:p>
    <w:p w14:paraId="093C150C" w14:textId="6FBA6965" w:rsidR="22D8C74A" w:rsidRDefault="22D8C74A" w:rsidP="106FDA49">
      <w:pPr>
        <w:spacing w:afterLines="120" w:after="288"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Състояние на пазарите на торове в ЕС и в света</w:t>
      </w:r>
    </w:p>
    <w:p w14:paraId="6AE113D7" w14:textId="7A8A3E34"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Европейският отрасъл на торове</w:t>
      </w:r>
      <w:r>
        <w:rPr>
          <w:rFonts w:ascii="Times New Roman" w:hAnsi="Times New Roman"/>
          <w:noProof/>
          <w:sz w:val="24"/>
        </w:rPr>
        <w:t xml:space="preserve"> разполага с повече от 120 производствени обекта, разпръснати в повечето държави членки, което е знак за неговата стратегическа роля по отношение на продоволствената сигурност. През 2017 г. в него са били заети 61 000 души, а средният му оборот за периода 2017—2019 г. е 23,3 милиарда евро.</w:t>
      </w:r>
    </w:p>
    <w:p w14:paraId="57C3054E" w14:textId="2DF063CD"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Средно за ЕС-27 </w:t>
      </w:r>
      <w:r>
        <w:rPr>
          <w:rFonts w:ascii="Times New Roman" w:hAnsi="Times New Roman"/>
          <w:b/>
          <w:noProof/>
          <w:sz w:val="24"/>
        </w:rPr>
        <w:t>производството на междинни и крайни продукти за наторяване</w:t>
      </w:r>
      <w:r>
        <w:rPr>
          <w:rFonts w:ascii="Times New Roman" w:hAnsi="Times New Roman"/>
          <w:noProof/>
          <w:sz w:val="24"/>
        </w:rPr>
        <w:t xml:space="preserve"> възлиза на 40,2 милиона тона (2019—2021 г.). Основните производители в стойностно изражение са Германия, Полша, Франция и Испания. Освен производството на минерални торове, заводите в ЕС-27 са произвели 12,2 милиона тона амоняк, който се използва главно за производство на торове, но също и в други отрасли, например в химическата промишленост. AdBlue, произведен от амоняк, се използва като реагент за намаляване на замърсяването на атмосферния въздух от отработените газове на дизеловите двигатели и е изключително важен за веригите на доставките поради използването на камиони за транспорт. Въглеродният диоксид е важен страничен продукт при производството на амоняк</w:t>
      </w:r>
      <w:r>
        <w:rPr>
          <w:rFonts w:ascii="Times New Roman" w:hAnsi="Times New Roman" w:cs="Times New Roman"/>
          <w:noProof/>
          <w:sz w:val="24"/>
          <w:szCs w:val="24"/>
          <w:vertAlign w:val="superscript"/>
        </w:rPr>
        <w:footnoteReference w:id="4"/>
      </w:r>
      <w:r>
        <w:rPr>
          <w:rFonts w:ascii="Times New Roman" w:hAnsi="Times New Roman"/>
          <w:noProof/>
          <w:sz w:val="24"/>
        </w:rPr>
        <w:t xml:space="preserve">. </w:t>
      </w:r>
    </w:p>
    <w:p w14:paraId="337D504F" w14:textId="3EB7CC94" w:rsidR="00B35E6C" w:rsidRDefault="00B35E6C" w:rsidP="00A80E3D">
      <w:pPr>
        <w:keepNext/>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Таблица 1: Производство на междинни и крайни продукти за наторяване в ЕС (1000 тона) </w:t>
      </w:r>
    </w:p>
    <w:p w14:paraId="2C30252E" w14:textId="6C541AE2" w:rsidR="00786777" w:rsidRDefault="006E2DBC" w:rsidP="00EC2A9D">
      <w:pPr>
        <w:spacing w:afterLines="120" w:after="288" w:line="240" w:lineRule="auto"/>
        <w:jc w:val="both"/>
        <w:rPr>
          <w:rFonts w:ascii="Times New Roman" w:hAnsi="Times New Roman" w:cs="Times New Roman"/>
          <w:noProof/>
          <w:sz w:val="24"/>
          <w:szCs w:val="24"/>
        </w:rPr>
      </w:pPr>
      <w:r w:rsidRPr="007A5607">
        <w:rPr>
          <w:noProof/>
          <w:lang w:val="en-GB" w:eastAsia="en-GB"/>
        </w:rPr>
        <w:drawing>
          <wp:inline distT="0" distB="0" distL="0" distR="0" wp14:anchorId="719840F1" wp14:editId="4CD2B3E6">
            <wp:extent cx="5760720" cy="759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59460"/>
                    </a:xfrm>
                    <a:prstGeom prst="rect">
                      <a:avLst/>
                    </a:prstGeom>
                    <a:noFill/>
                    <a:ln>
                      <a:noFill/>
                    </a:ln>
                  </pic:spPr>
                </pic:pic>
              </a:graphicData>
            </a:graphic>
          </wp:inline>
        </w:drawing>
      </w:r>
    </w:p>
    <w:p w14:paraId="1ED03C8A" w14:textId="09450F6B" w:rsidR="00786777" w:rsidRPr="00A80E3D" w:rsidRDefault="00786777" w:rsidP="00EC2A9D">
      <w:pPr>
        <w:spacing w:afterLines="120" w:after="288" w:line="240" w:lineRule="auto"/>
        <w:jc w:val="both"/>
        <w:rPr>
          <w:rFonts w:ascii="Times New Roman" w:hAnsi="Times New Roman" w:cs="Times New Roman"/>
          <w:noProof/>
          <w:sz w:val="16"/>
          <w:szCs w:val="16"/>
        </w:rPr>
      </w:pPr>
      <w:r>
        <w:rPr>
          <w:rFonts w:ascii="Times New Roman" w:hAnsi="Times New Roman"/>
          <w:noProof/>
          <w:sz w:val="16"/>
        </w:rPr>
        <w:t>Източник: Prodcom на ЕВРОСТАТ.</w:t>
      </w:r>
    </w:p>
    <w:p w14:paraId="6FAF783F" w14:textId="6493598D" w:rsidR="00EC2A9D" w:rsidRDefault="00EC2A9D" w:rsidP="00EC2A9D">
      <w:pPr>
        <w:spacing w:afterLines="120" w:after="288" w:line="240" w:lineRule="auto"/>
        <w:jc w:val="both"/>
        <w:rPr>
          <w:rFonts w:ascii="Times New Roman" w:hAnsi="Times New Roman" w:cs="Times New Roman"/>
          <w:bCs/>
          <w:noProof/>
          <w:sz w:val="24"/>
          <w:szCs w:val="24"/>
        </w:rPr>
      </w:pPr>
      <w:r>
        <w:rPr>
          <w:rFonts w:ascii="Times New Roman" w:hAnsi="Times New Roman"/>
          <w:b/>
          <w:noProof/>
          <w:sz w:val="24"/>
        </w:rPr>
        <w:t>Потреблението на минерални азотни торове</w:t>
      </w:r>
      <w:r>
        <w:rPr>
          <w:rFonts w:ascii="Times New Roman" w:hAnsi="Times New Roman"/>
          <w:noProof/>
          <w:sz w:val="24"/>
        </w:rPr>
        <w:t xml:space="preserve"> в селското стопанство се оценява на 10,3 милиона тона (изразени в тонове азот) в ЕС-27 през 2018 г. </w:t>
      </w:r>
      <w:r>
        <w:rPr>
          <w:rFonts w:ascii="Times New Roman" w:hAnsi="Times New Roman"/>
          <w:b/>
          <w:noProof/>
          <w:sz w:val="24"/>
        </w:rPr>
        <w:t>Потреблението на минерални фосфатни торове</w:t>
      </w:r>
      <w:r>
        <w:rPr>
          <w:rFonts w:ascii="Times New Roman" w:hAnsi="Times New Roman"/>
          <w:noProof/>
          <w:sz w:val="24"/>
        </w:rPr>
        <w:t xml:space="preserve"> достигна 1,2 милиона тона през 2018 г. Потреблението на синтетични азотни торове остава относително стабилно през периода 2000—2018 г., докато потреблението на минерални фосфорни торове намалява от около 1,6 милиона тона през 2000 г. на 1,2 милиона тона през 2018 г.</w:t>
      </w:r>
    </w:p>
    <w:p w14:paraId="03DF651F" w14:textId="21FDE7C1" w:rsidR="00FC4CD2" w:rsidRDefault="00FC4CD2" w:rsidP="00A80E3D">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Фигура 1: Използване на минерални торове в ЕС (в милиони тонове хранителни вещества)</w:t>
      </w:r>
    </w:p>
    <w:p w14:paraId="73678272" w14:textId="2C2E8529" w:rsidR="00FC4CD2" w:rsidRDefault="00C53F53" w:rsidP="00EC2A9D">
      <w:pPr>
        <w:spacing w:afterLines="120" w:after="288" w:line="240" w:lineRule="auto"/>
        <w:jc w:val="both"/>
        <w:rPr>
          <w:rFonts w:ascii="Times New Roman" w:hAnsi="Times New Roman" w:cs="Times New Roman"/>
          <w:bCs/>
          <w:noProof/>
          <w:sz w:val="24"/>
          <w:szCs w:val="24"/>
        </w:rPr>
      </w:pPr>
      <w:r w:rsidRPr="00C53F53">
        <w:rPr>
          <w:noProof/>
          <w:lang w:val="en-GB" w:eastAsia="en-GB"/>
        </w:rPr>
        <w:drawing>
          <wp:inline distT="0" distB="0" distL="0" distR="0" wp14:anchorId="376ACE27" wp14:editId="3F84A89D">
            <wp:extent cx="5760720" cy="37618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761862"/>
                    </a:xfrm>
                    <a:prstGeom prst="rect">
                      <a:avLst/>
                    </a:prstGeom>
                    <a:noFill/>
                    <a:ln>
                      <a:noFill/>
                    </a:ln>
                  </pic:spPr>
                </pic:pic>
              </a:graphicData>
            </a:graphic>
          </wp:inline>
        </w:drawing>
      </w:r>
    </w:p>
    <w:p w14:paraId="15F76E07" w14:textId="20D9BCD0" w:rsidR="00FC4CD2" w:rsidRPr="00A80E3D" w:rsidRDefault="00FC4CD2" w:rsidP="00EC2A9D">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Източник: Евростат.</w:t>
      </w:r>
    </w:p>
    <w:p w14:paraId="39A4ECD7" w14:textId="7A3177A0" w:rsidR="00EC2A9D" w:rsidRDefault="00EC2A9D" w:rsidP="00EC2A9D">
      <w:pPr>
        <w:spacing w:afterLines="120" w:after="288" w:line="240" w:lineRule="auto"/>
        <w:jc w:val="both"/>
        <w:rPr>
          <w:rFonts w:ascii="Times New Roman" w:hAnsi="Times New Roman" w:cs="Times New Roman"/>
          <w:bCs/>
          <w:noProof/>
          <w:sz w:val="24"/>
          <w:szCs w:val="24"/>
        </w:rPr>
      </w:pPr>
      <w:r>
        <w:rPr>
          <w:rFonts w:ascii="Times New Roman" w:hAnsi="Times New Roman"/>
          <w:b/>
          <w:noProof/>
          <w:sz w:val="24"/>
        </w:rPr>
        <w:t>Международната търговия</w:t>
      </w:r>
      <w:r>
        <w:rPr>
          <w:rFonts w:ascii="Times New Roman" w:hAnsi="Times New Roman"/>
          <w:noProof/>
          <w:sz w:val="24"/>
        </w:rPr>
        <w:t xml:space="preserve"> с торове е силно концентрирана, като на петте най-крупни износители на хранителни вещества се падат 43 % от световната търговия през 2020 г. с азот (N), 76 % с фосфати (P) и 83 % с калий (K). Находищата на суровини, използвани в производството на торове, са неравномерно разпределени. Всички световни находища на фосфор се намират извън Европа: около три четвърти от добива на </w:t>
      </w:r>
      <w:r>
        <w:rPr>
          <w:rFonts w:ascii="Times New Roman" w:hAnsi="Times New Roman"/>
          <w:b/>
          <w:noProof/>
          <w:sz w:val="24"/>
        </w:rPr>
        <w:t>фосфатни скали</w:t>
      </w:r>
      <w:r>
        <w:rPr>
          <w:rFonts w:ascii="Times New Roman" w:hAnsi="Times New Roman"/>
          <w:noProof/>
          <w:sz w:val="24"/>
        </w:rPr>
        <w:t xml:space="preserve"> се разпределя между Китай, Мароко, Саудитска Арабия, Русия, Съединените щати и Тунис. </w:t>
      </w:r>
      <w:r>
        <w:rPr>
          <w:rFonts w:ascii="Times New Roman" w:hAnsi="Times New Roman"/>
          <w:b/>
          <w:noProof/>
          <w:sz w:val="24"/>
        </w:rPr>
        <w:t>Находищата на поташ</w:t>
      </w:r>
      <w:r>
        <w:rPr>
          <w:rFonts w:ascii="Times New Roman" w:hAnsi="Times New Roman"/>
          <w:noProof/>
          <w:sz w:val="24"/>
        </w:rPr>
        <w:t xml:space="preserve"> в Беларус, Канада и Русия съставляват 68 % от световните находища. </w:t>
      </w:r>
    </w:p>
    <w:p w14:paraId="4CF8D7A1" w14:textId="56C73241" w:rsidR="00495A0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През 2021 г. </w:t>
      </w:r>
      <w:r>
        <w:rPr>
          <w:rFonts w:ascii="Times New Roman" w:hAnsi="Times New Roman"/>
          <w:b/>
          <w:noProof/>
          <w:sz w:val="24"/>
        </w:rPr>
        <w:t>ЕС внесе</w:t>
      </w:r>
      <w:r>
        <w:rPr>
          <w:rFonts w:ascii="Times New Roman" w:hAnsi="Times New Roman"/>
          <w:noProof/>
          <w:sz w:val="24"/>
        </w:rPr>
        <w:t xml:space="preserve"> около 26 милиона тона азот, фосфат и калий и междинни продукти, основно на азотна основа (10,6 милиона тона), т.е. амоняк, карбамид, карбамиден амониев нитрат, амониев нитрат и др., поташ (3,4 милиона тона), фосфор и прекурсори (6,4 милиона тона), както и съставни торове, съдържащи трите хранителни елемента азот (N), фосфор (P) и калий (K) (5,6 милиона тона). Вносът съставлява съответно 30 %, 68 % и 85 % от потреблението на азотни, фосфатни и калиеви хранителни вещества в ЕС. Що се отнася до </w:t>
      </w:r>
      <w:r>
        <w:rPr>
          <w:rFonts w:ascii="Times New Roman" w:hAnsi="Times New Roman"/>
          <w:b/>
          <w:noProof/>
          <w:sz w:val="24"/>
        </w:rPr>
        <w:t>фосфатите</w:t>
      </w:r>
      <w:r>
        <w:rPr>
          <w:rFonts w:ascii="Times New Roman" w:hAnsi="Times New Roman"/>
          <w:noProof/>
          <w:sz w:val="24"/>
        </w:rPr>
        <w:t xml:space="preserve">, 28 % от вноса в ЕС е с произход от Мароко, а 23 % — от Русия. Що се отнася до </w:t>
      </w:r>
      <w:r>
        <w:rPr>
          <w:rFonts w:ascii="Times New Roman" w:hAnsi="Times New Roman"/>
          <w:b/>
          <w:noProof/>
          <w:sz w:val="24"/>
        </w:rPr>
        <w:t>поташа</w:t>
      </w:r>
      <w:r>
        <w:rPr>
          <w:rFonts w:ascii="Times New Roman" w:hAnsi="Times New Roman"/>
          <w:noProof/>
          <w:sz w:val="24"/>
        </w:rPr>
        <w:t>, 64 % от вноса в ЕС</w:t>
      </w:r>
      <w:r>
        <w:rPr>
          <w:rFonts w:ascii="Times New Roman" w:hAnsi="Times New Roman" w:cs="Times New Roman"/>
          <w:noProof/>
          <w:sz w:val="24"/>
          <w:szCs w:val="24"/>
          <w:vertAlign w:val="superscript"/>
        </w:rPr>
        <w:footnoteReference w:id="5"/>
      </w:r>
      <w:r>
        <w:rPr>
          <w:rFonts w:ascii="Times New Roman" w:hAnsi="Times New Roman"/>
          <w:noProof/>
          <w:sz w:val="24"/>
        </w:rPr>
        <w:t xml:space="preserve"> е с произход от Русия и Беларус</w:t>
      </w:r>
      <w:r>
        <w:rPr>
          <w:rFonts w:ascii="Times New Roman" w:hAnsi="Times New Roman" w:cs="Times New Roman"/>
          <w:noProof/>
          <w:sz w:val="24"/>
          <w:szCs w:val="24"/>
          <w:vertAlign w:val="superscript"/>
        </w:rPr>
        <w:footnoteReference w:id="6"/>
      </w:r>
      <w:r>
        <w:rPr>
          <w:rFonts w:ascii="Times New Roman" w:hAnsi="Times New Roman"/>
          <w:noProof/>
          <w:sz w:val="24"/>
        </w:rPr>
        <w:t xml:space="preserve">. </w:t>
      </w:r>
    </w:p>
    <w:p w14:paraId="071ED9F0" w14:textId="5487BA56" w:rsidR="00EC2A9D"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Оценките за 2022 г., базирани на първите осем месеца на годината, показват общо намаление на вноса на торове с около 13 %, основно по отношение на поташа, фосфатите и съставните торове, докато вносът на амоняк и азотни торове се е увеличил значително през 2022 г. (+19 % за първите осем месеца на годината в сравнение със същия период на 2021 г.).</w:t>
      </w:r>
    </w:p>
    <w:p w14:paraId="4BE26852" w14:textId="5EC761C0" w:rsidR="008F2563" w:rsidRDefault="008F2563" w:rsidP="008F2563">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Фигура 2: Внос на междинни продукти и готови торове в ЕС (в милиони тонове продукти) за периода януари—август</w:t>
      </w:r>
    </w:p>
    <w:p w14:paraId="47C8E9FB" w14:textId="6BC86EF6" w:rsidR="008F2563" w:rsidRDefault="00666133" w:rsidP="008F2563">
      <w:pPr>
        <w:spacing w:afterLines="120" w:after="288" w:line="240" w:lineRule="auto"/>
        <w:jc w:val="both"/>
        <w:rPr>
          <w:rFonts w:ascii="Times New Roman" w:hAnsi="Times New Roman" w:cs="Times New Roman"/>
          <w:bCs/>
          <w:noProof/>
          <w:sz w:val="24"/>
          <w:szCs w:val="24"/>
        </w:rPr>
      </w:pPr>
      <w:r w:rsidRPr="00666133">
        <w:rPr>
          <w:noProof/>
          <w:lang w:val="en-GB" w:eastAsia="en-GB"/>
        </w:rPr>
        <w:drawing>
          <wp:inline distT="0" distB="0" distL="0" distR="0" wp14:anchorId="7EAC779A" wp14:editId="317F36F2">
            <wp:extent cx="5760720" cy="3758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758016"/>
                    </a:xfrm>
                    <a:prstGeom prst="rect">
                      <a:avLst/>
                    </a:prstGeom>
                    <a:noFill/>
                    <a:ln>
                      <a:noFill/>
                    </a:ln>
                  </pic:spPr>
                </pic:pic>
              </a:graphicData>
            </a:graphic>
          </wp:inline>
        </w:drawing>
      </w:r>
    </w:p>
    <w:p w14:paraId="01C51402" w14:textId="31158570" w:rsidR="008F2563" w:rsidRPr="00AA2C36" w:rsidRDefault="008F2563" w:rsidP="008F2563">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Източник: Евростат — Comext.</w:t>
      </w:r>
    </w:p>
    <w:p w14:paraId="616B4D86" w14:textId="77777777" w:rsidR="008F2563" w:rsidRDefault="00EC2A9D" w:rsidP="00EC2A9D">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Износът на торове от ЕС</w:t>
      </w:r>
      <w:r>
        <w:rPr>
          <w:rFonts w:ascii="Times New Roman" w:hAnsi="Times New Roman"/>
          <w:noProof/>
          <w:sz w:val="24"/>
        </w:rPr>
        <w:t xml:space="preserve"> през 2021 г. възлиза на 12,9 милиона тона годишно, основно азотни торове (7,8 милиона тона) и съставни торове (3,6 милиона тона). </w:t>
      </w:r>
    </w:p>
    <w:p w14:paraId="459B79E5" w14:textId="53AE2437" w:rsidR="00EC2A9D" w:rsidRDefault="00EC2A9D" w:rsidP="00EC2A9D">
      <w:pPr>
        <w:spacing w:afterLines="120" w:after="288" w:line="240" w:lineRule="auto"/>
        <w:jc w:val="both"/>
        <w:rPr>
          <w:rFonts w:ascii="Times New Roman" w:hAnsi="Times New Roman" w:cs="Times New Roman"/>
          <w:b/>
          <w:noProof/>
          <w:sz w:val="24"/>
          <w:szCs w:val="24"/>
        </w:rPr>
      </w:pPr>
      <w:r>
        <w:rPr>
          <w:rFonts w:ascii="Times New Roman" w:hAnsi="Times New Roman"/>
          <w:noProof/>
          <w:sz w:val="24"/>
        </w:rPr>
        <w:t>През 2022 г. се наблюдава по-нисък износ на минерални торове (-13 % за първите осем месеца на годината в сравнение с 2021 г.).</w:t>
      </w:r>
      <w:r>
        <w:rPr>
          <w:rFonts w:ascii="Times New Roman" w:hAnsi="Times New Roman"/>
          <w:b/>
          <w:noProof/>
          <w:sz w:val="24"/>
        </w:rPr>
        <w:t xml:space="preserve"> </w:t>
      </w:r>
    </w:p>
    <w:p w14:paraId="38A658BB" w14:textId="68FB5932" w:rsidR="008F2563" w:rsidRDefault="008F2563" w:rsidP="008F2563">
      <w:pPr>
        <w:keepNext/>
        <w:spacing w:afterLines="120" w:after="288" w:line="240" w:lineRule="auto"/>
        <w:jc w:val="both"/>
        <w:rPr>
          <w:rFonts w:ascii="Times New Roman" w:hAnsi="Times New Roman" w:cs="Times New Roman"/>
          <w:bCs/>
          <w:noProof/>
          <w:sz w:val="24"/>
          <w:szCs w:val="24"/>
        </w:rPr>
      </w:pPr>
      <w:r>
        <w:rPr>
          <w:rFonts w:ascii="Times New Roman" w:hAnsi="Times New Roman"/>
          <w:noProof/>
          <w:sz w:val="24"/>
        </w:rPr>
        <w:t>Фигура 3: Износ на междинни продукти и готови торове в ЕС (в милиони тонове продукти) за периода януари—август</w:t>
      </w:r>
    </w:p>
    <w:p w14:paraId="60A6D1ED" w14:textId="63E7C6A1" w:rsidR="008F2563" w:rsidRDefault="00B50863" w:rsidP="008F2563">
      <w:pPr>
        <w:spacing w:afterLines="120" w:after="288" w:line="240" w:lineRule="auto"/>
        <w:jc w:val="both"/>
        <w:rPr>
          <w:rFonts w:ascii="Times New Roman" w:hAnsi="Times New Roman" w:cs="Times New Roman"/>
          <w:bCs/>
          <w:noProof/>
          <w:sz w:val="24"/>
          <w:szCs w:val="24"/>
        </w:rPr>
      </w:pPr>
      <w:r w:rsidRPr="00B50863">
        <w:rPr>
          <w:noProof/>
          <w:lang w:val="en-GB" w:eastAsia="en-GB"/>
        </w:rPr>
        <w:drawing>
          <wp:inline distT="0" distB="0" distL="0" distR="0" wp14:anchorId="20D7A03E" wp14:editId="01790D67">
            <wp:extent cx="5760720" cy="37580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758016"/>
                    </a:xfrm>
                    <a:prstGeom prst="rect">
                      <a:avLst/>
                    </a:prstGeom>
                    <a:noFill/>
                    <a:ln>
                      <a:noFill/>
                    </a:ln>
                  </pic:spPr>
                </pic:pic>
              </a:graphicData>
            </a:graphic>
          </wp:inline>
        </w:drawing>
      </w:r>
    </w:p>
    <w:p w14:paraId="7AD062B0" w14:textId="77777777" w:rsidR="008F2563" w:rsidRPr="00AA2C36" w:rsidRDefault="008F2563" w:rsidP="008F2563">
      <w:pPr>
        <w:spacing w:afterLines="120" w:after="288" w:line="240" w:lineRule="auto"/>
        <w:jc w:val="both"/>
        <w:rPr>
          <w:rFonts w:ascii="Times New Roman" w:hAnsi="Times New Roman" w:cs="Times New Roman"/>
          <w:bCs/>
          <w:noProof/>
          <w:sz w:val="16"/>
          <w:szCs w:val="16"/>
        </w:rPr>
      </w:pPr>
      <w:r>
        <w:rPr>
          <w:rFonts w:ascii="Times New Roman" w:hAnsi="Times New Roman"/>
          <w:noProof/>
          <w:sz w:val="16"/>
        </w:rPr>
        <w:t>Източник: Евростат — Comext.</w:t>
      </w:r>
    </w:p>
    <w:p w14:paraId="18BBF671" w14:textId="5FF5A321" w:rsidR="00EC614B" w:rsidRDefault="00EC614B" w:rsidP="00EC614B">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 xml:space="preserve">Високите и нестабилни цени на торовете са предизвикателство за земеделските стопани в ЕС. Торовете представляват </w:t>
      </w:r>
      <w:r>
        <w:rPr>
          <w:rFonts w:ascii="Times New Roman" w:hAnsi="Times New Roman"/>
          <w:b/>
          <w:noProof/>
          <w:sz w:val="24"/>
        </w:rPr>
        <w:t>значителен дял от разходите за вложени ресурси на земеделските стопани</w:t>
      </w:r>
      <w:r>
        <w:rPr>
          <w:rFonts w:ascii="Times New Roman" w:hAnsi="Times New Roman"/>
          <w:noProof/>
          <w:sz w:val="24"/>
        </w:rPr>
        <w:t xml:space="preserve"> — средно около 6 % за периода 2017—2020 г. и 12 % за земеделските стопани, специализирани в отглеждането на полски култури. Високите цени на селскостопанските стоки може да накарат земеделските стопани, заети с отглеждането на полски култури, да обмислят използването на оптимални количества торове, независимо от високите цени. Но земеделските стопани </w:t>
      </w:r>
      <w:r>
        <w:rPr>
          <w:rFonts w:ascii="Times New Roman" w:hAnsi="Times New Roman"/>
          <w:b/>
          <w:noProof/>
          <w:sz w:val="24"/>
        </w:rPr>
        <w:t>не са сигурни какви ще са цените на културите вбъдеще</w:t>
      </w:r>
      <w:r>
        <w:rPr>
          <w:rFonts w:ascii="Times New Roman" w:hAnsi="Times New Roman"/>
          <w:noProof/>
          <w:sz w:val="24"/>
        </w:rPr>
        <w:t xml:space="preserve">. Напоследък индексите на цените на торовете нарастват повече от индексите на цените на хранителните стоки, което свидетелства за наличието на ефект на ножицата. През лятото земеделските стопани обикновено натрупват запаси от торове за следващия селскостопански сезон. През 2022 г. те отлагат тези покупки. </w:t>
      </w:r>
    </w:p>
    <w:p w14:paraId="78A01862" w14:textId="6951CAFD" w:rsidR="00EC2A9D" w:rsidRPr="00820915" w:rsidRDefault="00EC2A9D" w:rsidP="00F318F0">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Световните цени на торовете</w:t>
      </w:r>
      <w:r>
        <w:rPr>
          <w:rFonts w:ascii="Times New Roman" w:hAnsi="Times New Roman"/>
          <w:noProof/>
          <w:sz w:val="24"/>
        </w:rPr>
        <w:t xml:space="preserve"> постепенно нарастват от началото на 2021 г., като най</w:t>
      </w:r>
      <w:r w:rsidR="00D26BE4">
        <w:rPr>
          <w:rFonts w:ascii="Times New Roman" w:hAnsi="Times New Roman" w:cs="Times New Roman"/>
          <w:noProof/>
          <w:sz w:val="24"/>
        </w:rPr>
        <w:noBreakHyphen/>
      </w:r>
      <w:r>
        <w:rPr>
          <w:rFonts w:ascii="Times New Roman" w:hAnsi="Times New Roman"/>
          <w:noProof/>
          <w:sz w:val="24"/>
        </w:rPr>
        <w:t>високите регистрирани равнища са между септември и ноември 2021 г., след руската инвазия в Украйна и през април 2022 г. Оттогава насам има слабо понижаване, в частност при азотните и фосфорните торове. Неотдавнашни увеличения бяха регистрирани през септември, по-специално за карбамид. В сравнение със средната стойност за референтния период 2016—2020 година, през септември 2022 г. те все още са на много високи равнища: +128 % за диамониев фосфат, +200 % за карбамид и +141 % за поташ.</w:t>
      </w:r>
    </w:p>
    <w:p w14:paraId="30D471C5" w14:textId="7B7C8B61" w:rsidR="00EC2A9D" w:rsidRDefault="00EC2A9D" w:rsidP="00F318F0">
      <w:pPr>
        <w:keepNext/>
        <w:spacing w:afterLines="120" w:after="288" w:line="240" w:lineRule="auto"/>
        <w:jc w:val="both"/>
        <w:rPr>
          <w:rFonts w:ascii="Times New Roman" w:hAnsi="Times New Roman" w:cs="Times New Roman"/>
          <w:noProof/>
          <w:sz w:val="24"/>
          <w:szCs w:val="24"/>
        </w:rPr>
      </w:pPr>
      <w:r>
        <w:rPr>
          <w:rFonts w:ascii="Times New Roman" w:hAnsi="Times New Roman"/>
          <w:noProof/>
          <w:sz w:val="24"/>
        </w:rPr>
        <w:t>Фигура 4: Световна цена на продуктите за наторяване (в щатски долари/тон)</w:t>
      </w:r>
    </w:p>
    <w:p w14:paraId="611D6A4E" w14:textId="7DE35578" w:rsidR="00EC2A9D" w:rsidRDefault="007568B3" w:rsidP="00EC2A9D">
      <w:pPr>
        <w:spacing w:afterLines="120" w:after="288" w:line="240" w:lineRule="auto"/>
        <w:jc w:val="both"/>
        <w:rPr>
          <w:rFonts w:ascii="Times New Roman" w:hAnsi="Times New Roman" w:cs="Times New Roman"/>
          <w:noProof/>
          <w:sz w:val="24"/>
          <w:szCs w:val="24"/>
        </w:rPr>
      </w:pPr>
      <w:r w:rsidRPr="007568B3">
        <w:rPr>
          <w:noProof/>
          <w:lang w:val="en-GB" w:eastAsia="en-GB"/>
        </w:rPr>
        <w:drawing>
          <wp:inline distT="0" distB="0" distL="0" distR="0" wp14:anchorId="34D1DA9A" wp14:editId="6FD7DA88">
            <wp:extent cx="5760720" cy="376367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763670"/>
                    </a:xfrm>
                    <a:prstGeom prst="rect">
                      <a:avLst/>
                    </a:prstGeom>
                    <a:noFill/>
                    <a:ln>
                      <a:noFill/>
                    </a:ln>
                  </pic:spPr>
                </pic:pic>
              </a:graphicData>
            </a:graphic>
          </wp:inline>
        </w:drawing>
      </w:r>
    </w:p>
    <w:p w14:paraId="40842713" w14:textId="77777777" w:rsidR="00EC2A9D" w:rsidRPr="00A80E3D" w:rsidRDefault="00EC2A9D" w:rsidP="00EC2A9D">
      <w:pPr>
        <w:spacing w:afterLines="120" w:after="288" w:line="240" w:lineRule="auto"/>
        <w:jc w:val="both"/>
        <w:rPr>
          <w:rFonts w:ascii="Times New Roman" w:hAnsi="Times New Roman" w:cs="Times New Roman"/>
          <w:noProof/>
          <w:sz w:val="16"/>
          <w:szCs w:val="16"/>
        </w:rPr>
      </w:pPr>
      <w:r>
        <w:rPr>
          <w:rFonts w:ascii="Times New Roman" w:hAnsi="Times New Roman"/>
          <w:noProof/>
          <w:sz w:val="16"/>
        </w:rPr>
        <w:t>Източник: Данни на Световната банка за цените на стоките.</w:t>
      </w:r>
    </w:p>
    <w:p w14:paraId="6EBFD5D0" w14:textId="2BF64F5D" w:rsidR="000E4023" w:rsidRDefault="000E4023" w:rsidP="19609A93">
      <w:pPr>
        <w:spacing w:afterLines="120" w:after="288" w:line="240" w:lineRule="auto"/>
        <w:jc w:val="both"/>
        <w:rPr>
          <w:rFonts w:ascii="Times New Roman" w:hAnsi="Times New Roman" w:cs="Times New Roman"/>
          <w:noProof/>
          <w:sz w:val="24"/>
          <w:szCs w:val="24"/>
        </w:rPr>
      </w:pPr>
      <w:r>
        <w:rPr>
          <w:rFonts w:ascii="Times New Roman" w:hAnsi="Times New Roman"/>
          <w:b/>
          <w:noProof/>
          <w:sz w:val="24"/>
        </w:rPr>
        <w:t>Световните пазари на торове бяха силно засегнати</w:t>
      </w:r>
      <w:r>
        <w:rPr>
          <w:rFonts w:ascii="Times New Roman" w:hAnsi="Times New Roman"/>
          <w:noProof/>
          <w:sz w:val="24"/>
        </w:rPr>
        <w:t xml:space="preserve"> от инвазията на Русия в Украйна, по-специално поради зависимостта им от природния газ и поради смущенията на пазара, включително </w:t>
      </w:r>
      <w:r>
        <w:rPr>
          <w:rFonts w:ascii="Times New Roman" w:hAnsi="Times New Roman"/>
          <w:b/>
          <w:noProof/>
          <w:sz w:val="24"/>
        </w:rPr>
        <w:t>ограниченията на износа</w:t>
      </w:r>
      <w:r>
        <w:rPr>
          <w:rFonts w:ascii="Times New Roman" w:hAnsi="Times New Roman"/>
          <w:noProof/>
          <w:sz w:val="24"/>
        </w:rPr>
        <w:t>, наложени от ключови държави производителки като Русия и Китай. Русия е водещият износител на торове в света, особено на азотни, и вторият по значимост износител на фосфатни торове. Ограниченията на износа на торове, наложени от важен производител като Русия, са особено разрушителни за световния пазар.</w:t>
      </w:r>
    </w:p>
    <w:p w14:paraId="507A76BC" w14:textId="55628A14" w:rsidR="000E4023" w:rsidRDefault="000E4023" w:rsidP="000E4023">
      <w:pPr>
        <w:spacing w:afterLines="120" w:after="288" w:line="240" w:lineRule="auto"/>
        <w:jc w:val="both"/>
        <w:rPr>
          <w:rFonts w:ascii="Times New Roman" w:hAnsi="Times New Roman" w:cs="Times New Roman"/>
          <w:noProof/>
          <w:sz w:val="24"/>
          <w:szCs w:val="24"/>
        </w:rPr>
      </w:pPr>
      <w:r>
        <w:rPr>
          <w:rFonts w:ascii="Times New Roman" w:hAnsi="Times New Roman"/>
          <w:noProof/>
          <w:sz w:val="24"/>
        </w:rPr>
        <w:t>Достъпността на торовете се влошава, тъй като цените на торовете нарастват по-бързо от цените на селскостопанските стоки. Много държави по света разчитат само на няколко търговски партньора за вноса на торове, поради което са изправени пред по</w:t>
      </w:r>
      <w:r w:rsidR="00D26BE4">
        <w:rPr>
          <w:rFonts w:ascii="Times New Roman" w:hAnsi="Times New Roman"/>
          <w:noProof/>
          <w:sz w:val="24"/>
        </w:rPr>
        <w:noBreakHyphen/>
      </w:r>
      <w:r>
        <w:rPr>
          <w:rFonts w:ascii="Times New Roman" w:hAnsi="Times New Roman"/>
          <w:noProof/>
          <w:sz w:val="24"/>
        </w:rPr>
        <w:t>високи сметки за внос на торове и по-високи производствени разходи, което от своя страна ще се отрази негативно на реколтата. Ако високите цени на торовете се запазят и през следващите сезони на засаждане, проблемът вероятно ще се разпростре и върху производството на ориз и ще засегне около 3 милиарда души в Северна и Южна Америка и Азия, основна храна за които е оризът.</w:t>
      </w:r>
    </w:p>
    <w:sectPr w:rsidR="000E4023" w:rsidSect="00AD3AA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A2DC0D8" w16cid:durableId="20CBF511"/>
  <w16cid:commentId w16cid:paraId="284C0C64" w16cid:durableId="5F25C9E0"/>
  <w16cid:commentId w16cid:paraId="08841DB7" w16cid:durableId="2B6145A2"/>
  <w16cid:commentId w16cid:paraId="4F74B099" w16cid:durableId="51DF78A9"/>
  <w16cid:commentId w16cid:paraId="4AA7C37C" w16cid:durableId="7918F530"/>
  <w16cid:commentId w16cid:paraId="21034716" w16cid:durableId="00CC43D9"/>
  <w16cid:commentId w16cid:paraId="15CAE512" w16cid:durableId="209A1E4E"/>
  <w16cid:commentId w16cid:paraId="23C2A15B" w16cid:durableId="267B3B57"/>
  <w16cid:commentId w16cid:paraId="7CB4F446" w16cid:durableId="4446B5C9"/>
  <w16cid:commentId w16cid:paraId="450C27ED" w16cid:durableId="64988EBD"/>
  <w16cid:commentId w16cid:paraId="7E648ABB" w16cid:durableId="0E6B1DED"/>
  <w16cid:commentId w16cid:paraId="13A0DBEF" w16cid:durableId="6311A5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D439" w14:textId="77777777" w:rsidR="00EC2A9D" w:rsidRDefault="00EC2A9D" w:rsidP="00EC2A9D">
      <w:pPr>
        <w:spacing w:after="0" w:line="240" w:lineRule="auto"/>
      </w:pPr>
      <w:r>
        <w:separator/>
      </w:r>
    </w:p>
  </w:endnote>
  <w:endnote w:type="continuationSeparator" w:id="0">
    <w:p w14:paraId="782868F6" w14:textId="77777777" w:rsidR="00EC2A9D" w:rsidRDefault="00EC2A9D" w:rsidP="00EC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F381" w14:textId="77777777" w:rsidR="009C07A5" w:rsidRPr="009C07A5" w:rsidRDefault="009C07A5" w:rsidP="009C0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BECE" w14:textId="4844683C" w:rsidR="00AD3AA1" w:rsidRPr="009C07A5" w:rsidRDefault="009C07A5" w:rsidP="009C07A5">
    <w:pPr>
      <w:pStyle w:val="FooterCoverPage"/>
      <w:spacing w:after="288"/>
      <w:rPr>
        <w:rFonts w:ascii="Arial" w:hAnsi="Arial" w:cs="Arial"/>
        <w:b/>
        <w:sz w:val="48"/>
      </w:rPr>
    </w:pPr>
    <w:r w:rsidRPr="009C07A5">
      <w:rPr>
        <w:rFonts w:ascii="Arial" w:hAnsi="Arial" w:cs="Arial"/>
        <w:b/>
        <w:sz w:val="48"/>
      </w:rPr>
      <w:t>BG</w:t>
    </w:r>
    <w:r w:rsidRPr="009C07A5">
      <w:rPr>
        <w:rFonts w:ascii="Arial" w:hAnsi="Arial" w:cs="Arial"/>
        <w:b/>
        <w:sz w:val="48"/>
      </w:rPr>
      <w:tab/>
    </w:r>
    <w:r w:rsidRPr="009C07A5">
      <w:rPr>
        <w:rFonts w:ascii="Arial" w:hAnsi="Arial" w:cs="Arial"/>
        <w:b/>
        <w:sz w:val="48"/>
      </w:rPr>
      <w:tab/>
    </w:r>
    <w:r w:rsidRPr="009C07A5">
      <w:tab/>
    </w:r>
    <w:r w:rsidRPr="009C07A5">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07DB" w14:textId="77777777" w:rsidR="00AD3AA1" w:rsidRPr="009C07A5" w:rsidRDefault="00AD3AA1" w:rsidP="009C07A5">
    <w:pPr>
      <w:pStyle w:val="FooterCoverPage"/>
      <w:spacing w:after="28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A8AA" w14:textId="77777777" w:rsidR="00AD3AA1" w:rsidRDefault="00AD3A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90815"/>
      <w:docPartObj>
        <w:docPartGallery w:val="Page Numbers (Bottom of Page)"/>
        <w:docPartUnique/>
      </w:docPartObj>
    </w:sdtPr>
    <w:sdtEndPr>
      <w:rPr>
        <w:rFonts w:ascii="Times New Roman" w:hAnsi="Times New Roman" w:cs="Times New Roman"/>
        <w:noProof/>
        <w:sz w:val="24"/>
        <w:szCs w:val="24"/>
      </w:rPr>
    </w:sdtEndPr>
    <w:sdtContent>
      <w:p w14:paraId="387A89D2" w14:textId="4E13F131" w:rsidR="00AD3AA1" w:rsidRPr="00B97DCE" w:rsidRDefault="00AD3AA1">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9C07A5">
          <w:rPr>
            <w:rFonts w:ascii="Times New Roman" w:hAnsi="Times New Roman" w:cs="Times New Roman"/>
            <w:noProof/>
            <w:sz w:val="24"/>
          </w:rPr>
          <w:t>1</w:t>
        </w:r>
        <w:r>
          <w:rPr>
            <w:rFonts w:ascii="Times New Roman" w:hAnsi="Times New Roman" w:cs="Times New Roman"/>
            <w:sz w:val="24"/>
          </w:rPr>
          <w:fldChar w:fldCharType="end"/>
        </w:r>
      </w:p>
    </w:sdtContent>
  </w:sdt>
  <w:p w14:paraId="500617A7" w14:textId="77777777" w:rsidR="00AD3AA1" w:rsidRDefault="00AD3A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909" w14:textId="77777777" w:rsidR="00AD3AA1" w:rsidRDefault="00AD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2ED5" w14:textId="77777777" w:rsidR="00EC2A9D" w:rsidRDefault="00EC2A9D" w:rsidP="00EC2A9D">
      <w:pPr>
        <w:spacing w:after="0" w:line="240" w:lineRule="auto"/>
      </w:pPr>
      <w:r>
        <w:separator/>
      </w:r>
    </w:p>
  </w:footnote>
  <w:footnote w:type="continuationSeparator" w:id="0">
    <w:p w14:paraId="55248F38" w14:textId="77777777" w:rsidR="00EC2A9D" w:rsidRDefault="00EC2A9D" w:rsidP="00EC2A9D">
      <w:pPr>
        <w:spacing w:after="0" w:line="240" w:lineRule="auto"/>
      </w:pPr>
      <w:r>
        <w:continuationSeparator/>
      </w:r>
    </w:p>
  </w:footnote>
  <w:footnote w:id="1">
    <w:p w14:paraId="3D7E8364" w14:textId="77777777" w:rsidR="00B72FA4" w:rsidRDefault="00B72FA4" w:rsidP="00B72FA4">
      <w:pPr>
        <w:pStyle w:val="FootnoteText"/>
      </w:pPr>
      <w:r>
        <w:rPr>
          <w:rStyle w:val="FootnoteReference"/>
        </w:rPr>
        <w:footnoteRef/>
      </w:r>
      <w:r>
        <w:t xml:space="preserve"> </w:t>
      </w:r>
      <w:r>
        <w:tab/>
        <w:t>К означава калий.</w:t>
      </w:r>
    </w:p>
  </w:footnote>
  <w:footnote w:id="2">
    <w:p w14:paraId="39837675" w14:textId="77777777" w:rsidR="00B72FA4" w:rsidRPr="00E9433A" w:rsidRDefault="00B72FA4" w:rsidP="00B72FA4">
      <w:pPr>
        <w:pStyle w:val="FootnoteText"/>
      </w:pPr>
      <w:r>
        <w:rPr>
          <w:rStyle w:val="FootnoteReference"/>
        </w:rPr>
        <w:footnoteRef/>
      </w:r>
      <w:r>
        <w:t xml:space="preserve"> </w:t>
      </w:r>
      <w:r>
        <w:tab/>
        <w:t>Тези данни са почерпени от научни опити, проведени от производител на торове през последните 15 години въз основа на множество дози азот. Трябва да се отбележи, че в някои региони на Европа оптималната норма на торене е надвишена.</w:t>
      </w:r>
    </w:p>
  </w:footnote>
  <w:footnote w:id="3">
    <w:p w14:paraId="03644C43" w14:textId="77777777" w:rsidR="00B72FA4" w:rsidRPr="007A5798" w:rsidRDefault="00B72FA4" w:rsidP="00B72FA4">
      <w:pPr>
        <w:pStyle w:val="FootnoteText"/>
      </w:pPr>
      <w:r>
        <w:rPr>
          <w:rStyle w:val="FootnoteReference"/>
        </w:rPr>
        <w:footnoteRef/>
      </w:r>
      <w:r>
        <w:t xml:space="preserve"> </w:t>
      </w:r>
      <w:r>
        <w:tab/>
        <w:t>Директива 91/271/EИО на Съвета от 21 май 1991 г. за пречистването на градските отпадъчни води.</w:t>
      </w:r>
    </w:p>
  </w:footnote>
  <w:footnote w:id="4">
    <w:p w14:paraId="2F0AF091" w14:textId="006347C3" w:rsidR="00EC2A9D" w:rsidRPr="00F31359" w:rsidRDefault="00EC2A9D" w:rsidP="00EC2A9D">
      <w:pPr>
        <w:pStyle w:val="FootnoteText"/>
      </w:pPr>
      <w:r>
        <w:rPr>
          <w:rStyle w:val="FootnoteReference"/>
        </w:rPr>
        <w:footnoteRef/>
      </w:r>
      <w:r>
        <w:t xml:space="preserve"> </w:t>
      </w:r>
      <w:r>
        <w:tab/>
        <w:t>Използва се за зашеметяване на животни, за опаковане на месо за удължаване на срока на годност и за газирани напитки.</w:t>
      </w:r>
    </w:p>
  </w:footnote>
  <w:footnote w:id="5">
    <w:p w14:paraId="51BBAD49" w14:textId="1BD54AE2" w:rsidR="00EC2A9D" w:rsidRPr="00F31359" w:rsidRDefault="00EC2A9D" w:rsidP="00EC2A9D">
      <w:pPr>
        <w:pStyle w:val="FootnoteText"/>
      </w:pPr>
      <w:r>
        <w:rPr>
          <w:rStyle w:val="FootnoteReference"/>
        </w:rPr>
        <w:footnoteRef/>
      </w:r>
      <w:r>
        <w:t xml:space="preserve"> </w:t>
      </w:r>
      <w:r>
        <w:tab/>
      </w:r>
      <w:hyperlink r:id="rId1" w:history="1">
        <w:r>
          <w:rPr>
            <w:rStyle w:val="Hyperlink"/>
          </w:rPr>
          <w:t>Информационни документи за суровини от некритично значение</w:t>
        </w:r>
      </w:hyperlink>
      <w:r>
        <w:t xml:space="preserve"> (2020 г.), Европейска комисия, стр. 412.</w:t>
      </w:r>
    </w:p>
  </w:footnote>
  <w:footnote w:id="6">
    <w:p w14:paraId="27F3B5B8" w14:textId="3D2D5612" w:rsidR="00EC2A9D" w:rsidRPr="00F31359" w:rsidDel="003670C4" w:rsidRDefault="00EC2A9D" w:rsidP="00EC2A9D">
      <w:pPr>
        <w:pStyle w:val="FootnoteText"/>
      </w:pPr>
      <w:r>
        <w:rPr>
          <w:rStyle w:val="FootnoteReference"/>
        </w:rPr>
        <w:footnoteRef/>
      </w:r>
      <w:r>
        <w:t xml:space="preserve"> </w:t>
      </w:r>
      <w:r>
        <w:tab/>
        <w:t>На 24 юни 2021 г. ЕС наложи рестриктивни мерки върху вноса на поташ от Беларус в отговор на ескалацията на сериозни нарушения на правата на човека в тази държава.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C7F" w14:textId="77777777" w:rsidR="009C07A5" w:rsidRPr="009C07A5" w:rsidRDefault="009C07A5" w:rsidP="009C0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0075" w14:textId="77777777" w:rsidR="00AD3AA1" w:rsidRPr="009C07A5" w:rsidRDefault="00AD3AA1" w:rsidP="009C07A5">
    <w:pPr>
      <w:pStyle w:val="HeaderCoverPage"/>
      <w:spacing w:after="28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A668" w14:textId="77777777" w:rsidR="00AD3AA1" w:rsidRPr="009C07A5" w:rsidRDefault="00AD3AA1" w:rsidP="009C07A5">
    <w:pPr>
      <w:pStyle w:val="HeaderCoverPage"/>
      <w:spacing w:after="28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9150" w14:textId="77777777" w:rsidR="00AD3AA1" w:rsidRDefault="00AD3A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2618" w14:textId="77777777" w:rsidR="00AD3AA1" w:rsidRDefault="00AD3A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CB38" w14:textId="77777777" w:rsidR="00AD3AA1" w:rsidRDefault="00AD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5145E"/>
    <w:multiLevelType w:val="multilevel"/>
    <w:tmpl w:val="4086C41E"/>
    <w:lvl w:ilvl="0">
      <w:start w:val="1"/>
      <w:numFmt w:val="decimal"/>
      <w:pStyle w:val="Heading1"/>
      <w:lvlText w:val="%1."/>
      <w:lvlJc w:val="left"/>
      <w:pPr>
        <w:tabs>
          <w:tab w:val="num" w:pos="482"/>
        </w:tabs>
        <w:ind w:left="482" w:hanging="482"/>
      </w:pPr>
      <w:rPr>
        <w:rFonts w:ascii="Times New Roman" w:hAnsi="Times New Roman" w:cs="Times New Roman" w:hint="default"/>
        <w:b/>
        <w:lang w:val="en-GB"/>
      </w:rPr>
    </w:lvl>
    <w:lvl w:ilvl="1">
      <w:start w:val="1"/>
      <w:numFmt w:val="decimal"/>
      <w:pStyle w:val="Heading2"/>
      <w:lvlText w:val="%1.%2."/>
      <w:lvlJc w:val="left"/>
      <w:pPr>
        <w:tabs>
          <w:tab w:val="num" w:pos="2564"/>
        </w:tabs>
        <w:ind w:left="2564"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562"/>
        </w:tabs>
        <w:ind w:left="2562" w:hanging="720"/>
      </w:pPr>
      <w:rPr>
        <w:i/>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към"/>
    <w:docVar w:name="LW_ANNEX_NBR_FIRST" w:val="1"/>
    <w:docVar w:name="LW_ANNEX_NBR_LAST" w:val="2"/>
    <w:docVar w:name="LW_ANNEX_UNIQUE" w:val="0"/>
    <w:docVar w:name="LW_CORRIGENDUM" w:val="&lt;UNUSED&gt;"/>
    <w:docVar w:name="LW_COVERPAGE_EXISTS" w:val="True"/>
    <w:docVar w:name="LW_COVERPAGE_GUID" w:val="D4B7C2EA-2070-4ABF-BCD7-C1BDEF7F9659"/>
    <w:docVar w:name="LW_COVERPAGE_TYPE" w:val="1"/>
    <w:docVar w:name="LW_CROSSREFERENCE" w:val="&lt;UNUSED&gt;"/>
    <w:docVar w:name="LW_DocType" w:val="NORMAL"/>
    <w:docVar w:name="LW_EMISSION" w:val="9.11.2022"/>
    <w:docVar w:name="LW_EMISSION_ISODATE" w:val="2022-11-09"/>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Гарантиране на наличността и финансовата достъпност на торовете"/>
    <w:docVar w:name="LW_PART_NBR" w:val="&lt;UNUSED&gt;"/>
    <w:docVar w:name="LW_PART_NBR_TOTAL" w:val="&lt;UNUSED&gt;"/>
    <w:docVar w:name="LW_REF.INST.NEW" w:val="COM"/>
    <w:docVar w:name="LW_REF.INST.NEW_ADOPTED" w:val="final"/>
    <w:docVar w:name="LW_REF.INST.NEW_TEXT" w:val="(2022) 5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ПРИЛОЖЕНИЯ_x000b_"/>
    <w:docVar w:name="LW_TYPEACTEPRINCIPAL.CP" w:val="СЪОБЩЕНИЕ НА КОМИСИЯТА ДО ЕВРОПЕЙСКИЯ ПАРЛАМЕНТ, СЪВЕТА, ЕВРОПЕЙСКИЯ ИКОНОМИЧЕСКИ И СОЦИАЛЕН КОМИТЕТ И КОМИТЕТА НА РЕГИОНИТЕ"/>
    <w:docVar w:name="LwApiVersions" w:val="LW4CoDe 1.23.2.0; LW 8.0, Build 20211117"/>
  </w:docVars>
  <w:rsids>
    <w:rsidRoot w:val="00EC2A9D"/>
    <w:rsid w:val="00032312"/>
    <w:rsid w:val="00040258"/>
    <w:rsid w:val="000440FA"/>
    <w:rsid w:val="00044B8A"/>
    <w:rsid w:val="00054E19"/>
    <w:rsid w:val="000943FB"/>
    <w:rsid w:val="00094E09"/>
    <w:rsid w:val="00094E1A"/>
    <w:rsid w:val="000C01A0"/>
    <w:rsid w:val="000E4023"/>
    <w:rsid w:val="000E6DBC"/>
    <w:rsid w:val="000F2510"/>
    <w:rsid w:val="000F72DE"/>
    <w:rsid w:val="000F7B72"/>
    <w:rsid w:val="00126891"/>
    <w:rsid w:val="00135E27"/>
    <w:rsid w:val="001377BA"/>
    <w:rsid w:val="001675A2"/>
    <w:rsid w:val="00177989"/>
    <w:rsid w:val="00196A1C"/>
    <w:rsid w:val="001C6F85"/>
    <w:rsid w:val="001E196E"/>
    <w:rsid w:val="0021352A"/>
    <w:rsid w:val="002148CD"/>
    <w:rsid w:val="00216E21"/>
    <w:rsid w:val="00221A10"/>
    <w:rsid w:val="00242AE8"/>
    <w:rsid w:val="00242FD8"/>
    <w:rsid w:val="002568A6"/>
    <w:rsid w:val="00262627"/>
    <w:rsid w:val="00286076"/>
    <w:rsid w:val="00290998"/>
    <w:rsid w:val="002A1D56"/>
    <w:rsid w:val="002C0ADD"/>
    <w:rsid w:val="002D3FAD"/>
    <w:rsid w:val="002F6E01"/>
    <w:rsid w:val="00300FF4"/>
    <w:rsid w:val="003239D3"/>
    <w:rsid w:val="0034231F"/>
    <w:rsid w:val="00346FBB"/>
    <w:rsid w:val="00356842"/>
    <w:rsid w:val="00375703"/>
    <w:rsid w:val="00391837"/>
    <w:rsid w:val="003F5F27"/>
    <w:rsid w:val="0042267F"/>
    <w:rsid w:val="004301F0"/>
    <w:rsid w:val="004356D3"/>
    <w:rsid w:val="00450110"/>
    <w:rsid w:val="004532CC"/>
    <w:rsid w:val="004671D9"/>
    <w:rsid w:val="00495A0D"/>
    <w:rsid w:val="004A16EA"/>
    <w:rsid w:val="004B76DE"/>
    <w:rsid w:val="004C1909"/>
    <w:rsid w:val="00535F89"/>
    <w:rsid w:val="00541405"/>
    <w:rsid w:val="00557B2C"/>
    <w:rsid w:val="00570DB2"/>
    <w:rsid w:val="005B5867"/>
    <w:rsid w:val="005D0E9C"/>
    <w:rsid w:val="00605D92"/>
    <w:rsid w:val="00646F9E"/>
    <w:rsid w:val="00665898"/>
    <w:rsid w:val="00666133"/>
    <w:rsid w:val="0069411F"/>
    <w:rsid w:val="006A0C77"/>
    <w:rsid w:val="006B78BD"/>
    <w:rsid w:val="006C39EA"/>
    <w:rsid w:val="006E2DBC"/>
    <w:rsid w:val="006E4514"/>
    <w:rsid w:val="006E52D6"/>
    <w:rsid w:val="0074007F"/>
    <w:rsid w:val="0075616B"/>
    <w:rsid w:val="007568B3"/>
    <w:rsid w:val="00780988"/>
    <w:rsid w:val="00786777"/>
    <w:rsid w:val="007A499C"/>
    <w:rsid w:val="007E32C9"/>
    <w:rsid w:val="00802BA4"/>
    <w:rsid w:val="0081266E"/>
    <w:rsid w:val="00827101"/>
    <w:rsid w:val="00847787"/>
    <w:rsid w:val="008565E9"/>
    <w:rsid w:val="00893CB9"/>
    <w:rsid w:val="008B078D"/>
    <w:rsid w:val="008C0015"/>
    <w:rsid w:val="008E6626"/>
    <w:rsid w:val="008F2563"/>
    <w:rsid w:val="0090363E"/>
    <w:rsid w:val="009139C0"/>
    <w:rsid w:val="0094638E"/>
    <w:rsid w:val="009A4AA3"/>
    <w:rsid w:val="009C07A5"/>
    <w:rsid w:val="009D092C"/>
    <w:rsid w:val="00A4661B"/>
    <w:rsid w:val="00A80E3D"/>
    <w:rsid w:val="00AC70F8"/>
    <w:rsid w:val="00AD3AA1"/>
    <w:rsid w:val="00AE5902"/>
    <w:rsid w:val="00B104B1"/>
    <w:rsid w:val="00B35E6C"/>
    <w:rsid w:val="00B40EFD"/>
    <w:rsid w:val="00B50863"/>
    <w:rsid w:val="00B56A2C"/>
    <w:rsid w:val="00B67418"/>
    <w:rsid w:val="00B67740"/>
    <w:rsid w:val="00B67C7B"/>
    <w:rsid w:val="00B70013"/>
    <w:rsid w:val="00B72FA4"/>
    <w:rsid w:val="00B87DD4"/>
    <w:rsid w:val="00B97DCE"/>
    <w:rsid w:val="00BC086E"/>
    <w:rsid w:val="00BC6723"/>
    <w:rsid w:val="00BE3727"/>
    <w:rsid w:val="00BF548B"/>
    <w:rsid w:val="00BF584E"/>
    <w:rsid w:val="00C057EA"/>
    <w:rsid w:val="00C115A2"/>
    <w:rsid w:val="00C3156D"/>
    <w:rsid w:val="00C342D3"/>
    <w:rsid w:val="00C53F53"/>
    <w:rsid w:val="00C66EC4"/>
    <w:rsid w:val="00CA014E"/>
    <w:rsid w:val="00D21D18"/>
    <w:rsid w:val="00D26BE4"/>
    <w:rsid w:val="00D31654"/>
    <w:rsid w:val="00D833A4"/>
    <w:rsid w:val="00D9116C"/>
    <w:rsid w:val="00D95FD1"/>
    <w:rsid w:val="00DB1225"/>
    <w:rsid w:val="00DE0B8F"/>
    <w:rsid w:val="00E00915"/>
    <w:rsid w:val="00E02A15"/>
    <w:rsid w:val="00EA08F6"/>
    <w:rsid w:val="00EA52EA"/>
    <w:rsid w:val="00EC2A9D"/>
    <w:rsid w:val="00EC614B"/>
    <w:rsid w:val="00EF0D40"/>
    <w:rsid w:val="00F0040C"/>
    <w:rsid w:val="00F15554"/>
    <w:rsid w:val="00F318F0"/>
    <w:rsid w:val="00F3252E"/>
    <w:rsid w:val="00F64645"/>
    <w:rsid w:val="00F92A52"/>
    <w:rsid w:val="00FC0C4E"/>
    <w:rsid w:val="00FC4CD2"/>
    <w:rsid w:val="00FF2D4A"/>
    <w:rsid w:val="106FDA49"/>
    <w:rsid w:val="19609A93"/>
    <w:rsid w:val="1A01EA66"/>
    <w:rsid w:val="22D8C74A"/>
    <w:rsid w:val="273C7BAD"/>
    <w:rsid w:val="2970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3F3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9D"/>
  </w:style>
  <w:style w:type="paragraph" w:styleId="Heading1">
    <w:name w:val="heading 1"/>
    <w:basedOn w:val="Normal"/>
    <w:next w:val="Normal"/>
    <w:link w:val="Heading1Char"/>
    <w:uiPriority w:val="1"/>
    <w:qFormat/>
    <w:rsid w:val="000E4023"/>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1"/>
    <w:qFormat/>
    <w:rsid w:val="000E4023"/>
    <w:pPr>
      <w:keepNext/>
      <w:numPr>
        <w:ilvl w:val="1"/>
        <w:numId w:val="1"/>
      </w:numPr>
      <w:spacing w:after="24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1"/>
    <w:qFormat/>
    <w:rsid w:val="000E4023"/>
    <w:pPr>
      <w:keepNext/>
      <w:numPr>
        <w:ilvl w:val="2"/>
        <w:numId w:val="1"/>
      </w:numPr>
      <w:spacing w:after="24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1"/>
    <w:qFormat/>
    <w:rsid w:val="000E4023"/>
    <w:pPr>
      <w:keepNext/>
      <w:numPr>
        <w:ilvl w:val="3"/>
        <w:numId w:val="1"/>
      </w:numPr>
      <w:spacing w:after="24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qFormat/>
    <w:rsid w:val="000E4023"/>
    <w:pPr>
      <w:keepNext/>
      <w:numPr>
        <w:ilvl w:val="4"/>
        <w:numId w:val="1"/>
      </w:numPr>
      <w:spacing w:after="240" w:line="240" w:lineRule="auto"/>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qFormat/>
    <w:rsid w:val="000E4023"/>
    <w:pPr>
      <w:keepNext/>
      <w:numPr>
        <w:ilvl w:val="5"/>
        <w:numId w:val="1"/>
      </w:numPr>
      <w:spacing w:after="240" w:line="240" w:lineRule="auto"/>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qFormat/>
    <w:rsid w:val="000E4023"/>
    <w:pPr>
      <w:keepNext/>
      <w:numPr>
        <w:ilvl w:val="6"/>
        <w:numId w:val="1"/>
      </w:numPr>
      <w:spacing w:after="240" w:line="240" w:lineRule="auto"/>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qFormat/>
    <w:rsid w:val="000E4023"/>
    <w:pPr>
      <w:keepNext/>
      <w:numPr>
        <w:ilvl w:val="7"/>
        <w:numId w:val="1"/>
      </w:numPr>
      <w:spacing w:after="240" w:line="240" w:lineRule="auto"/>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qFormat/>
    <w:rsid w:val="000E4023"/>
    <w:pPr>
      <w:keepNext/>
      <w:numPr>
        <w:ilvl w:val="8"/>
        <w:numId w:val="1"/>
      </w:numPr>
      <w:spacing w:after="240" w:line="240" w:lineRule="auto"/>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A9D"/>
    <w:rPr>
      <w:color w:val="0000FF"/>
      <w:u w:val="single"/>
    </w:rPr>
  </w:style>
  <w:style w:type="character" w:styleId="FootnoteReference">
    <w:name w:val="footnote reference"/>
    <w:aliases w:val="~FootnoteRef,-E Fußnotenzeichen,(Diplomarbeit FZ),(Diplomarbeit FZ)1,(Diplomarbeit FZ)2,(Diplomarbeit FZ)3,(Diplomarbeit FZ)4,(Diplomarbeit FZ)5,(Diplomarbeit FZ)6,(Diplomarbeit FZ)7,(Diplomarbeit FZ)8,(Diplomarbeit FZ)9,number,fr,FR"/>
    <w:link w:val="CharCharChar"/>
    <w:qFormat/>
    <w:rsid w:val="00EC2A9D"/>
    <w:rPr>
      <w:vertAlign w:val="superscript"/>
    </w:rPr>
  </w:style>
  <w:style w:type="paragraph" w:customStyle="1" w:styleId="CharCharChar">
    <w:name w:val="Char Char Char"/>
    <w:basedOn w:val="Normal"/>
    <w:link w:val="FootnoteReference"/>
    <w:qFormat/>
    <w:rsid w:val="00EC2A9D"/>
    <w:pPr>
      <w:spacing w:after="160" w:line="240" w:lineRule="exact"/>
    </w:pPr>
    <w:rPr>
      <w:vertAlign w:val="superscript"/>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nhideWhenUsed/>
    <w:qFormat/>
    <w:rsid w:val="00EC2A9D"/>
    <w:pPr>
      <w:spacing w:after="120" w:line="240" w:lineRule="auto"/>
      <w:ind w:left="357" w:hanging="357"/>
      <w:jc w:val="both"/>
    </w:pPr>
    <w:rPr>
      <w:rFonts w:ascii="Times New Roman" w:eastAsia="Times New Roman" w:hAnsi="Times New Roman" w:cs="Times New Roman"/>
      <w:sz w:val="20"/>
      <w:szCs w:val="20"/>
      <w:lang w:eastAsia="fr-BE"/>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rsid w:val="00EC2A9D"/>
    <w:rPr>
      <w:rFonts w:ascii="Times New Roman" w:eastAsia="Times New Roman" w:hAnsi="Times New Roman" w:cs="Times New Roman"/>
      <w:sz w:val="20"/>
      <w:szCs w:val="20"/>
      <w:lang w:eastAsia="fr-BE"/>
    </w:rPr>
  </w:style>
  <w:style w:type="character" w:styleId="CommentReference">
    <w:name w:val="annotation reference"/>
    <w:basedOn w:val="DefaultParagraphFont"/>
    <w:uiPriority w:val="99"/>
    <w:semiHidden/>
    <w:rsid w:val="00EC2A9D"/>
    <w:rPr>
      <w:sz w:val="16"/>
      <w:szCs w:val="16"/>
    </w:rPr>
  </w:style>
  <w:style w:type="paragraph" w:styleId="CommentText">
    <w:name w:val="annotation text"/>
    <w:basedOn w:val="Normal"/>
    <w:link w:val="CommentTextChar"/>
    <w:uiPriority w:val="99"/>
    <w:semiHidden/>
    <w:rsid w:val="00EC2A9D"/>
    <w:pPr>
      <w:spacing w:after="240" w:line="240" w:lineRule="auto"/>
      <w:jc w:val="both"/>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EC2A9D"/>
    <w:rPr>
      <w:rFonts w:ascii="Times New Roman" w:eastAsia="Times New Roman" w:hAnsi="Times New Roman" w:cs="Times New Roman"/>
      <w:sz w:val="20"/>
      <w:szCs w:val="20"/>
      <w:lang w:eastAsia="fr-BE"/>
    </w:rPr>
  </w:style>
  <w:style w:type="paragraph" w:styleId="BalloonText">
    <w:name w:val="Balloon Text"/>
    <w:basedOn w:val="Normal"/>
    <w:link w:val="BalloonTextChar"/>
    <w:uiPriority w:val="99"/>
    <w:semiHidden/>
    <w:unhideWhenUsed/>
    <w:rsid w:val="00EC2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7787"/>
    <w:pPr>
      <w:spacing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7787"/>
    <w:rPr>
      <w:rFonts w:ascii="Times New Roman" w:eastAsia="Times New Roman" w:hAnsi="Times New Roman" w:cs="Times New Roman"/>
      <w:b/>
      <w:bCs/>
      <w:sz w:val="20"/>
      <w:szCs w:val="20"/>
      <w:lang w:eastAsia="fr-BE"/>
    </w:rPr>
  </w:style>
  <w:style w:type="character" w:customStyle="1" w:styleId="Heading1Char">
    <w:name w:val="Heading 1 Char"/>
    <w:basedOn w:val="DefaultParagraphFont"/>
    <w:link w:val="Heading1"/>
    <w:uiPriority w:val="1"/>
    <w:rsid w:val="000E4023"/>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1"/>
    <w:rsid w:val="000E4023"/>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1"/>
    <w:rsid w:val="000E402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1"/>
    <w:rsid w:val="000E4023"/>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semiHidden/>
    <w:rsid w:val="000E4023"/>
    <w:rPr>
      <w:rFonts w:ascii="Times New Roman" w:eastAsia="Times New Roman" w:hAnsi="Times New Roman" w:cs="Times New Roman"/>
      <w:sz w:val="24"/>
      <w:szCs w:val="20"/>
      <w:lang w:eastAsia="fr-BE"/>
    </w:rPr>
  </w:style>
  <w:style w:type="character" w:customStyle="1" w:styleId="Heading6Char">
    <w:name w:val="Heading 6 Char"/>
    <w:basedOn w:val="DefaultParagraphFont"/>
    <w:link w:val="Heading6"/>
    <w:semiHidden/>
    <w:rsid w:val="000E4023"/>
    <w:rPr>
      <w:rFonts w:ascii="Times New Roman" w:eastAsia="Times New Roman" w:hAnsi="Times New Roman" w:cs="Times New Roman"/>
      <w:sz w:val="24"/>
      <w:szCs w:val="20"/>
      <w:lang w:eastAsia="fr-BE"/>
    </w:rPr>
  </w:style>
  <w:style w:type="character" w:customStyle="1" w:styleId="Heading7Char">
    <w:name w:val="Heading 7 Char"/>
    <w:basedOn w:val="DefaultParagraphFont"/>
    <w:link w:val="Heading7"/>
    <w:semiHidden/>
    <w:rsid w:val="000E4023"/>
    <w:rPr>
      <w:rFonts w:ascii="Times New Roman" w:eastAsia="Times New Roman" w:hAnsi="Times New Roman" w:cs="Times New Roman"/>
      <w:sz w:val="24"/>
      <w:szCs w:val="20"/>
      <w:lang w:eastAsia="fr-BE"/>
    </w:rPr>
  </w:style>
  <w:style w:type="character" w:customStyle="1" w:styleId="Heading8Char">
    <w:name w:val="Heading 8 Char"/>
    <w:basedOn w:val="DefaultParagraphFont"/>
    <w:link w:val="Heading8"/>
    <w:semiHidden/>
    <w:rsid w:val="000E4023"/>
    <w:rPr>
      <w:rFonts w:ascii="Times New Roman" w:eastAsia="Times New Roman" w:hAnsi="Times New Roman" w:cs="Times New Roman"/>
      <w:sz w:val="24"/>
      <w:szCs w:val="20"/>
      <w:lang w:eastAsia="fr-BE"/>
    </w:rPr>
  </w:style>
  <w:style w:type="character" w:customStyle="1" w:styleId="Heading9Char">
    <w:name w:val="Heading 9 Char"/>
    <w:basedOn w:val="DefaultParagraphFont"/>
    <w:link w:val="Heading9"/>
    <w:semiHidden/>
    <w:rsid w:val="000E4023"/>
    <w:rPr>
      <w:rFonts w:ascii="Times New Roman" w:eastAsia="Times New Roman" w:hAnsi="Times New Roman" w:cs="Times New Roman"/>
      <w:sz w:val="24"/>
      <w:szCs w:val="20"/>
      <w:lang w:eastAsia="fr-BE"/>
    </w:rPr>
  </w:style>
  <w:style w:type="paragraph" w:styleId="Header">
    <w:name w:val="header"/>
    <w:basedOn w:val="Normal"/>
    <w:link w:val="HeaderChar"/>
    <w:uiPriority w:val="99"/>
    <w:unhideWhenUsed/>
    <w:rsid w:val="00A8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3D"/>
  </w:style>
  <w:style w:type="paragraph" w:styleId="Footer">
    <w:name w:val="footer"/>
    <w:basedOn w:val="Normal"/>
    <w:link w:val="FooterChar"/>
    <w:uiPriority w:val="99"/>
    <w:unhideWhenUsed/>
    <w:rsid w:val="00A8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3D"/>
  </w:style>
  <w:style w:type="character" w:styleId="Strong">
    <w:name w:val="Strong"/>
    <w:qFormat/>
    <w:rsid w:val="00B72FA4"/>
    <w:rPr>
      <w:b/>
      <w:bCs/>
    </w:rPr>
  </w:style>
  <w:style w:type="character" w:customStyle="1" w:styleId="Marker">
    <w:name w:val="Marker"/>
    <w:basedOn w:val="DefaultParagraphFont"/>
    <w:rsid w:val="00AD3AA1"/>
    <w:rPr>
      <w:color w:val="0000FF"/>
      <w:shd w:val="clear" w:color="auto" w:fill="auto"/>
    </w:rPr>
  </w:style>
  <w:style w:type="paragraph" w:customStyle="1" w:styleId="Pagedecouverture">
    <w:name w:val="Page de couverture"/>
    <w:basedOn w:val="Normal"/>
    <w:next w:val="Normal"/>
    <w:rsid w:val="00AD3AA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D3AA1"/>
    <w:pPr>
      <w:tabs>
        <w:tab w:val="center" w:pos="4535"/>
        <w:tab w:val="right" w:pos="9071"/>
        <w:tab w:val="right" w:pos="9921"/>
      </w:tabs>
      <w:spacing w:before="360" w:afterLines="12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D3AA1"/>
    <w:rPr>
      <w:rFonts w:ascii="Times New Roman" w:hAnsi="Times New Roman" w:cs="Times New Roman"/>
      <w:sz w:val="24"/>
    </w:rPr>
  </w:style>
  <w:style w:type="paragraph" w:customStyle="1" w:styleId="FooterSensitivity">
    <w:name w:val="Footer Sensitivity"/>
    <w:basedOn w:val="Normal"/>
    <w:link w:val="FooterSensitivityChar"/>
    <w:rsid w:val="00AD3AA1"/>
    <w:pPr>
      <w:pBdr>
        <w:top w:val="single" w:sz="4" w:space="1" w:color="auto"/>
        <w:left w:val="single" w:sz="4" w:space="4" w:color="auto"/>
        <w:bottom w:val="single" w:sz="4" w:space="1" w:color="auto"/>
        <w:right w:val="single" w:sz="4" w:space="4" w:color="auto"/>
      </w:pBdr>
      <w:spacing w:before="360" w:afterLines="12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D3AA1"/>
    <w:rPr>
      <w:rFonts w:ascii="Times New Roman" w:hAnsi="Times New Roman" w:cs="Times New Roman"/>
      <w:b/>
      <w:sz w:val="32"/>
    </w:rPr>
  </w:style>
  <w:style w:type="paragraph" w:customStyle="1" w:styleId="HeaderCoverPage">
    <w:name w:val="Header Cover Page"/>
    <w:basedOn w:val="Normal"/>
    <w:link w:val="HeaderCoverPageChar"/>
    <w:rsid w:val="00AD3AA1"/>
    <w:pPr>
      <w:tabs>
        <w:tab w:val="center" w:pos="4535"/>
        <w:tab w:val="right" w:pos="9071"/>
      </w:tabs>
      <w:spacing w:afterLines="120"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D3AA1"/>
    <w:rPr>
      <w:rFonts w:ascii="Times New Roman" w:hAnsi="Times New Roman" w:cs="Times New Roman"/>
      <w:sz w:val="24"/>
    </w:rPr>
  </w:style>
  <w:style w:type="paragraph" w:customStyle="1" w:styleId="HeaderSensitivity">
    <w:name w:val="Header Sensitivity"/>
    <w:basedOn w:val="Normal"/>
    <w:link w:val="HeaderSensitivityChar"/>
    <w:rsid w:val="00AD3AA1"/>
    <w:pPr>
      <w:pBdr>
        <w:top w:val="single" w:sz="4" w:space="1" w:color="auto"/>
        <w:left w:val="single" w:sz="4" w:space="4" w:color="auto"/>
        <w:bottom w:val="single" w:sz="4" w:space="1" w:color="auto"/>
        <w:right w:val="single" w:sz="4" w:space="4" w:color="auto"/>
      </w:pBdr>
      <w:spacing w:afterLines="12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D3AA1"/>
    <w:rPr>
      <w:rFonts w:ascii="Times New Roman" w:hAnsi="Times New Roman" w:cs="Times New Roman"/>
      <w:b/>
      <w:sz w:val="32"/>
    </w:rPr>
  </w:style>
  <w:style w:type="paragraph" w:customStyle="1" w:styleId="HeaderSensitivityRight">
    <w:name w:val="Header Sensitivity Right"/>
    <w:basedOn w:val="Normal"/>
    <w:link w:val="HeaderSensitivityRightChar"/>
    <w:rsid w:val="00AD3AA1"/>
    <w:pPr>
      <w:spacing w:afterLines="120"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D3AA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6.xml"/><Relationship Id="rId30" Type="http://schemas.openxmlformats.org/officeDocument/2006/relationships/theme" Target="theme/theme1.xml"/><Relationship Id="Re37e0f38e84a492e"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ocsroom/documents/42883/attachments/3/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4" ma:contentTypeDescription="Create a new document." ma:contentTypeScope="" ma:versionID="6b6c4d6dcf57ec963e5782d0f234ebca">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3fc4101192be32eca7d01dca346a804"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2A16-2BB2-4BBF-B042-6C2D3C62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34BE8-24B8-4F02-8E83-226FECF49789}">
  <ds:schemaRefs>
    <ds:schemaRef ds:uri="http://schemas.microsoft.com/sharepoint/v3/contenttype/forms"/>
  </ds:schemaRefs>
</ds:datastoreItem>
</file>

<file path=customXml/itemProps3.xml><?xml version="1.0" encoding="utf-8"?>
<ds:datastoreItem xmlns:ds="http://schemas.openxmlformats.org/officeDocument/2006/customXml" ds:itemID="{09870A6C-D978-4B92-BA7D-6B9CB264A7BB}">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39579b5d-f307-4cba-adf0-92bbc0d34603"/>
    <ds:schemaRef ds:uri="http://www.w3.org/XML/1998/namespace"/>
    <ds:schemaRef ds:uri="a1ae7e3d-ea02-4f8b-a6ae-4ba92f54bfa6"/>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AB5A5A0-CAE3-47EC-9A9E-3A4DE523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2022-11-05T10:07:00Z</dcterms:created>
  <dcterms:modified xsi:type="dcterms:W3CDTF">2022-11-21T07:27:00Z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8.1, Build 20220902</vt:lpwstr>
  </property>
  <property fmtid="{D5CDD505-2E9C-101B-9397-08002B2CF9AE}" pid="11" name="Created using">
    <vt:lpwstr>LW 8.1, Build 20220902</vt:lpwstr>
  </property>
  <property fmtid="{D5CDD505-2E9C-101B-9397-08002B2CF9AE}" pid="12" name="ContentTypeId">
    <vt:lpwstr>0x0101008B4DCC0AC9070440AC8F58F2A787C016</vt:lpwstr>
  </property>
</Properties>
</file>