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F70D9" w14:textId="48BDE75D" w:rsidR="007D59C2" w:rsidRDefault="00E85AA2" w:rsidP="00E85AA2">
      <w:pPr>
        <w:pStyle w:val="Pagedecouverture"/>
        <w:rPr>
          <w:noProof/>
        </w:rPr>
      </w:pPr>
      <w:bookmarkStart w:id="0" w:name="LW_BM_COVERPAGE"/>
      <w:r>
        <w:rPr>
          <w:noProof/>
        </w:rPr>
        <w:pict w14:anchorId="2FFF2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alt="E1624431-ED9D-4BFF-BF0E-3656F8609951" style="width:455.25pt;height:324pt">
            <v:imagedata r:id="rId8" o:title=""/>
          </v:shape>
        </w:pict>
      </w:r>
    </w:p>
    <w:bookmarkEnd w:id="0"/>
    <w:p w14:paraId="44C92A05" w14:textId="77777777" w:rsidR="007D59C2" w:rsidRDefault="007D59C2" w:rsidP="007D59C2">
      <w:pPr>
        <w:rPr>
          <w:noProof/>
          <w:lang w:val="fr-BE"/>
        </w:rPr>
        <w:sectPr w:rsidR="007D59C2" w:rsidSect="00E85AA2">
          <w:headerReference w:type="even" r:id="rId9"/>
          <w:headerReference w:type="default" r:id="rId10"/>
          <w:footerReference w:type="even" r:id="rId11"/>
          <w:footerReference w:type="default" r:id="rId12"/>
          <w:headerReference w:type="first" r:id="rId13"/>
          <w:footerReference w:type="first" r:id="rId14"/>
          <w:pgSz w:w="11906" w:h="16838" w:code="1"/>
          <w:pgMar w:top="1134" w:right="1417" w:bottom="1134" w:left="1417" w:header="709" w:footer="709" w:gutter="0"/>
          <w:pgNumType w:start="0"/>
          <w:cols w:space="720"/>
          <w:docGrid w:linePitch="360"/>
        </w:sectPr>
      </w:pPr>
    </w:p>
    <w:p w14:paraId="745DDEF3" w14:textId="77777777" w:rsidR="007D59C2" w:rsidRDefault="007D59C2" w:rsidP="007D59C2">
      <w:pPr>
        <w:keepNext/>
        <w:keepLines/>
        <w:spacing w:before="120" w:line="240" w:lineRule="auto"/>
        <w:rPr>
          <w:noProof/>
          <w:lang w:val="fr-BE"/>
        </w:rPr>
      </w:pPr>
      <w:bookmarkStart w:id="1" w:name="_GoBack"/>
      <w:bookmarkEnd w:id="1"/>
    </w:p>
    <w:sdt>
      <w:sdtPr>
        <w:rPr>
          <w:noProof/>
          <w:lang w:val="fr-BE"/>
        </w:rPr>
        <w:id w:val="1166976142"/>
        <w:docPartObj>
          <w:docPartGallery w:val="Table of Contents"/>
          <w:docPartUnique/>
        </w:docPartObj>
      </w:sdtPr>
      <w:sdtEndPr>
        <w:rPr>
          <w:bCs/>
          <w:lang w:val="en-GB"/>
        </w:rPr>
      </w:sdtEndPr>
      <w:sdtContent>
        <w:p w14:paraId="503F0803" w14:textId="77777777" w:rsidR="007D59C2" w:rsidRPr="00E43260" w:rsidRDefault="007D59C2" w:rsidP="007D59C2">
          <w:pPr>
            <w:keepNext/>
            <w:keepLines/>
            <w:spacing w:before="120" w:line="240" w:lineRule="auto"/>
            <w:rPr>
              <w:rFonts w:asciiTheme="majorHAnsi" w:eastAsiaTheme="majorEastAsia" w:hAnsiTheme="majorHAnsi" w:cstheme="majorBidi"/>
              <w:noProof/>
              <w:color w:val="002060"/>
              <w:sz w:val="28"/>
              <w:szCs w:val="30"/>
            </w:rPr>
          </w:pPr>
          <w:r w:rsidRPr="00E43260">
            <w:rPr>
              <w:rFonts w:asciiTheme="majorHAnsi" w:eastAsiaTheme="majorEastAsia" w:hAnsiTheme="majorHAnsi" w:cstheme="majorBidi"/>
              <w:noProof/>
              <w:color w:val="002060"/>
              <w:sz w:val="28"/>
              <w:szCs w:val="30"/>
            </w:rPr>
            <w:t>Contents</w:t>
          </w:r>
        </w:p>
        <w:p w14:paraId="1D233F1F" w14:textId="77777777" w:rsidR="007D59C2" w:rsidRPr="00E43260" w:rsidRDefault="007D59C2" w:rsidP="007D59C2">
          <w:pPr>
            <w:tabs>
              <w:tab w:val="left" w:pos="3832"/>
            </w:tabs>
            <w:rPr>
              <w:noProof/>
              <w:lang w:val="en-GB"/>
            </w:rPr>
          </w:pPr>
          <w:r w:rsidRPr="00E43260">
            <w:rPr>
              <w:noProof/>
              <w:lang w:val="en-GB"/>
            </w:rPr>
            <w:tab/>
          </w:r>
        </w:p>
        <w:p w14:paraId="4759982A" w14:textId="1348011F" w:rsidR="00E131DC" w:rsidRPr="00E131DC" w:rsidRDefault="007D59C2">
          <w:pPr>
            <w:pStyle w:val="TOC1"/>
            <w:rPr>
              <w:noProof/>
              <w:lang w:val="en-IE" w:eastAsia="en-IE"/>
            </w:rPr>
          </w:pPr>
          <w:r w:rsidRPr="00E43260">
            <w:rPr>
              <w:rFonts w:ascii="Times New Roman" w:hAnsi="Times New Roman" w:cs="Times New Roman"/>
              <w:noProof/>
              <w:color w:val="000000" w:themeColor="text1"/>
              <w:sz w:val="28"/>
            </w:rPr>
            <w:fldChar w:fldCharType="begin"/>
          </w:r>
          <w:r w:rsidRPr="00E43260">
            <w:rPr>
              <w:rFonts w:ascii="Times New Roman" w:hAnsi="Times New Roman" w:cs="Times New Roman"/>
              <w:noProof/>
              <w:color w:val="000000" w:themeColor="text1"/>
              <w:sz w:val="28"/>
            </w:rPr>
            <w:instrText xml:space="preserve"> TOC \o "1-3" \h \z \u </w:instrText>
          </w:r>
          <w:r w:rsidRPr="00E43260">
            <w:rPr>
              <w:rFonts w:ascii="Times New Roman" w:hAnsi="Times New Roman" w:cs="Times New Roman"/>
              <w:noProof/>
              <w:color w:val="000000" w:themeColor="text1"/>
              <w:sz w:val="28"/>
            </w:rPr>
            <w:fldChar w:fldCharType="separate"/>
          </w:r>
          <w:hyperlink w:anchor="_Toc120631049" w:history="1">
            <w:r w:rsidR="00E131DC" w:rsidRPr="00E131DC">
              <w:rPr>
                <w:rStyle w:val="Hyperlink"/>
                <w:rFonts w:asciiTheme="majorHAnsi" w:eastAsiaTheme="majorEastAsia" w:hAnsiTheme="majorHAnsi" w:cstheme="majorBidi"/>
                <w:noProof/>
              </w:rPr>
              <w:t>INTRODUCTION</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_Toc120631049 \h </w:instrText>
            </w:r>
            <w:r w:rsidR="00E131DC" w:rsidRPr="00E131DC">
              <w:rPr>
                <w:noProof/>
                <w:webHidden/>
              </w:rPr>
            </w:r>
            <w:r w:rsidR="00E131DC" w:rsidRPr="00E131DC">
              <w:rPr>
                <w:noProof/>
                <w:webHidden/>
              </w:rPr>
              <w:fldChar w:fldCharType="separate"/>
            </w:r>
            <w:r w:rsidR="00E131DC" w:rsidRPr="00E131DC">
              <w:rPr>
                <w:noProof/>
                <w:webHidden/>
              </w:rPr>
              <w:t>1</w:t>
            </w:r>
            <w:r w:rsidR="00E131DC" w:rsidRPr="00E131DC">
              <w:rPr>
                <w:noProof/>
                <w:webHidden/>
              </w:rPr>
              <w:fldChar w:fldCharType="end"/>
            </w:r>
          </w:hyperlink>
        </w:p>
        <w:p w14:paraId="532F4E7C" w14:textId="099CBC7F" w:rsidR="00E131DC" w:rsidRPr="00E131DC" w:rsidRDefault="00E85AA2">
          <w:pPr>
            <w:pStyle w:val="TOC2"/>
            <w:rPr>
              <w:noProof/>
              <w:lang w:val="en-IE" w:eastAsia="en-IE"/>
            </w:rPr>
          </w:pPr>
          <w:hyperlink w:anchor="_Toc120631050" w:history="1">
            <w:r w:rsidR="00E131DC" w:rsidRPr="00E131DC">
              <w:rPr>
                <w:rStyle w:val="Hyperlink"/>
                <w:rFonts w:asciiTheme="majorHAnsi" w:eastAsia="Times New Roman" w:hAnsiTheme="majorHAnsi" w:cstheme="majorBidi"/>
                <w:noProof/>
              </w:rPr>
              <w:t>Scope of the first State of Health Preparedness Report</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_Toc120631050 \h </w:instrText>
            </w:r>
            <w:r w:rsidR="00E131DC" w:rsidRPr="00E131DC">
              <w:rPr>
                <w:noProof/>
                <w:webHidden/>
              </w:rPr>
            </w:r>
            <w:r w:rsidR="00E131DC" w:rsidRPr="00E131DC">
              <w:rPr>
                <w:noProof/>
                <w:webHidden/>
              </w:rPr>
              <w:fldChar w:fldCharType="separate"/>
            </w:r>
            <w:r w:rsidR="00E131DC" w:rsidRPr="00E131DC">
              <w:rPr>
                <w:noProof/>
                <w:webHidden/>
              </w:rPr>
              <w:t>3</w:t>
            </w:r>
            <w:r w:rsidR="00E131DC" w:rsidRPr="00E131DC">
              <w:rPr>
                <w:noProof/>
                <w:webHidden/>
              </w:rPr>
              <w:fldChar w:fldCharType="end"/>
            </w:r>
          </w:hyperlink>
        </w:p>
        <w:p w14:paraId="58E2D2F9" w14:textId="2F227907" w:rsidR="00E131DC" w:rsidRPr="00E131DC" w:rsidRDefault="00E85AA2">
          <w:pPr>
            <w:pStyle w:val="TOC1"/>
            <w:rPr>
              <w:noProof/>
              <w:lang w:val="en-IE" w:eastAsia="en-IE"/>
            </w:rPr>
          </w:pPr>
          <w:hyperlink w:anchor="_Toc120631051" w:history="1">
            <w:r w:rsidR="00E131DC" w:rsidRPr="00E131DC">
              <w:rPr>
                <w:rStyle w:val="Hyperlink"/>
                <w:rFonts w:asciiTheme="majorHAnsi" w:eastAsiaTheme="majorEastAsia" w:hAnsiTheme="majorHAnsi" w:cstheme="majorBidi"/>
                <w:noProof/>
              </w:rPr>
              <w:t>PROGRESS MADE IN THE EU IN RELATION TO THE EARLY LESSONS FROM THE COVID-19 PANDEMIC</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_Toc120631051 \h </w:instrText>
            </w:r>
            <w:r w:rsidR="00E131DC" w:rsidRPr="00E131DC">
              <w:rPr>
                <w:noProof/>
                <w:webHidden/>
              </w:rPr>
            </w:r>
            <w:r w:rsidR="00E131DC" w:rsidRPr="00E131DC">
              <w:rPr>
                <w:noProof/>
                <w:webHidden/>
              </w:rPr>
              <w:fldChar w:fldCharType="separate"/>
            </w:r>
            <w:r w:rsidR="00E131DC" w:rsidRPr="00E131DC">
              <w:rPr>
                <w:noProof/>
                <w:webHidden/>
              </w:rPr>
              <w:t>4</w:t>
            </w:r>
            <w:r w:rsidR="00E131DC" w:rsidRPr="00E131DC">
              <w:rPr>
                <w:noProof/>
                <w:webHidden/>
              </w:rPr>
              <w:fldChar w:fldCharType="end"/>
            </w:r>
          </w:hyperlink>
        </w:p>
        <w:p w14:paraId="10C471D4" w14:textId="1F41922B" w:rsidR="00E131DC" w:rsidRPr="00E131DC" w:rsidRDefault="00E85AA2">
          <w:pPr>
            <w:pStyle w:val="TOC1"/>
            <w:rPr>
              <w:noProof/>
              <w:lang w:val="en-IE" w:eastAsia="en-IE"/>
            </w:rPr>
          </w:pPr>
          <w:hyperlink w:anchor="_Toc120631052" w:history="1">
            <w:r w:rsidR="00E131DC" w:rsidRPr="00E131DC">
              <w:rPr>
                <w:rStyle w:val="Hyperlink"/>
                <w:rFonts w:asciiTheme="majorHAnsi" w:eastAsiaTheme="majorEastAsia" w:hAnsiTheme="majorHAnsi" w:cstheme="majorBidi"/>
                <w:noProof/>
              </w:rPr>
              <w:t>EU PREPAREDNESS FOR FUTURE HEALTH EMERGENCIES – STATE OF PLAY AND PLANNED ACTIONS ON MEDICAL COUNTERMEASURES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_Toc120631052 \h </w:instrText>
            </w:r>
            <w:r w:rsidR="00E131DC" w:rsidRPr="00E131DC">
              <w:rPr>
                <w:noProof/>
                <w:webHidden/>
              </w:rPr>
            </w:r>
            <w:r w:rsidR="00E131DC" w:rsidRPr="00E131DC">
              <w:rPr>
                <w:noProof/>
                <w:webHidden/>
              </w:rPr>
              <w:fldChar w:fldCharType="separate"/>
            </w:r>
            <w:r w:rsidR="00E131DC" w:rsidRPr="00E131DC">
              <w:rPr>
                <w:noProof/>
                <w:webHidden/>
              </w:rPr>
              <w:t>6</w:t>
            </w:r>
            <w:r w:rsidR="00E131DC" w:rsidRPr="00E131DC">
              <w:rPr>
                <w:noProof/>
                <w:webHidden/>
              </w:rPr>
              <w:fldChar w:fldCharType="end"/>
            </w:r>
          </w:hyperlink>
        </w:p>
        <w:p w14:paraId="5B4F7D8C" w14:textId="05166382" w:rsidR="00E131DC" w:rsidRPr="00E131DC" w:rsidRDefault="00E85AA2">
          <w:pPr>
            <w:pStyle w:val="TOC2"/>
            <w:rPr>
              <w:noProof/>
              <w:lang w:val="en-IE" w:eastAsia="en-IE"/>
            </w:rPr>
          </w:pPr>
          <w:hyperlink w:anchor="_Toc120631053" w:history="1">
            <w:r w:rsidR="00E131DC" w:rsidRPr="00E131DC">
              <w:rPr>
                <w:rStyle w:val="Hyperlink"/>
                <w:rFonts w:asciiTheme="majorHAnsi" w:eastAsia="Times New Roman" w:hAnsiTheme="majorHAnsi" w:cstheme="majorBidi"/>
                <w:noProof/>
              </w:rPr>
              <w:t>1.</w:t>
            </w:r>
            <w:r w:rsidR="00E131DC" w:rsidRPr="00E131DC">
              <w:rPr>
                <w:noProof/>
                <w:lang w:val="en-IE" w:eastAsia="en-IE"/>
              </w:rPr>
              <w:tab/>
            </w:r>
            <w:r w:rsidR="00E131DC" w:rsidRPr="00E131DC">
              <w:rPr>
                <w:rStyle w:val="Hyperlink"/>
                <w:rFonts w:asciiTheme="majorHAnsi" w:eastAsia="Times New Roman" w:hAnsiTheme="majorHAnsi" w:cstheme="majorBidi"/>
                <w:noProof/>
              </w:rPr>
              <w:t>Threat assessment and intelligence gathering</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_Toc120631053 \h </w:instrText>
            </w:r>
            <w:r w:rsidR="00E131DC" w:rsidRPr="00E131DC">
              <w:rPr>
                <w:noProof/>
                <w:webHidden/>
              </w:rPr>
            </w:r>
            <w:r w:rsidR="00E131DC" w:rsidRPr="00E131DC">
              <w:rPr>
                <w:noProof/>
                <w:webHidden/>
              </w:rPr>
              <w:fldChar w:fldCharType="separate"/>
            </w:r>
            <w:r w:rsidR="00E131DC" w:rsidRPr="00E131DC">
              <w:rPr>
                <w:noProof/>
                <w:webHidden/>
              </w:rPr>
              <w:t>6</w:t>
            </w:r>
            <w:r w:rsidR="00E131DC" w:rsidRPr="00E131DC">
              <w:rPr>
                <w:noProof/>
                <w:webHidden/>
              </w:rPr>
              <w:fldChar w:fldCharType="end"/>
            </w:r>
          </w:hyperlink>
        </w:p>
        <w:p w14:paraId="13905228" w14:textId="0AEC9F25" w:rsidR="00E131DC" w:rsidRPr="00E131DC" w:rsidRDefault="00E85AA2">
          <w:pPr>
            <w:pStyle w:val="TOC3"/>
            <w:tabs>
              <w:tab w:val="left" w:pos="1100"/>
              <w:tab w:val="right" w:leader="dot" w:pos="9062"/>
            </w:tabs>
            <w:rPr>
              <w:noProof/>
              <w:lang w:val="en-IE" w:eastAsia="en-IE"/>
            </w:rPr>
          </w:pPr>
          <w:hyperlink w:anchor="_Toc120631054" w:history="1">
            <w:r w:rsidR="00E131DC" w:rsidRPr="00E131DC">
              <w:rPr>
                <w:rStyle w:val="Hyperlink"/>
                <w:rFonts w:asciiTheme="majorHAnsi" w:eastAsia="Times New Roman" w:hAnsiTheme="majorHAnsi" w:cstheme="majorBidi"/>
                <w:noProof/>
              </w:rPr>
              <w:t>1.1</w:t>
            </w:r>
            <w:r w:rsidR="00E131DC" w:rsidRPr="00E131DC">
              <w:rPr>
                <w:noProof/>
                <w:lang w:val="en-IE" w:eastAsia="en-IE"/>
              </w:rPr>
              <w:tab/>
            </w:r>
            <w:r w:rsidR="00E131DC" w:rsidRPr="00E131DC">
              <w:rPr>
                <w:rStyle w:val="Hyperlink"/>
                <w:rFonts w:asciiTheme="majorHAnsi" w:eastAsia="Times New Roman" w:hAnsiTheme="majorHAnsi" w:cstheme="majorBidi"/>
                <w:noProof/>
              </w:rPr>
              <w:t xml:space="preserve">Threat </w:t>
            </w:r>
            <w:r w:rsidR="00E131DC" w:rsidRPr="00E131DC">
              <w:rPr>
                <w:rStyle w:val="Hyperlink"/>
                <w:rFonts w:asciiTheme="majorHAnsi" w:eastAsia="Times New Roman" w:hAnsiTheme="majorHAnsi" w:cstheme="majorBidi"/>
                <w:noProof/>
                <w:lang w:val="en-GB"/>
              </w:rPr>
              <w:t>prioritisation</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_Toc120631054 \h </w:instrText>
            </w:r>
            <w:r w:rsidR="00E131DC" w:rsidRPr="00E131DC">
              <w:rPr>
                <w:noProof/>
                <w:webHidden/>
              </w:rPr>
            </w:r>
            <w:r w:rsidR="00E131DC" w:rsidRPr="00E131DC">
              <w:rPr>
                <w:noProof/>
                <w:webHidden/>
              </w:rPr>
              <w:fldChar w:fldCharType="separate"/>
            </w:r>
            <w:r w:rsidR="00E131DC" w:rsidRPr="00E131DC">
              <w:rPr>
                <w:noProof/>
                <w:webHidden/>
              </w:rPr>
              <w:t>6</w:t>
            </w:r>
            <w:r w:rsidR="00E131DC" w:rsidRPr="00E131DC">
              <w:rPr>
                <w:noProof/>
                <w:webHidden/>
              </w:rPr>
              <w:fldChar w:fldCharType="end"/>
            </w:r>
          </w:hyperlink>
        </w:p>
        <w:p w14:paraId="22AC8A65" w14:textId="10D74926" w:rsidR="00E131DC" w:rsidRPr="00E131DC" w:rsidRDefault="00E85AA2">
          <w:pPr>
            <w:pStyle w:val="TOC3"/>
            <w:tabs>
              <w:tab w:val="left" w:pos="1100"/>
              <w:tab w:val="right" w:leader="dot" w:pos="9062"/>
            </w:tabs>
            <w:rPr>
              <w:noProof/>
              <w:lang w:val="en-IE" w:eastAsia="en-IE"/>
            </w:rPr>
          </w:pPr>
          <w:hyperlink w:anchor="_Toc120631055" w:history="1">
            <w:r w:rsidR="00E131DC" w:rsidRPr="00E131DC">
              <w:rPr>
                <w:rStyle w:val="Hyperlink"/>
                <w:rFonts w:asciiTheme="majorHAnsi" w:eastAsia="Times New Roman" w:hAnsiTheme="majorHAnsi" w:cstheme="majorBidi"/>
                <w:noProof/>
              </w:rPr>
              <w:t>1.2.</w:t>
            </w:r>
            <w:r w:rsidR="00E131DC" w:rsidRPr="00E131DC">
              <w:rPr>
                <w:noProof/>
                <w:lang w:val="en-IE" w:eastAsia="en-IE"/>
              </w:rPr>
              <w:tab/>
            </w:r>
            <w:r w:rsidR="00E131DC" w:rsidRPr="00E131DC">
              <w:rPr>
                <w:rStyle w:val="Hyperlink"/>
                <w:rFonts w:asciiTheme="majorHAnsi" w:eastAsia="Times New Roman" w:hAnsiTheme="majorHAnsi" w:cstheme="majorBidi"/>
                <w:noProof/>
              </w:rPr>
              <w:t>Threat detection</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_Toc120631055 \h </w:instrText>
            </w:r>
            <w:r w:rsidR="00E131DC" w:rsidRPr="00E131DC">
              <w:rPr>
                <w:noProof/>
                <w:webHidden/>
              </w:rPr>
            </w:r>
            <w:r w:rsidR="00E131DC" w:rsidRPr="00E131DC">
              <w:rPr>
                <w:noProof/>
                <w:webHidden/>
              </w:rPr>
              <w:fldChar w:fldCharType="separate"/>
            </w:r>
            <w:r w:rsidR="00E131DC" w:rsidRPr="00E131DC">
              <w:rPr>
                <w:noProof/>
                <w:webHidden/>
              </w:rPr>
              <w:t>7</w:t>
            </w:r>
            <w:r w:rsidR="00E131DC" w:rsidRPr="00E131DC">
              <w:rPr>
                <w:noProof/>
                <w:webHidden/>
              </w:rPr>
              <w:fldChar w:fldCharType="end"/>
            </w:r>
          </w:hyperlink>
        </w:p>
        <w:p w14:paraId="50461191" w14:textId="0AB6059F" w:rsidR="00E131DC" w:rsidRPr="00E131DC" w:rsidRDefault="00E85AA2">
          <w:pPr>
            <w:pStyle w:val="TOC3"/>
            <w:tabs>
              <w:tab w:val="left" w:pos="1100"/>
              <w:tab w:val="right" w:leader="dot" w:pos="9062"/>
            </w:tabs>
            <w:rPr>
              <w:noProof/>
              <w:lang w:val="en-IE" w:eastAsia="en-IE"/>
            </w:rPr>
          </w:pPr>
          <w:hyperlink w:anchor="_Toc120631056" w:history="1">
            <w:r w:rsidR="00E131DC" w:rsidRPr="00E131DC">
              <w:rPr>
                <w:rStyle w:val="Hyperlink"/>
                <w:rFonts w:asciiTheme="majorHAnsi" w:eastAsia="Times New Roman" w:hAnsiTheme="majorHAnsi" w:cstheme="majorBidi"/>
                <w:noProof/>
              </w:rPr>
              <w:t>1.3.</w:t>
            </w:r>
            <w:r w:rsidR="00E131DC" w:rsidRPr="00E131DC">
              <w:rPr>
                <w:noProof/>
                <w:lang w:val="en-IE" w:eastAsia="en-IE"/>
              </w:rPr>
              <w:tab/>
            </w:r>
            <w:r w:rsidR="00E131DC" w:rsidRPr="00E131DC">
              <w:rPr>
                <w:rStyle w:val="Hyperlink"/>
                <w:rFonts w:asciiTheme="majorHAnsi" w:eastAsia="Times New Roman" w:hAnsiTheme="majorHAnsi" w:cstheme="majorBidi"/>
                <w:noProof/>
              </w:rPr>
              <w:t>Support capacities for epidemiological surveillance</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_Toc120631056 \h </w:instrText>
            </w:r>
            <w:r w:rsidR="00E131DC" w:rsidRPr="00E131DC">
              <w:rPr>
                <w:noProof/>
                <w:webHidden/>
              </w:rPr>
            </w:r>
            <w:r w:rsidR="00E131DC" w:rsidRPr="00E131DC">
              <w:rPr>
                <w:noProof/>
                <w:webHidden/>
              </w:rPr>
              <w:fldChar w:fldCharType="separate"/>
            </w:r>
            <w:r w:rsidR="00E131DC" w:rsidRPr="00E131DC">
              <w:rPr>
                <w:noProof/>
                <w:webHidden/>
              </w:rPr>
              <w:t>8</w:t>
            </w:r>
            <w:r w:rsidR="00E131DC" w:rsidRPr="00E131DC">
              <w:rPr>
                <w:noProof/>
                <w:webHidden/>
              </w:rPr>
              <w:fldChar w:fldCharType="end"/>
            </w:r>
          </w:hyperlink>
        </w:p>
        <w:p w14:paraId="2B1CCF74" w14:textId="2C70665C" w:rsidR="00E131DC" w:rsidRPr="00E131DC" w:rsidRDefault="00E85AA2">
          <w:pPr>
            <w:pStyle w:val="TOC2"/>
            <w:rPr>
              <w:noProof/>
              <w:lang w:val="en-IE" w:eastAsia="en-IE"/>
            </w:rPr>
          </w:pPr>
          <w:hyperlink w:anchor="_Toc120631057" w:history="1">
            <w:r w:rsidR="00E131DC" w:rsidRPr="00E131DC">
              <w:rPr>
                <w:rStyle w:val="Hyperlink"/>
                <w:rFonts w:asciiTheme="majorHAnsi" w:eastAsia="Times New Roman" w:hAnsiTheme="majorHAnsi" w:cstheme="majorBidi"/>
                <w:noProof/>
              </w:rPr>
              <w:t>2.</w:t>
            </w:r>
            <w:r w:rsidR="00E131DC" w:rsidRPr="00E131DC">
              <w:rPr>
                <w:noProof/>
                <w:lang w:val="en-IE" w:eastAsia="en-IE"/>
              </w:rPr>
              <w:tab/>
            </w:r>
            <w:r w:rsidR="00E131DC" w:rsidRPr="00E131DC">
              <w:rPr>
                <w:rStyle w:val="Hyperlink"/>
                <w:rFonts w:asciiTheme="majorHAnsi" w:eastAsia="Times New Roman" w:hAnsiTheme="majorHAnsi" w:cstheme="majorBidi"/>
                <w:noProof/>
              </w:rPr>
              <w:t>Advanced research and development of medical countermeasures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_Toc120631057 \h </w:instrText>
            </w:r>
            <w:r w:rsidR="00E131DC" w:rsidRPr="00E131DC">
              <w:rPr>
                <w:noProof/>
                <w:webHidden/>
              </w:rPr>
            </w:r>
            <w:r w:rsidR="00E131DC" w:rsidRPr="00E131DC">
              <w:rPr>
                <w:noProof/>
                <w:webHidden/>
              </w:rPr>
              <w:fldChar w:fldCharType="separate"/>
            </w:r>
            <w:r w:rsidR="00E131DC" w:rsidRPr="00E131DC">
              <w:rPr>
                <w:noProof/>
                <w:webHidden/>
              </w:rPr>
              <w:t>10</w:t>
            </w:r>
            <w:r w:rsidR="00E131DC" w:rsidRPr="00E131DC">
              <w:rPr>
                <w:noProof/>
                <w:webHidden/>
              </w:rPr>
              <w:fldChar w:fldCharType="end"/>
            </w:r>
          </w:hyperlink>
        </w:p>
        <w:p w14:paraId="0B4F5E93" w14:textId="23302AC6" w:rsidR="00E131DC" w:rsidRPr="00E131DC" w:rsidRDefault="00E85AA2">
          <w:pPr>
            <w:pStyle w:val="TOC3"/>
            <w:tabs>
              <w:tab w:val="left" w:pos="1100"/>
              <w:tab w:val="right" w:leader="dot" w:pos="9062"/>
            </w:tabs>
            <w:rPr>
              <w:noProof/>
              <w:lang w:val="en-IE" w:eastAsia="en-IE"/>
            </w:rPr>
          </w:pPr>
          <w:hyperlink w:anchor="_Toc120631058" w:history="1">
            <w:r w:rsidR="00E131DC" w:rsidRPr="00E131DC">
              <w:rPr>
                <w:rStyle w:val="Hyperlink"/>
                <w:rFonts w:asciiTheme="majorHAnsi" w:eastAsia="Times New Roman" w:hAnsiTheme="majorHAnsi" w:cstheme="majorBidi"/>
                <w:noProof/>
              </w:rPr>
              <w:t>2.1.</w:t>
            </w:r>
            <w:r w:rsidR="00E131DC" w:rsidRPr="00E131DC">
              <w:rPr>
                <w:noProof/>
                <w:lang w:val="en-IE" w:eastAsia="en-IE"/>
              </w:rPr>
              <w:tab/>
            </w:r>
            <w:r w:rsidR="00E131DC" w:rsidRPr="00E131DC">
              <w:rPr>
                <w:rStyle w:val="Hyperlink"/>
                <w:rFonts w:asciiTheme="majorHAnsi" w:eastAsia="Times New Roman" w:hAnsiTheme="majorHAnsi" w:cstheme="majorBidi"/>
                <w:noProof/>
              </w:rPr>
              <w:t>Vaccines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_Toc120631058 \h </w:instrText>
            </w:r>
            <w:r w:rsidR="00E131DC" w:rsidRPr="00E131DC">
              <w:rPr>
                <w:noProof/>
                <w:webHidden/>
              </w:rPr>
            </w:r>
            <w:r w:rsidR="00E131DC" w:rsidRPr="00E131DC">
              <w:rPr>
                <w:noProof/>
                <w:webHidden/>
              </w:rPr>
              <w:fldChar w:fldCharType="separate"/>
            </w:r>
            <w:r w:rsidR="00E131DC" w:rsidRPr="00E131DC">
              <w:rPr>
                <w:noProof/>
                <w:webHidden/>
              </w:rPr>
              <w:t>11</w:t>
            </w:r>
            <w:r w:rsidR="00E131DC" w:rsidRPr="00E131DC">
              <w:rPr>
                <w:noProof/>
                <w:webHidden/>
              </w:rPr>
              <w:fldChar w:fldCharType="end"/>
            </w:r>
          </w:hyperlink>
        </w:p>
        <w:p w14:paraId="7EEBE12D" w14:textId="012BEA19" w:rsidR="00E131DC" w:rsidRPr="00E131DC" w:rsidRDefault="00E85AA2">
          <w:pPr>
            <w:pStyle w:val="TOC3"/>
            <w:tabs>
              <w:tab w:val="left" w:pos="1100"/>
              <w:tab w:val="right" w:leader="dot" w:pos="9062"/>
            </w:tabs>
            <w:rPr>
              <w:noProof/>
              <w:lang w:val="en-IE" w:eastAsia="en-IE"/>
            </w:rPr>
          </w:pPr>
          <w:hyperlink w:anchor="_Toc120631059" w:history="1">
            <w:r w:rsidR="00E131DC" w:rsidRPr="00E131DC">
              <w:rPr>
                <w:rStyle w:val="Hyperlink"/>
                <w:rFonts w:asciiTheme="majorHAnsi" w:eastAsia="Times New Roman" w:hAnsiTheme="majorHAnsi" w:cstheme="majorBidi"/>
                <w:noProof/>
              </w:rPr>
              <w:t>2.2.</w:t>
            </w:r>
            <w:r w:rsidR="00E131DC" w:rsidRPr="00E131DC">
              <w:rPr>
                <w:noProof/>
                <w:lang w:val="en-IE" w:eastAsia="en-IE"/>
              </w:rPr>
              <w:tab/>
            </w:r>
            <w:r w:rsidR="00E131DC" w:rsidRPr="00E131DC">
              <w:rPr>
                <w:rStyle w:val="Hyperlink"/>
                <w:rFonts w:asciiTheme="majorHAnsi" w:eastAsia="Times New Roman" w:hAnsiTheme="majorHAnsi" w:cstheme="majorBidi"/>
                <w:noProof/>
              </w:rPr>
              <w:t>Therapeutics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_Toc120631059 \h </w:instrText>
            </w:r>
            <w:r w:rsidR="00E131DC" w:rsidRPr="00E131DC">
              <w:rPr>
                <w:noProof/>
                <w:webHidden/>
              </w:rPr>
            </w:r>
            <w:r w:rsidR="00E131DC" w:rsidRPr="00E131DC">
              <w:rPr>
                <w:noProof/>
                <w:webHidden/>
              </w:rPr>
              <w:fldChar w:fldCharType="separate"/>
            </w:r>
            <w:r w:rsidR="00E131DC" w:rsidRPr="00E131DC">
              <w:rPr>
                <w:noProof/>
                <w:webHidden/>
              </w:rPr>
              <w:t>12</w:t>
            </w:r>
            <w:r w:rsidR="00E131DC" w:rsidRPr="00E131DC">
              <w:rPr>
                <w:noProof/>
                <w:webHidden/>
              </w:rPr>
              <w:fldChar w:fldCharType="end"/>
            </w:r>
          </w:hyperlink>
        </w:p>
        <w:p w14:paraId="3A2A68E5" w14:textId="3BA1EB59" w:rsidR="00E131DC" w:rsidRPr="00E131DC" w:rsidRDefault="00E85AA2">
          <w:pPr>
            <w:pStyle w:val="TOC3"/>
            <w:tabs>
              <w:tab w:val="left" w:pos="1100"/>
              <w:tab w:val="right" w:leader="dot" w:pos="9062"/>
            </w:tabs>
            <w:rPr>
              <w:noProof/>
              <w:lang w:val="en-IE" w:eastAsia="en-IE"/>
            </w:rPr>
          </w:pPr>
          <w:hyperlink w:anchor="_Toc120631060" w:history="1">
            <w:r w:rsidR="00E131DC" w:rsidRPr="00E131DC">
              <w:rPr>
                <w:rStyle w:val="Hyperlink"/>
                <w:rFonts w:asciiTheme="majorHAnsi" w:eastAsia="Times New Roman" w:hAnsiTheme="majorHAnsi" w:cstheme="majorBidi"/>
                <w:noProof/>
              </w:rPr>
              <w:t>2.3.</w:t>
            </w:r>
            <w:r w:rsidR="00E131DC" w:rsidRPr="00E131DC">
              <w:rPr>
                <w:noProof/>
                <w:lang w:val="en-IE" w:eastAsia="en-IE"/>
              </w:rPr>
              <w:tab/>
            </w:r>
            <w:r w:rsidR="00E131DC" w:rsidRPr="00E131DC">
              <w:rPr>
                <w:rStyle w:val="Hyperlink"/>
                <w:rFonts w:asciiTheme="majorHAnsi" w:eastAsia="Times New Roman" w:hAnsiTheme="majorHAnsi" w:cstheme="majorBidi"/>
                <w:noProof/>
              </w:rPr>
              <w:t>Diagnostics, medical devices and other innovative technologies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_Toc120631060 \h </w:instrText>
            </w:r>
            <w:r w:rsidR="00E131DC" w:rsidRPr="00E131DC">
              <w:rPr>
                <w:noProof/>
                <w:webHidden/>
              </w:rPr>
            </w:r>
            <w:r w:rsidR="00E131DC" w:rsidRPr="00E131DC">
              <w:rPr>
                <w:noProof/>
                <w:webHidden/>
              </w:rPr>
              <w:fldChar w:fldCharType="separate"/>
            </w:r>
            <w:r w:rsidR="00E131DC" w:rsidRPr="00E131DC">
              <w:rPr>
                <w:noProof/>
                <w:webHidden/>
              </w:rPr>
              <w:t>13</w:t>
            </w:r>
            <w:r w:rsidR="00E131DC" w:rsidRPr="00E131DC">
              <w:rPr>
                <w:noProof/>
                <w:webHidden/>
              </w:rPr>
              <w:fldChar w:fldCharType="end"/>
            </w:r>
          </w:hyperlink>
        </w:p>
        <w:p w14:paraId="0806E240" w14:textId="13B7D929" w:rsidR="00E131DC" w:rsidRPr="00E131DC" w:rsidRDefault="00E85AA2">
          <w:pPr>
            <w:pStyle w:val="TOC2"/>
            <w:rPr>
              <w:noProof/>
              <w:lang w:val="en-IE" w:eastAsia="en-IE"/>
            </w:rPr>
          </w:pPr>
          <w:hyperlink w:anchor="_Toc120631061" w:history="1">
            <w:r w:rsidR="00E131DC" w:rsidRPr="00E131DC">
              <w:rPr>
                <w:rStyle w:val="Hyperlink"/>
                <w:rFonts w:asciiTheme="majorHAnsi" w:eastAsia="Times New Roman" w:hAnsiTheme="majorHAnsi" w:cstheme="majorBidi"/>
                <w:noProof/>
              </w:rPr>
              <w:t>3.</w:t>
            </w:r>
            <w:r w:rsidR="00E131DC" w:rsidRPr="00E131DC">
              <w:rPr>
                <w:noProof/>
                <w:lang w:val="en-IE" w:eastAsia="en-IE"/>
              </w:rPr>
              <w:tab/>
            </w:r>
            <w:r w:rsidR="00E131DC" w:rsidRPr="00E131DC">
              <w:rPr>
                <w:rStyle w:val="Hyperlink"/>
                <w:rFonts w:asciiTheme="majorHAnsi" w:eastAsia="Times New Roman" w:hAnsiTheme="majorHAnsi" w:cstheme="majorBidi"/>
                <w:noProof/>
                <w:lang w:val="en-IE"/>
              </w:rPr>
              <w:t xml:space="preserve">Access to medical countermeasures - </w:t>
            </w:r>
            <w:r w:rsidR="00E131DC" w:rsidRPr="00E131DC">
              <w:rPr>
                <w:rStyle w:val="Hyperlink"/>
                <w:rFonts w:asciiTheme="majorHAnsi" w:eastAsia="Times New Roman" w:hAnsiTheme="majorHAnsi" w:cstheme="majorBidi"/>
                <w:noProof/>
              </w:rPr>
              <w:t>resilient supply chains and production capacities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_Toc120631061 \h </w:instrText>
            </w:r>
            <w:r w:rsidR="00E131DC" w:rsidRPr="00E131DC">
              <w:rPr>
                <w:noProof/>
                <w:webHidden/>
              </w:rPr>
            </w:r>
            <w:r w:rsidR="00E131DC" w:rsidRPr="00E131DC">
              <w:rPr>
                <w:noProof/>
                <w:webHidden/>
              </w:rPr>
              <w:fldChar w:fldCharType="separate"/>
            </w:r>
            <w:r w:rsidR="00E131DC" w:rsidRPr="00E131DC">
              <w:rPr>
                <w:noProof/>
                <w:webHidden/>
              </w:rPr>
              <w:t>14</w:t>
            </w:r>
            <w:r w:rsidR="00E131DC" w:rsidRPr="00E131DC">
              <w:rPr>
                <w:noProof/>
                <w:webHidden/>
              </w:rPr>
              <w:fldChar w:fldCharType="end"/>
            </w:r>
          </w:hyperlink>
        </w:p>
        <w:p w14:paraId="0B22688D" w14:textId="7AA2405B" w:rsidR="00E131DC" w:rsidRPr="00E131DC" w:rsidRDefault="00E85AA2">
          <w:pPr>
            <w:pStyle w:val="TOC3"/>
            <w:tabs>
              <w:tab w:val="left" w:pos="1100"/>
              <w:tab w:val="right" w:leader="dot" w:pos="9062"/>
            </w:tabs>
            <w:rPr>
              <w:noProof/>
              <w:lang w:val="en-IE" w:eastAsia="en-IE"/>
            </w:rPr>
          </w:pPr>
          <w:hyperlink w:anchor="_Toc120631062" w:history="1">
            <w:r w:rsidR="00E131DC" w:rsidRPr="00E131DC">
              <w:rPr>
                <w:rStyle w:val="Hyperlink"/>
                <w:rFonts w:asciiTheme="majorHAnsi" w:eastAsia="Times New Roman" w:hAnsiTheme="majorHAnsi" w:cstheme="majorBidi"/>
                <w:noProof/>
              </w:rPr>
              <w:t>3.1.</w:t>
            </w:r>
            <w:r w:rsidR="00E131DC" w:rsidRPr="00E131DC">
              <w:rPr>
                <w:noProof/>
                <w:lang w:val="en-IE" w:eastAsia="en-IE"/>
              </w:rPr>
              <w:tab/>
            </w:r>
            <w:r w:rsidR="00E131DC" w:rsidRPr="00E131DC">
              <w:rPr>
                <w:rStyle w:val="Hyperlink"/>
                <w:rFonts w:asciiTheme="majorHAnsi" w:eastAsia="Times New Roman" w:hAnsiTheme="majorHAnsi" w:cstheme="majorBidi"/>
                <w:noProof/>
              </w:rPr>
              <w:t>Building resilient supply chains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_Toc120631062 \h </w:instrText>
            </w:r>
            <w:r w:rsidR="00E131DC" w:rsidRPr="00E131DC">
              <w:rPr>
                <w:noProof/>
                <w:webHidden/>
              </w:rPr>
            </w:r>
            <w:r w:rsidR="00E131DC" w:rsidRPr="00E131DC">
              <w:rPr>
                <w:noProof/>
                <w:webHidden/>
              </w:rPr>
              <w:fldChar w:fldCharType="separate"/>
            </w:r>
            <w:r w:rsidR="00E131DC" w:rsidRPr="00E131DC">
              <w:rPr>
                <w:noProof/>
                <w:webHidden/>
              </w:rPr>
              <w:t>15</w:t>
            </w:r>
            <w:r w:rsidR="00E131DC" w:rsidRPr="00E131DC">
              <w:rPr>
                <w:noProof/>
                <w:webHidden/>
              </w:rPr>
              <w:fldChar w:fldCharType="end"/>
            </w:r>
          </w:hyperlink>
        </w:p>
        <w:p w14:paraId="42119EA6" w14:textId="67E25642" w:rsidR="00E131DC" w:rsidRPr="00E131DC" w:rsidRDefault="00E85AA2">
          <w:pPr>
            <w:pStyle w:val="TOC3"/>
            <w:tabs>
              <w:tab w:val="left" w:pos="1100"/>
              <w:tab w:val="right" w:leader="dot" w:pos="9062"/>
            </w:tabs>
            <w:rPr>
              <w:noProof/>
              <w:lang w:val="en-IE" w:eastAsia="en-IE"/>
            </w:rPr>
          </w:pPr>
          <w:hyperlink w:anchor="_Toc120631063" w:history="1">
            <w:r w:rsidR="00E131DC" w:rsidRPr="00E131DC">
              <w:rPr>
                <w:rStyle w:val="Hyperlink"/>
                <w:rFonts w:asciiTheme="majorHAnsi" w:hAnsiTheme="majorHAnsi" w:cstheme="majorBidi"/>
                <w:noProof/>
              </w:rPr>
              <w:t>3.2.</w:t>
            </w:r>
            <w:r w:rsidR="00E131DC" w:rsidRPr="00E131DC">
              <w:rPr>
                <w:noProof/>
                <w:lang w:val="en-IE" w:eastAsia="en-IE"/>
              </w:rPr>
              <w:tab/>
            </w:r>
            <w:r w:rsidR="00E131DC" w:rsidRPr="00E131DC">
              <w:rPr>
                <w:rStyle w:val="Hyperlink"/>
                <w:rFonts w:asciiTheme="majorHAnsi" w:eastAsia="Times New Roman" w:hAnsiTheme="majorHAnsi" w:cstheme="majorBidi"/>
                <w:noProof/>
              </w:rPr>
              <w:t>Ensuring manufacturing capacities for medical countermeasures in a crisis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_Toc120631063 \h </w:instrText>
            </w:r>
            <w:r w:rsidR="00E131DC" w:rsidRPr="00E131DC">
              <w:rPr>
                <w:noProof/>
                <w:webHidden/>
              </w:rPr>
            </w:r>
            <w:r w:rsidR="00E131DC" w:rsidRPr="00E131DC">
              <w:rPr>
                <w:noProof/>
                <w:webHidden/>
              </w:rPr>
              <w:fldChar w:fldCharType="separate"/>
            </w:r>
            <w:r w:rsidR="00E131DC" w:rsidRPr="00E131DC">
              <w:rPr>
                <w:noProof/>
                <w:webHidden/>
              </w:rPr>
              <w:t>16</w:t>
            </w:r>
            <w:r w:rsidR="00E131DC" w:rsidRPr="00E131DC">
              <w:rPr>
                <w:noProof/>
                <w:webHidden/>
              </w:rPr>
              <w:fldChar w:fldCharType="end"/>
            </w:r>
          </w:hyperlink>
        </w:p>
        <w:p w14:paraId="39000D56" w14:textId="6AD886CF" w:rsidR="00E131DC" w:rsidRPr="00E131DC" w:rsidRDefault="00E85AA2">
          <w:pPr>
            <w:pStyle w:val="TOC3"/>
            <w:tabs>
              <w:tab w:val="left" w:pos="1100"/>
              <w:tab w:val="right" w:leader="dot" w:pos="9062"/>
            </w:tabs>
            <w:rPr>
              <w:noProof/>
              <w:lang w:val="en-IE" w:eastAsia="en-IE"/>
            </w:rPr>
          </w:pPr>
          <w:hyperlink w:anchor="_Toc120631064" w:history="1">
            <w:r w:rsidR="00E131DC" w:rsidRPr="00E131DC">
              <w:rPr>
                <w:rStyle w:val="Hyperlink"/>
                <w:rFonts w:asciiTheme="majorHAnsi" w:eastAsia="Times New Roman" w:hAnsiTheme="majorHAnsi" w:cstheme="majorBidi"/>
                <w:noProof/>
              </w:rPr>
              <w:t>3.3.</w:t>
            </w:r>
            <w:r w:rsidR="00E131DC" w:rsidRPr="00E131DC">
              <w:rPr>
                <w:noProof/>
                <w:lang w:val="en-IE" w:eastAsia="en-IE"/>
              </w:rPr>
              <w:tab/>
            </w:r>
            <w:r w:rsidR="00E131DC" w:rsidRPr="00E131DC">
              <w:rPr>
                <w:rStyle w:val="Hyperlink"/>
                <w:rFonts w:asciiTheme="majorHAnsi" w:eastAsia="Times New Roman" w:hAnsiTheme="majorHAnsi" w:cstheme="majorBidi"/>
                <w:noProof/>
              </w:rPr>
              <w:t>Ensuring access and equitable distribution of medical countermeasures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_Toc120631064 \h </w:instrText>
            </w:r>
            <w:r w:rsidR="00E131DC" w:rsidRPr="00E131DC">
              <w:rPr>
                <w:noProof/>
                <w:webHidden/>
              </w:rPr>
            </w:r>
            <w:r w:rsidR="00E131DC" w:rsidRPr="00E131DC">
              <w:rPr>
                <w:noProof/>
                <w:webHidden/>
              </w:rPr>
              <w:fldChar w:fldCharType="separate"/>
            </w:r>
            <w:r w:rsidR="00E131DC" w:rsidRPr="00E131DC">
              <w:rPr>
                <w:noProof/>
                <w:webHidden/>
              </w:rPr>
              <w:t>18</w:t>
            </w:r>
            <w:r w:rsidR="00E131DC" w:rsidRPr="00E131DC">
              <w:rPr>
                <w:noProof/>
                <w:webHidden/>
              </w:rPr>
              <w:fldChar w:fldCharType="end"/>
            </w:r>
          </w:hyperlink>
        </w:p>
        <w:p w14:paraId="520C7D93" w14:textId="51B34243" w:rsidR="00E131DC" w:rsidRPr="00E131DC" w:rsidRDefault="00E85AA2">
          <w:pPr>
            <w:pStyle w:val="TOC3"/>
            <w:tabs>
              <w:tab w:val="left" w:pos="1100"/>
              <w:tab w:val="right" w:leader="dot" w:pos="9062"/>
            </w:tabs>
            <w:rPr>
              <w:noProof/>
              <w:lang w:val="en-IE" w:eastAsia="en-IE"/>
            </w:rPr>
          </w:pPr>
          <w:hyperlink w:anchor="_Toc120631065" w:history="1">
            <w:r w:rsidR="00E131DC" w:rsidRPr="00E131DC">
              <w:rPr>
                <w:rStyle w:val="Hyperlink"/>
                <w:rFonts w:asciiTheme="majorHAnsi" w:eastAsia="Times New Roman" w:hAnsiTheme="majorHAnsi" w:cs="Times New Roman"/>
                <w:noProof/>
                <w:lang w:val="en-IE"/>
              </w:rPr>
              <w:t>3.4.</w:t>
            </w:r>
            <w:r w:rsidR="00E131DC" w:rsidRPr="00E131DC">
              <w:rPr>
                <w:noProof/>
                <w:lang w:val="en-IE" w:eastAsia="en-IE"/>
              </w:rPr>
              <w:tab/>
            </w:r>
            <w:r w:rsidR="00E131DC" w:rsidRPr="00E131DC">
              <w:rPr>
                <w:rStyle w:val="Hyperlink"/>
                <w:rFonts w:asciiTheme="majorHAnsi" w:eastAsia="Times New Roman" w:hAnsiTheme="majorHAnsi" w:cstheme="majorBidi"/>
                <w:noProof/>
              </w:rPr>
              <w:t>Stockpiles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_Toc120631065 \h </w:instrText>
            </w:r>
            <w:r w:rsidR="00E131DC" w:rsidRPr="00E131DC">
              <w:rPr>
                <w:noProof/>
                <w:webHidden/>
              </w:rPr>
            </w:r>
            <w:r w:rsidR="00E131DC" w:rsidRPr="00E131DC">
              <w:rPr>
                <w:noProof/>
                <w:webHidden/>
              </w:rPr>
              <w:fldChar w:fldCharType="separate"/>
            </w:r>
            <w:r w:rsidR="00E131DC" w:rsidRPr="00E131DC">
              <w:rPr>
                <w:noProof/>
                <w:webHidden/>
              </w:rPr>
              <w:t>18</w:t>
            </w:r>
            <w:r w:rsidR="00E131DC" w:rsidRPr="00E131DC">
              <w:rPr>
                <w:noProof/>
                <w:webHidden/>
              </w:rPr>
              <w:fldChar w:fldCharType="end"/>
            </w:r>
          </w:hyperlink>
        </w:p>
        <w:p w14:paraId="443A485E" w14:textId="1560EAF9" w:rsidR="00E131DC" w:rsidRPr="00E131DC" w:rsidRDefault="00E85AA2">
          <w:pPr>
            <w:pStyle w:val="TOC2"/>
            <w:rPr>
              <w:noProof/>
              <w:lang w:val="en-IE" w:eastAsia="en-IE"/>
            </w:rPr>
          </w:pPr>
          <w:hyperlink w:anchor="_Toc120631066" w:history="1">
            <w:r w:rsidR="00E131DC" w:rsidRPr="00E131DC">
              <w:rPr>
                <w:rStyle w:val="Hyperlink"/>
                <w:rFonts w:asciiTheme="majorHAnsi" w:eastAsia="Times New Roman" w:hAnsiTheme="majorHAnsi" w:cstheme="majorBidi"/>
                <w:noProof/>
              </w:rPr>
              <w:t>4.</w:t>
            </w:r>
            <w:r w:rsidR="00E131DC" w:rsidRPr="00E131DC">
              <w:rPr>
                <w:noProof/>
                <w:lang w:val="en-IE" w:eastAsia="en-IE"/>
              </w:rPr>
              <w:tab/>
            </w:r>
            <w:r w:rsidR="00E131DC" w:rsidRPr="00E131DC">
              <w:rPr>
                <w:rStyle w:val="Hyperlink"/>
                <w:rFonts w:asciiTheme="majorHAnsi" w:eastAsia="Times New Roman" w:hAnsiTheme="majorHAnsi" w:cstheme="majorBidi"/>
                <w:noProof/>
              </w:rPr>
              <w:t>International coordination and global activities</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_Toc120631066 \h </w:instrText>
            </w:r>
            <w:r w:rsidR="00E131DC" w:rsidRPr="00E131DC">
              <w:rPr>
                <w:noProof/>
                <w:webHidden/>
              </w:rPr>
            </w:r>
            <w:r w:rsidR="00E131DC" w:rsidRPr="00E131DC">
              <w:rPr>
                <w:noProof/>
                <w:webHidden/>
              </w:rPr>
              <w:fldChar w:fldCharType="separate"/>
            </w:r>
            <w:r w:rsidR="00E131DC" w:rsidRPr="00E131DC">
              <w:rPr>
                <w:noProof/>
                <w:webHidden/>
              </w:rPr>
              <w:t>19</w:t>
            </w:r>
            <w:r w:rsidR="00E131DC" w:rsidRPr="00E131DC">
              <w:rPr>
                <w:noProof/>
                <w:webHidden/>
              </w:rPr>
              <w:fldChar w:fldCharType="end"/>
            </w:r>
          </w:hyperlink>
        </w:p>
        <w:p w14:paraId="0AF7216F" w14:textId="7D846005" w:rsidR="00E131DC" w:rsidRDefault="00E85AA2">
          <w:pPr>
            <w:pStyle w:val="TOC1"/>
            <w:rPr>
              <w:noProof/>
              <w:lang w:val="en-IE" w:eastAsia="en-IE"/>
            </w:rPr>
          </w:pPr>
          <w:hyperlink w:anchor="_Toc120631067" w:history="1">
            <w:r w:rsidR="00E131DC" w:rsidRPr="00E131DC">
              <w:rPr>
                <w:rStyle w:val="Hyperlink"/>
                <w:rFonts w:asciiTheme="majorHAnsi" w:eastAsiaTheme="majorEastAsia" w:hAnsiTheme="majorHAnsi" w:cstheme="majorBidi"/>
                <w:noProof/>
              </w:rPr>
              <w:t>CONCLUSION</w:t>
            </w:r>
            <w:r w:rsidR="00E131DC" w:rsidRPr="00E131DC">
              <w:rPr>
                <w:noProof/>
                <w:webHidden/>
              </w:rPr>
              <w:tab/>
            </w:r>
            <w:r w:rsidR="00E131DC" w:rsidRPr="00E131DC">
              <w:rPr>
                <w:noProof/>
                <w:webHidden/>
              </w:rPr>
              <w:fldChar w:fldCharType="begin"/>
            </w:r>
            <w:r w:rsidR="00E131DC" w:rsidRPr="00E131DC">
              <w:rPr>
                <w:noProof/>
                <w:webHidden/>
              </w:rPr>
              <w:instrText xml:space="preserve"> PAGEREF _Toc120631067 \h </w:instrText>
            </w:r>
            <w:r w:rsidR="00E131DC" w:rsidRPr="00E131DC">
              <w:rPr>
                <w:noProof/>
                <w:webHidden/>
              </w:rPr>
            </w:r>
            <w:r w:rsidR="00E131DC" w:rsidRPr="00E131DC">
              <w:rPr>
                <w:noProof/>
                <w:webHidden/>
              </w:rPr>
              <w:fldChar w:fldCharType="separate"/>
            </w:r>
            <w:r w:rsidR="00E131DC" w:rsidRPr="00E131DC">
              <w:rPr>
                <w:noProof/>
                <w:webHidden/>
              </w:rPr>
              <w:t>21</w:t>
            </w:r>
            <w:r w:rsidR="00E131DC" w:rsidRPr="00E131DC">
              <w:rPr>
                <w:noProof/>
                <w:webHidden/>
              </w:rPr>
              <w:fldChar w:fldCharType="end"/>
            </w:r>
          </w:hyperlink>
        </w:p>
        <w:p w14:paraId="15446B36" w14:textId="059BDC28" w:rsidR="007D59C2" w:rsidRPr="007D59C2" w:rsidRDefault="007D59C2" w:rsidP="007D59C2">
          <w:pPr>
            <w:rPr>
              <w:noProof/>
              <w:lang w:val="en-GB"/>
            </w:rPr>
          </w:pPr>
          <w:r w:rsidRPr="00E43260">
            <w:rPr>
              <w:rFonts w:ascii="Times New Roman" w:hAnsi="Times New Roman" w:cs="Times New Roman"/>
              <w:bCs/>
              <w:noProof/>
              <w:color w:val="000000" w:themeColor="text1"/>
              <w:sz w:val="28"/>
              <w:lang w:val="en-GB"/>
            </w:rPr>
            <w:fldChar w:fldCharType="end"/>
          </w:r>
        </w:p>
      </w:sdtContent>
    </w:sdt>
    <w:p w14:paraId="7CD1B1F5" w14:textId="77777777" w:rsidR="007D59C2" w:rsidRPr="007D59C2" w:rsidRDefault="007D59C2" w:rsidP="007D59C2">
      <w:pPr>
        <w:rPr>
          <w:rFonts w:ascii="Times New Roman" w:eastAsia="Times New Roman" w:hAnsi="Times New Roman" w:cs="Times New Roman"/>
          <w:b/>
          <w:bCs/>
          <w:noProof/>
          <w:color w:val="FFFFFF" w:themeColor="background1"/>
          <w:sz w:val="24"/>
          <w:szCs w:val="24"/>
          <w:highlight w:val="darkBlue"/>
          <w:lang w:val="en-GB"/>
        </w:rPr>
      </w:pPr>
      <w:r w:rsidRPr="007D59C2">
        <w:rPr>
          <w:rFonts w:ascii="Times New Roman" w:eastAsia="Times New Roman" w:hAnsi="Times New Roman" w:cs="Times New Roman"/>
          <w:b/>
          <w:bCs/>
          <w:noProof/>
          <w:color w:val="FFFFFF" w:themeColor="background1"/>
          <w:sz w:val="24"/>
          <w:szCs w:val="24"/>
          <w:highlight w:val="darkBlue"/>
          <w:lang w:val="en-GB"/>
        </w:rPr>
        <w:br w:type="page"/>
      </w:r>
    </w:p>
    <w:p w14:paraId="13A4FED0" w14:textId="77777777" w:rsidR="007D59C2" w:rsidRPr="007D59C2" w:rsidRDefault="007D59C2" w:rsidP="007D59C2">
      <w:pPr>
        <w:keepNext/>
        <w:keepLines/>
        <w:spacing w:before="120" w:line="240" w:lineRule="auto"/>
        <w:outlineLvl w:val="0"/>
        <w:rPr>
          <w:rFonts w:asciiTheme="majorHAnsi" w:eastAsiaTheme="majorEastAsia" w:hAnsiTheme="majorHAnsi" w:cstheme="majorBidi"/>
          <w:b/>
          <w:noProof/>
          <w:color w:val="002060"/>
          <w:sz w:val="28"/>
          <w:szCs w:val="30"/>
        </w:rPr>
      </w:pPr>
      <w:bookmarkStart w:id="2" w:name="_Toc120631049"/>
      <w:bookmarkStart w:id="3" w:name="_Toc1030276750"/>
      <w:bookmarkStart w:id="4" w:name="_Toc1523124550"/>
      <w:bookmarkStart w:id="5" w:name="_Toc1732666769"/>
      <w:bookmarkStart w:id="6" w:name="_Toc73829116"/>
      <w:bookmarkStart w:id="7" w:name="_Toc1240946139"/>
      <w:bookmarkStart w:id="8" w:name="_Toc401409045"/>
      <w:bookmarkStart w:id="9" w:name="_Toc1521921415"/>
      <w:bookmarkStart w:id="10" w:name="_Toc2105713671"/>
      <w:bookmarkStart w:id="11" w:name="_Toc1941044529"/>
      <w:bookmarkStart w:id="12" w:name="_Toc1011082702"/>
      <w:bookmarkStart w:id="13" w:name="_Toc597670451"/>
      <w:bookmarkStart w:id="14" w:name="_Toc99263182"/>
      <w:bookmarkStart w:id="15" w:name="_Toc152107891"/>
      <w:bookmarkStart w:id="16" w:name="_Toc1109796001"/>
      <w:bookmarkStart w:id="17" w:name="_Toc676805990"/>
      <w:bookmarkStart w:id="18" w:name="_Toc1995619979"/>
      <w:bookmarkStart w:id="19" w:name="_Toc1560091874"/>
      <w:bookmarkStart w:id="20" w:name="_Toc1729088805"/>
      <w:bookmarkStart w:id="21" w:name="_Toc266168501"/>
      <w:bookmarkStart w:id="22" w:name="_Toc618812588"/>
      <w:bookmarkStart w:id="23" w:name="_Toc1749588848"/>
      <w:bookmarkStart w:id="24" w:name="_Toc1926003470"/>
      <w:bookmarkStart w:id="25" w:name="_Toc1495605394"/>
      <w:bookmarkStart w:id="26" w:name="_Toc1016761274"/>
      <w:bookmarkStart w:id="27" w:name="_Toc1014247847"/>
      <w:bookmarkStart w:id="28" w:name="_Toc90934903"/>
      <w:r w:rsidRPr="007D59C2">
        <w:rPr>
          <w:rFonts w:asciiTheme="majorHAnsi" w:eastAsiaTheme="majorEastAsia" w:hAnsiTheme="majorHAnsi" w:cstheme="majorBidi"/>
          <w:b/>
          <w:noProof/>
          <w:color w:val="002060"/>
          <w:sz w:val="28"/>
          <w:szCs w:val="30"/>
        </w:rPr>
        <w:t>INTRODUCTION</w:t>
      </w:r>
      <w:bookmarkEnd w:id="2"/>
      <w:r w:rsidRPr="007D59C2">
        <w:rPr>
          <w:rFonts w:asciiTheme="majorHAnsi" w:eastAsiaTheme="majorEastAsia" w:hAnsiTheme="majorHAnsi" w:cstheme="majorBidi"/>
          <w:b/>
          <w:noProof/>
          <w:color w:val="002060"/>
          <w:sz w:val="28"/>
          <w:szCs w:val="30"/>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BD04050" w14:textId="27F103DA" w:rsidR="007D59C2" w:rsidRPr="007D59C2" w:rsidRDefault="007D59C2" w:rsidP="007D59C2">
      <w:pPr>
        <w:spacing w:line="257" w:lineRule="auto"/>
        <w:jc w:val="both"/>
        <w:rPr>
          <w:rFonts w:ascii="Times New Roman" w:eastAsia="Times New Roman" w:hAnsi="Times New Roman" w:cs="Times New Roman"/>
          <w:bCs/>
          <w:noProof/>
          <w:sz w:val="24"/>
          <w:szCs w:val="24"/>
          <w:lang w:val="en-GB"/>
        </w:rPr>
      </w:pPr>
      <w:r w:rsidRPr="007D59C2">
        <w:rPr>
          <w:rFonts w:ascii="Times New Roman" w:eastAsia="Times New Roman" w:hAnsi="Times New Roman" w:cs="Times New Roman"/>
          <w:b/>
          <w:bCs/>
          <w:noProof/>
          <w:sz w:val="24"/>
          <w:szCs w:val="24"/>
          <w:lang w:val="en-GB"/>
        </w:rPr>
        <w:t>The disruption caused by the COVID-19 pandemic</w:t>
      </w:r>
      <w:r w:rsidRPr="007D59C2">
        <w:rPr>
          <w:rFonts w:ascii="Times New Roman" w:eastAsia="Times New Roman" w:hAnsi="Times New Roman" w:cs="Times New Roman"/>
          <w:b/>
          <w:bCs/>
          <w:noProof/>
          <w:sz w:val="24"/>
          <w:szCs w:val="24"/>
          <w:vertAlign w:val="superscript"/>
          <w:lang w:val="en-GB"/>
        </w:rPr>
        <w:footnoteReference w:id="1"/>
      </w:r>
      <w:r w:rsidRPr="007D59C2">
        <w:rPr>
          <w:rFonts w:ascii="Times New Roman" w:eastAsia="Times New Roman" w:hAnsi="Times New Roman" w:cs="Times New Roman"/>
          <w:b/>
          <w:bCs/>
          <w:noProof/>
          <w:sz w:val="24"/>
          <w:szCs w:val="24"/>
          <w:lang w:val="en-GB"/>
        </w:rPr>
        <w:t xml:space="preserve"> to our lives, our societies and our economies was unprecedented and recalled the gravity of serious-cross border health threats for our economies and societies. </w:t>
      </w:r>
      <w:r w:rsidRPr="007D59C2">
        <w:rPr>
          <w:rFonts w:ascii="Times New Roman" w:eastAsia="Times New Roman" w:hAnsi="Times New Roman" w:cs="Times New Roman"/>
          <w:bCs/>
          <w:noProof/>
          <w:sz w:val="24"/>
          <w:szCs w:val="24"/>
          <w:lang w:val="en-GB"/>
        </w:rPr>
        <w:t>As of November 2022, nearly 7 million deaths due to COVID-19 have been officially reported globally</w:t>
      </w:r>
      <w:r w:rsidR="00E92EDE">
        <w:rPr>
          <w:rStyle w:val="FootnoteReference"/>
          <w:rFonts w:ascii="Times New Roman" w:eastAsia="Times New Roman" w:hAnsi="Times New Roman" w:cs="Times New Roman"/>
          <w:bCs/>
          <w:noProof/>
          <w:sz w:val="24"/>
          <w:szCs w:val="24"/>
          <w:lang w:val="en-GB"/>
        </w:rPr>
        <w:footnoteReference w:id="2"/>
      </w:r>
      <w:r w:rsidRPr="007D59C2">
        <w:rPr>
          <w:rFonts w:ascii="Times New Roman" w:eastAsia="Times New Roman" w:hAnsi="Times New Roman" w:cs="Times New Roman"/>
          <w:bCs/>
          <w:noProof/>
          <w:sz w:val="24"/>
          <w:szCs w:val="24"/>
          <w:lang w:val="en-GB"/>
        </w:rPr>
        <w:t>, with estimates suggesting an actual death toll exceeding 20 million people worldwide</w:t>
      </w:r>
      <w:r w:rsidR="00E92EDE">
        <w:rPr>
          <w:rStyle w:val="FootnoteReference"/>
          <w:rFonts w:ascii="Times New Roman" w:eastAsia="Times New Roman" w:hAnsi="Times New Roman" w:cs="Times New Roman"/>
          <w:bCs/>
          <w:noProof/>
          <w:sz w:val="24"/>
          <w:szCs w:val="24"/>
          <w:lang w:val="en-GB"/>
        </w:rPr>
        <w:footnoteReference w:id="3"/>
      </w:r>
      <w:r w:rsidRPr="007D59C2">
        <w:rPr>
          <w:rFonts w:ascii="Times New Roman" w:eastAsia="Times New Roman" w:hAnsi="Times New Roman" w:cs="Times New Roman"/>
          <w:bCs/>
          <w:noProof/>
          <w:sz w:val="24"/>
          <w:szCs w:val="24"/>
          <w:lang w:val="en-GB"/>
        </w:rPr>
        <w:t xml:space="preserve">. In the </w:t>
      </w:r>
      <w:r w:rsidR="00B2098D">
        <w:rPr>
          <w:rFonts w:ascii="Times New Roman" w:eastAsia="Times New Roman" w:hAnsi="Times New Roman" w:cs="Times New Roman"/>
          <w:bCs/>
          <w:noProof/>
          <w:sz w:val="24"/>
          <w:szCs w:val="24"/>
          <w:lang w:val="en-GB"/>
        </w:rPr>
        <w:t>EU</w:t>
      </w:r>
      <w:r w:rsidRPr="007D59C2">
        <w:rPr>
          <w:rFonts w:ascii="Times New Roman" w:eastAsia="Times New Roman" w:hAnsi="Times New Roman" w:cs="Times New Roman"/>
          <w:bCs/>
          <w:noProof/>
          <w:sz w:val="24"/>
          <w:szCs w:val="24"/>
          <w:lang w:val="en-GB"/>
        </w:rPr>
        <w:t xml:space="preserve"> COVID-19 has caused the death of more than 1.1 million people and this is likely to be an underestimate of the actual death toll of the pandemic in the EU</w:t>
      </w:r>
      <w:r w:rsidR="00587B22">
        <w:rPr>
          <w:rStyle w:val="FootnoteReference"/>
          <w:rFonts w:ascii="Times New Roman" w:eastAsia="Times New Roman" w:hAnsi="Times New Roman" w:cs="Times New Roman"/>
          <w:bCs/>
          <w:noProof/>
          <w:sz w:val="24"/>
          <w:szCs w:val="24"/>
          <w:lang w:val="en-GB"/>
        </w:rPr>
        <w:footnoteReference w:id="4"/>
      </w:r>
      <w:r w:rsidRPr="007D59C2">
        <w:rPr>
          <w:rFonts w:ascii="Times New Roman" w:eastAsia="Times New Roman" w:hAnsi="Times New Roman" w:cs="Times New Roman"/>
          <w:bCs/>
          <w:noProof/>
          <w:sz w:val="24"/>
          <w:szCs w:val="24"/>
          <w:lang w:val="en-GB"/>
        </w:rPr>
        <w:t>. COVID-19 has also affected millions of people living with longer term effects of the disease</w:t>
      </w:r>
      <w:r w:rsidR="00E71103">
        <w:rPr>
          <w:rFonts w:ascii="Times New Roman" w:eastAsia="Times New Roman" w:hAnsi="Times New Roman" w:cs="Times New Roman"/>
          <w:bCs/>
          <w:noProof/>
          <w:sz w:val="24"/>
          <w:szCs w:val="24"/>
          <w:lang w:val="en-GB"/>
        </w:rPr>
        <w:t>.</w:t>
      </w:r>
    </w:p>
    <w:p w14:paraId="3F40133B" w14:textId="21D6E300" w:rsidR="007D59C2" w:rsidRPr="007D59C2" w:rsidRDefault="007D59C2" w:rsidP="007D59C2">
      <w:pPr>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noProof/>
          <w:sz w:val="24"/>
          <w:szCs w:val="24"/>
          <w:lang w:val="en-GB"/>
        </w:rPr>
        <w:t xml:space="preserve">The ad-hoc measures taken by the EU to reduce the spread of COVID-19 were effective and responsive. However, at early phase of the pandemic the Union was not </w:t>
      </w:r>
      <w:r w:rsidRPr="007D59C2">
        <w:rPr>
          <w:rFonts w:ascii="Times New Roman" w:eastAsia="Times New Roman" w:hAnsi="Times New Roman" w:cs="Times New Roman"/>
          <w:b/>
          <w:bCs/>
          <w:noProof/>
          <w:sz w:val="24"/>
          <w:szCs w:val="24"/>
          <w:lang w:val="en-GB"/>
        </w:rPr>
        <w:t>sufficiently prepared to ensure the efficient development, manufacturing, procurement and distribution of crisis-relevant medical countermeasures</w:t>
      </w:r>
      <w:r w:rsidRPr="007D59C2">
        <w:rPr>
          <w:rFonts w:ascii="Times New Roman" w:eastAsia="Times New Roman" w:hAnsi="Times New Roman" w:cs="Times New Roman"/>
          <w:b/>
          <w:bCs/>
          <w:noProof/>
          <w:sz w:val="24"/>
          <w:szCs w:val="24"/>
          <w:vertAlign w:val="superscript"/>
          <w:lang w:val="en-GB"/>
        </w:rPr>
        <w:footnoteReference w:id="5"/>
      </w:r>
      <w:r w:rsidRPr="007D59C2">
        <w:rPr>
          <w:rFonts w:ascii="Times New Roman" w:eastAsia="Times New Roman" w:hAnsi="Times New Roman" w:cs="Times New Roman"/>
          <w:noProof/>
          <w:sz w:val="24"/>
          <w:szCs w:val="24"/>
          <w:lang w:val="en-GB"/>
        </w:rPr>
        <w:t>.</w:t>
      </w:r>
      <w:r w:rsidR="0000281E">
        <w:rPr>
          <w:rFonts w:ascii="Times New Roman" w:eastAsia="Times New Roman" w:hAnsi="Times New Roman" w:cs="Times New Roman"/>
          <w:noProof/>
          <w:sz w:val="24"/>
          <w:szCs w:val="24"/>
          <w:lang w:val="en-GB"/>
        </w:rPr>
        <w:t xml:space="preserve"> </w:t>
      </w:r>
      <w:r w:rsidR="00286350" w:rsidRPr="00286350">
        <w:rPr>
          <w:rFonts w:ascii="Times New Roman" w:eastAsia="Times New Roman" w:hAnsi="Times New Roman" w:cs="Times New Roman"/>
          <w:noProof/>
          <w:sz w:val="24"/>
          <w:szCs w:val="24"/>
          <w:lang w:val="en-GB"/>
        </w:rPr>
        <w:t>The pandemic in 2020 also demonstrated how vital preparedness and response capabilities in the field of health is for other areas</w:t>
      </w:r>
      <w:r w:rsidR="008344E3">
        <w:rPr>
          <w:rFonts w:ascii="Times New Roman" w:eastAsia="Times New Roman" w:hAnsi="Times New Roman" w:cs="Times New Roman"/>
          <w:noProof/>
          <w:sz w:val="24"/>
          <w:szCs w:val="24"/>
          <w:lang w:val="en-GB"/>
        </w:rPr>
        <w:t xml:space="preserve"> such as energy, transport, industrial policy and the internal market more broadly</w:t>
      </w:r>
      <w:r w:rsidR="00286350">
        <w:rPr>
          <w:rFonts w:ascii="Times New Roman" w:eastAsia="Times New Roman" w:hAnsi="Times New Roman" w:cs="Times New Roman"/>
          <w:noProof/>
          <w:sz w:val="24"/>
          <w:szCs w:val="24"/>
          <w:lang w:val="en-GB"/>
        </w:rPr>
        <w:t>.</w:t>
      </w:r>
      <w:r w:rsidR="00286350" w:rsidRPr="007D59C2">
        <w:rPr>
          <w:rFonts w:ascii="Times New Roman" w:eastAsia="Times New Roman" w:hAnsi="Times New Roman" w:cs="Times New Roman"/>
          <w:noProof/>
          <w:sz w:val="24"/>
          <w:szCs w:val="24"/>
          <w:lang w:val="en-GB"/>
        </w:rPr>
        <w:t xml:space="preserve"> </w:t>
      </w:r>
      <w:r w:rsidRPr="007D59C2">
        <w:rPr>
          <w:rFonts w:ascii="Times New Roman" w:eastAsia="Times New Roman" w:hAnsi="Times New Roman" w:cs="Times New Roman"/>
          <w:noProof/>
          <w:sz w:val="24"/>
          <w:szCs w:val="24"/>
          <w:lang w:val="en-GB"/>
        </w:rPr>
        <w:t>The pandemic also revealed insufficient oversight of research activities and manufacturing capacities as well as vulnerabilities related to supply chains</w:t>
      </w:r>
      <w:r w:rsidR="00B2098D">
        <w:rPr>
          <w:rStyle w:val="FootnoteReference"/>
          <w:rFonts w:ascii="Times New Roman" w:eastAsia="Times New Roman" w:hAnsi="Times New Roman" w:cs="Times New Roman"/>
          <w:noProof/>
          <w:sz w:val="24"/>
          <w:szCs w:val="24"/>
          <w:lang w:val="en-GB"/>
        </w:rPr>
        <w:footnoteReference w:id="6"/>
      </w:r>
      <w:r w:rsidRPr="007D59C2">
        <w:rPr>
          <w:rFonts w:ascii="Times New Roman" w:eastAsia="Times New Roman" w:hAnsi="Times New Roman" w:cs="Times New Roman"/>
          <w:noProof/>
          <w:sz w:val="24"/>
          <w:szCs w:val="24"/>
          <w:lang w:val="en-GB"/>
        </w:rPr>
        <w:t>. The situation has changed since then especially with the</w:t>
      </w:r>
      <w:r w:rsidRPr="007D59C2">
        <w:rPr>
          <w:rFonts w:ascii="Times New Roman" w:eastAsia="Times New Roman" w:hAnsi="Times New Roman" w:cs="Times New Roman"/>
          <w:bCs/>
          <w:noProof/>
          <w:sz w:val="24"/>
          <w:szCs w:val="24"/>
          <w:lang w:val="en-GB"/>
        </w:rPr>
        <w:t xml:space="preserve"> creation of the European Health Emergency Preparedness and Response Authority (HERA) in 2021. As a central pillar of the European Health Union</w:t>
      </w:r>
      <w:r w:rsidRPr="007D59C2">
        <w:rPr>
          <w:rFonts w:ascii="Times New Roman" w:eastAsia="Times New Roman" w:hAnsi="Times New Roman" w:cs="Times New Roman"/>
          <w:bCs/>
          <w:noProof/>
          <w:sz w:val="24"/>
          <w:szCs w:val="24"/>
          <w:vertAlign w:val="superscript"/>
          <w:lang w:val="en-GB"/>
        </w:rPr>
        <w:footnoteReference w:id="7"/>
      </w:r>
      <w:r w:rsidRPr="007D59C2">
        <w:rPr>
          <w:rFonts w:ascii="Times New Roman" w:eastAsia="Times New Roman" w:hAnsi="Times New Roman" w:cs="Times New Roman"/>
          <w:bCs/>
          <w:noProof/>
          <w:sz w:val="24"/>
          <w:szCs w:val="24"/>
          <w:lang w:val="en-GB"/>
        </w:rPr>
        <w:t xml:space="preserve">, HERA is strengthening the EU preparedness and response capabilities in the field of medical countermeasures. </w:t>
      </w:r>
    </w:p>
    <w:p w14:paraId="182E93EE" w14:textId="77777777" w:rsidR="007D59C2" w:rsidRPr="007D59C2" w:rsidRDefault="007D59C2" w:rsidP="007D59C2">
      <w:pPr>
        <w:spacing w:line="257" w:lineRule="auto"/>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b/>
          <w:bCs/>
          <w:noProof/>
          <w:sz w:val="24"/>
          <w:szCs w:val="24"/>
          <w:lang w:val="en-GB"/>
        </w:rPr>
        <w:t>Moreover, since 2020, the EU has improved its health security architecture by reinforcing existing and creating new structures, boosting preparedness, revamping emergency response mechanisms and demonstrating the benefits of coordinated actions at the EU-level</w:t>
      </w:r>
      <w:r w:rsidRPr="007D59C2">
        <w:rPr>
          <w:rFonts w:ascii="Times New Roman" w:eastAsia="Times New Roman" w:hAnsi="Times New Roman" w:cs="Times New Roman"/>
          <w:noProof/>
          <w:sz w:val="24"/>
          <w:szCs w:val="24"/>
          <w:lang w:val="en-GB"/>
        </w:rPr>
        <w:t>. Protecting EU citizens from cross-border health threats should remain a standing priority. The EU and its Member States should have a stronger capacity to ensure the sufficient and timely availability and supply of crisis relevant medical countermeasures. These capacities are needed to protect EU citizens from ongoing and emerging health threats stemming from pathogens with high pandemic potential, chemical, biological, radiological and nuclear (CBRN) threats, underlying threats such as antimicrobial resistance (AMR) or other unknown threats.</w:t>
      </w:r>
    </w:p>
    <w:p w14:paraId="4DEDCE9A" w14:textId="17DDBAD0" w:rsidR="007D59C2" w:rsidRPr="007D59C2" w:rsidRDefault="00E81FB4" w:rsidP="007D59C2">
      <w:pPr>
        <w:spacing w:line="257" w:lineRule="auto"/>
        <w:jc w:val="both"/>
        <w:rPr>
          <w:rFonts w:ascii="Times New Roman" w:eastAsia="Times New Roman" w:hAnsi="Times New Roman" w:cs="Times New Roman"/>
          <w:noProof/>
          <w:sz w:val="24"/>
          <w:szCs w:val="24"/>
          <w:lang w:val="en-GB"/>
        </w:rPr>
      </w:pPr>
      <w:r w:rsidRPr="005E741C">
        <w:rPr>
          <w:rFonts w:ascii="Times New Roman" w:eastAsia="Times New Roman" w:hAnsi="Times New Roman" w:cs="Times New Roman"/>
          <w:b/>
          <w:bCs/>
          <w:noProof/>
          <w:sz w:val="24"/>
          <w:szCs w:val="24"/>
          <w:lang w:val="en-GB"/>
        </w:rPr>
        <w:t xml:space="preserve">The Commission </w:t>
      </w:r>
      <w:r>
        <w:rPr>
          <w:rFonts w:ascii="Times New Roman" w:eastAsia="Times New Roman" w:hAnsi="Times New Roman" w:cs="Times New Roman"/>
          <w:b/>
          <w:bCs/>
          <w:noProof/>
          <w:sz w:val="24"/>
          <w:szCs w:val="24"/>
          <w:lang w:val="en-GB"/>
        </w:rPr>
        <w:t xml:space="preserve">has a long-standing experience in collaborating </w:t>
      </w:r>
      <w:r w:rsidRPr="005E741C">
        <w:rPr>
          <w:rFonts w:ascii="Times New Roman" w:eastAsia="Times New Roman" w:hAnsi="Times New Roman" w:cs="Times New Roman"/>
          <w:b/>
          <w:bCs/>
          <w:noProof/>
          <w:sz w:val="24"/>
          <w:szCs w:val="24"/>
          <w:lang w:val="en-GB"/>
        </w:rPr>
        <w:t xml:space="preserve">with relevant expert groups to </w:t>
      </w:r>
      <w:r>
        <w:rPr>
          <w:rFonts w:ascii="Times New Roman" w:eastAsia="Times New Roman" w:hAnsi="Times New Roman" w:cs="Times New Roman"/>
          <w:b/>
          <w:bCs/>
          <w:noProof/>
          <w:sz w:val="24"/>
          <w:szCs w:val="24"/>
          <w:lang w:val="en-GB"/>
        </w:rPr>
        <w:t xml:space="preserve">ensure </w:t>
      </w:r>
      <w:r w:rsidRPr="005E741C">
        <w:rPr>
          <w:rFonts w:ascii="Times New Roman" w:eastAsia="Times New Roman" w:hAnsi="Times New Roman" w:cs="Times New Roman"/>
          <w:b/>
          <w:bCs/>
          <w:noProof/>
          <w:sz w:val="24"/>
          <w:szCs w:val="24"/>
          <w:lang w:val="en-GB"/>
        </w:rPr>
        <w:t>risk preparedness and cross-border coordination</w:t>
      </w:r>
      <w:r>
        <w:rPr>
          <w:rFonts w:ascii="Times New Roman" w:eastAsia="Times New Roman" w:hAnsi="Times New Roman" w:cs="Times New Roman"/>
          <w:b/>
          <w:bCs/>
          <w:noProof/>
          <w:sz w:val="24"/>
          <w:szCs w:val="24"/>
          <w:lang w:val="en-GB"/>
        </w:rPr>
        <w:t>.</w:t>
      </w:r>
      <w:r w:rsidR="00E71103">
        <w:rPr>
          <w:rFonts w:ascii="Times New Roman" w:eastAsia="Times New Roman" w:hAnsi="Times New Roman" w:cs="Times New Roman"/>
          <w:b/>
          <w:bCs/>
          <w:noProof/>
          <w:sz w:val="24"/>
          <w:szCs w:val="24"/>
          <w:lang w:val="en-GB"/>
        </w:rPr>
        <w:t xml:space="preserve"> </w:t>
      </w:r>
      <w:r w:rsidR="007D59C2" w:rsidRPr="007D59C2">
        <w:rPr>
          <w:rFonts w:ascii="Times New Roman" w:eastAsia="Times New Roman" w:hAnsi="Times New Roman" w:cs="Times New Roman"/>
          <w:b/>
          <w:bCs/>
          <w:noProof/>
          <w:sz w:val="24"/>
          <w:szCs w:val="24"/>
          <w:lang w:val="en-GB"/>
        </w:rPr>
        <w:t>The experience gained has shown that investing in advance in health emergency preparedness pays off considerably.</w:t>
      </w:r>
      <w:r w:rsidR="007D59C2" w:rsidRPr="007D59C2">
        <w:rPr>
          <w:rFonts w:ascii="Times New Roman" w:eastAsia="Times New Roman" w:hAnsi="Times New Roman" w:cs="Times New Roman"/>
          <w:noProof/>
          <w:sz w:val="24"/>
          <w:szCs w:val="24"/>
          <w:lang w:val="en-GB"/>
        </w:rPr>
        <w:t xml:space="preserve"> The cost of inaction and insufficient preparedness far outstrips the cost of effective, systematic and coordinated investment in preparedness and planning</w:t>
      </w:r>
      <w:r w:rsidR="007D59C2" w:rsidRPr="007D59C2">
        <w:rPr>
          <w:rFonts w:eastAsia="Times New Roman"/>
          <w:noProof/>
          <w:szCs w:val="24"/>
          <w:vertAlign w:val="superscript"/>
          <w:lang w:val="en-GB"/>
        </w:rPr>
        <w:footnoteReference w:id="8"/>
      </w:r>
      <w:r w:rsidR="007D59C2" w:rsidRPr="007D59C2">
        <w:rPr>
          <w:rFonts w:ascii="Times New Roman" w:eastAsia="Times New Roman" w:hAnsi="Times New Roman" w:cs="Times New Roman"/>
          <w:noProof/>
          <w:sz w:val="24"/>
          <w:szCs w:val="24"/>
          <w:lang w:val="en-GB"/>
        </w:rPr>
        <w:t>. The strategic and coordinated approach to preparedness at the EU-level should help to avoid, or, at the very least, significantly decrease the adverse effects of health crises in terms of human lives, impacts on health services, negative growth, unemployment</w:t>
      </w:r>
      <w:r>
        <w:rPr>
          <w:rFonts w:ascii="Times New Roman" w:eastAsia="Times New Roman" w:hAnsi="Times New Roman" w:cs="Times New Roman"/>
          <w:noProof/>
          <w:sz w:val="24"/>
          <w:szCs w:val="24"/>
          <w:lang w:val="en-GB"/>
        </w:rPr>
        <w:t>,</w:t>
      </w:r>
      <w:r w:rsidR="007D59C2" w:rsidRPr="007D59C2">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threats to security of energy supply</w:t>
      </w:r>
      <w:r w:rsidR="00D3517A">
        <w:rPr>
          <w:rFonts w:ascii="Times New Roman" w:eastAsia="Times New Roman" w:hAnsi="Times New Roman" w:cs="Times New Roman"/>
          <w:noProof/>
          <w:sz w:val="24"/>
          <w:szCs w:val="24"/>
          <w:lang w:val="en-GB"/>
        </w:rPr>
        <w:t xml:space="preserve"> </w:t>
      </w:r>
      <w:r w:rsidR="007D59C2" w:rsidRPr="007D59C2">
        <w:rPr>
          <w:rFonts w:ascii="Times New Roman" w:eastAsia="Times New Roman" w:hAnsi="Times New Roman" w:cs="Times New Roman"/>
          <w:noProof/>
          <w:sz w:val="24"/>
          <w:szCs w:val="24"/>
          <w:lang w:val="en-GB"/>
        </w:rPr>
        <w:t xml:space="preserve">or market disruptions. Ultimately, increased capacities to prevent, detect and rapidly respond to future health emergencies should allow to safeguard the economic and social stability of the EU and of its Member States. </w:t>
      </w:r>
    </w:p>
    <w:p w14:paraId="371BCC2D" w14:textId="031AF7B1" w:rsidR="007D59C2" w:rsidRPr="007D59C2" w:rsidRDefault="007D59C2" w:rsidP="007D59C2">
      <w:pPr>
        <w:spacing w:line="257" w:lineRule="auto"/>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noProof/>
          <w:sz w:val="24"/>
          <w:szCs w:val="24"/>
          <w:lang w:val="en-GB"/>
        </w:rPr>
        <w:t>Next serious cross-border health threats, like COVID-19, may come to the EU from abroad. This means that the strategic and coordinated approach to preparedness must not stop at EU borders</w:t>
      </w:r>
      <w:r w:rsidR="00E81FB4">
        <w:rPr>
          <w:rFonts w:ascii="Times New Roman" w:eastAsia="Times New Roman" w:hAnsi="Times New Roman" w:cs="Times New Roman"/>
          <w:noProof/>
          <w:sz w:val="24"/>
          <w:szCs w:val="24"/>
          <w:lang w:val="en-GB"/>
        </w:rPr>
        <w:t xml:space="preserve"> and must not be limited to the health and medical sector as such</w:t>
      </w:r>
      <w:r w:rsidRPr="007D59C2">
        <w:rPr>
          <w:rFonts w:ascii="Times New Roman" w:eastAsia="Times New Roman" w:hAnsi="Times New Roman" w:cs="Times New Roman"/>
          <w:noProof/>
          <w:sz w:val="24"/>
          <w:szCs w:val="24"/>
          <w:lang w:val="en-GB"/>
        </w:rPr>
        <w:t xml:space="preserve">. The pandemic demonstrated that preparedness and planning were under-funded and under-developed in almost every region and country across the world. Therefore, it is crucial that preparedness capacities are improved and increased globally. In this respect, this Communication (hereinafter referred to “State of </w:t>
      </w:r>
      <w:r w:rsidR="00E43260">
        <w:rPr>
          <w:rFonts w:ascii="Times New Roman" w:eastAsia="Times New Roman" w:hAnsi="Times New Roman" w:cs="Times New Roman"/>
          <w:noProof/>
          <w:sz w:val="24"/>
          <w:szCs w:val="24"/>
          <w:lang w:val="en-GB"/>
        </w:rPr>
        <w:t xml:space="preserve">Health </w:t>
      </w:r>
      <w:r w:rsidRPr="007D59C2">
        <w:rPr>
          <w:rFonts w:ascii="Times New Roman" w:eastAsia="Times New Roman" w:hAnsi="Times New Roman" w:cs="Times New Roman"/>
          <w:noProof/>
          <w:sz w:val="24"/>
          <w:szCs w:val="24"/>
          <w:lang w:val="en-GB"/>
        </w:rPr>
        <w:t>Preparedness Report” or “report”) should be read in conjunction with the new EU Global Health Strategy</w:t>
      </w:r>
      <w:r w:rsidRPr="007D59C2">
        <w:rPr>
          <w:rFonts w:ascii="Times New Roman" w:eastAsia="Times New Roman" w:hAnsi="Times New Roman" w:cs="Times New Roman"/>
          <w:noProof/>
          <w:sz w:val="24"/>
          <w:szCs w:val="24"/>
          <w:vertAlign w:val="superscript"/>
          <w:lang w:val="en-GB"/>
        </w:rPr>
        <w:footnoteReference w:id="9"/>
      </w:r>
      <w:r w:rsidRPr="007D59C2">
        <w:rPr>
          <w:rFonts w:ascii="Times New Roman" w:eastAsia="Times New Roman" w:hAnsi="Times New Roman" w:cs="Times New Roman"/>
          <w:noProof/>
          <w:sz w:val="24"/>
          <w:szCs w:val="24"/>
          <w:lang w:val="en-GB"/>
        </w:rPr>
        <w:t xml:space="preserve"> which</w:t>
      </w:r>
      <w:r w:rsidR="008129A5" w:rsidRPr="008129A5">
        <w:rPr>
          <w:rFonts w:ascii="Times New Roman" w:eastAsia="Times New Roman" w:hAnsi="Times New Roman" w:cs="Times New Roman"/>
          <w:noProof/>
          <w:sz w:val="24"/>
          <w:szCs w:val="24"/>
          <w:lang w:val="en-GB"/>
        </w:rPr>
        <w:t xml:space="preserve"> </w:t>
      </w:r>
      <w:r w:rsidR="008129A5">
        <w:rPr>
          <w:rFonts w:ascii="Times New Roman" w:eastAsia="Times New Roman" w:hAnsi="Times New Roman" w:cs="Times New Roman"/>
          <w:noProof/>
          <w:sz w:val="24"/>
          <w:szCs w:val="24"/>
          <w:lang w:val="en-GB"/>
        </w:rPr>
        <w:t>deepens</w:t>
      </w:r>
      <w:r w:rsidR="00E71103">
        <w:rPr>
          <w:rFonts w:ascii="Times New Roman" w:eastAsia="Times New Roman" w:hAnsi="Times New Roman" w:cs="Times New Roman"/>
          <w:noProof/>
          <w:sz w:val="24"/>
          <w:szCs w:val="24"/>
          <w:lang w:val="en-GB"/>
        </w:rPr>
        <w:t xml:space="preserve"> </w:t>
      </w:r>
      <w:r w:rsidR="008129A5">
        <w:rPr>
          <w:rFonts w:ascii="Times New Roman" w:eastAsia="Times New Roman" w:hAnsi="Times New Roman" w:cs="Times New Roman"/>
          <w:noProof/>
          <w:sz w:val="24"/>
          <w:szCs w:val="24"/>
          <w:lang w:val="en-GB"/>
        </w:rPr>
        <w:t>the EU’s leadership and reasserts its responsibility</w:t>
      </w:r>
      <w:r w:rsidRPr="007D59C2">
        <w:rPr>
          <w:rFonts w:ascii="Times New Roman" w:eastAsia="Times New Roman" w:hAnsi="Times New Roman" w:cs="Times New Roman"/>
          <w:noProof/>
          <w:sz w:val="24"/>
          <w:szCs w:val="24"/>
          <w:lang w:val="en-GB"/>
        </w:rPr>
        <w:t xml:space="preserve"> to strengthen </w:t>
      </w:r>
      <w:r w:rsidR="003140B2">
        <w:rPr>
          <w:rFonts w:ascii="Times New Roman" w:eastAsia="Times New Roman" w:hAnsi="Times New Roman" w:cs="Times New Roman"/>
          <w:noProof/>
          <w:sz w:val="24"/>
          <w:szCs w:val="24"/>
          <w:lang w:val="en-GB"/>
        </w:rPr>
        <w:t xml:space="preserve">global </w:t>
      </w:r>
      <w:r w:rsidRPr="007D59C2">
        <w:rPr>
          <w:rFonts w:ascii="Times New Roman" w:eastAsia="Times New Roman" w:hAnsi="Times New Roman" w:cs="Times New Roman"/>
          <w:noProof/>
          <w:sz w:val="24"/>
          <w:szCs w:val="24"/>
          <w:lang w:val="en-GB"/>
        </w:rPr>
        <w:t>preparedness for future health emergencies</w:t>
      </w:r>
      <w:r w:rsidR="008129A5">
        <w:rPr>
          <w:rFonts w:ascii="Times New Roman" w:eastAsia="Times New Roman" w:hAnsi="Times New Roman" w:cs="Times New Roman"/>
          <w:noProof/>
          <w:sz w:val="24"/>
          <w:szCs w:val="24"/>
          <w:lang w:val="en-GB"/>
        </w:rPr>
        <w:t xml:space="preserve"> </w:t>
      </w:r>
      <w:r w:rsidR="00E81FB4">
        <w:rPr>
          <w:rFonts w:ascii="Times New Roman" w:eastAsia="Times New Roman" w:hAnsi="Times New Roman" w:cs="Times New Roman"/>
          <w:noProof/>
          <w:sz w:val="24"/>
          <w:szCs w:val="24"/>
          <w:lang w:val="en-GB"/>
        </w:rPr>
        <w:t xml:space="preserve"> </w:t>
      </w:r>
    </w:p>
    <w:tbl>
      <w:tblPr>
        <w:tblStyle w:val="TableGrid"/>
        <w:tblW w:w="0" w:type="auto"/>
        <w:tblInd w:w="108" w:type="dxa"/>
        <w:tblLook w:val="04A0" w:firstRow="1" w:lastRow="0" w:firstColumn="1" w:lastColumn="0" w:noHBand="0" w:noVBand="1"/>
      </w:tblPr>
      <w:tblGrid>
        <w:gridCol w:w="9180"/>
      </w:tblGrid>
      <w:tr w:rsidR="007D59C2" w:rsidRPr="007D59C2" w14:paraId="56BB2D3C" w14:textId="77777777" w:rsidTr="00E81FB4">
        <w:tc>
          <w:tcPr>
            <w:tcW w:w="9356" w:type="dxa"/>
            <w:tcBorders>
              <w:top w:val="single" w:sz="4" w:space="0" w:color="auto"/>
              <w:left w:val="single" w:sz="4" w:space="0" w:color="auto"/>
              <w:bottom w:val="single" w:sz="4" w:space="0" w:color="auto"/>
              <w:right w:val="single" w:sz="4" w:space="0" w:color="auto"/>
            </w:tcBorders>
          </w:tcPr>
          <w:p w14:paraId="4074B935" w14:textId="77777777" w:rsidR="007D59C2" w:rsidRPr="007D59C2" w:rsidRDefault="007D59C2" w:rsidP="007D59C2">
            <w:pPr>
              <w:spacing w:after="120"/>
              <w:jc w:val="both"/>
              <w:rPr>
                <w:rFonts w:ascii="Times New Roman" w:eastAsia="Times New Roman" w:hAnsi="Times New Roman" w:cs="Times New Roman"/>
                <w:b/>
                <w:noProof/>
                <w:sz w:val="24"/>
                <w:szCs w:val="24"/>
                <w:lang w:val="en-GB"/>
              </w:rPr>
            </w:pPr>
            <w:r w:rsidRPr="007D59C2">
              <w:rPr>
                <w:rFonts w:ascii="Times New Roman" w:eastAsia="Times New Roman" w:hAnsi="Times New Roman" w:cs="Times New Roman"/>
                <w:b/>
                <w:noProof/>
                <w:sz w:val="24"/>
                <w:szCs w:val="24"/>
                <w:lang w:val="en-GB"/>
              </w:rPr>
              <w:t xml:space="preserve">Defining serious cross-border threat to health </w:t>
            </w:r>
            <w:r w:rsidRPr="007D59C2">
              <w:rPr>
                <w:rFonts w:ascii="Times New Roman" w:eastAsia="Times New Roman" w:hAnsi="Times New Roman" w:cs="Times New Roman"/>
                <w:noProof/>
                <w:sz w:val="24"/>
                <w:szCs w:val="24"/>
                <w:lang w:val="en-GB"/>
              </w:rPr>
              <w:t>(</w:t>
            </w:r>
            <w:r w:rsidRPr="007D59C2">
              <w:rPr>
                <w:rFonts w:ascii="Times New Roman" w:hAnsi="Times New Roman" w:cs="Times New Roman"/>
                <w:noProof/>
                <w:lang w:val="en-GB"/>
              </w:rPr>
              <w:t>Regulation of the European Parliament and of the Council on serious cross-border threats to health and repealing Decision No 1082/2013/EU</w:t>
            </w:r>
            <w:r w:rsidRPr="007D59C2">
              <w:rPr>
                <w:rFonts w:ascii="Times New Roman" w:eastAsia="Times New Roman" w:hAnsi="Times New Roman" w:cs="Times New Roman"/>
                <w:noProof/>
                <w:sz w:val="24"/>
                <w:szCs w:val="24"/>
                <w:lang w:val="en-GB"/>
              </w:rPr>
              <w:t xml:space="preserve">) </w:t>
            </w:r>
            <w:r w:rsidRPr="007D59C2">
              <w:rPr>
                <w:rFonts w:ascii="Times New Roman" w:eastAsia="Times New Roman" w:hAnsi="Times New Roman" w:cs="Times New Roman"/>
                <w:b/>
                <w:noProof/>
                <w:sz w:val="24"/>
                <w:szCs w:val="24"/>
                <w:lang w:val="en-GB"/>
              </w:rPr>
              <w:t>:</w:t>
            </w:r>
          </w:p>
          <w:p w14:paraId="58F1FE71" w14:textId="77777777" w:rsidR="007D59C2" w:rsidRPr="007D59C2" w:rsidRDefault="007D59C2" w:rsidP="007D59C2">
            <w:pPr>
              <w:spacing w:after="120"/>
              <w:jc w:val="both"/>
              <w:rPr>
                <w:rFonts w:ascii="Times New Roman" w:hAnsi="Times New Roman" w:cs="Times New Roman"/>
                <w:i/>
                <w:noProof/>
                <w:sz w:val="24"/>
                <w:szCs w:val="24"/>
                <w:lang w:val="en-GB"/>
              </w:rPr>
            </w:pPr>
            <w:r w:rsidRPr="007D59C2">
              <w:rPr>
                <w:rFonts w:ascii="Times New Roman" w:hAnsi="Times New Roman" w:cs="Times New Roman"/>
                <w:i/>
                <w:noProof/>
                <w:w w:val="0"/>
                <w:sz w:val="24"/>
                <w:szCs w:val="24"/>
                <w:lang w:val="en-GB"/>
              </w:rPr>
              <w:t>Serious cross-border threat to health’ means a life-threatening or otherwise serious hazard to health of biological, chemical, environmental or unknown origin, as referred to in Article 2(1), which spreads or entails a significant risk of spreading across the national borders of Member States, and which may necessitate coordination at Union level in order to ensure a high level of human health protection</w:t>
            </w:r>
          </w:p>
        </w:tc>
      </w:tr>
    </w:tbl>
    <w:p w14:paraId="65C33E1F" w14:textId="5C919A9C" w:rsidR="007D59C2" w:rsidRPr="007D59C2" w:rsidRDefault="007D59C2" w:rsidP="007D59C2">
      <w:pPr>
        <w:spacing w:before="120"/>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noProof/>
          <w:sz w:val="24"/>
          <w:szCs w:val="24"/>
          <w:lang w:val="en-GB"/>
        </w:rPr>
        <w:t xml:space="preserve">This is the first State of </w:t>
      </w:r>
      <w:r w:rsidR="00E43260">
        <w:rPr>
          <w:rFonts w:ascii="Times New Roman" w:eastAsia="Times New Roman" w:hAnsi="Times New Roman" w:cs="Times New Roman"/>
          <w:noProof/>
          <w:sz w:val="24"/>
          <w:szCs w:val="24"/>
          <w:lang w:val="en-GB"/>
        </w:rPr>
        <w:t xml:space="preserve">Health </w:t>
      </w:r>
      <w:r w:rsidRPr="007D59C2">
        <w:rPr>
          <w:rFonts w:ascii="Times New Roman" w:eastAsia="Times New Roman" w:hAnsi="Times New Roman" w:cs="Times New Roman"/>
          <w:noProof/>
          <w:sz w:val="24"/>
          <w:szCs w:val="24"/>
          <w:lang w:val="en-GB"/>
        </w:rPr>
        <w:t>Preparedness Report. It was announced in June 2021 in the Commission Communication “Drawing the early lessons from the COVID-19 pandemic”</w:t>
      </w:r>
      <w:r w:rsidRPr="007D59C2">
        <w:rPr>
          <w:rFonts w:ascii="Times New Roman" w:eastAsia="Times New Roman" w:hAnsi="Times New Roman" w:cs="Times New Roman"/>
          <w:noProof/>
          <w:sz w:val="24"/>
          <w:szCs w:val="24"/>
          <w:vertAlign w:val="superscript"/>
          <w:lang w:val="en-GB"/>
        </w:rPr>
        <w:footnoteReference w:id="10"/>
      </w:r>
      <w:r w:rsidRPr="007D59C2">
        <w:rPr>
          <w:rFonts w:ascii="Times New Roman" w:eastAsia="Times New Roman" w:hAnsi="Times New Roman" w:cs="Times New Roman"/>
          <w:noProof/>
          <w:sz w:val="24"/>
          <w:szCs w:val="24"/>
          <w:lang w:val="en-GB"/>
        </w:rPr>
        <w:t xml:space="preserve">. It reflects the changing risk landscape in the EU and the state of </w:t>
      </w:r>
      <w:r w:rsidR="00A076BC">
        <w:rPr>
          <w:rFonts w:ascii="Times New Roman" w:eastAsia="Times New Roman" w:hAnsi="Times New Roman" w:cs="Times New Roman"/>
          <w:noProof/>
          <w:sz w:val="24"/>
          <w:szCs w:val="24"/>
          <w:lang w:val="en-GB"/>
        </w:rPr>
        <w:t xml:space="preserve">health </w:t>
      </w:r>
      <w:r w:rsidRPr="007D59C2">
        <w:rPr>
          <w:rFonts w:ascii="Times New Roman" w:eastAsia="Times New Roman" w:hAnsi="Times New Roman" w:cs="Times New Roman"/>
          <w:noProof/>
          <w:sz w:val="24"/>
          <w:szCs w:val="24"/>
          <w:lang w:val="en-GB"/>
        </w:rPr>
        <w:t xml:space="preserve">preparedness to address those threats. </w:t>
      </w:r>
      <w:r w:rsidRPr="007D59C2">
        <w:rPr>
          <w:rFonts w:ascii="Times New Roman" w:eastAsia="Times New Roman" w:hAnsi="Times New Roman" w:cs="Times New Roman"/>
          <w:iCs/>
          <w:noProof/>
          <w:sz w:val="24"/>
          <w:szCs w:val="24"/>
          <w:lang w:val="en-GB"/>
        </w:rPr>
        <w:t>The report covers the main health threats which the EU may have to face in the future.</w:t>
      </w:r>
    </w:p>
    <w:p w14:paraId="0E33179D" w14:textId="39D8DA96" w:rsidR="007D59C2" w:rsidRPr="007D59C2" w:rsidRDefault="007D59C2" w:rsidP="007D59C2">
      <w:pPr>
        <w:spacing w:line="257" w:lineRule="auto"/>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iCs/>
          <w:noProof/>
          <w:sz w:val="24"/>
          <w:szCs w:val="24"/>
          <w:lang w:val="en-GB"/>
        </w:rPr>
        <w:t xml:space="preserve">The State of </w:t>
      </w:r>
      <w:r w:rsidR="00E43260">
        <w:rPr>
          <w:rFonts w:ascii="Times New Roman" w:eastAsia="Times New Roman" w:hAnsi="Times New Roman" w:cs="Times New Roman"/>
          <w:iCs/>
          <w:noProof/>
          <w:sz w:val="24"/>
          <w:szCs w:val="24"/>
          <w:lang w:val="en-GB"/>
        </w:rPr>
        <w:t xml:space="preserve">Health </w:t>
      </w:r>
      <w:r w:rsidRPr="007D59C2">
        <w:rPr>
          <w:rFonts w:ascii="Times New Roman" w:eastAsia="Times New Roman" w:hAnsi="Times New Roman" w:cs="Times New Roman"/>
          <w:iCs/>
          <w:noProof/>
          <w:sz w:val="24"/>
          <w:szCs w:val="24"/>
          <w:lang w:val="en-GB"/>
        </w:rPr>
        <w:t xml:space="preserve">Preparedness Report will focus on different aspects of preparedness every year. </w:t>
      </w:r>
      <w:r w:rsidRPr="007D59C2">
        <w:rPr>
          <w:rFonts w:ascii="Times New Roman" w:eastAsia="Times New Roman" w:hAnsi="Times New Roman" w:cs="Times New Roman"/>
          <w:b/>
          <w:noProof/>
          <w:sz w:val="24"/>
          <w:szCs w:val="24"/>
          <w:lang w:val="en-GB"/>
        </w:rPr>
        <w:t>The</w:t>
      </w:r>
      <w:r w:rsidRPr="007D59C2">
        <w:rPr>
          <w:rFonts w:ascii="Times New Roman" w:eastAsia="Times New Roman" w:hAnsi="Times New Roman" w:cs="Times New Roman"/>
          <w:noProof/>
          <w:sz w:val="24"/>
          <w:szCs w:val="24"/>
          <w:lang w:val="en-GB"/>
        </w:rPr>
        <w:t xml:space="preserve"> </w:t>
      </w:r>
      <w:r w:rsidRPr="007D59C2">
        <w:rPr>
          <w:rFonts w:ascii="Times New Roman" w:eastAsia="Times New Roman" w:hAnsi="Times New Roman" w:cs="Times New Roman"/>
          <w:b/>
          <w:noProof/>
          <w:sz w:val="24"/>
          <w:szCs w:val="24"/>
          <w:lang w:val="en-GB"/>
        </w:rPr>
        <w:t xml:space="preserve">first edition focuses on preparedness capabilities related to medical countermeasures. </w:t>
      </w:r>
      <w:r w:rsidRPr="007D59C2">
        <w:rPr>
          <w:rFonts w:ascii="Times New Roman" w:eastAsia="Times New Roman" w:hAnsi="Times New Roman" w:cs="Times New Roman"/>
          <w:noProof/>
          <w:sz w:val="24"/>
          <w:szCs w:val="24"/>
          <w:lang w:val="en-GB"/>
        </w:rPr>
        <w:t xml:space="preserve">First, the report presents an overview of the progress made throughout the past three years to reinforce preparedness in the EU. Second, it outlines the state of play and actions that are planned to fill the gaps in relation to ensuring sufficient availability and supply of medical countermeasures. </w:t>
      </w:r>
      <w:r w:rsidR="008129A5" w:rsidRPr="00A05A86">
        <w:rPr>
          <w:rFonts w:ascii="Times New Roman" w:eastAsia="Times New Roman" w:hAnsi="Times New Roman" w:cs="Times New Roman"/>
          <w:noProof/>
          <w:sz w:val="24"/>
          <w:szCs w:val="24"/>
          <w:lang w:val="en-GB"/>
        </w:rPr>
        <w:t>It draws on combined contributions of HERA and various Commission services.</w:t>
      </w:r>
    </w:p>
    <w:p w14:paraId="591D882C" w14:textId="79BD9D6D" w:rsidR="007D59C2" w:rsidRDefault="007D59C2" w:rsidP="007D59C2">
      <w:pPr>
        <w:spacing w:line="257" w:lineRule="auto"/>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noProof/>
          <w:sz w:val="24"/>
          <w:szCs w:val="24"/>
          <w:lang w:val="en-GB"/>
        </w:rPr>
        <w:t>Future editions will focus on other elements, beyond medical countermeasures, which are indispensable to reaching sufficient levels of health preparedness. They should also present preparedness indicators based o</w:t>
      </w:r>
      <w:r w:rsidR="0010038C">
        <w:rPr>
          <w:rFonts w:ascii="Times New Roman" w:eastAsia="Times New Roman" w:hAnsi="Times New Roman" w:cs="Times New Roman"/>
          <w:noProof/>
          <w:sz w:val="24"/>
          <w:szCs w:val="24"/>
          <w:lang w:val="en-GB"/>
        </w:rPr>
        <w:t>n reporting from Member States.</w:t>
      </w:r>
    </w:p>
    <w:p w14:paraId="7A4D49E4" w14:textId="77777777" w:rsidR="0010038C" w:rsidRPr="007D59C2" w:rsidRDefault="0010038C" w:rsidP="007D59C2">
      <w:pPr>
        <w:spacing w:line="257" w:lineRule="auto"/>
        <w:jc w:val="both"/>
        <w:rPr>
          <w:rFonts w:ascii="Times New Roman" w:eastAsia="Times New Roman" w:hAnsi="Times New Roman" w:cs="Times New Roman"/>
          <w:noProof/>
          <w:sz w:val="24"/>
          <w:szCs w:val="24"/>
          <w:lang w:val="en-GB"/>
        </w:rPr>
      </w:pPr>
    </w:p>
    <w:p w14:paraId="5CFDEB48" w14:textId="7D0995DE" w:rsidR="007D59C2" w:rsidRPr="007D59C2" w:rsidRDefault="007D59C2" w:rsidP="007D59C2">
      <w:pPr>
        <w:keepNext/>
        <w:keepLines/>
        <w:spacing w:before="160" w:line="240" w:lineRule="auto"/>
        <w:outlineLvl w:val="1"/>
        <w:rPr>
          <w:rFonts w:asciiTheme="majorHAnsi" w:eastAsia="Times New Roman" w:hAnsiTheme="majorHAnsi" w:cstheme="majorBidi"/>
          <w:b/>
          <w:noProof/>
          <w:color w:val="002060"/>
          <w:sz w:val="24"/>
          <w:szCs w:val="28"/>
        </w:rPr>
      </w:pPr>
      <w:bookmarkStart w:id="29" w:name="_Toc120631050"/>
      <w:r w:rsidRPr="007D59C2">
        <w:rPr>
          <w:rFonts w:asciiTheme="majorHAnsi" w:eastAsia="Times New Roman" w:hAnsiTheme="majorHAnsi" w:cstheme="majorBidi"/>
          <w:b/>
          <w:noProof/>
          <w:color w:val="002060"/>
          <w:sz w:val="24"/>
          <w:szCs w:val="28"/>
        </w:rPr>
        <w:t xml:space="preserve">Scope of the first State of </w:t>
      </w:r>
      <w:r w:rsidR="00E43260">
        <w:rPr>
          <w:rFonts w:asciiTheme="majorHAnsi" w:eastAsia="Times New Roman" w:hAnsiTheme="majorHAnsi" w:cstheme="majorBidi"/>
          <w:b/>
          <w:noProof/>
          <w:color w:val="002060"/>
          <w:sz w:val="24"/>
          <w:szCs w:val="28"/>
        </w:rPr>
        <w:t xml:space="preserve">Health </w:t>
      </w:r>
      <w:r w:rsidRPr="007D59C2">
        <w:rPr>
          <w:rFonts w:asciiTheme="majorHAnsi" w:eastAsia="Times New Roman" w:hAnsiTheme="majorHAnsi" w:cstheme="majorBidi"/>
          <w:b/>
          <w:noProof/>
          <w:color w:val="002060"/>
          <w:sz w:val="24"/>
          <w:szCs w:val="28"/>
        </w:rPr>
        <w:t>Preparedness Report</w:t>
      </w:r>
      <w:bookmarkEnd w:id="29"/>
    </w:p>
    <w:p w14:paraId="14380732" w14:textId="77777777" w:rsidR="007D59C2" w:rsidRPr="007D59C2" w:rsidRDefault="007D59C2" w:rsidP="007D59C2">
      <w:pPr>
        <w:jc w:val="both"/>
        <w:rPr>
          <w:rFonts w:ascii="Times New Roman" w:eastAsia="Times New Roman" w:hAnsi="Times New Roman" w:cs="Times New Roman"/>
          <w:bCs/>
          <w:noProof/>
          <w:sz w:val="24"/>
          <w:szCs w:val="24"/>
          <w:lang w:val="en-GB"/>
        </w:rPr>
      </w:pPr>
      <w:r w:rsidRPr="007D59C2">
        <w:rPr>
          <w:rFonts w:ascii="Times New Roman" w:eastAsia="Times New Roman" w:hAnsi="Times New Roman" w:cs="Times New Roman"/>
          <w:b/>
          <w:bCs/>
          <w:noProof/>
          <w:sz w:val="24"/>
          <w:szCs w:val="24"/>
          <w:lang w:val="en-GB"/>
        </w:rPr>
        <w:t>Medical countermeasures have protected and continue to protect European citizens and individuals globally from serious cross-border threats to health</w:t>
      </w:r>
      <w:r w:rsidRPr="007D59C2">
        <w:rPr>
          <w:rFonts w:ascii="Times New Roman" w:eastAsia="Times New Roman" w:hAnsi="Times New Roman" w:cs="Times New Roman"/>
          <w:bCs/>
          <w:noProof/>
          <w:sz w:val="24"/>
          <w:szCs w:val="24"/>
          <w:lang w:val="en-GB"/>
        </w:rPr>
        <w:t>. COVID-19 vaccines helped to avoid 20 million deaths worldwide and half a million deaths in Europe in the first year of the roll out of vaccination programmes</w:t>
      </w:r>
      <w:r w:rsidRPr="007D59C2">
        <w:rPr>
          <w:rFonts w:ascii="Times New Roman" w:eastAsia="Times New Roman" w:hAnsi="Times New Roman" w:cs="Times New Roman"/>
          <w:bCs/>
          <w:noProof/>
          <w:sz w:val="24"/>
          <w:szCs w:val="24"/>
          <w:vertAlign w:val="superscript"/>
          <w:lang w:val="en-GB"/>
        </w:rPr>
        <w:footnoteReference w:id="11"/>
      </w:r>
      <w:r w:rsidRPr="007D59C2">
        <w:rPr>
          <w:rFonts w:ascii="Times New Roman" w:eastAsia="Times New Roman" w:hAnsi="Times New Roman" w:cs="Times New Roman"/>
          <w:bCs/>
          <w:noProof/>
          <w:sz w:val="24"/>
          <w:szCs w:val="24"/>
          <w:lang w:val="en-GB"/>
        </w:rPr>
        <w:t>. Diagnostics, therapeutics and protective personal equipment (PPE) have also contributed to detect, monitor, treat and prevent COVID-19 disease progression. The development of and equitable access to new medical countermeasures will effectively contribute to containing future health threats.</w:t>
      </w:r>
    </w:p>
    <w:p w14:paraId="4478BB11" w14:textId="77777777" w:rsidR="007D59C2" w:rsidRPr="007D59C2" w:rsidRDefault="007D59C2" w:rsidP="007D59C2">
      <w:pPr>
        <w:jc w:val="both"/>
        <w:rPr>
          <w:rFonts w:ascii="Times New Roman" w:eastAsia="Times New Roman" w:hAnsi="Times New Roman" w:cs="Times New Roman"/>
          <w:bCs/>
          <w:noProof/>
          <w:sz w:val="24"/>
          <w:szCs w:val="24"/>
          <w:lang w:val="en-GB"/>
        </w:rPr>
      </w:pPr>
      <w:r w:rsidRPr="007D59C2">
        <w:rPr>
          <w:rFonts w:ascii="Times New Roman" w:eastAsia="Times New Roman" w:hAnsi="Times New Roman" w:cs="Times New Roman"/>
          <w:b/>
          <w:bCs/>
          <w:noProof/>
          <w:sz w:val="24"/>
          <w:szCs w:val="24"/>
          <w:lang w:val="en-GB"/>
        </w:rPr>
        <w:t xml:space="preserve">The pandemic has demonstrated that shortcomings related to the access and availability of medical countermeasures were not only a challenge for the EU but touched almost every country across the world. </w:t>
      </w:r>
      <w:r w:rsidRPr="007D59C2">
        <w:rPr>
          <w:rFonts w:ascii="Times New Roman" w:eastAsia="Times New Roman" w:hAnsi="Times New Roman" w:cs="Times New Roman"/>
          <w:bCs/>
          <w:noProof/>
          <w:sz w:val="24"/>
          <w:szCs w:val="24"/>
          <w:lang w:val="en-GB"/>
        </w:rPr>
        <w:t>Uncoordinated stockpiling, high dependencies on third countries, disruptions in pharmaceutical supply chains, suboptimal production capacities linked with trade disruptions and unanticipated demand surges have undermined the timely supply of lifesaving medical countermeasures</w:t>
      </w:r>
      <w:r w:rsidRPr="007D59C2">
        <w:rPr>
          <w:rFonts w:ascii="Times New Roman" w:eastAsia="Times New Roman" w:hAnsi="Times New Roman" w:cs="Times New Roman"/>
          <w:bCs/>
          <w:noProof/>
          <w:sz w:val="24"/>
          <w:szCs w:val="24"/>
          <w:vertAlign w:val="superscript"/>
          <w:lang w:val="en-GB"/>
        </w:rPr>
        <w:footnoteReference w:id="12"/>
      </w:r>
      <w:r w:rsidRPr="007D59C2">
        <w:rPr>
          <w:rFonts w:ascii="Times New Roman" w:eastAsia="Times New Roman" w:hAnsi="Times New Roman" w:cs="Times New Roman"/>
          <w:bCs/>
          <w:noProof/>
          <w:sz w:val="24"/>
          <w:szCs w:val="24"/>
          <w:lang w:val="en-GB"/>
        </w:rPr>
        <w:t>.</w:t>
      </w:r>
    </w:p>
    <w:p w14:paraId="66AD53F7" w14:textId="77777777" w:rsidR="007D59C2" w:rsidRPr="007D59C2" w:rsidRDefault="007D59C2" w:rsidP="007D59C2">
      <w:pPr>
        <w:jc w:val="both"/>
        <w:rPr>
          <w:rFonts w:ascii="Times New Roman" w:eastAsia="Times New Roman" w:hAnsi="Times New Roman" w:cs="Times New Roman"/>
          <w:bCs/>
          <w:noProof/>
          <w:sz w:val="24"/>
          <w:szCs w:val="24"/>
          <w:lang w:val="en-GB"/>
        </w:rPr>
      </w:pPr>
      <w:r w:rsidRPr="007D59C2">
        <w:rPr>
          <w:rFonts w:ascii="Times New Roman" w:eastAsia="Times New Roman" w:hAnsi="Times New Roman" w:cs="Times New Roman"/>
          <w:b/>
          <w:bCs/>
          <w:noProof/>
          <w:sz w:val="24"/>
          <w:szCs w:val="24"/>
          <w:lang w:val="en-GB"/>
        </w:rPr>
        <w:t xml:space="preserve">Enhanced coordination between Member States, structured cooperation with stakeholders and robust end-to-end solutions ensuring ultimately the availability and accessibility of medical countermeasures </w:t>
      </w:r>
      <w:r w:rsidRPr="007D59C2">
        <w:rPr>
          <w:rFonts w:ascii="Times New Roman" w:eastAsia="Times New Roman" w:hAnsi="Times New Roman" w:cs="Times New Roman"/>
          <w:bCs/>
          <w:noProof/>
          <w:sz w:val="24"/>
          <w:szCs w:val="24"/>
          <w:lang w:val="en-GB"/>
        </w:rPr>
        <w:t>is pivotal</w:t>
      </w:r>
      <w:r w:rsidRPr="007D59C2">
        <w:rPr>
          <w:rFonts w:ascii="Times New Roman" w:eastAsia="Times New Roman" w:hAnsi="Times New Roman" w:cs="Times New Roman"/>
          <w:b/>
          <w:bCs/>
          <w:noProof/>
          <w:sz w:val="24"/>
          <w:szCs w:val="24"/>
          <w:lang w:val="en-GB"/>
        </w:rPr>
        <w:t xml:space="preserve"> </w:t>
      </w:r>
      <w:r w:rsidRPr="007D59C2">
        <w:rPr>
          <w:rFonts w:ascii="Times New Roman" w:eastAsia="Times New Roman" w:hAnsi="Times New Roman" w:cs="Times New Roman"/>
          <w:bCs/>
          <w:noProof/>
          <w:sz w:val="24"/>
          <w:szCs w:val="24"/>
          <w:lang w:val="en-GB"/>
        </w:rPr>
        <w:t>to strengthen preparedness for health threats. With the establishment of HERA, the Commission is bringing together Member States, industry and all relevant stakeholders to support the development, production, procurement and distribution of breakthrough medical countermeasures and crosscutting manufacturing technologies. It also reinforces the cooperation with global partners to enhance health preparedness and response capabilities in the field of medical countermeasures globally (see Fig.1).</w:t>
      </w:r>
    </w:p>
    <w:p w14:paraId="227B0DF0" w14:textId="4BCF2F7F" w:rsidR="007D59C2" w:rsidRPr="007D59C2" w:rsidRDefault="007D59C2" w:rsidP="007D59C2">
      <w:pPr>
        <w:jc w:val="both"/>
        <w:rPr>
          <w:rFonts w:ascii="Times New Roman" w:eastAsia="Times New Roman" w:hAnsi="Times New Roman" w:cs="Times New Roman"/>
          <w:bCs/>
          <w:noProof/>
          <w:sz w:val="24"/>
          <w:szCs w:val="24"/>
          <w:lang w:val="en-IE"/>
        </w:rPr>
      </w:pPr>
      <w:r w:rsidRPr="007D59C2">
        <w:rPr>
          <w:rFonts w:ascii="Times New Roman" w:eastAsia="Times New Roman" w:hAnsi="Times New Roman" w:cs="Times New Roman"/>
          <w:b/>
          <w:noProof/>
          <w:sz w:val="24"/>
          <w:szCs w:val="24"/>
          <w:lang w:val="en-IE" w:eastAsia="en-IE"/>
        </w:rPr>
        <w:t>Figure 1: HERA’s mission to ensure availability and access to medical countermeasures by reinforcing  the whole value chain:</w:t>
      </w:r>
    </w:p>
    <w:p w14:paraId="561AA1D7" w14:textId="7952E45D" w:rsidR="007D59C2" w:rsidRPr="007D59C2" w:rsidRDefault="007D59C2" w:rsidP="0010038C">
      <w:pPr>
        <w:tabs>
          <w:tab w:val="center" w:pos="4680"/>
          <w:tab w:val="right" w:pos="9360"/>
        </w:tabs>
        <w:rPr>
          <w:rFonts w:ascii="Times New Roman" w:eastAsia="Times New Roman" w:hAnsi="Times New Roman" w:cs="Times New Roman"/>
          <w:b/>
          <w:noProof/>
          <w:sz w:val="24"/>
          <w:szCs w:val="24"/>
          <w:lang w:val="en-IE" w:eastAsia="en-IE"/>
        </w:rPr>
      </w:pPr>
      <w:r w:rsidRPr="007D59C2">
        <w:rPr>
          <w:rFonts w:ascii="Times New Roman" w:eastAsia="Times New Roman" w:hAnsi="Times New Roman" w:cs="Times New Roman"/>
          <w:b/>
          <w:noProof/>
          <w:sz w:val="24"/>
          <w:szCs w:val="24"/>
          <w:lang w:val="en-IE" w:eastAsia="en-IE"/>
        </w:rPr>
        <w:tab/>
      </w:r>
      <w:r w:rsidRPr="007D59C2">
        <w:rPr>
          <w:rFonts w:ascii="Times New Roman" w:eastAsia="Times New Roman" w:hAnsi="Times New Roman" w:cs="Times New Roman"/>
          <w:b/>
          <w:noProof/>
          <w:sz w:val="24"/>
          <w:szCs w:val="24"/>
          <w:lang w:val="en-GB" w:eastAsia="en-GB"/>
        </w:rPr>
        <w:drawing>
          <wp:inline distT="0" distB="0" distL="0" distR="0" wp14:anchorId="0F6CEE73" wp14:editId="6D50A51F">
            <wp:extent cx="3453130" cy="35287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2-11-09 201822.png"/>
                    <pic:cNvPicPr/>
                  </pic:nvPicPr>
                  <pic:blipFill>
                    <a:blip r:embed="rId15">
                      <a:extLst>
                        <a:ext uri="{28A0092B-C50C-407E-A947-70E740481C1C}">
                          <a14:useLocalDpi xmlns:a14="http://schemas.microsoft.com/office/drawing/2010/main" val="0"/>
                        </a:ext>
                      </a:extLst>
                    </a:blip>
                    <a:stretch>
                      <a:fillRect/>
                    </a:stretch>
                  </pic:blipFill>
                  <pic:spPr>
                    <a:xfrm>
                      <a:off x="0" y="0"/>
                      <a:ext cx="3535003" cy="3612410"/>
                    </a:xfrm>
                    <a:prstGeom prst="rect">
                      <a:avLst/>
                    </a:prstGeom>
                  </pic:spPr>
                </pic:pic>
              </a:graphicData>
            </a:graphic>
          </wp:inline>
        </w:drawing>
      </w:r>
      <w:r w:rsidRPr="007D59C2">
        <w:rPr>
          <w:rFonts w:ascii="Times New Roman" w:eastAsia="Times New Roman" w:hAnsi="Times New Roman" w:cs="Times New Roman"/>
          <w:b/>
          <w:noProof/>
          <w:sz w:val="24"/>
          <w:szCs w:val="24"/>
          <w:lang w:val="en-IE" w:eastAsia="en-IE"/>
        </w:rPr>
        <w:tab/>
      </w:r>
    </w:p>
    <w:p w14:paraId="56BF8BCC" w14:textId="77777777" w:rsidR="007D59C2" w:rsidRPr="007D59C2" w:rsidRDefault="007D59C2" w:rsidP="007D59C2">
      <w:pPr>
        <w:keepNext/>
        <w:keepLines/>
        <w:spacing w:before="120" w:line="240" w:lineRule="auto"/>
        <w:outlineLvl w:val="0"/>
        <w:rPr>
          <w:rFonts w:asciiTheme="majorHAnsi" w:eastAsiaTheme="majorEastAsia" w:hAnsiTheme="majorHAnsi" w:cstheme="majorBidi"/>
          <w:b/>
          <w:noProof/>
          <w:color w:val="002060"/>
          <w:sz w:val="28"/>
          <w:szCs w:val="30"/>
        </w:rPr>
      </w:pPr>
      <w:bookmarkStart w:id="30" w:name="_Toc120631051"/>
      <w:r w:rsidRPr="007D59C2">
        <w:rPr>
          <w:rFonts w:asciiTheme="majorHAnsi" w:eastAsiaTheme="majorEastAsia" w:hAnsiTheme="majorHAnsi" w:cstheme="majorBidi"/>
          <w:b/>
          <w:noProof/>
          <w:color w:val="002060"/>
          <w:sz w:val="28"/>
          <w:szCs w:val="30"/>
        </w:rPr>
        <w:t>PROGRESS MADE IN THE EU IN RELATION TO THE EARLY LESSONS FROM THE COVID-19 PANDEMIC</w:t>
      </w:r>
      <w:bookmarkEnd w:id="30"/>
      <w:r w:rsidRPr="007D59C2">
        <w:rPr>
          <w:rFonts w:asciiTheme="majorHAnsi" w:eastAsiaTheme="majorEastAsia" w:hAnsiTheme="majorHAnsi" w:cstheme="majorBidi"/>
          <w:b/>
          <w:noProof/>
          <w:color w:val="002060"/>
          <w:sz w:val="28"/>
          <w:szCs w:val="30"/>
        </w:rPr>
        <w:t xml:space="preserve"> </w:t>
      </w:r>
    </w:p>
    <w:p w14:paraId="0D62F105" w14:textId="72381112" w:rsidR="007D59C2" w:rsidRPr="007D59C2" w:rsidRDefault="007D59C2" w:rsidP="007D59C2">
      <w:pPr>
        <w:spacing w:line="257" w:lineRule="auto"/>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b/>
          <w:noProof/>
          <w:sz w:val="24"/>
          <w:szCs w:val="24"/>
          <w:lang w:val="en-GB"/>
        </w:rPr>
        <w:t>Over the past twenty years, the EU has been repeatedly confronted with health emergencies of varying magnitudes. These have led to the gradual reinforcement of health security capabilities at the national and European level.</w:t>
      </w:r>
      <w:r w:rsidRPr="007D59C2">
        <w:rPr>
          <w:rFonts w:ascii="Times New Roman" w:eastAsia="Times New Roman" w:hAnsi="Times New Roman" w:cs="Times New Roman"/>
          <w:noProof/>
          <w:sz w:val="24"/>
          <w:szCs w:val="24"/>
          <w:lang w:val="en-GB"/>
        </w:rPr>
        <w:t xml:space="preserve"> The European Centre for Disease Prevention and Control (ECDC) was created after the SARS outbreak in 2003 and a Joint Procurement Mechanism for medical countermeasures was created following the H1N1 influenza outbreak in 2009. The EU ramped up investment in vaccine and vaccination research and innovation, which, among other things, contributed to the development of an Ebola vaccine</w:t>
      </w:r>
      <w:r w:rsidRPr="007D59C2">
        <w:rPr>
          <w:rFonts w:ascii="Times New Roman" w:eastAsia="Times New Roman" w:hAnsi="Times New Roman" w:cs="Times New Roman"/>
          <w:noProof/>
          <w:sz w:val="24"/>
          <w:szCs w:val="24"/>
          <w:vertAlign w:val="superscript"/>
          <w:lang w:val="en-GB"/>
        </w:rPr>
        <w:footnoteReference w:id="13"/>
      </w:r>
      <w:r w:rsidRPr="007D59C2">
        <w:rPr>
          <w:rFonts w:ascii="Times New Roman" w:eastAsia="Times New Roman" w:hAnsi="Times New Roman" w:cs="Times New Roman"/>
          <w:noProof/>
          <w:sz w:val="24"/>
          <w:szCs w:val="24"/>
          <w:lang w:val="en-GB"/>
        </w:rPr>
        <w:t>. Member States had developed pandemic preparedness plans and made investments in preparedness research and innovation. Yet, the pandemic showed that these steps, even combined, were not enough and stre</w:t>
      </w:r>
      <w:r w:rsidR="00E81FB4">
        <w:rPr>
          <w:rFonts w:ascii="Times New Roman" w:eastAsia="Times New Roman" w:hAnsi="Times New Roman" w:cs="Times New Roman"/>
          <w:noProof/>
          <w:sz w:val="24"/>
          <w:szCs w:val="24"/>
          <w:lang w:val="en-GB"/>
        </w:rPr>
        <w:t xml:space="preserve">ssed the need to significantly </w:t>
      </w:r>
      <w:r w:rsidRPr="007D59C2">
        <w:rPr>
          <w:rFonts w:ascii="Times New Roman" w:eastAsia="Times New Roman" w:hAnsi="Times New Roman" w:cs="Times New Roman"/>
          <w:noProof/>
          <w:sz w:val="24"/>
          <w:szCs w:val="24"/>
          <w:lang w:val="en-GB"/>
        </w:rPr>
        <w:t xml:space="preserve">improve coordination and develop a strategic approach to pandemic preparedness at the EU level. </w:t>
      </w:r>
    </w:p>
    <w:p w14:paraId="27C5137A" w14:textId="77777777" w:rsidR="007D59C2" w:rsidRPr="007D59C2" w:rsidRDefault="007D59C2" w:rsidP="007D59C2">
      <w:pPr>
        <w:spacing w:line="257" w:lineRule="auto"/>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noProof/>
          <w:sz w:val="24"/>
          <w:szCs w:val="24"/>
          <w:lang w:val="en-GB"/>
        </w:rPr>
        <w:t>In its Communication Drawing the early lessons from the COVID-19 pandemic</w:t>
      </w:r>
      <w:r w:rsidRPr="007D59C2">
        <w:rPr>
          <w:rFonts w:ascii="Times New Roman" w:eastAsia="Times New Roman" w:hAnsi="Times New Roman" w:cs="Times New Roman"/>
          <w:noProof/>
          <w:sz w:val="24"/>
          <w:szCs w:val="24"/>
          <w:vertAlign w:val="superscript"/>
          <w:lang w:val="en-GB"/>
        </w:rPr>
        <w:footnoteReference w:id="14"/>
      </w:r>
      <w:r w:rsidRPr="007D59C2">
        <w:rPr>
          <w:rFonts w:ascii="Times New Roman" w:eastAsia="Times New Roman" w:hAnsi="Times New Roman" w:cs="Times New Roman"/>
          <w:noProof/>
          <w:sz w:val="24"/>
          <w:szCs w:val="24"/>
          <w:lang w:val="en-GB"/>
        </w:rPr>
        <w:t>, the Commission identified 10 lessons to turn emergency actions into structural changes and develop long term solutions to enhance our preparedness for future health emergencies (further details can be found in Annex 2). 18 months later, considerable progress has been achieved to reach the objectives laid out in the Communication:</w:t>
      </w:r>
    </w:p>
    <w:p w14:paraId="4E88EDCF" w14:textId="77777777" w:rsidR="007D59C2" w:rsidRPr="007D59C2" w:rsidRDefault="007D59C2" w:rsidP="007D59C2">
      <w:pPr>
        <w:numPr>
          <w:ilvl w:val="0"/>
          <w:numId w:val="12"/>
        </w:numPr>
        <w:spacing w:line="257" w:lineRule="auto"/>
        <w:ind w:left="426" w:hanging="357"/>
        <w:jc w:val="both"/>
        <w:rPr>
          <w:rFonts w:ascii="Times New Roman" w:eastAsia="Times New Roman" w:hAnsi="Times New Roman" w:cs="Times New Roman"/>
          <w:noProof/>
          <w:sz w:val="24"/>
          <w:szCs w:val="24"/>
        </w:rPr>
      </w:pPr>
      <w:r w:rsidRPr="007D59C2">
        <w:rPr>
          <w:rFonts w:ascii="Times New Roman" w:eastAsia="Times New Roman" w:hAnsi="Times New Roman" w:cs="Times New Roman"/>
          <w:b/>
          <w:noProof/>
          <w:color w:val="002060"/>
          <w:sz w:val="24"/>
          <w:szCs w:val="24"/>
        </w:rPr>
        <w:t>Faster detection and response depend on stronger global surveillance and more comparable and complete data:</w:t>
      </w:r>
      <w:r w:rsidRPr="007D59C2">
        <w:rPr>
          <w:rFonts w:ascii="Times New Roman" w:eastAsia="Times New Roman" w:hAnsi="Times New Roman" w:cs="Times New Roman"/>
          <w:noProof/>
          <w:color w:val="002060"/>
          <w:sz w:val="24"/>
          <w:szCs w:val="24"/>
        </w:rPr>
        <w:t xml:space="preserve"> </w:t>
      </w:r>
      <w:r w:rsidRPr="007D59C2">
        <w:rPr>
          <w:rFonts w:ascii="Times New Roman" w:eastAsia="Times New Roman" w:hAnsi="Times New Roman" w:cs="Times New Roman"/>
          <w:noProof/>
          <w:sz w:val="24"/>
          <w:szCs w:val="24"/>
        </w:rPr>
        <w:t>The ECDC’s EpiPulse portal has improved surveillance within the EU, and ECDC grants are strengthening Member States’ ability to carry out genome sequencing and testing. The Commission and the ECDC are working with international partners – notably the WHO and Africa CDC to improve global threat detection and analysis.</w:t>
      </w:r>
    </w:p>
    <w:p w14:paraId="76180AC4" w14:textId="77777777" w:rsidR="007D59C2" w:rsidRPr="007D59C2" w:rsidRDefault="007D59C2" w:rsidP="007D59C2">
      <w:pPr>
        <w:numPr>
          <w:ilvl w:val="0"/>
          <w:numId w:val="12"/>
        </w:numPr>
        <w:spacing w:line="257" w:lineRule="auto"/>
        <w:ind w:left="426" w:hanging="357"/>
        <w:jc w:val="both"/>
        <w:rPr>
          <w:rFonts w:ascii="Times New Roman" w:eastAsia="Times New Roman" w:hAnsi="Times New Roman" w:cs="Times New Roman"/>
          <w:noProof/>
          <w:sz w:val="24"/>
          <w:szCs w:val="24"/>
        </w:rPr>
      </w:pPr>
      <w:r w:rsidRPr="007D59C2">
        <w:rPr>
          <w:rFonts w:ascii="Times New Roman" w:eastAsia="Times New Roman" w:hAnsi="Times New Roman" w:cs="Times New Roman"/>
          <w:b/>
          <w:noProof/>
          <w:color w:val="002060"/>
          <w:sz w:val="24"/>
          <w:szCs w:val="24"/>
        </w:rPr>
        <w:t>Clear and coordinated scientific advice facilitates policy decisions and public communication:</w:t>
      </w:r>
      <w:r w:rsidRPr="007D59C2">
        <w:rPr>
          <w:rFonts w:ascii="Times New Roman" w:eastAsia="Times New Roman" w:hAnsi="Times New Roman" w:cs="Times New Roman"/>
          <w:i/>
          <w:noProof/>
          <w:color w:val="002060"/>
          <w:sz w:val="24"/>
          <w:szCs w:val="24"/>
        </w:rPr>
        <w:t xml:space="preserve"> </w:t>
      </w:r>
      <w:r w:rsidRPr="007D59C2">
        <w:rPr>
          <w:rFonts w:ascii="Times New Roman" w:eastAsia="Times New Roman" w:hAnsi="Times New Roman" w:cs="Times New Roman"/>
          <w:noProof/>
          <w:sz w:val="24"/>
          <w:szCs w:val="24"/>
        </w:rPr>
        <w:t>The EU continues to improve the interaction between science, policy-making, and the development of medical countermeasures. In addition to its ongoing Rapid Risk Assessments, the ECDC has launched the European COVID-19 Scenario Hub to increase the quality of the modelling and forecasting available to EU policymakers. The European Medicines Agency (EMA) continues to work intensively with developers: as of 19 October 2022, it had provided detailed scientific advice on the development of 48 potential COVID-19 vaccines and 111 potential COVID-19 therapeutics.</w:t>
      </w:r>
    </w:p>
    <w:p w14:paraId="136208FA" w14:textId="77777777" w:rsidR="007D59C2" w:rsidRPr="007D59C2" w:rsidRDefault="007D59C2" w:rsidP="007D59C2">
      <w:pPr>
        <w:numPr>
          <w:ilvl w:val="0"/>
          <w:numId w:val="12"/>
        </w:numPr>
        <w:spacing w:line="257" w:lineRule="auto"/>
        <w:ind w:left="426" w:hanging="357"/>
        <w:jc w:val="both"/>
        <w:rPr>
          <w:rFonts w:ascii="Times New Roman" w:eastAsia="Times New Roman" w:hAnsi="Times New Roman" w:cs="Times New Roman"/>
          <w:noProof/>
          <w:sz w:val="24"/>
          <w:szCs w:val="24"/>
        </w:rPr>
      </w:pPr>
      <w:r w:rsidRPr="007D59C2">
        <w:rPr>
          <w:rFonts w:ascii="Times New Roman" w:eastAsia="Times New Roman" w:hAnsi="Times New Roman" w:cs="Times New Roman"/>
          <w:b/>
          <w:noProof/>
          <w:color w:val="002060"/>
          <w:sz w:val="24"/>
          <w:szCs w:val="24"/>
        </w:rPr>
        <w:t xml:space="preserve">Preparedness needs constant investment, scrutiny and review: </w:t>
      </w:r>
      <w:r w:rsidRPr="007D59C2">
        <w:rPr>
          <w:rFonts w:ascii="Times New Roman" w:eastAsia="Times New Roman" w:hAnsi="Times New Roman" w:cs="Times New Roman"/>
          <w:noProof/>
          <w:sz w:val="24"/>
          <w:szCs w:val="24"/>
        </w:rPr>
        <w:t>The Commission has secured nearly EUR 30 billion to enhance preparedness and health systems resilience</w:t>
      </w:r>
      <w:r w:rsidRPr="007D59C2">
        <w:rPr>
          <w:rFonts w:ascii="Times New Roman" w:eastAsia="Times New Roman" w:hAnsi="Times New Roman" w:cs="Times New Roman"/>
          <w:noProof/>
          <w:sz w:val="24"/>
          <w:szCs w:val="24"/>
          <w:vertAlign w:val="superscript"/>
        </w:rPr>
        <w:footnoteReference w:id="15"/>
      </w:r>
      <w:r w:rsidRPr="007D59C2">
        <w:rPr>
          <w:rFonts w:ascii="Times New Roman" w:eastAsia="Times New Roman" w:hAnsi="Times New Roman" w:cs="Times New Roman"/>
          <w:noProof/>
          <w:sz w:val="24"/>
          <w:szCs w:val="24"/>
        </w:rPr>
        <w:t>. The ECDC has worked with Member States to identify specific preparedness capacities and capabilities that were essential in the response to the pandemic and should thus be included in preparedness assessment tools.  Moreover, every three years, the ECDC will assess the implementation of Member States’ preparedness plans and present recommendations accordingly.</w:t>
      </w:r>
    </w:p>
    <w:p w14:paraId="32FF1764" w14:textId="77777777" w:rsidR="007D59C2" w:rsidRPr="007D59C2" w:rsidRDefault="007D59C2" w:rsidP="007D59C2">
      <w:pPr>
        <w:numPr>
          <w:ilvl w:val="0"/>
          <w:numId w:val="12"/>
        </w:numPr>
        <w:spacing w:line="257" w:lineRule="auto"/>
        <w:ind w:left="426" w:hanging="357"/>
        <w:jc w:val="both"/>
        <w:rPr>
          <w:rFonts w:ascii="Times New Roman" w:eastAsia="Times New Roman" w:hAnsi="Times New Roman" w:cs="Times New Roman"/>
          <w:noProof/>
          <w:sz w:val="24"/>
          <w:szCs w:val="24"/>
        </w:rPr>
      </w:pPr>
      <w:r w:rsidRPr="007D59C2">
        <w:rPr>
          <w:rFonts w:ascii="Times New Roman" w:eastAsia="Times New Roman" w:hAnsi="Times New Roman" w:cs="Times New Roman"/>
          <w:b/>
          <w:noProof/>
          <w:color w:val="002060"/>
          <w:sz w:val="24"/>
          <w:szCs w:val="24"/>
        </w:rPr>
        <w:t>Emergency tools need to be ready, faster and easier to activate:</w:t>
      </w:r>
      <w:r w:rsidRPr="007D59C2">
        <w:rPr>
          <w:rFonts w:ascii="Times New Roman" w:eastAsia="Times New Roman" w:hAnsi="Times New Roman" w:cs="Times New Roman"/>
          <w:noProof/>
          <w:color w:val="002060"/>
          <w:sz w:val="24"/>
          <w:szCs w:val="24"/>
        </w:rPr>
        <w:t xml:space="preserve"> </w:t>
      </w:r>
      <w:r w:rsidRPr="007D59C2">
        <w:rPr>
          <w:rFonts w:ascii="Times New Roman" w:eastAsia="Times New Roman" w:hAnsi="Times New Roman" w:cs="Times New Roman"/>
          <w:noProof/>
          <w:sz w:val="24"/>
          <w:szCs w:val="24"/>
        </w:rPr>
        <w:t>The Emergency Framework Regulation</w:t>
      </w:r>
      <w:r w:rsidRPr="007D59C2">
        <w:rPr>
          <w:rFonts w:ascii="Times New Roman" w:eastAsia="Times New Roman" w:hAnsi="Times New Roman" w:cs="Times New Roman"/>
          <w:noProof/>
          <w:sz w:val="24"/>
          <w:szCs w:val="24"/>
          <w:vertAlign w:val="superscript"/>
        </w:rPr>
        <w:footnoteReference w:id="16"/>
      </w:r>
      <w:r w:rsidRPr="007D59C2">
        <w:rPr>
          <w:rFonts w:ascii="Times New Roman" w:eastAsia="Times New Roman" w:hAnsi="Times New Roman" w:cs="Times New Roman"/>
          <w:noProof/>
          <w:sz w:val="24"/>
          <w:szCs w:val="24"/>
        </w:rPr>
        <w:t xml:space="preserve"> now gives the EU a legal framework to work with on day one of a future health emergency, enabling rapid activation of funding, research and innovation plans, the EU FAB facilities, and the governance structure for emergency response. The Commission has proposed adaptations to the EU’s financial rules for crisis situations to allow for swifter mobilization of necessary resources.</w:t>
      </w:r>
      <w:r w:rsidRPr="007D59C2">
        <w:rPr>
          <w:rFonts w:ascii="Times New Roman" w:eastAsia="Times New Roman" w:hAnsi="Times New Roman" w:cs="Times New Roman"/>
          <w:noProof/>
          <w:sz w:val="24"/>
          <w:szCs w:val="24"/>
          <w:vertAlign w:val="superscript"/>
        </w:rPr>
        <w:footnoteReference w:id="17"/>
      </w:r>
      <w:r w:rsidRPr="007D59C2">
        <w:rPr>
          <w:rFonts w:ascii="Times New Roman" w:eastAsia="Times New Roman" w:hAnsi="Times New Roman" w:cs="Times New Roman"/>
          <w:noProof/>
          <w:sz w:val="24"/>
          <w:szCs w:val="24"/>
        </w:rPr>
        <w:t xml:space="preserve">  </w:t>
      </w:r>
    </w:p>
    <w:p w14:paraId="7F31367C" w14:textId="3D4CAF56" w:rsidR="007D59C2" w:rsidRPr="007D59C2" w:rsidRDefault="007D59C2" w:rsidP="007D59C2">
      <w:pPr>
        <w:numPr>
          <w:ilvl w:val="0"/>
          <w:numId w:val="12"/>
        </w:numPr>
        <w:spacing w:line="257" w:lineRule="auto"/>
        <w:ind w:left="426" w:hanging="357"/>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b/>
          <w:noProof/>
          <w:color w:val="002060"/>
          <w:sz w:val="24"/>
          <w:szCs w:val="24"/>
        </w:rPr>
        <w:t>Coordinated measures</w:t>
      </w:r>
      <w:r w:rsidR="00E71103">
        <w:rPr>
          <w:rFonts w:ascii="Times New Roman" w:eastAsia="Times New Roman" w:hAnsi="Times New Roman" w:cs="Times New Roman"/>
          <w:b/>
          <w:noProof/>
          <w:color w:val="002060"/>
          <w:sz w:val="24"/>
          <w:szCs w:val="24"/>
        </w:rPr>
        <w:t xml:space="preserve"> </w:t>
      </w:r>
      <w:r w:rsidRPr="007D59C2">
        <w:rPr>
          <w:rFonts w:ascii="Times New Roman" w:eastAsia="Times New Roman" w:hAnsi="Times New Roman" w:cs="Times New Roman"/>
          <w:b/>
          <w:noProof/>
          <w:color w:val="002060"/>
          <w:sz w:val="24"/>
          <w:szCs w:val="24"/>
        </w:rPr>
        <w:t>should become a reflex for Europe:</w:t>
      </w:r>
      <w:r w:rsidRPr="007D59C2">
        <w:rPr>
          <w:rFonts w:ascii="Times New Roman" w:eastAsia="Times New Roman" w:hAnsi="Times New Roman" w:cs="Times New Roman"/>
          <w:noProof/>
          <w:color w:val="002060"/>
          <w:sz w:val="24"/>
          <w:szCs w:val="24"/>
        </w:rPr>
        <w:t xml:space="preserve"> </w:t>
      </w:r>
      <w:r w:rsidRPr="007D59C2">
        <w:rPr>
          <w:rFonts w:ascii="Times New Roman" w:eastAsia="Times New Roman" w:hAnsi="Times New Roman" w:cs="Times New Roman"/>
          <w:noProof/>
          <w:sz w:val="24"/>
          <w:szCs w:val="24"/>
        </w:rPr>
        <w:t>The EU health security framework has been strengthened with a new Regulation on serious-cross-border threats to health adopted in October 2022. The regulation calls for the creation of a Union Prevention, Preparedness and Response plan, complementary to Member States’ plans which will</w:t>
      </w:r>
      <w:r w:rsidRPr="007D59C2">
        <w:rPr>
          <w:rFonts w:ascii="Times New Roman" w:eastAsiaTheme="minorEastAsia" w:hAnsi="Times New Roman" w:cs="Times New Roman"/>
          <w:noProof/>
          <w:w w:val="0"/>
          <w:sz w:val="24"/>
          <w:szCs w:val="24"/>
        </w:rPr>
        <w:t xml:space="preserve"> promote an effective and coordinated response to serious cross-border threats to health</w:t>
      </w:r>
      <w:r w:rsidRPr="007D59C2">
        <w:rPr>
          <w:rFonts w:ascii="Times New Roman" w:eastAsia="Times New Roman" w:hAnsi="Times New Roman" w:cs="Times New Roman"/>
          <w:noProof/>
          <w:sz w:val="24"/>
          <w:szCs w:val="24"/>
        </w:rPr>
        <w:t>. The</w:t>
      </w:r>
      <w:r w:rsidRPr="007D59C2">
        <w:rPr>
          <w:rFonts w:ascii="Times New Roman" w:eastAsiaTheme="minorEastAsia" w:hAnsi="Times New Roman" w:cs="Times New Roman"/>
          <w:noProof/>
          <w:sz w:val="24"/>
          <w:szCs w:val="24"/>
          <w:lang w:eastAsia="en-GB"/>
        </w:rPr>
        <w:t xml:space="preserve"> Emergency Framework Regulation will </w:t>
      </w:r>
      <w:r w:rsidRPr="007D59C2">
        <w:rPr>
          <w:rFonts w:ascii="Times New Roman" w:eastAsiaTheme="minorEastAsia" w:hAnsi="Times New Roman" w:cs="Times New Roman"/>
          <w:bCs/>
          <w:noProof/>
          <w:sz w:val="24"/>
          <w:szCs w:val="24"/>
          <w:lang w:eastAsia="en-GB"/>
        </w:rPr>
        <w:t>allow the establishment of a Health Crisis Board</w:t>
      </w:r>
      <w:r w:rsidRPr="007D59C2">
        <w:rPr>
          <w:rFonts w:ascii="Times New Roman" w:eastAsiaTheme="minorEastAsia" w:hAnsi="Times New Roman" w:cs="Times New Roman"/>
          <w:noProof/>
          <w:sz w:val="24"/>
          <w:szCs w:val="24"/>
          <w:lang w:eastAsia="en-GB"/>
        </w:rPr>
        <w:t>. This Board will rapidly coordinate at EU level the supply of and access to crisis-relevant medical countermeasures.</w:t>
      </w:r>
      <w:r w:rsidRPr="007D59C2">
        <w:rPr>
          <w:rFonts w:ascii="Verdana" w:eastAsiaTheme="minorEastAsia" w:hAnsi="Verdana"/>
          <w:noProof/>
          <w:sz w:val="20"/>
          <w:lang w:eastAsia="en-GB"/>
        </w:rPr>
        <w:t xml:space="preserve"> </w:t>
      </w:r>
      <w:r w:rsidRPr="007D59C2">
        <w:rPr>
          <w:rFonts w:ascii="Times New Roman" w:eastAsia="Times New Roman" w:hAnsi="Times New Roman" w:cs="Times New Roman"/>
          <w:noProof/>
          <w:sz w:val="24"/>
          <w:szCs w:val="24"/>
        </w:rPr>
        <w:t xml:space="preserve">The EMA’s strengthened mandate will allow it to monitor and mitigate shortages of critical medicines in a public health emergency. The ECDC’s extended mandate gives the agency a stronger role in supporting Member States in preparedness, response, prevention and control when it comes to </w:t>
      </w:r>
      <w:r w:rsidRPr="007D59C2">
        <w:rPr>
          <w:rFonts w:ascii="Times New Roman" w:eastAsia="Times New Roman" w:hAnsi="Times New Roman" w:cs="Times New Roman"/>
          <w:noProof/>
          <w:sz w:val="24"/>
          <w:szCs w:val="24"/>
          <w:lang w:val="en-GB"/>
        </w:rPr>
        <w:t>infectious disease threats.</w:t>
      </w:r>
      <w:r w:rsidR="00B372B0">
        <w:rPr>
          <w:rFonts w:ascii="Times New Roman" w:eastAsia="Times New Roman" w:hAnsi="Times New Roman" w:cs="Times New Roman"/>
          <w:noProof/>
          <w:sz w:val="24"/>
          <w:szCs w:val="24"/>
          <w:lang w:val="en-GB"/>
        </w:rPr>
        <w:t xml:space="preserve"> </w:t>
      </w:r>
      <w:r w:rsidR="00865B2F">
        <w:rPr>
          <w:rFonts w:ascii="Times New Roman" w:eastAsia="Times New Roman" w:hAnsi="Times New Roman" w:cs="Times New Roman"/>
          <w:noProof/>
          <w:sz w:val="24"/>
          <w:szCs w:val="24"/>
          <w:lang w:val="en-GB"/>
        </w:rPr>
        <w:t xml:space="preserve">In all this work a </w:t>
      </w:r>
      <w:r w:rsidR="000157D6">
        <w:rPr>
          <w:rFonts w:ascii="Times New Roman" w:eastAsia="Times New Roman" w:hAnsi="Times New Roman" w:cs="Times New Roman"/>
          <w:noProof/>
          <w:sz w:val="24"/>
          <w:szCs w:val="24"/>
          <w:lang w:val="en-GB"/>
        </w:rPr>
        <w:t>horizontal</w:t>
      </w:r>
      <w:r w:rsidR="00865B2F">
        <w:rPr>
          <w:rFonts w:ascii="Times New Roman" w:eastAsia="Times New Roman" w:hAnsi="Times New Roman" w:cs="Times New Roman"/>
          <w:noProof/>
          <w:sz w:val="24"/>
          <w:szCs w:val="24"/>
          <w:lang w:val="en-GB"/>
        </w:rPr>
        <w:t xml:space="preserve"> cooperation among key stakeholders and sectors will be ensured.</w:t>
      </w:r>
    </w:p>
    <w:p w14:paraId="1E04271D" w14:textId="77777777" w:rsidR="007D59C2" w:rsidRPr="007D59C2" w:rsidRDefault="007D59C2" w:rsidP="007D59C2">
      <w:pPr>
        <w:numPr>
          <w:ilvl w:val="0"/>
          <w:numId w:val="12"/>
        </w:numPr>
        <w:spacing w:line="257" w:lineRule="auto"/>
        <w:ind w:left="426" w:hanging="357"/>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b/>
          <w:noProof/>
          <w:color w:val="002060"/>
          <w:sz w:val="24"/>
          <w:szCs w:val="24"/>
          <w:lang w:val="en-GB"/>
        </w:rPr>
        <w:t>Reinforced public-private partnership and stronger supply chains are needed for critical equipment and medicines:</w:t>
      </w:r>
      <w:r w:rsidRPr="007D59C2">
        <w:rPr>
          <w:rFonts w:ascii="Times New Roman" w:eastAsia="Times New Roman" w:hAnsi="Times New Roman" w:cs="Times New Roman"/>
          <w:noProof/>
          <w:color w:val="002060"/>
          <w:sz w:val="24"/>
          <w:szCs w:val="24"/>
          <w:lang w:val="en-GB"/>
        </w:rPr>
        <w:t xml:space="preserve"> </w:t>
      </w:r>
      <w:r w:rsidRPr="007D59C2">
        <w:rPr>
          <w:rFonts w:ascii="Times New Roman" w:eastAsia="Times New Roman" w:hAnsi="Times New Roman" w:cs="Times New Roman"/>
          <w:noProof/>
          <w:sz w:val="24"/>
          <w:szCs w:val="24"/>
          <w:lang w:val="en-GB"/>
        </w:rPr>
        <w:t>In 2021 the Commission brought together actors in the pharmaceutical manufacturing value chain, public authorities, patient and health non-governmental organisations and the research community in a Structured Dialogue on the security of the supply chains of medicines. The Commission is building on this work to strengthen the continuity and security of supply in the EU, in particular for those medicines considered to be most critical to health systems.</w:t>
      </w:r>
    </w:p>
    <w:p w14:paraId="205D44F3" w14:textId="41EF5D92" w:rsidR="007D59C2" w:rsidRPr="007D59C2" w:rsidRDefault="007D59C2" w:rsidP="007D59C2">
      <w:pPr>
        <w:numPr>
          <w:ilvl w:val="0"/>
          <w:numId w:val="12"/>
        </w:numPr>
        <w:spacing w:line="257" w:lineRule="auto"/>
        <w:ind w:left="426" w:hanging="357"/>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b/>
          <w:noProof/>
          <w:color w:val="002060"/>
          <w:sz w:val="24"/>
          <w:szCs w:val="24"/>
          <w:lang w:val="en-GB"/>
        </w:rPr>
        <w:t>A pan-European approach is essential to make clinical research faster, broader and more effective</w:t>
      </w:r>
      <w:r w:rsidRPr="007D59C2">
        <w:rPr>
          <w:rFonts w:ascii="Times New Roman" w:eastAsia="Times New Roman" w:hAnsi="Times New Roman" w:cs="Times New Roman"/>
          <w:i/>
          <w:noProof/>
          <w:sz w:val="24"/>
          <w:szCs w:val="24"/>
          <w:lang w:val="en-GB"/>
        </w:rPr>
        <w:t xml:space="preserve">: </w:t>
      </w:r>
      <w:r w:rsidR="000157D6">
        <w:rPr>
          <w:rFonts w:ascii="Times New Roman" w:eastAsia="Times New Roman" w:hAnsi="Times New Roman" w:cs="Times New Roman"/>
          <w:noProof/>
          <w:sz w:val="24"/>
          <w:szCs w:val="24"/>
          <w:lang w:val="en-GB"/>
        </w:rPr>
        <w:t>T</w:t>
      </w:r>
      <w:r w:rsidRPr="007D59C2">
        <w:rPr>
          <w:rFonts w:ascii="Times New Roman" w:eastAsia="Times New Roman" w:hAnsi="Times New Roman" w:cs="Times New Roman"/>
          <w:noProof/>
          <w:sz w:val="24"/>
          <w:szCs w:val="24"/>
          <w:lang w:val="en-GB"/>
        </w:rPr>
        <w:t>he Commission has sustained its support for EU-wide clinical trial networks</w:t>
      </w:r>
      <w:r w:rsidR="00BA3E8F" w:rsidRPr="00BA3E8F">
        <w:rPr>
          <w:rFonts w:ascii="Times New Roman" w:eastAsia="Times New Roman" w:hAnsi="Times New Roman" w:cs="Times New Roman"/>
          <w:noProof/>
          <w:sz w:val="24"/>
          <w:szCs w:val="24"/>
          <w:lang w:val="en-GB"/>
        </w:rPr>
        <w:t xml:space="preserve"> </w:t>
      </w:r>
      <w:r w:rsidR="00BA3E8F" w:rsidRPr="007D59C2">
        <w:rPr>
          <w:rFonts w:ascii="Times New Roman" w:eastAsia="Times New Roman" w:hAnsi="Times New Roman" w:cs="Times New Roman"/>
          <w:noProof/>
          <w:sz w:val="24"/>
          <w:szCs w:val="24"/>
          <w:lang w:val="en-GB"/>
        </w:rPr>
        <w:t>for new medicines and medical countermeasures</w:t>
      </w:r>
      <w:r w:rsidR="00BA3E8F">
        <w:rPr>
          <w:rFonts w:ascii="Times New Roman" w:eastAsia="Times New Roman" w:hAnsi="Times New Roman" w:cs="Times New Roman"/>
          <w:noProof/>
          <w:sz w:val="24"/>
          <w:szCs w:val="24"/>
          <w:lang w:val="en-GB"/>
        </w:rPr>
        <w:t xml:space="preserve"> </w:t>
      </w:r>
      <w:r w:rsidRPr="007D59C2">
        <w:rPr>
          <w:rFonts w:ascii="Times New Roman" w:eastAsia="Times New Roman" w:hAnsi="Times New Roman" w:cs="Times New Roman"/>
          <w:noProof/>
          <w:sz w:val="24"/>
          <w:szCs w:val="24"/>
          <w:lang w:val="en-GB"/>
        </w:rPr>
        <w:t>VACCELERATE</w:t>
      </w:r>
      <w:r w:rsidRPr="007D59C2">
        <w:rPr>
          <w:rFonts w:ascii="Times New Roman" w:eastAsiaTheme="minorEastAsia" w:hAnsi="Times New Roman"/>
          <w:noProof/>
          <w:lang w:val="en-GB"/>
        </w:rPr>
        <w:t xml:space="preserve"> </w:t>
      </w:r>
      <w:r w:rsidRPr="007D59C2">
        <w:rPr>
          <w:rFonts w:ascii="Times New Roman" w:eastAsia="Times New Roman" w:hAnsi="Times New Roman" w:cs="Times New Roman"/>
          <w:noProof/>
          <w:sz w:val="24"/>
          <w:szCs w:val="24"/>
          <w:lang w:val="en-GB"/>
        </w:rPr>
        <w:t>for vaccines and EU-RESPONSE</w:t>
      </w:r>
      <w:r w:rsidRPr="007D59C2">
        <w:rPr>
          <w:rFonts w:ascii="Times New Roman" w:eastAsiaTheme="minorEastAsia" w:hAnsi="Times New Roman"/>
          <w:noProof/>
          <w:vertAlign w:val="superscript"/>
          <w:lang w:val="en-GB"/>
        </w:rPr>
        <w:footnoteReference w:id="18"/>
      </w:r>
      <w:r w:rsidRPr="007D59C2">
        <w:rPr>
          <w:rFonts w:ascii="Times New Roman" w:eastAsia="Times New Roman" w:hAnsi="Times New Roman" w:cs="Times New Roman"/>
          <w:noProof/>
          <w:sz w:val="24"/>
          <w:szCs w:val="24"/>
          <w:lang w:val="en-GB"/>
        </w:rPr>
        <w:t xml:space="preserve"> for therapeutics. The new Clinical Trials Regulation</w:t>
      </w:r>
      <w:r w:rsidRPr="007D59C2">
        <w:rPr>
          <w:rFonts w:ascii="Times New Roman" w:eastAsia="Times New Roman" w:hAnsi="Times New Roman" w:cs="Times New Roman"/>
          <w:noProof/>
          <w:sz w:val="24"/>
          <w:szCs w:val="24"/>
          <w:vertAlign w:val="superscript"/>
          <w:lang w:val="en-GB"/>
        </w:rPr>
        <w:footnoteReference w:id="19"/>
      </w:r>
      <w:r w:rsidRPr="007D59C2">
        <w:rPr>
          <w:rFonts w:ascii="Times New Roman" w:eastAsia="Times New Roman" w:hAnsi="Times New Roman" w:cs="Times New Roman"/>
          <w:noProof/>
          <w:sz w:val="24"/>
          <w:szCs w:val="24"/>
          <w:lang w:val="en-GB"/>
        </w:rPr>
        <w:t xml:space="preserve"> harmonises the assessment and supervision of clinical trials throughout the EU, notably via the establishment of a Clinical Trials Information System (CTIS).</w:t>
      </w:r>
    </w:p>
    <w:p w14:paraId="352AE7B5" w14:textId="77777777" w:rsidR="007D59C2" w:rsidRPr="007D59C2" w:rsidRDefault="007D59C2" w:rsidP="007D59C2">
      <w:pPr>
        <w:numPr>
          <w:ilvl w:val="0"/>
          <w:numId w:val="12"/>
        </w:numPr>
        <w:spacing w:line="257" w:lineRule="auto"/>
        <w:ind w:left="426" w:hanging="357"/>
        <w:jc w:val="both"/>
        <w:rPr>
          <w:rFonts w:ascii="Times New Roman" w:eastAsia="Times New Roman" w:hAnsi="Times New Roman" w:cs="Times New Roman"/>
          <w:noProof/>
          <w:sz w:val="24"/>
          <w:szCs w:val="24"/>
        </w:rPr>
      </w:pPr>
      <w:r w:rsidRPr="007D59C2">
        <w:rPr>
          <w:rFonts w:ascii="Times New Roman" w:eastAsia="Times New Roman" w:hAnsi="Times New Roman" w:cs="Times New Roman"/>
          <w:b/>
          <w:noProof/>
          <w:color w:val="002060"/>
          <w:sz w:val="24"/>
          <w:szCs w:val="24"/>
          <w:lang w:val="en-GB"/>
        </w:rPr>
        <w:t>Capacity to cope in pandemic depends on continuous and increased investment in health systems:</w:t>
      </w:r>
      <w:r w:rsidRPr="007D59C2">
        <w:rPr>
          <w:rFonts w:ascii="Times New Roman" w:eastAsia="Times New Roman" w:hAnsi="Times New Roman" w:cs="Times New Roman"/>
          <w:noProof/>
          <w:color w:val="002060"/>
          <w:sz w:val="24"/>
          <w:szCs w:val="24"/>
          <w:lang w:val="en-GB"/>
        </w:rPr>
        <w:t xml:space="preserve"> </w:t>
      </w:r>
      <w:r w:rsidRPr="007D59C2">
        <w:rPr>
          <w:rFonts w:ascii="Times New Roman" w:eastAsia="Times New Roman" w:hAnsi="Times New Roman" w:cs="Times New Roman"/>
          <w:noProof/>
          <w:sz w:val="24"/>
          <w:szCs w:val="24"/>
          <w:lang w:val="en-GB"/>
        </w:rPr>
        <w:t xml:space="preserve">The Commission is supporting Member States to strengthen the resilience of their health systems as part </w:t>
      </w:r>
      <w:r w:rsidRPr="007D59C2">
        <w:rPr>
          <w:rFonts w:ascii="Times New Roman" w:eastAsiaTheme="minorEastAsia" w:hAnsi="Times New Roman" w:cs="Times New Roman"/>
          <w:noProof/>
          <w:sz w:val="24"/>
          <w:szCs w:val="24"/>
          <w:lang w:val="en-GB"/>
        </w:rPr>
        <w:t>of their Recovery and Resilience Plans, with more than EUR 40 billion earmarked for national health systems under current plans</w:t>
      </w:r>
      <w:r w:rsidRPr="007D59C2">
        <w:rPr>
          <w:rFonts w:ascii="Times New Roman" w:eastAsia="Times New Roman" w:hAnsi="Times New Roman" w:cs="Times New Roman"/>
          <w:noProof/>
          <w:sz w:val="24"/>
          <w:szCs w:val="24"/>
          <w:vertAlign w:val="superscript"/>
          <w:lang w:val="en-GB"/>
        </w:rPr>
        <w:footnoteReference w:id="20"/>
      </w:r>
      <w:r w:rsidRPr="007D59C2">
        <w:rPr>
          <w:rFonts w:ascii="Times New Roman" w:eastAsiaTheme="minorEastAsia" w:hAnsi="Times New Roman" w:cs="Times New Roman"/>
          <w:noProof/>
          <w:sz w:val="24"/>
          <w:szCs w:val="24"/>
          <w:lang w:val="en-GB"/>
        </w:rPr>
        <w:t>. Specific support is also being provided under programmes</w:t>
      </w:r>
      <w:r w:rsidRPr="007D59C2">
        <w:rPr>
          <w:rFonts w:ascii="Times New Roman" w:eastAsiaTheme="minorEastAsia" w:hAnsi="Times New Roman" w:cs="Times New Roman"/>
          <w:noProof/>
          <w:sz w:val="24"/>
          <w:szCs w:val="24"/>
        </w:rPr>
        <w:t xml:space="preserve"> such as EU4Health for training of the health workforce and </w:t>
      </w:r>
      <w:r w:rsidRPr="007D59C2">
        <w:rPr>
          <w:rFonts w:ascii="Times New Roman" w:eastAsia="Times New Roman" w:hAnsi="Times New Roman" w:cs="Times New Roman"/>
          <w:noProof/>
          <w:sz w:val="24"/>
        </w:rPr>
        <w:t xml:space="preserve">for supporting the </w:t>
      </w:r>
      <w:r w:rsidRPr="007D59C2">
        <w:rPr>
          <w:rFonts w:ascii="Times New Roman" w:eastAsiaTheme="minorEastAsia" w:hAnsi="Times New Roman" w:cs="Times New Roman"/>
          <w:noProof/>
          <w:sz w:val="24"/>
        </w:rPr>
        <w:t>design of resilience tests for Member States to regularly review health crisis preparedness and check their health system’s resilience.</w:t>
      </w:r>
    </w:p>
    <w:p w14:paraId="4A07E4E4" w14:textId="77777777" w:rsidR="007D59C2" w:rsidRPr="007D59C2" w:rsidRDefault="007D59C2" w:rsidP="007D59C2">
      <w:pPr>
        <w:numPr>
          <w:ilvl w:val="0"/>
          <w:numId w:val="12"/>
        </w:numPr>
        <w:spacing w:line="257" w:lineRule="auto"/>
        <w:ind w:left="426" w:hanging="357"/>
        <w:jc w:val="both"/>
        <w:rPr>
          <w:rFonts w:ascii="Times New Roman" w:eastAsia="Times New Roman" w:hAnsi="Times New Roman" w:cs="Times New Roman"/>
          <w:noProof/>
          <w:sz w:val="24"/>
          <w:szCs w:val="24"/>
        </w:rPr>
      </w:pPr>
      <w:r w:rsidRPr="007D59C2">
        <w:rPr>
          <w:rFonts w:ascii="Times New Roman" w:eastAsiaTheme="minorEastAsia" w:hAnsi="Times New Roman" w:cs="Times New Roman"/>
          <w:b/>
          <w:noProof/>
          <w:color w:val="002060"/>
          <w:sz w:val="24"/>
        </w:rPr>
        <w:t>Pandemic preparedness and response is a global priority for Europe:</w:t>
      </w:r>
      <w:r w:rsidRPr="007D59C2">
        <w:rPr>
          <w:rFonts w:ascii="Times New Roman" w:eastAsiaTheme="minorEastAsia" w:hAnsi="Times New Roman" w:cs="Times New Roman"/>
          <w:noProof/>
          <w:color w:val="002060"/>
          <w:sz w:val="24"/>
        </w:rPr>
        <w:t xml:space="preserve"> </w:t>
      </w:r>
      <w:r w:rsidRPr="007D59C2">
        <w:rPr>
          <w:rFonts w:ascii="Times New Roman" w:eastAsiaTheme="minorEastAsia" w:hAnsi="Times New Roman" w:cs="Times New Roman"/>
          <w:noProof/>
          <w:sz w:val="24"/>
        </w:rPr>
        <w:t>As of November 2022, the EU and its Member States had, through a Team Europe</w:t>
      </w:r>
      <w:r w:rsidRPr="007D59C2">
        <w:rPr>
          <w:rFonts w:ascii="Times New Roman" w:eastAsiaTheme="minorEastAsia" w:hAnsi="Times New Roman" w:cs="Times New Roman"/>
          <w:noProof/>
          <w:sz w:val="24"/>
          <w:vertAlign w:val="superscript"/>
        </w:rPr>
        <w:footnoteReference w:id="21"/>
      </w:r>
      <w:r w:rsidRPr="007D59C2">
        <w:rPr>
          <w:rFonts w:ascii="Times New Roman" w:eastAsiaTheme="minorEastAsia" w:hAnsi="Times New Roman" w:cs="Times New Roman"/>
          <w:noProof/>
          <w:sz w:val="24"/>
        </w:rPr>
        <w:t xml:space="preserve"> approach donated 500 million doses of COVID-19 vaccines to third countries, mainly via COVAX. The EU is now deeply involved in strengthening global preparedness capacities via specific initiatives to build capacities in third countries such as the EU Initiative on Health Security, or via overarching initiatives to reinforce global health security governance such as the ongoing negotiations for a new </w:t>
      </w:r>
      <w:r w:rsidRPr="007D59C2">
        <w:rPr>
          <w:rFonts w:ascii="Times New Roman" w:eastAsiaTheme="minorEastAsia" w:hAnsi="Times New Roman" w:cs="Times New Roman"/>
          <w:iCs/>
          <w:noProof/>
          <w:sz w:val="24"/>
        </w:rPr>
        <w:t>WHO convention, agreement or other international instrument on pandemic prevention, preparedness and response (“Pandemic Treaty”)</w:t>
      </w:r>
      <w:r w:rsidRPr="007D59C2">
        <w:rPr>
          <w:rFonts w:ascii="Times New Roman" w:eastAsiaTheme="minorEastAsia" w:hAnsi="Times New Roman" w:cs="Times New Roman"/>
          <w:noProof/>
          <w:sz w:val="24"/>
        </w:rPr>
        <w:t>. This is reflected in the new EU Global Health Strategy.</w:t>
      </w:r>
    </w:p>
    <w:p w14:paraId="2BE4EC60" w14:textId="16E57006" w:rsidR="007D59C2" w:rsidRPr="007D59C2" w:rsidRDefault="007D59C2" w:rsidP="007D59C2">
      <w:pPr>
        <w:numPr>
          <w:ilvl w:val="0"/>
          <w:numId w:val="12"/>
        </w:numPr>
        <w:spacing w:line="257" w:lineRule="auto"/>
        <w:ind w:left="426" w:hanging="357"/>
        <w:jc w:val="both"/>
        <w:rPr>
          <w:rFonts w:ascii="Times New Roman" w:eastAsia="Times New Roman" w:hAnsi="Times New Roman" w:cs="Times New Roman"/>
          <w:noProof/>
          <w:sz w:val="24"/>
          <w:szCs w:val="24"/>
        </w:rPr>
      </w:pPr>
      <w:r w:rsidRPr="007D59C2">
        <w:rPr>
          <w:rFonts w:ascii="Times New Roman" w:eastAsiaTheme="minorEastAsia" w:hAnsi="Times New Roman" w:cs="Times New Roman"/>
          <w:b/>
          <w:noProof/>
          <w:color w:val="002060"/>
          <w:sz w:val="24"/>
        </w:rPr>
        <w:t>A more coordinated and sophisticated approach to misinformation and disinformation should be developed:</w:t>
      </w:r>
      <w:r w:rsidRPr="007D59C2">
        <w:rPr>
          <w:rFonts w:ascii="Times New Roman" w:eastAsiaTheme="minorEastAsia" w:hAnsi="Times New Roman" w:cs="Times New Roman"/>
          <w:noProof/>
          <w:color w:val="002060"/>
          <w:sz w:val="24"/>
        </w:rPr>
        <w:t xml:space="preserve"> </w:t>
      </w:r>
      <w:r w:rsidRPr="007D59C2">
        <w:rPr>
          <w:rFonts w:ascii="Times New Roman" w:eastAsiaTheme="minorEastAsia" w:hAnsi="Times New Roman" w:cs="Times New Roman"/>
          <w:noProof/>
          <w:sz w:val="24"/>
        </w:rPr>
        <w:t xml:space="preserve">The European External Action Service (EEAS) and the Commission have developed the Foreign information manipulation and interference (FIMI) toolbox in 2022. And the EU works closely with Member States, (via the Rapid Alert System) with international partners (particularly G7 Rapid Response Mechanism and NATO), as well as with civil society and industry to address misinformation and disinformation. Altogether, these actions contribute to </w:t>
      </w:r>
      <w:r w:rsidRPr="007D59C2">
        <w:rPr>
          <w:rFonts w:ascii="Times New Roman" w:eastAsia="Times New Roman" w:hAnsi="Times New Roman" w:cs="Times New Roman"/>
          <w:noProof/>
          <w:sz w:val="24"/>
          <w:szCs w:val="24"/>
        </w:rPr>
        <w:t>improving communication, and tackling disinformation, community engagement and information exchanges with Member States</w:t>
      </w:r>
      <w:r w:rsidRPr="007D59C2">
        <w:rPr>
          <w:rFonts w:ascii="Times New Roman" w:eastAsia="Times New Roman" w:hAnsi="Times New Roman" w:cs="Times New Roman"/>
          <w:noProof/>
          <w:sz w:val="24"/>
          <w:szCs w:val="24"/>
          <w:vertAlign w:val="superscript"/>
        </w:rPr>
        <w:footnoteReference w:id="22"/>
      </w:r>
      <w:r w:rsidRPr="007D59C2">
        <w:rPr>
          <w:rFonts w:ascii="Times New Roman" w:eastAsia="Times New Roman" w:hAnsi="Times New Roman" w:cs="Times New Roman"/>
          <w:noProof/>
          <w:sz w:val="24"/>
          <w:szCs w:val="24"/>
        </w:rPr>
        <w:t>.</w:t>
      </w:r>
    </w:p>
    <w:p w14:paraId="084CE7C9" w14:textId="77777777" w:rsidR="007D59C2" w:rsidRPr="007D59C2" w:rsidRDefault="007D59C2" w:rsidP="007D59C2">
      <w:pPr>
        <w:keepNext/>
        <w:keepLines/>
        <w:spacing w:before="120" w:line="240" w:lineRule="auto"/>
        <w:outlineLvl w:val="0"/>
        <w:rPr>
          <w:rFonts w:asciiTheme="majorHAnsi" w:eastAsiaTheme="majorEastAsia" w:hAnsiTheme="majorHAnsi" w:cstheme="majorBidi"/>
          <w:b/>
          <w:noProof/>
          <w:color w:val="002060"/>
          <w:sz w:val="28"/>
          <w:szCs w:val="30"/>
        </w:rPr>
      </w:pPr>
      <w:bookmarkStart w:id="31" w:name="_Toc1415161892"/>
      <w:bookmarkStart w:id="32" w:name="_Toc354940737"/>
      <w:bookmarkStart w:id="33" w:name="_Toc2106272129"/>
      <w:bookmarkStart w:id="34" w:name="_Toc815685082"/>
      <w:bookmarkStart w:id="35" w:name="_Toc2068627976"/>
      <w:bookmarkStart w:id="36" w:name="_Toc607550968"/>
      <w:bookmarkStart w:id="37" w:name="_Toc991719305"/>
      <w:bookmarkStart w:id="38" w:name="_Toc1126263952"/>
      <w:bookmarkStart w:id="39" w:name="_Toc2106649608"/>
      <w:bookmarkStart w:id="40" w:name="_Toc1021584168"/>
      <w:bookmarkStart w:id="41" w:name="_Toc2131095997"/>
      <w:bookmarkStart w:id="42" w:name="_Toc1784555675"/>
      <w:bookmarkStart w:id="43" w:name="_Toc1051403222"/>
      <w:bookmarkStart w:id="44" w:name="_Toc1348775059"/>
      <w:bookmarkStart w:id="45" w:name="_Toc1693272369"/>
      <w:bookmarkStart w:id="46" w:name="_Toc792208900"/>
      <w:bookmarkStart w:id="47" w:name="_Toc414916846"/>
      <w:bookmarkStart w:id="48" w:name="_Toc1175287564"/>
      <w:bookmarkStart w:id="49" w:name="_Toc363989158"/>
      <w:bookmarkStart w:id="50" w:name="_Toc1014368049"/>
      <w:bookmarkStart w:id="51" w:name="_Toc1456918788"/>
      <w:bookmarkStart w:id="52" w:name="_Toc1406493511"/>
      <w:bookmarkStart w:id="53" w:name="_Toc370657692"/>
      <w:bookmarkStart w:id="54" w:name="_Toc1768636567"/>
      <w:bookmarkStart w:id="55" w:name="_Toc1082600630"/>
      <w:bookmarkStart w:id="56" w:name="_Toc1046067974"/>
      <w:bookmarkStart w:id="57" w:name="_Toc120631052"/>
      <w:r w:rsidRPr="007D59C2">
        <w:rPr>
          <w:rFonts w:asciiTheme="majorHAnsi" w:eastAsiaTheme="majorEastAsia" w:hAnsiTheme="majorHAnsi" w:cstheme="majorBidi"/>
          <w:b/>
          <w:noProof/>
          <w:color w:val="002060"/>
          <w:sz w:val="28"/>
          <w:szCs w:val="30"/>
        </w:rPr>
        <w:t>EU PREPAREDNESS FOR FUTURE HEALTH EMERGENCIES – STATE OF PLAY AND PLANNED ACTIONS ON MEDICAL COUNTERMEASURES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964B362" w14:textId="77777777" w:rsidR="007D59C2" w:rsidRPr="007D59C2" w:rsidRDefault="007D59C2" w:rsidP="007D59C2">
      <w:pPr>
        <w:spacing w:line="257" w:lineRule="auto"/>
        <w:jc w:val="both"/>
        <w:rPr>
          <w:rFonts w:ascii="Times New Roman" w:eastAsia="Times New Roman" w:hAnsi="Times New Roman" w:cs="Times New Roman"/>
          <w:noProof/>
          <w:sz w:val="24"/>
          <w:szCs w:val="24"/>
          <w:lang w:val="en-GB"/>
        </w:rPr>
      </w:pPr>
      <w:bookmarkStart w:id="58" w:name="_Toc114267940"/>
      <w:r w:rsidRPr="007D59C2">
        <w:rPr>
          <w:rFonts w:ascii="Times New Roman" w:eastAsia="Times New Roman" w:hAnsi="Times New Roman" w:cs="Times New Roman"/>
          <w:noProof/>
          <w:sz w:val="24"/>
          <w:szCs w:val="24"/>
          <w:lang w:val="en-GB"/>
        </w:rPr>
        <w:t xml:space="preserve">The EU is building and reinforcing preparedness capabilities for the development, manufacturing, procurement and distribution of medical countermeasures, underpinned by reinforced surveillance capacity. The level of implementation for these actions is summarised in the table annexed to this report (See Annex 1). </w:t>
      </w:r>
    </w:p>
    <w:p w14:paraId="77427444" w14:textId="77777777" w:rsidR="007D59C2" w:rsidRPr="007D59C2" w:rsidRDefault="007D59C2" w:rsidP="007D59C2">
      <w:pPr>
        <w:keepNext/>
        <w:keepLines/>
        <w:numPr>
          <w:ilvl w:val="0"/>
          <w:numId w:val="4"/>
        </w:numPr>
        <w:spacing w:before="160" w:line="240" w:lineRule="auto"/>
        <w:outlineLvl w:val="1"/>
        <w:rPr>
          <w:rFonts w:asciiTheme="majorHAnsi" w:eastAsia="Times New Roman" w:hAnsiTheme="majorHAnsi" w:cstheme="majorBidi"/>
          <w:b/>
          <w:noProof/>
          <w:color w:val="002060"/>
          <w:sz w:val="24"/>
          <w:szCs w:val="28"/>
        </w:rPr>
      </w:pPr>
      <w:bookmarkStart w:id="59" w:name="_Toc607174656"/>
      <w:bookmarkStart w:id="60" w:name="_Toc1910217145"/>
      <w:bookmarkStart w:id="61" w:name="_Toc640860717"/>
      <w:bookmarkStart w:id="62" w:name="_Toc640233000"/>
      <w:bookmarkStart w:id="63" w:name="_Toc1813800325"/>
      <w:bookmarkStart w:id="64" w:name="_Toc2108465097"/>
      <w:bookmarkStart w:id="65" w:name="_Toc958241141"/>
      <w:bookmarkStart w:id="66" w:name="_Toc1943929023"/>
      <w:bookmarkStart w:id="67" w:name="_Toc2091393290"/>
      <w:bookmarkStart w:id="68" w:name="_Toc2095011025"/>
      <w:bookmarkStart w:id="69" w:name="_Toc1730997936"/>
      <w:bookmarkStart w:id="70" w:name="_Toc1344473775"/>
      <w:bookmarkStart w:id="71" w:name="_Toc286206648"/>
      <w:bookmarkStart w:id="72" w:name="_Toc1227558495"/>
      <w:bookmarkStart w:id="73" w:name="_Toc120631053"/>
      <w:bookmarkStart w:id="74" w:name="_Toc658373973"/>
      <w:bookmarkStart w:id="75" w:name="_Toc1222420131"/>
      <w:bookmarkStart w:id="76" w:name="_Toc1388030712"/>
      <w:bookmarkStart w:id="77" w:name="_Toc1590878009"/>
      <w:bookmarkStart w:id="78" w:name="_Toc465156119"/>
      <w:bookmarkStart w:id="79" w:name="_Toc1346799978"/>
      <w:bookmarkStart w:id="80" w:name="_Toc825414377"/>
      <w:bookmarkStart w:id="81" w:name="_Toc238820578"/>
      <w:bookmarkStart w:id="82" w:name="_Toc1068315037"/>
      <w:bookmarkStart w:id="83" w:name="_Toc894268820"/>
      <w:bookmarkStart w:id="84" w:name="_Toc1214256181"/>
      <w:bookmarkStart w:id="85" w:name="_Toc1091967786"/>
      <w:r w:rsidRPr="007D59C2">
        <w:rPr>
          <w:rFonts w:asciiTheme="majorHAnsi" w:eastAsia="Times New Roman" w:hAnsiTheme="majorHAnsi" w:cstheme="majorBidi"/>
          <w:b/>
          <w:noProof/>
          <w:color w:val="002060"/>
          <w:sz w:val="24"/>
          <w:szCs w:val="28"/>
        </w:rPr>
        <w:t>Threat assessment and intelligence gathering</w:t>
      </w:r>
      <w:bookmarkStart w:id="86" w:name="_Toc2069583046"/>
      <w:bookmarkStart w:id="87" w:name="_Toc2045537108"/>
      <w:bookmarkStart w:id="88" w:name="_Toc1472380212"/>
      <w:bookmarkStart w:id="89" w:name="_Toc1222510587"/>
      <w:bookmarkStart w:id="90" w:name="_Toc1432094209"/>
      <w:bookmarkStart w:id="91" w:name="_Toc905205563"/>
      <w:bookmarkStart w:id="92" w:name="_Toc1564080978"/>
      <w:bookmarkStart w:id="93" w:name="_Toc914140043"/>
      <w:bookmarkStart w:id="94" w:name="_Toc495604556"/>
      <w:bookmarkStart w:id="95" w:name="_Toc1180314793"/>
      <w:bookmarkStart w:id="96" w:name="_Toc1078346007"/>
      <w:bookmarkStart w:id="97" w:name="_Toc1451650517"/>
      <w:bookmarkStart w:id="98" w:name="_Toc208204659"/>
      <w:bookmarkStart w:id="99" w:name="_Toc40724400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4B734159" w14:textId="77777777" w:rsidR="007D59C2" w:rsidRPr="007D59C2" w:rsidRDefault="007D59C2" w:rsidP="007D59C2">
      <w:pPr>
        <w:keepNext/>
        <w:keepLines/>
        <w:numPr>
          <w:ilvl w:val="1"/>
          <w:numId w:val="4"/>
        </w:numPr>
        <w:spacing w:before="160" w:line="240" w:lineRule="auto"/>
        <w:outlineLvl w:val="2"/>
        <w:rPr>
          <w:rFonts w:asciiTheme="majorHAnsi" w:eastAsia="Times New Roman" w:hAnsiTheme="majorHAnsi" w:cstheme="majorBidi"/>
          <w:b/>
          <w:noProof/>
          <w:color w:val="002060"/>
          <w:sz w:val="24"/>
          <w:szCs w:val="28"/>
        </w:rPr>
      </w:pPr>
      <w:bookmarkStart w:id="100" w:name="_Toc120631054"/>
      <w:r w:rsidRPr="007D59C2">
        <w:rPr>
          <w:rFonts w:asciiTheme="majorHAnsi" w:eastAsia="Times New Roman" w:hAnsiTheme="majorHAnsi" w:cstheme="majorBidi"/>
          <w:b/>
          <w:noProof/>
          <w:color w:val="002060"/>
          <w:sz w:val="24"/>
          <w:szCs w:val="28"/>
        </w:rPr>
        <w:t xml:space="preserve">Threat </w:t>
      </w:r>
      <w:r w:rsidRPr="000157D6">
        <w:rPr>
          <w:rFonts w:asciiTheme="majorHAnsi" w:eastAsia="Times New Roman" w:hAnsiTheme="majorHAnsi" w:cstheme="majorBidi"/>
          <w:b/>
          <w:noProof/>
          <w:color w:val="002060"/>
          <w:sz w:val="24"/>
          <w:szCs w:val="28"/>
          <w:lang w:val="en-GB"/>
        </w:rPr>
        <w:t>prioritisation</w:t>
      </w:r>
      <w:bookmarkEnd w:id="58"/>
      <w:bookmarkEnd w:id="100"/>
      <w:r w:rsidRPr="007D59C2">
        <w:rPr>
          <w:rFonts w:asciiTheme="majorHAnsi" w:eastAsia="Times New Roman" w:hAnsiTheme="majorHAnsi" w:cstheme="majorBidi"/>
          <w:b/>
          <w:noProof/>
          <w:color w:val="002060"/>
          <w:sz w:val="24"/>
          <w:szCs w:val="28"/>
        </w:rPr>
        <w:t xml:space="preserve"> </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1F9EDBDC" w14:textId="77777777" w:rsidR="007D59C2" w:rsidRPr="007D59C2" w:rsidRDefault="007D59C2" w:rsidP="007D59C2">
      <w:pPr>
        <w:tabs>
          <w:tab w:val="left" w:pos="2268"/>
        </w:tabs>
        <w:spacing w:line="257" w:lineRule="auto"/>
        <w:ind w:right="6"/>
        <w:jc w:val="both"/>
        <w:rPr>
          <w:rFonts w:ascii="Times New Roman" w:eastAsia="Times New Roman" w:hAnsi="Times New Roman" w:cs="Times New Roman"/>
          <w:noProof/>
          <w:color w:val="000000" w:themeColor="text1"/>
          <w:sz w:val="24"/>
          <w:szCs w:val="24"/>
          <w:lang w:val="en-IE"/>
        </w:rPr>
      </w:pPr>
      <w:r w:rsidRPr="007D59C2">
        <w:rPr>
          <w:rFonts w:ascii="Times New Roman" w:eastAsia="Times New Roman" w:hAnsi="Times New Roman" w:cs="Times New Roman"/>
          <w:noProof/>
          <w:color w:val="000000" w:themeColor="text1"/>
          <w:sz w:val="24"/>
          <w:szCs w:val="24"/>
        </w:rPr>
        <w:t xml:space="preserve">At the beginning of the pandemic the EU and its Member States lacked </w:t>
      </w:r>
      <w:r w:rsidRPr="007D59C2">
        <w:rPr>
          <w:rFonts w:ascii="Times New Roman" w:eastAsia="Times New Roman" w:hAnsi="Times New Roman" w:cs="Times New Roman"/>
          <w:noProof/>
          <w:color w:val="000000" w:themeColor="text1"/>
          <w:sz w:val="24"/>
          <w:szCs w:val="24"/>
          <w:lang w:val="en-IE"/>
        </w:rPr>
        <w:t>a permanent and integrated approach to research, development, market authorisation, production and supply of medical countermeasures to be prioritised in the light of the most pressing health threats.</w:t>
      </w:r>
    </w:p>
    <w:p w14:paraId="2C65494F" w14:textId="77777777" w:rsidR="007D59C2" w:rsidRPr="007D59C2" w:rsidRDefault="007D59C2" w:rsidP="007D59C2">
      <w:pPr>
        <w:tabs>
          <w:tab w:val="left" w:pos="2268"/>
        </w:tabs>
        <w:spacing w:line="257" w:lineRule="auto"/>
        <w:jc w:val="both"/>
        <w:rPr>
          <w:rFonts w:ascii="Times New Roman" w:eastAsia="Times New Roman" w:hAnsi="Times New Roman" w:cs="Times New Roman"/>
          <w:noProof/>
          <w:color w:val="000000" w:themeColor="text1"/>
          <w:sz w:val="24"/>
          <w:szCs w:val="24"/>
          <w:lang w:val="en-IE" w:eastAsia="en-IE"/>
        </w:rPr>
      </w:pPr>
      <w:r w:rsidRPr="007D59C2">
        <w:rPr>
          <w:rFonts w:ascii="Times New Roman" w:eastAsia="Times New Roman" w:hAnsi="Times New Roman" w:cs="Times New Roman"/>
          <w:noProof/>
          <w:color w:val="000000" w:themeColor="text1"/>
          <w:sz w:val="24"/>
          <w:szCs w:val="24"/>
          <w:lang w:val="en-IE"/>
        </w:rPr>
        <w:t xml:space="preserve">To ensure that a long term and systemic approach to preparedness is put in motion and efforts are focused on the most relevant medical countermeasures, the Commission put forward, its first ever list prioritising </w:t>
      </w:r>
      <w:r w:rsidRPr="007D59C2">
        <w:rPr>
          <w:rFonts w:ascii="Times New Roman" w:eastAsia="Times New Roman" w:hAnsi="Times New Roman" w:cs="Times New Roman"/>
          <w:b/>
          <w:bCs/>
          <w:noProof/>
          <w:color w:val="000000" w:themeColor="text1"/>
          <w:sz w:val="24"/>
          <w:szCs w:val="24"/>
          <w:lang w:val="en-IE"/>
        </w:rPr>
        <w:t>three threat categories</w:t>
      </w:r>
      <w:r w:rsidRPr="007D59C2">
        <w:rPr>
          <w:rFonts w:eastAsiaTheme="minorEastAsia"/>
          <w:noProof/>
          <w:vertAlign w:val="superscript"/>
          <w:lang w:val="fr-BE"/>
        </w:rPr>
        <w:footnoteReference w:id="23"/>
      </w:r>
      <w:r w:rsidRPr="007D59C2">
        <w:rPr>
          <w:rFonts w:ascii="Times New Roman" w:eastAsia="Times New Roman" w:hAnsi="Times New Roman" w:cs="Times New Roman"/>
          <w:noProof/>
          <w:color w:val="000000" w:themeColor="text1"/>
          <w:sz w:val="24"/>
          <w:szCs w:val="24"/>
          <w:lang w:val="en-IE"/>
        </w:rPr>
        <w:t>. The list prioritised life-threatening or otherwise seriously harmful hazards to health, which have the potential to spread across the Member States and require action on Union level in relation to medical countermeasures (Annex 1 Action 1.1).</w:t>
      </w:r>
      <w:r w:rsidRPr="007D59C2">
        <w:rPr>
          <w:rFonts w:ascii="Times New Roman" w:eastAsia="Times New Roman" w:hAnsi="Times New Roman" w:cs="Times New Roman"/>
          <w:noProof/>
          <w:color w:val="000000" w:themeColor="text1"/>
          <w:sz w:val="24"/>
          <w:szCs w:val="24"/>
          <w:lang w:val="en-IE" w:eastAsia="en-IE"/>
        </w:rPr>
        <w:t xml:space="preserve"> </w:t>
      </w:r>
    </w:p>
    <w:p w14:paraId="44BA32FE" w14:textId="7B0762AE" w:rsidR="007D59C2" w:rsidRPr="007D59C2" w:rsidRDefault="007D59C2" w:rsidP="007D59C2">
      <w:pPr>
        <w:tabs>
          <w:tab w:val="left" w:pos="2268"/>
        </w:tabs>
        <w:spacing w:line="257" w:lineRule="auto"/>
        <w:jc w:val="both"/>
        <w:rPr>
          <w:rFonts w:ascii="Times New Roman" w:eastAsia="Times New Roman" w:hAnsi="Times New Roman" w:cs="Times New Roman"/>
          <w:noProof/>
          <w:color w:val="000000" w:themeColor="text1"/>
          <w:sz w:val="24"/>
          <w:szCs w:val="24"/>
        </w:rPr>
      </w:pPr>
      <w:r w:rsidRPr="007D59C2">
        <w:rPr>
          <w:rFonts w:ascii="Times New Roman" w:eastAsia="Times New Roman" w:hAnsi="Times New Roman" w:cs="Times New Roman"/>
          <w:noProof/>
          <w:color w:val="000000" w:themeColor="text1"/>
          <w:sz w:val="24"/>
          <w:szCs w:val="24"/>
          <w:lang w:val="en-IE"/>
        </w:rPr>
        <w:t xml:space="preserve">These </w:t>
      </w:r>
      <w:r w:rsidRPr="007D59C2">
        <w:rPr>
          <w:rFonts w:ascii="Times New Roman" w:eastAsia="Times New Roman" w:hAnsi="Times New Roman" w:cs="Times New Roman"/>
          <w:noProof/>
          <w:color w:val="000000" w:themeColor="text1"/>
          <w:sz w:val="24"/>
          <w:szCs w:val="24"/>
        </w:rPr>
        <w:t xml:space="preserve">categories were identified in close collaboration with Member States, global partners and other relevant stakeholders. Throughout 2022, the Commission has consulted Member States, Union and national agencies, Chief Medical Officers, international actors and experts on the threat prioritisation exercise. Preliminary results were presented to the HERA Advisory Forum and to the HERA Board on 8 July 2022. </w:t>
      </w:r>
    </w:p>
    <w:tbl>
      <w:tblPr>
        <w:tblStyle w:val="TableGrid"/>
        <w:tblW w:w="0" w:type="auto"/>
        <w:jc w:val="center"/>
        <w:tblLook w:val="04A0" w:firstRow="1" w:lastRow="0" w:firstColumn="1" w:lastColumn="0" w:noHBand="0" w:noVBand="1"/>
      </w:tblPr>
      <w:tblGrid>
        <w:gridCol w:w="8186"/>
      </w:tblGrid>
      <w:tr w:rsidR="007D59C2" w:rsidRPr="007D59C2" w14:paraId="442B67F1" w14:textId="77777777" w:rsidTr="00BA66C9">
        <w:trPr>
          <w:trHeight w:val="416"/>
          <w:jc w:val="center"/>
        </w:trPr>
        <w:tc>
          <w:tcPr>
            <w:tcW w:w="8186" w:type="dxa"/>
            <w:shd w:val="clear" w:color="auto" w:fill="FD5C25"/>
            <w:vAlign w:val="center"/>
          </w:tcPr>
          <w:p w14:paraId="36430534" w14:textId="77777777" w:rsidR="007D59C2" w:rsidRPr="007D59C2" w:rsidRDefault="007D59C2" w:rsidP="007D59C2">
            <w:pPr>
              <w:tabs>
                <w:tab w:val="left" w:pos="1269"/>
                <w:tab w:val="center" w:pos="2035"/>
              </w:tabs>
              <w:jc w:val="center"/>
              <w:rPr>
                <w:b/>
                <w:i/>
                <w:noProof/>
                <w:color w:val="000000" w:themeColor="text1"/>
                <w:sz w:val="24"/>
                <w:lang w:val="en-IE"/>
              </w:rPr>
            </w:pPr>
            <w:r w:rsidRPr="007D59C2">
              <w:rPr>
                <w:b/>
                <w:i/>
                <w:noProof/>
                <w:color w:val="FFFFFF" w:themeColor="background1"/>
                <w:sz w:val="24"/>
                <w:lang w:val="en-IE"/>
              </w:rPr>
              <w:t>WHAT’S NEW?</w:t>
            </w:r>
          </w:p>
        </w:tc>
      </w:tr>
      <w:tr w:rsidR="007D59C2" w:rsidRPr="007D59C2" w14:paraId="2CC7EFD1" w14:textId="77777777" w:rsidTr="00BA66C9">
        <w:trPr>
          <w:trHeight w:val="1649"/>
          <w:jc w:val="center"/>
        </w:trPr>
        <w:tc>
          <w:tcPr>
            <w:tcW w:w="8186" w:type="dxa"/>
            <w:shd w:val="clear" w:color="auto" w:fill="282896"/>
            <w:vAlign w:val="center"/>
          </w:tcPr>
          <w:p w14:paraId="503F7067" w14:textId="77777777" w:rsidR="007D59C2" w:rsidRPr="007D59C2" w:rsidRDefault="007D59C2" w:rsidP="007D59C2">
            <w:pPr>
              <w:spacing w:after="120" w:line="257" w:lineRule="auto"/>
              <w:rPr>
                <w:noProof/>
                <w:color w:val="000000" w:themeColor="text1"/>
                <w:lang w:val="en-IE"/>
              </w:rPr>
            </w:pPr>
            <w:r w:rsidRPr="007D59C2">
              <w:rPr>
                <w:noProof/>
                <w:color w:val="FFFFFF" w:themeColor="background1"/>
                <w:lang w:val="en-IE"/>
              </w:rPr>
              <w:t xml:space="preserve">In July 2022, the Commission established </w:t>
            </w:r>
            <w:r w:rsidRPr="007D59C2">
              <w:rPr>
                <w:b/>
                <w:noProof/>
                <w:color w:val="FFFFFF" w:themeColor="background1"/>
                <w:lang w:val="en-IE"/>
              </w:rPr>
              <w:t>a list of 3 priority health threats</w:t>
            </w:r>
            <w:r w:rsidRPr="007D59C2">
              <w:rPr>
                <w:noProof/>
                <w:color w:val="FFFFFF" w:themeColor="background1"/>
                <w:lang w:val="en-IE"/>
              </w:rPr>
              <w:t xml:space="preserve">. The list includes </w:t>
            </w:r>
            <w:r w:rsidRPr="007D59C2">
              <w:rPr>
                <w:b/>
                <w:noProof/>
                <w:color w:val="FFFFFF" w:themeColor="background1"/>
                <w:lang w:val="en-IE"/>
              </w:rPr>
              <w:t xml:space="preserve">pathogens with high pandemic potential </w:t>
            </w:r>
            <w:r w:rsidRPr="007D59C2">
              <w:rPr>
                <w:noProof/>
                <w:color w:val="FFFFFF" w:themeColor="background1"/>
                <w:lang w:val="en-IE"/>
              </w:rPr>
              <w:t>covering mainly respiratory RNA viral families, c</w:t>
            </w:r>
            <w:r w:rsidRPr="007D59C2">
              <w:rPr>
                <w:b/>
                <w:noProof/>
                <w:color w:val="FFFFFF" w:themeColor="background1"/>
                <w:lang w:val="en-IE"/>
              </w:rPr>
              <w:t xml:space="preserve">hemical, biological, radiological, and nuclear (CBRN) threats </w:t>
            </w:r>
            <w:r w:rsidRPr="007D59C2">
              <w:rPr>
                <w:noProof/>
                <w:color w:val="FFFFFF" w:themeColor="background1"/>
                <w:lang w:val="en-IE"/>
              </w:rPr>
              <w:t xml:space="preserve">originating from accidental or deliberate release and </w:t>
            </w:r>
            <w:r w:rsidRPr="007D59C2">
              <w:rPr>
                <w:b/>
                <w:noProof/>
                <w:color w:val="FFFFFF" w:themeColor="background1"/>
                <w:lang w:val="en-IE"/>
              </w:rPr>
              <w:t>antimicrobial resistance (AMR)</w:t>
            </w:r>
            <w:r w:rsidRPr="007D59C2">
              <w:rPr>
                <w:noProof/>
                <w:color w:val="FFFFFF" w:themeColor="background1"/>
                <w:lang w:val="en-IE"/>
              </w:rPr>
              <w:t>, referred to as the silent pandemic.</w:t>
            </w:r>
          </w:p>
        </w:tc>
      </w:tr>
    </w:tbl>
    <w:p w14:paraId="0D47FAF2" w14:textId="77777777" w:rsidR="007D59C2" w:rsidRPr="007D59C2" w:rsidRDefault="007D59C2" w:rsidP="007D59C2">
      <w:pPr>
        <w:tabs>
          <w:tab w:val="left" w:pos="2268"/>
        </w:tabs>
        <w:spacing w:before="120" w:after="120" w:line="257" w:lineRule="auto"/>
        <w:jc w:val="both"/>
        <w:rPr>
          <w:rFonts w:ascii="Times New Roman" w:eastAsia="Times New Roman" w:hAnsi="Times New Roman" w:cs="Times New Roman"/>
          <w:noProof/>
          <w:color w:val="000000" w:themeColor="text1"/>
          <w:sz w:val="24"/>
          <w:szCs w:val="24"/>
        </w:rPr>
      </w:pPr>
      <w:r w:rsidRPr="007D59C2">
        <w:rPr>
          <w:rFonts w:ascii="Times New Roman" w:eastAsia="Times New Roman" w:hAnsi="Times New Roman" w:cs="Times New Roman"/>
          <w:noProof/>
          <w:color w:val="000000" w:themeColor="text1"/>
          <w:sz w:val="24"/>
          <w:szCs w:val="24"/>
        </w:rPr>
        <w:t>The prioritised threats were identified in an “all hazards approach” and considering several criteria, such as the mode of transmission, the risk of spreading to the community, and the availability of treatment. The list will be updated annually based on the analysis of newly available information and taking into account exogenous events that may influence the prioritisation of threats.</w:t>
      </w:r>
    </w:p>
    <w:p w14:paraId="1D72DD79" w14:textId="79C12140" w:rsidR="007D59C2" w:rsidRPr="007D59C2" w:rsidRDefault="007D59C2" w:rsidP="007D59C2">
      <w:pPr>
        <w:tabs>
          <w:tab w:val="left" w:pos="2268"/>
        </w:tabs>
        <w:spacing w:after="120" w:line="257" w:lineRule="auto"/>
        <w:jc w:val="both"/>
        <w:rPr>
          <w:rFonts w:ascii="Times New Roman" w:eastAsia="Times New Roman" w:hAnsi="Times New Roman" w:cs="Times New Roman"/>
          <w:noProof/>
          <w:color w:val="000000" w:themeColor="text1"/>
          <w:sz w:val="24"/>
          <w:szCs w:val="24"/>
        </w:rPr>
      </w:pPr>
      <w:r w:rsidRPr="007D59C2">
        <w:rPr>
          <w:rFonts w:ascii="Times New Roman" w:eastAsia="Times New Roman" w:hAnsi="Times New Roman" w:cs="Times New Roman"/>
          <w:noProof/>
          <w:color w:val="000000" w:themeColor="text1"/>
          <w:sz w:val="24"/>
          <w:szCs w:val="24"/>
        </w:rPr>
        <w:t>On this basis, the Commission drew up a preliminary list of threat specific medical countermeasures</w:t>
      </w:r>
      <w:r w:rsidR="00777A1D">
        <w:rPr>
          <w:rFonts w:ascii="Times New Roman" w:eastAsia="Times New Roman" w:hAnsi="Times New Roman" w:cs="Times New Roman"/>
          <w:noProof/>
          <w:color w:val="000000" w:themeColor="text1"/>
          <w:sz w:val="24"/>
          <w:szCs w:val="24"/>
        </w:rPr>
        <w:t xml:space="preserve"> (Annex 1 Action 1.2)</w:t>
      </w:r>
      <w:r w:rsidRPr="007D59C2">
        <w:rPr>
          <w:rFonts w:ascii="Times New Roman" w:eastAsia="Times New Roman" w:hAnsi="Times New Roman" w:cs="Times New Roman"/>
          <w:noProof/>
          <w:color w:val="000000" w:themeColor="text1"/>
          <w:sz w:val="24"/>
          <w:szCs w:val="24"/>
        </w:rPr>
        <w:t>. This list is currently being finalised in coordination with Member States. This list should inform and guide the EU and Member States’ actions related to monitoring, research, development, production and the procurement of medical countermeasures to addressing those threats.</w:t>
      </w:r>
    </w:p>
    <w:p w14:paraId="5AA73057" w14:textId="77777777" w:rsidR="007D59C2" w:rsidRPr="007D59C2" w:rsidRDefault="007D59C2" w:rsidP="007D59C2">
      <w:pPr>
        <w:tabs>
          <w:tab w:val="left" w:pos="2268"/>
        </w:tabs>
        <w:spacing w:after="120" w:line="257" w:lineRule="auto"/>
        <w:jc w:val="both"/>
        <w:rPr>
          <w:rFonts w:ascii="Times New Roman" w:eastAsia="Times New Roman" w:hAnsi="Times New Roman" w:cs="Times New Roman"/>
          <w:noProof/>
          <w:color w:val="000000" w:themeColor="text1"/>
          <w:sz w:val="24"/>
          <w:szCs w:val="24"/>
        </w:rPr>
      </w:pPr>
      <w:r w:rsidRPr="007D59C2">
        <w:rPr>
          <w:rFonts w:ascii="Times New Roman" w:eastAsia="Times New Roman" w:hAnsi="Times New Roman" w:cs="Times New Roman"/>
          <w:noProof/>
          <w:color w:val="000000" w:themeColor="text1"/>
          <w:sz w:val="24"/>
          <w:szCs w:val="24"/>
          <w:lang w:val="en-GB" w:eastAsia="en-GB"/>
        </w:rPr>
        <w:drawing>
          <wp:inline distT="0" distB="0" distL="0" distR="0" wp14:anchorId="04423709" wp14:editId="7B45FD07">
            <wp:extent cx="5929200" cy="2174832"/>
            <wp:effectExtent l="0" t="0" r="0" b="0"/>
            <wp:docPr id="13" name="Picture 13" descr="Annual assessment of 3 thr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 assessment of 3 thre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9200" cy="2174832"/>
                    </a:xfrm>
                    <a:prstGeom prst="rect">
                      <a:avLst/>
                    </a:prstGeom>
                    <a:noFill/>
                    <a:ln>
                      <a:noFill/>
                    </a:ln>
                  </pic:spPr>
                </pic:pic>
              </a:graphicData>
            </a:graphic>
          </wp:inline>
        </w:drawing>
      </w:r>
    </w:p>
    <w:p w14:paraId="5AF65B16" w14:textId="77777777" w:rsidR="007D59C2" w:rsidRPr="007D59C2" w:rsidRDefault="007D59C2" w:rsidP="007D59C2">
      <w:pPr>
        <w:keepNext/>
        <w:keepLines/>
        <w:numPr>
          <w:ilvl w:val="1"/>
          <w:numId w:val="5"/>
        </w:numPr>
        <w:spacing w:before="160" w:line="240" w:lineRule="auto"/>
        <w:outlineLvl w:val="2"/>
        <w:rPr>
          <w:rFonts w:asciiTheme="majorHAnsi" w:eastAsia="Times New Roman" w:hAnsiTheme="majorHAnsi" w:cstheme="majorBidi"/>
          <w:b/>
          <w:noProof/>
          <w:color w:val="002060"/>
          <w:sz w:val="24"/>
          <w:szCs w:val="28"/>
        </w:rPr>
      </w:pPr>
      <w:bookmarkStart w:id="101" w:name="_Toc114267941"/>
      <w:bookmarkStart w:id="102" w:name="_Toc120631055"/>
      <w:bookmarkStart w:id="103" w:name="_Toc1967899305"/>
      <w:bookmarkStart w:id="104" w:name="_Toc877565375"/>
      <w:bookmarkStart w:id="105" w:name="_Toc853496324"/>
      <w:bookmarkStart w:id="106" w:name="_Toc136265705"/>
      <w:bookmarkStart w:id="107" w:name="_Toc799607180"/>
      <w:bookmarkStart w:id="108" w:name="_Toc1771461895"/>
      <w:bookmarkStart w:id="109" w:name="_Toc1318063218"/>
      <w:bookmarkStart w:id="110" w:name="_Toc2014221871"/>
      <w:bookmarkStart w:id="111" w:name="_Toc328637824"/>
      <w:bookmarkStart w:id="112" w:name="_Toc1902583888"/>
      <w:bookmarkStart w:id="113" w:name="_Toc945655938"/>
      <w:bookmarkStart w:id="114" w:name="_Toc1929479271"/>
      <w:bookmarkStart w:id="115" w:name="_Toc320412356"/>
      <w:bookmarkStart w:id="116" w:name="_Toc1845098603"/>
      <w:bookmarkStart w:id="117" w:name="_Toc1687355462"/>
      <w:bookmarkStart w:id="118" w:name="_Toc1311431779"/>
      <w:bookmarkStart w:id="119" w:name="_Toc1421748661"/>
      <w:bookmarkStart w:id="120" w:name="_Toc128434593"/>
      <w:bookmarkStart w:id="121" w:name="_Toc897469335"/>
      <w:bookmarkStart w:id="122" w:name="_Toc1390736935"/>
      <w:bookmarkStart w:id="123" w:name="_Toc2132372077"/>
      <w:bookmarkStart w:id="124" w:name="_Toc214172518"/>
      <w:bookmarkStart w:id="125" w:name="_Toc2032150007"/>
      <w:bookmarkStart w:id="126" w:name="_Toc17303127"/>
      <w:bookmarkStart w:id="127" w:name="_Toc533346255"/>
      <w:bookmarkStart w:id="128" w:name="_Toc847998789"/>
      <w:r w:rsidRPr="007D59C2">
        <w:rPr>
          <w:rFonts w:asciiTheme="majorHAnsi" w:eastAsia="Times New Roman" w:hAnsiTheme="majorHAnsi" w:cstheme="majorBidi"/>
          <w:b/>
          <w:noProof/>
          <w:color w:val="002060"/>
          <w:sz w:val="24"/>
          <w:szCs w:val="28"/>
        </w:rPr>
        <w:t>Threat detection</w:t>
      </w:r>
      <w:bookmarkEnd w:id="101"/>
      <w:bookmarkEnd w:id="102"/>
      <w:r w:rsidRPr="007D59C2">
        <w:rPr>
          <w:rFonts w:asciiTheme="majorHAnsi" w:eastAsia="Times New Roman" w:hAnsiTheme="majorHAnsi" w:cstheme="majorBidi"/>
          <w:b/>
          <w:noProof/>
          <w:color w:val="002060"/>
          <w:sz w:val="24"/>
          <w:szCs w:val="28"/>
        </w:rPr>
        <w:t xml:space="preserve"> </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381140E5" w14:textId="3054771C" w:rsidR="007D59C2" w:rsidRPr="007D59C2" w:rsidRDefault="007D59C2" w:rsidP="007D59C2">
      <w:pPr>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noProof/>
          <w:sz w:val="24"/>
          <w:szCs w:val="24"/>
          <w:lang w:val="en-IE"/>
        </w:rPr>
        <w:t>At the beginning of the pandemic, the EU</w:t>
      </w:r>
      <w:r w:rsidRPr="007D59C2">
        <w:rPr>
          <w:rFonts w:ascii="Times New Roman" w:eastAsia="Times New Roman" w:hAnsi="Times New Roman" w:cs="Times New Roman"/>
          <w:noProof/>
          <w:sz w:val="24"/>
          <w:szCs w:val="24"/>
          <w:lang w:val="en-GB"/>
        </w:rPr>
        <w:t xml:space="preserve"> lacked comparable and complete data on which to base decision-making. </w:t>
      </w:r>
      <w:r w:rsidRPr="007D59C2">
        <w:rPr>
          <w:rFonts w:ascii="Times New Roman" w:eastAsia="Times New Roman" w:hAnsi="Times New Roman" w:cs="Times New Roman"/>
          <w:noProof/>
          <w:sz w:val="24"/>
          <w:szCs w:val="24"/>
          <w:lang w:val="en-IE"/>
        </w:rPr>
        <w:t>The pandemic demonstrated the usefulness of interconnected and cross-sectoral intelligence gathering systems</w:t>
      </w:r>
      <w:r w:rsidR="00B2098D">
        <w:rPr>
          <w:rFonts w:ascii="Times New Roman" w:eastAsia="Times New Roman" w:hAnsi="Times New Roman" w:cs="Times New Roman"/>
          <w:noProof/>
          <w:sz w:val="24"/>
          <w:szCs w:val="24"/>
          <w:lang w:val="en-IE"/>
        </w:rPr>
        <w:t xml:space="preserve"> and foresight</w:t>
      </w:r>
      <w:r w:rsidRPr="007D59C2">
        <w:rPr>
          <w:rFonts w:ascii="Times New Roman" w:eastAsia="Times New Roman" w:hAnsi="Times New Roman" w:cs="Times New Roman"/>
          <w:noProof/>
          <w:sz w:val="24"/>
          <w:szCs w:val="24"/>
          <w:lang w:val="en-IE"/>
        </w:rPr>
        <w:t>. In addition, the EU did not have an integrated system to detect other priority threats such as AMR and CBRN threats and the relevant medical countermeasures needed to address them.</w:t>
      </w:r>
    </w:p>
    <w:p w14:paraId="08F36C3C" w14:textId="290CF84B" w:rsidR="007D59C2" w:rsidRPr="007D59C2" w:rsidRDefault="007D59C2" w:rsidP="007D59C2">
      <w:pPr>
        <w:jc w:val="both"/>
        <w:rPr>
          <w:rFonts w:ascii="Times New Roman" w:eastAsia="Times New Roman" w:hAnsi="Times New Roman" w:cs="Times New Roman"/>
          <w:noProof/>
          <w:sz w:val="24"/>
          <w:szCs w:val="24"/>
          <w:lang w:val="en-IE"/>
        </w:rPr>
      </w:pPr>
      <w:r w:rsidRPr="007D59C2">
        <w:rPr>
          <w:rFonts w:ascii="Times New Roman" w:eastAsia="Times New Roman" w:hAnsi="Times New Roman" w:cs="Times New Roman"/>
          <w:noProof/>
          <w:sz w:val="24"/>
          <w:szCs w:val="24"/>
          <w:lang w:val="en-IE"/>
        </w:rPr>
        <w:t xml:space="preserve">In light of this, the Commission has started working on the development of an </w:t>
      </w:r>
      <w:r w:rsidRPr="007D59C2">
        <w:rPr>
          <w:rFonts w:ascii="Times New Roman" w:eastAsia="Times New Roman" w:hAnsi="Times New Roman" w:cs="Times New Roman"/>
          <w:b/>
          <w:bCs/>
          <w:noProof/>
          <w:sz w:val="24"/>
          <w:szCs w:val="24"/>
          <w:lang w:val="en-IE"/>
        </w:rPr>
        <w:t xml:space="preserve">Intelligence Gathering and Threat Assessment </w:t>
      </w:r>
      <w:r w:rsidR="004674F3">
        <w:rPr>
          <w:rFonts w:ascii="Times New Roman" w:eastAsia="Times New Roman" w:hAnsi="Times New Roman" w:cs="Times New Roman"/>
          <w:bCs/>
          <w:noProof/>
          <w:sz w:val="24"/>
          <w:szCs w:val="24"/>
          <w:lang w:val="en-IE"/>
        </w:rPr>
        <w:t xml:space="preserve">tool, the </w:t>
      </w:r>
      <w:r w:rsidRPr="007D59C2">
        <w:rPr>
          <w:rFonts w:ascii="Times New Roman" w:eastAsia="Times New Roman" w:hAnsi="Times New Roman" w:cs="Times New Roman"/>
          <w:noProof/>
          <w:sz w:val="24"/>
          <w:szCs w:val="24"/>
          <w:lang w:val="en-IE"/>
        </w:rPr>
        <w:t>Medical Countermeasures Intelligence Platform (HERA MCMI</w:t>
      </w:r>
      <w:r w:rsidR="004674F3">
        <w:rPr>
          <w:rFonts w:ascii="Times New Roman" w:eastAsia="Times New Roman" w:hAnsi="Times New Roman" w:cs="Times New Roman"/>
          <w:noProof/>
          <w:sz w:val="24"/>
          <w:szCs w:val="24"/>
          <w:lang w:val="en-IE"/>
        </w:rPr>
        <w:t xml:space="preserve"> platform</w:t>
      </w:r>
      <w:r w:rsidRPr="007D59C2">
        <w:rPr>
          <w:rFonts w:ascii="Times New Roman" w:eastAsia="Times New Roman" w:hAnsi="Times New Roman" w:cs="Times New Roman"/>
          <w:noProof/>
          <w:sz w:val="24"/>
          <w:szCs w:val="24"/>
          <w:lang w:val="en-IE"/>
        </w:rPr>
        <w:t xml:space="preserve">) to strengthen the link between health threat detection and the availability of relevant medical countermeasures to address the health threats in question. </w:t>
      </w:r>
    </w:p>
    <w:p w14:paraId="7D8BE181" w14:textId="24C490AF" w:rsidR="007D59C2" w:rsidRPr="007D59C2" w:rsidRDefault="007D59C2" w:rsidP="007D59C2">
      <w:pPr>
        <w:jc w:val="both"/>
        <w:rPr>
          <w:rFonts w:ascii="Times New Roman" w:eastAsia="Times New Roman" w:hAnsi="Times New Roman" w:cs="Times New Roman"/>
          <w:noProof/>
          <w:sz w:val="24"/>
          <w:szCs w:val="24"/>
          <w:lang w:val="en-IE"/>
        </w:rPr>
      </w:pPr>
      <w:r w:rsidRPr="007D59C2">
        <w:rPr>
          <w:rFonts w:ascii="Times New Roman" w:eastAsia="Times New Roman" w:hAnsi="Times New Roman" w:cs="Times New Roman"/>
          <w:noProof/>
          <w:sz w:val="24"/>
          <w:szCs w:val="24"/>
          <w:lang w:val="en-IE"/>
        </w:rPr>
        <w:t>The</w:t>
      </w:r>
      <w:bookmarkStart w:id="129" w:name="_Hlk118708880"/>
      <w:r w:rsidRPr="007D59C2">
        <w:rPr>
          <w:rFonts w:ascii="Times New Roman" w:eastAsia="Times New Roman" w:hAnsi="Times New Roman" w:cs="Times New Roman"/>
          <w:noProof/>
          <w:sz w:val="24"/>
          <w:szCs w:val="24"/>
          <w:lang w:val="en-IE"/>
        </w:rPr>
        <w:t xml:space="preserve"> MCMI </w:t>
      </w:r>
      <w:bookmarkEnd w:id="129"/>
      <w:r w:rsidRPr="007D59C2">
        <w:rPr>
          <w:rFonts w:ascii="Times New Roman" w:eastAsia="Times New Roman" w:hAnsi="Times New Roman" w:cs="Times New Roman"/>
          <w:noProof/>
          <w:sz w:val="24"/>
          <w:szCs w:val="24"/>
          <w:lang w:val="en-IE"/>
        </w:rPr>
        <w:t>platform aims at making use and complementing existing epidemic intelligence resources by combining intelligence on health threats and on medical countermeasures. The platform intends to collect information from producers and Member States on the production, stockpiles of crisis-relevant raw materials, equipment and infrastructure. The</w:t>
      </w:r>
      <w:r w:rsidR="000D42D4">
        <w:rPr>
          <w:rFonts w:ascii="Times New Roman" w:eastAsia="Times New Roman" w:hAnsi="Times New Roman" w:cs="Times New Roman"/>
          <w:noProof/>
          <w:sz w:val="24"/>
          <w:szCs w:val="24"/>
          <w:lang w:val="en-IE"/>
        </w:rPr>
        <w:t xml:space="preserve"> future proof cybersecurity</w:t>
      </w:r>
      <w:r w:rsidRPr="007D59C2">
        <w:rPr>
          <w:rFonts w:ascii="Times New Roman" w:eastAsia="Times New Roman" w:hAnsi="Times New Roman" w:cs="Times New Roman"/>
          <w:noProof/>
          <w:sz w:val="24"/>
          <w:szCs w:val="24"/>
          <w:lang w:val="en-IE"/>
        </w:rPr>
        <w:t xml:space="preserve"> MCMI platform should be interoperable with existing mapping platforms monitoring the supply situation for authorised medicinal products such as the related EMA tools, or tools under development such as EUDAMED to ensure complementarity and avoid any duplication. </w:t>
      </w:r>
    </w:p>
    <w:tbl>
      <w:tblPr>
        <w:tblStyle w:val="TableGrid"/>
        <w:tblW w:w="0" w:type="auto"/>
        <w:jc w:val="center"/>
        <w:tblLook w:val="04A0" w:firstRow="1" w:lastRow="0" w:firstColumn="1" w:lastColumn="0" w:noHBand="0" w:noVBand="1"/>
      </w:tblPr>
      <w:tblGrid>
        <w:gridCol w:w="8186"/>
      </w:tblGrid>
      <w:tr w:rsidR="007D59C2" w:rsidRPr="007D59C2" w14:paraId="7AE99613" w14:textId="77777777" w:rsidTr="00BA66C9">
        <w:trPr>
          <w:trHeight w:val="416"/>
          <w:jc w:val="center"/>
        </w:trPr>
        <w:tc>
          <w:tcPr>
            <w:tcW w:w="8186" w:type="dxa"/>
            <w:tcBorders>
              <w:bottom w:val="single" w:sz="4" w:space="0" w:color="000000" w:themeColor="text1"/>
            </w:tcBorders>
            <w:shd w:val="clear" w:color="auto" w:fill="FD5C25"/>
            <w:vAlign w:val="center"/>
          </w:tcPr>
          <w:p w14:paraId="7A571C67" w14:textId="77777777" w:rsidR="007D59C2" w:rsidRPr="007D59C2" w:rsidRDefault="007D59C2" w:rsidP="007D59C2">
            <w:pPr>
              <w:tabs>
                <w:tab w:val="left" w:pos="1269"/>
                <w:tab w:val="center" w:pos="2035"/>
              </w:tabs>
              <w:jc w:val="center"/>
              <w:rPr>
                <w:b/>
                <w:i/>
                <w:noProof/>
                <w:color w:val="000000" w:themeColor="text1"/>
                <w:sz w:val="24"/>
                <w:lang w:val="en-IE"/>
              </w:rPr>
            </w:pPr>
            <w:r w:rsidRPr="007D59C2">
              <w:rPr>
                <w:b/>
                <w:i/>
                <w:noProof/>
                <w:color w:val="FFFFFF" w:themeColor="background1"/>
                <w:sz w:val="24"/>
                <w:lang w:val="en-IE"/>
              </w:rPr>
              <w:t>WHAT’S NEW?</w:t>
            </w:r>
          </w:p>
        </w:tc>
      </w:tr>
      <w:tr w:rsidR="007D59C2" w:rsidRPr="007D59C2" w14:paraId="470349D2" w14:textId="77777777" w:rsidTr="00BA66C9">
        <w:trPr>
          <w:trHeight w:val="2705"/>
          <w:jc w:val="center"/>
        </w:trPr>
        <w:tc>
          <w:tcPr>
            <w:tcW w:w="8186" w:type="dxa"/>
            <w:tcBorders>
              <w:bottom w:val="nil"/>
            </w:tcBorders>
            <w:shd w:val="clear" w:color="auto" w:fill="282896"/>
            <w:vAlign w:val="center"/>
          </w:tcPr>
          <w:p w14:paraId="6E2F3E13" w14:textId="6DC3397E" w:rsidR="007D59C2" w:rsidRPr="007D59C2" w:rsidRDefault="007D59C2" w:rsidP="007D59C2">
            <w:pPr>
              <w:spacing w:after="120" w:line="257" w:lineRule="auto"/>
              <w:rPr>
                <w:noProof/>
                <w:color w:val="FFFFFF" w:themeColor="background1"/>
                <w:lang w:val="en-IE"/>
              </w:rPr>
            </w:pPr>
            <w:r w:rsidRPr="007D59C2">
              <w:rPr>
                <w:noProof/>
                <w:color w:val="FFFFFF" w:themeColor="background1"/>
                <w:lang w:val="en-IE"/>
              </w:rPr>
              <w:t xml:space="preserve">The </w:t>
            </w:r>
            <w:r w:rsidRPr="007D59C2">
              <w:rPr>
                <w:b/>
                <w:noProof/>
                <w:color w:val="FFFFFF" w:themeColor="background1"/>
                <w:u w:val="single"/>
                <w:lang w:val="en-IE"/>
              </w:rPr>
              <w:t>HERA MCMI platform</w:t>
            </w:r>
            <w:r w:rsidRPr="007D59C2">
              <w:rPr>
                <w:b/>
                <w:i/>
                <w:noProof/>
                <w:color w:val="FFFFFF" w:themeColor="background1"/>
                <w:lang w:val="en-IE"/>
              </w:rPr>
              <w:t>,</w:t>
            </w:r>
            <w:r w:rsidRPr="007D59C2">
              <w:rPr>
                <w:noProof/>
                <w:color w:val="FFFFFF" w:themeColor="background1"/>
                <w:lang w:val="en-IE"/>
              </w:rPr>
              <w:t xml:space="preserve"> would: </w:t>
            </w:r>
          </w:p>
          <w:p w14:paraId="256D63C1" w14:textId="77777777" w:rsidR="007D59C2" w:rsidRPr="007D59C2" w:rsidRDefault="007D59C2" w:rsidP="007D59C2">
            <w:pPr>
              <w:numPr>
                <w:ilvl w:val="0"/>
                <w:numId w:val="27"/>
              </w:numPr>
              <w:ind w:left="284" w:hanging="207"/>
              <w:contextualSpacing/>
              <w:rPr>
                <w:noProof/>
                <w:color w:val="FFFFFF" w:themeColor="background1"/>
                <w:lang w:val="en-IE"/>
              </w:rPr>
            </w:pPr>
            <w:r w:rsidRPr="007D59C2">
              <w:rPr>
                <w:noProof/>
                <w:color w:val="FFFFFF" w:themeColor="background1"/>
                <w:lang w:val="en-IE"/>
              </w:rPr>
              <w:t>Establish and regularly update a list of high-impact health threats requiring medical countermeasures preparedness;</w:t>
            </w:r>
          </w:p>
          <w:p w14:paraId="70989889" w14:textId="77777777" w:rsidR="007D59C2" w:rsidRPr="007D59C2" w:rsidRDefault="007D59C2" w:rsidP="007D59C2">
            <w:pPr>
              <w:numPr>
                <w:ilvl w:val="0"/>
                <w:numId w:val="27"/>
              </w:numPr>
              <w:ind w:left="284" w:hanging="207"/>
              <w:contextualSpacing/>
              <w:rPr>
                <w:noProof/>
                <w:color w:val="FFFFFF" w:themeColor="background1"/>
                <w:lang w:val="en-IE"/>
              </w:rPr>
            </w:pPr>
            <w:r w:rsidRPr="007D59C2">
              <w:rPr>
                <w:noProof/>
                <w:color w:val="FFFFFF" w:themeColor="background1"/>
                <w:lang w:val="en-IE"/>
              </w:rPr>
              <w:t xml:space="preserve">Map and analyse existing and developing medical countermeasures, and remaining gaps; </w:t>
            </w:r>
          </w:p>
          <w:p w14:paraId="2920AD2B" w14:textId="77777777" w:rsidR="007D59C2" w:rsidRPr="007D59C2" w:rsidRDefault="007D59C2" w:rsidP="007D59C2">
            <w:pPr>
              <w:numPr>
                <w:ilvl w:val="0"/>
                <w:numId w:val="27"/>
              </w:numPr>
              <w:ind w:left="284" w:hanging="207"/>
              <w:contextualSpacing/>
              <w:rPr>
                <w:noProof/>
                <w:color w:val="FFFFFF" w:themeColor="background1"/>
                <w:lang w:val="en-IE"/>
              </w:rPr>
            </w:pPr>
            <w:r w:rsidRPr="007D59C2">
              <w:rPr>
                <w:noProof/>
                <w:color w:val="FFFFFF" w:themeColor="background1"/>
                <w:lang w:val="en-IE"/>
              </w:rPr>
              <w:t>Detect early health threats that may require medical countermeasures response;</w:t>
            </w:r>
          </w:p>
          <w:p w14:paraId="1C871AF0" w14:textId="77777777" w:rsidR="007D59C2" w:rsidRDefault="007D59C2" w:rsidP="007D59C2">
            <w:pPr>
              <w:numPr>
                <w:ilvl w:val="0"/>
                <w:numId w:val="27"/>
              </w:numPr>
              <w:ind w:left="284" w:hanging="207"/>
              <w:contextualSpacing/>
              <w:rPr>
                <w:noProof/>
                <w:color w:val="FFFFFF" w:themeColor="background1"/>
                <w:lang w:val="en-IE"/>
              </w:rPr>
            </w:pPr>
            <w:r w:rsidRPr="007D59C2">
              <w:rPr>
                <w:noProof/>
                <w:color w:val="FFFFFF" w:themeColor="background1"/>
                <w:lang w:val="en-IE"/>
              </w:rPr>
              <w:t>Evaluate rapidly health threats in order to identify the relevant medical countermeasures response.</w:t>
            </w:r>
          </w:p>
          <w:p w14:paraId="65A00596" w14:textId="1DBB38A4" w:rsidR="00E81FB4" w:rsidRPr="007D59C2" w:rsidRDefault="00E81FB4" w:rsidP="007D59C2">
            <w:pPr>
              <w:numPr>
                <w:ilvl w:val="0"/>
                <w:numId w:val="27"/>
              </w:numPr>
              <w:ind w:left="284" w:hanging="207"/>
              <w:contextualSpacing/>
              <w:rPr>
                <w:noProof/>
                <w:color w:val="FFFFFF" w:themeColor="background1"/>
                <w:lang w:val="en-IE"/>
              </w:rPr>
            </w:pPr>
            <w:r>
              <w:rPr>
                <w:noProof/>
                <w:color w:val="FFFFFF" w:themeColor="background1"/>
                <w:lang w:val="en-IE"/>
              </w:rPr>
              <w:t>Identify and manage supply chain risks for relevant medical countermeasures</w:t>
            </w:r>
          </w:p>
        </w:tc>
      </w:tr>
    </w:tbl>
    <w:p w14:paraId="6433E091" w14:textId="77777777" w:rsidR="007D59C2" w:rsidRPr="007D59C2" w:rsidRDefault="007D59C2" w:rsidP="007D59C2">
      <w:pPr>
        <w:spacing w:before="120"/>
        <w:jc w:val="both"/>
        <w:rPr>
          <w:rFonts w:ascii="Times New Roman" w:eastAsia="Times New Roman" w:hAnsi="Times New Roman" w:cs="Times New Roman"/>
          <w:noProof/>
          <w:sz w:val="24"/>
          <w:szCs w:val="24"/>
          <w:lang w:val="en-IE"/>
        </w:rPr>
      </w:pPr>
      <w:r w:rsidRPr="007D59C2">
        <w:rPr>
          <w:rFonts w:ascii="Times New Roman" w:eastAsia="Times New Roman" w:hAnsi="Times New Roman" w:cs="Times New Roman"/>
          <w:noProof/>
          <w:sz w:val="24"/>
          <w:szCs w:val="24"/>
          <w:lang w:val="en-IE"/>
        </w:rPr>
        <w:t>The MCMI platform will cover strict security requirements to facilitate the exchange of information with other secured platforms while preserving the integrity of the whole IT architecture, including robustness to cyber threats and the protection of commercial data. Data protection is an important aspect in the context of the MCMI platform. With regards to personal data, when relevant such as for technical support or user access to the platform purposes, its protection will be ensured in accordance with the Regulation on Protection of individuals with regard to the processing of personal data by EU institutions, bodies, offices and agencies</w:t>
      </w:r>
      <w:r w:rsidRPr="007D59C2">
        <w:rPr>
          <w:rFonts w:ascii="Times New Roman" w:eastAsia="Times New Roman" w:hAnsi="Times New Roman" w:cs="Times New Roman"/>
          <w:noProof/>
          <w:sz w:val="24"/>
          <w:szCs w:val="24"/>
          <w:vertAlign w:val="superscript"/>
          <w:lang w:val="en-IE"/>
        </w:rPr>
        <w:footnoteReference w:id="24"/>
      </w:r>
      <w:r w:rsidRPr="007D59C2">
        <w:rPr>
          <w:rFonts w:ascii="Times New Roman" w:eastAsia="Times New Roman" w:hAnsi="Times New Roman" w:cs="Times New Roman"/>
          <w:noProof/>
          <w:sz w:val="24"/>
          <w:szCs w:val="24"/>
          <w:lang w:val="en-IE"/>
        </w:rPr>
        <w:t>.</w:t>
      </w:r>
    </w:p>
    <w:p w14:paraId="353B0E5E" w14:textId="65619882" w:rsidR="007D59C2" w:rsidRPr="007D59C2" w:rsidRDefault="007D59C2" w:rsidP="007D59C2">
      <w:pPr>
        <w:jc w:val="both"/>
        <w:rPr>
          <w:rFonts w:ascii="Times New Roman" w:eastAsia="Times New Roman" w:hAnsi="Times New Roman" w:cs="Times New Roman"/>
          <w:noProof/>
          <w:sz w:val="24"/>
          <w:szCs w:val="24"/>
          <w:lang w:val="en-IE"/>
        </w:rPr>
      </w:pPr>
      <w:r w:rsidRPr="007D59C2">
        <w:rPr>
          <w:rFonts w:ascii="Times New Roman" w:eastAsia="Times New Roman" w:hAnsi="Times New Roman" w:cs="Times New Roman"/>
          <w:noProof/>
          <w:sz w:val="24"/>
          <w:szCs w:val="24"/>
          <w:lang w:val="en-IE"/>
        </w:rPr>
        <w:t>Through HERA, the Commission is also working on establishing partnerships with relevant stakeholders with the aim to advance real-time data and intelligence exchange on threats and collaborative surveillance in order to improve threat detection capacities in relation to medical countermeasures.  It is supporting the technological development of the E</w:t>
      </w:r>
      <w:r w:rsidR="004674F3">
        <w:rPr>
          <w:rFonts w:ascii="Times New Roman" w:eastAsia="Times New Roman" w:hAnsi="Times New Roman" w:cs="Times New Roman"/>
          <w:noProof/>
          <w:sz w:val="24"/>
          <w:szCs w:val="24"/>
          <w:lang w:val="en-IE"/>
        </w:rPr>
        <w:t>pidemic Intelligence from Open Sources (EIOS)</w:t>
      </w:r>
      <w:r w:rsidRPr="007D59C2">
        <w:rPr>
          <w:rFonts w:ascii="Times New Roman" w:eastAsia="Times New Roman" w:hAnsi="Times New Roman" w:cs="Times New Roman"/>
          <w:noProof/>
          <w:sz w:val="24"/>
          <w:szCs w:val="24"/>
          <w:lang w:val="en-IE"/>
        </w:rPr>
        <w:t xml:space="preserve"> Platform hosted within the WHO Hub for Pandemic and Epidemic Intelligence. The EIOS platform is designed to bring together existing initiatives, networks and systems to create a unified all-hazards approach to early detection, verification, assessment and communication of public health threats. </w:t>
      </w:r>
    </w:p>
    <w:p w14:paraId="35A2F102" w14:textId="77777777" w:rsidR="007D59C2" w:rsidRPr="007D59C2" w:rsidRDefault="007D59C2" w:rsidP="007D59C2">
      <w:pPr>
        <w:jc w:val="both"/>
        <w:rPr>
          <w:rFonts w:ascii="Times New Roman" w:eastAsia="Times New Roman" w:hAnsi="Times New Roman" w:cs="Times New Roman"/>
          <w:noProof/>
          <w:sz w:val="24"/>
          <w:szCs w:val="24"/>
          <w:lang w:val="en-IE"/>
        </w:rPr>
      </w:pPr>
      <w:r w:rsidRPr="007D59C2">
        <w:rPr>
          <w:rFonts w:ascii="Times New Roman" w:eastAsia="Times New Roman" w:hAnsi="Times New Roman" w:cs="Times New Roman"/>
          <w:noProof/>
          <w:sz w:val="24"/>
          <w:szCs w:val="24"/>
          <w:lang w:val="en-GB" w:eastAsia="en-GB"/>
        </w:rPr>
        <w:drawing>
          <wp:inline distT="0" distB="0" distL="0" distR="0" wp14:anchorId="4708EE8D" wp14:editId="3CB47E8D">
            <wp:extent cx="5929630" cy="1216660"/>
            <wp:effectExtent l="0" t="0" r="0" b="2540"/>
            <wp:docPr id="12" name="Picture 12" descr="HERA MCMI 2n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A MCMI 2nd b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9630" cy="1216660"/>
                    </a:xfrm>
                    <a:prstGeom prst="rect">
                      <a:avLst/>
                    </a:prstGeom>
                    <a:noFill/>
                    <a:ln>
                      <a:noFill/>
                    </a:ln>
                  </pic:spPr>
                </pic:pic>
              </a:graphicData>
            </a:graphic>
          </wp:inline>
        </w:drawing>
      </w:r>
    </w:p>
    <w:p w14:paraId="4704B0CB" w14:textId="77777777" w:rsidR="007D59C2" w:rsidRPr="007D59C2" w:rsidRDefault="007D59C2" w:rsidP="007D59C2">
      <w:pPr>
        <w:keepNext/>
        <w:keepLines/>
        <w:numPr>
          <w:ilvl w:val="1"/>
          <w:numId w:val="5"/>
        </w:numPr>
        <w:spacing w:before="160" w:line="240" w:lineRule="auto"/>
        <w:outlineLvl w:val="2"/>
        <w:rPr>
          <w:rFonts w:asciiTheme="majorHAnsi" w:eastAsia="Times New Roman" w:hAnsiTheme="majorHAnsi" w:cstheme="majorBidi"/>
          <w:b/>
          <w:noProof/>
          <w:color w:val="002060"/>
          <w:sz w:val="24"/>
          <w:szCs w:val="28"/>
        </w:rPr>
      </w:pPr>
      <w:bookmarkStart w:id="130" w:name="_Toc114267942"/>
      <w:bookmarkStart w:id="131" w:name="_Toc1789090435"/>
      <w:bookmarkStart w:id="132" w:name="_Toc1956762214"/>
      <w:bookmarkStart w:id="133" w:name="_Toc204323306"/>
      <w:bookmarkStart w:id="134" w:name="_Toc1196274126"/>
      <w:bookmarkStart w:id="135" w:name="_Toc985779991"/>
      <w:bookmarkStart w:id="136" w:name="_Toc306657304"/>
      <w:bookmarkStart w:id="137" w:name="_Toc26801365"/>
      <w:bookmarkStart w:id="138" w:name="_Toc819350988"/>
      <w:bookmarkStart w:id="139" w:name="_Toc1661563448"/>
      <w:bookmarkStart w:id="140" w:name="_Toc1407854467"/>
      <w:bookmarkStart w:id="141" w:name="_Toc579672943"/>
      <w:bookmarkStart w:id="142" w:name="_Toc563390304"/>
      <w:bookmarkStart w:id="143" w:name="_Toc1763135843"/>
      <w:bookmarkStart w:id="144" w:name="_Toc1120008274"/>
      <w:bookmarkStart w:id="145" w:name="_Toc2023362686"/>
      <w:bookmarkStart w:id="146" w:name="_Toc880195945"/>
      <w:bookmarkStart w:id="147" w:name="_Toc1869794860"/>
      <w:bookmarkStart w:id="148" w:name="_Toc789367533"/>
      <w:bookmarkStart w:id="149" w:name="_Toc997751482"/>
      <w:bookmarkStart w:id="150" w:name="_Toc53651631"/>
      <w:bookmarkStart w:id="151" w:name="_Toc1829072191"/>
      <w:bookmarkStart w:id="152" w:name="_Toc1006097624"/>
      <w:bookmarkStart w:id="153" w:name="_Toc872331390"/>
      <w:bookmarkStart w:id="154" w:name="_Toc831869643"/>
      <w:bookmarkStart w:id="155" w:name="_Toc1597876531"/>
      <w:bookmarkStart w:id="156" w:name="_Toc630566741"/>
      <w:r w:rsidRPr="007D59C2">
        <w:rPr>
          <w:rFonts w:asciiTheme="majorHAnsi" w:eastAsia="Times New Roman" w:hAnsiTheme="majorHAnsi" w:cstheme="majorBidi"/>
          <w:b/>
          <w:noProof/>
          <w:color w:val="002060"/>
          <w:sz w:val="24"/>
          <w:szCs w:val="28"/>
        </w:rPr>
        <w:t xml:space="preserve"> </w:t>
      </w:r>
      <w:bookmarkStart w:id="157" w:name="_Toc120631056"/>
      <w:r w:rsidRPr="007D59C2">
        <w:rPr>
          <w:rFonts w:asciiTheme="majorHAnsi" w:eastAsia="Times New Roman" w:hAnsiTheme="majorHAnsi" w:cstheme="majorBidi"/>
          <w:b/>
          <w:noProof/>
          <w:color w:val="002060"/>
          <w:sz w:val="24"/>
          <w:szCs w:val="28"/>
        </w:rPr>
        <w:t>Support capacities for epidemiological surveillance</w:t>
      </w:r>
      <w:bookmarkEnd w:id="157"/>
      <w:r w:rsidRPr="007D59C2">
        <w:rPr>
          <w:rFonts w:asciiTheme="majorHAnsi" w:eastAsia="Times New Roman" w:hAnsiTheme="majorHAnsi" w:cstheme="majorBidi"/>
          <w:b/>
          <w:noProof/>
          <w:color w:val="002060"/>
          <w:sz w:val="24"/>
          <w:szCs w:val="28"/>
        </w:rPr>
        <w:t xml:space="preserve"> </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19FF3823" w14:textId="77777777" w:rsidR="007D59C2" w:rsidRPr="007D59C2" w:rsidRDefault="007D59C2" w:rsidP="007D59C2">
      <w:pPr>
        <w:jc w:val="both"/>
        <w:rPr>
          <w:rFonts w:ascii="Times New Roman" w:hAnsi="Times New Roman" w:cs="Times New Roman"/>
          <w:noProof/>
          <w:sz w:val="24"/>
          <w:szCs w:val="24"/>
          <w:lang w:val="en-IE"/>
        </w:rPr>
      </w:pPr>
      <w:r w:rsidRPr="007D59C2">
        <w:rPr>
          <w:rFonts w:ascii="Times New Roman" w:hAnsi="Times New Roman" w:cs="Times New Roman"/>
          <w:noProof/>
          <w:sz w:val="24"/>
          <w:szCs w:val="24"/>
        </w:rPr>
        <w:t>The l</w:t>
      </w:r>
      <w:r w:rsidRPr="007D59C2">
        <w:rPr>
          <w:rFonts w:ascii="Times New Roman" w:hAnsi="Times New Roman" w:cs="Times New Roman"/>
          <w:noProof/>
          <w:sz w:val="24"/>
          <w:szCs w:val="24"/>
          <w:lang w:val="en-IE"/>
        </w:rPr>
        <w:t xml:space="preserve">ack of swiftly available, comparable and complete surveillance data at the start of the </w:t>
      </w:r>
      <w:r w:rsidRPr="007D59C2">
        <w:rPr>
          <w:rFonts w:ascii="Times New Roman" w:hAnsi="Times New Roman" w:cs="Times New Roman"/>
          <w:b/>
          <w:noProof/>
          <w:sz w:val="24"/>
          <w:szCs w:val="24"/>
          <w:lang w:val="en-IE"/>
        </w:rPr>
        <w:t>pandemic posed a challenge to the monitoring of the evolution of the virus over time and</w:t>
      </w:r>
      <w:r w:rsidRPr="007D59C2">
        <w:rPr>
          <w:rFonts w:ascii="Times New Roman" w:hAnsi="Times New Roman" w:cs="Times New Roman"/>
          <w:noProof/>
          <w:sz w:val="24"/>
          <w:szCs w:val="24"/>
          <w:lang w:val="en-IE"/>
        </w:rPr>
        <w:t xml:space="preserve"> across Member States. </w:t>
      </w:r>
    </w:p>
    <w:p w14:paraId="6F1948C4" w14:textId="77777777" w:rsidR="007D59C2" w:rsidRPr="007D59C2" w:rsidRDefault="007D59C2" w:rsidP="007D59C2">
      <w:pPr>
        <w:jc w:val="both"/>
        <w:rPr>
          <w:rFonts w:ascii="Times New Roman" w:hAnsi="Times New Roman" w:cs="Times New Roman"/>
          <w:noProof/>
          <w:sz w:val="24"/>
          <w:szCs w:val="24"/>
          <w:lang w:val="en-IE"/>
        </w:rPr>
      </w:pPr>
      <w:r w:rsidRPr="007D59C2">
        <w:rPr>
          <w:rFonts w:ascii="Times New Roman" w:hAnsi="Times New Roman" w:cs="Times New Roman"/>
          <w:noProof/>
          <w:sz w:val="24"/>
          <w:szCs w:val="24"/>
          <w:lang w:val="en-IE"/>
        </w:rPr>
        <w:t xml:space="preserve">Building on the initiatives put in place in response to the pandemic, additional actions have been taken to bolster surveillance capacity and update surveillance systems in the EU to better assess and anticipate the need for medical countermeasures. Firstly, the Commission, in collaboration with ECDC, is supporting Member States to </w:t>
      </w:r>
      <w:r w:rsidRPr="007D59C2">
        <w:rPr>
          <w:rFonts w:ascii="Times New Roman" w:hAnsi="Times New Roman" w:cs="Times New Roman"/>
          <w:b/>
          <w:bCs/>
          <w:noProof/>
          <w:sz w:val="24"/>
          <w:szCs w:val="24"/>
          <w:lang w:val="en-IE"/>
        </w:rPr>
        <w:t>reinforce their testing and genome sequencing capacities with EUR 39 million</w:t>
      </w:r>
      <w:r w:rsidRPr="007D59C2">
        <w:rPr>
          <w:rFonts w:ascii="Times New Roman" w:hAnsi="Times New Roman" w:cs="Times New Roman"/>
          <w:bCs/>
          <w:noProof/>
          <w:sz w:val="24"/>
          <w:szCs w:val="24"/>
          <w:lang w:val="en-IE"/>
        </w:rPr>
        <w:t xml:space="preserve"> worth of grants under the EU4Health 2022 programme to be implemented in 2023 and 2024</w:t>
      </w:r>
      <w:r w:rsidRPr="007D59C2">
        <w:rPr>
          <w:rFonts w:ascii="Times New Roman" w:hAnsi="Times New Roman" w:cs="Times New Roman"/>
          <w:noProof/>
          <w:sz w:val="24"/>
          <w:szCs w:val="24"/>
          <w:lang w:val="en-IE"/>
        </w:rPr>
        <w:t>. This should help improve national surveillance systems and capacities with the aim of providing more detailed information on the pathogens circulating and improve surveillance data generated at the EU level to inform actions in relation to medical countermeasures. It should also result in better fed intelligence gathering and decision support systems for priority health threats including AMR.</w:t>
      </w:r>
    </w:p>
    <w:p w14:paraId="38096DEE" w14:textId="77777777" w:rsidR="007D59C2" w:rsidRPr="007D59C2" w:rsidRDefault="007D59C2" w:rsidP="007D59C2">
      <w:pPr>
        <w:jc w:val="both"/>
        <w:rPr>
          <w:rFonts w:ascii="Times New Roman" w:hAnsi="Times New Roman" w:cs="Times New Roman"/>
          <w:noProof/>
          <w:sz w:val="24"/>
          <w:szCs w:val="24"/>
          <w:lang w:val="en-GB"/>
        </w:rPr>
      </w:pPr>
      <w:r w:rsidRPr="007D59C2">
        <w:rPr>
          <w:rFonts w:ascii="Times New Roman" w:hAnsi="Times New Roman" w:cs="Times New Roman"/>
          <w:noProof/>
          <w:sz w:val="24"/>
          <w:szCs w:val="24"/>
          <w:lang w:val="en-IE"/>
        </w:rPr>
        <w:t xml:space="preserve">Secondly, the Commission is supporting </w:t>
      </w:r>
      <w:r w:rsidRPr="007D59C2">
        <w:rPr>
          <w:rFonts w:ascii="Times New Roman" w:hAnsi="Times New Roman" w:cs="Times New Roman"/>
          <w:b/>
          <w:bCs/>
          <w:noProof/>
          <w:sz w:val="24"/>
          <w:szCs w:val="24"/>
          <w:lang w:val="en-IE"/>
        </w:rPr>
        <w:t xml:space="preserve">intelligence gathering from the surrounding environment. </w:t>
      </w:r>
      <w:r w:rsidRPr="007D59C2">
        <w:rPr>
          <w:rFonts w:ascii="Times New Roman" w:hAnsi="Times New Roman" w:cs="Times New Roman"/>
          <w:bCs/>
          <w:noProof/>
          <w:sz w:val="24"/>
          <w:szCs w:val="24"/>
          <w:lang w:val="en-IE"/>
        </w:rPr>
        <w:t>During the pandemic it supported</w:t>
      </w:r>
      <w:r w:rsidRPr="007D59C2">
        <w:rPr>
          <w:rFonts w:ascii="Times New Roman" w:hAnsi="Times New Roman" w:cs="Times New Roman"/>
          <w:b/>
          <w:bCs/>
          <w:noProof/>
          <w:sz w:val="24"/>
          <w:szCs w:val="24"/>
          <w:lang w:val="en-IE"/>
        </w:rPr>
        <w:t xml:space="preserve"> </w:t>
      </w:r>
      <w:r w:rsidRPr="007D59C2">
        <w:rPr>
          <w:rFonts w:ascii="Times New Roman" w:hAnsi="Times New Roman" w:cs="Times New Roman"/>
          <w:noProof/>
          <w:sz w:val="24"/>
          <w:szCs w:val="24"/>
          <w:lang w:val="en-GB"/>
        </w:rPr>
        <w:t xml:space="preserve">the reinforcement of </w:t>
      </w:r>
      <w:r w:rsidRPr="007D59C2">
        <w:rPr>
          <w:rFonts w:ascii="Times New Roman" w:hAnsi="Times New Roman" w:cs="Times New Roman"/>
          <w:noProof/>
          <w:sz w:val="24"/>
          <w:szCs w:val="24"/>
          <w:lang w:val="en-IE"/>
        </w:rPr>
        <w:t xml:space="preserve">wastewater surveillance capacities with EUR 20 million grant awarded in December 2021 from the Emergency Support Instrument (ESI). </w:t>
      </w:r>
      <w:r w:rsidRPr="007D59C2">
        <w:rPr>
          <w:rFonts w:ascii="Times New Roman" w:eastAsia="Times New Roman" w:hAnsi="Times New Roman" w:cs="Times New Roman"/>
          <w:noProof/>
          <w:sz w:val="24"/>
          <w:szCs w:val="24"/>
          <w:lang w:val="en-GB"/>
        </w:rPr>
        <w:t>As of March 2022, there were 1370 wastewater treatment plants under regular surveillance across the EU</w:t>
      </w:r>
      <w:r w:rsidRPr="007D59C2">
        <w:rPr>
          <w:rFonts w:ascii="Times New Roman" w:eastAsia="Times New Roman" w:hAnsi="Times New Roman" w:cs="Times New Roman"/>
          <w:noProof/>
          <w:sz w:val="24"/>
          <w:szCs w:val="24"/>
          <w:vertAlign w:val="superscript"/>
          <w:lang w:val="en-GB"/>
        </w:rPr>
        <w:footnoteReference w:id="25"/>
      </w:r>
      <w:r w:rsidRPr="007D59C2">
        <w:rPr>
          <w:rFonts w:ascii="Times New Roman" w:eastAsia="Times New Roman" w:hAnsi="Times New Roman" w:cs="Times New Roman"/>
          <w:noProof/>
          <w:sz w:val="24"/>
          <w:szCs w:val="24"/>
          <w:lang w:val="en-GB"/>
        </w:rPr>
        <w:t xml:space="preserve">. </w:t>
      </w:r>
      <w:r w:rsidRPr="007D59C2">
        <w:rPr>
          <w:rFonts w:ascii="Times New Roman" w:hAnsi="Times New Roman" w:cs="Times New Roman"/>
          <w:noProof/>
          <w:sz w:val="24"/>
          <w:szCs w:val="24"/>
          <w:lang w:val="en-IE"/>
        </w:rPr>
        <w:t xml:space="preserve"> This has enabled to strengthen Member States’ capacity to track viral presence in wastewater samples. The Commission now seeks to institutionalise wastewater surveillance across the EU. The Commission will also support the development of an EU-level wastewater sentinel system to allow for the testing of samples through centralised partner laboratories for a number of serious cross-border health threats. The first pilot of the system should start in early 2023.</w:t>
      </w:r>
    </w:p>
    <w:p w14:paraId="5CCB1E7F" w14:textId="77777777" w:rsidR="007D59C2" w:rsidRPr="007D59C2" w:rsidRDefault="007D59C2" w:rsidP="007D59C2">
      <w:pPr>
        <w:jc w:val="both"/>
        <w:rPr>
          <w:rFonts w:ascii="Times New Roman" w:hAnsi="Times New Roman" w:cs="Times New Roman"/>
          <w:noProof/>
          <w:sz w:val="24"/>
          <w:szCs w:val="24"/>
          <w:lang w:val="en-IE"/>
        </w:rPr>
      </w:pPr>
      <w:r w:rsidRPr="007D59C2">
        <w:rPr>
          <w:rFonts w:ascii="Times New Roman" w:hAnsi="Times New Roman" w:cs="Times New Roman"/>
          <w:bCs/>
          <w:noProof/>
          <w:sz w:val="24"/>
          <w:szCs w:val="24"/>
          <w:lang w:val="en-IE"/>
        </w:rPr>
        <w:t>Thirdly, the Commission will soon establish</w:t>
      </w:r>
      <w:r w:rsidRPr="007D59C2">
        <w:rPr>
          <w:rFonts w:ascii="Times New Roman" w:hAnsi="Times New Roman" w:cs="Times New Roman"/>
          <w:b/>
          <w:noProof/>
          <w:sz w:val="24"/>
          <w:szCs w:val="24"/>
          <w:lang w:val="en-IE"/>
        </w:rPr>
        <w:t xml:space="preserve"> a network of laboratories and research institutes with global reach </w:t>
      </w:r>
      <w:r w:rsidRPr="007D59C2">
        <w:rPr>
          <w:rFonts w:ascii="Times New Roman" w:hAnsi="Times New Roman" w:cs="Times New Roman"/>
          <w:noProof/>
          <w:sz w:val="24"/>
          <w:szCs w:val="24"/>
          <w:lang w:val="en-IE"/>
        </w:rPr>
        <w:t>to contribute to the early detection of emerging health threats, to achieve a better level of preparedness and to coordinate response activities. The network will improve epidemiological analysis by providing access to a wide range of biological samples and by helping to characterise emerging pathogens. It will feed this data into the intelligence gathering systems.</w:t>
      </w:r>
      <w:r w:rsidRPr="007D59C2">
        <w:rPr>
          <w:noProof/>
          <w:lang w:val="en-GB"/>
        </w:rPr>
        <w:t xml:space="preserve"> </w:t>
      </w:r>
      <w:r w:rsidRPr="007D59C2">
        <w:rPr>
          <w:rFonts w:ascii="Times New Roman" w:hAnsi="Times New Roman" w:cs="Times New Roman"/>
          <w:noProof/>
          <w:sz w:val="24"/>
          <w:szCs w:val="24"/>
          <w:lang w:val="en-IE"/>
        </w:rPr>
        <w:t xml:space="preserve">The network will inform the Commission’s decision making with respect to medical countermeasures by providing a timely, targeted, and tailored input on the identified health threat and rapid identification and assessment of relevant diagnostic, preventive, protective and therapeutic medical countermeasures, existing and under development. </w:t>
      </w:r>
    </w:p>
    <w:p w14:paraId="775DE292" w14:textId="77777777" w:rsidR="007D59C2" w:rsidRPr="007D59C2" w:rsidRDefault="007D59C2" w:rsidP="007D59C2">
      <w:pPr>
        <w:jc w:val="both"/>
        <w:rPr>
          <w:rFonts w:ascii="Times New Roman" w:hAnsi="Times New Roman" w:cs="Times New Roman"/>
          <w:noProof/>
          <w:sz w:val="24"/>
          <w:szCs w:val="24"/>
          <w:lang w:val="en-IE"/>
        </w:rPr>
      </w:pPr>
      <w:r w:rsidRPr="007D59C2">
        <w:rPr>
          <w:rFonts w:ascii="Times New Roman" w:hAnsi="Times New Roman" w:cs="Times New Roman"/>
          <w:noProof/>
          <w:sz w:val="24"/>
          <w:szCs w:val="24"/>
          <w:lang w:val="en-IE"/>
        </w:rPr>
        <w:t xml:space="preserve">In addition to actions at EU level, the Commission is </w:t>
      </w:r>
      <w:r w:rsidRPr="007D59C2">
        <w:rPr>
          <w:rFonts w:ascii="Times New Roman" w:hAnsi="Times New Roman" w:cs="Times New Roman"/>
          <w:b/>
          <w:noProof/>
          <w:sz w:val="24"/>
          <w:szCs w:val="24"/>
          <w:lang w:val="en-IE"/>
        </w:rPr>
        <w:t>contributing to global initiatives</w:t>
      </w:r>
      <w:r w:rsidRPr="007D59C2">
        <w:rPr>
          <w:rFonts w:ascii="Times New Roman" w:hAnsi="Times New Roman" w:cs="Times New Roman"/>
          <w:noProof/>
          <w:sz w:val="24"/>
          <w:szCs w:val="24"/>
          <w:lang w:val="en-IE"/>
        </w:rPr>
        <w:t xml:space="preserve"> </w:t>
      </w:r>
      <w:r w:rsidRPr="007D59C2">
        <w:rPr>
          <w:rFonts w:ascii="Times New Roman" w:hAnsi="Times New Roman" w:cs="Times New Roman"/>
          <w:b/>
          <w:noProof/>
          <w:sz w:val="24"/>
          <w:szCs w:val="24"/>
          <w:lang w:val="en-IE"/>
        </w:rPr>
        <w:t xml:space="preserve">to improve global surveillance. </w:t>
      </w:r>
      <w:r w:rsidRPr="007D59C2">
        <w:rPr>
          <w:rFonts w:ascii="Times New Roman" w:hAnsi="Times New Roman" w:cs="Times New Roman"/>
          <w:noProof/>
          <w:sz w:val="24"/>
          <w:szCs w:val="24"/>
          <w:lang w:val="en-IE"/>
        </w:rPr>
        <w:t>More specifically, the Commission is supporting the development of sequencing capacity in Africa,</w:t>
      </w:r>
      <w:r w:rsidRPr="007D59C2">
        <w:rPr>
          <w:rFonts w:ascii="Times New Roman" w:hAnsi="Times New Roman" w:cs="Times New Roman"/>
          <w:b/>
          <w:noProof/>
          <w:sz w:val="24"/>
          <w:szCs w:val="24"/>
          <w:lang w:val="en-IE"/>
        </w:rPr>
        <w:t xml:space="preserve"> </w:t>
      </w:r>
      <w:r w:rsidRPr="007D59C2">
        <w:rPr>
          <w:rFonts w:ascii="Times New Roman" w:hAnsi="Times New Roman" w:cs="Times New Roman"/>
          <w:noProof/>
          <w:sz w:val="24"/>
          <w:szCs w:val="24"/>
          <w:lang w:val="en-IE"/>
        </w:rPr>
        <w:t>in collaboration with the African Centre for Disease Control and Prevention (ACDC) and the Pathogen Genomics Initiative, as well as data collection on emerging pathogens in Africa in collaboration with WHO AFRO.</w:t>
      </w:r>
    </w:p>
    <w:p w14:paraId="67CA0594" w14:textId="77777777" w:rsidR="007D59C2" w:rsidRPr="007D59C2" w:rsidRDefault="007D59C2" w:rsidP="007D59C2">
      <w:pPr>
        <w:jc w:val="both"/>
        <w:rPr>
          <w:rFonts w:ascii="Times New Roman" w:hAnsi="Times New Roman" w:cs="Times New Roman"/>
          <w:noProof/>
          <w:sz w:val="24"/>
          <w:szCs w:val="24"/>
          <w:lang w:val="en-IE"/>
        </w:rPr>
      </w:pPr>
      <w:r w:rsidRPr="007D59C2">
        <w:rPr>
          <w:rFonts w:ascii="Times New Roman" w:hAnsi="Times New Roman" w:cs="Times New Roman"/>
          <w:noProof/>
          <w:sz w:val="24"/>
          <w:szCs w:val="24"/>
          <w:lang w:val="en-GB" w:eastAsia="en-GB"/>
        </w:rPr>
        <w:drawing>
          <wp:inline distT="0" distB="0" distL="0" distR="0" wp14:anchorId="7367AD34" wp14:editId="6B6C96C1">
            <wp:extent cx="5929200" cy="1616597"/>
            <wp:effectExtent l="0" t="0" r="0" b="3175"/>
            <wp:docPr id="11" name="Picture 11" descr="network of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 of laborator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9200" cy="1616597"/>
                    </a:xfrm>
                    <a:prstGeom prst="rect">
                      <a:avLst/>
                    </a:prstGeom>
                    <a:noFill/>
                    <a:ln>
                      <a:noFill/>
                    </a:ln>
                  </pic:spPr>
                </pic:pic>
              </a:graphicData>
            </a:graphic>
          </wp:inline>
        </w:drawing>
      </w:r>
    </w:p>
    <w:p w14:paraId="4C44F96C" w14:textId="77777777" w:rsidR="007D59C2" w:rsidRPr="007D59C2" w:rsidRDefault="007D59C2" w:rsidP="007D59C2">
      <w:pPr>
        <w:keepNext/>
        <w:keepLines/>
        <w:numPr>
          <w:ilvl w:val="0"/>
          <w:numId w:val="5"/>
        </w:numPr>
        <w:spacing w:before="160" w:line="240" w:lineRule="auto"/>
        <w:outlineLvl w:val="1"/>
        <w:rPr>
          <w:rFonts w:asciiTheme="majorHAnsi" w:eastAsia="Times New Roman" w:hAnsiTheme="majorHAnsi" w:cstheme="majorBidi"/>
          <w:b/>
          <w:noProof/>
          <w:color w:val="002060"/>
          <w:sz w:val="24"/>
          <w:szCs w:val="28"/>
        </w:rPr>
      </w:pPr>
      <w:bookmarkStart w:id="158" w:name="_Toc120631057"/>
      <w:bookmarkStart w:id="159" w:name="_Toc623632639"/>
      <w:bookmarkStart w:id="160" w:name="_Toc780208155"/>
      <w:bookmarkStart w:id="161" w:name="_Toc2147222199"/>
      <w:bookmarkStart w:id="162" w:name="_Toc38613173"/>
      <w:bookmarkStart w:id="163" w:name="_Toc643432685"/>
      <w:bookmarkStart w:id="164" w:name="_Toc2137262888"/>
      <w:bookmarkStart w:id="165" w:name="_Toc1460882290"/>
      <w:bookmarkStart w:id="166" w:name="_Toc539649747"/>
      <w:bookmarkStart w:id="167" w:name="_Toc62341185"/>
      <w:bookmarkStart w:id="168" w:name="_Toc311858318"/>
      <w:bookmarkStart w:id="169" w:name="_Toc1823495702"/>
      <w:bookmarkStart w:id="170" w:name="_Toc1102511908"/>
      <w:bookmarkStart w:id="171" w:name="_Toc195445521"/>
      <w:bookmarkStart w:id="172" w:name="_Toc1017832824"/>
      <w:bookmarkStart w:id="173" w:name="_Toc831062023"/>
      <w:bookmarkStart w:id="174" w:name="_Toc1972025132"/>
      <w:bookmarkStart w:id="175" w:name="_Toc1713805046"/>
      <w:bookmarkStart w:id="176" w:name="_Toc1789965821"/>
      <w:bookmarkStart w:id="177" w:name="_Toc744572081"/>
      <w:bookmarkStart w:id="178" w:name="_Toc1085619161"/>
      <w:bookmarkStart w:id="179" w:name="_Toc394205596"/>
      <w:bookmarkStart w:id="180" w:name="_Toc1415540834"/>
      <w:bookmarkStart w:id="181" w:name="_Toc1441049815"/>
      <w:bookmarkStart w:id="182" w:name="_Toc1291538631"/>
      <w:bookmarkStart w:id="183" w:name="_Toc2104126986"/>
      <w:bookmarkStart w:id="184" w:name="_Toc773811725"/>
      <w:r w:rsidRPr="007D59C2">
        <w:rPr>
          <w:rFonts w:asciiTheme="majorHAnsi" w:eastAsia="Times New Roman" w:hAnsiTheme="majorHAnsi" w:cstheme="majorBidi"/>
          <w:b/>
          <w:noProof/>
          <w:color w:val="002060"/>
          <w:sz w:val="24"/>
          <w:szCs w:val="28"/>
        </w:rPr>
        <w:t>Advanced research and development of medical countermeasures</w:t>
      </w:r>
      <w:bookmarkEnd w:id="158"/>
      <w:r w:rsidRPr="007D59C2">
        <w:rPr>
          <w:rFonts w:asciiTheme="majorHAnsi" w:eastAsia="Times New Roman" w:hAnsiTheme="majorHAnsi" w:cstheme="majorBidi"/>
          <w:b/>
          <w:noProof/>
          <w:color w:val="002060"/>
          <w:sz w:val="24"/>
          <w:szCs w:val="28"/>
        </w:rPr>
        <w:t xml:space="preserve"> </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0D218B57" w14:textId="77777777" w:rsidR="007D59C2" w:rsidRPr="007D59C2" w:rsidRDefault="007D59C2" w:rsidP="007D59C2">
      <w:pPr>
        <w:jc w:val="both"/>
        <w:rPr>
          <w:rFonts w:ascii="Times New Roman" w:hAnsi="Times New Roman" w:cs="Times New Roman"/>
          <w:noProof/>
          <w:sz w:val="24"/>
          <w:szCs w:val="24"/>
          <w:lang w:val="en-IE"/>
        </w:rPr>
      </w:pPr>
      <w:r w:rsidRPr="007D59C2">
        <w:rPr>
          <w:rFonts w:ascii="Times New Roman" w:hAnsi="Times New Roman" w:cs="Times New Roman"/>
          <w:noProof/>
          <w:sz w:val="24"/>
          <w:szCs w:val="24"/>
          <w:lang w:val="en-IE"/>
        </w:rPr>
        <w:t xml:space="preserve">The unprecedented development of life-saving medical countermeasures during the pandemic drew on years of prior research into vaccine technology and coronaviruses medical countermeasures. It also benefited from the rapid, mass mobilisation of funds to enable the swift development of vaccines, therapeutics, and diagnostics. </w:t>
      </w:r>
    </w:p>
    <w:p w14:paraId="5AEB39AF" w14:textId="25018DDC" w:rsidR="007D59C2" w:rsidRPr="007D59C2" w:rsidRDefault="007D59C2" w:rsidP="007D59C2">
      <w:pPr>
        <w:ind w:right="-141"/>
        <w:jc w:val="both"/>
        <w:rPr>
          <w:rFonts w:ascii="Times New Roman" w:hAnsi="Times New Roman" w:cs="Times New Roman"/>
          <w:b/>
          <w:bCs/>
          <w:noProof/>
          <w:sz w:val="24"/>
          <w:szCs w:val="24"/>
          <w:lang w:val="en-IE"/>
        </w:rPr>
      </w:pPr>
      <w:r w:rsidRPr="007D59C2">
        <w:rPr>
          <w:rFonts w:ascii="Times New Roman" w:hAnsi="Times New Roman" w:cs="Times New Roman"/>
          <w:noProof/>
          <w:sz w:val="24"/>
          <w:szCs w:val="24"/>
          <w:lang w:val="en-IE"/>
        </w:rPr>
        <w:t xml:space="preserve">Since then research and development of stronger detection, prevention, and tackling of infectious diseases and COVID-19 has increased at national, EU, and global level. However, the pandemic demonstrated the need </w:t>
      </w:r>
      <w:r w:rsidRPr="007D59C2">
        <w:rPr>
          <w:rFonts w:ascii="Times New Roman" w:hAnsi="Times New Roman" w:cs="Times New Roman"/>
          <w:bCs/>
          <w:noProof/>
          <w:sz w:val="24"/>
          <w:szCs w:val="24"/>
          <w:lang w:val="en-IE"/>
        </w:rPr>
        <w:t>to establish a strategic and consolidated</w:t>
      </w:r>
      <w:r w:rsidRPr="007D59C2">
        <w:rPr>
          <w:rFonts w:ascii="Times New Roman" w:hAnsi="Times New Roman" w:cs="Times New Roman"/>
          <w:b/>
          <w:bCs/>
          <w:noProof/>
          <w:sz w:val="24"/>
          <w:szCs w:val="24"/>
          <w:lang w:val="en-IE"/>
        </w:rPr>
        <w:t xml:space="preserve"> research and innovation plans to better coordinate funding for research and innovation at the EU, national, (and regional) level in order to develop effective, safe, affordable medical countermeasures for pathogens with high pandemic potential, CBRN threats and AMR. </w:t>
      </w:r>
      <w:r w:rsidR="00BA3E8F">
        <w:rPr>
          <w:rFonts w:ascii="Times New Roman" w:hAnsi="Times New Roman" w:cs="Times New Roman"/>
          <w:b/>
          <w:bCs/>
          <w:noProof/>
          <w:sz w:val="24"/>
          <w:szCs w:val="24"/>
          <w:lang w:val="en-IE"/>
        </w:rPr>
        <w:t xml:space="preserve">As regards pathogens with high pandemic potential, </w:t>
      </w:r>
      <w:r w:rsidRPr="007D59C2">
        <w:rPr>
          <w:rFonts w:ascii="Times New Roman" w:hAnsi="Times New Roman" w:cs="Times New Roman"/>
          <w:b/>
          <w:bCs/>
          <w:noProof/>
          <w:sz w:val="24"/>
          <w:szCs w:val="24"/>
          <w:lang w:val="en-IE"/>
        </w:rPr>
        <w:t>the Commission is developing</w:t>
      </w:r>
      <w:r w:rsidR="00BA3E8F">
        <w:rPr>
          <w:rFonts w:ascii="Times New Roman" w:hAnsi="Times New Roman" w:cs="Times New Roman"/>
          <w:b/>
          <w:bCs/>
          <w:noProof/>
          <w:sz w:val="24"/>
          <w:szCs w:val="24"/>
          <w:lang w:val="en-IE"/>
        </w:rPr>
        <w:t>,</w:t>
      </w:r>
      <w:r w:rsidRPr="007D59C2">
        <w:rPr>
          <w:rFonts w:ascii="Times New Roman" w:hAnsi="Times New Roman" w:cs="Times New Roman"/>
          <w:b/>
          <w:bCs/>
          <w:noProof/>
          <w:sz w:val="24"/>
          <w:szCs w:val="24"/>
          <w:lang w:val="en-IE"/>
        </w:rPr>
        <w:t xml:space="preserve"> with all relevant stakeholders</w:t>
      </w:r>
      <w:r w:rsidR="00BA3E8F">
        <w:rPr>
          <w:rFonts w:ascii="Times New Roman" w:hAnsi="Times New Roman" w:cs="Times New Roman"/>
          <w:b/>
          <w:bCs/>
          <w:noProof/>
          <w:sz w:val="24"/>
          <w:szCs w:val="24"/>
          <w:lang w:val="en-IE"/>
        </w:rPr>
        <w:t>,</w:t>
      </w:r>
      <w:r w:rsidRPr="007D59C2">
        <w:rPr>
          <w:rFonts w:ascii="Times New Roman" w:hAnsi="Times New Roman" w:cs="Times New Roman"/>
          <w:b/>
          <w:bCs/>
          <w:noProof/>
          <w:sz w:val="24"/>
          <w:szCs w:val="24"/>
          <w:lang w:val="en-IE"/>
        </w:rPr>
        <w:t xml:space="preserve"> a Strategic Research and Innovation Agenda for pandemic preparedness at EU level</w:t>
      </w:r>
      <w:r w:rsidRPr="007D59C2">
        <w:rPr>
          <w:rFonts w:ascii="Times New Roman" w:hAnsi="Times New Roman" w:cs="Times New Roman"/>
          <w:bCs/>
          <w:noProof/>
          <w:sz w:val="24"/>
          <w:szCs w:val="24"/>
          <w:lang w:val="en-IE"/>
        </w:rPr>
        <w:t>.</w:t>
      </w:r>
    </w:p>
    <w:tbl>
      <w:tblPr>
        <w:tblStyle w:val="TableGrid"/>
        <w:tblW w:w="0" w:type="auto"/>
        <w:jc w:val="center"/>
        <w:tblLook w:val="04A0" w:firstRow="1" w:lastRow="0" w:firstColumn="1" w:lastColumn="0" w:noHBand="0" w:noVBand="1"/>
      </w:tblPr>
      <w:tblGrid>
        <w:gridCol w:w="8187"/>
      </w:tblGrid>
      <w:tr w:rsidR="007D59C2" w:rsidRPr="007D59C2" w14:paraId="57BFFDDC" w14:textId="77777777" w:rsidTr="00E81FB4">
        <w:trPr>
          <w:trHeight w:val="416"/>
          <w:jc w:val="center"/>
        </w:trPr>
        <w:tc>
          <w:tcPr>
            <w:tcW w:w="8187" w:type="dxa"/>
            <w:shd w:val="clear" w:color="auto" w:fill="FD5C25"/>
            <w:vAlign w:val="center"/>
          </w:tcPr>
          <w:p w14:paraId="0D10C771" w14:textId="77777777" w:rsidR="007D59C2" w:rsidRPr="007D59C2" w:rsidRDefault="007D59C2" w:rsidP="007D59C2">
            <w:pPr>
              <w:tabs>
                <w:tab w:val="left" w:pos="1269"/>
                <w:tab w:val="center" w:pos="2035"/>
              </w:tabs>
              <w:jc w:val="center"/>
              <w:rPr>
                <w:b/>
                <w:i/>
                <w:noProof/>
                <w:color w:val="000000" w:themeColor="text1"/>
                <w:sz w:val="24"/>
                <w:lang w:val="en-IE"/>
              </w:rPr>
            </w:pPr>
            <w:r w:rsidRPr="007D59C2">
              <w:rPr>
                <w:b/>
                <w:i/>
                <w:noProof/>
                <w:color w:val="FFFFFF" w:themeColor="background1"/>
                <w:sz w:val="24"/>
                <w:lang w:val="en-IE"/>
              </w:rPr>
              <w:t>WHAT’S NEW?</w:t>
            </w:r>
          </w:p>
        </w:tc>
      </w:tr>
      <w:tr w:rsidR="007D59C2" w:rsidRPr="007D59C2" w14:paraId="3091E309" w14:textId="77777777" w:rsidTr="00E81FB4">
        <w:trPr>
          <w:trHeight w:val="1973"/>
          <w:jc w:val="center"/>
        </w:trPr>
        <w:tc>
          <w:tcPr>
            <w:tcW w:w="8187" w:type="dxa"/>
            <w:shd w:val="clear" w:color="auto" w:fill="282896"/>
            <w:vAlign w:val="center"/>
          </w:tcPr>
          <w:p w14:paraId="7B7AC985" w14:textId="6C249142" w:rsidR="007D59C2" w:rsidRPr="007D59C2" w:rsidRDefault="007D59C2" w:rsidP="00DD4B7E">
            <w:pPr>
              <w:spacing w:after="120" w:line="257" w:lineRule="auto"/>
              <w:rPr>
                <w:noProof/>
                <w:color w:val="000000" w:themeColor="text1"/>
                <w:lang w:val="en-IE"/>
              </w:rPr>
            </w:pPr>
            <w:r w:rsidRPr="007D59C2">
              <w:rPr>
                <w:noProof/>
                <w:color w:val="FFFFFF" w:themeColor="background1"/>
                <w:lang w:val="en-IE"/>
              </w:rPr>
              <w:t>The Commission is expanding investment in the development of innovative medical countermeasures through “HERA INVEST”. With the support of the EIB and through InvestEU mechanisms, the Commission would invest, as of 2023, into innovative and strategic projects developing</w:t>
            </w:r>
            <w:r w:rsidR="00E81FB4">
              <w:rPr>
                <w:noProof/>
                <w:color w:val="FFFFFF" w:themeColor="background1"/>
                <w:lang w:val="en-IE"/>
              </w:rPr>
              <w:t xml:space="preserve"> and producing</w:t>
            </w:r>
            <w:r w:rsidR="00D80DE1">
              <w:rPr>
                <w:noProof/>
                <w:color w:val="FFFFFF" w:themeColor="background1"/>
                <w:lang w:val="en-IE"/>
              </w:rPr>
              <w:t>, where relevant,</w:t>
            </w:r>
            <w:r w:rsidRPr="007D59C2">
              <w:rPr>
                <w:noProof/>
                <w:color w:val="FFFFFF" w:themeColor="background1"/>
                <w:lang w:val="en-IE"/>
              </w:rPr>
              <w:t xml:space="preserve"> medical countermeasures (e.g. diagnostics, therapeutics, preventives) against priority cross-border health threats (i.e. pathogens with high pandemic potential, AMR, CBRN).</w:t>
            </w:r>
          </w:p>
        </w:tc>
      </w:tr>
    </w:tbl>
    <w:p w14:paraId="67BFA383" w14:textId="773ED403" w:rsidR="007D59C2" w:rsidRPr="007D59C2" w:rsidRDefault="007D59C2" w:rsidP="007D59C2">
      <w:pPr>
        <w:spacing w:before="120"/>
        <w:ind w:right="6"/>
        <w:jc w:val="both"/>
        <w:rPr>
          <w:rFonts w:ascii="Times New Roman" w:hAnsi="Times New Roman" w:cs="Times New Roman"/>
          <w:noProof/>
          <w:sz w:val="24"/>
          <w:szCs w:val="24"/>
          <w:lang w:val="en-IE"/>
        </w:rPr>
      </w:pPr>
      <w:r w:rsidRPr="007D59C2">
        <w:rPr>
          <w:rFonts w:ascii="Times New Roman" w:eastAsia="Times New Roman" w:hAnsi="Times New Roman" w:cs="Times New Roman"/>
          <w:noProof/>
          <w:sz w:val="24"/>
          <w:szCs w:val="24"/>
          <w:lang w:val="en-IE"/>
        </w:rPr>
        <w:t>The pandemic has also made clear that there was insufficient investment in medical countermeasures that pose a high risk for investors with regard to market-uptake. Currently, the Commission</w:t>
      </w:r>
      <w:r w:rsidRPr="007D59C2">
        <w:rPr>
          <w:rFonts w:ascii="Times New Roman" w:hAnsi="Times New Roman" w:cs="Times New Roman"/>
          <w:noProof/>
          <w:sz w:val="24"/>
          <w:szCs w:val="24"/>
          <w:lang w:val="en-IE"/>
        </w:rPr>
        <w:t xml:space="preserve"> has no standalone funding instrument to support the end-to-end development </w:t>
      </w:r>
      <w:r w:rsidR="00E81FB4">
        <w:rPr>
          <w:rFonts w:ascii="Times New Roman" w:hAnsi="Times New Roman" w:cs="Times New Roman"/>
          <w:noProof/>
          <w:sz w:val="24"/>
          <w:szCs w:val="24"/>
          <w:lang w:val="en-IE"/>
        </w:rPr>
        <w:t>and production</w:t>
      </w:r>
      <w:r w:rsidR="00D80DE1">
        <w:rPr>
          <w:rFonts w:ascii="Times New Roman" w:hAnsi="Times New Roman" w:cs="Times New Roman"/>
          <w:noProof/>
          <w:sz w:val="24"/>
          <w:szCs w:val="24"/>
          <w:lang w:val="en-IE"/>
        </w:rPr>
        <w:t>, where relevant,</w:t>
      </w:r>
      <w:r w:rsidR="00E81FB4">
        <w:rPr>
          <w:rFonts w:ascii="Times New Roman" w:hAnsi="Times New Roman" w:cs="Times New Roman"/>
          <w:noProof/>
          <w:sz w:val="24"/>
          <w:szCs w:val="24"/>
          <w:lang w:val="en-IE"/>
        </w:rPr>
        <w:t xml:space="preserve"> </w:t>
      </w:r>
      <w:r w:rsidRPr="007D59C2">
        <w:rPr>
          <w:rFonts w:ascii="Times New Roman" w:hAnsi="Times New Roman" w:cs="Times New Roman"/>
          <w:noProof/>
          <w:sz w:val="24"/>
          <w:szCs w:val="24"/>
          <w:lang w:val="en-IE"/>
        </w:rPr>
        <w:t>of innovative medical countermeasures. Hence, in 2023 the Commission will be providing EUR 100 million to top up Invest EU efforts in de-risking private investment (“HERA INVEST”) which should stimulate innovation for medical countermeasures for which currently there is insufficient market incentives. This financing instrument takes into account the experience gained in previous and existing programmes such as the Innovative Medicines Initiative (IMI1 and IMI2), the European Innovation Council (EIC) and the European Institute of Innovation and Technology (EIT).</w:t>
      </w:r>
    </w:p>
    <w:p w14:paraId="3DF0D13A" w14:textId="73715531" w:rsidR="007D59C2" w:rsidRPr="007D59C2" w:rsidRDefault="007D59C2" w:rsidP="007D59C2">
      <w:pPr>
        <w:jc w:val="both"/>
        <w:rPr>
          <w:rFonts w:ascii="Times New Roman" w:hAnsi="Times New Roman" w:cs="Times New Roman"/>
          <w:noProof/>
          <w:sz w:val="24"/>
          <w:szCs w:val="24"/>
          <w:lang w:val="en-IE"/>
        </w:rPr>
      </w:pPr>
      <w:r w:rsidRPr="007D59C2">
        <w:rPr>
          <w:rFonts w:ascii="Times New Roman" w:hAnsi="Times New Roman" w:cs="Times New Roman"/>
          <w:noProof/>
          <w:sz w:val="24"/>
          <w:szCs w:val="24"/>
          <w:lang w:val="en-IE"/>
        </w:rPr>
        <w:t>It is a priority for the Commission and Member States to continue to coordinate and support the rapid approval of clinical trials to generate high-quality clinical data. The Commission will continue to develop and fund large-scale multi-centre clinical trials such as European pandemic clinical trial platforms (such as EU-RESPONSE and VACCELERATE), with an established trial infrastructure and coordination mechanism for research preparedness</w:t>
      </w:r>
      <w:r w:rsidR="005678E1">
        <w:rPr>
          <w:rFonts w:ascii="Times New Roman" w:hAnsi="Times New Roman" w:cs="Times New Roman"/>
          <w:noProof/>
          <w:sz w:val="24"/>
          <w:szCs w:val="24"/>
          <w:lang w:val="en-IE"/>
        </w:rPr>
        <w:t>.</w:t>
      </w:r>
      <w:r w:rsidRPr="007D59C2">
        <w:rPr>
          <w:rFonts w:ascii="Times New Roman" w:hAnsi="Times New Roman" w:cs="Times New Roman"/>
          <w:noProof/>
          <w:sz w:val="24"/>
          <w:szCs w:val="24"/>
          <w:lang w:val="en-IE"/>
        </w:rPr>
        <w:t xml:space="preserve"> Moreover, in the coming years, the European regulatory environment for clinical trials will facilitate, streamline, speed up and increase transparency for multinational clinical trials also for possible new COVID-19 therapeutics and vaccines. In addition, it will ensure that the EU offers an attractive and favourable environment for carrying out clinical research on a large scale, with high standards of public transparency and safety for clinical trial participants.</w:t>
      </w:r>
    </w:p>
    <w:p w14:paraId="5A97627B" w14:textId="77777777" w:rsidR="007D59C2" w:rsidRPr="007D59C2" w:rsidRDefault="007D59C2" w:rsidP="007D59C2">
      <w:pPr>
        <w:jc w:val="both"/>
        <w:rPr>
          <w:rFonts w:ascii="Times New Roman" w:hAnsi="Times New Roman" w:cs="Times New Roman"/>
          <w:noProof/>
          <w:sz w:val="24"/>
          <w:szCs w:val="24"/>
          <w:lang w:val="en-IE"/>
        </w:rPr>
      </w:pPr>
      <w:r w:rsidRPr="007D59C2">
        <w:rPr>
          <w:rFonts w:ascii="Times New Roman" w:hAnsi="Times New Roman" w:cs="Times New Roman"/>
          <w:noProof/>
          <w:sz w:val="24"/>
          <w:szCs w:val="24"/>
          <w:lang w:val="en-IE"/>
        </w:rPr>
        <w:t xml:space="preserve">The Commission will also further participate in global coordination in the area of research and development of innovative medical countermeasures to coordinate actions at the global level and maximise the efficiency of investments to bring them to the market. </w:t>
      </w:r>
    </w:p>
    <w:p w14:paraId="7CA9DC4D" w14:textId="0576AAFD" w:rsidR="007D59C2" w:rsidRPr="007D59C2" w:rsidRDefault="00754448" w:rsidP="007D59C2">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pict w14:anchorId="3EA2E5A5">
          <v:shape id="_x0000_i1026" type="#_x0000_t75" style="width:466.5pt;height:263.25pt">
            <v:imagedata r:id="rId19" o:title="where relevant"/>
          </v:shape>
        </w:pict>
      </w:r>
    </w:p>
    <w:p w14:paraId="1B756B17" w14:textId="77777777" w:rsidR="007D59C2" w:rsidRPr="007D59C2" w:rsidRDefault="007D59C2" w:rsidP="007D59C2">
      <w:pPr>
        <w:keepNext/>
        <w:keepLines/>
        <w:numPr>
          <w:ilvl w:val="1"/>
          <w:numId w:val="6"/>
        </w:numPr>
        <w:spacing w:before="160" w:line="240" w:lineRule="auto"/>
        <w:outlineLvl w:val="2"/>
        <w:rPr>
          <w:rFonts w:asciiTheme="majorHAnsi" w:eastAsia="Times New Roman" w:hAnsiTheme="majorHAnsi" w:cstheme="majorBidi"/>
          <w:b/>
          <w:noProof/>
          <w:color w:val="002060"/>
          <w:sz w:val="24"/>
          <w:szCs w:val="28"/>
        </w:rPr>
      </w:pPr>
      <w:bookmarkStart w:id="185" w:name="_Toc114439071"/>
      <w:bookmarkStart w:id="186" w:name="_Toc114267944"/>
      <w:bookmarkStart w:id="187" w:name="_Toc1977631904"/>
      <w:bookmarkStart w:id="188" w:name="_Toc167919845"/>
      <w:bookmarkStart w:id="189" w:name="_Toc753152279"/>
      <w:bookmarkStart w:id="190" w:name="_Toc1433409025"/>
      <w:bookmarkStart w:id="191" w:name="_Toc1457070628"/>
      <w:bookmarkStart w:id="192" w:name="_Toc706367877"/>
      <w:bookmarkStart w:id="193" w:name="_Toc2121564320"/>
      <w:bookmarkStart w:id="194" w:name="_Toc169756258"/>
      <w:bookmarkStart w:id="195" w:name="_Toc1286255241"/>
      <w:bookmarkStart w:id="196" w:name="_Toc1871993788"/>
      <w:bookmarkStart w:id="197" w:name="_Toc1227650507"/>
      <w:bookmarkStart w:id="198" w:name="_Toc1002574457"/>
      <w:bookmarkStart w:id="199" w:name="_Toc1232646743"/>
      <w:bookmarkStart w:id="200" w:name="_Toc1988252969"/>
      <w:bookmarkStart w:id="201" w:name="_Toc613594393"/>
      <w:bookmarkStart w:id="202" w:name="_Toc937484795"/>
      <w:bookmarkStart w:id="203" w:name="_Toc1280940155"/>
      <w:bookmarkStart w:id="204" w:name="_Toc788555753"/>
      <w:bookmarkStart w:id="205" w:name="_Toc1186802865"/>
      <w:bookmarkStart w:id="206" w:name="_Toc820719678"/>
      <w:bookmarkStart w:id="207" w:name="_Toc2067555753"/>
      <w:bookmarkStart w:id="208" w:name="_Toc322424168"/>
      <w:bookmarkStart w:id="209" w:name="_Toc1595464084"/>
      <w:bookmarkStart w:id="210" w:name="_Toc432206908"/>
      <w:bookmarkStart w:id="211" w:name="_Toc1016051098"/>
      <w:bookmarkStart w:id="212" w:name="_Toc204310929"/>
      <w:bookmarkStart w:id="213" w:name="_Toc120631058"/>
      <w:bookmarkEnd w:id="185"/>
      <w:r w:rsidRPr="007D59C2">
        <w:rPr>
          <w:rFonts w:asciiTheme="majorHAnsi" w:eastAsia="Times New Roman" w:hAnsiTheme="majorHAnsi" w:cstheme="majorBidi"/>
          <w:b/>
          <w:noProof/>
          <w:color w:val="002060"/>
          <w:sz w:val="24"/>
          <w:szCs w:val="28"/>
        </w:rPr>
        <w:t>Vaccines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029A013D" w14:textId="77777777" w:rsidR="007D59C2" w:rsidRPr="007D59C2" w:rsidRDefault="007D59C2" w:rsidP="007D59C2">
      <w:pPr>
        <w:spacing w:line="257" w:lineRule="auto"/>
        <w:jc w:val="both"/>
        <w:rPr>
          <w:rFonts w:ascii="Times New Roman" w:hAnsi="Times New Roman" w:cs="Times New Roman"/>
          <w:noProof/>
          <w:color w:val="000000" w:themeColor="text1"/>
          <w:sz w:val="24"/>
          <w:szCs w:val="24"/>
          <w:lang w:val="en-GB"/>
        </w:rPr>
      </w:pPr>
      <w:r w:rsidRPr="007D59C2">
        <w:rPr>
          <w:rFonts w:ascii="Times New Roman" w:hAnsi="Times New Roman" w:cs="Times New Roman"/>
          <w:noProof/>
          <w:color w:val="000000" w:themeColor="text1"/>
          <w:sz w:val="24"/>
          <w:szCs w:val="24"/>
          <w:lang w:val="en-GB"/>
        </w:rPr>
        <w:t xml:space="preserve">Vaccines are critical tools </w:t>
      </w:r>
      <w:r w:rsidRPr="007D59C2">
        <w:rPr>
          <w:rFonts w:ascii="Times New Roman" w:eastAsia="Times New Roman" w:hAnsi="Times New Roman" w:cs="Times New Roman"/>
          <w:noProof/>
          <w:color w:val="000000" w:themeColor="text1"/>
          <w:sz w:val="24"/>
          <w:szCs w:val="24"/>
          <w:lang w:val="en-GB"/>
        </w:rPr>
        <w:t xml:space="preserve">to limit the impact of epidemics and pandemics. </w:t>
      </w:r>
      <w:r w:rsidRPr="007D59C2">
        <w:rPr>
          <w:rFonts w:ascii="Times New Roman" w:hAnsi="Times New Roman" w:cs="Times New Roman"/>
          <w:noProof/>
          <w:color w:val="000000" w:themeColor="text1"/>
          <w:sz w:val="24"/>
          <w:szCs w:val="24"/>
          <w:lang w:val="en-GB"/>
        </w:rPr>
        <w:t>The swift development of COVID-19 vaccines together with accelerated marketing authorisation procedures were made possible by building on years of continued investment and research in vaccines technologies and coronaviruses supported through EU framework research programmes. Under the EU Vaccines Strategy, the EU secured the world’s largest portfolio of vaccines, which was crucial to get the pandemic under control and to protect citizens</w:t>
      </w:r>
      <w:r w:rsidRPr="007D59C2">
        <w:rPr>
          <w:rFonts w:ascii="Times New Roman" w:hAnsi="Times New Roman" w:cs="Times New Roman"/>
          <w:noProof/>
          <w:color w:val="000000" w:themeColor="text1"/>
          <w:sz w:val="24"/>
          <w:szCs w:val="24"/>
          <w:lang w:val="en-IE"/>
        </w:rPr>
        <w:t xml:space="preserve"> in the EU and beyond from the most severe health impacts of the COVID-19 virus. </w:t>
      </w:r>
    </w:p>
    <w:p w14:paraId="692E3742" w14:textId="77777777" w:rsidR="007D59C2" w:rsidRPr="007D59C2" w:rsidRDefault="007D59C2" w:rsidP="007D59C2">
      <w:pPr>
        <w:spacing w:line="257" w:lineRule="auto"/>
        <w:jc w:val="both"/>
        <w:rPr>
          <w:rFonts w:ascii="Times New Roman" w:hAnsi="Times New Roman" w:cs="Times New Roman"/>
          <w:noProof/>
          <w:color w:val="000000" w:themeColor="text1"/>
          <w:sz w:val="24"/>
          <w:szCs w:val="24"/>
          <w:lang w:val="en-IE"/>
        </w:rPr>
      </w:pPr>
      <w:r w:rsidRPr="007D59C2">
        <w:rPr>
          <w:rFonts w:ascii="Times New Roman" w:hAnsi="Times New Roman" w:cs="Times New Roman"/>
          <w:noProof/>
          <w:color w:val="000000" w:themeColor="text1"/>
          <w:sz w:val="24"/>
          <w:szCs w:val="24"/>
          <w:lang w:val="en-IE"/>
        </w:rPr>
        <w:t>Member States continue to have access to safe and effective vaccines, including adapted vaccines, under the EU’s contracts. These will continue to meet the EU’s COVID-19 vaccination needs in the short-term. However, we should continue to look for new vaccines which can offer additional advantages over those currently available. Examples of such advantages could include longer duration of protection (thus increasing the time needed between booster vaccinations), a broader spectrum of protection against variants (reducing the need to constantly re-tool and adapt vaccines), greater protection against transmission (reducing the spread of the virus as well as its impact on individuals), and better storage and handling conditions (making stockpiling and global distribution significantly easier).</w:t>
      </w:r>
    </w:p>
    <w:p w14:paraId="2D0ABE5D" w14:textId="77777777" w:rsidR="007D59C2" w:rsidRPr="007D59C2" w:rsidRDefault="007D59C2" w:rsidP="007D59C2">
      <w:pPr>
        <w:spacing w:line="257" w:lineRule="auto"/>
        <w:jc w:val="both"/>
        <w:rPr>
          <w:rFonts w:ascii="Times New Roman" w:hAnsi="Times New Roman" w:cs="Times New Roman"/>
          <w:noProof/>
          <w:color w:val="000000" w:themeColor="text1"/>
          <w:sz w:val="24"/>
          <w:szCs w:val="24"/>
          <w:lang w:val="en-IE"/>
        </w:rPr>
      </w:pPr>
      <w:r w:rsidRPr="007D59C2">
        <w:rPr>
          <w:rFonts w:ascii="Times New Roman" w:hAnsi="Times New Roman" w:cs="Times New Roman"/>
          <w:noProof/>
          <w:color w:val="000000" w:themeColor="text1"/>
          <w:sz w:val="24"/>
          <w:szCs w:val="24"/>
          <w:lang w:val="en-IE"/>
        </w:rPr>
        <w:t xml:space="preserve">Via the Horizon Europe and EU4Health programmes, the EU is therefore </w:t>
      </w:r>
      <w:r w:rsidRPr="007D59C2">
        <w:rPr>
          <w:rFonts w:ascii="Times New Roman" w:hAnsi="Times New Roman" w:cs="Times New Roman"/>
          <w:b/>
          <w:bCs/>
          <w:noProof/>
          <w:color w:val="000000" w:themeColor="text1"/>
          <w:sz w:val="24"/>
          <w:szCs w:val="24"/>
          <w:lang w:val="en-IE"/>
        </w:rPr>
        <w:t xml:space="preserve">fostering the development of next generation vaccines </w:t>
      </w:r>
      <w:r w:rsidRPr="007D59C2">
        <w:rPr>
          <w:rFonts w:ascii="Times New Roman" w:hAnsi="Times New Roman" w:cs="Times New Roman"/>
          <w:noProof/>
          <w:color w:val="000000" w:themeColor="text1"/>
          <w:sz w:val="24"/>
          <w:szCs w:val="24"/>
          <w:lang w:val="en-IE"/>
        </w:rPr>
        <w:t>with alternative administration techniques (e.g. intranasal, intradermal), using novel platforms and combination vaccines that elicit broader, stronger and longer-lasting immune response</w:t>
      </w:r>
      <w:r w:rsidRPr="007D59C2" w:rsidDel="00CB07AF">
        <w:rPr>
          <w:noProof/>
          <w:sz w:val="16"/>
          <w:szCs w:val="16"/>
          <w:lang w:val="en-GB"/>
        </w:rPr>
        <w:t xml:space="preserve"> </w:t>
      </w:r>
      <w:r w:rsidRPr="007D59C2">
        <w:rPr>
          <w:rFonts w:ascii="Times New Roman" w:hAnsi="Times New Roman" w:cs="Times New Roman"/>
          <w:b/>
          <w:bCs/>
          <w:noProof/>
          <w:color w:val="000000" w:themeColor="text1"/>
          <w:sz w:val="24"/>
          <w:szCs w:val="24"/>
          <w:lang w:val="en-IE"/>
        </w:rPr>
        <w:t>as well as new vaccines targeting other infectious diseases with pandemic or epidemic potential</w:t>
      </w:r>
      <w:r w:rsidRPr="007D59C2">
        <w:rPr>
          <w:rFonts w:ascii="Times New Roman" w:hAnsi="Times New Roman" w:cs="Times New Roman"/>
          <w:noProof/>
          <w:color w:val="000000" w:themeColor="text1"/>
          <w:sz w:val="24"/>
          <w:szCs w:val="24"/>
          <w:lang w:val="en-GB"/>
        </w:rPr>
        <w:t xml:space="preserve">. </w:t>
      </w:r>
    </w:p>
    <w:p w14:paraId="1035C909" w14:textId="6EC3063F" w:rsidR="007D59C2" w:rsidRPr="007D59C2" w:rsidRDefault="005678E1" w:rsidP="007D59C2">
      <w:pPr>
        <w:spacing w:line="257" w:lineRule="auto"/>
        <w:jc w:val="both"/>
        <w:rPr>
          <w:rFonts w:ascii="Times New Roman" w:hAnsi="Times New Roman" w:cs="Times New Roman"/>
          <w:noProof/>
          <w:color w:val="000000" w:themeColor="text1"/>
          <w:sz w:val="24"/>
          <w:szCs w:val="24"/>
          <w:lang w:val="en-GB"/>
        </w:rPr>
      </w:pPr>
      <w:r>
        <w:rPr>
          <w:rFonts w:ascii="Times New Roman" w:hAnsi="Times New Roman" w:cs="Times New Roman"/>
          <w:noProof/>
          <w:color w:val="000000" w:themeColor="text1"/>
          <w:sz w:val="24"/>
          <w:szCs w:val="24"/>
          <w:lang w:val="en-IE"/>
        </w:rPr>
        <w:t>In December 2022</w:t>
      </w:r>
      <w:r w:rsidR="007D59C2" w:rsidRPr="007D59C2">
        <w:rPr>
          <w:rFonts w:ascii="Times New Roman" w:hAnsi="Times New Roman" w:cs="Times New Roman"/>
          <w:noProof/>
          <w:color w:val="000000" w:themeColor="text1"/>
          <w:sz w:val="24"/>
          <w:szCs w:val="24"/>
          <w:lang w:val="en-IE"/>
        </w:rPr>
        <w:t xml:space="preserve">, the Commission </w:t>
      </w:r>
      <w:r>
        <w:rPr>
          <w:rFonts w:ascii="Times New Roman" w:hAnsi="Times New Roman" w:cs="Times New Roman"/>
          <w:noProof/>
          <w:color w:val="000000" w:themeColor="text1"/>
          <w:sz w:val="24"/>
          <w:szCs w:val="24"/>
          <w:lang w:val="en-IE"/>
        </w:rPr>
        <w:t>will</w:t>
      </w:r>
      <w:r w:rsidR="007D59C2" w:rsidRPr="007D59C2">
        <w:rPr>
          <w:rFonts w:ascii="Times New Roman" w:hAnsi="Times New Roman" w:cs="Times New Roman"/>
          <w:noProof/>
          <w:color w:val="000000" w:themeColor="text1"/>
          <w:sz w:val="24"/>
          <w:szCs w:val="24"/>
          <w:lang w:val="en-IE"/>
        </w:rPr>
        <w:t xml:space="preserve"> bring together Member States, scientists and stakeholders to discuss a new generation of vaccines, including for COVID-19. This will help to identify priorities for support and help accelerate the research and development of promising candidates.</w:t>
      </w:r>
      <w:r w:rsidR="007D59C2" w:rsidRPr="007D59C2">
        <w:rPr>
          <w:noProof/>
          <w:lang w:val="en-GB"/>
        </w:rPr>
        <w:t xml:space="preserve"> </w:t>
      </w:r>
      <w:r w:rsidR="007D59C2" w:rsidRPr="007D59C2">
        <w:rPr>
          <w:rFonts w:ascii="Times New Roman" w:hAnsi="Times New Roman" w:cs="Times New Roman"/>
          <w:noProof/>
          <w:color w:val="000000" w:themeColor="text1"/>
          <w:sz w:val="24"/>
          <w:szCs w:val="24"/>
          <w:lang w:val="en-IE"/>
        </w:rPr>
        <w:t>The Commission intends to mobilise up to EUR 80 million in support of particularly promising “COVID-19 Vaccines 2.0” projects in 2023, using all available means</w:t>
      </w:r>
      <w:r w:rsidR="007D59C2" w:rsidRPr="007D59C2">
        <w:rPr>
          <w:rFonts w:ascii="Times New Roman" w:hAnsi="Times New Roman" w:cs="Times New Roman"/>
          <w:noProof/>
          <w:color w:val="000000" w:themeColor="text1"/>
          <w:sz w:val="24"/>
          <w:szCs w:val="24"/>
          <w:lang w:val="en-GB"/>
        </w:rPr>
        <w:t xml:space="preserve">. </w:t>
      </w:r>
    </w:p>
    <w:p w14:paraId="7A6E0A2D" w14:textId="77777777" w:rsidR="007D59C2" w:rsidRPr="007D59C2" w:rsidRDefault="007D59C2" w:rsidP="007D59C2">
      <w:pPr>
        <w:spacing w:line="257" w:lineRule="auto"/>
        <w:jc w:val="both"/>
        <w:rPr>
          <w:rFonts w:ascii="Times New Roman" w:hAnsi="Times New Roman" w:cs="Times New Roman"/>
          <w:noProof/>
          <w:color w:val="000000" w:themeColor="text1"/>
          <w:sz w:val="24"/>
          <w:szCs w:val="24"/>
          <w:lang w:val="en-IE"/>
        </w:rPr>
      </w:pPr>
      <w:r w:rsidRPr="007D59C2">
        <w:rPr>
          <w:rFonts w:ascii="Times New Roman" w:hAnsi="Times New Roman" w:cs="Times New Roman"/>
          <w:noProof/>
          <w:color w:val="000000" w:themeColor="text1"/>
          <w:sz w:val="24"/>
          <w:szCs w:val="24"/>
          <w:lang w:val="en-GB"/>
        </w:rPr>
        <w:t xml:space="preserve">Moreover, the </w:t>
      </w:r>
      <w:r w:rsidRPr="007D59C2">
        <w:rPr>
          <w:rFonts w:ascii="Times New Roman" w:hAnsi="Times New Roman" w:cs="Times New Roman"/>
          <w:noProof/>
          <w:color w:val="000000" w:themeColor="text1"/>
          <w:sz w:val="24"/>
          <w:szCs w:val="24"/>
          <w:lang w:val="en-IE"/>
        </w:rPr>
        <w:t xml:space="preserve">Commission will also support projects aimed at increasing knowledge on immunity induced by vaccines against viruses with a high pandemic potential and projects aiming at defining optimal vaccine design for certain pathogens. </w:t>
      </w:r>
    </w:p>
    <w:p w14:paraId="6A894B1E"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To support this strategic approach to vaccines development, the Commission will focus on strengthening </w:t>
      </w:r>
      <w:r w:rsidRPr="007D59C2">
        <w:rPr>
          <w:rFonts w:ascii="Times New Roman" w:eastAsia="Calibri" w:hAnsi="Times New Roman" w:cs="Times New Roman"/>
          <w:b/>
          <w:bCs/>
          <w:noProof/>
          <w:color w:val="000000" w:themeColor="text1"/>
          <w:sz w:val="24"/>
          <w:szCs w:val="24"/>
          <w:lang w:val="en-IE"/>
        </w:rPr>
        <w:t>vaccine trials</w:t>
      </w:r>
      <w:r w:rsidRPr="007D59C2">
        <w:rPr>
          <w:rFonts w:ascii="Times New Roman" w:eastAsia="Calibri" w:hAnsi="Times New Roman" w:cs="Times New Roman"/>
          <w:noProof/>
          <w:color w:val="000000" w:themeColor="text1"/>
          <w:sz w:val="24"/>
          <w:szCs w:val="24"/>
          <w:lang w:val="en-IE"/>
        </w:rPr>
        <w:t xml:space="preserve"> to continuously assess the efficiency of vaccines against new emerging COVID-19 variants and to facilitate the swift development of vaccines targeting other infectious diseases beyond COVID-19. </w:t>
      </w:r>
    </w:p>
    <w:p w14:paraId="3013B7F5" w14:textId="77777777" w:rsidR="007D59C2" w:rsidRPr="007D59C2" w:rsidRDefault="007D59C2" w:rsidP="007D59C2">
      <w:pPr>
        <w:jc w:val="both"/>
        <w:rPr>
          <w:rFonts w:ascii="Times New Roman" w:hAnsi="Times New Roman" w:cs="Times New Roman"/>
          <w:noProof/>
          <w:color w:val="000000" w:themeColor="text1"/>
          <w:sz w:val="24"/>
          <w:szCs w:val="24"/>
          <w:lang w:val="en-IE"/>
        </w:rPr>
      </w:pPr>
      <w:r w:rsidRPr="007D59C2">
        <w:rPr>
          <w:rFonts w:ascii="Times New Roman" w:hAnsi="Times New Roman" w:cs="Times New Roman"/>
          <w:noProof/>
          <w:color w:val="000000" w:themeColor="text1"/>
          <w:sz w:val="24"/>
          <w:szCs w:val="24"/>
          <w:lang w:val="en-IE"/>
        </w:rPr>
        <w:t xml:space="preserve">The Commission is also pursuing this strategic and coordinated approach to supporting vaccines research and development at global level. The Commission awarded EUR 100 million under Horizon 2020 to the Coalition of Epidemic Preparedness Innovations (CEPI) to </w:t>
      </w:r>
      <w:r w:rsidRPr="007D59C2">
        <w:rPr>
          <w:rFonts w:ascii="Times New Roman" w:eastAsia="Calibri" w:hAnsi="Times New Roman" w:cs="Times New Roman"/>
          <w:noProof/>
          <w:color w:val="000000" w:themeColor="text1"/>
          <w:sz w:val="24"/>
          <w:szCs w:val="24"/>
          <w:lang w:val="en-IE"/>
        </w:rPr>
        <w:t>support the development of COVID-19 vaccines, including variant-proof vaccines. Further funding has been awarded under Horizon 2020 and Horizon Europe to allow rapid</w:t>
      </w:r>
      <w:r w:rsidRPr="007D59C2">
        <w:rPr>
          <w:rFonts w:ascii="Times New Roman" w:hAnsi="Times New Roman" w:cs="Times New Roman"/>
          <w:noProof/>
          <w:color w:val="000000" w:themeColor="text1"/>
          <w:sz w:val="24"/>
          <w:szCs w:val="24"/>
          <w:lang w:val="en-IE"/>
        </w:rPr>
        <w:t xml:space="preserve"> progression of advanced clinical vaccine candidates for Chikungunya through late-stage clinical development as well as candidate vaccines for Rift Valley Fever moving from preclinical to clinical Phase I/II.</w:t>
      </w:r>
    </w:p>
    <w:p w14:paraId="7F8507B8" w14:textId="77777777" w:rsidR="007D59C2" w:rsidRPr="007D59C2" w:rsidRDefault="007D59C2" w:rsidP="007D59C2">
      <w:pPr>
        <w:jc w:val="both"/>
        <w:rPr>
          <w:rFonts w:ascii="Times New Roman" w:hAnsi="Times New Roman" w:cs="Times New Roman"/>
          <w:noProof/>
          <w:color w:val="000000" w:themeColor="text1"/>
          <w:sz w:val="24"/>
          <w:szCs w:val="24"/>
          <w:lang w:val="en-IE"/>
        </w:rPr>
      </w:pPr>
      <w:r w:rsidRPr="007D59C2">
        <w:rPr>
          <w:rFonts w:ascii="Times New Roman" w:hAnsi="Times New Roman" w:cs="Times New Roman"/>
          <w:noProof/>
          <w:color w:val="000000" w:themeColor="text1"/>
          <w:sz w:val="24"/>
          <w:szCs w:val="24"/>
          <w:lang w:val="en-GB" w:eastAsia="en-GB"/>
        </w:rPr>
        <w:drawing>
          <wp:inline distT="0" distB="0" distL="0" distR="0" wp14:anchorId="5280B5BD" wp14:editId="2EC8E8B5">
            <wp:extent cx="5929630" cy="2715260"/>
            <wp:effectExtent l="0" t="0" r="0" b="8890"/>
            <wp:docPr id="8" name="Picture 8" descr="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ccin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9630" cy="2715260"/>
                    </a:xfrm>
                    <a:prstGeom prst="rect">
                      <a:avLst/>
                    </a:prstGeom>
                    <a:noFill/>
                    <a:ln>
                      <a:noFill/>
                    </a:ln>
                  </pic:spPr>
                </pic:pic>
              </a:graphicData>
            </a:graphic>
          </wp:inline>
        </w:drawing>
      </w:r>
    </w:p>
    <w:p w14:paraId="2D861641" w14:textId="77777777" w:rsidR="007D59C2" w:rsidRPr="007D59C2" w:rsidRDefault="007D59C2" w:rsidP="007D59C2">
      <w:pPr>
        <w:keepNext/>
        <w:keepLines/>
        <w:numPr>
          <w:ilvl w:val="1"/>
          <w:numId w:val="6"/>
        </w:numPr>
        <w:spacing w:before="160" w:line="240" w:lineRule="auto"/>
        <w:outlineLvl w:val="2"/>
        <w:rPr>
          <w:rFonts w:asciiTheme="majorHAnsi" w:eastAsia="Times New Roman" w:hAnsiTheme="majorHAnsi" w:cstheme="majorBidi"/>
          <w:b/>
          <w:noProof/>
          <w:color w:val="002060"/>
          <w:sz w:val="24"/>
          <w:szCs w:val="28"/>
        </w:rPr>
      </w:pPr>
      <w:bookmarkStart w:id="214" w:name="_Toc114267945"/>
      <w:bookmarkStart w:id="215" w:name="_Toc120631059"/>
      <w:bookmarkStart w:id="216" w:name="_Toc2088759745"/>
      <w:bookmarkStart w:id="217" w:name="_Toc839869489"/>
      <w:bookmarkStart w:id="218" w:name="_Toc2092761767"/>
      <w:bookmarkStart w:id="219" w:name="_Toc908008581"/>
      <w:bookmarkStart w:id="220" w:name="_Toc690184963"/>
      <w:bookmarkStart w:id="221" w:name="_Toc322156380"/>
      <w:bookmarkStart w:id="222" w:name="_Toc468284665"/>
      <w:bookmarkStart w:id="223" w:name="_Toc1577650324"/>
      <w:bookmarkStart w:id="224" w:name="_Toc508215136"/>
      <w:bookmarkStart w:id="225" w:name="_Toc126853129"/>
      <w:bookmarkStart w:id="226" w:name="_Toc1023961941"/>
      <w:bookmarkStart w:id="227" w:name="_Toc836776736"/>
      <w:bookmarkStart w:id="228" w:name="_Toc1576215127"/>
      <w:bookmarkStart w:id="229" w:name="_Toc26949666"/>
      <w:bookmarkStart w:id="230" w:name="_Toc1912150490"/>
      <w:bookmarkStart w:id="231" w:name="_Toc721577816"/>
      <w:bookmarkStart w:id="232" w:name="_Toc154177806"/>
      <w:bookmarkStart w:id="233" w:name="_Toc244292065"/>
      <w:bookmarkStart w:id="234" w:name="_Toc777230186"/>
      <w:bookmarkStart w:id="235" w:name="_Toc1197022381"/>
      <w:bookmarkStart w:id="236" w:name="_Toc177345099"/>
      <w:bookmarkStart w:id="237" w:name="_Toc870414814"/>
      <w:bookmarkStart w:id="238" w:name="_Toc374595043"/>
      <w:bookmarkStart w:id="239" w:name="_Toc118200299"/>
      <w:bookmarkStart w:id="240" w:name="_Toc522044626"/>
      <w:bookmarkStart w:id="241" w:name="_Toc1409578325"/>
      <w:r w:rsidRPr="007D59C2">
        <w:rPr>
          <w:rFonts w:asciiTheme="majorHAnsi" w:eastAsia="Times New Roman" w:hAnsiTheme="majorHAnsi" w:cstheme="majorBidi"/>
          <w:b/>
          <w:noProof/>
          <w:color w:val="002060"/>
          <w:sz w:val="24"/>
          <w:szCs w:val="28"/>
        </w:rPr>
        <w:t>Therapeutics</w:t>
      </w:r>
      <w:bookmarkEnd w:id="214"/>
      <w:bookmarkEnd w:id="215"/>
      <w:r w:rsidRPr="007D59C2">
        <w:rPr>
          <w:rFonts w:asciiTheme="majorHAnsi" w:eastAsia="Times New Roman" w:hAnsiTheme="majorHAnsi" w:cstheme="majorBidi"/>
          <w:b/>
          <w:noProof/>
          <w:color w:val="002060"/>
          <w:sz w:val="24"/>
          <w:szCs w:val="28"/>
        </w:rPr>
        <w:t xml:space="preserve"> </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C10918F" w14:textId="77777777" w:rsidR="007D59C2" w:rsidRPr="007D59C2" w:rsidRDefault="007D59C2" w:rsidP="007D59C2">
      <w:pPr>
        <w:jc w:val="both"/>
        <w:rPr>
          <w:rFonts w:ascii="Times New Roman" w:eastAsia="Times New Roman" w:hAnsi="Times New Roman" w:cs="Times New Roman"/>
          <w:noProof/>
          <w:sz w:val="24"/>
          <w:szCs w:val="24"/>
          <w:lang w:val="en-IE"/>
        </w:rPr>
      </w:pPr>
      <w:r w:rsidRPr="007D59C2">
        <w:rPr>
          <w:rFonts w:ascii="Times New Roman" w:eastAsia="Times New Roman" w:hAnsi="Times New Roman" w:cs="Times New Roman"/>
          <w:noProof/>
          <w:sz w:val="24"/>
          <w:szCs w:val="24"/>
          <w:lang w:val="en-IE"/>
        </w:rPr>
        <w:t xml:space="preserve">Therapeutics have played a key role in the response to recent health emergencies and will be equally important for future crises and pandemics. The EU is making progress on </w:t>
      </w:r>
      <w:r w:rsidRPr="007D59C2">
        <w:rPr>
          <w:rFonts w:ascii="Times New Roman" w:eastAsia="Times New Roman" w:hAnsi="Times New Roman" w:cs="Times New Roman"/>
          <w:b/>
          <w:noProof/>
          <w:sz w:val="24"/>
          <w:szCs w:val="24"/>
          <w:lang w:val="en-IE"/>
        </w:rPr>
        <w:t>developing and repurposing therapeutics, such as antivirals and monoclonal antibodies beyond COVID-19</w:t>
      </w:r>
      <w:r w:rsidRPr="007D59C2">
        <w:rPr>
          <w:rFonts w:ascii="Times New Roman" w:eastAsia="Times New Roman" w:hAnsi="Times New Roman" w:cs="Times New Roman"/>
          <w:noProof/>
          <w:sz w:val="24"/>
          <w:szCs w:val="24"/>
          <w:lang w:val="en-IE"/>
        </w:rPr>
        <w:t>. The Commission is coordinating research to best leverage resources at the EU level, and HERA</w:t>
      </w:r>
      <w:r w:rsidRPr="007D59C2">
        <w:rPr>
          <w:rFonts w:ascii="Times New Roman" w:hAnsi="Times New Roman" w:cs="Times New Roman"/>
          <w:noProof/>
          <w:sz w:val="24"/>
          <w:szCs w:val="24"/>
          <w:lang w:val="en-IE"/>
        </w:rPr>
        <w:t xml:space="preserve"> has started to implement initiatives to set-up development pipelines for expedited access to select novel or repurposed crisis medicines for pandemic preparedness and to combat antimicrobial resistance.</w:t>
      </w:r>
    </w:p>
    <w:p w14:paraId="72ACDB89" w14:textId="77777777" w:rsidR="007D59C2" w:rsidRPr="007D59C2" w:rsidRDefault="007D59C2" w:rsidP="007D59C2">
      <w:pPr>
        <w:jc w:val="both"/>
        <w:rPr>
          <w:rFonts w:ascii="Times New Roman" w:eastAsia="Times New Roman" w:hAnsi="Times New Roman" w:cs="Times New Roman"/>
          <w:noProof/>
          <w:sz w:val="24"/>
          <w:szCs w:val="24"/>
          <w:lang w:val="en-IE"/>
        </w:rPr>
      </w:pPr>
      <w:r w:rsidRPr="007D59C2">
        <w:rPr>
          <w:rFonts w:ascii="Times New Roman" w:eastAsia="Times New Roman" w:hAnsi="Times New Roman" w:cs="Times New Roman"/>
          <w:noProof/>
          <w:sz w:val="24"/>
          <w:szCs w:val="24"/>
          <w:lang w:val="en-IE"/>
        </w:rPr>
        <w:t xml:space="preserve">On </w:t>
      </w:r>
      <w:r w:rsidRPr="007D59C2">
        <w:rPr>
          <w:rFonts w:ascii="Times New Roman" w:eastAsia="Times New Roman" w:hAnsi="Times New Roman" w:cs="Times New Roman"/>
          <w:b/>
          <w:bCs/>
          <w:noProof/>
          <w:sz w:val="24"/>
          <w:szCs w:val="24"/>
          <w:lang w:val="en-IE"/>
        </w:rPr>
        <w:t>broad spectrum antivirals</w:t>
      </w:r>
      <w:r w:rsidRPr="007D59C2">
        <w:rPr>
          <w:rFonts w:ascii="Times New Roman" w:eastAsia="Times New Roman" w:hAnsi="Times New Roman" w:cs="Times New Roman"/>
          <w:noProof/>
          <w:sz w:val="24"/>
          <w:szCs w:val="24"/>
          <w:lang w:val="en-IE"/>
        </w:rPr>
        <w:t xml:space="preserve"> for pandemic preparedness, the Commission has been engaging with European and global research, regulatory and funding organisations to map the landscape for research, development and production. </w:t>
      </w:r>
    </w:p>
    <w:p w14:paraId="6C6F06A3" w14:textId="77777777" w:rsidR="007D59C2" w:rsidRPr="007D59C2" w:rsidRDefault="007D59C2" w:rsidP="007D59C2">
      <w:pPr>
        <w:jc w:val="both"/>
        <w:rPr>
          <w:rFonts w:ascii="Times New Roman" w:eastAsia="Times New Roman" w:hAnsi="Times New Roman" w:cs="Times New Roman"/>
          <w:noProof/>
          <w:sz w:val="24"/>
          <w:szCs w:val="24"/>
          <w:lang w:val="en-IE"/>
        </w:rPr>
      </w:pPr>
      <w:r w:rsidRPr="007D59C2">
        <w:rPr>
          <w:rFonts w:ascii="Times New Roman" w:eastAsia="Times New Roman" w:hAnsi="Times New Roman" w:cs="Times New Roman"/>
          <w:noProof/>
          <w:sz w:val="24"/>
          <w:szCs w:val="24"/>
          <w:lang w:val="en-IE"/>
        </w:rPr>
        <w:t>To achieve these goals,</w:t>
      </w:r>
      <w:r w:rsidRPr="007D59C2">
        <w:rPr>
          <w:rFonts w:ascii="Times New Roman" w:eastAsia="Times New Roman" w:hAnsi="Times New Roman" w:cs="Times New Roman"/>
          <w:b/>
          <w:bCs/>
          <w:noProof/>
          <w:sz w:val="24"/>
          <w:szCs w:val="24"/>
          <w:lang w:val="en-IE"/>
        </w:rPr>
        <w:t xml:space="preserve"> </w:t>
      </w:r>
      <w:r w:rsidRPr="007D59C2">
        <w:rPr>
          <w:rFonts w:ascii="Times New Roman" w:eastAsia="Times New Roman" w:hAnsi="Times New Roman" w:cs="Times New Roman"/>
          <w:noProof/>
          <w:sz w:val="24"/>
          <w:szCs w:val="24"/>
          <w:lang w:val="en-IE"/>
        </w:rPr>
        <w:t>the Commission has already published a report on a COVID-19 therapeutics innovation booster</w:t>
      </w:r>
      <w:r w:rsidRPr="007D59C2">
        <w:rPr>
          <w:rFonts w:ascii="Times New Roman" w:eastAsia="Times New Roman" w:hAnsi="Times New Roman" w:cs="Times New Roman"/>
          <w:noProof/>
          <w:sz w:val="24"/>
          <w:szCs w:val="24"/>
          <w:vertAlign w:val="superscript"/>
          <w:lang w:val="en-IE"/>
        </w:rPr>
        <w:footnoteReference w:id="26"/>
      </w:r>
      <w:r w:rsidRPr="007D59C2">
        <w:rPr>
          <w:rFonts w:ascii="Times New Roman" w:eastAsia="Times New Roman" w:hAnsi="Times New Roman" w:cs="Times New Roman"/>
          <w:noProof/>
          <w:sz w:val="24"/>
          <w:szCs w:val="24"/>
          <w:lang w:val="en-IE"/>
        </w:rPr>
        <w:t xml:space="preserve"> and is currently developing an </w:t>
      </w:r>
      <w:r w:rsidRPr="007D59C2">
        <w:rPr>
          <w:rFonts w:ascii="Times New Roman" w:eastAsia="Times New Roman" w:hAnsi="Times New Roman" w:cs="Times New Roman"/>
          <w:b/>
          <w:noProof/>
          <w:sz w:val="24"/>
          <w:szCs w:val="24"/>
          <w:lang w:val="en-IE"/>
        </w:rPr>
        <w:t>EU-wide roadmap to support pre-clinical and clinical research for the better integration into novel and repurposed broad-spectrum antivirals</w:t>
      </w:r>
      <w:r w:rsidRPr="007D59C2">
        <w:rPr>
          <w:rFonts w:ascii="Times New Roman" w:eastAsia="Times New Roman" w:hAnsi="Times New Roman" w:cs="Times New Roman"/>
          <w:noProof/>
          <w:sz w:val="24"/>
          <w:szCs w:val="24"/>
          <w:lang w:val="en-IE"/>
        </w:rPr>
        <w:t xml:space="preserve">. Under Horizon Europe, the Commission will support projects to </w:t>
      </w:r>
      <w:r w:rsidRPr="007D59C2">
        <w:rPr>
          <w:rFonts w:ascii="Times New Roman" w:eastAsia="Times New Roman" w:hAnsi="Times New Roman" w:cs="Times New Roman"/>
          <w:b/>
          <w:noProof/>
          <w:sz w:val="24"/>
          <w:szCs w:val="24"/>
          <w:lang w:val="en-IE"/>
        </w:rPr>
        <w:t>accelerate the development of new treatments</w:t>
      </w:r>
      <w:r w:rsidRPr="007D59C2">
        <w:rPr>
          <w:rFonts w:ascii="Times New Roman" w:eastAsia="Times New Roman" w:hAnsi="Times New Roman" w:cs="Times New Roman"/>
          <w:noProof/>
          <w:sz w:val="24"/>
          <w:szCs w:val="24"/>
          <w:lang w:val="en-IE"/>
        </w:rPr>
        <w:t xml:space="preserve"> and </w:t>
      </w:r>
      <w:r w:rsidRPr="007D59C2">
        <w:rPr>
          <w:rFonts w:ascii="Times New Roman" w:eastAsia="Times New Roman" w:hAnsi="Times New Roman" w:cs="Times New Roman"/>
          <w:b/>
          <w:noProof/>
          <w:sz w:val="24"/>
          <w:szCs w:val="24"/>
          <w:lang w:val="en-IE"/>
        </w:rPr>
        <w:t>identify molecules</w:t>
      </w:r>
      <w:r w:rsidRPr="007D59C2">
        <w:rPr>
          <w:rFonts w:ascii="Times New Roman" w:eastAsia="Times New Roman" w:hAnsi="Times New Roman" w:cs="Times New Roman"/>
          <w:noProof/>
          <w:sz w:val="24"/>
          <w:szCs w:val="24"/>
          <w:lang w:val="en-IE"/>
        </w:rPr>
        <w:t xml:space="preserve"> that would work against circulating and future viruses to combat infectious diseases with epidemic potential.</w:t>
      </w:r>
    </w:p>
    <w:p w14:paraId="7A5E7C65" w14:textId="0DB5FBD8" w:rsidR="007D59C2" w:rsidRPr="007D59C2" w:rsidRDefault="007D59C2" w:rsidP="007D59C2">
      <w:pPr>
        <w:jc w:val="both"/>
        <w:rPr>
          <w:rFonts w:ascii="Times New Roman" w:eastAsia="Times New Roman" w:hAnsi="Times New Roman" w:cs="Times New Roman"/>
          <w:noProof/>
          <w:sz w:val="24"/>
          <w:szCs w:val="24"/>
          <w:lang w:val="en-IE"/>
        </w:rPr>
      </w:pPr>
      <w:r w:rsidRPr="007D59C2">
        <w:rPr>
          <w:rFonts w:ascii="Times New Roman" w:eastAsia="Times New Roman" w:hAnsi="Times New Roman" w:cs="Times New Roman"/>
          <w:noProof/>
          <w:sz w:val="24"/>
          <w:szCs w:val="24"/>
          <w:lang w:val="en-IE"/>
        </w:rPr>
        <w:t xml:space="preserve">The Commission is also expanding the European pandemic trial platform for Therapeutics called EU-RESPONSE. It is a modular trial network of hospitals conducting clinical trials in patients with COVID-19 and other emerging infectious diseases. In August, up to EUR 17 million has been mobilised from Horizon 2020 and Horizon Europe to support EU-RESPONSE for clinical trials and cohort studies on </w:t>
      </w:r>
      <w:r w:rsidR="00E81FB4">
        <w:rPr>
          <w:rFonts w:ascii="Times New Roman" w:eastAsia="Times New Roman" w:hAnsi="Times New Roman" w:cs="Times New Roman"/>
          <w:noProof/>
          <w:sz w:val="24"/>
          <w:szCs w:val="24"/>
          <w:lang w:val="en-IE"/>
        </w:rPr>
        <w:t>MPOX</w:t>
      </w:r>
      <w:r w:rsidR="00E81FB4" w:rsidRPr="007D59C2">
        <w:rPr>
          <w:rFonts w:ascii="Times New Roman" w:eastAsia="Times New Roman" w:hAnsi="Times New Roman" w:cs="Times New Roman"/>
          <w:noProof/>
          <w:sz w:val="24"/>
          <w:szCs w:val="24"/>
          <w:lang w:val="en-IE"/>
        </w:rPr>
        <w:t xml:space="preserve"> </w:t>
      </w:r>
      <w:r w:rsidRPr="007D59C2">
        <w:rPr>
          <w:rFonts w:ascii="Times New Roman" w:eastAsia="Times New Roman" w:hAnsi="Times New Roman" w:cs="Times New Roman"/>
          <w:noProof/>
          <w:sz w:val="24"/>
          <w:szCs w:val="24"/>
          <w:lang w:val="en-IE"/>
        </w:rPr>
        <w:t xml:space="preserve">therapeutics. The Commission has worked with all stakeholders to support a coordinated European research strategy for </w:t>
      </w:r>
      <w:r w:rsidR="00E81FB4">
        <w:rPr>
          <w:rFonts w:ascii="Times New Roman" w:eastAsia="Times New Roman" w:hAnsi="Times New Roman" w:cs="Times New Roman"/>
          <w:noProof/>
          <w:sz w:val="24"/>
          <w:szCs w:val="24"/>
          <w:lang w:val="en-IE"/>
        </w:rPr>
        <w:t>MPOX</w:t>
      </w:r>
      <w:r w:rsidR="00E81FB4" w:rsidRPr="007D59C2">
        <w:rPr>
          <w:rFonts w:ascii="Times New Roman" w:eastAsia="Times New Roman" w:hAnsi="Times New Roman" w:cs="Times New Roman"/>
          <w:noProof/>
          <w:sz w:val="24"/>
          <w:szCs w:val="24"/>
          <w:lang w:val="en-IE"/>
        </w:rPr>
        <w:t xml:space="preserve"> </w:t>
      </w:r>
      <w:r w:rsidRPr="007D59C2">
        <w:rPr>
          <w:rFonts w:ascii="Times New Roman" w:eastAsia="Times New Roman" w:hAnsi="Times New Roman" w:cs="Times New Roman"/>
          <w:noProof/>
          <w:sz w:val="24"/>
          <w:szCs w:val="24"/>
          <w:lang w:val="en-IE"/>
        </w:rPr>
        <w:t>therapeutics, collect additional safety and efficacy data and avoid trial fragmentation.</w:t>
      </w:r>
    </w:p>
    <w:p w14:paraId="15D71F29" w14:textId="0E0C6D05" w:rsidR="007D59C2" w:rsidRPr="007D59C2" w:rsidRDefault="007D59C2" w:rsidP="007D59C2">
      <w:pPr>
        <w:jc w:val="both"/>
        <w:rPr>
          <w:rFonts w:ascii="Times New Roman" w:hAnsi="Times New Roman" w:cs="Times New Roman"/>
          <w:noProof/>
          <w:sz w:val="24"/>
          <w:szCs w:val="24"/>
          <w:lang w:val="en-IE"/>
        </w:rPr>
      </w:pPr>
      <w:r w:rsidRPr="007D59C2">
        <w:rPr>
          <w:rFonts w:ascii="Times New Roman" w:hAnsi="Times New Roman" w:cs="Times New Roman"/>
          <w:noProof/>
          <w:sz w:val="24"/>
          <w:szCs w:val="24"/>
          <w:lang w:val="en-IE"/>
        </w:rPr>
        <w:t xml:space="preserve">In any event, the Commission intends to focus its efforts on AMR. The Commission is currently </w:t>
      </w:r>
      <w:r w:rsidRPr="007D59C2">
        <w:rPr>
          <w:rFonts w:ascii="Times New Roman" w:hAnsi="Times New Roman" w:cs="Times New Roman"/>
          <w:b/>
          <w:noProof/>
          <w:sz w:val="24"/>
          <w:szCs w:val="24"/>
          <w:lang w:val="en-IE"/>
        </w:rPr>
        <w:t>assessing new economic models</w:t>
      </w:r>
      <w:r w:rsidRPr="007D59C2">
        <w:rPr>
          <w:rFonts w:ascii="Times New Roman" w:hAnsi="Times New Roman" w:cs="Times New Roman"/>
          <w:noProof/>
          <w:sz w:val="24"/>
          <w:szCs w:val="24"/>
          <w:lang w:val="en-IE"/>
        </w:rPr>
        <w:t xml:space="preserve"> and other options to stimulate antimicrobial discovery, development and access to combat AMR in the EU and globally, while reconciling these incentives with responsible use. The Commission is notably considering the proposal designed by the EU co-funded Joint Action on AMR and Health Care Associated Infections (EU JAMRAI) in its “strategy for implementing multi-country incentives in Europe to stimulate antimicrobial innovation and access” on 31 March 2021.</w:t>
      </w:r>
    </w:p>
    <w:p w14:paraId="78D33418" w14:textId="77777777" w:rsidR="007D59C2" w:rsidRPr="007D59C2" w:rsidRDefault="007D59C2" w:rsidP="007D59C2">
      <w:pPr>
        <w:jc w:val="both"/>
        <w:rPr>
          <w:rFonts w:ascii="Times New Roman" w:eastAsia="Times New Roman" w:hAnsi="Times New Roman" w:cs="Times New Roman"/>
          <w:noProof/>
          <w:sz w:val="24"/>
          <w:szCs w:val="24"/>
          <w:lang w:val="en-IE"/>
        </w:rPr>
      </w:pPr>
      <w:r w:rsidRPr="007D59C2">
        <w:rPr>
          <w:rFonts w:ascii="Times New Roman" w:eastAsia="Times New Roman" w:hAnsi="Times New Roman" w:cs="Times New Roman"/>
          <w:b/>
          <w:bCs/>
          <w:noProof/>
          <w:sz w:val="24"/>
          <w:szCs w:val="24"/>
          <w:lang w:val="en-IE"/>
        </w:rPr>
        <w:t>At global level</w:t>
      </w:r>
      <w:r w:rsidRPr="007D59C2">
        <w:rPr>
          <w:rFonts w:ascii="Times New Roman" w:eastAsia="Times New Roman" w:hAnsi="Times New Roman" w:cs="Times New Roman"/>
          <w:noProof/>
          <w:sz w:val="24"/>
          <w:szCs w:val="24"/>
          <w:lang w:val="en-IE"/>
        </w:rPr>
        <w:t>, the Commission is working with international stakeholders and partners to coordinate research agendas and develop common guidelines for clinical trials. To this end, the Commission is supporting the development of international guidelines to help set up and conduct large, multiregional clinical trials during crisis times, developed by the International Coalition of Medicines Regulatory Authorities. The Commission is also cooperating with the WHO and the Global Antibiotic Research and Development Partnership (GARDP) with the aim of speeding up the development of and market access for new antimicrobials.</w:t>
      </w:r>
    </w:p>
    <w:p w14:paraId="760C389D" w14:textId="534B7C69" w:rsidR="00CE15CA" w:rsidRPr="007D59C2" w:rsidRDefault="00CE15CA" w:rsidP="007D59C2">
      <w:pPr>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val="en-GB" w:eastAsia="en-GB"/>
        </w:rPr>
        <w:drawing>
          <wp:inline distT="0" distB="0" distL="0" distR="0" wp14:anchorId="6BBB3714" wp14:editId="12BC028A">
            <wp:extent cx="5929200" cy="308595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adspectrum antivirals.png"/>
                    <pic:cNvPicPr/>
                  </pic:nvPicPr>
                  <pic:blipFill>
                    <a:blip r:embed="rId21">
                      <a:extLst>
                        <a:ext uri="{28A0092B-C50C-407E-A947-70E740481C1C}">
                          <a14:useLocalDpi xmlns:a14="http://schemas.microsoft.com/office/drawing/2010/main" val="0"/>
                        </a:ext>
                      </a:extLst>
                    </a:blip>
                    <a:stretch>
                      <a:fillRect/>
                    </a:stretch>
                  </pic:blipFill>
                  <pic:spPr>
                    <a:xfrm>
                      <a:off x="0" y="0"/>
                      <a:ext cx="5929200" cy="3085958"/>
                    </a:xfrm>
                    <a:prstGeom prst="rect">
                      <a:avLst/>
                    </a:prstGeom>
                  </pic:spPr>
                </pic:pic>
              </a:graphicData>
            </a:graphic>
          </wp:inline>
        </w:drawing>
      </w:r>
    </w:p>
    <w:p w14:paraId="7C6FAD61" w14:textId="77777777" w:rsidR="007D59C2" w:rsidRPr="007D59C2" w:rsidRDefault="007D59C2" w:rsidP="007D59C2">
      <w:pPr>
        <w:keepNext/>
        <w:keepLines/>
        <w:numPr>
          <w:ilvl w:val="1"/>
          <w:numId w:val="6"/>
        </w:numPr>
        <w:spacing w:before="160" w:line="240" w:lineRule="auto"/>
        <w:outlineLvl w:val="2"/>
        <w:rPr>
          <w:rFonts w:asciiTheme="majorHAnsi" w:eastAsia="Times New Roman" w:hAnsiTheme="majorHAnsi" w:cstheme="majorBidi"/>
          <w:b/>
          <w:noProof/>
          <w:color w:val="002060"/>
          <w:sz w:val="24"/>
          <w:szCs w:val="28"/>
        </w:rPr>
      </w:pPr>
      <w:bookmarkStart w:id="242" w:name="_Toc114267946"/>
      <w:bookmarkStart w:id="243" w:name="_Toc1225031083"/>
      <w:bookmarkStart w:id="244" w:name="_Toc770726511"/>
      <w:bookmarkStart w:id="245" w:name="_Toc39405960"/>
      <w:bookmarkStart w:id="246" w:name="_Toc270588473"/>
      <w:bookmarkStart w:id="247" w:name="_Toc771283346"/>
      <w:bookmarkStart w:id="248" w:name="_Toc383810748"/>
      <w:bookmarkStart w:id="249" w:name="_Toc1948742770"/>
      <w:bookmarkStart w:id="250" w:name="_Toc715768928"/>
      <w:bookmarkStart w:id="251" w:name="_Toc544819326"/>
      <w:bookmarkStart w:id="252" w:name="_Toc692791256"/>
      <w:bookmarkStart w:id="253" w:name="_Toc1179094997"/>
      <w:bookmarkStart w:id="254" w:name="_Toc1269729026"/>
      <w:bookmarkStart w:id="255" w:name="_Toc1812856610"/>
      <w:bookmarkStart w:id="256" w:name="_Toc899585409"/>
      <w:bookmarkStart w:id="257" w:name="_Toc599852952"/>
      <w:bookmarkStart w:id="258" w:name="_Toc2029096875"/>
      <w:bookmarkStart w:id="259" w:name="_Toc1519559756"/>
      <w:bookmarkStart w:id="260" w:name="_Toc1164510955"/>
      <w:bookmarkStart w:id="261" w:name="_Toc1893778187"/>
      <w:bookmarkStart w:id="262" w:name="_Toc1933513370"/>
      <w:bookmarkStart w:id="263" w:name="_Toc1940005559"/>
      <w:bookmarkStart w:id="264" w:name="_Toc1469099406"/>
      <w:bookmarkStart w:id="265" w:name="_Toc1032065369"/>
      <w:bookmarkStart w:id="266" w:name="_Toc395174798"/>
      <w:bookmarkStart w:id="267" w:name="_Toc295590789"/>
      <w:bookmarkStart w:id="268" w:name="_Toc1134680367"/>
      <w:bookmarkStart w:id="269" w:name="_Toc120631060"/>
      <w:r w:rsidRPr="007D59C2">
        <w:rPr>
          <w:rFonts w:asciiTheme="majorHAnsi" w:eastAsia="Times New Roman" w:hAnsiTheme="majorHAnsi" w:cstheme="majorBidi"/>
          <w:b/>
          <w:noProof/>
          <w:color w:val="002060"/>
          <w:sz w:val="24"/>
          <w:szCs w:val="28"/>
        </w:rPr>
        <w:t>Diagnostics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7D59C2">
        <w:rPr>
          <w:rFonts w:asciiTheme="majorHAnsi" w:eastAsia="Times New Roman" w:hAnsiTheme="majorHAnsi" w:cstheme="majorBidi"/>
          <w:b/>
          <w:noProof/>
          <w:color w:val="002060"/>
          <w:sz w:val="24"/>
          <w:szCs w:val="28"/>
        </w:rPr>
        <w:t>, medical devices and other innovative technologies</w:t>
      </w:r>
      <w:bookmarkEnd w:id="269"/>
    </w:p>
    <w:p w14:paraId="635B5F5E"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Diagnostics are essential medical countermeasures both for pandemic preparedness (e.g. epidemiological surveillance) and for adequate response (e.g. diagnostics allowing to identify the most suitable treatment, through pathogen identification or antimicrobial susceptibility testing). During the pandemic the Commission has funded projects under Horizon 2020 to develop effective, rapid point-of-care diagnostics. Other medical devices and personal protective equipment are also essential to ensure adequate pandemic preparedness, as clearly observed during the pandemic where critical medical devices were not available when most needed. </w:t>
      </w:r>
    </w:p>
    <w:p w14:paraId="4366802D"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The Commission is currently identifying the existing diagnostics, medical devices and personal protective equipment and those in the pipeline that could be needed to respond to the prioritised health threats, including AMR. To complement this exercise, a study in 2023 will provide insights on accessibility and availability of these diagnostic solutions.</w:t>
      </w:r>
    </w:p>
    <w:p w14:paraId="4E500ED2"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On the basis of this information, through EU4Health, the Commission will support access to medical devices and diagnostics for serious cross-border threats to health by financing organisations that can facilitate the development, production, and distribution of these devices and will speed up the development of, access to and uptake of innovative technologies. </w:t>
      </w:r>
    </w:p>
    <w:p w14:paraId="70556B46"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The Commission is also supporting the swift </w:t>
      </w:r>
      <w:r w:rsidRPr="007D59C2">
        <w:rPr>
          <w:rFonts w:ascii="Times New Roman" w:eastAsia="Calibri" w:hAnsi="Times New Roman" w:cs="Times New Roman"/>
          <w:b/>
          <w:bCs/>
          <w:noProof/>
          <w:color w:val="000000" w:themeColor="text1"/>
          <w:sz w:val="24"/>
          <w:szCs w:val="24"/>
          <w:lang w:val="en-IE"/>
        </w:rPr>
        <w:t xml:space="preserve">development – and distribution – of easy-to-use, inexpensive, multi pathogen tests, using novel testing methods </w:t>
      </w:r>
      <w:r w:rsidRPr="007D59C2">
        <w:rPr>
          <w:rFonts w:ascii="Times New Roman" w:eastAsia="Calibri" w:hAnsi="Times New Roman" w:cs="Times New Roman"/>
          <w:noProof/>
          <w:color w:val="000000" w:themeColor="text1"/>
          <w:sz w:val="24"/>
          <w:szCs w:val="24"/>
          <w:lang w:val="en-IE"/>
        </w:rPr>
        <w:t xml:space="preserve">that are less invasive. This is key to enhancing our preparedness for future health emergencies. </w:t>
      </w:r>
    </w:p>
    <w:p w14:paraId="1801463B"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Moreover, as part of the Joint implementation and preparedness plan for Regulation (EU) 2017/746 on in vitro diagnostic medical devices (IVDR), the Commission intends to </w:t>
      </w:r>
      <w:r w:rsidRPr="007D59C2">
        <w:rPr>
          <w:rFonts w:ascii="Times New Roman" w:eastAsia="Calibri" w:hAnsi="Times New Roman" w:cs="Times New Roman"/>
          <w:b/>
          <w:noProof/>
          <w:color w:val="000000" w:themeColor="text1"/>
          <w:sz w:val="24"/>
          <w:szCs w:val="24"/>
          <w:lang w:val="en-IE"/>
        </w:rPr>
        <w:t xml:space="preserve">identify and explore regulatory pathways for diagnostics </w:t>
      </w:r>
      <w:r w:rsidRPr="007D59C2">
        <w:rPr>
          <w:rFonts w:ascii="Times New Roman" w:eastAsia="Calibri" w:hAnsi="Times New Roman" w:cs="Times New Roman"/>
          <w:noProof/>
          <w:color w:val="000000" w:themeColor="text1"/>
          <w:sz w:val="24"/>
          <w:szCs w:val="24"/>
          <w:lang w:val="en-IE"/>
        </w:rPr>
        <w:t>to ensure both an appropriate level of control and speedy access to the market in case of an emergency.</w:t>
      </w:r>
    </w:p>
    <w:p w14:paraId="03F00B32" w14:textId="77777777" w:rsidR="007D59C2" w:rsidRPr="007D59C2" w:rsidRDefault="007D59C2" w:rsidP="007D59C2">
      <w:pPr>
        <w:spacing w:after="240" w:line="240" w:lineRule="auto"/>
        <w:jc w:val="both"/>
        <w:rPr>
          <w:rFonts w:ascii="Times New Roman" w:eastAsiaTheme="minorEastAsia" w:hAnsi="Times New Roman" w:cs="Times New Roman"/>
          <w:noProof/>
          <w:sz w:val="24"/>
          <w:szCs w:val="24"/>
          <w:lang w:val="en-IE" w:eastAsia="fr-BE"/>
        </w:rPr>
      </w:pPr>
      <w:r w:rsidRPr="007D59C2">
        <w:rPr>
          <w:rFonts w:ascii="Times New Roman" w:eastAsiaTheme="minorEastAsia" w:hAnsi="Times New Roman" w:cs="Times New Roman"/>
          <w:noProof/>
          <w:sz w:val="24"/>
          <w:szCs w:val="24"/>
          <w:lang w:val="en-IE" w:eastAsia="fr-BE"/>
        </w:rPr>
        <w:t xml:space="preserve">In addition to these activities, other actions include research aimed at </w:t>
      </w:r>
      <w:r w:rsidRPr="007D59C2">
        <w:rPr>
          <w:rFonts w:ascii="Times New Roman" w:eastAsiaTheme="minorEastAsia" w:hAnsi="Times New Roman" w:cs="Times New Roman"/>
          <w:b/>
          <w:bCs/>
          <w:noProof/>
          <w:sz w:val="24"/>
          <w:szCs w:val="24"/>
          <w:lang w:val="en-IE" w:eastAsia="fr-BE"/>
        </w:rPr>
        <w:t>preventing CBRN incidents and improving European crisis management</w:t>
      </w:r>
      <w:r w:rsidRPr="007D59C2">
        <w:rPr>
          <w:rFonts w:ascii="Times New Roman" w:eastAsiaTheme="minorEastAsia" w:hAnsi="Times New Roman" w:cs="Times New Roman"/>
          <w:noProof/>
          <w:sz w:val="24"/>
          <w:szCs w:val="24"/>
          <w:lang w:val="en-IE" w:eastAsia="fr-BE"/>
        </w:rPr>
        <w:t>. To this end, the Commission will support the expansion of international networks of training centres for the validation and testing of CBRN tools and technologies as well as the development of tools and procedures to manage and minimise the effects of an attack with biological toxins.</w:t>
      </w:r>
    </w:p>
    <w:p w14:paraId="2AEA34C3" w14:textId="77777777" w:rsidR="007D59C2" w:rsidRPr="007D59C2" w:rsidRDefault="007D59C2" w:rsidP="007D59C2">
      <w:pPr>
        <w:spacing w:after="240" w:line="240" w:lineRule="auto"/>
        <w:jc w:val="both"/>
        <w:rPr>
          <w:rFonts w:ascii="Times New Roman" w:eastAsiaTheme="minorEastAsia" w:hAnsi="Times New Roman" w:cs="Times New Roman"/>
          <w:noProof/>
          <w:sz w:val="24"/>
          <w:szCs w:val="24"/>
          <w:lang w:val="en-GB" w:eastAsia="fr-BE"/>
        </w:rPr>
      </w:pPr>
      <w:r w:rsidRPr="007D59C2">
        <w:rPr>
          <w:rFonts w:ascii="Times New Roman" w:eastAsiaTheme="minorEastAsia" w:hAnsi="Times New Roman" w:cs="Times New Roman"/>
          <w:noProof/>
          <w:sz w:val="24"/>
          <w:szCs w:val="24"/>
          <w:lang w:val="en-GB" w:eastAsia="en-GB"/>
        </w:rPr>
        <w:drawing>
          <wp:inline distT="0" distB="0" distL="0" distR="0" wp14:anchorId="2711D233" wp14:editId="71B9BC73">
            <wp:extent cx="5929200" cy="2305243"/>
            <wp:effectExtent l="0" t="0" r="0" b="0"/>
            <wp:docPr id="6" name="Picture 6" descr="diagno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nostic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9200" cy="2305243"/>
                    </a:xfrm>
                    <a:prstGeom prst="rect">
                      <a:avLst/>
                    </a:prstGeom>
                    <a:noFill/>
                    <a:ln>
                      <a:noFill/>
                    </a:ln>
                  </pic:spPr>
                </pic:pic>
              </a:graphicData>
            </a:graphic>
          </wp:inline>
        </w:drawing>
      </w:r>
    </w:p>
    <w:p w14:paraId="75F6EE22" w14:textId="77777777" w:rsidR="007D59C2" w:rsidRPr="007D59C2" w:rsidRDefault="007D59C2" w:rsidP="007D59C2">
      <w:pPr>
        <w:keepNext/>
        <w:keepLines/>
        <w:numPr>
          <w:ilvl w:val="0"/>
          <w:numId w:val="6"/>
        </w:numPr>
        <w:spacing w:before="160" w:line="240" w:lineRule="auto"/>
        <w:outlineLvl w:val="1"/>
        <w:rPr>
          <w:rFonts w:asciiTheme="majorHAnsi" w:eastAsia="Times New Roman" w:hAnsiTheme="majorHAnsi" w:cstheme="majorBidi"/>
          <w:b/>
          <w:noProof/>
          <w:color w:val="002060"/>
          <w:sz w:val="24"/>
          <w:szCs w:val="28"/>
        </w:rPr>
      </w:pPr>
      <w:bookmarkStart w:id="270" w:name="_Toc120631061"/>
      <w:bookmarkStart w:id="271" w:name="_Toc1874644681"/>
      <w:bookmarkStart w:id="272" w:name="_Toc1992006196"/>
      <w:bookmarkStart w:id="273" w:name="_Toc2075820014"/>
      <w:bookmarkStart w:id="274" w:name="_Toc1294867763"/>
      <w:bookmarkStart w:id="275" w:name="_Toc872733087"/>
      <w:bookmarkStart w:id="276" w:name="_Toc1536473432"/>
      <w:bookmarkStart w:id="277" w:name="_Toc2147255712"/>
      <w:bookmarkStart w:id="278" w:name="_Toc936967470"/>
      <w:bookmarkStart w:id="279" w:name="_Toc1189123425"/>
      <w:bookmarkStart w:id="280" w:name="_Toc1231851330"/>
      <w:bookmarkStart w:id="281" w:name="_Toc920581283"/>
      <w:bookmarkStart w:id="282" w:name="_Toc626639947"/>
      <w:bookmarkStart w:id="283" w:name="_Toc400006462"/>
      <w:bookmarkStart w:id="284" w:name="_Toc1669357552"/>
      <w:bookmarkStart w:id="285" w:name="_Toc232527185"/>
      <w:bookmarkStart w:id="286" w:name="_Toc1803096224"/>
      <w:bookmarkStart w:id="287" w:name="_Toc479711315"/>
      <w:bookmarkStart w:id="288" w:name="_Toc2109431914"/>
      <w:bookmarkStart w:id="289" w:name="_Toc1948617053"/>
      <w:bookmarkStart w:id="290" w:name="_Toc1630452701"/>
      <w:bookmarkStart w:id="291" w:name="_Toc1503865698"/>
      <w:bookmarkStart w:id="292" w:name="_Toc131447875"/>
      <w:bookmarkStart w:id="293" w:name="_Toc742006815"/>
      <w:bookmarkStart w:id="294" w:name="_Toc1543418422"/>
      <w:bookmarkStart w:id="295" w:name="_Toc8442257"/>
      <w:bookmarkStart w:id="296" w:name="_Toc633212617"/>
      <w:r w:rsidRPr="007D59C2">
        <w:rPr>
          <w:rFonts w:asciiTheme="majorHAnsi" w:eastAsia="Times New Roman" w:hAnsiTheme="majorHAnsi" w:cstheme="majorBidi"/>
          <w:b/>
          <w:noProof/>
          <w:color w:val="002060"/>
          <w:sz w:val="24"/>
          <w:szCs w:val="28"/>
          <w:lang w:val="en-IE"/>
        </w:rPr>
        <w:t xml:space="preserve">Access to medical countermeasures - </w:t>
      </w:r>
      <w:r w:rsidRPr="007D59C2">
        <w:rPr>
          <w:rFonts w:asciiTheme="majorHAnsi" w:eastAsia="Times New Roman" w:hAnsiTheme="majorHAnsi" w:cstheme="majorBidi"/>
          <w:b/>
          <w:noProof/>
          <w:color w:val="002060"/>
          <w:sz w:val="24"/>
          <w:szCs w:val="28"/>
        </w:rPr>
        <w:t>resilient supply chains and production capacities</w:t>
      </w:r>
      <w:bookmarkEnd w:id="270"/>
      <w:r w:rsidRPr="007D59C2">
        <w:rPr>
          <w:rFonts w:asciiTheme="majorHAnsi" w:eastAsia="Times New Roman" w:hAnsiTheme="majorHAnsi" w:cstheme="majorBidi"/>
          <w:b/>
          <w:noProof/>
          <w:color w:val="002060"/>
          <w:sz w:val="24"/>
          <w:szCs w:val="28"/>
        </w:rPr>
        <w:t xml:space="preserve"> </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1D1A91A1" w14:textId="1FE7BD3D"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The pandemic, Russia’s war of aggression against Ukraine and the current energy crisis have further shed light on questions related to the EU’s dependency on third countries for medicines, raw materials, materials and ingredients used for manufacturing medical countermeasures. These dependencies have impacted </w:t>
      </w:r>
      <w:r w:rsidR="005678E1">
        <w:rPr>
          <w:rFonts w:ascii="Times New Roman" w:eastAsia="Calibri" w:hAnsi="Times New Roman" w:cs="Times New Roman"/>
          <w:noProof/>
          <w:color w:val="000000" w:themeColor="text1"/>
          <w:sz w:val="24"/>
          <w:szCs w:val="24"/>
          <w:lang w:val="en-IE"/>
        </w:rPr>
        <w:t xml:space="preserve">the </w:t>
      </w:r>
      <w:r w:rsidRPr="007D59C2">
        <w:rPr>
          <w:rFonts w:ascii="Times New Roman" w:eastAsia="Calibri" w:hAnsi="Times New Roman" w:cs="Times New Roman"/>
          <w:noProof/>
          <w:color w:val="000000" w:themeColor="text1"/>
          <w:sz w:val="24"/>
          <w:szCs w:val="24"/>
          <w:lang w:val="en-IE"/>
        </w:rPr>
        <w:t>EU</w:t>
      </w:r>
      <w:r w:rsidR="005678E1">
        <w:rPr>
          <w:rFonts w:ascii="Times New Roman" w:eastAsia="Calibri" w:hAnsi="Times New Roman" w:cs="Times New Roman"/>
          <w:noProof/>
          <w:color w:val="000000" w:themeColor="text1"/>
          <w:sz w:val="24"/>
          <w:szCs w:val="24"/>
          <w:lang w:val="en-IE"/>
        </w:rPr>
        <w:t>’s</w:t>
      </w:r>
      <w:r w:rsidRPr="007D59C2">
        <w:rPr>
          <w:rFonts w:ascii="Times New Roman" w:eastAsia="Calibri" w:hAnsi="Times New Roman" w:cs="Times New Roman"/>
          <w:noProof/>
          <w:color w:val="000000" w:themeColor="text1"/>
          <w:sz w:val="24"/>
          <w:szCs w:val="24"/>
          <w:lang w:val="en-IE"/>
        </w:rPr>
        <w:t xml:space="preserve"> production capacity. Moreover, the surge in demand for lifesaving medical products such as medicines, ventilators, and masks has become a major obstacle to an effective response to the unfolding crisis</w:t>
      </w:r>
      <w:r w:rsidRPr="007D59C2">
        <w:rPr>
          <w:rFonts w:ascii="Times New Roman" w:eastAsia="Calibri" w:hAnsi="Times New Roman" w:cs="Times New Roman"/>
          <w:noProof/>
          <w:color w:val="000000" w:themeColor="text1"/>
          <w:sz w:val="24"/>
          <w:szCs w:val="24"/>
          <w:vertAlign w:val="superscript"/>
          <w:lang w:val="en-IE"/>
        </w:rPr>
        <w:footnoteReference w:id="27"/>
      </w:r>
      <w:r w:rsidRPr="007D59C2">
        <w:rPr>
          <w:rFonts w:ascii="Times New Roman" w:eastAsia="Calibri" w:hAnsi="Times New Roman" w:cs="Times New Roman"/>
          <w:noProof/>
          <w:color w:val="000000" w:themeColor="text1"/>
          <w:sz w:val="24"/>
          <w:szCs w:val="24"/>
          <w:lang w:val="en-IE"/>
        </w:rPr>
        <w:t xml:space="preserve">. </w:t>
      </w:r>
    </w:p>
    <w:p w14:paraId="1F5189F5"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The Commission took action to improve the EU’s industrial resilience and expand its ability to manufacture vital supplies of medical countermeasures to contain and better respond to the next pandemic. It has also joined forces with international partners to increase manufacturing capacities globally to ensure more equitable access to medical countermeasures. It will continue to work on those fronts to improve the situation.</w:t>
      </w:r>
    </w:p>
    <w:p w14:paraId="162645E3" w14:textId="77777777" w:rsidR="007D59C2" w:rsidRPr="007D59C2" w:rsidRDefault="007D59C2" w:rsidP="007D59C2">
      <w:pPr>
        <w:keepNext/>
        <w:keepLines/>
        <w:numPr>
          <w:ilvl w:val="1"/>
          <w:numId w:val="6"/>
        </w:numPr>
        <w:spacing w:before="160" w:line="240" w:lineRule="auto"/>
        <w:outlineLvl w:val="2"/>
        <w:rPr>
          <w:rFonts w:asciiTheme="majorHAnsi" w:eastAsia="Times New Roman" w:hAnsiTheme="majorHAnsi" w:cstheme="majorBidi"/>
          <w:b/>
          <w:noProof/>
          <w:color w:val="002060"/>
          <w:sz w:val="24"/>
          <w:szCs w:val="28"/>
        </w:rPr>
      </w:pPr>
      <w:bookmarkStart w:id="297" w:name="_Toc114267949"/>
      <w:bookmarkStart w:id="298" w:name="_Toc120631062"/>
      <w:bookmarkStart w:id="299" w:name="_Toc297852466"/>
      <w:bookmarkStart w:id="300" w:name="_Toc917357048"/>
      <w:bookmarkStart w:id="301" w:name="_Toc1924029411"/>
      <w:bookmarkStart w:id="302" w:name="_Toc1364641931"/>
      <w:bookmarkStart w:id="303" w:name="_Toc1788026516"/>
      <w:bookmarkStart w:id="304" w:name="_Toc1407523309"/>
      <w:bookmarkStart w:id="305" w:name="_Toc621249972"/>
      <w:bookmarkStart w:id="306" w:name="_Toc1880328635"/>
      <w:bookmarkStart w:id="307" w:name="_Toc1544021070"/>
      <w:bookmarkStart w:id="308" w:name="_Toc492091164"/>
      <w:bookmarkStart w:id="309" w:name="_Toc954642631"/>
      <w:bookmarkStart w:id="310" w:name="_Toc1034347157"/>
      <w:bookmarkStart w:id="311" w:name="_Toc1749854433"/>
      <w:bookmarkStart w:id="312" w:name="_Toc252574893"/>
      <w:bookmarkStart w:id="313" w:name="_Toc1191870015"/>
      <w:bookmarkStart w:id="314" w:name="_Toc1687457314"/>
      <w:bookmarkStart w:id="315" w:name="_Toc2039893008"/>
      <w:bookmarkStart w:id="316" w:name="_Toc208033609"/>
      <w:bookmarkStart w:id="317" w:name="_Toc977887620"/>
      <w:bookmarkStart w:id="318" w:name="_Toc1733892643"/>
      <w:bookmarkStart w:id="319" w:name="_Toc965983106"/>
      <w:bookmarkStart w:id="320" w:name="_Toc1403996718"/>
      <w:bookmarkStart w:id="321" w:name="_Toc464700857"/>
      <w:bookmarkStart w:id="322" w:name="_Toc105275505"/>
      <w:bookmarkStart w:id="323" w:name="_Toc379257835"/>
      <w:bookmarkStart w:id="324" w:name="_Toc577992372"/>
      <w:r w:rsidRPr="007D59C2">
        <w:rPr>
          <w:rFonts w:asciiTheme="majorHAnsi" w:eastAsia="Times New Roman" w:hAnsiTheme="majorHAnsi" w:cstheme="majorBidi"/>
          <w:b/>
          <w:noProof/>
          <w:color w:val="002060"/>
          <w:sz w:val="24"/>
          <w:szCs w:val="28"/>
        </w:rPr>
        <w:t>Building resilient supply chains</w:t>
      </w:r>
      <w:bookmarkEnd w:id="297"/>
      <w:bookmarkEnd w:id="298"/>
      <w:r w:rsidRPr="007D59C2">
        <w:rPr>
          <w:rFonts w:asciiTheme="majorHAnsi" w:eastAsia="Times New Roman" w:hAnsiTheme="majorHAnsi" w:cstheme="majorBidi"/>
          <w:b/>
          <w:noProof/>
          <w:color w:val="002060"/>
          <w:sz w:val="24"/>
          <w:szCs w:val="28"/>
        </w:rPr>
        <w:t xml:space="preserve"> </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5553CCB0" w14:textId="20A83B61" w:rsidR="007D59C2" w:rsidRPr="000575E1" w:rsidRDefault="007D59C2" w:rsidP="007D59C2">
      <w:pPr>
        <w:tabs>
          <w:tab w:val="left" w:pos="2268"/>
        </w:tabs>
        <w:spacing w:after="120" w:line="257" w:lineRule="auto"/>
        <w:jc w:val="both"/>
        <w:rPr>
          <w:rFonts w:ascii="Times New Roman" w:eastAsia="Calibri" w:hAnsi="Times New Roman" w:cs="Times New Roman"/>
          <w:noProof/>
          <w:color w:val="000000" w:themeColor="text1"/>
          <w:sz w:val="24"/>
          <w:szCs w:val="24"/>
          <w:lang w:val="en-GB"/>
        </w:rPr>
      </w:pPr>
      <w:r w:rsidRPr="007D59C2">
        <w:rPr>
          <w:rFonts w:ascii="Times New Roman" w:eastAsia="Times New Roman" w:hAnsi="Times New Roman" w:cs="Times New Roman"/>
          <w:noProof/>
          <w:color w:val="000000" w:themeColor="text1"/>
          <w:sz w:val="24"/>
          <w:szCs w:val="24"/>
        </w:rPr>
        <w:t xml:space="preserve">The pandemic </w:t>
      </w:r>
      <w:r w:rsidRPr="007D59C2">
        <w:rPr>
          <w:rFonts w:ascii="Times New Roman" w:eastAsia="Calibri" w:hAnsi="Times New Roman" w:cs="Times New Roman"/>
          <w:noProof/>
          <w:color w:val="000000" w:themeColor="text1"/>
          <w:sz w:val="24"/>
          <w:szCs w:val="24"/>
          <w:lang w:val="en-IE"/>
        </w:rPr>
        <w:t>exposed the EU’s dependencies on external supplies of key medical countermeasures including vials, syringes, PPE and other products essential for the production of therapeutics, vaccines, and diagnostics. In its Pharmaceutical Strategy for Europe</w:t>
      </w:r>
      <w:r w:rsidRPr="007D59C2">
        <w:rPr>
          <w:rFonts w:ascii="Times New Roman" w:eastAsia="Calibri" w:hAnsi="Times New Roman" w:cs="Times New Roman"/>
          <w:noProof/>
          <w:color w:val="000000" w:themeColor="text1"/>
          <w:sz w:val="24"/>
          <w:szCs w:val="24"/>
          <w:vertAlign w:val="superscript"/>
          <w:lang w:val="en-IE"/>
        </w:rPr>
        <w:footnoteReference w:id="28"/>
      </w:r>
      <w:r w:rsidRPr="007D59C2">
        <w:rPr>
          <w:rFonts w:ascii="Times New Roman" w:eastAsia="Calibri" w:hAnsi="Times New Roman" w:cs="Times New Roman"/>
          <w:noProof/>
          <w:color w:val="000000" w:themeColor="text1"/>
          <w:sz w:val="24"/>
          <w:szCs w:val="24"/>
          <w:lang w:val="en-IE"/>
        </w:rPr>
        <w:t xml:space="preserve"> published in November 2020, the Commission clearly highlighted the need to strengthen the security of medicines supply across the EU and avoid shortages. As part of these efforts, the Commission published in October 2022, a Staff Working Document</w:t>
      </w:r>
      <w:r w:rsidRPr="007D59C2">
        <w:rPr>
          <w:rFonts w:ascii="Times New Roman" w:eastAsia="Calibri" w:hAnsi="Times New Roman" w:cs="Times New Roman"/>
          <w:noProof/>
          <w:color w:val="000000" w:themeColor="text1"/>
          <w:sz w:val="24"/>
          <w:szCs w:val="24"/>
          <w:vertAlign w:val="superscript"/>
          <w:lang w:val="en-IE"/>
        </w:rPr>
        <w:footnoteReference w:id="29"/>
      </w:r>
      <w:r w:rsidRPr="007D59C2">
        <w:rPr>
          <w:rFonts w:ascii="Times New Roman" w:eastAsia="Calibri" w:hAnsi="Times New Roman" w:cs="Times New Roman"/>
          <w:noProof/>
          <w:color w:val="000000" w:themeColor="text1"/>
          <w:sz w:val="24"/>
          <w:szCs w:val="24"/>
          <w:lang w:val="en-IE"/>
        </w:rPr>
        <w:t xml:space="preserve"> shedding light on ongoing and new actions to identify critical medicines, strategic dependencies, optimise regulatory pathways, promote manufacturing, improve procurement, intelligence and global cooperation to strengthen supply chains for medical countermeasures.</w:t>
      </w:r>
      <w:r w:rsidR="000D42D4" w:rsidRPr="000D42D4">
        <w:rPr>
          <w:noProof/>
        </w:rPr>
        <w:t xml:space="preserve"> </w:t>
      </w:r>
    </w:p>
    <w:p w14:paraId="0AE050C3" w14:textId="4AD3900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The recently adopted Health Union legislation also provides the EU with strong tools to identify supply chain issues during a crisis. Through its extended mandate, EMA will gather information on sites manufacturing active pharmaceutical ingredients, crisis relevant medicinal products, and relevant medical devices, in order to identify risks of shortages and supply chain bottlenecks. Depending on the emergency measures that are activated under the Emergency Framework Regulation, the Commission may monitor upstream issues in the supply chains of raw materials and other components necessary in manufacturing crisis relevant medical countermeasures. </w:t>
      </w:r>
      <w:r w:rsidR="00DD4B7E">
        <w:rPr>
          <w:rFonts w:ascii="Times New Roman" w:eastAsia="Calibri" w:hAnsi="Times New Roman" w:cs="Times New Roman"/>
          <w:noProof/>
          <w:color w:val="000000" w:themeColor="text1"/>
          <w:sz w:val="24"/>
          <w:szCs w:val="24"/>
          <w:lang w:val="en-IE"/>
        </w:rPr>
        <w:t>Furthermore</w:t>
      </w:r>
      <w:r w:rsidRPr="007D59C2">
        <w:rPr>
          <w:rFonts w:ascii="Times New Roman" w:eastAsia="Calibri" w:hAnsi="Times New Roman" w:cs="Times New Roman"/>
          <w:noProof/>
          <w:color w:val="000000" w:themeColor="text1"/>
          <w:sz w:val="24"/>
          <w:szCs w:val="24"/>
          <w:lang w:val="en-IE"/>
        </w:rPr>
        <w:t>, the Commission’s proposal for a Single Market Emergency Instrument</w:t>
      </w:r>
      <w:r w:rsidRPr="007D59C2">
        <w:rPr>
          <w:rFonts w:ascii="Times New Roman" w:eastAsia="Calibri" w:hAnsi="Times New Roman" w:cs="Times New Roman"/>
          <w:noProof/>
          <w:color w:val="000000" w:themeColor="text1"/>
          <w:sz w:val="24"/>
          <w:szCs w:val="24"/>
          <w:vertAlign w:val="superscript"/>
          <w:lang w:val="en-IE"/>
        </w:rPr>
        <w:footnoteReference w:id="30"/>
      </w:r>
      <w:r w:rsidRPr="007D59C2">
        <w:rPr>
          <w:rFonts w:ascii="Times New Roman" w:eastAsia="Calibri" w:hAnsi="Times New Roman" w:cs="Times New Roman"/>
          <w:noProof/>
          <w:color w:val="000000" w:themeColor="text1"/>
          <w:sz w:val="24"/>
          <w:szCs w:val="24"/>
          <w:lang w:val="en-IE"/>
        </w:rPr>
        <w:t xml:space="preserve"> also aims at preserving the free movement of goods, services and persons and the availability of essential goods and services in the event of future emergencies.</w:t>
      </w:r>
      <w:r w:rsidR="00DD4B7E">
        <w:rPr>
          <w:rFonts w:ascii="Times New Roman" w:eastAsia="Calibri" w:hAnsi="Times New Roman" w:cs="Times New Roman"/>
          <w:noProof/>
          <w:color w:val="000000" w:themeColor="text1"/>
          <w:sz w:val="24"/>
          <w:szCs w:val="24"/>
          <w:lang w:val="en-IE"/>
        </w:rPr>
        <w:t xml:space="preserve"> In addition, to cater for the rapidly increasing demand of certain raw materials, a legislative initiative on critical raw materials has been announced for the first quarter of 2023.</w:t>
      </w:r>
    </w:p>
    <w:p w14:paraId="5A86EDA1"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Moreover, in order to identify strategic dependencies of crisis relevant medicines, the Commission has created in coordination with industry and Member States a </w:t>
      </w:r>
      <w:r w:rsidRPr="007D59C2">
        <w:rPr>
          <w:rFonts w:ascii="Times New Roman" w:eastAsia="Calibri" w:hAnsi="Times New Roman" w:cs="Times New Roman"/>
          <w:b/>
          <w:noProof/>
          <w:color w:val="000000" w:themeColor="text1"/>
          <w:sz w:val="24"/>
          <w:szCs w:val="24"/>
          <w:lang w:val="en-IE"/>
        </w:rPr>
        <w:t>questionnaire to identify vulnerabilities</w:t>
      </w:r>
      <w:r w:rsidRPr="007D59C2">
        <w:rPr>
          <w:rFonts w:ascii="Times New Roman" w:eastAsia="Calibri" w:hAnsi="Times New Roman" w:cs="Times New Roman"/>
          <w:noProof/>
          <w:color w:val="000000" w:themeColor="text1"/>
          <w:sz w:val="24"/>
          <w:szCs w:val="24"/>
          <w:lang w:val="en-IE"/>
        </w:rPr>
        <w:t xml:space="preserve">, </w:t>
      </w:r>
      <w:r w:rsidRPr="007D59C2">
        <w:rPr>
          <w:rFonts w:ascii="Times New Roman" w:eastAsia="Calibri" w:hAnsi="Times New Roman" w:cs="Times New Roman"/>
          <w:b/>
          <w:noProof/>
          <w:color w:val="000000" w:themeColor="text1"/>
          <w:sz w:val="24"/>
          <w:szCs w:val="24"/>
          <w:lang w:val="en-IE"/>
        </w:rPr>
        <w:t>strategic dependencies</w:t>
      </w:r>
      <w:r w:rsidRPr="007D59C2">
        <w:rPr>
          <w:rFonts w:ascii="Times New Roman" w:eastAsia="Calibri" w:hAnsi="Times New Roman" w:cs="Times New Roman"/>
          <w:noProof/>
          <w:color w:val="000000" w:themeColor="text1"/>
          <w:sz w:val="24"/>
          <w:szCs w:val="24"/>
          <w:lang w:val="en-IE"/>
        </w:rPr>
        <w:t xml:space="preserve"> in the production as well as to generate demand forecasts. The questionnaire should support surveillance of the availability of critical medical countermeasures during periods of preparedness and of crisis.</w:t>
      </w:r>
    </w:p>
    <w:p w14:paraId="05571A73"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The Commission has carried out specific work to address </w:t>
      </w:r>
      <w:r w:rsidRPr="007D59C2">
        <w:rPr>
          <w:rFonts w:ascii="Times New Roman" w:eastAsia="Calibri" w:hAnsi="Times New Roman" w:cs="Times New Roman"/>
          <w:b/>
          <w:noProof/>
          <w:color w:val="000000" w:themeColor="text1"/>
          <w:sz w:val="24"/>
          <w:szCs w:val="24"/>
          <w:lang w:val="en-IE"/>
        </w:rPr>
        <w:t>shortages of antimicrobials</w:t>
      </w:r>
      <w:r w:rsidRPr="007D59C2">
        <w:rPr>
          <w:rFonts w:ascii="Times New Roman" w:eastAsia="Calibri" w:hAnsi="Times New Roman" w:cs="Times New Roman"/>
          <w:noProof/>
          <w:color w:val="000000" w:themeColor="text1"/>
          <w:sz w:val="24"/>
          <w:szCs w:val="24"/>
          <w:lang w:val="en-IE"/>
        </w:rPr>
        <w:t xml:space="preserve"> and other medical countermeasures needed to improve our response to antimicrobial resistance. HERA is developing a methodology to regularly assess antimicrobial supply chain vulnerabilities, and stockpiling options to address the vulnerabilities identified. </w:t>
      </w:r>
    </w:p>
    <w:p w14:paraId="799E62E6"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The Commission is also coordinating supply chain surveillance via dedicated fora. In 2021, it created the </w:t>
      </w:r>
      <w:r w:rsidRPr="007D59C2">
        <w:rPr>
          <w:rFonts w:ascii="Times New Roman" w:eastAsia="Calibri" w:hAnsi="Times New Roman" w:cs="Times New Roman"/>
          <w:b/>
          <w:bCs/>
          <w:noProof/>
          <w:color w:val="000000" w:themeColor="text1"/>
          <w:sz w:val="24"/>
          <w:szCs w:val="24"/>
          <w:lang w:val="en-IE"/>
        </w:rPr>
        <w:t>Task Force for Industrial Scale-up of COVID-19 vaccines (TFIS),</w:t>
      </w:r>
      <w:r w:rsidRPr="007D59C2">
        <w:rPr>
          <w:rFonts w:ascii="Times New Roman" w:eastAsia="Calibri" w:hAnsi="Times New Roman" w:cs="Times New Roman"/>
          <w:bCs/>
          <w:noProof/>
          <w:color w:val="000000" w:themeColor="text1"/>
          <w:sz w:val="24"/>
          <w:szCs w:val="24"/>
          <w:lang w:val="en-IE"/>
        </w:rPr>
        <w:t xml:space="preserve"> to help scale up the production of COVID-19 vaccines. Working </w:t>
      </w:r>
      <w:r w:rsidRPr="007D59C2">
        <w:rPr>
          <w:rFonts w:ascii="Times New Roman" w:eastAsia="Calibri" w:hAnsi="Times New Roman" w:cs="Times New Roman"/>
          <w:noProof/>
          <w:color w:val="000000" w:themeColor="text1"/>
          <w:sz w:val="24"/>
          <w:szCs w:val="24"/>
          <w:lang w:val="en-IE"/>
        </w:rPr>
        <w:t>closely with the industry, it helped release a number of supply chain bottlenecks. Globally, the Joint EU-US COVID-19 Manufacturing and Supply Chain Taskforce coordinated EU and US action to prevent and mitigate disruptions in manufacturing processes and supply chain shortages.</w:t>
      </w:r>
    </w:p>
    <w:p w14:paraId="4C450971" w14:textId="5FF18A44" w:rsid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In 2022, a </w:t>
      </w:r>
      <w:r w:rsidRPr="007D59C2">
        <w:rPr>
          <w:rFonts w:ascii="Times New Roman" w:eastAsia="Calibri" w:hAnsi="Times New Roman" w:cs="Times New Roman"/>
          <w:b/>
          <w:bCs/>
          <w:noProof/>
          <w:color w:val="000000" w:themeColor="text1"/>
          <w:sz w:val="24"/>
          <w:szCs w:val="24"/>
          <w:lang w:val="en-IE"/>
        </w:rPr>
        <w:t>Joint Industrial Cooperation Forum (JICF)</w:t>
      </w:r>
      <w:r w:rsidRPr="007D59C2">
        <w:rPr>
          <w:rFonts w:ascii="Times New Roman" w:eastAsia="Calibri" w:hAnsi="Times New Roman" w:cs="Times New Roman"/>
          <w:noProof/>
          <w:color w:val="000000" w:themeColor="text1"/>
          <w:sz w:val="24"/>
          <w:szCs w:val="24"/>
          <w:lang w:val="en-IE"/>
        </w:rPr>
        <w:t xml:space="preserve"> has been set up as a sub-group of the HERA Advisory Forum. The JICF which brings together the Commission, Member States, and industry and works to identify, anticipate and advise Member States and the Commission on how to address future bottlenecks in the supply chains of medical countermeasures. Further JICF discussions will include exploring options to boost the EU’s </w:t>
      </w:r>
      <w:r w:rsidR="00A71ADA">
        <w:rPr>
          <w:rFonts w:ascii="Times New Roman" w:eastAsia="Calibri" w:hAnsi="Times New Roman" w:cs="Times New Roman"/>
          <w:noProof/>
          <w:color w:val="000000" w:themeColor="text1"/>
          <w:sz w:val="24"/>
          <w:szCs w:val="24"/>
          <w:lang w:val="en-IE"/>
        </w:rPr>
        <w:t xml:space="preserve">open </w:t>
      </w:r>
      <w:r w:rsidRPr="007D59C2">
        <w:rPr>
          <w:rFonts w:ascii="Times New Roman" w:eastAsia="Calibri" w:hAnsi="Times New Roman" w:cs="Times New Roman"/>
          <w:noProof/>
          <w:color w:val="000000" w:themeColor="text1"/>
          <w:sz w:val="24"/>
          <w:szCs w:val="24"/>
          <w:lang w:val="en-IE"/>
        </w:rPr>
        <w:t>strategic autonomy for the supply of raw materials relevant for medical countermeasures, as well as identifying and addressing supply chain vulnerabilities for the production of critical medical countermeasures.</w:t>
      </w:r>
    </w:p>
    <w:p w14:paraId="505230D0" w14:textId="0061C53B" w:rsidR="00E81FB4" w:rsidRPr="007D59C2" w:rsidRDefault="00E81FB4" w:rsidP="007D59C2">
      <w:pPr>
        <w:jc w:val="both"/>
        <w:rPr>
          <w:rFonts w:ascii="Times New Roman" w:eastAsia="Calibri" w:hAnsi="Times New Roman" w:cs="Times New Roman"/>
          <w:noProof/>
          <w:color w:val="000000" w:themeColor="text1"/>
          <w:sz w:val="24"/>
          <w:szCs w:val="24"/>
          <w:lang w:val="en-IE"/>
        </w:rPr>
      </w:pPr>
      <w:r>
        <w:rPr>
          <w:rFonts w:ascii="Times New Roman" w:eastAsia="Calibri" w:hAnsi="Times New Roman" w:cs="Times New Roman"/>
          <w:noProof/>
          <w:color w:val="000000" w:themeColor="text1"/>
          <w:sz w:val="24"/>
          <w:szCs w:val="24"/>
          <w:lang w:val="en-IE"/>
        </w:rPr>
        <w:t xml:space="preserve">With input from these fora, the Commission will take further measures to map supply chain risks and criticalities, to develop a </w:t>
      </w:r>
      <w:r w:rsidRPr="00463740">
        <w:rPr>
          <w:rFonts w:ascii="Times New Roman" w:eastAsia="Calibri" w:hAnsi="Times New Roman" w:cs="Times New Roman"/>
          <w:b/>
          <w:bCs/>
          <w:noProof/>
          <w:color w:val="000000" w:themeColor="text1"/>
          <w:sz w:val="24"/>
          <w:szCs w:val="24"/>
          <w:lang w:val="en-IE"/>
        </w:rPr>
        <w:t>supply chain risk management framework</w:t>
      </w:r>
      <w:r>
        <w:rPr>
          <w:rFonts w:ascii="Times New Roman" w:eastAsia="Calibri" w:hAnsi="Times New Roman" w:cs="Times New Roman"/>
          <w:noProof/>
          <w:color w:val="000000" w:themeColor="text1"/>
          <w:sz w:val="24"/>
          <w:szCs w:val="24"/>
          <w:lang w:val="en-IE"/>
        </w:rPr>
        <w:t xml:space="preserve"> and to increase the resilience of supply chains, not only for critical medical countermeasures, but also for key raw materials and ingredients.</w:t>
      </w:r>
    </w:p>
    <w:p w14:paraId="0F87FF82"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GB" w:eastAsia="en-GB"/>
        </w:rPr>
        <w:drawing>
          <wp:inline distT="0" distB="0" distL="0" distR="0" wp14:anchorId="7D7F8461" wp14:editId="20068024">
            <wp:extent cx="5929200" cy="3485974"/>
            <wp:effectExtent l="0" t="0" r="0" b="635"/>
            <wp:docPr id="5" name="Picture 5" descr="supply ch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ply chai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9200" cy="3485974"/>
                    </a:xfrm>
                    <a:prstGeom prst="rect">
                      <a:avLst/>
                    </a:prstGeom>
                    <a:noFill/>
                    <a:ln>
                      <a:noFill/>
                    </a:ln>
                  </pic:spPr>
                </pic:pic>
              </a:graphicData>
            </a:graphic>
          </wp:inline>
        </w:drawing>
      </w:r>
    </w:p>
    <w:p w14:paraId="6F61CE54" w14:textId="77777777" w:rsidR="007D59C2" w:rsidRPr="007D59C2" w:rsidRDefault="007D59C2" w:rsidP="007D59C2">
      <w:pPr>
        <w:keepNext/>
        <w:keepLines/>
        <w:numPr>
          <w:ilvl w:val="1"/>
          <w:numId w:val="6"/>
        </w:numPr>
        <w:spacing w:before="160" w:line="240" w:lineRule="auto"/>
        <w:outlineLvl w:val="2"/>
        <w:rPr>
          <w:rFonts w:asciiTheme="majorHAnsi" w:eastAsiaTheme="minorEastAsia" w:hAnsiTheme="majorHAnsi" w:cstheme="majorBidi"/>
          <w:b/>
          <w:noProof/>
          <w:color w:val="002060"/>
          <w:sz w:val="24"/>
          <w:szCs w:val="28"/>
        </w:rPr>
      </w:pPr>
      <w:bookmarkStart w:id="325" w:name="_Toc120631063"/>
      <w:bookmarkStart w:id="326" w:name="_Toc114267950"/>
      <w:bookmarkStart w:id="327" w:name="_Toc1102547048"/>
      <w:bookmarkStart w:id="328" w:name="_Toc1934975206"/>
      <w:bookmarkStart w:id="329" w:name="_Toc767945087"/>
      <w:bookmarkStart w:id="330" w:name="_Toc2082609602"/>
      <w:bookmarkStart w:id="331" w:name="_Toc1328351882"/>
      <w:bookmarkStart w:id="332" w:name="_Toc1957817417"/>
      <w:bookmarkStart w:id="333" w:name="_Toc1367964121"/>
      <w:bookmarkStart w:id="334" w:name="_Toc931310663"/>
      <w:bookmarkStart w:id="335" w:name="_Toc683975426"/>
      <w:bookmarkStart w:id="336" w:name="_Toc12735216"/>
      <w:bookmarkStart w:id="337" w:name="_Toc99771851"/>
      <w:bookmarkStart w:id="338" w:name="_Toc1701195047"/>
      <w:bookmarkStart w:id="339" w:name="_Toc962412267"/>
      <w:bookmarkStart w:id="340" w:name="_Toc309552660"/>
      <w:bookmarkStart w:id="341" w:name="_Toc593266643"/>
      <w:bookmarkStart w:id="342" w:name="_Toc1102521973"/>
      <w:bookmarkStart w:id="343" w:name="_Toc1963143962"/>
      <w:bookmarkStart w:id="344" w:name="_Toc1239516539"/>
      <w:bookmarkStart w:id="345" w:name="_Toc1359287028"/>
      <w:bookmarkStart w:id="346" w:name="_Toc1268901722"/>
      <w:bookmarkStart w:id="347" w:name="_Toc991776431"/>
      <w:bookmarkStart w:id="348" w:name="_Toc12380312"/>
      <w:bookmarkStart w:id="349" w:name="_Toc1298660662"/>
      <w:bookmarkStart w:id="350" w:name="_Toc1905658691"/>
      <w:bookmarkStart w:id="351" w:name="_Toc178747159"/>
      <w:bookmarkStart w:id="352" w:name="_Toc534131887"/>
      <w:r w:rsidRPr="007D59C2">
        <w:rPr>
          <w:rFonts w:asciiTheme="majorHAnsi" w:eastAsia="Times New Roman" w:hAnsiTheme="majorHAnsi" w:cstheme="majorBidi"/>
          <w:b/>
          <w:noProof/>
          <w:color w:val="002060"/>
          <w:sz w:val="24"/>
          <w:szCs w:val="28"/>
        </w:rPr>
        <w:t>Ensuring manufacturing capacities for medical countermeasures in a crisis</w:t>
      </w:r>
      <w:bookmarkEnd w:id="325"/>
      <w:r w:rsidRPr="007D59C2">
        <w:rPr>
          <w:rFonts w:asciiTheme="majorHAnsi" w:eastAsia="Times New Roman" w:hAnsiTheme="majorHAnsi" w:cstheme="majorBidi"/>
          <w:b/>
          <w:noProof/>
          <w:color w:val="002060"/>
          <w:sz w:val="24"/>
          <w:szCs w:val="28"/>
        </w:rPr>
        <w:t xml:space="preserve"> </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16355DE3"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During the pandemic, the EU played a key role in expanding manufacturing capacities of medical countermeasures. However, while the EU and its Member States were successful in rapidly increasing manufacturing capacity to reach a production capacity of around 300 million vaccine doses per month</w:t>
      </w:r>
      <w:r w:rsidRPr="007D59C2">
        <w:rPr>
          <w:rFonts w:ascii="Times New Roman" w:eastAsia="Calibri" w:hAnsi="Times New Roman" w:cs="Times New Roman"/>
          <w:noProof/>
          <w:color w:val="000000" w:themeColor="text1"/>
          <w:sz w:val="24"/>
          <w:szCs w:val="24"/>
          <w:vertAlign w:val="superscript"/>
          <w:lang w:val="en-IE"/>
        </w:rPr>
        <w:footnoteReference w:id="31"/>
      </w:r>
      <w:r w:rsidRPr="007D59C2">
        <w:rPr>
          <w:rFonts w:ascii="Times New Roman" w:eastAsia="Calibri" w:hAnsi="Times New Roman" w:cs="Times New Roman"/>
          <w:noProof/>
          <w:color w:val="000000" w:themeColor="text1"/>
          <w:sz w:val="24"/>
          <w:szCs w:val="24"/>
          <w:lang w:val="en-IE"/>
        </w:rPr>
        <w:t>, the crisis also demonstrated that manufacturing capacities were insufficient to rapidly meet demand both at the EU and global level. This situation has emphasized the need to expand and maintain sustainable manufacturing capacities for medical countermeasures during preparedness times.</w:t>
      </w:r>
    </w:p>
    <w:p w14:paraId="185F7A33" w14:textId="77777777" w:rsidR="007D59C2" w:rsidRPr="007D59C2" w:rsidRDefault="007D59C2" w:rsidP="007D59C2">
      <w:pPr>
        <w:jc w:val="both"/>
        <w:rPr>
          <w:rFonts w:ascii="Times New Roman" w:hAnsi="Times New Roman" w:cs="Times New Roman"/>
          <w:b/>
          <w:bCs/>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The Commission is therefore </w:t>
      </w:r>
      <w:r w:rsidRPr="007D59C2">
        <w:rPr>
          <w:rFonts w:ascii="Times New Roman" w:eastAsia="Calibri" w:hAnsi="Times New Roman" w:cs="Times New Roman"/>
          <w:b/>
          <w:noProof/>
          <w:color w:val="000000" w:themeColor="text1"/>
          <w:sz w:val="24"/>
          <w:szCs w:val="24"/>
          <w:lang w:val="en-IE"/>
        </w:rPr>
        <w:t>restoring and expanding production capacity for medical countermeasures</w:t>
      </w:r>
      <w:r w:rsidRPr="007D59C2">
        <w:rPr>
          <w:rFonts w:ascii="Times New Roman" w:eastAsia="Calibri" w:hAnsi="Times New Roman" w:cs="Times New Roman"/>
          <w:noProof/>
          <w:color w:val="000000" w:themeColor="text1"/>
          <w:sz w:val="24"/>
          <w:szCs w:val="24"/>
          <w:lang w:val="en-IE"/>
        </w:rPr>
        <w:t xml:space="preserve"> in the EU. In April 2022, the Commission announced the creation of EU FAB, a network of manufacturing facilities reserving capabilities for the production of vaccines. With EU FAB, the aim is to invest EUR 160 million annually in the EU to ensure that sufficient and agile manufacturing capacities for different vaccine types are available and can be activated quickly in the event of a public health emergency. </w:t>
      </w:r>
    </w:p>
    <w:tbl>
      <w:tblPr>
        <w:tblStyle w:val="TableGrid"/>
        <w:tblW w:w="0" w:type="auto"/>
        <w:jc w:val="center"/>
        <w:tblLook w:val="04A0" w:firstRow="1" w:lastRow="0" w:firstColumn="1" w:lastColumn="0" w:noHBand="0" w:noVBand="1"/>
      </w:tblPr>
      <w:tblGrid>
        <w:gridCol w:w="8186"/>
      </w:tblGrid>
      <w:tr w:rsidR="007D59C2" w:rsidRPr="007D59C2" w14:paraId="1F107CF0" w14:textId="77777777" w:rsidTr="00A86FC6">
        <w:trPr>
          <w:trHeight w:val="416"/>
          <w:jc w:val="center"/>
        </w:trPr>
        <w:tc>
          <w:tcPr>
            <w:tcW w:w="8186" w:type="dxa"/>
            <w:tcBorders>
              <w:bottom w:val="nil"/>
            </w:tcBorders>
            <w:shd w:val="clear" w:color="auto" w:fill="FD5C25"/>
            <w:vAlign w:val="center"/>
          </w:tcPr>
          <w:p w14:paraId="21DFBADD" w14:textId="3149412C" w:rsidR="007D59C2" w:rsidRPr="007D59C2" w:rsidRDefault="007D59C2" w:rsidP="007D59C2">
            <w:pPr>
              <w:tabs>
                <w:tab w:val="left" w:pos="1269"/>
                <w:tab w:val="center" w:pos="2035"/>
              </w:tabs>
              <w:jc w:val="center"/>
              <w:rPr>
                <w:b/>
                <w:i/>
                <w:noProof/>
                <w:color w:val="000000" w:themeColor="text1"/>
                <w:sz w:val="24"/>
                <w:lang w:val="en-IE"/>
              </w:rPr>
            </w:pPr>
            <w:r w:rsidRPr="007D59C2">
              <w:rPr>
                <w:b/>
                <w:i/>
                <w:noProof/>
                <w:color w:val="FFFFFF" w:themeColor="background1"/>
                <w:sz w:val="24"/>
                <w:lang w:val="en-IE"/>
              </w:rPr>
              <w:t>WHAT’S NEW?</w:t>
            </w:r>
          </w:p>
        </w:tc>
      </w:tr>
      <w:tr w:rsidR="007D59C2" w:rsidRPr="007D59C2" w14:paraId="4D41D33E" w14:textId="77777777" w:rsidTr="00A86FC6">
        <w:trPr>
          <w:trHeight w:val="1100"/>
          <w:jc w:val="center"/>
        </w:trPr>
        <w:tc>
          <w:tcPr>
            <w:tcW w:w="8186" w:type="dxa"/>
            <w:tcBorders>
              <w:top w:val="nil"/>
            </w:tcBorders>
            <w:shd w:val="clear" w:color="auto" w:fill="282896"/>
            <w:vAlign w:val="center"/>
          </w:tcPr>
          <w:p w14:paraId="5695D60F" w14:textId="047BB154" w:rsidR="007D59C2" w:rsidRPr="007D59C2" w:rsidRDefault="007D59C2" w:rsidP="00436AE0">
            <w:pPr>
              <w:spacing w:after="120" w:line="257" w:lineRule="auto"/>
              <w:rPr>
                <w:noProof/>
                <w:color w:val="000000" w:themeColor="text1"/>
                <w:lang w:val="en-GB"/>
              </w:rPr>
            </w:pPr>
            <w:r w:rsidRPr="007D59C2">
              <w:rPr>
                <w:b/>
                <w:noProof/>
                <w:color w:val="FFFFFF" w:themeColor="background1"/>
                <w:lang w:val="en-IE"/>
              </w:rPr>
              <w:t>EU FAB</w:t>
            </w:r>
            <w:r w:rsidRPr="007D59C2">
              <w:rPr>
                <w:noProof/>
                <w:color w:val="FFFFFF" w:themeColor="background1"/>
                <w:lang w:val="en-IE"/>
              </w:rPr>
              <w:t xml:space="preserve"> consists of a network of vaccine manufacturing sites with an “ever-warm” capacity to produce 500-700 million vaccine per year to ensure that vaccines are rapidly available once a crisis hits. Contracts with suppliers will be signed in 2023. </w:t>
            </w:r>
          </w:p>
        </w:tc>
      </w:tr>
    </w:tbl>
    <w:p w14:paraId="7151CA89" w14:textId="77777777" w:rsidR="007D59C2" w:rsidRPr="00A86FC6" w:rsidRDefault="007D59C2" w:rsidP="007D59C2">
      <w:pPr>
        <w:jc w:val="both"/>
        <w:rPr>
          <w:rFonts w:ascii="Times New Roman" w:hAnsi="Times New Roman" w:cs="Times New Roman"/>
          <w:b/>
          <w:bCs/>
          <w:noProof/>
          <w:color w:val="000000" w:themeColor="text1"/>
          <w:sz w:val="24"/>
          <w:szCs w:val="24"/>
        </w:rPr>
      </w:pPr>
    </w:p>
    <w:p w14:paraId="69D3E1E1" w14:textId="62560CA6"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In parallel, the EU has commissioned a study to provide policy options for future actions relating to the </w:t>
      </w:r>
      <w:r w:rsidRPr="007D59C2">
        <w:rPr>
          <w:rFonts w:ascii="Times New Roman" w:eastAsia="Calibri" w:hAnsi="Times New Roman" w:cs="Times New Roman"/>
          <w:b/>
          <w:noProof/>
          <w:color w:val="000000" w:themeColor="text1"/>
          <w:sz w:val="24"/>
          <w:szCs w:val="24"/>
          <w:lang w:val="en-IE"/>
        </w:rPr>
        <w:t>flexible manufacturing of vaccines and therapeutics</w:t>
      </w:r>
      <w:r w:rsidRPr="007D59C2">
        <w:rPr>
          <w:rFonts w:ascii="Times New Roman" w:eastAsia="Calibri" w:hAnsi="Times New Roman" w:cs="Times New Roman"/>
          <w:noProof/>
          <w:color w:val="000000" w:themeColor="text1"/>
          <w:sz w:val="24"/>
          <w:szCs w:val="24"/>
          <w:lang w:val="en-IE"/>
        </w:rPr>
        <w:t xml:space="preserve">, in particular to facilitate surge manufacturing capacity to improve preparedness for future health emergencies. The study will set out a number of potential approaches by which the EU can equip itself with flexible manufacturing capacity, along with an analysis of the issues to tackle to ensure that a given approach is successful. It is due to be finalised in early 2023 and then to feed into work on future investments strategies. </w:t>
      </w:r>
    </w:p>
    <w:p w14:paraId="008D552D" w14:textId="1A302A14" w:rsidR="007D59C2" w:rsidRPr="007D59C2" w:rsidRDefault="007D59C2" w:rsidP="007D59C2">
      <w:pPr>
        <w:spacing w:after="120" w:line="240" w:lineRule="auto"/>
        <w:jc w:val="both"/>
        <w:rPr>
          <w:rFonts w:ascii="Times New Roman" w:eastAsia="Calibri" w:hAnsi="Times New Roman" w:cs="Times New Roman"/>
          <w:noProof/>
          <w:color w:val="000000" w:themeColor="text1"/>
          <w:sz w:val="24"/>
          <w:lang w:val="en-IE"/>
        </w:rPr>
      </w:pPr>
      <w:r w:rsidRPr="007D59C2">
        <w:rPr>
          <w:rFonts w:ascii="Times New Roman" w:eastAsia="Calibri" w:hAnsi="Times New Roman" w:cs="Times New Roman"/>
          <w:noProof/>
          <w:color w:val="000000" w:themeColor="text1"/>
          <w:sz w:val="24"/>
          <w:szCs w:val="24"/>
          <w:lang w:val="en-IE"/>
        </w:rPr>
        <w:t>The EU is also ramping up its</w:t>
      </w:r>
      <w:r w:rsidRPr="007D59C2">
        <w:rPr>
          <w:rFonts w:ascii="Times New Roman" w:eastAsia="Calibri" w:hAnsi="Times New Roman" w:cs="Times New Roman"/>
          <w:b/>
          <w:noProof/>
          <w:color w:val="000000" w:themeColor="text1"/>
          <w:sz w:val="24"/>
          <w:szCs w:val="24"/>
          <w:lang w:val="en-IE"/>
        </w:rPr>
        <w:t xml:space="preserve"> engagement to increase the manufacturing of medical countermeasures worldwide</w:t>
      </w:r>
      <w:r w:rsidRPr="007D59C2">
        <w:rPr>
          <w:rFonts w:ascii="Times New Roman" w:eastAsia="Calibri" w:hAnsi="Times New Roman" w:cs="Times New Roman"/>
          <w:noProof/>
          <w:color w:val="000000" w:themeColor="text1"/>
          <w:sz w:val="24"/>
          <w:szCs w:val="24"/>
          <w:lang w:val="en-IE"/>
        </w:rPr>
        <w:t xml:space="preserve"> to boost global preparedness. During the EU - African Union Summit in February 2022, the EU confirmed its support for Africa’s ambition to become more autonomous in the production of medicines, diagnostics, and therapeutics and health products. A Team Europe </w:t>
      </w:r>
      <w:r w:rsidRPr="007D59C2">
        <w:rPr>
          <w:rFonts w:ascii="Times New Roman" w:eastAsia="Times New Roman" w:hAnsi="Times New Roman" w:cs="Times New Roman"/>
          <w:noProof/>
          <w:sz w:val="24"/>
          <w:szCs w:val="24"/>
          <w:lang w:val="en-GB"/>
        </w:rPr>
        <w:t xml:space="preserve">Initiative on manufacturing and access to vaccines, medicines and health technologies in Africa plays an important role in this regard. </w:t>
      </w:r>
      <w:r w:rsidRPr="007D59C2">
        <w:rPr>
          <w:rFonts w:ascii="Times New Roman" w:eastAsia="Calibri" w:hAnsi="Times New Roman" w:cs="Times New Roman"/>
          <w:noProof/>
          <w:color w:val="000000" w:themeColor="text1"/>
          <w:sz w:val="24"/>
          <w:lang w:val="en-IE"/>
        </w:rPr>
        <w:t>The EU is supporting the construction or upgrade of manufacturing plants in Rwanda, Senegal, South Africa and Ghana - together with African and international partners. It has forged a partnership in this domain with the WHO and is collaborating with the African Union and its bodies. The Commission and Member States, via a Team</w:t>
      </w:r>
      <w:r w:rsidRPr="007D59C2">
        <w:rPr>
          <w:noProof/>
          <w:lang w:val="en-GB"/>
        </w:rPr>
        <w:t xml:space="preserve"> </w:t>
      </w:r>
      <w:r w:rsidRPr="007D59C2">
        <w:rPr>
          <w:rFonts w:ascii="Times New Roman" w:eastAsia="Calibri" w:hAnsi="Times New Roman" w:cs="Times New Roman"/>
          <w:noProof/>
          <w:color w:val="000000" w:themeColor="text1"/>
          <w:sz w:val="24"/>
          <w:lang w:val="en-IE"/>
        </w:rPr>
        <w:t>Europe approach, are a lead contributor to WHO’s mRNA technology transfer hub. It is also forging a new partnership with Latin America</w:t>
      </w:r>
      <w:r w:rsidR="008129A5">
        <w:rPr>
          <w:rFonts w:ascii="Times New Roman" w:eastAsia="Calibri" w:hAnsi="Times New Roman" w:cs="Times New Roman"/>
          <w:noProof/>
          <w:color w:val="000000" w:themeColor="text1"/>
          <w:sz w:val="24"/>
          <w:lang w:val="en-IE"/>
        </w:rPr>
        <w:t xml:space="preserve"> and the Cari</w:t>
      </w:r>
      <w:r w:rsidR="00D3517A">
        <w:rPr>
          <w:rFonts w:ascii="Times New Roman" w:eastAsia="Calibri" w:hAnsi="Times New Roman" w:cs="Times New Roman"/>
          <w:noProof/>
          <w:color w:val="000000" w:themeColor="text1"/>
          <w:sz w:val="24"/>
          <w:lang w:val="en-IE"/>
        </w:rPr>
        <w:t>b</w:t>
      </w:r>
      <w:r w:rsidR="008129A5">
        <w:rPr>
          <w:rFonts w:ascii="Times New Roman" w:eastAsia="Calibri" w:hAnsi="Times New Roman" w:cs="Times New Roman"/>
          <w:noProof/>
          <w:color w:val="000000" w:themeColor="text1"/>
          <w:sz w:val="24"/>
          <w:lang w:val="en-IE"/>
        </w:rPr>
        <w:t>bean</w:t>
      </w:r>
      <w:r w:rsidRPr="007D59C2">
        <w:rPr>
          <w:rFonts w:ascii="Times New Roman" w:eastAsia="Calibri" w:hAnsi="Times New Roman" w:cs="Times New Roman"/>
          <w:noProof/>
          <w:color w:val="000000" w:themeColor="text1"/>
          <w:sz w:val="24"/>
          <w:lang w:val="en-IE"/>
        </w:rPr>
        <w:t xml:space="preserve"> in this context.  </w:t>
      </w:r>
    </w:p>
    <w:p w14:paraId="49094A0E" w14:textId="798961C2" w:rsidR="007D59C2" w:rsidRPr="007D59C2" w:rsidRDefault="00754448" w:rsidP="007D59C2">
      <w:pPr>
        <w:spacing w:after="120" w:line="240" w:lineRule="auto"/>
        <w:jc w:val="both"/>
        <w:rPr>
          <w:rFonts w:ascii="Times New Roman" w:eastAsia="Calibri" w:hAnsi="Times New Roman" w:cs="Times New Roman"/>
          <w:noProof/>
          <w:color w:val="000000" w:themeColor="text1"/>
          <w:sz w:val="24"/>
          <w:lang w:val="en-IE"/>
        </w:rPr>
      </w:pPr>
      <w:r>
        <w:rPr>
          <w:rFonts w:ascii="Times New Roman" w:eastAsia="Calibri" w:hAnsi="Times New Roman" w:cs="Times New Roman"/>
          <w:noProof/>
          <w:color w:val="000000" w:themeColor="text1"/>
          <w:sz w:val="24"/>
          <w:lang w:val="en-IE" w:eastAsia="en-IE"/>
        </w:rPr>
        <w:pict w14:anchorId="623090D0">
          <v:shape id="_x0000_i1027" type="#_x0000_t75" style="width:467.25pt;height:201.75pt">
            <v:imagedata r:id="rId24" o:title="EU fab"/>
          </v:shape>
        </w:pict>
      </w:r>
    </w:p>
    <w:p w14:paraId="046AE976" w14:textId="77777777" w:rsidR="007D59C2" w:rsidRPr="007D59C2" w:rsidRDefault="007D59C2" w:rsidP="007D59C2">
      <w:pPr>
        <w:keepNext/>
        <w:keepLines/>
        <w:numPr>
          <w:ilvl w:val="1"/>
          <w:numId w:val="6"/>
        </w:numPr>
        <w:spacing w:before="160" w:line="240" w:lineRule="auto"/>
        <w:outlineLvl w:val="2"/>
        <w:rPr>
          <w:rFonts w:asciiTheme="majorHAnsi" w:eastAsia="Times New Roman" w:hAnsiTheme="majorHAnsi" w:cstheme="majorBidi"/>
          <w:b/>
          <w:noProof/>
          <w:color w:val="002060"/>
          <w:sz w:val="24"/>
          <w:szCs w:val="28"/>
        </w:rPr>
      </w:pPr>
      <w:bookmarkStart w:id="353" w:name="_Toc114439078"/>
      <w:bookmarkStart w:id="354" w:name="_Toc114267951"/>
      <w:bookmarkStart w:id="355" w:name="_Toc1810816686"/>
      <w:bookmarkStart w:id="356" w:name="_Toc61317441"/>
      <w:bookmarkStart w:id="357" w:name="_Toc7349842"/>
      <w:bookmarkStart w:id="358" w:name="_Toc812906897"/>
      <w:bookmarkStart w:id="359" w:name="_Toc1007482071"/>
      <w:bookmarkStart w:id="360" w:name="_Toc675846225"/>
      <w:bookmarkStart w:id="361" w:name="_Toc1848605620"/>
      <w:bookmarkStart w:id="362" w:name="_Toc45075827"/>
      <w:bookmarkStart w:id="363" w:name="_Toc955779930"/>
      <w:bookmarkStart w:id="364" w:name="_Toc1722060160"/>
      <w:bookmarkStart w:id="365" w:name="_Toc873579166"/>
      <w:bookmarkStart w:id="366" w:name="_Toc1675668228"/>
      <w:bookmarkStart w:id="367" w:name="_Toc1605474045"/>
      <w:bookmarkStart w:id="368" w:name="_Toc59537237"/>
      <w:bookmarkStart w:id="369" w:name="_Toc1617382271"/>
      <w:bookmarkStart w:id="370" w:name="_Toc92047089"/>
      <w:bookmarkStart w:id="371" w:name="_Toc341449219"/>
      <w:bookmarkStart w:id="372" w:name="_Toc403972118"/>
      <w:bookmarkStart w:id="373" w:name="_Toc2120275697"/>
      <w:bookmarkStart w:id="374" w:name="_Toc161679903"/>
      <w:bookmarkStart w:id="375" w:name="_Toc1753990933"/>
      <w:bookmarkStart w:id="376" w:name="_Toc1299863834"/>
      <w:bookmarkStart w:id="377" w:name="_Toc1795805056"/>
      <w:bookmarkStart w:id="378" w:name="_Toc25510198"/>
      <w:bookmarkStart w:id="379" w:name="_Toc1271490902"/>
      <w:bookmarkStart w:id="380" w:name="_Toc564944067"/>
      <w:bookmarkStart w:id="381" w:name="_Toc120631064"/>
      <w:bookmarkEnd w:id="353"/>
      <w:r w:rsidRPr="007D59C2">
        <w:rPr>
          <w:rFonts w:asciiTheme="majorHAnsi" w:eastAsia="Times New Roman" w:hAnsiTheme="majorHAnsi" w:cstheme="majorBidi"/>
          <w:b/>
          <w:noProof/>
          <w:color w:val="002060"/>
          <w:sz w:val="24"/>
          <w:szCs w:val="28"/>
        </w:rPr>
        <w:t>Ensuring access and equitable distribution of medical countermeasures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33D0D636" w14:textId="44CAF8B6" w:rsidR="007D59C2" w:rsidRPr="007D59C2" w:rsidRDefault="007D59C2" w:rsidP="007D59C2">
      <w:pPr>
        <w:tabs>
          <w:tab w:val="left" w:pos="2268"/>
        </w:tabs>
        <w:spacing w:after="120" w:line="257" w:lineRule="auto"/>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Over the past three years, the Commission has used joint procurement agreements, direct procurement and advance purchase agreements to ensure swift and equitable access to medical countermeasures for all EU citizens in response to ongoing health emergencies. Joint procurement procedure were also opened to European Free Trade Association States and EU candidate countries and potential candidates. Recently access has been extended to additional countries demonstrating the EU’s continuous work to strengthen equitable access to medical countermeasures in the EU and throughout Europe. </w:t>
      </w:r>
    </w:p>
    <w:p w14:paraId="6DB6AD0E" w14:textId="39B447D7" w:rsidR="007D59C2" w:rsidRPr="007D59C2" w:rsidRDefault="007D59C2" w:rsidP="007D59C2">
      <w:pPr>
        <w:spacing w:line="240" w:lineRule="auto"/>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This has proven to be a great success, by making antivirals, diagnostics and vaccines available at an early stage. During the COVID-19 pandemic, the Commission has operated a central procurement system to ensure that all Member States get equitable access to life-savings vaccines as early as possible and at the scale needed. Amendments to EU COVID-19 vaccines contracts negotiated with the vaccine companies at the request of Member States have helped to swiftly respond to the emergence of the new Omicron variant with the possibility to accelerate orders of vaccines to meet urgent demand and for Member States to receive adapted vaccines as soon as they were authorised. </w:t>
      </w:r>
    </w:p>
    <w:p w14:paraId="1419F151" w14:textId="1FE5CA4A"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The </w:t>
      </w:r>
      <w:r w:rsidRPr="007D59C2">
        <w:rPr>
          <w:rFonts w:ascii="Times New Roman" w:eastAsia="Calibri" w:hAnsi="Times New Roman" w:cs="Times New Roman"/>
          <w:bCs/>
          <w:noProof/>
          <w:color w:val="000000" w:themeColor="text1"/>
          <w:sz w:val="24"/>
          <w:szCs w:val="24"/>
          <w:lang w:val="en-IE"/>
        </w:rPr>
        <w:t>EU intends to ensure that it has</w:t>
      </w:r>
      <w:r w:rsidRPr="007D59C2">
        <w:rPr>
          <w:rFonts w:ascii="Times New Roman" w:eastAsia="Calibri" w:hAnsi="Times New Roman" w:cs="Times New Roman"/>
          <w:b/>
          <w:bCs/>
          <w:noProof/>
          <w:color w:val="000000" w:themeColor="text1"/>
          <w:sz w:val="24"/>
          <w:szCs w:val="24"/>
          <w:lang w:val="en-IE"/>
        </w:rPr>
        <w:t xml:space="preserve"> reservation contracts or purchasing contracts</w:t>
      </w:r>
      <w:r w:rsidRPr="007D59C2">
        <w:rPr>
          <w:rFonts w:ascii="Times New Roman" w:eastAsia="Calibri" w:hAnsi="Times New Roman" w:cs="Times New Roman"/>
          <w:noProof/>
          <w:color w:val="000000" w:themeColor="text1"/>
          <w:sz w:val="24"/>
          <w:szCs w:val="24"/>
          <w:lang w:val="en-IE"/>
        </w:rPr>
        <w:t xml:space="preserve"> in place for critical medical countermeasures before a new outbreak occurs to enable rapid availability of lifesaving tools in the EU. In July 2022, the Commission concluded a joint reservation contract for 85 million doses</w:t>
      </w:r>
      <w:bookmarkStart w:id="382" w:name="_Toc114267952"/>
      <w:bookmarkStart w:id="383" w:name="_Toc679499413"/>
      <w:bookmarkStart w:id="384" w:name="_Toc1826717852"/>
      <w:bookmarkStart w:id="385" w:name="_Toc1583353494"/>
      <w:bookmarkStart w:id="386" w:name="_Toc2069023447"/>
      <w:bookmarkStart w:id="387" w:name="_Toc1750137831"/>
      <w:bookmarkStart w:id="388" w:name="_Toc39195457"/>
      <w:bookmarkStart w:id="389" w:name="_Toc1020658136"/>
      <w:bookmarkStart w:id="390" w:name="_Toc1115202197"/>
      <w:bookmarkStart w:id="391" w:name="_Toc1638051315"/>
      <w:bookmarkStart w:id="392" w:name="_Toc1561127988"/>
      <w:bookmarkStart w:id="393" w:name="_Toc1204116731"/>
      <w:bookmarkStart w:id="394" w:name="_Toc1644615458"/>
      <w:bookmarkStart w:id="395" w:name="_Toc2008061028"/>
      <w:bookmarkStart w:id="396" w:name="_Toc31320197"/>
      <w:bookmarkStart w:id="397" w:name="_Toc419387858"/>
      <w:bookmarkStart w:id="398" w:name="_Toc402452115"/>
      <w:bookmarkStart w:id="399" w:name="_Toc1708269588"/>
      <w:bookmarkStart w:id="400" w:name="_Toc645167566"/>
      <w:bookmarkStart w:id="401" w:name="_Toc426048928"/>
      <w:r w:rsidRPr="007D59C2">
        <w:rPr>
          <w:rFonts w:ascii="Times New Roman" w:eastAsia="Calibri" w:hAnsi="Times New Roman" w:cs="Times New Roman"/>
          <w:noProof/>
          <w:color w:val="000000" w:themeColor="text1"/>
          <w:sz w:val="24"/>
          <w:szCs w:val="24"/>
          <w:lang w:val="en-IE"/>
        </w:rPr>
        <w:t xml:space="preserve"> of pandemic influenza vaccines</w:t>
      </w:r>
      <w:r w:rsidR="00A86FC6">
        <w:rPr>
          <w:rStyle w:val="FootnoteReference"/>
          <w:rFonts w:ascii="Times New Roman" w:eastAsia="Calibri" w:hAnsi="Times New Roman" w:cs="Times New Roman"/>
          <w:noProof/>
          <w:color w:val="000000" w:themeColor="text1"/>
          <w:sz w:val="24"/>
          <w:szCs w:val="24"/>
          <w:lang w:val="en-IE"/>
        </w:rPr>
        <w:footnoteReference w:id="32"/>
      </w:r>
      <w:r w:rsidRPr="007D59C2">
        <w:rPr>
          <w:rFonts w:ascii="Times New Roman" w:eastAsia="Calibri" w:hAnsi="Times New Roman" w:cs="Times New Roman"/>
          <w:noProof/>
          <w:color w:val="000000" w:themeColor="text1"/>
          <w:sz w:val="24"/>
          <w:szCs w:val="24"/>
          <w:lang w:val="en-IE"/>
        </w:rPr>
        <w:t>. To underpin its efforts to ensure access to essential medical countermeasures, the Commission is currently evaluating its joint procurement process to better match Member States procurement needs. The Commission also intends to use reservation contracts to support innovation and access to AMR countermeasures.</w:t>
      </w:r>
      <w:r w:rsidRPr="007D59C2">
        <w:rPr>
          <w:rFonts w:ascii="Times New Roman" w:eastAsia="Calibri" w:hAnsi="Times New Roman" w:cs="Times New Roman"/>
          <w:noProof/>
          <w:color w:val="000000" w:themeColor="text1"/>
          <w:sz w:val="24"/>
          <w:szCs w:val="24"/>
          <w:lang w:val="en-IE" w:eastAsia="en-IE"/>
        </w:rPr>
        <w:t xml:space="preserve"> </w:t>
      </w:r>
    </w:p>
    <w:p w14:paraId="424B7463" w14:textId="77777777" w:rsidR="007D59C2" w:rsidRPr="007D59C2" w:rsidRDefault="007D59C2" w:rsidP="007D59C2">
      <w:pPr>
        <w:jc w:val="both"/>
        <w:rPr>
          <w:noProof/>
          <w:lang w:val="en-IE"/>
        </w:rPr>
      </w:pPr>
      <w:r w:rsidRPr="007D59C2">
        <w:rPr>
          <w:noProof/>
          <w:lang w:val="en-GB" w:eastAsia="en-GB"/>
        </w:rPr>
        <w:drawing>
          <wp:inline distT="0" distB="0" distL="0" distR="0" wp14:anchorId="1D72A800" wp14:editId="52A3C870">
            <wp:extent cx="5929200" cy="1692710"/>
            <wp:effectExtent l="0" t="0" r="0" b="3175"/>
            <wp:docPr id="3" name="Picture 3" descr="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tribu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9200" cy="1692710"/>
                    </a:xfrm>
                    <a:prstGeom prst="rect">
                      <a:avLst/>
                    </a:prstGeom>
                    <a:noFill/>
                    <a:ln>
                      <a:noFill/>
                    </a:ln>
                  </pic:spPr>
                </pic:pic>
              </a:graphicData>
            </a:graphic>
          </wp:inline>
        </w:drawing>
      </w:r>
    </w:p>
    <w:p w14:paraId="63BCCA23" w14:textId="77777777" w:rsidR="007D59C2" w:rsidRPr="007D59C2" w:rsidRDefault="007D59C2" w:rsidP="007D59C2">
      <w:pPr>
        <w:keepNext/>
        <w:keepLines/>
        <w:numPr>
          <w:ilvl w:val="1"/>
          <w:numId w:val="6"/>
        </w:numPr>
        <w:spacing w:before="160" w:line="240" w:lineRule="auto"/>
        <w:outlineLvl w:val="2"/>
        <w:rPr>
          <w:rFonts w:asciiTheme="majorHAnsi" w:eastAsia="Times New Roman" w:hAnsiTheme="majorHAnsi" w:cs="Times New Roman"/>
          <w:b/>
          <w:noProof/>
          <w:color w:val="002060"/>
          <w:sz w:val="24"/>
          <w:szCs w:val="24"/>
          <w:lang w:val="en-IE"/>
        </w:rPr>
      </w:pPr>
      <w:bookmarkStart w:id="402" w:name="_Toc120631065"/>
      <w:bookmarkStart w:id="403" w:name="_Toc1657359907"/>
      <w:bookmarkStart w:id="404" w:name="_Toc761193511"/>
      <w:bookmarkStart w:id="405" w:name="_Toc1896711851"/>
      <w:bookmarkStart w:id="406" w:name="_Toc1456598891"/>
      <w:bookmarkStart w:id="407" w:name="_Toc1402259136"/>
      <w:bookmarkStart w:id="408" w:name="_Toc1697456129"/>
      <w:bookmarkStart w:id="409" w:name="_Toc333948768"/>
      <w:r w:rsidRPr="007D59C2">
        <w:rPr>
          <w:rFonts w:asciiTheme="majorHAnsi" w:eastAsia="Times New Roman" w:hAnsiTheme="majorHAnsi" w:cstheme="majorBidi"/>
          <w:b/>
          <w:noProof/>
          <w:color w:val="002060"/>
          <w:sz w:val="24"/>
          <w:szCs w:val="28"/>
        </w:rPr>
        <w:t>Stockpiles</w:t>
      </w:r>
      <w:bookmarkEnd w:id="382"/>
      <w:bookmarkEnd w:id="402"/>
      <w:r w:rsidRPr="007D59C2">
        <w:rPr>
          <w:rFonts w:asciiTheme="majorHAnsi" w:eastAsia="Times New Roman" w:hAnsiTheme="majorHAnsi" w:cs="Times New Roman"/>
          <w:b/>
          <w:noProof/>
          <w:color w:val="002060"/>
          <w:sz w:val="24"/>
          <w:szCs w:val="24"/>
          <w:lang w:val="en-IE"/>
        </w:rPr>
        <w:t xml:space="preserve"> </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3"/>
      <w:bookmarkEnd w:id="404"/>
      <w:bookmarkEnd w:id="405"/>
      <w:bookmarkEnd w:id="406"/>
      <w:bookmarkEnd w:id="407"/>
      <w:bookmarkEnd w:id="408"/>
      <w:bookmarkEnd w:id="409"/>
    </w:p>
    <w:p w14:paraId="5CA38830"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The pandemic highlighted the lack of reserve capacities of essential medical countermeasures, such as PPE. Russia’s war of aggression against Ukraine further stressed the need for strategic stockpiles to ensure the availability and equitable access to critical medical countermeasures to protect EU citizens, in particular should CBRN attacks or accidents materialise. </w:t>
      </w:r>
    </w:p>
    <w:p w14:paraId="08AC93B9" w14:textId="77777777" w:rsidR="007D59C2" w:rsidRPr="007D59C2" w:rsidRDefault="007D59C2" w:rsidP="007D59C2">
      <w:pPr>
        <w:spacing w:after="120" w:line="257" w:lineRule="auto"/>
        <w:jc w:val="both"/>
        <w:rPr>
          <w:rFonts w:ascii="Times New Roman" w:eastAsia="Times New Roman" w:hAnsi="Times New Roman" w:cs="Times New Roman"/>
          <w:noProof/>
          <w:color w:val="000000" w:themeColor="text1"/>
          <w:sz w:val="24"/>
          <w:szCs w:val="24"/>
          <w:lang w:val="en-IE"/>
        </w:rPr>
      </w:pPr>
      <w:r w:rsidRPr="007D59C2">
        <w:rPr>
          <w:rFonts w:ascii="Times New Roman" w:eastAsia="Times New Roman" w:hAnsi="Times New Roman" w:cs="Times New Roman"/>
          <w:noProof/>
          <w:color w:val="000000" w:themeColor="text1"/>
          <w:sz w:val="24"/>
          <w:szCs w:val="24"/>
          <w:lang w:val="en-IE"/>
        </w:rPr>
        <w:t xml:space="preserve">The Commission is developing a strategic approach to EU-level stockpiling of medical countermeasures to be used in health emergencies, covering the relation between national and EU-level stockpiles and topics such as the sustainability of EU-level stockpiles. The stockpiling strategy </w:t>
      </w:r>
      <w:r w:rsidRPr="007D59C2">
        <w:rPr>
          <w:rFonts w:ascii="Times New Roman" w:hAnsi="Times New Roman" w:cs="Times New Roman"/>
          <w:noProof/>
          <w:kern w:val="24"/>
          <w:sz w:val="24"/>
          <w:lang w:val="en-GB"/>
        </w:rPr>
        <w:t>is aiming at coordinating and bridging gaps in EU medical countermeasures stockpiles, addressing the geographic positioning of the stockpiles, their distribution within Europe, their sustainability and shelf life and their market impact</w:t>
      </w:r>
      <w:r w:rsidRPr="007D59C2">
        <w:rPr>
          <w:rFonts w:ascii="Times New Roman" w:eastAsia="Times New Roman" w:hAnsi="Times New Roman" w:cs="Times New Roman"/>
          <w:noProof/>
          <w:sz w:val="24"/>
          <w:szCs w:val="24"/>
          <w:lang w:val="en-IE"/>
        </w:rPr>
        <w:t xml:space="preserve"> At the international level, the Commission is closely engaged in discussions </w:t>
      </w:r>
      <w:r w:rsidRPr="007D59C2">
        <w:rPr>
          <w:rFonts w:ascii="Times New Roman" w:eastAsia="Times New Roman" w:hAnsi="Times New Roman" w:cs="Times New Roman"/>
          <w:noProof/>
          <w:color w:val="000000" w:themeColor="text1"/>
          <w:sz w:val="24"/>
          <w:szCs w:val="24"/>
          <w:lang w:val="en-IE"/>
        </w:rPr>
        <w:t xml:space="preserve">with partners, such as the US and the WHO, to identify best practices around the stockpiling of medical countermeasures. </w:t>
      </w:r>
    </w:p>
    <w:p w14:paraId="5FABE477" w14:textId="77777777" w:rsidR="007D59C2" w:rsidRPr="007D59C2" w:rsidRDefault="007D59C2" w:rsidP="007D59C2">
      <w:pPr>
        <w:jc w:val="both"/>
        <w:rPr>
          <w:rFonts w:ascii="Times New Roman" w:eastAsia="Calibri" w:hAnsi="Times New Roman" w:cs="Times New Roman"/>
          <w:noProof/>
          <w:color w:val="000000" w:themeColor="text1"/>
          <w:sz w:val="24"/>
          <w:szCs w:val="24"/>
          <w:lang w:val="en-IE"/>
        </w:rPr>
      </w:pPr>
      <w:r w:rsidRPr="007D59C2">
        <w:rPr>
          <w:rFonts w:ascii="Times New Roman" w:eastAsia="Calibri" w:hAnsi="Times New Roman" w:cs="Times New Roman"/>
          <w:noProof/>
          <w:color w:val="000000" w:themeColor="text1"/>
          <w:sz w:val="24"/>
          <w:szCs w:val="24"/>
          <w:lang w:val="en-IE"/>
        </w:rPr>
        <w:t xml:space="preserve">As a first step in 2022, the Commission allocated EUR 580 million to support Member States in the establishment of ‘rescEU’ stockpiles of CBRN relevant medical countermeasures such as antidotes against nerve agents, vaccines and therapeutics against specific biological threats, and different countermeasures for radio-nuclear events. </w:t>
      </w:r>
      <w:r w:rsidRPr="007D59C2">
        <w:rPr>
          <w:rFonts w:ascii="Times New Roman" w:eastAsia="Calibri" w:hAnsi="Times New Roman" w:cs="Times New Roman"/>
          <w:noProof/>
          <w:color w:val="000000" w:themeColor="text1"/>
          <w:sz w:val="24"/>
          <w:szCs w:val="24"/>
          <w:lang w:val="en-GB"/>
        </w:rPr>
        <w:t xml:space="preserve">The selected Member States are expected to start building the proposed stockpiles by early 2023. </w:t>
      </w:r>
    </w:p>
    <w:p w14:paraId="14412B45" w14:textId="21E4EC96" w:rsidR="00D3517A" w:rsidRPr="007D59C2" w:rsidRDefault="007D59C2" w:rsidP="007D59C2">
      <w:pPr>
        <w:jc w:val="both"/>
        <w:rPr>
          <w:rFonts w:ascii="Times New Roman" w:eastAsia="Calibri" w:hAnsi="Times New Roman" w:cs="Times New Roman"/>
          <w:noProof/>
          <w:color w:val="000000" w:themeColor="text1"/>
          <w:sz w:val="24"/>
          <w:lang w:val="en-IE"/>
        </w:rPr>
      </w:pPr>
      <w:r w:rsidRPr="007D59C2">
        <w:rPr>
          <w:rFonts w:ascii="Times New Roman" w:eastAsia="Calibri" w:hAnsi="Times New Roman" w:cs="Times New Roman"/>
          <w:noProof/>
          <w:color w:val="000000" w:themeColor="text1"/>
          <w:sz w:val="24"/>
          <w:szCs w:val="24"/>
          <w:lang w:val="en-IE"/>
        </w:rPr>
        <w:t>Furthermore, the Commission is currently reinforcing stockpiling capacity by</w:t>
      </w:r>
      <w:r w:rsidRPr="007D59C2">
        <w:rPr>
          <w:rFonts w:ascii="Times New Roman" w:eastAsia="Calibri" w:hAnsi="Times New Roman" w:cs="Times New Roman"/>
          <w:b/>
          <w:noProof/>
          <w:color w:val="000000" w:themeColor="text1"/>
          <w:sz w:val="24"/>
          <w:szCs w:val="24"/>
          <w:lang w:val="en-IE"/>
        </w:rPr>
        <w:t xml:space="preserve"> building EU-level stockpiles of medical countermeasures</w:t>
      </w:r>
      <w:r w:rsidRPr="007D59C2">
        <w:rPr>
          <w:rFonts w:ascii="Times New Roman" w:eastAsia="Calibri" w:hAnsi="Times New Roman" w:cs="Times New Roman"/>
          <w:noProof/>
          <w:color w:val="000000" w:themeColor="text1"/>
          <w:sz w:val="24"/>
          <w:szCs w:val="24"/>
          <w:lang w:val="en-IE"/>
        </w:rPr>
        <w:t xml:space="preserve"> to act as a safety net and ensure sufficient supplies in cases of demand spikes or disruptions of supply chains. In doing so, the Commission </w:t>
      </w:r>
      <w:r w:rsidRPr="007D59C2">
        <w:rPr>
          <w:rFonts w:ascii="Times New Roman" w:eastAsia="Calibri" w:hAnsi="Times New Roman" w:cs="Times New Roman"/>
          <w:noProof/>
          <w:color w:val="000000" w:themeColor="text1"/>
          <w:sz w:val="24"/>
          <w:lang w:val="en-IE"/>
        </w:rPr>
        <w:t xml:space="preserve">complements Member States’ stockpiling to mitigate any gaps and ensure an enhanced level of preparedness throughout the EU. </w:t>
      </w:r>
    </w:p>
    <w:tbl>
      <w:tblPr>
        <w:tblStyle w:val="TableGrid"/>
        <w:tblW w:w="0" w:type="auto"/>
        <w:jc w:val="center"/>
        <w:tblLook w:val="04A0" w:firstRow="1" w:lastRow="0" w:firstColumn="1" w:lastColumn="0" w:noHBand="0" w:noVBand="1"/>
      </w:tblPr>
      <w:tblGrid>
        <w:gridCol w:w="8186"/>
      </w:tblGrid>
      <w:tr w:rsidR="007D59C2" w:rsidRPr="007D59C2" w14:paraId="01EC4371" w14:textId="77777777" w:rsidTr="00A86FC6">
        <w:trPr>
          <w:trHeight w:val="416"/>
          <w:jc w:val="center"/>
        </w:trPr>
        <w:tc>
          <w:tcPr>
            <w:tcW w:w="8186" w:type="dxa"/>
            <w:shd w:val="clear" w:color="auto" w:fill="FD5C25"/>
            <w:vAlign w:val="center"/>
          </w:tcPr>
          <w:p w14:paraId="27339BC9" w14:textId="745AD5AE" w:rsidR="007D59C2" w:rsidRPr="007D59C2" w:rsidRDefault="007D59C2" w:rsidP="007D59C2">
            <w:pPr>
              <w:tabs>
                <w:tab w:val="left" w:pos="1269"/>
                <w:tab w:val="center" w:pos="2035"/>
              </w:tabs>
              <w:jc w:val="center"/>
              <w:rPr>
                <w:b/>
                <w:i/>
                <w:noProof/>
                <w:color w:val="000000" w:themeColor="text1"/>
                <w:sz w:val="24"/>
                <w:lang w:val="en-IE"/>
              </w:rPr>
            </w:pPr>
            <w:r w:rsidRPr="007D59C2">
              <w:rPr>
                <w:b/>
                <w:i/>
                <w:noProof/>
                <w:color w:val="FFFFFF" w:themeColor="background1"/>
                <w:sz w:val="24"/>
                <w:lang w:val="en-IE"/>
              </w:rPr>
              <w:t>WHAT’S NEW?</w:t>
            </w:r>
          </w:p>
        </w:tc>
      </w:tr>
      <w:tr w:rsidR="007D59C2" w:rsidRPr="007D59C2" w14:paraId="484FFD10" w14:textId="77777777" w:rsidTr="00A86FC6">
        <w:trPr>
          <w:trHeight w:val="416"/>
          <w:jc w:val="center"/>
        </w:trPr>
        <w:tc>
          <w:tcPr>
            <w:tcW w:w="8186" w:type="dxa"/>
            <w:shd w:val="clear" w:color="auto" w:fill="282896"/>
            <w:vAlign w:val="center"/>
          </w:tcPr>
          <w:p w14:paraId="5FE3FC39" w14:textId="4A9CF9A9" w:rsidR="007D59C2" w:rsidRPr="007D59C2" w:rsidRDefault="007D59C2" w:rsidP="00E81FB4">
            <w:pPr>
              <w:spacing w:after="120" w:line="257" w:lineRule="auto"/>
              <w:rPr>
                <w:noProof/>
                <w:color w:val="000000" w:themeColor="text1"/>
                <w:lang w:val="en-GB"/>
              </w:rPr>
            </w:pPr>
            <w:r w:rsidRPr="007D59C2">
              <w:rPr>
                <w:noProof/>
                <w:color w:val="FFFFFF" w:themeColor="background1"/>
                <w:lang w:val="en-GB"/>
              </w:rPr>
              <w:t xml:space="preserve">During the </w:t>
            </w:r>
            <w:r w:rsidR="00E81FB4">
              <w:rPr>
                <w:noProof/>
                <w:color w:val="FFFFFF" w:themeColor="background1"/>
                <w:lang w:val="en-GB"/>
              </w:rPr>
              <w:t>MPOX</w:t>
            </w:r>
            <w:r w:rsidR="00E81FB4" w:rsidRPr="007D59C2">
              <w:rPr>
                <w:noProof/>
                <w:color w:val="FFFFFF" w:themeColor="background1"/>
                <w:lang w:val="en-GB"/>
              </w:rPr>
              <w:t xml:space="preserve"> </w:t>
            </w:r>
            <w:r w:rsidRPr="007D59C2">
              <w:rPr>
                <w:noProof/>
                <w:color w:val="FFFFFF" w:themeColor="background1"/>
                <w:lang w:val="en-GB"/>
              </w:rPr>
              <w:t xml:space="preserve">outbreak, </w:t>
            </w:r>
            <w:r w:rsidRPr="007D59C2">
              <w:rPr>
                <w:noProof/>
                <w:color w:val="FFFFFF" w:themeColor="background1"/>
                <w:lang w:val="en-IE"/>
              </w:rPr>
              <w:t xml:space="preserve">the Commission engaged in </w:t>
            </w:r>
            <w:r w:rsidRPr="007D59C2">
              <w:rPr>
                <w:b/>
                <w:noProof/>
                <w:color w:val="FFFFFF" w:themeColor="background1"/>
                <w:lang w:val="en-IE"/>
              </w:rPr>
              <w:t xml:space="preserve">direct procurement of medical countermeasures </w:t>
            </w:r>
            <w:r w:rsidRPr="007D59C2">
              <w:rPr>
                <w:noProof/>
                <w:color w:val="FFFFFF" w:themeColor="background1"/>
                <w:lang w:val="en-IE"/>
              </w:rPr>
              <w:t>donated or at the disposal of all Member States. The Commission purchased and made available through EU4Health 334,540 doses of vaccine and 10,008 treatment courses of TPOXX to Member States. The Commission is working on mid and long-term contracts through Joint Procurement.</w:t>
            </w:r>
          </w:p>
        </w:tc>
      </w:tr>
    </w:tbl>
    <w:p w14:paraId="3FAC1DF0" w14:textId="77777777" w:rsidR="007D59C2" w:rsidRPr="007D59C2" w:rsidRDefault="007D59C2" w:rsidP="007D59C2">
      <w:pPr>
        <w:tabs>
          <w:tab w:val="left" w:pos="2268"/>
        </w:tabs>
        <w:spacing w:after="0" w:line="257" w:lineRule="auto"/>
        <w:jc w:val="both"/>
        <w:rPr>
          <w:rFonts w:ascii="Times New Roman" w:eastAsia="Times New Roman" w:hAnsi="Times New Roman" w:cs="Times New Roman"/>
          <w:noProof/>
          <w:color w:val="000000" w:themeColor="text1"/>
          <w:sz w:val="24"/>
          <w:szCs w:val="24"/>
          <w:lang w:val="en-IE"/>
        </w:rPr>
      </w:pPr>
    </w:p>
    <w:p w14:paraId="490552D5" w14:textId="77777777" w:rsidR="007D59C2" w:rsidRPr="007D59C2" w:rsidRDefault="00B21D06" w:rsidP="007D59C2">
      <w:pPr>
        <w:tabs>
          <w:tab w:val="left" w:pos="2268"/>
        </w:tabs>
        <w:spacing w:after="0" w:line="257" w:lineRule="auto"/>
        <w:jc w:val="both"/>
        <w:rPr>
          <w:rFonts w:ascii="Times New Roman" w:eastAsia="Times New Roman" w:hAnsi="Times New Roman" w:cs="Times New Roman"/>
          <w:noProof/>
          <w:color w:val="000000" w:themeColor="text1"/>
          <w:sz w:val="24"/>
          <w:szCs w:val="24"/>
          <w:lang w:val="en-IE"/>
        </w:rPr>
      </w:pPr>
      <w:r>
        <w:rPr>
          <w:rFonts w:ascii="Times New Roman" w:eastAsia="Times New Roman" w:hAnsi="Times New Roman" w:cs="Times New Roman"/>
          <w:noProof/>
          <w:color w:val="000000" w:themeColor="text1"/>
          <w:sz w:val="24"/>
          <w:szCs w:val="24"/>
          <w:lang w:val="en-GB" w:eastAsia="en-GB"/>
        </w:rPr>
        <w:drawing>
          <wp:inline distT="0" distB="0" distL="0" distR="0" wp14:anchorId="704D529E" wp14:editId="616760BF">
            <wp:extent cx="5929200" cy="208658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ockpiling next step box.png"/>
                    <pic:cNvPicPr/>
                  </pic:nvPicPr>
                  <pic:blipFill>
                    <a:blip r:embed="rId26">
                      <a:extLst>
                        <a:ext uri="{28A0092B-C50C-407E-A947-70E740481C1C}">
                          <a14:useLocalDpi xmlns:a14="http://schemas.microsoft.com/office/drawing/2010/main" val="0"/>
                        </a:ext>
                      </a:extLst>
                    </a:blip>
                    <a:stretch>
                      <a:fillRect/>
                    </a:stretch>
                  </pic:blipFill>
                  <pic:spPr>
                    <a:xfrm>
                      <a:off x="0" y="0"/>
                      <a:ext cx="5929200" cy="2086583"/>
                    </a:xfrm>
                    <a:prstGeom prst="rect">
                      <a:avLst/>
                    </a:prstGeom>
                  </pic:spPr>
                </pic:pic>
              </a:graphicData>
            </a:graphic>
          </wp:inline>
        </w:drawing>
      </w:r>
    </w:p>
    <w:p w14:paraId="6C479CA1" w14:textId="77777777" w:rsidR="007D59C2" w:rsidRPr="007D59C2" w:rsidRDefault="007D59C2" w:rsidP="007D59C2">
      <w:pPr>
        <w:keepNext/>
        <w:keepLines/>
        <w:numPr>
          <w:ilvl w:val="0"/>
          <w:numId w:val="6"/>
        </w:numPr>
        <w:spacing w:before="160" w:line="240" w:lineRule="auto"/>
        <w:outlineLvl w:val="1"/>
        <w:rPr>
          <w:rFonts w:asciiTheme="majorHAnsi" w:eastAsia="Times New Roman" w:hAnsiTheme="majorHAnsi" w:cstheme="majorBidi"/>
          <w:b/>
          <w:noProof/>
          <w:color w:val="002060"/>
          <w:sz w:val="24"/>
          <w:szCs w:val="28"/>
        </w:rPr>
      </w:pPr>
      <w:bookmarkStart w:id="410" w:name="_Toc114267959"/>
      <w:bookmarkStart w:id="411" w:name="_Toc120631066"/>
      <w:bookmarkStart w:id="412" w:name="_Toc254233990"/>
      <w:bookmarkStart w:id="413" w:name="_Toc1053832069"/>
      <w:bookmarkStart w:id="414" w:name="_Toc2069738566"/>
      <w:bookmarkStart w:id="415" w:name="_Toc409729678"/>
      <w:bookmarkStart w:id="416" w:name="_Toc530574855"/>
      <w:bookmarkStart w:id="417" w:name="_Toc446098156"/>
      <w:bookmarkStart w:id="418" w:name="_Toc1050144918"/>
      <w:bookmarkStart w:id="419" w:name="_Toc850308621"/>
      <w:bookmarkStart w:id="420" w:name="_Toc1619139807"/>
      <w:bookmarkStart w:id="421" w:name="_Toc1795326137"/>
      <w:bookmarkStart w:id="422" w:name="_Toc814874748"/>
      <w:bookmarkStart w:id="423" w:name="_Toc878639387"/>
      <w:bookmarkStart w:id="424" w:name="_Toc502710794"/>
      <w:bookmarkStart w:id="425" w:name="_Toc997012051"/>
      <w:bookmarkStart w:id="426" w:name="_Toc1608298382"/>
      <w:bookmarkStart w:id="427" w:name="_Toc2027664917"/>
      <w:bookmarkStart w:id="428" w:name="_Toc1106062212"/>
      <w:bookmarkStart w:id="429" w:name="_Toc1648163355"/>
      <w:bookmarkStart w:id="430" w:name="_Toc2137895622"/>
      <w:bookmarkStart w:id="431" w:name="_Toc937029506"/>
      <w:bookmarkStart w:id="432" w:name="_Toc1482296192"/>
      <w:bookmarkStart w:id="433" w:name="_Toc1099607063"/>
      <w:bookmarkStart w:id="434" w:name="_Toc807782731"/>
      <w:bookmarkStart w:id="435" w:name="_Toc528941037"/>
      <w:bookmarkStart w:id="436" w:name="_Toc1823846601"/>
      <w:bookmarkStart w:id="437" w:name="_Toc486087999"/>
      <w:r w:rsidRPr="007D59C2">
        <w:rPr>
          <w:rFonts w:asciiTheme="majorHAnsi" w:eastAsia="Times New Roman" w:hAnsiTheme="majorHAnsi" w:cstheme="majorBidi"/>
          <w:b/>
          <w:noProof/>
          <w:color w:val="002060"/>
          <w:sz w:val="24"/>
          <w:szCs w:val="28"/>
        </w:rPr>
        <w:t>International coordination and global activities</w:t>
      </w:r>
      <w:bookmarkEnd w:id="410"/>
      <w:bookmarkEnd w:id="411"/>
      <w:r w:rsidRPr="007D59C2">
        <w:rPr>
          <w:rFonts w:asciiTheme="majorHAnsi" w:eastAsia="Times New Roman" w:hAnsiTheme="majorHAnsi" w:cstheme="majorBidi"/>
          <w:b/>
          <w:noProof/>
          <w:color w:val="002060"/>
          <w:sz w:val="24"/>
          <w:szCs w:val="28"/>
        </w:rPr>
        <w:t xml:space="preserve"> </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1250B1DF" w14:textId="77777777" w:rsidR="007D59C2" w:rsidRPr="007D59C2" w:rsidRDefault="007D59C2" w:rsidP="007D59C2">
      <w:pPr>
        <w:jc w:val="both"/>
        <w:rPr>
          <w:rFonts w:ascii="Times New Roman" w:hAnsi="Times New Roman" w:cs="Times New Roman"/>
          <w:noProof/>
          <w:sz w:val="24"/>
          <w:szCs w:val="24"/>
          <w:lang w:val="en-GB"/>
        </w:rPr>
      </w:pPr>
      <w:r w:rsidRPr="007D59C2">
        <w:rPr>
          <w:rFonts w:ascii="Times New Roman" w:hAnsi="Times New Roman" w:cs="Times New Roman"/>
          <w:noProof/>
          <w:sz w:val="24"/>
          <w:szCs w:val="24"/>
          <w:lang w:val="en-GB"/>
        </w:rPr>
        <w:t xml:space="preserve">COVID-19 exposed structural shortcomings not only in the EU’s health security architecture, but also in the global health security architecture. As the evolution of the pandemic has shown, only a united global response can provide a long-term response to the virus. </w:t>
      </w:r>
    </w:p>
    <w:p w14:paraId="3CC46259" w14:textId="3854EF0A" w:rsidR="007D59C2" w:rsidRPr="007D59C2" w:rsidRDefault="007D59C2" w:rsidP="007D59C2">
      <w:pPr>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b/>
          <w:bCs/>
          <w:noProof/>
          <w:sz w:val="24"/>
          <w:szCs w:val="24"/>
          <w:lang w:val="en-GB"/>
        </w:rPr>
        <w:t>With a Team Europe approach, the EU and its Member States</w:t>
      </w:r>
      <w:r w:rsidRPr="007D59C2">
        <w:rPr>
          <w:rFonts w:ascii="Times New Roman" w:eastAsia="Times New Roman" w:hAnsi="Times New Roman" w:cs="Times New Roman"/>
          <w:noProof/>
          <w:sz w:val="24"/>
          <w:szCs w:val="24"/>
          <w:lang w:val="en-GB"/>
        </w:rPr>
        <w:t xml:space="preserve"> have </w:t>
      </w:r>
      <w:r w:rsidRPr="007D59C2">
        <w:rPr>
          <w:rFonts w:ascii="Times New Roman" w:eastAsia="Times New Roman" w:hAnsi="Times New Roman" w:cs="Times New Roman"/>
          <w:b/>
          <w:noProof/>
          <w:sz w:val="24"/>
          <w:szCs w:val="24"/>
          <w:lang w:val="en-GB"/>
        </w:rPr>
        <w:t>played a decisive role in the global response to the pandemic so far</w:t>
      </w:r>
      <w:r w:rsidRPr="007D59C2">
        <w:rPr>
          <w:rFonts w:ascii="Times New Roman" w:eastAsia="Times New Roman" w:hAnsi="Times New Roman" w:cs="Times New Roman"/>
          <w:noProof/>
          <w:sz w:val="24"/>
          <w:szCs w:val="24"/>
          <w:lang w:val="en-GB"/>
        </w:rPr>
        <w:t xml:space="preserve">. </w:t>
      </w:r>
      <w:r w:rsidRPr="007D59C2">
        <w:rPr>
          <w:rFonts w:ascii="Times New Roman" w:eastAsia="Times New Roman" w:hAnsi="Times New Roman" w:cs="Times New Roman"/>
          <w:noProof/>
          <w:sz w:val="24"/>
          <w:szCs w:val="24"/>
          <w:lang w:val="en-GB" w:eastAsia="en-GB"/>
        </w:rPr>
        <w:t xml:space="preserve">Between 2021 and 2022, 127 activations of the Union Civil Protection Mechanism (UCPM) for medical and in-kind assistance were received, including requests for the deployment of </w:t>
      </w:r>
      <w:r w:rsidRPr="007D59C2">
        <w:rPr>
          <w:rFonts w:ascii="Times New Roman" w:eastAsia="Times New Roman" w:hAnsi="Times New Roman" w:cs="Times New Roman"/>
          <w:noProof/>
          <w:sz w:val="24"/>
          <w:szCs w:val="24"/>
          <w:lang w:val="en-GB"/>
        </w:rPr>
        <w:t xml:space="preserve">European emergency medical teams (EMTs). The Commission is currently developing additional EMTs. A Team Europe approach was also essential in vaccines donations. As of November 2022, the EU and its Member States, through a Team Europe approach, has shared close to 500 million doses of COVID-19 vaccines with </w:t>
      </w:r>
      <w:r w:rsidR="008129A5">
        <w:rPr>
          <w:rFonts w:ascii="Times New Roman" w:eastAsia="Times New Roman" w:hAnsi="Times New Roman" w:cs="Times New Roman"/>
          <w:noProof/>
          <w:sz w:val="24"/>
          <w:szCs w:val="24"/>
          <w:lang w:val="en-GB"/>
        </w:rPr>
        <w:t>partner</w:t>
      </w:r>
      <w:r w:rsidR="008129A5" w:rsidRPr="007D59C2">
        <w:rPr>
          <w:rFonts w:ascii="Times New Roman" w:eastAsia="Times New Roman" w:hAnsi="Times New Roman" w:cs="Times New Roman"/>
          <w:noProof/>
          <w:sz w:val="24"/>
          <w:szCs w:val="24"/>
          <w:lang w:val="en-GB"/>
        </w:rPr>
        <w:t xml:space="preserve"> </w:t>
      </w:r>
      <w:r w:rsidRPr="007D59C2">
        <w:rPr>
          <w:rFonts w:ascii="Times New Roman" w:eastAsia="Times New Roman" w:hAnsi="Times New Roman" w:cs="Times New Roman"/>
          <w:noProof/>
          <w:sz w:val="24"/>
          <w:szCs w:val="24"/>
          <w:lang w:val="en-GB"/>
        </w:rPr>
        <w:t>countries via COVAX and bilaterally, including through the UCPM. Thanks to these efforts the challenges of equitable distribution of vaccines have shifted towards the challenges of promoting resilient availability and access to medical countermeasures globally.</w:t>
      </w:r>
    </w:p>
    <w:p w14:paraId="54FDBBDC" w14:textId="6034C208" w:rsidR="007D59C2" w:rsidRPr="007D59C2" w:rsidRDefault="007D59C2" w:rsidP="007D59C2">
      <w:pPr>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noProof/>
          <w:sz w:val="24"/>
          <w:szCs w:val="24"/>
          <w:lang w:val="en-GB"/>
        </w:rPr>
        <w:t xml:space="preserve">The EU and its Member States, via a Team Europe approach, are </w:t>
      </w:r>
      <w:r w:rsidRPr="007D59C2">
        <w:rPr>
          <w:rFonts w:ascii="Times New Roman" w:eastAsia="Times New Roman" w:hAnsi="Times New Roman" w:cs="Times New Roman"/>
          <w:b/>
          <w:noProof/>
          <w:sz w:val="24"/>
          <w:szCs w:val="24"/>
          <w:lang w:val="en-GB"/>
        </w:rPr>
        <w:t>supporting the strengthening of regional manufacturing capacities for vaccines and other medical countermeasures</w:t>
      </w:r>
      <w:r w:rsidRPr="007D59C2">
        <w:rPr>
          <w:rFonts w:ascii="Times New Roman" w:eastAsia="Times New Roman" w:hAnsi="Times New Roman" w:cs="Times New Roman"/>
          <w:noProof/>
          <w:sz w:val="24"/>
          <w:szCs w:val="24"/>
          <w:lang w:val="en-GB"/>
        </w:rPr>
        <w:t xml:space="preserve"> and enhancing equitable access particularly in low- and middle-income countries. </w:t>
      </w:r>
      <w:r w:rsidR="008129A5" w:rsidRPr="007D59C2">
        <w:rPr>
          <w:rFonts w:ascii="Times New Roman" w:eastAsia="Times New Roman" w:hAnsi="Times New Roman" w:cs="Times New Roman"/>
          <w:noProof/>
          <w:sz w:val="24"/>
          <w:szCs w:val="24"/>
          <w:lang w:val="en-GB"/>
        </w:rPr>
        <w:t>These actions will be implemented in synergy with a Team Europe Initiative with Africa on sustainable health security using a One Health approach.</w:t>
      </w:r>
    </w:p>
    <w:p w14:paraId="251CC45C" w14:textId="77777777" w:rsidR="007D59C2" w:rsidRPr="007D59C2" w:rsidRDefault="007D59C2" w:rsidP="007D59C2">
      <w:pPr>
        <w:spacing w:after="120" w:line="240" w:lineRule="auto"/>
        <w:jc w:val="both"/>
        <w:rPr>
          <w:rFonts w:ascii="Times New Roman" w:eastAsia="Times New Roman" w:hAnsi="Times New Roman" w:cs="Times New Roman"/>
          <w:noProof/>
          <w:sz w:val="24"/>
          <w:szCs w:val="24"/>
          <w:lang w:val="en-GB"/>
        </w:rPr>
      </w:pPr>
      <w:r w:rsidRPr="007D59C2">
        <w:rPr>
          <w:rFonts w:ascii="Times New Roman" w:eastAsia="Times New Roman" w:hAnsi="Times New Roman" w:cs="Times New Roman"/>
          <w:noProof/>
          <w:sz w:val="24"/>
          <w:szCs w:val="24"/>
          <w:lang w:val="en-GB"/>
        </w:rPr>
        <w:t xml:space="preserve">The Commission is also </w:t>
      </w:r>
      <w:r w:rsidRPr="007D59C2">
        <w:rPr>
          <w:rFonts w:ascii="Times New Roman" w:eastAsia="Times New Roman" w:hAnsi="Times New Roman" w:cs="Times New Roman"/>
          <w:b/>
          <w:noProof/>
          <w:sz w:val="24"/>
          <w:szCs w:val="24"/>
          <w:lang w:val="en-GB"/>
        </w:rPr>
        <w:t>building partnerships to improve coordination and collaboration to ensure the availability and access to medical countermeasures</w:t>
      </w:r>
      <w:r w:rsidRPr="007D59C2">
        <w:rPr>
          <w:rFonts w:ascii="Times New Roman" w:eastAsia="Times New Roman" w:hAnsi="Times New Roman" w:cs="Times New Roman"/>
          <w:noProof/>
          <w:sz w:val="24"/>
          <w:szCs w:val="24"/>
          <w:lang w:val="en-GB"/>
        </w:rPr>
        <w:t xml:space="preserve"> at the global level. The Commission is seeking to strengthen its cooperation with countries and international organisations that have shown a clear edge in terms of preparedness and response capacities focusing on intelligence gathering and threat assessment, innovation and manufacturing and stockpiling and emergency response.  As part of this effort, on 9 June 2022, the Commission and the relevant United States authorities signed an administrative arrangement on preparedness and response to public health threats. This arrangement will step up the sharing of information and knowledge and technical cooperation on epidemic and supply chain information.  It will help to identify promising solutions for research innovation and the production of medical countermeasures and it will coordinate support to third countries. Additionally, the Commission and the relevant US authorities will continue their close cooperation on the development of next generation vaccines. Similar partnerships are being negotiated with South Korea, Japan and the WHO. </w:t>
      </w:r>
    </w:p>
    <w:p w14:paraId="0168B7BC" w14:textId="60AB11FA" w:rsidR="007D59C2" w:rsidRDefault="007D59C2" w:rsidP="007D59C2">
      <w:pPr>
        <w:jc w:val="both"/>
        <w:rPr>
          <w:rFonts w:ascii="Arial" w:eastAsia="Arial" w:hAnsi="Arial" w:cs="Arial"/>
          <w:noProof/>
          <w:sz w:val="20"/>
          <w:szCs w:val="20"/>
          <w:lang w:val="en-GB"/>
        </w:rPr>
      </w:pPr>
      <w:r w:rsidRPr="007D59C2">
        <w:rPr>
          <w:rFonts w:ascii="Times New Roman" w:eastAsia="Times New Roman" w:hAnsi="Times New Roman" w:cs="Times New Roman"/>
          <w:noProof/>
          <w:sz w:val="24"/>
          <w:szCs w:val="24"/>
          <w:lang w:val="en-GB"/>
        </w:rPr>
        <w:t>These actions should be read in conjunction with the</w:t>
      </w:r>
      <w:r w:rsidRPr="007D59C2">
        <w:rPr>
          <w:rFonts w:ascii="Times New Roman" w:eastAsia="Times New Roman" w:hAnsi="Times New Roman" w:cs="Times New Roman"/>
          <w:noProof/>
          <w:sz w:val="24"/>
          <w:szCs w:val="24"/>
          <w:lang w:val="en-GB" w:eastAsia="en-GB"/>
        </w:rPr>
        <w:t xml:space="preserve"> new </w:t>
      </w:r>
      <w:r w:rsidRPr="007D59C2">
        <w:rPr>
          <w:rFonts w:ascii="Times New Roman" w:eastAsia="Times New Roman" w:hAnsi="Times New Roman" w:cs="Times New Roman"/>
          <w:b/>
          <w:noProof/>
          <w:sz w:val="24"/>
          <w:szCs w:val="24"/>
          <w:lang w:val="en-GB" w:eastAsia="en-GB"/>
        </w:rPr>
        <w:t xml:space="preserve">EU Global Health Strategy, </w:t>
      </w:r>
      <w:r w:rsidRPr="007D59C2">
        <w:rPr>
          <w:rFonts w:ascii="Times New Roman" w:eastAsia="Times New Roman" w:hAnsi="Times New Roman" w:cs="Times New Roman"/>
          <w:noProof/>
          <w:sz w:val="24"/>
          <w:szCs w:val="24"/>
          <w:lang w:val="en-GB" w:eastAsia="en-GB"/>
        </w:rPr>
        <w:t>which</w:t>
      </w:r>
      <w:r w:rsidRPr="007D59C2">
        <w:rPr>
          <w:rFonts w:ascii="Times New Roman" w:eastAsia="Times New Roman" w:hAnsi="Times New Roman" w:cs="Times New Roman"/>
          <w:b/>
          <w:noProof/>
          <w:sz w:val="24"/>
          <w:szCs w:val="24"/>
          <w:lang w:val="en-GB" w:eastAsia="en-GB"/>
        </w:rPr>
        <w:t xml:space="preserve"> </w:t>
      </w:r>
      <w:r w:rsidRPr="007D59C2">
        <w:rPr>
          <w:rFonts w:ascii="Times New Roman" w:eastAsia="Times New Roman" w:hAnsi="Times New Roman" w:cs="Times New Roman"/>
          <w:noProof/>
          <w:sz w:val="24"/>
          <w:szCs w:val="24"/>
          <w:lang w:val="en-GB" w:eastAsia="en-GB"/>
        </w:rPr>
        <w:t xml:space="preserve">builds on a holistic approach to global health. It covers different aspects of the work involved in strengthening health systems, from leadership and governance, to service delivery, financing, the health workforce, medical products, vaccines, technologies and digital health information systems. In this context, the Commission is strongly engaged in the ongoing negotiations for the establishment of a </w:t>
      </w:r>
      <w:r w:rsidRPr="007D59C2">
        <w:rPr>
          <w:rFonts w:ascii="Times New Roman" w:eastAsia="Times New Roman" w:hAnsi="Times New Roman" w:cs="Times New Roman"/>
          <w:iCs/>
          <w:noProof/>
          <w:sz w:val="24"/>
          <w:szCs w:val="24"/>
          <w:lang w:val="en-GB" w:eastAsia="en-GB"/>
        </w:rPr>
        <w:t xml:space="preserve">WHO convention, agreement or other international instrument on pandemic prevention, preparedness and response (“Pandemic Treaty”) </w:t>
      </w:r>
      <w:r w:rsidRPr="007D59C2">
        <w:rPr>
          <w:rFonts w:ascii="Times New Roman" w:eastAsia="Times New Roman" w:hAnsi="Times New Roman" w:cs="Times New Roman"/>
          <w:noProof/>
          <w:sz w:val="24"/>
          <w:szCs w:val="24"/>
          <w:lang w:val="en-GB" w:eastAsia="en-GB"/>
        </w:rPr>
        <w:t xml:space="preserve">and the revision of the International Health Regulations. The Commission is also contributing to efforts to increase funding for pandemic preparedness response (PPR) globally. So far, the Commission has, through a Team Europe approach, pledged EUR </w:t>
      </w:r>
      <w:r w:rsidR="008129A5">
        <w:rPr>
          <w:rFonts w:ascii="Times New Roman" w:eastAsia="Times New Roman" w:hAnsi="Times New Roman" w:cs="Times New Roman"/>
          <w:noProof/>
          <w:sz w:val="24"/>
          <w:szCs w:val="24"/>
          <w:lang w:val="en-GB" w:eastAsia="en-GB"/>
        </w:rPr>
        <w:t>427</w:t>
      </w:r>
      <w:r w:rsidRPr="007D59C2">
        <w:rPr>
          <w:rFonts w:ascii="Times New Roman" w:eastAsia="Times New Roman" w:hAnsi="Times New Roman" w:cs="Times New Roman"/>
          <w:noProof/>
          <w:sz w:val="24"/>
          <w:szCs w:val="24"/>
          <w:lang w:val="en-GB" w:eastAsia="en-GB"/>
        </w:rPr>
        <w:t xml:space="preserve"> million to the new Financial Intermediary Fund (FIF) for Pandemic, Prevention, Preparedness and Response (“Pandemic Fund”).</w:t>
      </w:r>
    </w:p>
    <w:p w14:paraId="295D6125" w14:textId="2AEB9DC6" w:rsidR="007D59C2" w:rsidRPr="00E131DC" w:rsidRDefault="00CE15CA" w:rsidP="00E131DC">
      <w:pPr>
        <w:jc w:val="both"/>
        <w:rPr>
          <w:rFonts w:ascii="Arial" w:eastAsia="Arial" w:hAnsi="Arial" w:cs="Arial"/>
          <w:noProof/>
          <w:sz w:val="20"/>
          <w:szCs w:val="20"/>
          <w:lang w:val="en-GB"/>
        </w:rPr>
      </w:pPr>
      <w:r>
        <w:rPr>
          <w:rFonts w:ascii="Arial" w:eastAsia="Arial" w:hAnsi="Arial" w:cs="Arial"/>
          <w:noProof/>
          <w:sz w:val="20"/>
          <w:szCs w:val="20"/>
          <w:lang w:val="en-GB" w:eastAsia="en-GB"/>
        </w:rPr>
        <w:drawing>
          <wp:inline distT="0" distB="0" distL="0" distR="0" wp14:anchorId="7F2B278B" wp14:editId="06E339D6">
            <wp:extent cx="5929200" cy="22570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national.png"/>
                    <pic:cNvPicPr/>
                  </pic:nvPicPr>
                  <pic:blipFill>
                    <a:blip r:embed="rId27">
                      <a:extLst>
                        <a:ext uri="{28A0092B-C50C-407E-A947-70E740481C1C}">
                          <a14:useLocalDpi xmlns:a14="http://schemas.microsoft.com/office/drawing/2010/main" val="0"/>
                        </a:ext>
                      </a:extLst>
                    </a:blip>
                    <a:stretch>
                      <a:fillRect/>
                    </a:stretch>
                  </pic:blipFill>
                  <pic:spPr>
                    <a:xfrm>
                      <a:off x="0" y="0"/>
                      <a:ext cx="5929200" cy="2257072"/>
                    </a:xfrm>
                    <a:prstGeom prst="rect">
                      <a:avLst/>
                    </a:prstGeom>
                  </pic:spPr>
                </pic:pic>
              </a:graphicData>
            </a:graphic>
          </wp:inline>
        </w:drawing>
      </w:r>
      <w:bookmarkStart w:id="438" w:name="_Toc114347528"/>
      <w:bookmarkStart w:id="439" w:name="_Toc396649074"/>
      <w:bookmarkStart w:id="440" w:name="_Toc163623609"/>
      <w:bookmarkStart w:id="441" w:name="_Toc1652432398"/>
      <w:bookmarkStart w:id="442" w:name="_Toc1778612478"/>
      <w:bookmarkStart w:id="443" w:name="_Toc1993377076"/>
      <w:bookmarkStart w:id="444" w:name="_Toc321369502"/>
      <w:bookmarkStart w:id="445" w:name="_Toc2019847675"/>
      <w:bookmarkStart w:id="446" w:name="_Toc221059901"/>
      <w:bookmarkStart w:id="447" w:name="_Toc2052357161"/>
      <w:bookmarkStart w:id="448" w:name="_Toc2056852453"/>
      <w:bookmarkStart w:id="449" w:name="_Toc645219857"/>
      <w:bookmarkStart w:id="450" w:name="_Toc1439149395"/>
      <w:bookmarkStart w:id="451" w:name="_Toc1119595485"/>
      <w:bookmarkStart w:id="452" w:name="_Toc1091666175"/>
      <w:bookmarkStart w:id="453" w:name="_Toc660469033"/>
      <w:bookmarkStart w:id="454" w:name="_Toc1788974537"/>
      <w:bookmarkStart w:id="455" w:name="_Toc1334757950"/>
      <w:bookmarkStart w:id="456" w:name="_Toc236586142"/>
      <w:bookmarkStart w:id="457" w:name="_Toc1256958232"/>
      <w:bookmarkStart w:id="458" w:name="_Toc503725731"/>
      <w:bookmarkStart w:id="459" w:name="_Toc1975698606"/>
      <w:bookmarkStart w:id="460" w:name="_Toc659194962"/>
      <w:bookmarkStart w:id="461" w:name="_Toc1887907759"/>
      <w:bookmarkStart w:id="462" w:name="_Toc818847351"/>
      <w:bookmarkStart w:id="463" w:name="_Toc1214382721"/>
      <w:bookmarkStart w:id="464" w:name="_Toc640101354"/>
    </w:p>
    <w:p w14:paraId="7E64849B" w14:textId="77777777" w:rsidR="007D59C2" w:rsidRPr="007D59C2" w:rsidRDefault="007D59C2" w:rsidP="007D59C2">
      <w:pPr>
        <w:keepNext/>
        <w:keepLines/>
        <w:spacing w:before="120" w:line="240" w:lineRule="auto"/>
        <w:outlineLvl w:val="0"/>
        <w:rPr>
          <w:rFonts w:ascii="Calibri Light" w:eastAsia="Yu Gothic Light" w:hAnsi="Calibri Light" w:cs="Times New Roman"/>
          <w:b/>
          <w:noProof/>
          <w:color w:val="002060"/>
          <w:sz w:val="28"/>
          <w:szCs w:val="30"/>
        </w:rPr>
      </w:pPr>
      <w:bookmarkStart w:id="465" w:name="_Toc120631067"/>
      <w:r w:rsidRPr="007D59C2">
        <w:rPr>
          <w:rFonts w:asciiTheme="majorHAnsi" w:eastAsiaTheme="majorEastAsia" w:hAnsiTheme="majorHAnsi" w:cstheme="majorBidi"/>
          <w:b/>
          <w:noProof/>
          <w:color w:val="002060"/>
          <w:sz w:val="28"/>
          <w:szCs w:val="30"/>
        </w:rPr>
        <w:t>CONCLUSION</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7140348A" w14:textId="77777777" w:rsidR="007D59C2" w:rsidRPr="007D59C2" w:rsidRDefault="007D59C2" w:rsidP="007D59C2">
      <w:pPr>
        <w:jc w:val="both"/>
        <w:rPr>
          <w:rFonts w:ascii="Times New Roman" w:hAnsi="Times New Roman" w:cs="Times New Roman"/>
          <w:noProof/>
          <w:sz w:val="24"/>
          <w:szCs w:val="24"/>
          <w:lang w:val="en-GB"/>
        </w:rPr>
      </w:pPr>
      <w:r w:rsidRPr="007D59C2">
        <w:rPr>
          <w:rFonts w:ascii="Times New Roman" w:hAnsi="Times New Roman" w:cs="Times New Roman"/>
          <w:noProof/>
          <w:sz w:val="24"/>
          <w:szCs w:val="24"/>
          <w:lang w:val="en-GB"/>
        </w:rPr>
        <w:t>This report opened by stating that no country was fully prepared for COVID-19. Fortunately, lessons have been drawn from the COVID-19 pandemic, in the EU and also outside the EU, with regard to the ways in which preparedness and our capacity to respond effectively to future health emergencies could be improved.</w:t>
      </w:r>
    </w:p>
    <w:p w14:paraId="472C8EE3" w14:textId="1ACCB705" w:rsidR="007D59C2" w:rsidRPr="007D59C2" w:rsidRDefault="007D59C2" w:rsidP="007D59C2">
      <w:pPr>
        <w:jc w:val="both"/>
        <w:rPr>
          <w:rFonts w:ascii="Times New Roman" w:hAnsi="Times New Roman" w:cs="Times New Roman"/>
          <w:noProof/>
          <w:sz w:val="24"/>
          <w:szCs w:val="24"/>
          <w:lang w:val="en-GB"/>
        </w:rPr>
      </w:pPr>
      <w:r w:rsidRPr="007D59C2">
        <w:rPr>
          <w:rFonts w:ascii="Times New Roman" w:hAnsi="Times New Roman" w:cs="Times New Roman"/>
          <w:noProof/>
          <w:sz w:val="24"/>
          <w:szCs w:val="24"/>
          <w:lang w:val="en-GB"/>
        </w:rPr>
        <w:t>Within the EU, numerous important steps have already been taken, including legislative ones, and a number of initiatives have been launched or are in the pipeline. Significant investments have been made or are planned. New ways of working and institutional capacities</w:t>
      </w:r>
      <w:r w:rsidR="009B3171">
        <w:rPr>
          <w:rFonts w:ascii="Times New Roman" w:hAnsi="Times New Roman" w:cs="Times New Roman"/>
          <w:noProof/>
          <w:sz w:val="24"/>
          <w:szCs w:val="24"/>
          <w:lang w:val="en-GB"/>
        </w:rPr>
        <w:t>, including embedding strategic foresight into EU policymaking,</w:t>
      </w:r>
      <w:r w:rsidRPr="007D59C2">
        <w:rPr>
          <w:rFonts w:ascii="Times New Roman" w:hAnsi="Times New Roman" w:cs="Times New Roman"/>
          <w:noProof/>
          <w:sz w:val="24"/>
          <w:szCs w:val="24"/>
          <w:lang w:val="en-GB"/>
        </w:rPr>
        <w:t xml:space="preserve"> are being developed, and legal frameworks are being or have been reviewed and adopted. The report demonstrates that comprehensive processes have been ongoing to reinforce the EU’s collective preparedness capabilities when it comes to threat detection and the research, development, production, procurement and distribution of medical countermeasures. In particular, with the development of </w:t>
      </w:r>
      <w:r w:rsidR="004421E6" w:rsidRPr="004421E6">
        <w:rPr>
          <w:rFonts w:ascii="Times New Roman" w:hAnsi="Times New Roman" w:cs="Times New Roman"/>
          <w:noProof/>
          <w:sz w:val="24"/>
          <w:szCs w:val="24"/>
          <w:lang w:val="en-GB"/>
        </w:rPr>
        <w:t>a</w:t>
      </w:r>
      <w:r w:rsidR="004421E6" w:rsidRPr="004421E6">
        <w:rPr>
          <w:rFonts w:ascii="Times New Roman" w:eastAsia="Times New Roman" w:hAnsi="Times New Roman" w:cs="Times New Roman"/>
          <w:bCs/>
          <w:noProof/>
          <w:sz w:val="24"/>
          <w:szCs w:val="24"/>
          <w:lang w:val="en-IE"/>
        </w:rPr>
        <w:t>n</w:t>
      </w:r>
      <w:r w:rsidR="004421E6">
        <w:rPr>
          <w:rFonts w:ascii="Times New Roman" w:eastAsia="Times New Roman" w:hAnsi="Times New Roman" w:cs="Times New Roman"/>
          <w:bCs/>
          <w:noProof/>
          <w:sz w:val="24"/>
          <w:szCs w:val="24"/>
          <w:lang w:val="en-IE"/>
        </w:rPr>
        <w:t xml:space="preserve"> in</w:t>
      </w:r>
      <w:r w:rsidR="004421E6" w:rsidRPr="004421E6">
        <w:rPr>
          <w:rFonts w:ascii="Times New Roman" w:eastAsia="Times New Roman" w:hAnsi="Times New Roman" w:cs="Times New Roman"/>
          <w:bCs/>
          <w:noProof/>
          <w:sz w:val="24"/>
          <w:szCs w:val="24"/>
          <w:lang w:val="en-IE"/>
        </w:rPr>
        <w:t>telligence</w:t>
      </w:r>
      <w:r w:rsidR="004421E6">
        <w:rPr>
          <w:rFonts w:ascii="Times New Roman" w:eastAsia="Times New Roman" w:hAnsi="Times New Roman" w:cs="Times New Roman"/>
          <w:bCs/>
          <w:noProof/>
          <w:sz w:val="24"/>
          <w:szCs w:val="24"/>
          <w:lang w:val="en-IE"/>
        </w:rPr>
        <w:t xml:space="preserve"> gathering and threat a</w:t>
      </w:r>
      <w:r w:rsidR="004421E6" w:rsidRPr="004421E6">
        <w:rPr>
          <w:rFonts w:ascii="Times New Roman" w:eastAsia="Times New Roman" w:hAnsi="Times New Roman" w:cs="Times New Roman"/>
          <w:bCs/>
          <w:noProof/>
          <w:sz w:val="24"/>
          <w:szCs w:val="24"/>
          <w:lang w:val="en-IE"/>
        </w:rPr>
        <w:t>ssessment</w:t>
      </w:r>
      <w:r w:rsidR="004421E6" w:rsidRPr="007D59C2">
        <w:rPr>
          <w:rFonts w:ascii="Times New Roman" w:eastAsia="Times New Roman" w:hAnsi="Times New Roman" w:cs="Times New Roman"/>
          <w:b/>
          <w:bCs/>
          <w:noProof/>
          <w:sz w:val="24"/>
          <w:szCs w:val="24"/>
          <w:lang w:val="en-IE"/>
        </w:rPr>
        <w:t xml:space="preserve"> </w:t>
      </w:r>
      <w:r w:rsidR="004421E6">
        <w:rPr>
          <w:rFonts w:ascii="Times New Roman" w:eastAsia="Times New Roman" w:hAnsi="Times New Roman" w:cs="Times New Roman"/>
          <w:bCs/>
          <w:noProof/>
          <w:sz w:val="24"/>
          <w:szCs w:val="24"/>
          <w:lang w:val="en-IE"/>
        </w:rPr>
        <w:t>tool</w:t>
      </w:r>
      <w:r w:rsidR="004421E6">
        <w:rPr>
          <w:rFonts w:ascii="Times New Roman" w:hAnsi="Times New Roman" w:cs="Times New Roman"/>
          <w:noProof/>
          <w:sz w:val="24"/>
          <w:szCs w:val="24"/>
          <w:lang w:val="en-GB"/>
        </w:rPr>
        <w:t xml:space="preserve"> </w:t>
      </w:r>
      <w:r w:rsidRPr="007D59C2">
        <w:rPr>
          <w:rFonts w:ascii="Times New Roman" w:hAnsi="Times New Roman" w:cs="Times New Roman"/>
          <w:noProof/>
          <w:sz w:val="24"/>
          <w:szCs w:val="24"/>
          <w:lang w:val="en-GB"/>
        </w:rPr>
        <w:t>(“</w:t>
      </w:r>
      <w:r w:rsidR="004421E6">
        <w:rPr>
          <w:rFonts w:ascii="Times New Roman" w:hAnsi="Times New Roman" w:cs="Times New Roman"/>
          <w:noProof/>
          <w:sz w:val="24"/>
          <w:szCs w:val="24"/>
          <w:lang w:val="en-GB"/>
        </w:rPr>
        <w:t xml:space="preserve">HERA </w:t>
      </w:r>
      <w:r w:rsidRPr="007D59C2">
        <w:rPr>
          <w:rFonts w:ascii="Times New Roman" w:hAnsi="Times New Roman" w:cs="Times New Roman"/>
          <w:noProof/>
          <w:sz w:val="24"/>
          <w:szCs w:val="24"/>
          <w:lang w:val="en-GB"/>
        </w:rPr>
        <w:t>MCMI platform”), the Commission is filling the gap between threat detection and surveillance and the medical countermeasures needed to address them. Contributing to the development of the strategic medical countermeasures, which could effectively deal with priority health threats (“HERA INVEST”), and a strategic and coordinated approach to vaccines research and development (“COVID-19 Vaccine</w:t>
      </w:r>
      <w:r w:rsidR="004421E6">
        <w:rPr>
          <w:rFonts w:ascii="Times New Roman" w:hAnsi="Times New Roman" w:cs="Times New Roman"/>
          <w:noProof/>
          <w:sz w:val="24"/>
          <w:szCs w:val="24"/>
          <w:lang w:val="en-GB"/>
        </w:rPr>
        <w:t>s</w:t>
      </w:r>
      <w:r w:rsidRPr="007D59C2">
        <w:rPr>
          <w:rFonts w:ascii="Times New Roman" w:hAnsi="Times New Roman" w:cs="Times New Roman"/>
          <w:noProof/>
          <w:sz w:val="24"/>
          <w:szCs w:val="24"/>
          <w:lang w:val="en-GB"/>
        </w:rPr>
        <w:t xml:space="preserve"> 2.0”) should significantly improve the EU’s health emergency preparedness. Ultimately, EU FAB should contribute to the development of robust manufacturing capacities in the EU.</w:t>
      </w:r>
    </w:p>
    <w:p w14:paraId="137284F1" w14:textId="5417E973" w:rsidR="007D59C2" w:rsidRPr="007D59C2" w:rsidRDefault="007D59C2" w:rsidP="007D59C2">
      <w:pPr>
        <w:jc w:val="both"/>
        <w:rPr>
          <w:rFonts w:ascii="Times New Roman" w:hAnsi="Times New Roman" w:cs="Times New Roman"/>
          <w:noProof/>
          <w:sz w:val="24"/>
          <w:szCs w:val="24"/>
          <w:lang w:val="en-GB"/>
        </w:rPr>
      </w:pPr>
      <w:r w:rsidRPr="007D59C2">
        <w:rPr>
          <w:rFonts w:ascii="Times New Roman" w:hAnsi="Times New Roman" w:cs="Times New Roman"/>
          <w:noProof/>
          <w:sz w:val="24"/>
          <w:szCs w:val="24"/>
          <w:lang w:val="en-GB"/>
        </w:rPr>
        <w:t>This State of</w:t>
      </w:r>
      <w:r w:rsidR="00E43260">
        <w:rPr>
          <w:rFonts w:ascii="Times New Roman" w:hAnsi="Times New Roman" w:cs="Times New Roman"/>
          <w:noProof/>
          <w:sz w:val="24"/>
          <w:szCs w:val="24"/>
          <w:lang w:val="en-GB"/>
        </w:rPr>
        <w:t xml:space="preserve"> Health</w:t>
      </w:r>
      <w:r w:rsidRPr="007D59C2">
        <w:rPr>
          <w:rFonts w:ascii="Times New Roman" w:hAnsi="Times New Roman" w:cs="Times New Roman"/>
          <w:noProof/>
          <w:sz w:val="24"/>
          <w:szCs w:val="24"/>
          <w:lang w:val="en-GB"/>
        </w:rPr>
        <w:t xml:space="preserve"> Preparedness Report summarises what has already been achieved, but also refers to the intended next steps needed to provide for a coordinated approach as regards medical countermeasures.</w:t>
      </w:r>
      <w:r w:rsidRPr="007D59C2">
        <w:rPr>
          <w:rFonts w:ascii="Times New Roman" w:eastAsiaTheme="minorEastAsia" w:hAnsi="Times New Roman" w:cs="Times New Roman"/>
          <w:noProof/>
          <w:sz w:val="16"/>
          <w:szCs w:val="16"/>
          <w:lang w:val="en-GB" w:eastAsia="fr-BE"/>
        </w:rPr>
        <w:t xml:space="preserve"> </w:t>
      </w:r>
      <w:r w:rsidRPr="007D59C2">
        <w:rPr>
          <w:rFonts w:ascii="Times New Roman" w:hAnsi="Times New Roman" w:cs="Times New Roman"/>
          <w:noProof/>
          <w:sz w:val="24"/>
          <w:szCs w:val="24"/>
          <w:lang w:val="en-GB"/>
        </w:rPr>
        <w:t xml:space="preserve">However, the availability and accessibility of medical countermeasures is only a part of the preparedness work to increase health security in the EU. Therefore, future reports will be broader in scope and address the establishment of a strategic health preparedness and response system reaching beyond medical countermeasures. To deliver such system, the Commission will continue to work intensively with all stakeholders concerned, including the Member States, the European Parliament and international partners. </w:t>
      </w:r>
    </w:p>
    <w:p w14:paraId="2B62C94D" w14:textId="77777777" w:rsidR="007D59C2" w:rsidRPr="007D59C2" w:rsidRDefault="007D59C2" w:rsidP="007D59C2">
      <w:pPr>
        <w:jc w:val="both"/>
        <w:rPr>
          <w:rFonts w:ascii="Times New Roman" w:hAnsi="Times New Roman" w:cs="Times New Roman"/>
          <w:noProof/>
          <w:sz w:val="24"/>
          <w:szCs w:val="24"/>
          <w:lang w:val="en-GB"/>
        </w:rPr>
      </w:pPr>
      <w:r w:rsidRPr="007D59C2">
        <w:rPr>
          <w:rFonts w:ascii="Times New Roman" w:hAnsi="Times New Roman" w:cs="Times New Roman"/>
          <w:noProof/>
          <w:sz w:val="24"/>
          <w:szCs w:val="24"/>
          <w:lang w:val="en-GB"/>
        </w:rPr>
        <w:t>The biggest challenge is to ensure that all these efforts are coordinated, financed and sustained over the long term. Preparedness is not a sprint - it is a marathon. It is not an individual endeavour, but a collective effort. All actors concerned at EU level need to contribute, so that the end-result significantly enhances the capacity of the EU to respond to future health emergencies collectively. Preparedness is costly, but every euro spent on preparedness will ultimately provide the best insurance policy for the future of EU citizens</w:t>
      </w:r>
    </w:p>
    <w:p w14:paraId="07D147D9" w14:textId="77777777" w:rsidR="007D59C2" w:rsidRPr="007D59C2" w:rsidRDefault="007D59C2" w:rsidP="007D59C2">
      <w:pPr>
        <w:rPr>
          <w:noProof/>
          <w:lang w:val="en-GB"/>
        </w:rPr>
      </w:pPr>
    </w:p>
    <w:p w14:paraId="02BDFE24" w14:textId="77777777" w:rsidR="00E81FB4" w:rsidRDefault="00E81FB4">
      <w:pPr>
        <w:rPr>
          <w:noProof/>
        </w:rPr>
      </w:pPr>
    </w:p>
    <w:sectPr w:rsidR="00E81FB4" w:rsidSect="007D59C2">
      <w:headerReference w:type="even" r:id="rId28"/>
      <w:headerReference w:type="default" r:id="rId29"/>
      <w:footerReference w:type="even" r:id="rId30"/>
      <w:footerReference w:type="default" r:id="rId31"/>
      <w:headerReference w:type="first" r:id="rId32"/>
      <w:footerReference w:type="first" r:id="rId33"/>
      <w:pgSz w:w="11906" w:h="16838" w:code="1"/>
      <w:pgMar w:top="1134" w:right="1417" w:bottom="1134" w:left="1417" w:header="709" w:footer="709"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632CF" w14:textId="77777777" w:rsidR="00C41EAC" w:rsidRDefault="00C41EAC" w:rsidP="007D59C2">
      <w:pPr>
        <w:spacing w:after="0" w:line="240" w:lineRule="auto"/>
      </w:pPr>
      <w:r>
        <w:separator/>
      </w:r>
    </w:p>
  </w:endnote>
  <w:endnote w:type="continuationSeparator" w:id="0">
    <w:p w14:paraId="1CF7D8D3" w14:textId="77777777" w:rsidR="00C41EAC" w:rsidRDefault="00C41EAC" w:rsidP="007D5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E0A23" w14:textId="77777777" w:rsidR="00E85AA2" w:rsidRPr="00E85AA2" w:rsidRDefault="00E85AA2" w:rsidP="00E85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5920F" w14:textId="0A6C35EA" w:rsidR="00217286" w:rsidRPr="00E85AA2" w:rsidRDefault="00E85AA2" w:rsidP="00E85AA2">
    <w:pPr>
      <w:pStyle w:val="FooterCoverPage"/>
      <w:rPr>
        <w:rFonts w:ascii="Arial" w:hAnsi="Arial" w:cs="Arial"/>
        <w:b/>
        <w:sz w:val="48"/>
      </w:rPr>
    </w:pPr>
    <w:r w:rsidRPr="00E85AA2">
      <w:rPr>
        <w:rFonts w:ascii="Arial" w:hAnsi="Arial" w:cs="Arial"/>
        <w:b/>
        <w:sz w:val="48"/>
      </w:rPr>
      <w:t>EN</w:t>
    </w:r>
    <w:r w:rsidRPr="00E85AA2">
      <w:rPr>
        <w:rFonts w:ascii="Arial" w:hAnsi="Arial" w:cs="Arial"/>
        <w:b/>
        <w:sz w:val="48"/>
      </w:rPr>
      <w:tab/>
    </w:r>
    <w:r w:rsidRPr="00E85AA2">
      <w:rPr>
        <w:rFonts w:ascii="Arial" w:hAnsi="Arial" w:cs="Arial"/>
        <w:b/>
        <w:sz w:val="48"/>
      </w:rPr>
      <w:tab/>
    </w:r>
    <w:r w:rsidRPr="00E85AA2">
      <w:tab/>
    </w:r>
    <w:r w:rsidRPr="00E85AA2">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C1618" w14:textId="77777777" w:rsidR="00E85AA2" w:rsidRPr="00E85AA2" w:rsidRDefault="00E85AA2" w:rsidP="00E85AA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43D2D" w14:textId="77777777" w:rsidR="00E81FB4" w:rsidRDefault="00E81F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882149"/>
      <w:docPartObj>
        <w:docPartGallery w:val="Page Numbers (Bottom of Page)"/>
        <w:docPartUnique/>
      </w:docPartObj>
    </w:sdtPr>
    <w:sdtEndPr>
      <w:rPr>
        <w:noProof/>
      </w:rPr>
    </w:sdtEndPr>
    <w:sdtContent>
      <w:p w14:paraId="13E9B13D" w14:textId="5AB678EB" w:rsidR="00E81FB4" w:rsidRPr="00774507" w:rsidRDefault="00E81FB4" w:rsidP="00774507">
        <w:pPr>
          <w:pStyle w:val="Footer"/>
          <w:jc w:val="center"/>
        </w:pPr>
        <w:r>
          <w:fldChar w:fldCharType="begin"/>
        </w:r>
        <w:r>
          <w:instrText xml:space="preserve"> PAGE   \* MERGEFORMAT </w:instrText>
        </w:r>
        <w:r>
          <w:fldChar w:fldCharType="separate"/>
        </w:r>
        <w:r w:rsidR="00E85AA2">
          <w:rPr>
            <w:noProof/>
          </w:rPr>
          <w:t>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6CF5" w14:textId="77777777" w:rsidR="00E81FB4" w:rsidRDefault="00E81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1DB15" w14:textId="77777777" w:rsidR="00C41EAC" w:rsidRDefault="00C41EAC" w:rsidP="007D59C2">
      <w:pPr>
        <w:spacing w:after="0" w:line="240" w:lineRule="auto"/>
      </w:pPr>
      <w:r>
        <w:separator/>
      </w:r>
    </w:p>
  </w:footnote>
  <w:footnote w:type="continuationSeparator" w:id="0">
    <w:p w14:paraId="3773E2F0" w14:textId="77777777" w:rsidR="00C41EAC" w:rsidRDefault="00C41EAC" w:rsidP="007D59C2">
      <w:pPr>
        <w:spacing w:after="0" w:line="240" w:lineRule="auto"/>
      </w:pPr>
      <w:r>
        <w:continuationSeparator/>
      </w:r>
    </w:p>
  </w:footnote>
  <w:footnote w:id="1">
    <w:p w14:paraId="7B5C0EB7" w14:textId="77777777" w:rsidR="00E81FB4" w:rsidRPr="009B5535" w:rsidRDefault="00E81FB4" w:rsidP="007D59C2">
      <w:pPr>
        <w:pStyle w:val="FootnoteText"/>
        <w:rPr>
          <w:lang w:val="en-IE"/>
        </w:rPr>
      </w:pPr>
      <w:r>
        <w:rPr>
          <w:rStyle w:val="FootnoteReference"/>
        </w:rPr>
        <w:footnoteRef/>
      </w:r>
      <w:r>
        <w:t xml:space="preserve"> The COVID-19 pandemic is </w:t>
      </w:r>
      <w:r>
        <w:rPr>
          <w:lang w:val="en-IE"/>
        </w:rPr>
        <w:t>r</w:t>
      </w:r>
      <w:r w:rsidRPr="009B5535">
        <w:rPr>
          <w:lang w:val="en-IE"/>
        </w:rPr>
        <w:t>eferred to as « the pandemic » throughout the report.</w:t>
      </w:r>
    </w:p>
  </w:footnote>
  <w:footnote w:id="2">
    <w:p w14:paraId="648B565E" w14:textId="42DFDD7C" w:rsidR="00E92EDE" w:rsidRPr="00E92EDE" w:rsidRDefault="00E92EDE">
      <w:pPr>
        <w:pStyle w:val="FootnoteText"/>
      </w:pPr>
      <w:r>
        <w:rPr>
          <w:rStyle w:val="FootnoteReference"/>
        </w:rPr>
        <w:footnoteRef/>
      </w:r>
      <w:r>
        <w:t xml:space="preserve"> </w:t>
      </w:r>
      <w:hyperlink r:id="rId1" w:history="1">
        <w:r w:rsidR="0000281E" w:rsidRPr="001A344D">
          <w:rPr>
            <w:rStyle w:val="Hyperlink"/>
          </w:rPr>
          <w:t>https://covid19.who.int/</w:t>
        </w:r>
      </w:hyperlink>
      <w:r w:rsidR="0000281E">
        <w:t xml:space="preserve"> </w:t>
      </w:r>
      <w:r>
        <w:t xml:space="preserve"> </w:t>
      </w:r>
    </w:p>
  </w:footnote>
  <w:footnote w:id="3">
    <w:p w14:paraId="449042C7" w14:textId="7ABB4CEF" w:rsidR="00E92EDE" w:rsidRPr="00E92EDE" w:rsidRDefault="00E92EDE">
      <w:pPr>
        <w:pStyle w:val="FootnoteText"/>
      </w:pPr>
      <w:r>
        <w:rPr>
          <w:rStyle w:val="FootnoteReference"/>
        </w:rPr>
        <w:footnoteRef/>
      </w:r>
      <w:r>
        <w:t xml:space="preserve"> </w:t>
      </w:r>
      <w:hyperlink r:id="rId2" w:history="1">
        <w:r w:rsidR="0000281E" w:rsidRPr="001A344D">
          <w:rPr>
            <w:rStyle w:val="Hyperlink"/>
          </w:rPr>
          <w:t>https://www.economist.com/graphic-detail/coronavirus-excess-deaths-estimates</w:t>
        </w:r>
      </w:hyperlink>
      <w:r w:rsidR="0000281E">
        <w:t xml:space="preserve"> </w:t>
      </w:r>
    </w:p>
  </w:footnote>
  <w:footnote w:id="4">
    <w:p w14:paraId="69E163D2" w14:textId="1166E15C" w:rsidR="00587B22" w:rsidRPr="00587B22" w:rsidRDefault="00587B22">
      <w:pPr>
        <w:pStyle w:val="FootnoteText"/>
      </w:pPr>
      <w:r>
        <w:rPr>
          <w:rStyle w:val="FootnoteReference"/>
        </w:rPr>
        <w:footnoteRef/>
      </w:r>
      <w:r>
        <w:t xml:space="preserve"> </w:t>
      </w:r>
      <w:hyperlink r:id="rId3" w:history="1">
        <w:r w:rsidR="0000281E" w:rsidRPr="001A344D">
          <w:rPr>
            <w:rStyle w:val="Hyperlink"/>
          </w:rPr>
          <w:t>https://worldhealthorg.shinyapps.io/euro-covid19/</w:t>
        </w:r>
      </w:hyperlink>
      <w:r w:rsidR="0000281E">
        <w:t xml:space="preserve"> </w:t>
      </w:r>
    </w:p>
  </w:footnote>
  <w:footnote w:id="5">
    <w:p w14:paraId="15AD8815" w14:textId="77777777" w:rsidR="00E81FB4" w:rsidRPr="009570F2" w:rsidRDefault="00E81FB4" w:rsidP="007D59C2">
      <w:pPr>
        <w:pStyle w:val="FootnoteText"/>
        <w:jc w:val="both"/>
      </w:pPr>
      <w:r>
        <w:rPr>
          <w:rStyle w:val="FootnoteReference"/>
        </w:rPr>
        <w:footnoteRef/>
      </w:r>
      <w:r>
        <w:t xml:space="preserve"> Medical countermeasures means medicinal products for human use as defined in </w:t>
      </w:r>
      <w:hyperlink r:id="rId4" w:history="1">
        <w:r w:rsidRPr="006A01DF">
          <w:rPr>
            <w:rStyle w:val="Hyperlink"/>
          </w:rPr>
          <w:t>Directive 2001/83/EC</w:t>
        </w:r>
      </w:hyperlink>
      <w:r>
        <w:t xml:space="preserve"> of the European Parliament and of the Council , medical devices and other goods or services that are necessary for the purpose of preparedness for and response to serious cross-border threats to health;</w:t>
      </w:r>
      <w:r w:rsidRPr="006A01DF">
        <w:t xml:space="preserve"> </w:t>
      </w:r>
      <w:hyperlink r:id="rId5" w:history="1">
        <w:r w:rsidRPr="006A01DF">
          <w:rPr>
            <w:rStyle w:val="Hyperlink"/>
          </w:rPr>
          <w:t>Article 3, paragraph (10) of the Regulation on serious-cross-border threats</w:t>
        </w:r>
      </w:hyperlink>
    </w:p>
  </w:footnote>
  <w:footnote w:id="6">
    <w:p w14:paraId="5D43B372" w14:textId="407340E7" w:rsidR="00E81FB4" w:rsidRPr="00B2098D" w:rsidRDefault="00E81FB4">
      <w:pPr>
        <w:pStyle w:val="FootnoteText"/>
      </w:pPr>
      <w:r>
        <w:rPr>
          <w:rStyle w:val="FootnoteReference"/>
        </w:rPr>
        <w:footnoteRef/>
      </w:r>
      <w:r>
        <w:t xml:space="preserve"> </w:t>
      </w:r>
      <w:r>
        <w:rPr>
          <w:lang w:val="en-IE"/>
        </w:rPr>
        <w:t xml:space="preserve">See </w:t>
      </w:r>
      <w:r w:rsidRPr="00577F26">
        <w:rPr>
          <w:lang w:val="en-IE"/>
        </w:rPr>
        <w:t>COM/2020/493 final</w:t>
      </w:r>
      <w:r>
        <w:rPr>
          <w:lang w:val="en-IE"/>
        </w:rPr>
        <w:t>, which, also in light of these vulnerabilities exposed by the COVID-19 pandemic, put forward resilience as a new strategic compass for all EU policies</w:t>
      </w:r>
    </w:p>
  </w:footnote>
  <w:footnote w:id="7">
    <w:p w14:paraId="3D4A3C03" w14:textId="77777777" w:rsidR="00E81FB4" w:rsidRPr="00793A07" w:rsidRDefault="00E81FB4" w:rsidP="007D59C2">
      <w:pPr>
        <w:pStyle w:val="FootnoteText"/>
      </w:pPr>
      <w:r>
        <w:rPr>
          <w:rStyle w:val="FootnoteReference"/>
        </w:rPr>
        <w:footnoteRef/>
      </w:r>
      <w:r>
        <w:t xml:space="preserve"> </w:t>
      </w:r>
      <w:hyperlink r:id="rId6" w:history="1">
        <w:r w:rsidRPr="0000226E">
          <w:rPr>
            <w:rStyle w:val="Hyperlink"/>
          </w:rPr>
          <w:t>https://ec.europa.eu/info/strategy/priorities-2019-2024/promoting-our-european-way-life/european-health-union_en</w:t>
        </w:r>
      </w:hyperlink>
      <w:r>
        <w:t xml:space="preserve"> </w:t>
      </w:r>
    </w:p>
  </w:footnote>
  <w:footnote w:id="8">
    <w:p w14:paraId="63ED0346" w14:textId="77777777" w:rsidR="00E81FB4" w:rsidRDefault="00E81FB4" w:rsidP="007D59C2">
      <w:pPr>
        <w:pStyle w:val="FootnoteText"/>
        <w:rPr>
          <w:lang w:val="en-GB"/>
        </w:rPr>
      </w:pPr>
      <w:r w:rsidRPr="0E73D82F">
        <w:rPr>
          <w:rStyle w:val="FootnoteReference"/>
        </w:rPr>
        <w:footnoteRef/>
      </w:r>
      <w:r w:rsidRPr="0E73D82F">
        <w:rPr>
          <w:lang w:val="en-IE"/>
        </w:rPr>
        <w:t xml:space="preserve"> </w:t>
      </w:r>
      <w:hyperlink r:id="rId7">
        <w:r w:rsidRPr="0E73D82F">
          <w:rPr>
            <w:rStyle w:val="Hyperlink"/>
            <w:lang w:val="en-IE"/>
          </w:rPr>
          <w:t>https://ec.europa.eu/info/sites/default/files/communication150621.pdf</w:t>
        </w:r>
      </w:hyperlink>
    </w:p>
  </w:footnote>
  <w:footnote w:id="9">
    <w:p w14:paraId="16A37983" w14:textId="77777777" w:rsidR="00E81FB4" w:rsidRDefault="00E81FB4" w:rsidP="007D59C2">
      <w:pPr>
        <w:pStyle w:val="FootnoteText"/>
      </w:pPr>
      <w:r>
        <w:rPr>
          <w:rStyle w:val="FootnoteReference"/>
        </w:rPr>
        <w:footnoteRef/>
      </w:r>
      <w:r>
        <w:t xml:space="preserve"> Link of the Global Health Strategy once available</w:t>
      </w:r>
    </w:p>
  </w:footnote>
  <w:footnote w:id="10">
    <w:p w14:paraId="18794B58" w14:textId="77777777" w:rsidR="00E81FB4" w:rsidRPr="00933FD3" w:rsidRDefault="00E81FB4" w:rsidP="007D59C2">
      <w:pPr>
        <w:pStyle w:val="FootnoteText"/>
      </w:pPr>
      <w:r>
        <w:rPr>
          <w:rStyle w:val="FootnoteReference"/>
        </w:rPr>
        <w:footnoteRef/>
      </w:r>
      <w:r>
        <w:t xml:space="preserve"> </w:t>
      </w:r>
      <w:hyperlink r:id="rId8">
        <w:r w:rsidRPr="0E73D82F">
          <w:rPr>
            <w:rStyle w:val="Hyperlink"/>
            <w:lang w:val="en-IE"/>
          </w:rPr>
          <w:t>https://ec.europa.eu/info/sites/default/files/communication150621.pdf</w:t>
        </w:r>
      </w:hyperlink>
    </w:p>
  </w:footnote>
  <w:footnote w:id="11">
    <w:p w14:paraId="004C1DA7" w14:textId="77777777" w:rsidR="00E81FB4" w:rsidRPr="004F5CEA" w:rsidRDefault="00E81FB4" w:rsidP="007D59C2">
      <w:pPr>
        <w:pStyle w:val="FootnoteText"/>
      </w:pPr>
      <w:r>
        <w:rPr>
          <w:rStyle w:val="FootnoteReference"/>
        </w:rPr>
        <w:footnoteRef/>
      </w:r>
      <w:r>
        <w:t xml:space="preserve"> </w:t>
      </w:r>
      <w:hyperlink r:id="rId9" w:history="1">
        <w:r w:rsidRPr="00D4426D">
          <w:rPr>
            <w:rStyle w:val="Hyperlink"/>
          </w:rPr>
          <w:t>https://www.gavi.org/vaccineswork/covid-19-vaccines-have-saved-20-million-lives-so-far-study-estimates</w:t>
        </w:r>
      </w:hyperlink>
      <w:r>
        <w:t xml:space="preserve"> </w:t>
      </w:r>
    </w:p>
  </w:footnote>
  <w:footnote w:id="12">
    <w:p w14:paraId="031A495E" w14:textId="77777777" w:rsidR="00E81FB4" w:rsidRPr="004F5CEA" w:rsidRDefault="00E81FB4" w:rsidP="007D59C2">
      <w:pPr>
        <w:pStyle w:val="FootnoteText"/>
      </w:pPr>
      <w:r>
        <w:rPr>
          <w:rStyle w:val="FootnoteReference"/>
        </w:rPr>
        <w:footnoteRef/>
      </w:r>
      <w:r>
        <w:t xml:space="preserve"> </w:t>
      </w:r>
      <w:hyperlink r:id="rId10" w:history="1">
        <w:r w:rsidRPr="00D4426D">
          <w:rPr>
            <w:rStyle w:val="Hyperlink"/>
          </w:rPr>
          <w:t>https://ec.europa.eu/info/sites/default/files/strategic-dependencies-capacities.pdf</w:t>
        </w:r>
      </w:hyperlink>
      <w:r>
        <w:t xml:space="preserve"> </w:t>
      </w:r>
    </w:p>
  </w:footnote>
  <w:footnote w:id="13">
    <w:p w14:paraId="227D4962" w14:textId="77777777" w:rsidR="00E81FB4" w:rsidRPr="007A020F" w:rsidRDefault="00E81FB4" w:rsidP="007D59C2">
      <w:pPr>
        <w:pStyle w:val="FootnoteText"/>
      </w:pPr>
      <w:r>
        <w:rPr>
          <w:rStyle w:val="FootnoteReference"/>
        </w:rPr>
        <w:footnoteRef/>
      </w:r>
      <w:r>
        <w:t xml:space="preserve"> </w:t>
      </w:r>
      <w:hyperlink r:id="rId11" w:history="1">
        <w:r w:rsidRPr="000A0CE8">
          <w:rPr>
            <w:rStyle w:val="Hyperlink"/>
          </w:rPr>
          <w:t>https://research-and-innovation.ec.europa.eu/research-area/health/ebola/ebola-research-and-innovation-strategy_en</w:t>
        </w:r>
      </w:hyperlink>
      <w:r>
        <w:t xml:space="preserve"> </w:t>
      </w:r>
    </w:p>
  </w:footnote>
  <w:footnote w:id="14">
    <w:p w14:paraId="3B74F93A" w14:textId="77777777" w:rsidR="00E81FB4" w:rsidRPr="000220E9" w:rsidRDefault="00E81FB4" w:rsidP="007D59C2">
      <w:pPr>
        <w:pStyle w:val="FootnoteText"/>
        <w:rPr>
          <w:lang w:val="en-IE"/>
        </w:rPr>
      </w:pPr>
      <w:r>
        <w:rPr>
          <w:rStyle w:val="FootnoteReference"/>
        </w:rPr>
        <w:footnoteRef/>
      </w:r>
      <w:r>
        <w:t xml:space="preserve"> </w:t>
      </w:r>
      <w:hyperlink r:id="rId12">
        <w:r w:rsidRPr="0E73D82F">
          <w:rPr>
            <w:rStyle w:val="Hyperlink"/>
            <w:lang w:val="en-IE"/>
          </w:rPr>
          <w:t>https://ec.europa.eu/info/sites/default/files/communication150621.pdf</w:t>
        </w:r>
      </w:hyperlink>
    </w:p>
  </w:footnote>
  <w:footnote w:id="15">
    <w:p w14:paraId="1189E859" w14:textId="77777777" w:rsidR="00E81FB4" w:rsidRPr="002D5177" w:rsidRDefault="00E81FB4" w:rsidP="007D59C2">
      <w:pPr>
        <w:pStyle w:val="FootnoteText"/>
      </w:pPr>
      <w:r>
        <w:rPr>
          <w:rStyle w:val="FootnoteReference"/>
        </w:rPr>
        <w:footnoteRef/>
      </w:r>
      <w:r>
        <w:t xml:space="preserve"> </w:t>
      </w:r>
      <w:hyperlink r:id="rId13" w:anchor=":~:text=Budget,to%20almost%20%E2%82%AC30%20billion" w:history="1">
        <w:r w:rsidRPr="00B36EC3">
          <w:rPr>
            <w:rStyle w:val="Hyperlink"/>
          </w:rPr>
          <w:t>https://eufundingoverview.be/funding/health-emergency-preparedness-and-response-authority-hera#:~:text=Budget,to%20almost%20%E2%82%AC30%20billion</w:t>
        </w:r>
      </w:hyperlink>
      <w:r w:rsidRPr="002C05B7">
        <w:t>.</w:t>
      </w:r>
      <w:r>
        <w:t xml:space="preserve"> </w:t>
      </w:r>
    </w:p>
  </w:footnote>
  <w:footnote w:id="16">
    <w:p w14:paraId="72A35806" w14:textId="77777777" w:rsidR="00E81FB4" w:rsidRPr="006D2D44" w:rsidRDefault="00E81FB4" w:rsidP="007D59C2">
      <w:pPr>
        <w:pStyle w:val="FootnoteText"/>
      </w:pPr>
      <w:r w:rsidRPr="006D2D44">
        <w:rPr>
          <w:rStyle w:val="FootnoteReference"/>
        </w:rPr>
        <w:footnoteRef/>
      </w:r>
      <w:r w:rsidRPr="006D2D44">
        <w:t xml:space="preserve"> Council Regulation on a framework of measures for ensuring the supply of crisis-relevant medical countermeasures in the event of a public health emergency at Union level</w:t>
      </w:r>
    </w:p>
  </w:footnote>
  <w:footnote w:id="17">
    <w:p w14:paraId="7F74D922" w14:textId="77777777" w:rsidR="00E81FB4" w:rsidRPr="0069209C" w:rsidRDefault="00E81FB4" w:rsidP="007D59C2">
      <w:pPr>
        <w:pStyle w:val="FootnoteText"/>
      </w:pPr>
      <w:r>
        <w:rPr>
          <w:rStyle w:val="FootnoteReference"/>
        </w:rPr>
        <w:footnoteRef/>
      </w:r>
      <w:r>
        <w:t xml:space="preserve"> </w:t>
      </w:r>
      <w:hyperlink r:id="rId14" w:history="1">
        <w:r w:rsidRPr="00B36EC3">
          <w:rPr>
            <w:rStyle w:val="Hyperlink"/>
          </w:rPr>
          <w:t>https://ec.europa.eu/commission/presscorner/detail/en/ip_22_3023</w:t>
        </w:r>
      </w:hyperlink>
      <w:r>
        <w:rPr>
          <w:rStyle w:val="Hyperlink"/>
        </w:rPr>
        <w:t xml:space="preserve"> </w:t>
      </w:r>
    </w:p>
  </w:footnote>
  <w:footnote w:id="18">
    <w:p w14:paraId="40BAF067" w14:textId="454804B7" w:rsidR="00E81FB4" w:rsidRPr="00744867" w:rsidRDefault="00E81FB4" w:rsidP="007D59C2">
      <w:pPr>
        <w:pStyle w:val="FootnoteText"/>
      </w:pPr>
      <w:r>
        <w:rPr>
          <w:rStyle w:val="FootnoteReference"/>
        </w:rPr>
        <w:footnoteRef/>
      </w:r>
      <w:r>
        <w:t xml:space="preserve"> </w:t>
      </w:r>
      <w:hyperlink r:id="rId15" w:history="1">
        <w:r w:rsidRPr="004D7D6C">
          <w:rPr>
            <w:rStyle w:val="Hyperlink"/>
          </w:rPr>
          <w:t>https://eu-response.eu/</w:t>
        </w:r>
      </w:hyperlink>
      <w:r>
        <w:t xml:space="preserve"> and </w:t>
      </w:r>
      <w:hyperlink r:id="rId16" w:history="1">
        <w:r w:rsidRPr="009F384C">
          <w:rPr>
            <w:rStyle w:val="Hyperlink"/>
          </w:rPr>
          <w:t>https://vaccelerate.eu/</w:t>
        </w:r>
      </w:hyperlink>
      <w:r>
        <w:t xml:space="preserve"> </w:t>
      </w:r>
    </w:p>
  </w:footnote>
  <w:footnote w:id="19">
    <w:p w14:paraId="5EA56D6B" w14:textId="77777777" w:rsidR="00E81FB4" w:rsidRPr="00695450" w:rsidRDefault="00E81FB4" w:rsidP="007D59C2">
      <w:pPr>
        <w:pStyle w:val="FootnoteText"/>
      </w:pPr>
      <w:r>
        <w:rPr>
          <w:rStyle w:val="FootnoteReference"/>
        </w:rPr>
        <w:footnoteRef/>
      </w:r>
      <w:r>
        <w:t xml:space="preserve"> </w:t>
      </w:r>
      <w:hyperlink r:id="rId17" w:history="1">
        <w:r w:rsidRPr="00880B16">
          <w:rPr>
            <w:rStyle w:val="Hyperlink"/>
          </w:rPr>
          <w:t>https://eur-lex.europa.eu/legal-content/EN/TXT/HTML/?uri=CELEX%3A32014R0536&amp;from=NL</w:t>
        </w:r>
      </w:hyperlink>
      <w:r>
        <w:t xml:space="preserve"> </w:t>
      </w:r>
    </w:p>
  </w:footnote>
  <w:footnote w:id="20">
    <w:p w14:paraId="0B637F16" w14:textId="77777777" w:rsidR="00E81FB4" w:rsidRPr="00032B01" w:rsidRDefault="00E81FB4" w:rsidP="007D59C2">
      <w:pPr>
        <w:pStyle w:val="FootnoteText"/>
      </w:pPr>
      <w:r>
        <w:rPr>
          <w:rStyle w:val="FootnoteReference"/>
        </w:rPr>
        <w:footnoteRef/>
      </w:r>
      <w:r>
        <w:t xml:space="preserve"> </w:t>
      </w:r>
      <w:hyperlink r:id="rId18" w:history="1">
        <w:r w:rsidRPr="00D4426D">
          <w:rPr>
            <w:rStyle w:val="Hyperlink"/>
          </w:rPr>
          <w:t>https://eur-lex.europa.eu/legal-content/EN/TXT/PDF/?uri=CELEX:52022DC0452</w:t>
        </w:r>
      </w:hyperlink>
      <w:r>
        <w:t xml:space="preserve"> </w:t>
      </w:r>
    </w:p>
  </w:footnote>
  <w:footnote w:id="21">
    <w:p w14:paraId="030F20F9" w14:textId="77777777" w:rsidR="00E81FB4" w:rsidRPr="007D209C" w:rsidRDefault="00E81FB4" w:rsidP="007D59C2">
      <w:pPr>
        <w:pStyle w:val="FootnoteText"/>
      </w:pPr>
      <w:r>
        <w:rPr>
          <w:rStyle w:val="FootnoteReference"/>
        </w:rPr>
        <w:footnoteRef/>
      </w:r>
      <w:r w:rsidRPr="00E827A4">
        <w:t>The European Union, its Member States, and financial institutions, in particular the European Investment Bank and the European Bank for Reconstruction and Development, a</w:t>
      </w:r>
      <w:r>
        <w:t>cting together as ‘Team Europe’.</w:t>
      </w:r>
    </w:p>
  </w:footnote>
  <w:footnote w:id="22">
    <w:p w14:paraId="7670A9D9" w14:textId="77777777" w:rsidR="00E81FB4" w:rsidRPr="009866C1" w:rsidRDefault="00E81FB4" w:rsidP="007D59C2">
      <w:pPr>
        <w:pStyle w:val="FootnoteText"/>
      </w:pPr>
      <w:r>
        <w:rPr>
          <w:rStyle w:val="FootnoteReference"/>
        </w:rPr>
        <w:footnoteRef/>
      </w:r>
      <w:r>
        <w:t xml:space="preserve"> </w:t>
      </w:r>
      <w:r>
        <w:rPr>
          <w:lang w:val="en-GB"/>
        </w:rPr>
        <w:t>V</w:t>
      </w:r>
      <w:r w:rsidRPr="009866C1">
        <w:rPr>
          <w:lang w:val="en-GB"/>
        </w:rPr>
        <w:t>ia training of journalists, fact-checkers, campaign</w:t>
      </w:r>
      <w:r>
        <w:rPr>
          <w:lang w:val="en-GB"/>
        </w:rPr>
        <w:t>s and</w:t>
      </w:r>
      <w:r w:rsidRPr="009866C1">
        <w:rPr>
          <w:lang w:val="en-GB"/>
        </w:rPr>
        <w:t xml:space="preserve"> coord</w:t>
      </w:r>
      <w:r>
        <w:rPr>
          <w:lang w:val="en-GB"/>
        </w:rPr>
        <w:t xml:space="preserve">ination and sharing mechanisms such as those which underpinned the </w:t>
      </w:r>
      <w:r w:rsidRPr="009866C1">
        <w:rPr>
          <w:lang w:val="en-GB"/>
        </w:rPr>
        <w:t>Re-open EU</w:t>
      </w:r>
      <w:r>
        <w:rPr>
          <w:lang w:val="en-GB"/>
        </w:rPr>
        <w:t xml:space="preserve"> platform. </w:t>
      </w:r>
    </w:p>
  </w:footnote>
  <w:footnote w:id="23">
    <w:p w14:paraId="5B30EF48" w14:textId="77777777" w:rsidR="00E81FB4" w:rsidRPr="004E646B" w:rsidRDefault="00E81FB4" w:rsidP="007D59C2">
      <w:pPr>
        <w:pStyle w:val="FootnoteText"/>
      </w:pPr>
      <w:r>
        <w:rPr>
          <w:rStyle w:val="FootnoteReference"/>
        </w:rPr>
        <w:footnoteRef/>
      </w:r>
      <w:r w:rsidRPr="004E646B">
        <w:t xml:space="preserve"> </w:t>
      </w:r>
      <w:hyperlink r:id="rId19" w:history="1">
        <w:r w:rsidRPr="00D4426D">
          <w:rPr>
            <w:rStyle w:val="Hyperlink"/>
          </w:rPr>
          <w:t>https://ec.europa.eu/commission/presscorner/detail/en/IP_22_4474</w:t>
        </w:r>
      </w:hyperlink>
      <w:r>
        <w:t xml:space="preserve"> </w:t>
      </w:r>
    </w:p>
  </w:footnote>
  <w:footnote w:id="24">
    <w:p w14:paraId="7F587AE3" w14:textId="77777777" w:rsidR="00E81FB4" w:rsidRPr="00695450" w:rsidRDefault="00E81FB4" w:rsidP="007D59C2">
      <w:pPr>
        <w:pStyle w:val="FootnoteText"/>
      </w:pPr>
      <w:r>
        <w:rPr>
          <w:rStyle w:val="FootnoteReference"/>
        </w:rPr>
        <w:footnoteRef/>
      </w:r>
      <w:r>
        <w:t xml:space="preserve"> </w:t>
      </w:r>
      <w:hyperlink r:id="rId20" w:history="1">
        <w:r w:rsidRPr="00880B16">
          <w:rPr>
            <w:rStyle w:val="Hyperlink"/>
          </w:rPr>
          <w:t>https://eur-lex.europa.eu/legal-content/EN/TXT/?uri=celex%3A32018R1725</w:t>
        </w:r>
      </w:hyperlink>
      <w:r>
        <w:t xml:space="preserve"> </w:t>
      </w:r>
    </w:p>
  </w:footnote>
  <w:footnote w:id="25">
    <w:p w14:paraId="006F5F96" w14:textId="77777777" w:rsidR="00E81FB4" w:rsidRPr="00F36BD5" w:rsidRDefault="00E81FB4" w:rsidP="007D59C2">
      <w:pPr>
        <w:pStyle w:val="FootnoteText"/>
      </w:pPr>
      <w:r>
        <w:rPr>
          <w:rStyle w:val="FootnoteReference"/>
        </w:rPr>
        <w:footnoteRef/>
      </w:r>
      <w:r>
        <w:t xml:space="preserve"> </w:t>
      </w:r>
      <w:hyperlink r:id="rId21" w:history="1">
        <w:r w:rsidRPr="00D4426D">
          <w:rPr>
            <w:rStyle w:val="Hyperlink"/>
          </w:rPr>
          <w:t>https://joint-research-centre.ec.europa.eu/jrc-news/coronavirus-response-monitoring-wastewater-contributes-tracking-coronavirus-and-variants-across-all-2022-03-17_en</w:t>
        </w:r>
      </w:hyperlink>
      <w:r>
        <w:t xml:space="preserve"> </w:t>
      </w:r>
    </w:p>
  </w:footnote>
  <w:footnote w:id="26">
    <w:p w14:paraId="4BB2C08D" w14:textId="77777777" w:rsidR="00E81FB4" w:rsidRPr="0096030D" w:rsidRDefault="00E81FB4" w:rsidP="007D59C2">
      <w:pPr>
        <w:pStyle w:val="FootnoteText"/>
        <w:rPr>
          <w:lang w:val="en-GB"/>
        </w:rPr>
      </w:pPr>
      <w:r>
        <w:rPr>
          <w:rStyle w:val="FootnoteReference"/>
        </w:rPr>
        <w:footnoteRef/>
      </w:r>
      <w:r>
        <w:t xml:space="preserve"> </w:t>
      </w:r>
      <w:hyperlink r:id="rId22" w:history="1">
        <w:r>
          <w:rPr>
            <w:rStyle w:val="Hyperlink"/>
          </w:rPr>
          <w:t>Commission presents a Therapeutics Innovation Booster to identify and support new treatments for COVID-19 (europa.eu)</w:t>
        </w:r>
      </w:hyperlink>
    </w:p>
  </w:footnote>
  <w:footnote w:id="27">
    <w:p w14:paraId="2391D0DE" w14:textId="77777777" w:rsidR="00E81FB4" w:rsidRPr="00114C67" w:rsidRDefault="00E81FB4" w:rsidP="007D59C2">
      <w:pPr>
        <w:spacing w:after="0"/>
        <w:rPr>
          <w:rFonts w:ascii="Calibri" w:eastAsia="Calibri" w:hAnsi="Calibri" w:cs="Calibri"/>
          <w:lang w:val="fr-BE"/>
        </w:rPr>
      </w:pPr>
      <w:r w:rsidRPr="001B72C1">
        <w:rPr>
          <w:sz w:val="20"/>
          <w:szCs w:val="24"/>
          <w:vertAlign w:val="superscript"/>
        </w:rPr>
        <w:footnoteRef/>
      </w:r>
      <w:r w:rsidRPr="001B72C1">
        <w:rPr>
          <w:sz w:val="20"/>
          <w:szCs w:val="24"/>
          <w:lang w:val="fr-BE"/>
        </w:rPr>
        <w:t xml:space="preserve"> </w:t>
      </w:r>
      <w:hyperlink r:id="rId23" w:history="1">
        <w:r w:rsidRPr="001B72C1">
          <w:rPr>
            <w:rStyle w:val="Hyperlink"/>
            <w:rFonts w:ascii="Calibri" w:eastAsia="Calibri" w:hAnsi="Calibri" w:cs="Calibri"/>
            <w:sz w:val="20"/>
            <w:szCs w:val="24"/>
            <w:lang w:val="fr-BE"/>
          </w:rPr>
          <w:t>communication150621.pdf (europa.eu)</w:t>
        </w:r>
      </w:hyperlink>
    </w:p>
  </w:footnote>
  <w:footnote w:id="28">
    <w:p w14:paraId="2C06AC51" w14:textId="77777777" w:rsidR="00E81FB4" w:rsidRPr="00114C67" w:rsidRDefault="00E81FB4" w:rsidP="007D59C2">
      <w:pPr>
        <w:pStyle w:val="FootnoteText"/>
        <w:rPr>
          <w:lang w:val="fr-BE"/>
        </w:rPr>
      </w:pPr>
      <w:r>
        <w:rPr>
          <w:rStyle w:val="FootnoteReference"/>
        </w:rPr>
        <w:footnoteRef/>
      </w:r>
      <w:r w:rsidRPr="00114C67">
        <w:rPr>
          <w:lang w:val="fr-BE"/>
        </w:rPr>
        <w:t xml:space="preserve"> </w:t>
      </w:r>
      <w:hyperlink r:id="rId24" w:history="1">
        <w:r w:rsidRPr="00114C67">
          <w:rPr>
            <w:rStyle w:val="Hyperlink"/>
            <w:lang w:val="fr-BE"/>
          </w:rPr>
          <w:t>https://eur-lex.europa.eu/legal-content/EN/TXT/PDF/?uri=CELEX:52020DC0761&amp;from=EN</w:t>
        </w:r>
      </w:hyperlink>
      <w:r w:rsidRPr="00114C67">
        <w:rPr>
          <w:lang w:val="fr-BE"/>
        </w:rPr>
        <w:t xml:space="preserve"> </w:t>
      </w:r>
    </w:p>
  </w:footnote>
  <w:footnote w:id="29">
    <w:p w14:paraId="170D66D6" w14:textId="77777777" w:rsidR="00E81FB4" w:rsidRPr="00EE43B6" w:rsidRDefault="00E81FB4" w:rsidP="007D59C2">
      <w:pPr>
        <w:pStyle w:val="FootnoteText"/>
      </w:pPr>
      <w:r>
        <w:rPr>
          <w:rStyle w:val="FootnoteReference"/>
        </w:rPr>
        <w:footnoteRef/>
      </w:r>
      <w:r>
        <w:t xml:space="preserve"> </w:t>
      </w:r>
      <w:hyperlink r:id="rId25" w:history="1">
        <w:r>
          <w:rPr>
            <w:rStyle w:val="Hyperlink"/>
          </w:rPr>
          <w:t>Staff Working Document on Vulnerabilities of the global supply chains of medicines – Structured Dialogue on the security of medicines supply (europa.eu)</w:t>
        </w:r>
      </w:hyperlink>
      <w:r>
        <w:rPr>
          <w:rStyle w:val="Hyperlink"/>
        </w:rPr>
        <w:t xml:space="preserve"> </w:t>
      </w:r>
    </w:p>
  </w:footnote>
  <w:footnote w:id="30">
    <w:p w14:paraId="782ED730" w14:textId="77777777" w:rsidR="00E81FB4" w:rsidRPr="007D209C" w:rsidRDefault="00E81FB4" w:rsidP="007D59C2">
      <w:pPr>
        <w:pStyle w:val="FootnoteText"/>
      </w:pPr>
      <w:r>
        <w:rPr>
          <w:rStyle w:val="FootnoteReference"/>
        </w:rPr>
        <w:footnoteRef/>
      </w:r>
      <w:r>
        <w:t xml:space="preserve"> </w:t>
      </w:r>
      <w:hyperlink r:id="rId26" w:history="1">
        <w:r w:rsidRPr="00880B16">
          <w:rPr>
            <w:rStyle w:val="Hyperlink"/>
          </w:rPr>
          <w:t>https://single-market-economy.ec.europa.eu/document/d1d0b38a-cec8-479d-be70-1ffae7e227a5_en</w:t>
        </w:r>
      </w:hyperlink>
      <w:r>
        <w:t xml:space="preserve"> </w:t>
      </w:r>
    </w:p>
  </w:footnote>
  <w:footnote w:id="31">
    <w:p w14:paraId="3802362A" w14:textId="77777777" w:rsidR="00E81FB4" w:rsidRPr="00440B19" w:rsidRDefault="00E81FB4" w:rsidP="007D59C2">
      <w:pPr>
        <w:pStyle w:val="FootnoteText"/>
      </w:pPr>
      <w:r>
        <w:rPr>
          <w:rStyle w:val="FootnoteReference"/>
        </w:rPr>
        <w:footnoteRef/>
      </w:r>
      <w:r>
        <w:t xml:space="preserve"> Part of the EUR 2.7 billion from the Emergency Support Instrument (ESI) were used as up-front payments for COVID-19 vaccines Advance Purchase Agreements (APAs). These up-front payments contributed to increase the speed and scale of manufacturing successful vaccines.  </w:t>
      </w:r>
    </w:p>
  </w:footnote>
  <w:footnote w:id="32">
    <w:p w14:paraId="4D8E2A1C" w14:textId="08307D47" w:rsidR="00A86FC6" w:rsidRPr="00A86FC6" w:rsidRDefault="00A86FC6">
      <w:pPr>
        <w:pStyle w:val="FootnoteText"/>
        <w:rPr>
          <w:lang w:val="en-IE"/>
        </w:rPr>
      </w:pPr>
      <w:r>
        <w:rPr>
          <w:rStyle w:val="FootnoteReference"/>
        </w:rPr>
        <w:footnoteRef/>
      </w:r>
      <w:r>
        <w:t xml:space="preserve"> </w:t>
      </w:r>
      <w:r w:rsidRPr="00A86FC6">
        <w:t>https://ec.europa.eu/commission/presscorner/detail/en/IP_22_4363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72BA9" w14:textId="77777777" w:rsidR="00E85AA2" w:rsidRPr="00E85AA2" w:rsidRDefault="00E85AA2" w:rsidP="00E85A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CC938" w14:textId="77777777" w:rsidR="00E85AA2" w:rsidRPr="00E85AA2" w:rsidRDefault="00E85AA2" w:rsidP="00E85AA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6FC11" w14:textId="77777777" w:rsidR="00E85AA2" w:rsidRPr="00E85AA2" w:rsidRDefault="00E85AA2" w:rsidP="00E85AA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AEF28" w14:textId="77777777" w:rsidR="00E81FB4" w:rsidRDefault="00E81F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EA13A" w14:textId="77777777" w:rsidR="00E81FB4" w:rsidRDefault="00E81F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068B9" w14:textId="77777777" w:rsidR="00E81FB4" w:rsidRDefault="00E81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5E89"/>
    <w:multiLevelType w:val="hybridMultilevel"/>
    <w:tmpl w:val="8334D47C"/>
    <w:name w:val="ListBullet3Numbering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1F5113"/>
    <w:multiLevelType w:val="multilevel"/>
    <w:tmpl w:val="C6F2B456"/>
    <w:lvl w:ilvl="0">
      <w:start w:val="2"/>
      <w:numFmt w:val="decimal"/>
      <w:lvlText w:val="%1"/>
      <w:lvlJc w:val="left"/>
      <w:pPr>
        <w:ind w:left="500" w:hanging="500"/>
      </w:pPr>
      <w:rPr>
        <w:rFonts w:hint="default"/>
      </w:rPr>
    </w:lvl>
    <w:lvl w:ilvl="1">
      <w:start w:val="1"/>
      <w:numFmt w:val="decimal"/>
      <w:lvlText w:val="%1.%2"/>
      <w:lvlJc w:val="left"/>
      <w:pPr>
        <w:ind w:left="925" w:hanging="500"/>
      </w:pPr>
      <w:rPr>
        <w:rFonts w:hint="default"/>
      </w:rPr>
    </w:lvl>
    <w:lvl w:ilvl="2">
      <w:start w:val="1"/>
      <w:numFmt w:val="decimal"/>
      <w:pStyle w:val="Heading3"/>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 w15:restartNumberingAfterBreak="0">
    <w:nsid w:val="0B7F4957"/>
    <w:multiLevelType w:val="hybridMultilevel"/>
    <w:tmpl w:val="B8D2C4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0C6ABD"/>
    <w:multiLevelType w:val="hybridMultilevel"/>
    <w:tmpl w:val="402EBA80"/>
    <w:lvl w:ilvl="0" w:tplc="8A52E64A">
      <w:numFmt w:val="bullet"/>
      <w:lvlText w:val=""/>
      <w:lvlJc w:val="left"/>
      <w:pPr>
        <w:ind w:left="720" w:hanging="360"/>
      </w:pPr>
      <w:rPr>
        <w:rFonts w:ascii="Wingdings" w:eastAsiaTheme="minorEastAsia" w:hAnsi="Wingding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2E1783"/>
    <w:multiLevelType w:val="hybridMultilevel"/>
    <w:tmpl w:val="837473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66C72BB"/>
    <w:multiLevelType w:val="hybridMultilevel"/>
    <w:tmpl w:val="7A6E63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7342A2"/>
    <w:multiLevelType w:val="multilevel"/>
    <w:tmpl w:val="75BC142A"/>
    <w:lvl w:ilvl="0">
      <w:start w:val="1"/>
      <w:numFmt w:val="decimal"/>
      <w:lvlText w:val="%1."/>
      <w:lvlJc w:val="left"/>
      <w:pPr>
        <w:ind w:left="36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8" w15:restartNumberingAfterBreak="0">
    <w:nsid w:val="17F13636"/>
    <w:multiLevelType w:val="hybridMultilevel"/>
    <w:tmpl w:val="E254566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262D434B"/>
    <w:multiLevelType w:val="hybridMultilevel"/>
    <w:tmpl w:val="B332FE8C"/>
    <w:lvl w:ilvl="0" w:tplc="18090001">
      <w:start w:val="1"/>
      <w:numFmt w:val="bullet"/>
      <w:lvlText w:val=""/>
      <w:lvlJc w:val="left"/>
      <w:pPr>
        <w:ind w:left="864" w:hanging="360"/>
      </w:pPr>
      <w:rPr>
        <w:rFonts w:ascii="Symbol" w:hAnsi="Symbol" w:hint="default"/>
      </w:rPr>
    </w:lvl>
    <w:lvl w:ilvl="1" w:tplc="18090003" w:tentative="1">
      <w:start w:val="1"/>
      <w:numFmt w:val="bullet"/>
      <w:lvlText w:val="o"/>
      <w:lvlJc w:val="left"/>
      <w:pPr>
        <w:ind w:left="1584" w:hanging="360"/>
      </w:pPr>
      <w:rPr>
        <w:rFonts w:ascii="Courier New" w:hAnsi="Courier New" w:cs="Courier New" w:hint="default"/>
      </w:rPr>
    </w:lvl>
    <w:lvl w:ilvl="2" w:tplc="18090005" w:tentative="1">
      <w:start w:val="1"/>
      <w:numFmt w:val="bullet"/>
      <w:lvlText w:val=""/>
      <w:lvlJc w:val="left"/>
      <w:pPr>
        <w:ind w:left="2304" w:hanging="360"/>
      </w:pPr>
      <w:rPr>
        <w:rFonts w:ascii="Wingdings" w:hAnsi="Wingdings" w:hint="default"/>
      </w:rPr>
    </w:lvl>
    <w:lvl w:ilvl="3" w:tplc="18090001" w:tentative="1">
      <w:start w:val="1"/>
      <w:numFmt w:val="bullet"/>
      <w:lvlText w:val=""/>
      <w:lvlJc w:val="left"/>
      <w:pPr>
        <w:ind w:left="3024" w:hanging="360"/>
      </w:pPr>
      <w:rPr>
        <w:rFonts w:ascii="Symbol" w:hAnsi="Symbol" w:hint="default"/>
      </w:rPr>
    </w:lvl>
    <w:lvl w:ilvl="4" w:tplc="18090003" w:tentative="1">
      <w:start w:val="1"/>
      <w:numFmt w:val="bullet"/>
      <w:lvlText w:val="o"/>
      <w:lvlJc w:val="left"/>
      <w:pPr>
        <w:ind w:left="3744" w:hanging="360"/>
      </w:pPr>
      <w:rPr>
        <w:rFonts w:ascii="Courier New" w:hAnsi="Courier New" w:cs="Courier New" w:hint="default"/>
      </w:rPr>
    </w:lvl>
    <w:lvl w:ilvl="5" w:tplc="18090005" w:tentative="1">
      <w:start w:val="1"/>
      <w:numFmt w:val="bullet"/>
      <w:lvlText w:val=""/>
      <w:lvlJc w:val="left"/>
      <w:pPr>
        <w:ind w:left="4464" w:hanging="360"/>
      </w:pPr>
      <w:rPr>
        <w:rFonts w:ascii="Wingdings" w:hAnsi="Wingdings" w:hint="default"/>
      </w:rPr>
    </w:lvl>
    <w:lvl w:ilvl="6" w:tplc="18090001" w:tentative="1">
      <w:start w:val="1"/>
      <w:numFmt w:val="bullet"/>
      <w:lvlText w:val=""/>
      <w:lvlJc w:val="left"/>
      <w:pPr>
        <w:ind w:left="5184" w:hanging="360"/>
      </w:pPr>
      <w:rPr>
        <w:rFonts w:ascii="Symbol" w:hAnsi="Symbol" w:hint="default"/>
      </w:rPr>
    </w:lvl>
    <w:lvl w:ilvl="7" w:tplc="18090003" w:tentative="1">
      <w:start w:val="1"/>
      <w:numFmt w:val="bullet"/>
      <w:lvlText w:val="o"/>
      <w:lvlJc w:val="left"/>
      <w:pPr>
        <w:ind w:left="5904" w:hanging="360"/>
      </w:pPr>
      <w:rPr>
        <w:rFonts w:ascii="Courier New" w:hAnsi="Courier New" w:cs="Courier New" w:hint="default"/>
      </w:rPr>
    </w:lvl>
    <w:lvl w:ilvl="8" w:tplc="18090005" w:tentative="1">
      <w:start w:val="1"/>
      <w:numFmt w:val="bullet"/>
      <w:lvlText w:val=""/>
      <w:lvlJc w:val="left"/>
      <w:pPr>
        <w:ind w:left="6624" w:hanging="360"/>
      </w:pPr>
      <w:rPr>
        <w:rFonts w:ascii="Wingdings" w:hAnsi="Wingdings" w:hint="default"/>
      </w:rPr>
    </w:lvl>
  </w:abstractNum>
  <w:abstractNum w:abstractNumId="10" w15:restartNumberingAfterBreak="0">
    <w:nsid w:val="26F829A0"/>
    <w:multiLevelType w:val="hybridMultilevel"/>
    <w:tmpl w:val="29563D16"/>
    <w:lvl w:ilvl="0" w:tplc="DB20F584">
      <w:start w:val="1"/>
      <w:numFmt w:val="bullet"/>
      <w:lvlText w:val="•"/>
      <w:lvlJc w:val="left"/>
      <w:pPr>
        <w:tabs>
          <w:tab w:val="num" w:pos="720"/>
        </w:tabs>
        <w:ind w:left="720" w:hanging="360"/>
      </w:pPr>
      <w:rPr>
        <w:rFonts w:ascii="Arial" w:hAnsi="Arial" w:hint="default"/>
      </w:rPr>
    </w:lvl>
    <w:lvl w:ilvl="1" w:tplc="893C674C" w:tentative="1">
      <w:start w:val="1"/>
      <w:numFmt w:val="bullet"/>
      <w:lvlText w:val="•"/>
      <w:lvlJc w:val="left"/>
      <w:pPr>
        <w:tabs>
          <w:tab w:val="num" w:pos="1440"/>
        </w:tabs>
        <w:ind w:left="1440" w:hanging="360"/>
      </w:pPr>
      <w:rPr>
        <w:rFonts w:ascii="Arial" w:hAnsi="Arial" w:hint="default"/>
      </w:rPr>
    </w:lvl>
    <w:lvl w:ilvl="2" w:tplc="4DA070C8" w:tentative="1">
      <w:start w:val="1"/>
      <w:numFmt w:val="bullet"/>
      <w:lvlText w:val="•"/>
      <w:lvlJc w:val="left"/>
      <w:pPr>
        <w:tabs>
          <w:tab w:val="num" w:pos="2160"/>
        </w:tabs>
        <w:ind w:left="2160" w:hanging="360"/>
      </w:pPr>
      <w:rPr>
        <w:rFonts w:ascii="Arial" w:hAnsi="Arial" w:hint="default"/>
      </w:rPr>
    </w:lvl>
    <w:lvl w:ilvl="3" w:tplc="24DEAD04" w:tentative="1">
      <w:start w:val="1"/>
      <w:numFmt w:val="bullet"/>
      <w:lvlText w:val="•"/>
      <w:lvlJc w:val="left"/>
      <w:pPr>
        <w:tabs>
          <w:tab w:val="num" w:pos="2880"/>
        </w:tabs>
        <w:ind w:left="2880" w:hanging="360"/>
      </w:pPr>
      <w:rPr>
        <w:rFonts w:ascii="Arial" w:hAnsi="Arial" w:hint="default"/>
      </w:rPr>
    </w:lvl>
    <w:lvl w:ilvl="4" w:tplc="0688EB50" w:tentative="1">
      <w:start w:val="1"/>
      <w:numFmt w:val="bullet"/>
      <w:lvlText w:val="•"/>
      <w:lvlJc w:val="left"/>
      <w:pPr>
        <w:tabs>
          <w:tab w:val="num" w:pos="3600"/>
        </w:tabs>
        <w:ind w:left="3600" w:hanging="360"/>
      </w:pPr>
      <w:rPr>
        <w:rFonts w:ascii="Arial" w:hAnsi="Arial" w:hint="default"/>
      </w:rPr>
    </w:lvl>
    <w:lvl w:ilvl="5" w:tplc="23222C9A" w:tentative="1">
      <w:start w:val="1"/>
      <w:numFmt w:val="bullet"/>
      <w:lvlText w:val="•"/>
      <w:lvlJc w:val="left"/>
      <w:pPr>
        <w:tabs>
          <w:tab w:val="num" w:pos="4320"/>
        </w:tabs>
        <w:ind w:left="4320" w:hanging="360"/>
      </w:pPr>
      <w:rPr>
        <w:rFonts w:ascii="Arial" w:hAnsi="Arial" w:hint="default"/>
      </w:rPr>
    </w:lvl>
    <w:lvl w:ilvl="6" w:tplc="9C9805A4" w:tentative="1">
      <w:start w:val="1"/>
      <w:numFmt w:val="bullet"/>
      <w:lvlText w:val="•"/>
      <w:lvlJc w:val="left"/>
      <w:pPr>
        <w:tabs>
          <w:tab w:val="num" w:pos="5040"/>
        </w:tabs>
        <w:ind w:left="5040" w:hanging="360"/>
      </w:pPr>
      <w:rPr>
        <w:rFonts w:ascii="Arial" w:hAnsi="Arial" w:hint="default"/>
      </w:rPr>
    </w:lvl>
    <w:lvl w:ilvl="7" w:tplc="A1306190" w:tentative="1">
      <w:start w:val="1"/>
      <w:numFmt w:val="bullet"/>
      <w:lvlText w:val="•"/>
      <w:lvlJc w:val="left"/>
      <w:pPr>
        <w:tabs>
          <w:tab w:val="num" w:pos="5760"/>
        </w:tabs>
        <w:ind w:left="5760" w:hanging="360"/>
      </w:pPr>
      <w:rPr>
        <w:rFonts w:ascii="Arial" w:hAnsi="Arial" w:hint="default"/>
      </w:rPr>
    </w:lvl>
    <w:lvl w:ilvl="8" w:tplc="4E1625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5368DF"/>
    <w:multiLevelType w:val="hybridMultilevel"/>
    <w:tmpl w:val="3AC89E22"/>
    <w:lvl w:ilvl="0" w:tplc="D65AEDAA">
      <w:numFmt w:val="bullet"/>
      <w:lvlText w:val="-"/>
      <w:lvlJc w:val="left"/>
      <w:pPr>
        <w:ind w:left="72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0B13D9A"/>
    <w:multiLevelType w:val="hybridMultilevel"/>
    <w:tmpl w:val="1880514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350964FD"/>
    <w:multiLevelType w:val="hybridMultilevel"/>
    <w:tmpl w:val="1A9AFA5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36423E05"/>
    <w:multiLevelType w:val="hybridMultilevel"/>
    <w:tmpl w:val="0C00A9F0"/>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5" w15:restartNumberingAfterBreak="0">
    <w:nsid w:val="3AA766DA"/>
    <w:multiLevelType w:val="hybridMultilevel"/>
    <w:tmpl w:val="29BA4B5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3BCA7341"/>
    <w:multiLevelType w:val="hybridMultilevel"/>
    <w:tmpl w:val="F27AFD98"/>
    <w:lvl w:ilvl="0" w:tplc="A3E2A68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42FA33AE"/>
    <w:multiLevelType w:val="hybridMultilevel"/>
    <w:tmpl w:val="8A485E26"/>
    <w:lvl w:ilvl="0" w:tplc="18090011">
      <w:start w:val="1"/>
      <w:numFmt w:val="decimal"/>
      <w:lvlText w:val="%1)"/>
      <w:lvlJc w:val="left"/>
      <w:pPr>
        <w:ind w:left="720" w:hanging="360"/>
      </w:pPr>
      <w:rPr>
        <w:rFonts w:hint="default"/>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E7F2CA4"/>
    <w:multiLevelType w:val="hybridMultilevel"/>
    <w:tmpl w:val="520C0864"/>
    <w:lvl w:ilvl="0" w:tplc="D8BAF366">
      <w:start w:val="2"/>
      <w:numFmt w:val="bullet"/>
      <w:lvlText w:val="-"/>
      <w:lvlJc w:val="left"/>
      <w:pPr>
        <w:ind w:left="72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67051C3"/>
    <w:multiLevelType w:val="hybridMultilevel"/>
    <w:tmpl w:val="FB80EAA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569A2BE9"/>
    <w:multiLevelType w:val="hybridMultilevel"/>
    <w:tmpl w:val="FBAA4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8EC297D"/>
    <w:multiLevelType w:val="hybridMultilevel"/>
    <w:tmpl w:val="AB0EEC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59086371"/>
    <w:multiLevelType w:val="hybridMultilevel"/>
    <w:tmpl w:val="1AFEC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1496F3F"/>
    <w:multiLevelType w:val="multilevel"/>
    <w:tmpl w:val="0FEC1ED0"/>
    <w:lvl w:ilvl="0">
      <w:start w:val="1"/>
      <w:numFmt w:val="decimal"/>
      <w:lvlText w:val="%1."/>
      <w:lvlJc w:val="left"/>
      <w:pPr>
        <w:ind w:left="380" w:hanging="380"/>
      </w:pPr>
      <w:rPr>
        <w:rFonts w:hint="default"/>
      </w:rPr>
    </w:lvl>
    <w:lvl w:ilvl="1">
      <w:start w:val="2"/>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A27BC6"/>
    <w:multiLevelType w:val="multilevel"/>
    <w:tmpl w:val="6B286D1A"/>
    <w:lvl w:ilvl="0">
      <w:start w:val="2"/>
      <w:numFmt w:val="decimal"/>
      <w:lvlText w:val="%1."/>
      <w:lvlJc w:val="left"/>
      <w:pPr>
        <w:ind w:left="380" w:hanging="380"/>
      </w:pPr>
      <w:rPr>
        <w:rFonts w:hint="default"/>
      </w:rPr>
    </w:lvl>
    <w:lvl w:ilvl="1">
      <w:start w:val="1"/>
      <w:numFmt w:val="decimal"/>
      <w:lvlText w:val="%1.%2."/>
      <w:lvlJc w:val="left"/>
      <w:pPr>
        <w:ind w:left="1230" w:hanging="38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25" w15:restartNumberingAfterBreak="0">
    <w:nsid w:val="672D0007"/>
    <w:multiLevelType w:val="hybridMultilevel"/>
    <w:tmpl w:val="729A0A2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6A3362F7"/>
    <w:multiLevelType w:val="hybridMultilevel"/>
    <w:tmpl w:val="3DF66F36"/>
    <w:lvl w:ilvl="0" w:tplc="D172A56A">
      <w:start w:val="1"/>
      <w:numFmt w:val="decimal"/>
      <w:lvlText w:val="%1."/>
      <w:lvlJc w:val="left"/>
      <w:pPr>
        <w:ind w:left="1636" w:hanging="360"/>
      </w:pPr>
      <w:rPr>
        <w:rFonts w:hint="default"/>
        <w:b/>
        <w:color w:val="002060"/>
      </w:rPr>
    </w:lvl>
    <w:lvl w:ilvl="1" w:tplc="18090019" w:tentative="1">
      <w:start w:val="1"/>
      <w:numFmt w:val="lowerLetter"/>
      <w:lvlText w:val="%2."/>
      <w:lvlJc w:val="left"/>
      <w:pPr>
        <w:ind w:left="2356" w:hanging="360"/>
      </w:pPr>
    </w:lvl>
    <w:lvl w:ilvl="2" w:tplc="1809001B" w:tentative="1">
      <w:start w:val="1"/>
      <w:numFmt w:val="lowerRoman"/>
      <w:lvlText w:val="%3."/>
      <w:lvlJc w:val="right"/>
      <w:pPr>
        <w:ind w:left="3076" w:hanging="180"/>
      </w:pPr>
    </w:lvl>
    <w:lvl w:ilvl="3" w:tplc="1809000F" w:tentative="1">
      <w:start w:val="1"/>
      <w:numFmt w:val="decimal"/>
      <w:lvlText w:val="%4."/>
      <w:lvlJc w:val="left"/>
      <w:pPr>
        <w:ind w:left="3796" w:hanging="360"/>
      </w:pPr>
    </w:lvl>
    <w:lvl w:ilvl="4" w:tplc="18090019" w:tentative="1">
      <w:start w:val="1"/>
      <w:numFmt w:val="lowerLetter"/>
      <w:lvlText w:val="%5."/>
      <w:lvlJc w:val="left"/>
      <w:pPr>
        <w:ind w:left="4516" w:hanging="360"/>
      </w:pPr>
    </w:lvl>
    <w:lvl w:ilvl="5" w:tplc="1809001B" w:tentative="1">
      <w:start w:val="1"/>
      <w:numFmt w:val="lowerRoman"/>
      <w:lvlText w:val="%6."/>
      <w:lvlJc w:val="right"/>
      <w:pPr>
        <w:ind w:left="5236" w:hanging="180"/>
      </w:pPr>
    </w:lvl>
    <w:lvl w:ilvl="6" w:tplc="1809000F" w:tentative="1">
      <w:start w:val="1"/>
      <w:numFmt w:val="decimal"/>
      <w:lvlText w:val="%7."/>
      <w:lvlJc w:val="left"/>
      <w:pPr>
        <w:ind w:left="5956" w:hanging="360"/>
      </w:pPr>
    </w:lvl>
    <w:lvl w:ilvl="7" w:tplc="18090019" w:tentative="1">
      <w:start w:val="1"/>
      <w:numFmt w:val="lowerLetter"/>
      <w:lvlText w:val="%8."/>
      <w:lvlJc w:val="left"/>
      <w:pPr>
        <w:ind w:left="6676" w:hanging="360"/>
      </w:pPr>
    </w:lvl>
    <w:lvl w:ilvl="8" w:tplc="1809001B" w:tentative="1">
      <w:start w:val="1"/>
      <w:numFmt w:val="lowerRoman"/>
      <w:lvlText w:val="%9."/>
      <w:lvlJc w:val="right"/>
      <w:pPr>
        <w:ind w:left="7396" w:hanging="180"/>
      </w:pPr>
    </w:lvl>
  </w:abstractNum>
  <w:abstractNum w:abstractNumId="27" w15:restartNumberingAfterBreak="0">
    <w:nsid w:val="6E04691D"/>
    <w:multiLevelType w:val="hybridMultilevel"/>
    <w:tmpl w:val="A846F492"/>
    <w:lvl w:ilvl="0" w:tplc="18090001">
      <w:start w:val="1"/>
      <w:numFmt w:val="bullet"/>
      <w:lvlText w:val=""/>
      <w:lvlJc w:val="left"/>
      <w:pPr>
        <w:ind w:left="792" w:hanging="360"/>
      </w:pPr>
      <w:rPr>
        <w:rFonts w:ascii="Symbol" w:hAnsi="Symbol"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8" w15:restartNumberingAfterBreak="0">
    <w:nsid w:val="77A36999"/>
    <w:multiLevelType w:val="hybridMultilevel"/>
    <w:tmpl w:val="8AA089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A060DDC"/>
    <w:multiLevelType w:val="hybridMultilevel"/>
    <w:tmpl w:val="C826119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0" w15:restartNumberingAfterBreak="0">
    <w:nsid w:val="7DC3706D"/>
    <w:multiLevelType w:val="hybridMultilevel"/>
    <w:tmpl w:val="B624F6C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8"/>
  </w:num>
  <w:num w:numId="2">
    <w:abstractNumId w:val="4"/>
  </w:num>
  <w:num w:numId="3">
    <w:abstractNumId w:val="1"/>
  </w:num>
  <w:num w:numId="4">
    <w:abstractNumId w:val="7"/>
  </w:num>
  <w:num w:numId="5">
    <w:abstractNumId w:val="23"/>
  </w:num>
  <w:num w:numId="6">
    <w:abstractNumId w:val="24"/>
  </w:num>
  <w:num w:numId="7">
    <w:abstractNumId w:val="19"/>
  </w:num>
  <w:num w:numId="8">
    <w:abstractNumId w:val="6"/>
  </w:num>
  <w:num w:numId="9">
    <w:abstractNumId w:val="22"/>
  </w:num>
  <w:num w:numId="10">
    <w:abstractNumId w:val="5"/>
  </w:num>
  <w:num w:numId="11">
    <w:abstractNumId w:val="28"/>
  </w:num>
  <w:num w:numId="12">
    <w:abstractNumId w:val="26"/>
  </w:num>
  <w:num w:numId="13">
    <w:abstractNumId w:val="25"/>
  </w:num>
  <w:num w:numId="14">
    <w:abstractNumId w:val="29"/>
  </w:num>
  <w:num w:numId="15">
    <w:abstractNumId w:val="9"/>
  </w:num>
  <w:num w:numId="16">
    <w:abstractNumId w:val="10"/>
  </w:num>
  <w:num w:numId="17">
    <w:abstractNumId w:val="15"/>
  </w:num>
  <w:num w:numId="18">
    <w:abstractNumId w:val="2"/>
  </w:num>
  <w:num w:numId="19">
    <w:abstractNumId w:val="21"/>
  </w:num>
  <w:num w:numId="20">
    <w:abstractNumId w:val="13"/>
  </w:num>
  <w:num w:numId="21">
    <w:abstractNumId w:val="0"/>
  </w:num>
  <w:num w:numId="22">
    <w:abstractNumId w:val="12"/>
  </w:num>
  <w:num w:numId="23">
    <w:abstractNumId w:val="8"/>
  </w:num>
  <w:num w:numId="24">
    <w:abstractNumId w:val="30"/>
  </w:num>
  <w:num w:numId="25">
    <w:abstractNumId w:val="27"/>
  </w:num>
  <w:num w:numId="26">
    <w:abstractNumId w:val="20"/>
  </w:num>
  <w:num w:numId="27">
    <w:abstractNumId w:val="14"/>
  </w:num>
  <w:num w:numId="28">
    <w:abstractNumId w:val="11"/>
  </w:num>
  <w:num w:numId="29">
    <w:abstractNumId w:val="3"/>
  </w:num>
  <w:num w:numId="30">
    <w:abstractNumId w:val="17"/>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fr-BE" w:vendorID="64" w:dllVersion="6"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BE" w:vendorID="64" w:dllVersion="131078" w:nlCheck="1" w:checkStyle="0"/>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E1624431-ED9D-4BFF-BF0E-3656F8609951"/>
    <w:docVar w:name="LW_COVERPAGE_TYPE" w:val="1"/>
    <w:docVar w:name="LW_CROSSREFERENCE" w:val="&lt;UNUSED&gt;"/>
    <w:docVar w:name="LW_DocType" w:val="NORMAL"/>
    <w:docVar w:name="LW_EMISSION" w:val="30.11.2022"/>
    <w:docVar w:name="LW_EMISSION_ISODATE" w:val="2022-11-30"/>
    <w:docVar w:name="LW_EMISSION_LOCATION" w:val="BRX"/>
    <w:docVar w:name="LW_EMISSION_PREFIX" w:val="Brussels, "/>
    <w:docVar w:name="LW_EMISSION_SUFFIX" w:val=" "/>
    <w:docVar w:name="LW_ID_DOCTYPE_NONLW" w:val="CP-01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2) 66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te of Health Preparedness Report"/>
    <w:docVar w:name="LW_TYPE.DOC.CP" w:val="COMMUNICATION FROM THE COMMISSION TO THE EUROPEAN PARLIAMENT, THE COUNCIL, THE EUROPEAN ECONOMIC AND SOCIAL COMMITTEE AND THE COMMITTEE OF THE REGIONS"/>
    <w:docVar w:name="LW_TYPE.DOC.CP.USERTEXT" w:val="&lt;EMPTY&gt;"/>
    <w:docVar w:name="LwApiVersions" w:val="LW4CoDe 1.23.2.0; LW 8.0, Build 20211117"/>
  </w:docVars>
  <w:rsids>
    <w:rsidRoot w:val="007D59C2"/>
    <w:rsid w:val="00000B40"/>
    <w:rsid w:val="0000112C"/>
    <w:rsid w:val="0000281E"/>
    <w:rsid w:val="00004AEE"/>
    <w:rsid w:val="00007FEF"/>
    <w:rsid w:val="00015253"/>
    <w:rsid w:val="000157D6"/>
    <w:rsid w:val="000575E1"/>
    <w:rsid w:val="00067237"/>
    <w:rsid w:val="000D42D4"/>
    <w:rsid w:val="0010038C"/>
    <w:rsid w:val="0015068C"/>
    <w:rsid w:val="0017573E"/>
    <w:rsid w:val="001C0BED"/>
    <w:rsid w:val="001F4994"/>
    <w:rsid w:val="00204E8C"/>
    <w:rsid w:val="00217286"/>
    <w:rsid w:val="00270F20"/>
    <w:rsid w:val="00286350"/>
    <w:rsid w:val="0028664B"/>
    <w:rsid w:val="002E4548"/>
    <w:rsid w:val="003140B2"/>
    <w:rsid w:val="003220AD"/>
    <w:rsid w:val="003709E3"/>
    <w:rsid w:val="003A20B2"/>
    <w:rsid w:val="003D1C71"/>
    <w:rsid w:val="003D3CFA"/>
    <w:rsid w:val="004156B8"/>
    <w:rsid w:val="00436AE0"/>
    <w:rsid w:val="004421E6"/>
    <w:rsid w:val="0044653F"/>
    <w:rsid w:val="004674F3"/>
    <w:rsid w:val="004A17A1"/>
    <w:rsid w:val="00504354"/>
    <w:rsid w:val="00512A4B"/>
    <w:rsid w:val="005629AE"/>
    <w:rsid w:val="005678E1"/>
    <w:rsid w:val="00587B22"/>
    <w:rsid w:val="005D4496"/>
    <w:rsid w:val="00614AA0"/>
    <w:rsid w:val="006373FA"/>
    <w:rsid w:val="00667087"/>
    <w:rsid w:val="00667E63"/>
    <w:rsid w:val="006A2E6E"/>
    <w:rsid w:val="006C0555"/>
    <w:rsid w:val="00733B2A"/>
    <w:rsid w:val="00746FB5"/>
    <w:rsid w:val="00754448"/>
    <w:rsid w:val="00774507"/>
    <w:rsid w:val="00776732"/>
    <w:rsid w:val="00777A1D"/>
    <w:rsid w:val="007C013F"/>
    <w:rsid w:val="007D59C2"/>
    <w:rsid w:val="007D6A7F"/>
    <w:rsid w:val="008129A5"/>
    <w:rsid w:val="00814DDE"/>
    <w:rsid w:val="0082205E"/>
    <w:rsid w:val="00826876"/>
    <w:rsid w:val="008344E3"/>
    <w:rsid w:val="0085256F"/>
    <w:rsid w:val="00865B2F"/>
    <w:rsid w:val="00874692"/>
    <w:rsid w:val="00876FF3"/>
    <w:rsid w:val="0089336A"/>
    <w:rsid w:val="008A1BEF"/>
    <w:rsid w:val="008B587A"/>
    <w:rsid w:val="008C59FA"/>
    <w:rsid w:val="0097471D"/>
    <w:rsid w:val="009A696D"/>
    <w:rsid w:val="009B3171"/>
    <w:rsid w:val="00A05A86"/>
    <w:rsid w:val="00A076BC"/>
    <w:rsid w:val="00A4465A"/>
    <w:rsid w:val="00A71ADA"/>
    <w:rsid w:val="00A86FC6"/>
    <w:rsid w:val="00AB0721"/>
    <w:rsid w:val="00AD1721"/>
    <w:rsid w:val="00B2098D"/>
    <w:rsid w:val="00B21D06"/>
    <w:rsid w:val="00B233B3"/>
    <w:rsid w:val="00B372B0"/>
    <w:rsid w:val="00B613A1"/>
    <w:rsid w:val="00BA0D2B"/>
    <w:rsid w:val="00BA3E8F"/>
    <w:rsid w:val="00BA66C9"/>
    <w:rsid w:val="00BF1403"/>
    <w:rsid w:val="00C048C7"/>
    <w:rsid w:val="00C1027B"/>
    <w:rsid w:val="00C41EAC"/>
    <w:rsid w:val="00C50FCF"/>
    <w:rsid w:val="00C513D4"/>
    <w:rsid w:val="00CB2417"/>
    <w:rsid w:val="00CC0F77"/>
    <w:rsid w:val="00CE15CA"/>
    <w:rsid w:val="00D3517A"/>
    <w:rsid w:val="00D40F73"/>
    <w:rsid w:val="00D73CBB"/>
    <w:rsid w:val="00D80DE1"/>
    <w:rsid w:val="00D83547"/>
    <w:rsid w:val="00DD4B7E"/>
    <w:rsid w:val="00DF1576"/>
    <w:rsid w:val="00E02694"/>
    <w:rsid w:val="00E131DC"/>
    <w:rsid w:val="00E43260"/>
    <w:rsid w:val="00E46EF2"/>
    <w:rsid w:val="00E71103"/>
    <w:rsid w:val="00E81FB4"/>
    <w:rsid w:val="00E82EBD"/>
    <w:rsid w:val="00E85AA2"/>
    <w:rsid w:val="00E92EDE"/>
    <w:rsid w:val="00EA481A"/>
    <w:rsid w:val="00FE7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5DB9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59C2"/>
    <w:pPr>
      <w:keepNext/>
      <w:keepLines/>
      <w:spacing w:before="120" w:line="240" w:lineRule="auto"/>
      <w:outlineLvl w:val="0"/>
    </w:pPr>
    <w:rPr>
      <w:rFonts w:asciiTheme="majorHAnsi" w:eastAsiaTheme="majorEastAsia" w:hAnsiTheme="majorHAnsi" w:cstheme="majorBidi"/>
      <w:b/>
      <w:color w:val="002060"/>
      <w:sz w:val="28"/>
      <w:szCs w:val="30"/>
    </w:rPr>
  </w:style>
  <w:style w:type="paragraph" w:styleId="Heading2">
    <w:name w:val="heading 2"/>
    <w:basedOn w:val="Normal"/>
    <w:next w:val="Normal"/>
    <w:link w:val="Heading2Char"/>
    <w:uiPriority w:val="9"/>
    <w:unhideWhenUsed/>
    <w:qFormat/>
    <w:rsid w:val="007D59C2"/>
    <w:pPr>
      <w:keepNext/>
      <w:keepLines/>
      <w:spacing w:before="160" w:line="240" w:lineRule="auto"/>
      <w:outlineLvl w:val="1"/>
    </w:pPr>
    <w:rPr>
      <w:rFonts w:asciiTheme="majorHAnsi" w:eastAsia="Times New Roman" w:hAnsiTheme="majorHAnsi" w:cstheme="majorBidi"/>
      <w:b/>
      <w:color w:val="002060"/>
      <w:sz w:val="24"/>
      <w:szCs w:val="28"/>
    </w:rPr>
  </w:style>
  <w:style w:type="paragraph" w:styleId="Heading3">
    <w:name w:val="heading 3"/>
    <w:basedOn w:val="Heading2"/>
    <w:next w:val="Normal"/>
    <w:link w:val="Heading3Char"/>
    <w:uiPriority w:val="9"/>
    <w:unhideWhenUsed/>
    <w:qFormat/>
    <w:rsid w:val="007D59C2"/>
    <w:pPr>
      <w:numPr>
        <w:ilvl w:val="2"/>
        <w:numId w:val="3"/>
      </w:numPr>
      <w:outlineLvl w:val="2"/>
    </w:pPr>
  </w:style>
  <w:style w:type="paragraph" w:styleId="Heading4">
    <w:name w:val="heading 4"/>
    <w:basedOn w:val="Normal"/>
    <w:next w:val="Normal"/>
    <w:link w:val="Heading4Char"/>
    <w:uiPriority w:val="9"/>
    <w:unhideWhenUsed/>
    <w:qFormat/>
    <w:rsid w:val="007D59C2"/>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7D59C2"/>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7D59C2"/>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7D59C2"/>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7D59C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7D59C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9C2"/>
    <w:rPr>
      <w:rFonts w:asciiTheme="majorHAnsi" w:eastAsiaTheme="majorEastAsia" w:hAnsiTheme="majorHAnsi" w:cstheme="majorBidi"/>
      <w:b/>
      <w:color w:val="002060"/>
      <w:sz w:val="28"/>
      <w:szCs w:val="30"/>
    </w:rPr>
  </w:style>
  <w:style w:type="character" w:customStyle="1" w:styleId="Heading2Char">
    <w:name w:val="Heading 2 Char"/>
    <w:basedOn w:val="DefaultParagraphFont"/>
    <w:link w:val="Heading2"/>
    <w:uiPriority w:val="9"/>
    <w:rsid w:val="007D59C2"/>
    <w:rPr>
      <w:rFonts w:asciiTheme="majorHAnsi" w:eastAsia="Times New Roman" w:hAnsiTheme="majorHAnsi" w:cstheme="majorBidi"/>
      <w:b/>
      <w:color w:val="002060"/>
      <w:sz w:val="24"/>
      <w:szCs w:val="28"/>
    </w:rPr>
  </w:style>
  <w:style w:type="character" w:customStyle="1" w:styleId="Heading3Char">
    <w:name w:val="Heading 3 Char"/>
    <w:basedOn w:val="DefaultParagraphFont"/>
    <w:link w:val="Heading3"/>
    <w:uiPriority w:val="9"/>
    <w:rsid w:val="007D59C2"/>
    <w:rPr>
      <w:rFonts w:asciiTheme="majorHAnsi" w:eastAsia="Times New Roman" w:hAnsiTheme="majorHAnsi" w:cstheme="majorBidi"/>
      <w:b/>
      <w:color w:val="002060"/>
      <w:sz w:val="24"/>
      <w:szCs w:val="28"/>
    </w:rPr>
  </w:style>
  <w:style w:type="character" w:customStyle="1" w:styleId="Heading4Char">
    <w:name w:val="Heading 4 Char"/>
    <w:basedOn w:val="DefaultParagraphFont"/>
    <w:link w:val="Heading4"/>
    <w:uiPriority w:val="9"/>
    <w:rsid w:val="007D59C2"/>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7D59C2"/>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7D59C2"/>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7D59C2"/>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7D59C2"/>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7D59C2"/>
    <w:rPr>
      <w:rFonts w:asciiTheme="majorHAnsi" w:eastAsiaTheme="majorEastAsia" w:hAnsiTheme="majorHAnsi" w:cstheme="majorBidi"/>
      <w:color w:val="385623" w:themeColor="accent6" w:themeShade="80"/>
    </w:rPr>
  </w:style>
  <w:style w:type="character" w:customStyle="1" w:styleId="Marker">
    <w:name w:val="Marker"/>
    <w:basedOn w:val="DefaultParagraphFont"/>
    <w:rsid w:val="007D59C2"/>
    <w:rPr>
      <w:color w:val="0000FF"/>
      <w:shd w:val="clear" w:color="auto" w:fill="auto"/>
    </w:rPr>
  </w:style>
  <w:style w:type="paragraph" w:styleId="Header">
    <w:name w:val="header"/>
    <w:basedOn w:val="Normal"/>
    <w:link w:val="HeaderChar"/>
    <w:uiPriority w:val="99"/>
    <w:unhideWhenUsed/>
    <w:rsid w:val="007D59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7D59C2"/>
    <w:rPr>
      <w:lang w:val="en-GB"/>
    </w:rPr>
  </w:style>
  <w:style w:type="paragraph" w:styleId="Footer">
    <w:name w:val="footer"/>
    <w:basedOn w:val="Normal"/>
    <w:link w:val="FooterChar"/>
    <w:uiPriority w:val="99"/>
    <w:unhideWhenUsed/>
    <w:rsid w:val="007D59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7D59C2"/>
    <w:rPr>
      <w:lang w:val="en-GB"/>
    </w:rPr>
  </w:style>
  <w:style w:type="paragraph" w:customStyle="1" w:styleId="Pagedecouverture">
    <w:name w:val="Page de couverture"/>
    <w:basedOn w:val="Normal"/>
    <w:next w:val="Normal"/>
    <w:rsid w:val="007D59C2"/>
    <w:pPr>
      <w:spacing w:after="0" w:line="240" w:lineRule="auto"/>
      <w:jc w:val="both"/>
    </w:pPr>
    <w:rPr>
      <w:rFonts w:ascii="Times New Roman" w:hAnsi="Times New Roman" w:cs="Times New Roman"/>
      <w:sz w:val="24"/>
      <w:lang w:val="en-GB"/>
    </w:rPr>
  </w:style>
  <w:style w:type="paragraph" w:customStyle="1" w:styleId="FooterCoverPage">
    <w:name w:val="Footer Cover Page"/>
    <w:basedOn w:val="Normal"/>
    <w:link w:val="FooterCoverPageChar"/>
    <w:rsid w:val="007D59C2"/>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7D59C2"/>
    <w:rPr>
      <w:rFonts w:ascii="Times New Roman" w:hAnsi="Times New Roman" w:cs="Times New Roman"/>
      <w:sz w:val="24"/>
    </w:rPr>
  </w:style>
  <w:style w:type="paragraph" w:customStyle="1" w:styleId="FooterSensitivity">
    <w:name w:val="Footer Sensitivity"/>
    <w:basedOn w:val="Normal"/>
    <w:link w:val="FooterSensitivityChar"/>
    <w:rsid w:val="007D59C2"/>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7D59C2"/>
    <w:rPr>
      <w:rFonts w:ascii="Times New Roman" w:hAnsi="Times New Roman" w:cs="Times New Roman"/>
      <w:b/>
      <w:sz w:val="32"/>
    </w:rPr>
  </w:style>
  <w:style w:type="paragraph" w:customStyle="1" w:styleId="HeaderCoverPage">
    <w:name w:val="Header Cover Page"/>
    <w:basedOn w:val="Normal"/>
    <w:link w:val="HeaderCoverPageChar"/>
    <w:rsid w:val="007D59C2"/>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7D59C2"/>
    <w:rPr>
      <w:rFonts w:ascii="Times New Roman" w:hAnsi="Times New Roman" w:cs="Times New Roman"/>
      <w:sz w:val="24"/>
    </w:rPr>
  </w:style>
  <w:style w:type="paragraph" w:customStyle="1" w:styleId="HeaderSensitivity">
    <w:name w:val="Header Sensitivity"/>
    <w:basedOn w:val="Normal"/>
    <w:link w:val="HeaderSensitivityChar"/>
    <w:rsid w:val="007D59C2"/>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7D59C2"/>
    <w:rPr>
      <w:rFonts w:ascii="Times New Roman" w:hAnsi="Times New Roman" w:cs="Times New Roman"/>
      <w:b/>
      <w:sz w:val="32"/>
    </w:rPr>
  </w:style>
  <w:style w:type="paragraph" w:customStyle="1" w:styleId="HeaderSensitivityRight">
    <w:name w:val="Header Sensitivity Right"/>
    <w:basedOn w:val="Normal"/>
    <w:link w:val="HeaderSensitivityRightChar"/>
    <w:rsid w:val="0089336A"/>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7D59C2"/>
    <w:rPr>
      <w:rFonts w:ascii="Times New Roman" w:hAnsi="Times New Roman" w:cs="Times New Roman"/>
      <w:sz w:val="28"/>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Tekst przypisu C"/>
    <w:basedOn w:val="Normal"/>
    <w:link w:val="FootnoteTextChar"/>
    <w:uiPriority w:val="99"/>
    <w:unhideWhenUsed/>
    <w:qFormat/>
    <w:rsid w:val="007D59C2"/>
    <w:pPr>
      <w:spacing w:after="0" w:line="240" w:lineRule="auto"/>
    </w:pPr>
    <w:rPr>
      <w:rFonts w:eastAsiaTheme="minorEastAsia"/>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sid w:val="007D59C2"/>
    <w:rPr>
      <w:rFonts w:eastAsiaTheme="minorEastAsia"/>
      <w:sz w:val="20"/>
      <w:szCs w:val="20"/>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F,Footnote"/>
    <w:basedOn w:val="DefaultParagraphFont"/>
    <w:link w:val="Odwo0142anieprzypisu"/>
    <w:uiPriority w:val="99"/>
    <w:unhideWhenUsed/>
    <w:qFormat/>
    <w:rsid w:val="007D59C2"/>
    <w:rPr>
      <w:vertAlign w:val="superscript"/>
    </w:rPr>
  </w:style>
  <w:style w:type="paragraph" w:styleId="ListParagraph">
    <w:name w:val="List Paragraph"/>
    <w:aliases w:val="Task Body,Viñetas (Inicio Parrafo),3 Txt tabla,Zerrenda-paragrafoa,Lista multicolor - Énfasis 11,Normal bullet 2,Bullet list,List Paragraph1,Numbered List,1st level - Bullet List Paragraph,Lettre d'introduction,Paragrafo elenco,L,CV text"/>
    <w:basedOn w:val="Normal"/>
    <w:link w:val="ListParagraphChar"/>
    <w:uiPriority w:val="34"/>
    <w:qFormat/>
    <w:rsid w:val="007D59C2"/>
    <w:pPr>
      <w:ind w:left="720"/>
      <w:contextualSpacing/>
    </w:pPr>
    <w:rPr>
      <w:rFonts w:eastAsiaTheme="minorEastAsia"/>
    </w:rPr>
  </w:style>
  <w:style w:type="character" w:customStyle="1" w:styleId="ListParagraphChar">
    <w:name w:val="List Paragraph Char"/>
    <w:aliases w:val="Task Body Char,Viñetas (Inicio Parrafo) Char,3 Txt tabla Char,Zerrenda-paragrafoa Char,Lista multicolor - Énfasis 11 Char,Normal bullet 2 Char,Bullet list Char,List Paragraph1 Char,Numbered List Char,Lettre d'introduction Char,L Char"/>
    <w:link w:val="ListParagraph"/>
    <w:qFormat/>
    <w:locked/>
    <w:rsid w:val="007D59C2"/>
    <w:rPr>
      <w:rFonts w:eastAsiaTheme="minorEastAsia"/>
    </w:rPr>
  </w:style>
  <w:style w:type="paragraph" w:customStyle="1" w:styleId="Odwo0142anieprzypisu">
    <w:name w:val="Odwo&lt;0142&gt;anie przypisu"/>
    <w:aliases w:val="SUPER,BVI fnr Char1 Char,fr,Char1,(NECG) Footnote Reference,o,Style 6,Signature Ch, Char1"/>
    <w:basedOn w:val="Normal"/>
    <w:link w:val="FootnoteReference"/>
    <w:uiPriority w:val="99"/>
    <w:rsid w:val="007D59C2"/>
    <w:pPr>
      <w:spacing w:before="120" w:line="240" w:lineRule="exact"/>
      <w:jc w:val="both"/>
    </w:pPr>
    <w:rPr>
      <w:vertAlign w:val="superscript"/>
    </w:rPr>
  </w:style>
  <w:style w:type="paragraph" w:styleId="CommentText">
    <w:name w:val="annotation text"/>
    <w:basedOn w:val="Normal"/>
    <w:link w:val="CommentTextChar"/>
    <w:uiPriority w:val="99"/>
    <w:unhideWhenUsed/>
    <w:rsid w:val="007D59C2"/>
    <w:pPr>
      <w:spacing w:after="240" w:line="240" w:lineRule="auto"/>
      <w:jc w:val="both"/>
    </w:pPr>
    <w:rPr>
      <w:rFonts w:ascii="Times New Roman" w:eastAsiaTheme="minorEastAsia" w:hAnsi="Times New Roman" w:cs="Times New Roman"/>
      <w:sz w:val="20"/>
      <w:szCs w:val="20"/>
      <w:lang w:val="en-GB" w:eastAsia="fr-BE"/>
    </w:rPr>
  </w:style>
  <w:style w:type="character" w:customStyle="1" w:styleId="CommentTextChar">
    <w:name w:val="Comment Text Char"/>
    <w:basedOn w:val="DefaultParagraphFont"/>
    <w:link w:val="CommentText"/>
    <w:uiPriority w:val="99"/>
    <w:rsid w:val="007D59C2"/>
    <w:rPr>
      <w:rFonts w:ascii="Times New Roman" w:eastAsiaTheme="minorEastAsia" w:hAnsi="Times New Roman" w:cs="Times New Roman"/>
      <w:sz w:val="20"/>
      <w:szCs w:val="20"/>
      <w:lang w:val="en-GB" w:eastAsia="fr-BE"/>
    </w:rPr>
  </w:style>
  <w:style w:type="character" w:styleId="CommentReference">
    <w:name w:val="annotation reference"/>
    <w:basedOn w:val="DefaultParagraphFont"/>
    <w:uiPriority w:val="99"/>
    <w:semiHidden/>
    <w:unhideWhenUsed/>
    <w:rsid w:val="007D59C2"/>
    <w:rPr>
      <w:sz w:val="16"/>
      <w:szCs w:val="16"/>
    </w:rPr>
  </w:style>
  <w:style w:type="paragraph" w:styleId="BalloonText">
    <w:name w:val="Balloon Text"/>
    <w:basedOn w:val="Normal"/>
    <w:link w:val="BalloonTextChar"/>
    <w:uiPriority w:val="99"/>
    <w:semiHidden/>
    <w:unhideWhenUsed/>
    <w:rsid w:val="007D59C2"/>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7D59C2"/>
    <w:rPr>
      <w:rFonts w:ascii="Segoe UI" w:eastAsiaTheme="minorEastAsia" w:hAnsi="Segoe UI" w:cs="Segoe UI"/>
      <w:sz w:val="18"/>
      <w:szCs w:val="18"/>
    </w:rPr>
  </w:style>
  <w:style w:type="character" w:styleId="Hyperlink">
    <w:name w:val="Hyperlink"/>
    <w:basedOn w:val="DefaultParagraphFont"/>
    <w:uiPriority w:val="99"/>
    <w:unhideWhenUsed/>
    <w:rsid w:val="007D59C2"/>
    <w:rPr>
      <w:color w:val="0000FF"/>
      <w:u w:val="single"/>
    </w:rPr>
  </w:style>
  <w:style w:type="character" w:styleId="FollowedHyperlink">
    <w:name w:val="FollowedHyperlink"/>
    <w:basedOn w:val="DefaultParagraphFont"/>
    <w:uiPriority w:val="99"/>
    <w:semiHidden/>
    <w:unhideWhenUsed/>
    <w:rsid w:val="007D59C2"/>
    <w:rPr>
      <w:color w:val="954F72" w:themeColor="followedHyperlink"/>
      <w:u w:val="single"/>
    </w:rPr>
  </w:style>
  <w:style w:type="character" w:styleId="Strong">
    <w:name w:val="Strong"/>
    <w:basedOn w:val="DefaultParagraphFont"/>
    <w:uiPriority w:val="22"/>
    <w:qFormat/>
    <w:rsid w:val="007D59C2"/>
    <w:rPr>
      <w:b/>
      <w:bCs/>
    </w:rPr>
  </w:style>
  <w:style w:type="paragraph" w:styleId="NormalWeb">
    <w:name w:val="Normal (Web)"/>
    <w:basedOn w:val="Normal"/>
    <w:uiPriority w:val="99"/>
    <w:semiHidden/>
    <w:unhideWhenUsed/>
    <w:rsid w:val="007D59C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customStyle="1" w:styleId="5normal">
    <w:name w:val="5normal"/>
    <w:basedOn w:val="Normal"/>
    <w:rsid w:val="007D59C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CommentSubject">
    <w:name w:val="annotation subject"/>
    <w:basedOn w:val="CommentText"/>
    <w:next w:val="CommentText"/>
    <w:link w:val="CommentSubjectChar"/>
    <w:uiPriority w:val="99"/>
    <w:semiHidden/>
    <w:unhideWhenUsed/>
    <w:rsid w:val="007D59C2"/>
    <w:pPr>
      <w:spacing w:after="160"/>
      <w:jc w:val="left"/>
    </w:pPr>
    <w:rPr>
      <w:rFonts w:asciiTheme="minorHAnsi" w:eastAsiaTheme="minorHAnsi" w:hAnsiTheme="minorHAnsi" w:cstheme="minorBidi"/>
      <w:b/>
      <w:bCs/>
      <w:lang w:val="fr-BE" w:eastAsia="en-US"/>
    </w:rPr>
  </w:style>
  <w:style w:type="character" w:customStyle="1" w:styleId="CommentSubjectChar">
    <w:name w:val="Comment Subject Char"/>
    <w:basedOn w:val="CommentTextChar"/>
    <w:link w:val="CommentSubject"/>
    <w:uiPriority w:val="99"/>
    <w:semiHidden/>
    <w:rsid w:val="007D59C2"/>
    <w:rPr>
      <w:rFonts w:ascii="Times New Roman" w:eastAsiaTheme="minorEastAsia" w:hAnsi="Times New Roman" w:cs="Times New Roman"/>
      <w:b/>
      <w:bCs/>
      <w:sz w:val="20"/>
      <w:szCs w:val="20"/>
      <w:lang w:val="fr-BE" w:eastAsia="fr-BE"/>
    </w:rPr>
  </w:style>
  <w:style w:type="character" w:customStyle="1" w:styleId="normaltextrun">
    <w:name w:val="normaltextrun"/>
    <w:basedOn w:val="DefaultParagraphFont"/>
    <w:rsid w:val="007D59C2"/>
  </w:style>
  <w:style w:type="character" w:customStyle="1" w:styleId="eop">
    <w:name w:val="eop"/>
    <w:basedOn w:val="DefaultParagraphFont"/>
    <w:rsid w:val="007D59C2"/>
  </w:style>
  <w:style w:type="paragraph" w:customStyle="1" w:styleId="SubTitle1">
    <w:name w:val="SubTitle 1"/>
    <w:basedOn w:val="Normal"/>
    <w:next w:val="Normal"/>
    <w:uiPriority w:val="1"/>
    <w:rsid w:val="007D59C2"/>
    <w:pPr>
      <w:spacing w:after="240" w:line="240" w:lineRule="auto"/>
      <w:jc w:val="center"/>
    </w:pPr>
    <w:rPr>
      <w:rFonts w:ascii="Times New Roman" w:eastAsia="Times New Roman" w:hAnsi="Times New Roman" w:cs="Times New Roman"/>
      <w:b/>
      <w:sz w:val="40"/>
      <w:szCs w:val="20"/>
      <w:lang w:val="en-GB" w:eastAsia="en-IE"/>
    </w:rPr>
  </w:style>
  <w:style w:type="paragraph" w:styleId="Title">
    <w:name w:val="Title"/>
    <w:basedOn w:val="Normal"/>
    <w:next w:val="Normal"/>
    <w:link w:val="TitleChar"/>
    <w:uiPriority w:val="10"/>
    <w:qFormat/>
    <w:rsid w:val="007D59C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7D59C2"/>
    <w:rPr>
      <w:rFonts w:asciiTheme="majorHAnsi" w:eastAsiaTheme="majorEastAsia" w:hAnsiTheme="majorHAnsi" w:cstheme="majorBidi"/>
      <w:color w:val="2E74B5" w:themeColor="accent1" w:themeShade="BF"/>
      <w:spacing w:val="-10"/>
      <w:sz w:val="52"/>
      <w:szCs w:val="52"/>
    </w:rPr>
  </w:style>
  <w:style w:type="character" w:styleId="PlaceholderText">
    <w:name w:val="Placeholder Text"/>
    <w:basedOn w:val="DefaultParagraphFont"/>
    <w:semiHidden/>
    <w:rsid w:val="007D59C2"/>
    <w:rPr>
      <w:color w:val="288061"/>
    </w:rPr>
  </w:style>
  <w:style w:type="paragraph" w:customStyle="1" w:styleId="ZCom">
    <w:name w:val="Z_Com"/>
    <w:basedOn w:val="Normal"/>
    <w:next w:val="Normal"/>
    <w:uiPriority w:val="2"/>
    <w:rsid w:val="007D59C2"/>
    <w:pPr>
      <w:widowControl w:val="0"/>
      <w:spacing w:before="90" w:after="0" w:line="240" w:lineRule="auto"/>
      <w:ind w:right="85"/>
    </w:pPr>
    <w:rPr>
      <w:rFonts w:ascii="Times New Roman" w:eastAsia="Times New Roman" w:hAnsi="Times New Roman" w:cs="Times New Roman"/>
      <w:sz w:val="24"/>
      <w:szCs w:val="20"/>
      <w:lang w:val="en-GB" w:eastAsia="en-IE"/>
    </w:rPr>
  </w:style>
  <w:style w:type="paragraph" w:customStyle="1" w:styleId="ZDGName">
    <w:name w:val="Z_DGName"/>
    <w:basedOn w:val="Normal"/>
    <w:uiPriority w:val="2"/>
    <w:rsid w:val="007D59C2"/>
    <w:pPr>
      <w:widowControl w:val="0"/>
      <w:spacing w:after="0" w:line="240" w:lineRule="auto"/>
      <w:ind w:right="85"/>
    </w:pPr>
    <w:rPr>
      <w:rFonts w:ascii="Times New Roman" w:eastAsia="Times New Roman" w:hAnsi="Times New Roman" w:cs="Times New Roman"/>
      <w:sz w:val="16"/>
      <w:szCs w:val="20"/>
      <w:lang w:val="en-GB" w:eastAsia="en-IE"/>
    </w:rPr>
  </w:style>
  <w:style w:type="paragraph" w:customStyle="1" w:styleId="ZFlag">
    <w:name w:val="Z_Flag"/>
    <w:basedOn w:val="Normal"/>
    <w:next w:val="Normal"/>
    <w:uiPriority w:val="2"/>
    <w:rsid w:val="007D59C2"/>
    <w:pPr>
      <w:widowControl w:val="0"/>
      <w:spacing w:after="0" w:line="240" w:lineRule="auto"/>
      <w:ind w:right="85"/>
      <w:jc w:val="both"/>
    </w:pPr>
    <w:rPr>
      <w:rFonts w:ascii="Times New Roman" w:eastAsia="Times New Roman" w:hAnsi="Times New Roman" w:cs="Times New Roman"/>
      <w:sz w:val="24"/>
      <w:szCs w:val="20"/>
      <w:lang w:val="en-GB" w:eastAsia="en-IE"/>
    </w:rPr>
  </w:style>
  <w:style w:type="table" w:customStyle="1" w:styleId="TableLetterhead">
    <w:name w:val="Table Letterhead"/>
    <w:basedOn w:val="TableNormal"/>
    <w:semiHidden/>
    <w:rsid w:val="007D59C2"/>
    <w:pPr>
      <w:spacing w:after="0" w:line="240" w:lineRule="auto"/>
    </w:pPr>
    <w:rPr>
      <w:rFonts w:ascii="Times New Roman" w:eastAsia="Times New Roman" w:hAnsi="Times New Roman" w:cs="Times New Roman"/>
      <w:sz w:val="24"/>
      <w:szCs w:val="20"/>
      <w:lang w:val="en-GB" w:eastAsia="en-IE"/>
    </w:rPr>
    <w:tblPr>
      <w:tblCellMar>
        <w:left w:w="0" w:type="dxa"/>
        <w:bottom w:w="340" w:type="dxa"/>
        <w:right w:w="0" w:type="dxa"/>
      </w:tblCellMar>
    </w:tblPr>
  </w:style>
  <w:style w:type="paragraph" w:styleId="TOCHeading">
    <w:name w:val="TOC Heading"/>
    <w:basedOn w:val="Heading1"/>
    <w:next w:val="Normal"/>
    <w:uiPriority w:val="39"/>
    <w:unhideWhenUsed/>
    <w:qFormat/>
    <w:rsid w:val="007D59C2"/>
    <w:pPr>
      <w:outlineLvl w:val="9"/>
    </w:pPr>
  </w:style>
  <w:style w:type="paragraph" w:styleId="TOC1">
    <w:name w:val="toc 1"/>
    <w:basedOn w:val="Normal"/>
    <w:next w:val="Normal"/>
    <w:autoRedefine/>
    <w:uiPriority w:val="39"/>
    <w:unhideWhenUsed/>
    <w:rsid w:val="007D59C2"/>
    <w:pPr>
      <w:tabs>
        <w:tab w:val="right" w:leader="dot" w:pos="9350"/>
      </w:tabs>
      <w:spacing w:after="100"/>
    </w:pPr>
    <w:rPr>
      <w:rFonts w:eastAsiaTheme="minorEastAsia"/>
    </w:rPr>
  </w:style>
  <w:style w:type="paragraph" w:styleId="TOC2">
    <w:name w:val="toc 2"/>
    <w:basedOn w:val="Normal"/>
    <w:next w:val="Normal"/>
    <w:autoRedefine/>
    <w:uiPriority w:val="39"/>
    <w:unhideWhenUsed/>
    <w:rsid w:val="007D59C2"/>
    <w:pPr>
      <w:tabs>
        <w:tab w:val="left" w:pos="1100"/>
        <w:tab w:val="right" w:leader="dot" w:pos="9350"/>
      </w:tabs>
      <w:spacing w:after="100"/>
      <w:ind w:left="220"/>
    </w:pPr>
    <w:rPr>
      <w:rFonts w:eastAsiaTheme="minorEastAsia"/>
    </w:rPr>
  </w:style>
  <w:style w:type="paragraph" w:styleId="TOC3">
    <w:name w:val="toc 3"/>
    <w:basedOn w:val="Normal"/>
    <w:next w:val="Normal"/>
    <w:autoRedefine/>
    <w:uiPriority w:val="39"/>
    <w:unhideWhenUsed/>
    <w:rsid w:val="007D59C2"/>
    <w:pPr>
      <w:spacing w:after="100"/>
      <w:ind w:left="440"/>
    </w:pPr>
    <w:rPr>
      <w:rFonts w:eastAsiaTheme="minorEastAsia"/>
    </w:rPr>
  </w:style>
  <w:style w:type="character" w:styleId="Emphasis">
    <w:name w:val="Emphasis"/>
    <w:basedOn w:val="DefaultParagraphFont"/>
    <w:uiPriority w:val="20"/>
    <w:qFormat/>
    <w:rsid w:val="007D59C2"/>
    <w:rPr>
      <w:i/>
      <w:iCs/>
    </w:rPr>
  </w:style>
  <w:style w:type="paragraph" w:styleId="Caption">
    <w:name w:val="caption"/>
    <w:basedOn w:val="Normal"/>
    <w:next w:val="Normal"/>
    <w:uiPriority w:val="35"/>
    <w:semiHidden/>
    <w:unhideWhenUsed/>
    <w:qFormat/>
    <w:rsid w:val="007D59C2"/>
    <w:pPr>
      <w:spacing w:line="240" w:lineRule="auto"/>
    </w:pPr>
    <w:rPr>
      <w:rFonts w:eastAsiaTheme="minorEastAsia"/>
      <w:b/>
      <w:bCs/>
      <w:smallCaps/>
      <w:color w:val="5B9BD5" w:themeColor="accent1"/>
      <w:spacing w:val="6"/>
    </w:rPr>
  </w:style>
  <w:style w:type="paragraph" w:styleId="Subtitle">
    <w:name w:val="Subtitle"/>
    <w:basedOn w:val="Normal"/>
    <w:next w:val="Normal"/>
    <w:link w:val="SubtitleChar"/>
    <w:uiPriority w:val="11"/>
    <w:qFormat/>
    <w:rsid w:val="007D59C2"/>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D59C2"/>
    <w:rPr>
      <w:rFonts w:asciiTheme="majorHAnsi" w:eastAsiaTheme="majorEastAsia" w:hAnsiTheme="majorHAnsi" w:cstheme="majorBidi"/>
    </w:rPr>
  </w:style>
  <w:style w:type="paragraph" w:styleId="NoSpacing">
    <w:name w:val="No Spacing"/>
    <w:uiPriority w:val="1"/>
    <w:qFormat/>
    <w:rsid w:val="007D59C2"/>
    <w:pPr>
      <w:spacing w:after="0" w:line="240" w:lineRule="auto"/>
    </w:pPr>
    <w:rPr>
      <w:rFonts w:eastAsiaTheme="minorEastAsia"/>
    </w:rPr>
  </w:style>
  <w:style w:type="paragraph" w:styleId="Quote">
    <w:name w:val="Quote"/>
    <w:basedOn w:val="Normal"/>
    <w:next w:val="Normal"/>
    <w:link w:val="QuoteChar"/>
    <w:uiPriority w:val="29"/>
    <w:qFormat/>
    <w:rsid w:val="007D59C2"/>
    <w:pPr>
      <w:spacing w:before="120"/>
      <w:ind w:left="720" w:right="720"/>
      <w:jc w:val="center"/>
    </w:pPr>
    <w:rPr>
      <w:rFonts w:eastAsiaTheme="minorEastAsia"/>
      <w:i/>
      <w:iCs/>
    </w:rPr>
  </w:style>
  <w:style w:type="character" w:customStyle="1" w:styleId="QuoteChar">
    <w:name w:val="Quote Char"/>
    <w:basedOn w:val="DefaultParagraphFont"/>
    <w:link w:val="Quote"/>
    <w:uiPriority w:val="29"/>
    <w:rsid w:val="007D59C2"/>
    <w:rPr>
      <w:rFonts w:eastAsiaTheme="minorEastAsia"/>
      <w:i/>
      <w:iCs/>
    </w:rPr>
  </w:style>
  <w:style w:type="paragraph" w:styleId="IntenseQuote">
    <w:name w:val="Intense Quote"/>
    <w:basedOn w:val="Normal"/>
    <w:next w:val="Normal"/>
    <w:link w:val="IntenseQuoteChar"/>
    <w:uiPriority w:val="30"/>
    <w:qFormat/>
    <w:rsid w:val="007D59C2"/>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7D59C2"/>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7D59C2"/>
    <w:rPr>
      <w:i/>
      <w:iCs/>
      <w:color w:val="404040" w:themeColor="text1" w:themeTint="BF"/>
    </w:rPr>
  </w:style>
  <w:style w:type="character" w:styleId="IntenseEmphasis">
    <w:name w:val="Intense Emphasis"/>
    <w:basedOn w:val="DefaultParagraphFont"/>
    <w:uiPriority w:val="21"/>
    <w:qFormat/>
    <w:rsid w:val="007D59C2"/>
    <w:rPr>
      <w:b w:val="0"/>
      <w:bCs w:val="0"/>
      <w:i/>
      <w:iCs/>
      <w:color w:val="5B9BD5" w:themeColor="accent1"/>
    </w:rPr>
  </w:style>
  <w:style w:type="character" w:styleId="SubtleReference">
    <w:name w:val="Subtle Reference"/>
    <w:basedOn w:val="DefaultParagraphFont"/>
    <w:uiPriority w:val="31"/>
    <w:qFormat/>
    <w:rsid w:val="007D59C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D59C2"/>
    <w:rPr>
      <w:b/>
      <w:bCs/>
      <w:smallCaps/>
      <w:color w:val="5B9BD5" w:themeColor="accent1"/>
      <w:spacing w:val="5"/>
      <w:u w:val="single"/>
    </w:rPr>
  </w:style>
  <w:style w:type="character" w:styleId="BookTitle">
    <w:name w:val="Book Title"/>
    <w:basedOn w:val="DefaultParagraphFont"/>
    <w:uiPriority w:val="33"/>
    <w:qFormat/>
    <w:rsid w:val="007D59C2"/>
    <w:rPr>
      <w:b/>
      <w:bCs/>
      <w:smallCaps/>
    </w:rPr>
  </w:style>
  <w:style w:type="paragraph" w:customStyle="1" w:styleId="paragraph">
    <w:name w:val="paragraph"/>
    <w:basedOn w:val="Normal"/>
    <w:rsid w:val="007D59C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table" w:styleId="TableGrid">
    <w:name w:val="Table Grid"/>
    <w:basedOn w:val="TableNormal"/>
    <w:uiPriority w:val="59"/>
    <w:rsid w:val="007D59C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riefinglist1">
    <w:name w:val="Briefing list 1"/>
    <w:basedOn w:val="Normal"/>
    <w:link w:val="Briefinglist1Char"/>
    <w:rsid w:val="007D59C2"/>
    <w:pPr>
      <w:keepLines/>
      <w:numPr>
        <w:numId w:val="2"/>
      </w:numPr>
      <w:spacing w:after="120" w:line="240" w:lineRule="auto"/>
      <w:jc w:val="both"/>
    </w:pPr>
    <w:rPr>
      <w:rFonts w:ascii="Arial" w:eastAsia="Times New Roman" w:hAnsi="Arial" w:cs="Times New Roman"/>
      <w:szCs w:val="24"/>
      <w:lang w:val="en-GB" w:eastAsia="en-GB"/>
    </w:rPr>
  </w:style>
  <w:style w:type="character" w:customStyle="1" w:styleId="Briefinglist1Char">
    <w:name w:val="Briefing list 1 Char"/>
    <w:basedOn w:val="DefaultParagraphFont"/>
    <w:link w:val="Briefinglist1"/>
    <w:rsid w:val="007D59C2"/>
    <w:rPr>
      <w:rFonts w:ascii="Arial" w:eastAsia="Times New Roman" w:hAnsi="Arial" w:cs="Times New Roman"/>
      <w:szCs w:val="24"/>
      <w:lang w:val="en-GB" w:eastAsia="en-GB"/>
    </w:rPr>
  </w:style>
  <w:style w:type="paragraph" w:styleId="Revision">
    <w:name w:val="Revision"/>
    <w:hidden/>
    <w:uiPriority w:val="99"/>
    <w:semiHidden/>
    <w:rsid w:val="007D59C2"/>
    <w:pPr>
      <w:spacing w:after="0" w:line="240" w:lineRule="auto"/>
    </w:pPr>
    <w:rPr>
      <w:lang w:val="en-GB"/>
    </w:rPr>
  </w:style>
  <w:style w:type="paragraph" w:customStyle="1" w:styleId="bullettable">
    <w:name w:val="bullet_table"/>
    <w:basedOn w:val="ListParagraph"/>
    <w:link w:val="bullettableChar"/>
    <w:qFormat/>
    <w:rsid w:val="007D59C2"/>
    <w:pPr>
      <w:spacing w:after="0" w:line="257" w:lineRule="auto"/>
      <w:ind w:left="312" w:hanging="283"/>
    </w:pPr>
    <w:rPr>
      <w:rFonts w:ascii="Times New Roman" w:eastAsia="Times New Roman" w:hAnsi="Times New Roman" w:cs="Times New Roman"/>
    </w:rPr>
  </w:style>
  <w:style w:type="character" w:customStyle="1" w:styleId="bullettableChar">
    <w:name w:val="bullet_table Char"/>
    <w:basedOn w:val="ListParagraphChar"/>
    <w:link w:val="bullettable"/>
    <w:rsid w:val="007D59C2"/>
    <w:rPr>
      <w:rFonts w:ascii="Times New Roman" w:eastAsia="Times New Roman" w:hAnsi="Times New Roman" w:cs="Times New Roman"/>
    </w:rPr>
  </w:style>
  <w:style w:type="paragraph" w:customStyle="1" w:styleId="Disclaimer">
    <w:name w:val="Disclaimer"/>
    <w:basedOn w:val="Normal"/>
    <w:rsid w:val="007D59C2"/>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lang w:val="en-GB"/>
    </w:rPr>
  </w:style>
  <w:style w:type="paragraph" w:customStyle="1" w:styleId="SecurityMarking">
    <w:name w:val="SecurityMarking"/>
    <w:basedOn w:val="Normal"/>
    <w:rsid w:val="0089336A"/>
    <w:pPr>
      <w:spacing w:after="0" w:line="276" w:lineRule="auto"/>
      <w:ind w:left="5103"/>
    </w:pPr>
    <w:rPr>
      <w:rFonts w:ascii="Times New Roman" w:hAnsi="Times New Roman" w:cs="Times New Roman"/>
      <w:sz w:val="28"/>
    </w:rPr>
  </w:style>
  <w:style w:type="paragraph" w:customStyle="1" w:styleId="DateMarking">
    <w:name w:val="DateMarking"/>
    <w:basedOn w:val="Normal"/>
    <w:rsid w:val="0089336A"/>
    <w:pPr>
      <w:spacing w:after="0" w:line="276" w:lineRule="auto"/>
      <w:ind w:left="5103"/>
    </w:pPr>
    <w:rPr>
      <w:rFonts w:ascii="Times New Roman" w:hAnsi="Times New Roman" w:cs="Times New Roman"/>
      <w:i/>
      <w:sz w:val="28"/>
    </w:rPr>
  </w:style>
  <w:style w:type="paragraph" w:customStyle="1" w:styleId="ReleasableTo">
    <w:name w:val="ReleasableTo"/>
    <w:basedOn w:val="Normal"/>
    <w:rsid w:val="0089336A"/>
    <w:pPr>
      <w:spacing w:after="0" w:line="276" w:lineRule="auto"/>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21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default/files/communication150621.pdf" TargetMode="External"/><Relationship Id="rId13" Type="http://schemas.openxmlformats.org/officeDocument/2006/relationships/hyperlink" Target="https://eufundingoverview.be/funding/health-emergency-preparedness-and-response-authority-hera" TargetMode="External"/><Relationship Id="rId18" Type="http://schemas.openxmlformats.org/officeDocument/2006/relationships/hyperlink" Target="https://eur-lex.europa.eu/legal-content/EN/TXT/PDF/?uri=CELEX:52022DC0452" TargetMode="External"/><Relationship Id="rId26" Type="http://schemas.openxmlformats.org/officeDocument/2006/relationships/hyperlink" Target="https://single-market-economy.ec.europa.eu/document/d1d0b38a-cec8-479d-be70-1ffae7e227a5_en" TargetMode="External"/><Relationship Id="rId3" Type="http://schemas.openxmlformats.org/officeDocument/2006/relationships/hyperlink" Target="https://worldhealthorg.shinyapps.io/euro-covid19/" TargetMode="External"/><Relationship Id="rId21" Type="http://schemas.openxmlformats.org/officeDocument/2006/relationships/hyperlink" Target="https://joint-research-centre.ec.europa.eu/jrc-news/coronavirus-response-monitoring-wastewater-contributes-tracking-coronavirus-and-variants-across-all-2022-03-17_en" TargetMode="External"/><Relationship Id="rId7" Type="http://schemas.openxmlformats.org/officeDocument/2006/relationships/hyperlink" Target="https://ec.europa.eu/info/sites/default/files/communication150621.pdf" TargetMode="External"/><Relationship Id="rId12" Type="http://schemas.openxmlformats.org/officeDocument/2006/relationships/hyperlink" Target="https://ec.europa.eu/info/sites/default/files/communication150621.pdf" TargetMode="External"/><Relationship Id="rId17" Type="http://schemas.openxmlformats.org/officeDocument/2006/relationships/hyperlink" Target="https://eur-lex.europa.eu/legal-content/EN/TXT/HTML/?uri=CELEX%3A32014R0536&amp;from=NL" TargetMode="External"/><Relationship Id="rId25" Type="http://schemas.openxmlformats.org/officeDocument/2006/relationships/hyperlink" Target="https://health.ec.europa.eu/latest-updates/staff-working-document-vulnerabilities-global-supply-chains-medicines-structured-dialogue-security-2022-10-17_en" TargetMode="External"/><Relationship Id="rId2" Type="http://schemas.openxmlformats.org/officeDocument/2006/relationships/hyperlink" Target="https://www.economist.com/graphic-detail/coronavirus-excess-deaths-estimates" TargetMode="External"/><Relationship Id="rId16" Type="http://schemas.openxmlformats.org/officeDocument/2006/relationships/hyperlink" Target="https://vaccelerate.eu/" TargetMode="External"/><Relationship Id="rId20" Type="http://schemas.openxmlformats.org/officeDocument/2006/relationships/hyperlink" Target="https://eur-lex.europa.eu/legal-content/EN/TXT/?uri=celex%3A32018R1725" TargetMode="External"/><Relationship Id="rId1" Type="http://schemas.openxmlformats.org/officeDocument/2006/relationships/hyperlink" Target="https://covid19.who.int/" TargetMode="External"/><Relationship Id="rId6" Type="http://schemas.openxmlformats.org/officeDocument/2006/relationships/hyperlink" Target="https://ec.europa.eu/info/strategy/priorities-2019-2024/promoting-our-european-way-life/european-health-union_en" TargetMode="External"/><Relationship Id="rId11" Type="http://schemas.openxmlformats.org/officeDocument/2006/relationships/hyperlink" Target="https://research-and-innovation.ec.europa.eu/research-area/health/ebola/ebola-research-and-innovation-strategy_en" TargetMode="External"/><Relationship Id="rId24" Type="http://schemas.openxmlformats.org/officeDocument/2006/relationships/hyperlink" Target="https://eur-lex.europa.eu/legal-content/EN/TXT/PDF/?uri=CELEX:52020DC0761&amp;from=EN" TargetMode="External"/><Relationship Id="rId5" Type="http://schemas.openxmlformats.org/officeDocument/2006/relationships/hyperlink" Target="https://data.consilium.europa.eu/doc/document/PE-40-2022-INIT/en/pdf" TargetMode="External"/><Relationship Id="rId15" Type="http://schemas.openxmlformats.org/officeDocument/2006/relationships/hyperlink" Target="https://eu-response.eu/" TargetMode="External"/><Relationship Id="rId23" Type="http://schemas.openxmlformats.org/officeDocument/2006/relationships/hyperlink" Target="https://ec.europa.eu/info/sites/default/files/communication150621.pdf" TargetMode="External"/><Relationship Id="rId10" Type="http://schemas.openxmlformats.org/officeDocument/2006/relationships/hyperlink" Target="https://ec.europa.eu/info/sites/default/files/strategic-dependencies-capacities.pdf" TargetMode="External"/><Relationship Id="rId19" Type="http://schemas.openxmlformats.org/officeDocument/2006/relationships/hyperlink" Target="https://ec.europa.eu/commission/presscorner/detail/en/IP_22_4474" TargetMode="External"/><Relationship Id="rId4" Type="http://schemas.openxmlformats.org/officeDocument/2006/relationships/hyperlink" Target="https://eur-lex.europa.eu/legal-content/EN/TXT/PDF/?uri=CELEX:32001L0083&amp;from=en" TargetMode="External"/><Relationship Id="rId9" Type="http://schemas.openxmlformats.org/officeDocument/2006/relationships/hyperlink" Target="https://www.gavi.org/vaccineswork/covid-19-vaccines-have-saved-20-million-lives-so-far-study-estimates" TargetMode="External"/><Relationship Id="rId14" Type="http://schemas.openxmlformats.org/officeDocument/2006/relationships/hyperlink" Target="https://ec.europa.eu/commission/presscorner/detail/en/ip_22_3023" TargetMode="External"/><Relationship Id="rId22" Type="http://schemas.openxmlformats.org/officeDocument/2006/relationships/hyperlink" Target="https://research-and-innovation.ec.europa.eu/news/all-research-and-innovation-news/commission-presents-therapeutics-innovation-booster-identify-and-support-new-treatments-covid-19-2022-05-23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C3966-BC7F-49A9-A586-0DCC265FF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8540</Words>
  <Characters>50645</Characters>
  <Application>Microsoft Office Word</Application>
  <DocSecurity>0</DocSecurity>
  <Lines>767</Lines>
  <Paragraphs>177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2022-11-29T14:54:00Z</dcterms:created>
  <dcterms:modified xsi:type="dcterms:W3CDTF">2022-11-29T16:52:00Z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2022-11-25T11:12:36Z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d5450679-040e-42f3-b6c3-73ef8954fd9e</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Last edited using">
    <vt:lpwstr>LW 8.1, Build 20220902</vt:lpwstr>
  </property>
  <property fmtid="{D5CDD505-2E9C-101B-9397-08002B2CF9AE}" pid="11" name="DocStatus">
    <vt:lpwstr>Green</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CP-014</vt:lpwstr>
  </property>
</Properties>
</file>