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92" w:rsidRDefault="00CA24C8" w:rsidP="00CA24C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16A1D4C-0139-44AC-BA8D-044CD20E042B" style="width:455.25pt;height:324pt">
            <v:imagedata r:id="rId7" o:title=""/>
          </v:shape>
        </w:pict>
      </w:r>
    </w:p>
    <w:bookmarkEnd w:id="0"/>
    <w:p w:rsidR="00773992" w:rsidRDefault="00773992" w:rsidP="00773992">
      <w:pPr>
        <w:rPr>
          <w:noProof/>
        </w:rPr>
        <w:sectPr w:rsidR="00773992" w:rsidSect="00CA24C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DC7D8E" w:rsidRDefault="00DC7D8E" w:rsidP="00DC7D8E">
      <w:pPr>
        <w:jc w:val="both"/>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INTRODUCCIÓN</w:t>
      </w:r>
    </w:p>
    <w:p w:rsidR="00DC7D8E" w:rsidRDefault="00DC7D8E" w:rsidP="00DC7D8E">
      <w:pPr>
        <w:jc w:val="both"/>
        <w:rPr>
          <w:rFonts w:ascii="Times New Roman" w:eastAsia="Calibri" w:hAnsi="Times New Roman" w:cs="Times New Roman"/>
          <w:noProof/>
          <w:sz w:val="24"/>
          <w:szCs w:val="24"/>
        </w:rPr>
      </w:pPr>
      <w:r>
        <w:rPr>
          <w:rFonts w:ascii="Times New Roman" w:hAnsi="Times New Roman"/>
          <w:noProof/>
          <w:sz w:val="24"/>
        </w:rPr>
        <w:t>El Reglamento (UE) n.º 549/2013 del Parlamento Europeo y del Consejo</w:t>
      </w:r>
      <w:r>
        <w:rPr>
          <w:rStyle w:val="FootnoteReference"/>
          <w:noProof/>
        </w:rPr>
        <w:footnoteReference w:id="1"/>
      </w:r>
      <w:r>
        <w:rPr>
          <w:rFonts w:ascii="Times New Roman" w:hAnsi="Times New Roman"/>
          <w:noProof/>
          <w:sz w:val="24"/>
        </w:rPr>
        <w:t xml:space="preserve"> establece el Sistema Europeo de Cuentas 2010 («SEC 2010»). El SEC 2010 es un sistema de cuentas nacionales y regionales destinado a cumplir los requisitos de la política económica, social y regional de la Unión. Incluye la siguiente información:  </w:t>
      </w:r>
    </w:p>
    <w:p w:rsidR="00DC7D8E" w:rsidRDefault="00DC7D8E" w:rsidP="00DC7D8E">
      <w:pPr>
        <w:numPr>
          <w:ilvl w:val="0"/>
          <w:numId w:val="2"/>
        </w:num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una metodología (anexo A del Reglamento) relativa a las reglas, definiciones, nomenclaturas y normas de contabilidad comunes que deben utilizarse para la elaboración de cuentas y tablas, sobre bases comparables para las necesidades de la Unión;</w:t>
      </w:r>
    </w:p>
    <w:p w:rsidR="00DC7D8E" w:rsidRPr="00B4683E" w:rsidRDefault="00DC7D8E" w:rsidP="00DC7D8E">
      <w:pPr>
        <w:numPr>
          <w:ilvl w:val="0"/>
          <w:numId w:val="2"/>
        </w:num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un programa (anexo B del Reglamento) que establece los plazos para la transmisión por parte de los Estados miembros a la Comisión (Eurostat) de las cuentas y las tablas que deben compilarse con arreglo a la metodología mencionada en la letra a).</w:t>
      </w:r>
    </w:p>
    <w:p w:rsidR="00DC7D8E" w:rsidRDefault="00DC7D8E" w:rsidP="00DC7D8E">
      <w:pPr>
        <w:jc w:val="both"/>
        <w:rPr>
          <w:rFonts w:ascii="Times New Roman" w:eastAsia="Calibri" w:hAnsi="Times New Roman" w:cs="Times New Roman"/>
          <w:noProof/>
          <w:sz w:val="24"/>
          <w:szCs w:val="24"/>
        </w:rPr>
      </w:pPr>
      <w:r>
        <w:rPr>
          <w:rFonts w:ascii="Times New Roman" w:hAnsi="Times New Roman"/>
          <w:noProof/>
          <w:sz w:val="24"/>
        </w:rPr>
        <w:t>El Reglamento (UE) n.º 549/2013 faculta a la Comisión para adoptar actos delegados, de conformidad con las condiciones establecidas en el artículo 7 del Reglamento:</w:t>
      </w:r>
    </w:p>
    <w:p w:rsidR="00DC7D8E" w:rsidRDefault="00DC7D8E" w:rsidP="00DC7D8E">
      <w:pPr>
        <w:numPr>
          <w:ilvl w:val="0"/>
          <w:numId w:val="1"/>
        </w:num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en lo referente a las modificaciones de la metodología del SEC 2010, establecida en al anexo A, para especificar y mejorar su contenido, con el fin de garantizar una interpretación armonizada o asegurar la comparabilidad internacional, a condición de que no cambien sus conceptos subyacentes, no requieran recursos adicionales para los productores en el marco del Sistema Estadístico Europeo para su aplicación y no ocasionen un cambio de los recursos propios (artículo 2, apartado 2);</w:t>
      </w:r>
    </w:p>
    <w:p w:rsidR="00DC7D8E" w:rsidRDefault="00DC7D8E" w:rsidP="00DC7D8E">
      <w:pPr>
        <w:numPr>
          <w:ilvl w:val="0"/>
          <w:numId w:val="1"/>
        </w:num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y para garantizar la fiabilidad y comparabilidad de los datos del SEC 2010 de los Estados miembros en materia de investigación y desarrollo registrados como formación bruta de capital fijo. En el ejercicio de su facultad de conformidad con el presente apartado, la Comisión debe velar por que dichos actos delegados no impongan una carga administrativa adicional importante a los Estados miembros ni a las unidades encuestadas (artículo 2, apartado 5).</w:t>
      </w:r>
    </w:p>
    <w:p w:rsidR="00DC7D8E" w:rsidRDefault="00DC7D8E" w:rsidP="00DC7D8E">
      <w:pPr>
        <w:jc w:val="both"/>
        <w:rPr>
          <w:rFonts w:ascii="Times New Roman" w:eastAsia="Calibri" w:hAnsi="Times New Roman" w:cs="Times New Roman"/>
          <w:noProof/>
          <w:sz w:val="24"/>
          <w:szCs w:val="24"/>
        </w:rPr>
      </w:pPr>
      <w:r>
        <w:rPr>
          <w:rFonts w:ascii="Times New Roman" w:hAnsi="Times New Roman"/>
          <w:noProof/>
          <w:sz w:val="24"/>
        </w:rPr>
        <w:t>Una tercera delegación de poderes, relativa a la revisión de la metodología utilizada para el cálculo y la asignación de servicios de intermediación financiera medidos indirectamente (SIFMI) en la contabilidad nacional de acuerdo con la metodología descrita en el anexo A, se otorgó a la Comisión por un período de dos meses y debía ejercerse antes del 17 de septiembre de 2013</w:t>
      </w:r>
      <w:r>
        <w:rPr>
          <w:rStyle w:val="FootnoteReference"/>
          <w:rFonts w:ascii="Times New Roman" w:eastAsia="Calibri" w:hAnsi="Times New Roman" w:cs="Times New Roman"/>
          <w:noProof/>
          <w:sz w:val="24"/>
          <w:szCs w:val="24"/>
        </w:rPr>
        <w:footnoteReference w:id="2"/>
      </w:r>
      <w:r>
        <w:rPr>
          <w:rFonts w:ascii="Times New Roman" w:hAnsi="Times New Roman"/>
          <w:noProof/>
          <w:sz w:val="24"/>
        </w:rPr>
        <w:t xml:space="preserve"> (artículo 2, apartado 4).</w:t>
      </w:r>
    </w:p>
    <w:p w:rsidR="00DC7D8E" w:rsidRDefault="00DC7D8E" w:rsidP="00DC7D8E">
      <w:pPr>
        <w:jc w:val="both"/>
        <w:rPr>
          <w:rFonts w:ascii="Times New Roman" w:eastAsia="Calibri" w:hAnsi="Times New Roman" w:cs="Times New Roman"/>
          <w:noProof/>
          <w:sz w:val="24"/>
          <w:szCs w:val="24"/>
        </w:rPr>
      </w:pPr>
      <w:r>
        <w:rPr>
          <w:rFonts w:ascii="Times New Roman" w:hAnsi="Times New Roman"/>
          <w:noProof/>
          <w:sz w:val="24"/>
        </w:rPr>
        <w:t>El Reglamento (UE) n.º 549/2013, en el considerando 24, hace hincapié en la importancia de que la Comisión lleve a cabo las consultas apropiadas durante sus trabajos de preparación, también con el Comité del Sistema Estadístico Europeo establecido por el Reglamento (CE) nº 223/2009</w:t>
      </w:r>
      <w:r>
        <w:rPr>
          <w:rStyle w:val="FootnoteReference"/>
          <w:rFonts w:ascii="Times New Roman" w:eastAsia="Calibri" w:hAnsi="Times New Roman" w:cs="Times New Roman"/>
          <w:noProof/>
          <w:sz w:val="24"/>
          <w:szCs w:val="24"/>
        </w:rPr>
        <w:footnoteReference w:id="3"/>
      </w:r>
      <w:r>
        <w:rPr>
          <w:rFonts w:ascii="Times New Roman" w:hAnsi="Times New Roman"/>
          <w:noProof/>
          <w:sz w:val="24"/>
        </w:rPr>
        <w:t>.</w:t>
      </w:r>
    </w:p>
    <w:p w:rsidR="00DC7D8E" w:rsidRDefault="00DC7D8E" w:rsidP="00DC7D8E">
      <w:pPr>
        <w:keepNext/>
        <w:jc w:val="both"/>
        <w:rPr>
          <w:rFonts w:ascii="Times New Roman" w:eastAsia="Calibri"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BASE JURÍDICA</w:t>
      </w:r>
    </w:p>
    <w:p w:rsidR="00DC7D8E" w:rsidRDefault="00DC7D8E" w:rsidP="00DC7D8E">
      <w:pPr>
        <w:jc w:val="both"/>
        <w:rPr>
          <w:rFonts w:ascii="Times New Roman" w:eastAsia="Calibri" w:hAnsi="Times New Roman" w:cs="Times New Roman"/>
          <w:noProof/>
          <w:sz w:val="24"/>
          <w:szCs w:val="24"/>
        </w:rPr>
      </w:pPr>
      <w:r>
        <w:rPr>
          <w:rFonts w:ascii="Times New Roman" w:hAnsi="Times New Roman"/>
          <w:noProof/>
          <w:sz w:val="24"/>
        </w:rPr>
        <w:t>El presente informe responde a la obligación establecida en el artículo 7, apartado 2, del Reglamento (UE) n.º 549/2013, que otorga a la Comisión poderes para adoptar los actos delegados mencionados en el artículo 2, apartados 2 y 5, por un período de cinco años a partir del 16 de julio de 2013. La delegación de poderes se prorroga tácitamente por períodos de idéntica duración, excepto si el Parlamento Europeo o el Consejo se oponen a dicha prórroga a más tardar tres meses antes del final de cada período. Este mismo artículo exige a la Comisión que elabore un informe sobre la delegación de poderes a más tardar nueve meses antes de que finalice el período de cinco años.</w:t>
      </w:r>
    </w:p>
    <w:p w:rsidR="00DC7D8E" w:rsidRDefault="00DC7D8E" w:rsidP="00DC7D8E">
      <w:pPr>
        <w:jc w:val="both"/>
        <w:rPr>
          <w:rFonts w:ascii="Times New Roman" w:eastAsia="Calibri"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EJERCICIO DE LA DELEGACIÓN EN EL PERÍODO ACTUAL</w:t>
      </w:r>
    </w:p>
    <w:p w:rsidR="00DC7D8E" w:rsidRDefault="00DC7D8E" w:rsidP="00DC7D8E">
      <w:pPr>
        <w:jc w:val="both"/>
        <w:rPr>
          <w:rFonts w:ascii="Times New Roman" w:hAnsi="Times New Roman" w:cs="Times New Roman"/>
          <w:noProof/>
          <w:sz w:val="24"/>
          <w:szCs w:val="24"/>
        </w:rPr>
      </w:pPr>
      <w:r>
        <w:rPr>
          <w:rFonts w:ascii="Times New Roman" w:hAnsi="Times New Roman"/>
          <w:noProof/>
          <w:sz w:val="24"/>
        </w:rPr>
        <w:t>En 2017, la Comisión informó sobre el uso de la delegación de poderes durante los cinco primeros años de aplicación del Reglamento (UE) n.º 549/2013</w:t>
      </w:r>
      <w:r>
        <w:rPr>
          <w:rStyle w:val="FootnoteReference"/>
          <w:rFonts w:ascii="Times New Roman" w:hAnsi="Times New Roman" w:cs="Times New Roman"/>
          <w:noProof/>
          <w:sz w:val="24"/>
          <w:szCs w:val="24"/>
        </w:rPr>
        <w:footnoteReference w:id="4"/>
      </w:r>
      <w:r>
        <w:rPr>
          <w:rFonts w:ascii="Times New Roman" w:hAnsi="Times New Roman"/>
          <w:noProof/>
          <w:sz w:val="24"/>
        </w:rPr>
        <w:t xml:space="preserve">. </w:t>
      </w:r>
    </w:p>
    <w:p w:rsidR="00DC7D8E" w:rsidRDefault="00DC7D8E" w:rsidP="00DC7D8E">
      <w:pPr>
        <w:jc w:val="both"/>
        <w:rPr>
          <w:rFonts w:ascii="Times New Roman" w:hAnsi="Times New Roman" w:cs="Times New Roman"/>
          <w:noProof/>
          <w:sz w:val="24"/>
          <w:szCs w:val="24"/>
        </w:rPr>
      </w:pPr>
      <w:r>
        <w:rPr>
          <w:rFonts w:ascii="Times New Roman" w:hAnsi="Times New Roman"/>
          <w:noProof/>
          <w:sz w:val="24"/>
        </w:rPr>
        <w:t xml:space="preserve">Durante el siguiente período de cinco años, que comenzó el 16 de julio de 2018 en virtud de la prórroga tácita de la delegación de poderes, la Comisión no ejerció los poderes para adoptar actos delegados que le confiere el artículo 2, apartados 2 y 5, del Reglamento (UE) n.º 549/2013. </w:t>
      </w:r>
    </w:p>
    <w:p w:rsidR="00DC7D8E" w:rsidRDefault="00DC7D8E" w:rsidP="00DC7D8E">
      <w:pPr>
        <w:keepNext/>
        <w:jc w:val="both"/>
        <w:rPr>
          <w:rFonts w:ascii="Times New Roman" w:eastAsia="Calibri"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CONCLUSIÓN</w:t>
      </w:r>
    </w:p>
    <w:p w:rsidR="00DC7D8E" w:rsidRDefault="00DC7D8E" w:rsidP="00DC7D8E">
      <w:pPr>
        <w:jc w:val="both"/>
        <w:rPr>
          <w:rFonts w:ascii="Times New Roman" w:hAnsi="Times New Roman" w:cs="Times New Roman"/>
          <w:noProof/>
          <w:sz w:val="24"/>
          <w:szCs w:val="24"/>
        </w:rPr>
      </w:pPr>
      <w:r>
        <w:rPr>
          <w:rFonts w:ascii="Times New Roman" w:hAnsi="Times New Roman"/>
          <w:noProof/>
          <w:sz w:val="24"/>
        </w:rPr>
        <w:t>Desde el 16 de julio de 2018, la Comisión no ha ejercido los poderes para adoptar actos delegados que le otorga el Reglamento (UE) 549/2013.</w:t>
      </w:r>
      <w:r>
        <w:rPr>
          <w:noProof/>
        </w:rPr>
        <w:t xml:space="preserve"> </w:t>
      </w:r>
    </w:p>
    <w:p w:rsidR="00DC7D8E" w:rsidRDefault="00DC7D8E" w:rsidP="00DC7D8E">
      <w:pPr>
        <w:jc w:val="both"/>
        <w:rPr>
          <w:rFonts w:ascii="Times New Roman" w:hAnsi="Times New Roman" w:cs="Times New Roman"/>
          <w:noProof/>
          <w:sz w:val="24"/>
          <w:szCs w:val="24"/>
        </w:rPr>
      </w:pPr>
      <w:r>
        <w:rPr>
          <w:rFonts w:ascii="Times New Roman" w:hAnsi="Times New Roman"/>
          <w:noProof/>
          <w:sz w:val="24"/>
        </w:rPr>
        <w:t>No obstante, la Comisión considera que debe seguir disponiendo de poderes delegados de conformidad con el Reglamento (UE) n.º 549/2013, ya que puede necesitar adoptar actos delegados en el futuro para reflejar los avances en las metodologías estadísticas y con respecto a posibles adaptaciones de dicho Reglamento.</w:t>
      </w:r>
    </w:p>
    <w:p w:rsidR="00DC7D8E" w:rsidRPr="00583D8A" w:rsidRDefault="00DC7D8E" w:rsidP="00DC7D8E">
      <w:pPr>
        <w:jc w:val="both"/>
        <w:rPr>
          <w:rFonts w:ascii="Times New Roman" w:hAnsi="Times New Roman" w:cs="Times New Roman"/>
          <w:noProof/>
          <w:sz w:val="24"/>
          <w:szCs w:val="24"/>
        </w:rPr>
      </w:pPr>
      <w:r>
        <w:rPr>
          <w:rFonts w:ascii="Times New Roman" w:hAnsi="Times New Roman"/>
          <w:noProof/>
          <w:sz w:val="24"/>
        </w:rPr>
        <w:t>La Comisión invita al Parlamento Europeo y al Consejo a tomar nota del presente informe.</w:t>
      </w:r>
    </w:p>
    <w:p w:rsidR="003B45BA" w:rsidRDefault="003B45BA">
      <w:pPr>
        <w:rPr>
          <w:noProof/>
        </w:rPr>
      </w:pPr>
    </w:p>
    <w:sectPr w:rsidR="003B45B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60" w:rsidRDefault="00DD6760" w:rsidP="00773992">
      <w:pPr>
        <w:spacing w:after="0" w:line="240" w:lineRule="auto"/>
      </w:pPr>
      <w:r>
        <w:separator/>
      </w:r>
    </w:p>
  </w:endnote>
  <w:endnote w:type="continuationSeparator" w:id="0">
    <w:p w:rsidR="00DD6760" w:rsidRDefault="00DD6760" w:rsidP="0077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8" w:rsidRPr="00CA24C8" w:rsidRDefault="00CA24C8" w:rsidP="00CA2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8B" w:rsidRPr="00CA24C8" w:rsidRDefault="00CA24C8" w:rsidP="00CA24C8">
    <w:pPr>
      <w:pStyle w:val="FooterCoverPage"/>
      <w:rPr>
        <w:rFonts w:ascii="Arial" w:hAnsi="Arial" w:cs="Arial"/>
        <w:b/>
        <w:sz w:val="48"/>
      </w:rPr>
    </w:pPr>
    <w:r w:rsidRPr="00CA24C8">
      <w:rPr>
        <w:rFonts w:ascii="Arial" w:hAnsi="Arial" w:cs="Arial"/>
        <w:b/>
        <w:sz w:val="48"/>
      </w:rPr>
      <w:t>ES</w:t>
    </w:r>
    <w:r w:rsidRPr="00CA24C8">
      <w:rPr>
        <w:rFonts w:ascii="Arial" w:hAnsi="Arial" w:cs="Arial"/>
        <w:b/>
        <w:sz w:val="48"/>
      </w:rPr>
      <w:tab/>
    </w:r>
    <w:r w:rsidRPr="00CA24C8">
      <w:rPr>
        <w:rFonts w:ascii="Arial" w:hAnsi="Arial" w:cs="Arial"/>
        <w:b/>
        <w:sz w:val="48"/>
      </w:rPr>
      <w:tab/>
    </w:r>
    <w:r w:rsidRPr="00CA24C8">
      <w:tab/>
    </w:r>
    <w:r w:rsidRPr="00CA24C8">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8" w:rsidRPr="00CA24C8" w:rsidRDefault="00CA24C8" w:rsidP="00CA24C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9D" w:rsidRDefault="00CA2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3082"/>
      <w:docPartObj>
        <w:docPartGallery w:val="Page Numbers (Bottom of Page)"/>
        <w:docPartUnique/>
      </w:docPartObj>
    </w:sdtPr>
    <w:sdtEndPr/>
    <w:sdtContent>
      <w:p w:rsidR="0071499D" w:rsidRDefault="00DC7D8E">
        <w:pPr>
          <w:pStyle w:val="Footer"/>
          <w:jc w:val="center"/>
        </w:pPr>
        <w:r>
          <w:fldChar w:fldCharType="begin"/>
        </w:r>
        <w:r>
          <w:instrText xml:space="preserve"> PAGE   \* MERGEFORMAT </w:instrText>
        </w:r>
        <w:r>
          <w:fldChar w:fldCharType="separate"/>
        </w:r>
        <w:r w:rsidR="00CA24C8">
          <w:rPr>
            <w:noProof/>
          </w:rPr>
          <w:t>2</w:t>
        </w:r>
        <w:r>
          <w:fldChar w:fldCharType="end"/>
        </w:r>
      </w:p>
    </w:sdtContent>
  </w:sdt>
  <w:p w:rsidR="0071499D" w:rsidRDefault="00CA24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9D" w:rsidRDefault="00CA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60" w:rsidRDefault="00DD6760" w:rsidP="00773992">
      <w:pPr>
        <w:spacing w:after="0" w:line="240" w:lineRule="auto"/>
      </w:pPr>
      <w:r>
        <w:separator/>
      </w:r>
    </w:p>
  </w:footnote>
  <w:footnote w:type="continuationSeparator" w:id="0">
    <w:p w:rsidR="00DD6760" w:rsidRDefault="00DD6760" w:rsidP="00773992">
      <w:pPr>
        <w:spacing w:after="0" w:line="240" w:lineRule="auto"/>
      </w:pPr>
      <w:r>
        <w:continuationSeparator/>
      </w:r>
    </w:p>
  </w:footnote>
  <w:footnote w:id="1">
    <w:p w:rsidR="00DC7D8E" w:rsidRPr="002C5D8B" w:rsidRDefault="00DC7D8E" w:rsidP="00DC7D8E">
      <w:pPr>
        <w:pStyle w:val="FootnoteText"/>
        <w:ind w:left="113" w:hanging="113"/>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2C5D8B">
        <w:rPr>
          <w:rFonts w:ascii="Times New Roman" w:hAnsi="Times New Roman"/>
        </w:rPr>
        <w:t xml:space="preserve">Reglamento (UE) n.º 549/2013 del Parlamento Europeo y del Consejo, de 21 de mayo de 2013, relativo al Sistema Europeo de Cuentas Nacionales y Regionales de la Unión Europea (DO L 174 de 26.6.2013, p. 1). </w:t>
      </w:r>
    </w:p>
  </w:footnote>
  <w:footnote w:id="2">
    <w:p w:rsidR="00DC7D8E" w:rsidRPr="009042E1" w:rsidRDefault="00DC7D8E" w:rsidP="00DC7D8E">
      <w:pPr>
        <w:pStyle w:val="FootnoteText"/>
        <w:jc w:val="both"/>
        <w:rPr>
          <w:rFonts w:ascii="Times New Roman" w:hAnsi="Times New Roman"/>
        </w:rPr>
      </w:pPr>
      <w:r w:rsidRPr="002C5D8B">
        <w:rPr>
          <w:rStyle w:val="FootnoteReference"/>
          <w:rFonts w:ascii="Times New Roman" w:hAnsi="Times New Roman"/>
        </w:rPr>
        <w:footnoteRef/>
      </w:r>
      <w:r w:rsidRPr="002C5D8B">
        <w:rPr>
          <w:rFonts w:ascii="Times New Roman" w:hAnsi="Times New Roman"/>
        </w:rPr>
        <w:t xml:space="preserve"> Como se indica en el informe sobre el período de cinco años anterior, esta habilitación no ha sido utilizada por la Comisión.</w:t>
      </w:r>
    </w:p>
  </w:footnote>
  <w:footnote w:id="3">
    <w:p w:rsidR="00DC7D8E" w:rsidRPr="002C5D8B" w:rsidRDefault="00DC7D8E" w:rsidP="00DC7D8E">
      <w:pPr>
        <w:pStyle w:val="FootnoteText"/>
        <w:jc w:val="both"/>
        <w:rPr>
          <w:rFonts w:ascii="Times New Roman" w:hAnsi="Times New Roman"/>
        </w:rPr>
      </w:pPr>
      <w:r>
        <w:rPr>
          <w:rStyle w:val="FootnoteReference"/>
          <w:rFonts w:ascii="Times New Roman" w:hAnsi="Times New Roman"/>
        </w:rPr>
        <w:footnoteRef/>
      </w:r>
      <w:r>
        <w:t xml:space="preserve"> </w:t>
      </w:r>
      <w:r w:rsidRPr="002C5D8B">
        <w:rPr>
          <w:rFonts w:ascii="Times New Roman" w:hAnsi="Times New Roman"/>
        </w:rPr>
        <w:t>Reglamento (CE) n.º 223/2009 del Parlamento Europeo y del Consejo, de 11 de marzo de 2009, relativo a la estadística europea y por el que se deroga el Reglamento (CE, Euratom) n.º 1101/2008, relativo a la transmisión a la Oficina Estadística de las Comunidades Europeas de las informaciones amparadas por el secreto estadístico, el Reglamento (CE) n.º 322/97 del Consejo, sobre la estadística comunitaria, y la Decisión 89/382/CEE, Euratom del Consejo por la que se crea un Comité del programa estadístico de las Comunidades Europeas (DO L 87 de 31.3.2009, p. 164).</w:t>
      </w:r>
    </w:p>
  </w:footnote>
  <w:footnote w:id="4">
    <w:p w:rsidR="00DC7D8E" w:rsidRPr="0098509D" w:rsidRDefault="00DC7D8E" w:rsidP="00DC7D8E">
      <w:pPr>
        <w:pStyle w:val="FootnoteText"/>
        <w:jc w:val="both"/>
      </w:pPr>
      <w:r w:rsidRPr="002C5D8B">
        <w:rPr>
          <w:rStyle w:val="FootnoteReference"/>
          <w:rFonts w:ascii="Times New Roman" w:hAnsi="Times New Roman"/>
        </w:rPr>
        <w:footnoteRef/>
      </w:r>
      <w:r w:rsidRPr="002C5D8B">
        <w:rPr>
          <w:rFonts w:ascii="Times New Roman" w:hAnsi="Times New Roman"/>
        </w:rPr>
        <w:t xml:space="preserve"> Véase el </w:t>
      </w:r>
      <w:hyperlink r:id="rId1" w:history="1">
        <w:r w:rsidRPr="002C5D8B">
          <w:rPr>
            <w:rStyle w:val="Hyperlink"/>
            <w:rFonts w:ascii="Times New Roman" w:hAnsi="Times New Roman"/>
          </w:rPr>
          <w:t>Informe de la Comisión al Parlamento Europeo y al Consejo sobre el ejercicio de los poderes para adoptar actos delegados otorgados a la Comisión por el Reglamento (UE) n.º 549/2013 del Parlamento Europeo y del Consejo, relativo al Sistema Europeo de Cuentas Nacionales y Regionales de la Unión Europea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8" w:rsidRPr="00CA24C8" w:rsidRDefault="00CA24C8" w:rsidP="00CA2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8" w:rsidRPr="00CA24C8" w:rsidRDefault="00CA24C8" w:rsidP="00CA24C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8" w:rsidRPr="00CA24C8" w:rsidRDefault="00CA24C8" w:rsidP="00CA24C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9D" w:rsidRDefault="00CA2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9D" w:rsidRDefault="00CA24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99D" w:rsidRDefault="00CA2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8F3"/>
    <w:multiLevelType w:val="hybridMultilevel"/>
    <w:tmpl w:val="FD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11A6F"/>
    <w:multiLevelType w:val="hybridMultilevel"/>
    <w:tmpl w:val="808E6372"/>
    <w:lvl w:ilvl="0" w:tplc="08090017">
      <w:start w:val="1"/>
      <w:numFmt w:val="lowerLetter"/>
      <w:lvlText w:val="%1)"/>
      <w:lvlJc w:val="left"/>
      <w:pPr>
        <w:ind w:left="720" w:hanging="360"/>
      </w:pPr>
    </w:lvl>
    <w:lvl w:ilvl="1" w:tplc="97783BB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16A1D4C-0139-44AC-BA8D-044CD20E042B"/>
    <w:docVar w:name="LW_COVERPAGE_TYPE" w:val="1"/>
    <w:docVar w:name="LW_CROSSREFERENCE" w:val="&lt;UNUSED&gt;"/>
    <w:docVar w:name="LW_DocType" w:val="NORMAL"/>
    <w:docVar w:name="LW_EMISSION" w:val="7.12.2022"/>
    <w:docVar w:name="LW_EMISSION_ISODATE" w:val="2022-12-07"/>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6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bre el ejercicio de los poderes para adoptar actos delegados otorgados a la Comisión por el Reglamento (UE) n.º 549/2013 del Parlamento Europeo y del Consejo, relativo al Sistema Europeo de Cuentas Nacionales y Regionales de la Unión Europea"/>
    <w:docVar w:name="LW_TYPE.DOC.CP" w:val="INFORME DE LA COMISIÓN AL PARLAMENTO EUROPEO Y AL CONSEJO"/>
    <w:docVar w:name="LwApiVersions" w:val="LW4CoDe 1.23.2.0; LW 8.0, Build 20211117"/>
  </w:docVars>
  <w:rsids>
    <w:rsidRoot w:val="00773992"/>
    <w:rsid w:val="000F3EA2"/>
    <w:rsid w:val="00146FF9"/>
    <w:rsid w:val="001A37A0"/>
    <w:rsid w:val="00263E97"/>
    <w:rsid w:val="002C5D8B"/>
    <w:rsid w:val="0030758E"/>
    <w:rsid w:val="003B45BA"/>
    <w:rsid w:val="00434258"/>
    <w:rsid w:val="004F3210"/>
    <w:rsid w:val="004F54A2"/>
    <w:rsid w:val="006B23ED"/>
    <w:rsid w:val="00773992"/>
    <w:rsid w:val="00847C40"/>
    <w:rsid w:val="008D319C"/>
    <w:rsid w:val="009B6324"/>
    <w:rsid w:val="00A36231"/>
    <w:rsid w:val="00B71F94"/>
    <w:rsid w:val="00BD0469"/>
    <w:rsid w:val="00C102A3"/>
    <w:rsid w:val="00CA24C8"/>
    <w:rsid w:val="00CC3200"/>
    <w:rsid w:val="00D16D66"/>
    <w:rsid w:val="00DC7D8E"/>
    <w:rsid w:val="00DD6760"/>
    <w:rsid w:val="00DE1A47"/>
    <w:rsid w:val="00E132AA"/>
    <w:rsid w:val="00E4733B"/>
    <w:rsid w:val="00F94BD5"/>
    <w:rsid w:val="00FC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65A2FF2-213F-4D4D-9657-4C48648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73992"/>
    <w:rPr>
      <w:color w:val="0000FF"/>
      <w:shd w:val="clear" w:color="auto" w:fill="auto"/>
    </w:rPr>
  </w:style>
  <w:style w:type="paragraph" w:styleId="Header">
    <w:name w:val="header"/>
    <w:basedOn w:val="Normal"/>
    <w:link w:val="HeaderChar"/>
    <w:uiPriority w:val="99"/>
    <w:unhideWhenUsed/>
    <w:rsid w:val="00773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92"/>
  </w:style>
  <w:style w:type="paragraph" w:styleId="Footer">
    <w:name w:val="footer"/>
    <w:basedOn w:val="Normal"/>
    <w:link w:val="FooterChar"/>
    <w:uiPriority w:val="99"/>
    <w:unhideWhenUsed/>
    <w:rsid w:val="0077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992"/>
  </w:style>
  <w:style w:type="paragraph" w:customStyle="1" w:styleId="Pagedecouverture">
    <w:name w:val="Page de couverture"/>
    <w:basedOn w:val="Normal"/>
    <w:next w:val="Normal"/>
    <w:rsid w:val="0077399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7399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73992"/>
    <w:rPr>
      <w:rFonts w:ascii="Times New Roman" w:hAnsi="Times New Roman" w:cs="Times New Roman"/>
      <w:sz w:val="24"/>
    </w:rPr>
  </w:style>
  <w:style w:type="paragraph" w:customStyle="1" w:styleId="FooterSensitivity">
    <w:name w:val="Footer Sensitivity"/>
    <w:basedOn w:val="Normal"/>
    <w:link w:val="FooterSensitivityChar"/>
    <w:rsid w:val="0077399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73992"/>
    <w:rPr>
      <w:rFonts w:ascii="Times New Roman" w:hAnsi="Times New Roman" w:cs="Times New Roman"/>
      <w:b/>
      <w:sz w:val="32"/>
    </w:rPr>
  </w:style>
  <w:style w:type="paragraph" w:customStyle="1" w:styleId="HeaderCoverPage">
    <w:name w:val="Header Cover Page"/>
    <w:basedOn w:val="Normal"/>
    <w:link w:val="HeaderCoverPageChar"/>
    <w:rsid w:val="0077399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73992"/>
    <w:rPr>
      <w:rFonts w:ascii="Times New Roman" w:hAnsi="Times New Roman" w:cs="Times New Roman"/>
      <w:sz w:val="24"/>
    </w:rPr>
  </w:style>
  <w:style w:type="paragraph" w:customStyle="1" w:styleId="HeaderSensitivity">
    <w:name w:val="Header Sensitivity"/>
    <w:basedOn w:val="Normal"/>
    <w:link w:val="HeaderSensitivityChar"/>
    <w:rsid w:val="0077399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73992"/>
    <w:rPr>
      <w:rFonts w:ascii="Times New Roman" w:hAnsi="Times New Roman" w:cs="Times New Roman"/>
      <w:b/>
      <w:sz w:val="32"/>
    </w:rPr>
  </w:style>
  <w:style w:type="paragraph" w:customStyle="1" w:styleId="HeaderSensitivityRight">
    <w:name w:val="Header Sensitivity Right"/>
    <w:basedOn w:val="Normal"/>
    <w:link w:val="HeaderSensitivityRightChar"/>
    <w:rsid w:val="0077399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73992"/>
    <w:rPr>
      <w:rFonts w:ascii="Times New Roman" w:hAnsi="Times New Roman" w:cs="Times New Roman"/>
      <w:sz w:val="28"/>
    </w:rPr>
  </w:style>
  <w:style w:type="paragraph" w:styleId="FootnoteText">
    <w:name w:val="footnote text"/>
    <w:basedOn w:val="Normal"/>
    <w:link w:val="FootnoteTextChar"/>
    <w:semiHidden/>
    <w:unhideWhenUsed/>
    <w:rsid w:val="00DC7D8E"/>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DC7D8E"/>
    <w:rPr>
      <w:rFonts w:ascii="Calibri" w:eastAsia="Calibri" w:hAnsi="Calibri" w:cs="Times New Roman"/>
      <w:sz w:val="20"/>
      <w:szCs w:val="20"/>
    </w:rPr>
  </w:style>
  <w:style w:type="character" w:styleId="FootnoteReference">
    <w:name w:val="footnote reference"/>
    <w:semiHidden/>
    <w:rsid w:val="00DC7D8E"/>
    <w:rPr>
      <w:shd w:val="clear" w:color="auto" w:fill="auto"/>
      <w:vertAlign w:val="superscript"/>
    </w:rPr>
  </w:style>
  <w:style w:type="character" w:styleId="Hyperlink">
    <w:name w:val="Hyperlink"/>
    <w:basedOn w:val="DefaultParagraphFont"/>
    <w:uiPriority w:val="99"/>
    <w:unhideWhenUsed/>
    <w:rsid w:val="00DC7D8E"/>
    <w:rPr>
      <w:color w:val="0563C1" w:themeColor="hyperlink"/>
      <w:u w:val="single"/>
    </w:rPr>
  </w:style>
  <w:style w:type="character" w:styleId="FollowedHyperlink">
    <w:name w:val="FollowedHyperlink"/>
    <w:basedOn w:val="DefaultParagraphFont"/>
    <w:uiPriority w:val="99"/>
    <w:semiHidden/>
    <w:unhideWhenUsed/>
    <w:rsid w:val="006B2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uri=CELEX%3A52017DC0423&amp;qid=1663160578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711</Words>
  <Characters>3660</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2022-11-18T10:46:00Z</dcterms:created>
  <dcterms:modified xsi:type="dcterms:W3CDTF">2022-11-28T13:21:00Z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8.1, Build 20220902</vt:lpwstr>
  </property>
</Properties>
</file>