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8138A" w14:textId="5F8133D9" w:rsidR="00342CDC" w:rsidRDefault="0071296F" w:rsidP="0071296F">
      <w:pPr>
        <w:pStyle w:val="Pagedecouverture"/>
        <w:rPr>
          <w:noProof/>
          <w:lang w:eastAsia="en-GB" w:bidi="en-GB"/>
        </w:rPr>
      </w:pPr>
      <w:bookmarkStart w:id="0" w:name="LW_BM_COVERPAGE"/>
      <w:r>
        <w:rPr>
          <w:noProof/>
          <w:lang w:eastAsia="en-GB" w:bidi="en-GB"/>
        </w:rPr>
        <w:pict w14:anchorId="04F22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C75FDB8-147D-4346-B5A3-2937C8C25D7B" style="width:455.25pt;height:351.75pt">
            <v:imagedata r:id="rId8" o:title=""/>
          </v:shape>
        </w:pict>
      </w:r>
    </w:p>
    <w:bookmarkEnd w:id="0"/>
    <w:p w14:paraId="04F0596F" w14:textId="77777777" w:rsidR="001E0BFB" w:rsidRPr="001E0BFB" w:rsidRDefault="001E0BFB" w:rsidP="001E0BFB">
      <w:pPr>
        <w:pStyle w:val="Pagedecouverture"/>
        <w:rPr>
          <w:noProof/>
          <w:lang w:eastAsia="en-GB" w:bidi="en-GB"/>
        </w:rPr>
        <w:sectPr w:rsidR="001E0BFB" w:rsidRPr="001E0BFB" w:rsidSect="0071296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BB88BD0" w14:textId="77777777" w:rsidR="00653623" w:rsidRPr="00653623" w:rsidRDefault="00653623" w:rsidP="007D3BE4">
      <w:pPr>
        <w:spacing w:before="240" w:after="240" w:line="240" w:lineRule="auto"/>
        <w:jc w:val="center"/>
        <w:rPr>
          <w:rFonts w:ascii="Times New Roman" w:hAnsi="Times New Roman" w:cs="Times New Roman"/>
          <w:b/>
          <w:bCs/>
          <w:noProof/>
          <w:sz w:val="24"/>
          <w:lang w:bidi="en-GB"/>
        </w:rPr>
      </w:pPr>
      <w:bookmarkStart w:id="1" w:name="_GoBack"/>
      <w:bookmarkEnd w:id="1"/>
      <w:r w:rsidRPr="00653623">
        <w:rPr>
          <w:rFonts w:ascii="Times New Roman" w:hAnsi="Times New Roman" w:cs="Times New Roman"/>
          <w:b/>
          <w:bCs/>
          <w:noProof/>
          <w:sz w:val="24"/>
          <w:lang w:bidi="en-GB"/>
        </w:rPr>
        <w:lastRenderedPageBreak/>
        <w:t>REPORT FROM THE COMMISSION TO THE EUROPEAN PARLIAMENT AND THE COUNCIL</w:t>
      </w:r>
    </w:p>
    <w:p w14:paraId="11D868D5" w14:textId="7DC46429" w:rsidR="00653623" w:rsidRPr="00653623" w:rsidRDefault="00653623" w:rsidP="007D3BE4">
      <w:pPr>
        <w:spacing w:before="240" w:after="240" w:line="240" w:lineRule="auto"/>
        <w:jc w:val="center"/>
        <w:rPr>
          <w:rFonts w:ascii="Times New Roman" w:hAnsi="Times New Roman" w:cs="Times New Roman"/>
          <w:b/>
          <w:bCs/>
          <w:noProof/>
          <w:sz w:val="24"/>
          <w:lang w:val="en-US"/>
        </w:rPr>
      </w:pPr>
      <w:r w:rsidRPr="00653623">
        <w:rPr>
          <w:rFonts w:ascii="Times New Roman" w:hAnsi="Times New Roman" w:cs="Times New Roman"/>
          <w:b/>
          <w:noProof/>
          <w:sz w:val="24"/>
          <w:lang w:bidi="en-GB"/>
        </w:rPr>
        <w:t>on the delegation of</w:t>
      </w:r>
      <w:r w:rsidR="00B1749E">
        <w:rPr>
          <w:rFonts w:ascii="Times New Roman" w:hAnsi="Times New Roman" w:cs="Times New Roman"/>
          <w:b/>
          <w:noProof/>
          <w:sz w:val="24"/>
          <w:lang w:bidi="en-GB"/>
        </w:rPr>
        <w:t xml:space="preserve"> the</w:t>
      </w:r>
      <w:r w:rsidRPr="00653623">
        <w:rPr>
          <w:rFonts w:ascii="Times New Roman" w:hAnsi="Times New Roman" w:cs="Times New Roman"/>
          <w:b/>
          <w:noProof/>
          <w:sz w:val="24"/>
          <w:lang w:bidi="en-GB"/>
        </w:rPr>
        <w:t xml:space="preserve"> power to adopt delegated acts conferred on the Commission pursuant to </w:t>
      </w:r>
      <w:r w:rsidRPr="00653623">
        <w:rPr>
          <w:rFonts w:ascii="Times New Roman" w:hAnsi="Times New Roman" w:cs="Times New Roman"/>
          <w:b/>
          <w:bCs/>
          <w:noProof/>
          <w:sz w:val="24"/>
          <w:lang w:val="en-US"/>
        </w:rPr>
        <w:t>Regulation (EU) 2017/1369 of the European Parliament and of the Council of 4 July 2017 setting a framework for energy labelling and repealing Directive 2010/30/EU</w:t>
      </w:r>
    </w:p>
    <w:p w14:paraId="726830EE" w14:textId="705F8685" w:rsidR="001E7A92" w:rsidRPr="00653623" w:rsidRDefault="001E7A92" w:rsidP="007D3BE4">
      <w:pPr>
        <w:spacing w:before="240" w:after="240" w:line="240" w:lineRule="auto"/>
        <w:jc w:val="center"/>
        <w:rPr>
          <w:rFonts w:ascii="Times New Roman" w:hAnsi="Times New Roman" w:cs="Times New Roman"/>
          <w:b/>
          <w:bCs/>
          <w:noProof/>
          <w:sz w:val="24"/>
          <w:lang w:val="en-US"/>
        </w:rPr>
      </w:pPr>
    </w:p>
    <w:p w14:paraId="222A1A5E" w14:textId="77777777" w:rsidR="001E7A92" w:rsidRPr="001E7A92" w:rsidRDefault="001E7A92" w:rsidP="007D3BE4">
      <w:pPr>
        <w:pStyle w:val="ListParagraph"/>
        <w:numPr>
          <w:ilvl w:val="0"/>
          <w:numId w:val="2"/>
        </w:numPr>
        <w:spacing w:before="240" w:after="240" w:line="240" w:lineRule="auto"/>
        <w:contextualSpacing w:val="0"/>
        <w:rPr>
          <w:rFonts w:ascii="Times New Roman" w:hAnsi="Times New Roman" w:cs="Times New Roman"/>
          <w:b/>
          <w:noProof/>
          <w:sz w:val="24"/>
          <w:szCs w:val="24"/>
        </w:rPr>
      </w:pPr>
      <w:r w:rsidRPr="001E7A92">
        <w:rPr>
          <w:rFonts w:ascii="Times New Roman" w:hAnsi="Times New Roman" w:cs="Times New Roman"/>
          <w:b/>
          <w:noProof/>
          <w:sz w:val="24"/>
          <w:szCs w:val="24"/>
        </w:rPr>
        <w:t>INTRODUCTION</w:t>
      </w:r>
    </w:p>
    <w:p w14:paraId="3BEE7078" w14:textId="138FA296" w:rsidR="00C27918" w:rsidRPr="00C27918" w:rsidRDefault="00C27918" w:rsidP="007D3BE4">
      <w:pPr>
        <w:spacing w:before="240" w:after="240" w:line="240" w:lineRule="auto"/>
        <w:jc w:val="both"/>
        <w:rPr>
          <w:rFonts w:ascii="Times New Roman" w:hAnsi="Times New Roman" w:cs="Times New Roman"/>
          <w:bCs/>
          <w:noProof/>
          <w:sz w:val="24"/>
          <w:szCs w:val="24"/>
          <w:lang w:val="en-US" w:eastAsia="en-GB"/>
        </w:rPr>
      </w:pPr>
      <w:r w:rsidRPr="00C27918">
        <w:rPr>
          <w:rFonts w:ascii="Times New Roman" w:hAnsi="Times New Roman" w:cs="Times New Roman"/>
          <w:bCs/>
          <w:noProof/>
          <w:sz w:val="24"/>
          <w:szCs w:val="24"/>
          <w:lang w:val="en-US" w:eastAsia="en-GB"/>
        </w:rPr>
        <w:t>Regulation (EU) 2017/1369</w:t>
      </w:r>
      <w:r w:rsidR="003456E3">
        <w:rPr>
          <w:rStyle w:val="FootnoteReference"/>
          <w:rFonts w:ascii="Times New Roman" w:hAnsi="Times New Roman"/>
          <w:bCs/>
          <w:noProof/>
          <w:sz w:val="24"/>
          <w:szCs w:val="24"/>
          <w:lang w:val="en-US" w:eastAsia="en-GB"/>
        </w:rPr>
        <w:footnoteReference w:id="1"/>
      </w:r>
      <w:r w:rsidRPr="00C27918">
        <w:rPr>
          <w:rFonts w:ascii="Times New Roman" w:hAnsi="Times New Roman" w:cs="Times New Roman"/>
          <w:bCs/>
          <w:noProof/>
          <w:sz w:val="24"/>
          <w:szCs w:val="24"/>
          <w:lang w:val="en-US" w:eastAsia="en-GB"/>
        </w:rPr>
        <w:t xml:space="preserve"> </w:t>
      </w:r>
      <w:r w:rsidRPr="001E7A92">
        <w:rPr>
          <w:rFonts w:ascii="Times New Roman" w:hAnsi="Times New Roman" w:cs="Times New Roman"/>
          <w:bCs/>
          <w:noProof/>
          <w:sz w:val="24"/>
          <w:szCs w:val="24"/>
          <w:lang w:eastAsia="en-GB"/>
        </w:rPr>
        <w:t>of the European Parliament and of the Council</w:t>
      </w:r>
      <w:r w:rsidRPr="00C27918">
        <w:rPr>
          <w:rFonts w:ascii="Times New Roman" w:hAnsi="Times New Roman" w:cs="Times New Roman"/>
          <w:bCs/>
          <w:noProof/>
          <w:sz w:val="24"/>
          <w:szCs w:val="24"/>
          <w:lang w:val="en-US" w:eastAsia="en-GB"/>
        </w:rPr>
        <w:t xml:space="preserve"> setting a framework for energy labelling and repealing Directive 2010/30/EU </w:t>
      </w:r>
      <w:r>
        <w:rPr>
          <w:rFonts w:ascii="Times New Roman" w:hAnsi="Times New Roman" w:cs="Times New Roman"/>
          <w:bCs/>
          <w:noProof/>
          <w:sz w:val="24"/>
          <w:szCs w:val="24"/>
          <w:lang w:val="en-US" w:eastAsia="en-GB"/>
        </w:rPr>
        <w:t>was adopted on</w:t>
      </w:r>
      <w:r w:rsidRPr="00C27918">
        <w:rPr>
          <w:rFonts w:ascii="Times New Roman" w:hAnsi="Times New Roman" w:cs="Times New Roman"/>
          <w:bCs/>
          <w:noProof/>
          <w:sz w:val="24"/>
          <w:szCs w:val="24"/>
          <w:lang w:val="en-US" w:eastAsia="en-GB"/>
        </w:rPr>
        <w:t xml:space="preserve"> 4 July 2017</w:t>
      </w:r>
      <w:r w:rsidR="00951E23">
        <w:rPr>
          <w:rFonts w:ascii="Times New Roman" w:hAnsi="Times New Roman" w:cs="Times New Roman"/>
          <w:bCs/>
          <w:noProof/>
          <w:sz w:val="24"/>
          <w:szCs w:val="24"/>
          <w:lang w:val="en-US" w:eastAsia="en-GB"/>
        </w:rPr>
        <w:t xml:space="preserve"> and</w:t>
      </w:r>
      <w:r>
        <w:rPr>
          <w:rFonts w:ascii="Times New Roman" w:hAnsi="Times New Roman" w:cs="Times New Roman"/>
          <w:bCs/>
          <w:noProof/>
          <w:sz w:val="24"/>
          <w:szCs w:val="24"/>
          <w:lang w:val="en-US" w:eastAsia="en-GB"/>
        </w:rPr>
        <w:t xml:space="preserve"> entered into force on</w:t>
      </w:r>
      <w:r w:rsidR="00B6168D">
        <w:rPr>
          <w:rFonts w:ascii="Times New Roman" w:hAnsi="Times New Roman" w:cs="Times New Roman"/>
          <w:bCs/>
          <w:noProof/>
          <w:sz w:val="24"/>
          <w:szCs w:val="24"/>
          <w:lang w:val="en-US" w:eastAsia="en-GB"/>
        </w:rPr>
        <w:t xml:space="preserve"> 1 August 2017</w:t>
      </w:r>
      <w:r w:rsidR="00467495">
        <w:rPr>
          <w:rFonts w:ascii="Times New Roman" w:hAnsi="Times New Roman" w:cs="Times New Roman"/>
          <w:bCs/>
          <w:noProof/>
          <w:sz w:val="24"/>
          <w:szCs w:val="24"/>
          <w:lang w:val="en-US" w:eastAsia="en-GB"/>
        </w:rPr>
        <w:t>.</w:t>
      </w:r>
      <w:r w:rsidR="00E8142A" w:rsidRPr="00E8142A">
        <w:rPr>
          <w:noProof/>
        </w:rPr>
        <w:t xml:space="preserve"> </w:t>
      </w:r>
      <w:r w:rsidR="00E8142A">
        <w:rPr>
          <w:rFonts w:ascii="Times New Roman" w:hAnsi="Times New Roman" w:cs="Times New Roman"/>
          <w:bCs/>
          <w:noProof/>
          <w:sz w:val="24"/>
          <w:szCs w:val="24"/>
          <w:lang w:val="en-US" w:eastAsia="en-GB"/>
        </w:rPr>
        <w:t>It</w:t>
      </w:r>
      <w:r w:rsidR="00E8142A" w:rsidRPr="00E8142A">
        <w:rPr>
          <w:rFonts w:ascii="Times New Roman" w:hAnsi="Times New Roman" w:cs="Times New Roman"/>
          <w:bCs/>
          <w:noProof/>
          <w:sz w:val="24"/>
          <w:szCs w:val="24"/>
          <w:lang w:val="en-US" w:eastAsia="en-GB"/>
        </w:rPr>
        <w:t xml:space="preserve"> repeal</w:t>
      </w:r>
      <w:r w:rsidR="008900E5">
        <w:rPr>
          <w:rFonts w:ascii="Times New Roman" w:hAnsi="Times New Roman" w:cs="Times New Roman"/>
          <w:bCs/>
          <w:noProof/>
          <w:sz w:val="24"/>
          <w:szCs w:val="24"/>
          <w:lang w:val="en-US" w:eastAsia="en-GB"/>
        </w:rPr>
        <w:t>s</w:t>
      </w:r>
      <w:r w:rsidR="00E8142A" w:rsidRPr="00E8142A">
        <w:rPr>
          <w:rFonts w:ascii="Times New Roman" w:hAnsi="Times New Roman" w:cs="Times New Roman"/>
          <w:bCs/>
          <w:noProof/>
          <w:sz w:val="24"/>
          <w:szCs w:val="24"/>
          <w:lang w:val="en-US" w:eastAsia="en-GB"/>
        </w:rPr>
        <w:t xml:space="preserve"> Directive 2010/30/EU on the indication by labelling and standard product information of the consumption of energy and other resourc</w:t>
      </w:r>
      <w:r w:rsidR="00E4686E">
        <w:rPr>
          <w:rFonts w:ascii="Times New Roman" w:hAnsi="Times New Roman" w:cs="Times New Roman"/>
          <w:bCs/>
          <w:noProof/>
          <w:sz w:val="24"/>
          <w:szCs w:val="24"/>
          <w:lang w:val="en-US" w:eastAsia="en-GB"/>
        </w:rPr>
        <w:t>es by energy-related products.</w:t>
      </w:r>
    </w:p>
    <w:p w14:paraId="5D2D4B2B" w14:textId="085D1875" w:rsidR="00C27918" w:rsidRPr="00D47B4D" w:rsidRDefault="00D47B4D" w:rsidP="007D3BE4">
      <w:pPr>
        <w:spacing w:before="240" w:after="240" w:line="240" w:lineRule="auto"/>
        <w:jc w:val="both"/>
        <w:rPr>
          <w:rFonts w:ascii="Times New Roman" w:hAnsi="Times New Roman" w:cs="Times New Roman"/>
          <w:bCs/>
          <w:noProof/>
          <w:sz w:val="24"/>
          <w:szCs w:val="24"/>
          <w:lang w:val="en-US" w:eastAsia="en-GB"/>
        </w:rPr>
      </w:pPr>
      <w:r w:rsidRPr="00D47B4D">
        <w:rPr>
          <w:rFonts w:ascii="Times New Roman" w:hAnsi="Times New Roman" w:cs="Times New Roman"/>
          <w:bCs/>
          <w:noProof/>
          <w:sz w:val="24"/>
          <w:szCs w:val="24"/>
          <w:lang w:eastAsia="en-GB"/>
        </w:rPr>
        <w:t xml:space="preserve">Energy labelling </w:t>
      </w:r>
      <w:r w:rsidR="003C2B6D" w:rsidRPr="00D47B4D">
        <w:rPr>
          <w:rFonts w:ascii="Times New Roman" w:hAnsi="Times New Roman" w:cs="Times New Roman"/>
          <w:bCs/>
          <w:noProof/>
          <w:sz w:val="24"/>
          <w:szCs w:val="24"/>
          <w:lang w:eastAsia="en-GB"/>
        </w:rPr>
        <w:t xml:space="preserve">of energy-related products </w:t>
      </w:r>
      <w:r w:rsidRPr="00D47B4D">
        <w:rPr>
          <w:rFonts w:ascii="Times New Roman" w:hAnsi="Times New Roman" w:cs="Times New Roman"/>
          <w:bCs/>
          <w:noProof/>
          <w:sz w:val="24"/>
          <w:szCs w:val="24"/>
          <w:lang w:eastAsia="en-GB"/>
        </w:rPr>
        <w:t xml:space="preserve">enables </w:t>
      </w:r>
      <w:r w:rsidR="003C2B6D">
        <w:rPr>
          <w:rFonts w:ascii="Times New Roman" w:hAnsi="Times New Roman" w:cs="Times New Roman"/>
          <w:bCs/>
          <w:noProof/>
          <w:sz w:val="24"/>
          <w:szCs w:val="24"/>
          <w:lang w:eastAsia="en-GB"/>
        </w:rPr>
        <w:t>consumers</w:t>
      </w:r>
      <w:r w:rsidRPr="00D47B4D">
        <w:rPr>
          <w:rFonts w:ascii="Times New Roman" w:hAnsi="Times New Roman" w:cs="Times New Roman"/>
          <w:bCs/>
          <w:noProof/>
          <w:sz w:val="24"/>
          <w:szCs w:val="24"/>
          <w:lang w:eastAsia="en-GB"/>
        </w:rPr>
        <w:t xml:space="preserve"> to make informed choices based on </w:t>
      </w:r>
      <w:r w:rsidR="003C2B6D">
        <w:rPr>
          <w:rFonts w:ascii="Times New Roman" w:hAnsi="Times New Roman" w:cs="Times New Roman"/>
          <w:bCs/>
          <w:noProof/>
          <w:sz w:val="24"/>
          <w:szCs w:val="24"/>
          <w:lang w:eastAsia="en-GB"/>
        </w:rPr>
        <w:t xml:space="preserve">clear indications about </w:t>
      </w:r>
      <w:r w:rsidRPr="00D47B4D">
        <w:rPr>
          <w:rFonts w:ascii="Times New Roman" w:hAnsi="Times New Roman" w:cs="Times New Roman"/>
          <w:bCs/>
          <w:noProof/>
          <w:sz w:val="24"/>
          <w:szCs w:val="24"/>
          <w:lang w:eastAsia="en-GB"/>
        </w:rPr>
        <w:t>the energy efficien</w:t>
      </w:r>
      <w:r w:rsidR="003C2B6D">
        <w:rPr>
          <w:rFonts w:ascii="Times New Roman" w:hAnsi="Times New Roman" w:cs="Times New Roman"/>
          <w:bCs/>
          <w:noProof/>
          <w:sz w:val="24"/>
          <w:szCs w:val="24"/>
          <w:lang w:eastAsia="en-GB"/>
        </w:rPr>
        <w:t>cy</w:t>
      </w:r>
      <w:r w:rsidRPr="00D47B4D">
        <w:rPr>
          <w:rFonts w:ascii="Times New Roman" w:hAnsi="Times New Roman" w:cs="Times New Roman"/>
          <w:bCs/>
          <w:noProof/>
          <w:sz w:val="24"/>
          <w:szCs w:val="24"/>
          <w:lang w:eastAsia="en-GB"/>
        </w:rPr>
        <w:t xml:space="preserve"> and </w:t>
      </w:r>
      <w:r w:rsidR="003C2B6D">
        <w:rPr>
          <w:rFonts w:ascii="Times New Roman" w:hAnsi="Times New Roman" w:cs="Times New Roman"/>
          <w:bCs/>
          <w:noProof/>
          <w:sz w:val="24"/>
          <w:szCs w:val="24"/>
          <w:lang w:eastAsia="en-GB"/>
        </w:rPr>
        <w:t xml:space="preserve">other important supplementary information </w:t>
      </w:r>
      <w:r w:rsidR="008900E5">
        <w:rPr>
          <w:rFonts w:ascii="Times New Roman" w:hAnsi="Times New Roman" w:cs="Times New Roman"/>
          <w:bCs/>
          <w:noProof/>
          <w:sz w:val="24"/>
          <w:szCs w:val="24"/>
          <w:lang w:eastAsia="en-GB"/>
        </w:rPr>
        <w:t>of</w:t>
      </w:r>
      <w:r w:rsidRPr="00D47B4D">
        <w:rPr>
          <w:rFonts w:ascii="Times New Roman" w:hAnsi="Times New Roman" w:cs="Times New Roman"/>
          <w:bCs/>
          <w:noProof/>
          <w:sz w:val="24"/>
          <w:szCs w:val="24"/>
          <w:lang w:eastAsia="en-GB"/>
        </w:rPr>
        <w:t xml:space="preserve"> products</w:t>
      </w:r>
      <w:r w:rsidR="003C2B6D">
        <w:rPr>
          <w:rFonts w:ascii="Times New Roman" w:hAnsi="Times New Roman" w:cs="Times New Roman"/>
          <w:bCs/>
          <w:noProof/>
          <w:sz w:val="24"/>
          <w:szCs w:val="24"/>
          <w:lang w:eastAsia="en-GB"/>
        </w:rPr>
        <w:t>. Energy labelling</w:t>
      </w:r>
      <w:r w:rsidRPr="00D47B4D">
        <w:rPr>
          <w:rFonts w:ascii="Times New Roman" w:hAnsi="Times New Roman" w:cs="Times New Roman"/>
          <w:bCs/>
          <w:noProof/>
          <w:sz w:val="24"/>
          <w:szCs w:val="24"/>
          <w:lang w:eastAsia="en-GB"/>
        </w:rPr>
        <w:t xml:space="preserve"> makes a significant contribution to energy savings and to reducing energy bills, while at the same time promoting innovation and investments into the </w:t>
      </w:r>
      <w:r w:rsidR="003C2B6D">
        <w:rPr>
          <w:rFonts w:ascii="Times New Roman" w:hAnsi="Times New Roman" w:cs="Times New Roman"/>
          <w:bCs/>
          <w:noProof/>
          <w:sz w:val="24"/>
          <w:szCs w:val="24"/>
          <w:lang w:eastAsia="en-GB"/>
        </w:rPr>
        <w:t>development and marketing</w:t>
      </w:r>
      <w:r w:rsidRPr="00D47B4D">
        <w:rPr>
          <w:rFonts w:ascii="Times New Roman" w:hAnsi="Times New Roman" w:cs="Times New Roman"/>
          <w:bCs/>
          <w:noProof/>
          <w:sz w:val="24"/>
          <w:szCs w:val="24"/>
          <w:lang w:eastAsia="en-GB"/>
        </w:rPr>
        <w:t xml:space="preserve"> of more energy efficient products. </w:t>
      </w:r>
      <w:r w:rsidR="003C2B6D">
        <w:rPr>
          <w:rFonts w:ascii="Times New Roman" w:hAnsi="Times New Roman" w:cs="Times New Roman"/>
          <w:bCs/>
          <w:noProof/>
          <w:sz w:val="24"/>
          <w:szCs w:val="24"/>
          <w:lang w:eastAsia="en-GB"/>
        </w:rPr>
        <w:t>By</w:t>
      </w:r>
      <w:r w:rsidRPr="00D47B4D">
        <w:rPr>
          <w:rFonts w:ascii="Times New Roman" w:hAnsi="Times New Roman" w:cs="Times New Roman"/>
          <w:bCs/>
          <w:noProof/>
          <w:sz w:val="24"/>
          <w:szCs w:val="24"/>
          <w:lang w:eastAsia="en-GB"/>
        </w:rPr>
        <w:t xml:space="preserve"> harmonising related requirements at Union level</w:t>
      </w:r>
      <w:r w:rsidR="003C2B6D">
        <w:rPr>
          <w:rFonts w:ascii="Times New Roman" w:hAnsi="Times New Roman" w:cs="Times New Roman"/>
          <w:bCs/>
          <w:noProof/>
          <w:sz w:val="24"/>
          <w:szCs w:val="24"/>
          <w:lang w:eastAsia="en-GB"/>
        </w:rPr>
        <w:t>, EU energy labelling</w:t>
      </w:r>
      <w:r w:rsidRPr="00D47B4D">
        <w:rPr>
          <w:rFonts w:ascii="Times New Roman" w:hAnsi="Times New Roman" w:cs="Times New Roman"/>
          <w:bCs/>
          <w:noProof/>
          <w:sz w:val="24"/>
          <w:szCs w:val="24"/>
          <w:lang w:eastAsia="en-GB"/>
        </w:rPr>
        <w:t xml:space="preserve"> </w:t>
      </w:r>
      <w:r w:rsidR="003C2B6D" w:rsidRPr="00D47B4D">
        <w:rPr>
          <w:rFonts w:ascii="Times New Roman" w:hAnsi="Times New Roman" w:cs="Times New Roman"/>
          <w:bCs/>
          <w:noProof/>
          <w:sz w:val="24"/>
          <w:szCs w:val="24"/>
          <w:lang w:eastAsia="en-GB"/>
        </w:rPr>
        <w:t xml:space="preserve">also </w:t>
      </w:r>
      <w:r w:rsidRPr="00D47B4D">
        <w:rPr>
          <w:rFonts w:ascii="Times New Roman" w:hAnsi="Times New Roman" w:cs="Times New Roman"/>
          <w:bCs/>
          <w:noProof/>
          <w:sz w:val="24"/>
          <w:szCs w:val="24"/>
          <w:lang w:eastAsia="en-GB"/>
        </w:rPr>
        <w:t>benefits manufacturers, industry and the Union economy overall.</w:t>
      </w:r>
      <w:r w:rsidR="003C2B6D">
        <w:rPr>
          <w:rFonts w:ascii="Times New Roman" w:hAnsi="Times New Roman" w:cs="Times New Roman"/>
          <w:bCs/>
          <w:noProof/>
          <w:sz w:val="24"/>
          <w:szCs w:val="24"/>
          <w:lang w:eastAsia="en-GB"/>
        </w:rPr>
        <w:t xml:space="preserve"> Together with ecodesign minimum requirements, these rules are estimated to have saved EU energy consumers expenditure of more than €250 bn in 2022 alone</w:t>
      </w:r>
      <w:r w:rsidR="001E03B4">
        <w:rPr>
          <w:rStyle w:val="FootnoteReference"/>
          <w:rFonts w:ascii="Times New Roman" w:hAnsi="Times New Roman"/>
          <w:bCs/>
          <w:noProof/>
          <w:sz w:val="24"/>
          <w:szCs w:val="24"/>
          <w:lang w:eastAsia="en-GB"/>
        </w:rPr>
        <w:footnoteReference w:id="2"/>
      </w:r>
      <w:r w:rsidR="003C2B6D">
        <w:rPr>
          <w:rFonts w:ascii="Times New Roman" w:hAnsi="Times New Roman" w:cs="Times New Roman"/>
          <w:bCs/>
          <w:noProof/>
          <w:sz w:val="24"/>
          <w:szCs w:val="24"/>
          <w:lang w:eastAsia="en-GB"/>
        </w:rPr>
        <w:t>.</w:t>
      </w:r>
    </w:p>
    <w:p w14:paraId="5F4417BF" w14:textId="28106336" w:rsidR="00D47B4D" w:rsidRDefault="00813DF8" w:rsidP="007D3BE4">
      <w:pPr>
        <w:spacing w:before="240" w:after="240" w:line="240" w:lineRule="auto"/>
        <w:jc w:val="both"/>
        <w:rPr>
          <w:rFonts w:ascii="Times New Roman" w:hAnsi="Times New Roman"/>
          <w:bCs/>
          <w:noProof/>
          <w:sz w:val="24"/>
          <w:szCs w:val="24"/>
          <w:lang w:eastAsia="en-GB"/>
        </w:rPr>
      </w:pPr>
      <w:r w:rsidRPr="00813DF8">
        <w:rPr>
          <w:rFonts w:ascii="Times New Roman" w:hAnsi="Times New Roman"/>
          <w:bCs/>
          <w:noProof/>
          <w:sz w:val="24"/>
          <w:szCs w:val="24"/>
          <w:lang w:eastAsia="en-GB"/>
        </w:rPr>
        <w:t xml:space="preserve">According to </w:t>
      </w:r>
      <w:r w:rsidR="00C72429">
        <w:rPr>
          <w:rFonts w:ascii="Times New Roman" w:hAnsi="Times New Roman"/>
          <w:bCs/>
          <w:noProof/>
          <w:sz w:val="24"/>
          <w:szCs w:val="24"/>
          <w:lang w:eastAsia="en-GB"/>
        </w:rPr>
        <w:t>Article 11</w:t>
      </w:r>
      <w:r w:rsidR="00F871F7">
        <w:rPr>
          <w:rFonts w:ascii="Times New Roman" w:hAnsi="Times New Roman"/>
          <w:bCs/>
          <w:noProof/>
          <w:sz w:val="24"/>
          <w:szCs w:val="24"/>
          <w:lang w:eastAsia="en-GB"/>
        </w:rPr>
        <w:t xml:space="preserve"> (subparagraphs 4 and 5) </w:t>
      </w:r>
      <w:r w:rsidRPr="00813DF8">
        <w:rPr>
          <w:rFonts w:ascii="Times New Roman" w:hAnsi="Times New Roman"/>
          <w:bCs/>
          <w:noProof/>
          <w:sz w:val="24"/>
          <w:szCs w:val="24"/>
          <w:lang w:eastAsia="en-GB"/>
        </w:rPr>
        <w:t xml:space="preserve">of </w:t>
      </w:r>
      <w:r w:rsidRPr="00C27918">
        <w:rPr>
          <w:rFonts w:ascii="Times New Roman" w:hAnsi="Times New Roman" w:cs="Times New Roman"/>
          <w:bCs/>
          <w:noProof/>
          <w:sz w:val="24"/>
          <w:szCs w:val="24"/>
          <w:lang w:val="en-US" w:eastAsia="en-GB"/>
        </w:rPr>
        <w:t>Regulation (EU) 2017/1369</w:t>
      </w:r>
      <w:r w:rsidRPr="00813DF8">
        <w:rPr>
          <w:rFonts w:ascii="Times New Roman" w:hAnsi="Times New Roman"/>
          <w:bCs/>
          <w:noProof/>
          <w:sz w:val="24"/>
          <w:szCs w:val="24"/>
          <w:lang w:eastAsia="en-GB"/>
        </w:rPr>
        <w:t>, the Commission is empowered to adopt delegated acts</w:t>
      </w:r>
      <w:r w:rsidR="00E8142A">
        <w:rPr>
          <w:rFonts w:ascii="Times New Roman" w:hAnsi="Times New Roman"/>
          <w:bCs/>
          <w:noProof/>
          <w:sz w:val="24"/>
          <w:szCs w:val="24"/>
          <w:lang w:eastAsia="en-GB"/>
        </w:rPr>
        <w:t xml:space="preserve"> </w:t>
      </w:r>
      <w:r w:rsidR="00C850B6">
        <w:rPr>
          <w:rFonts w:ascii="Times New Roman" w:hAnsi="Times New Roman"/>
          <w:bCs/>
          <w:noProof/>
          <w:sz w:val="24"/>
          <w:szCs w:val="24"/>
          <w:lang w:eastAsia="en-GB"/>
        </w:rPr>
        <w:t xml:space="preserve">to rescale labels </w:t>
      </w:r>
      <w:r w:rsidR="00096366">
        <w:rPr>
          <w:rFonts w:ascii="Times New Roman" w:hAnsi="Times New Roman"/>
          <w:bCs/>
          <w:noProof/>
          <w:sz w:val="24"/>
          <w:szCs w:val="24"/>
          <w:lang w:eastAsia="en-GB"/>
        </w:rPr>
        <w:t xml:space="preserve">and to </w:t>
      </w:r>
      <w:r w:rsidR="00E8142A" w:rsidRPr="00E8142A">
        <w:rPr>
          <w:rFonts w:ascii="Times New Roman" w:hAnsi="Times New Roman"/>
          <w:bCs/>
          <w:noProof/>
          <w:sz w:val="24"/>
          <w:szCs w:val="24"/>
          <w:lang w:eastAsia="en-GB"/>
        </w:rPr>
        <w:t>establis</w:t>
      </w:r>
      <w:r w:rsidR="00096366">
        <w:rPr>
          <w:rFonts w:ascii="Times New Roman" w:hAnsi="Times New Roman"/>
          <w:bCs/>
          <w:noProof/>
          <w:sz w:val="24"/>
          <w:szCs w:val="24"/>
          <w:lang w:eastAsia="en-GB"/>
        </w:rPr>
        <w:t>h</w:t>
      </w:r>
      <w:r w:rsidR="00E8142A" w:rsidRPr="00E8142A">
        <w:rPr>
          <w:rFonts w:ascii="Times New Roman" w:hAnsi="Times New Roman"/>
          <w:bCs/>
          <w:noProof/>
          <w:sz w:val="24"/>
          <w:szCs w:val="24"/>
          <w:lang w:eastAsia="en-GB"/>
        </w:rPr>
        <w:t xml:space="preserve"> detailed requirements relating to </w:t>
      </w:r>
      <w:r w:rsidR="00E8142A">
        <w:rPr>
          <w:rFonts w:ascii="Times New Roman" w:hAnsi="Times New Roman"/>
          <w:bCs/>
          <w:noProof/>
          <w:sz w:val="24"/>
          <w:szCs w:val="24"/>
          <w:lang w:eastAsia="en-GB"/>
        </w:rPr>
        <w:t xml:space="preserve">energy </w:t>
      </w:r>
      <w:r w:rsidR="00E8142A" w:rsidRPr="00E8142A">
        <w:rPr>
          <w:rFonts w:ascii="Times New Roman" w:hAnsi="Times New Roman"/>
          <w:bCs/>
          <w:noProof/>
          <w:sz w:val="24"/>
          <w:szCs w:val="24"/>
          <w:lang w:eastAsia="en-GB"/>
        </w:rPr>
        <w:t>labels for specific product</w:t>
      </w:r>
      <w:r w:rsidR="00096366">
        <w:rPr>
          <w:rFonts w:ascii="Times New Roman" w:hAnsi="Times New Roman"/>
          <w:bCs/>
          <w:noProof/>
          <w:sz w:val="24"/>
          <w:szCs w:val="24"/>
          <w:lang w:eastAsia="en-GB"/>
        </w:rPr>
        <w:t xml:space="preserve"> groups</w:t>
      </w:r>
      <w:r w:rsidR="00C850B6">
        <w:rPr>
          <w:rFonts w:ascii="Times New Roman" w:hAnsi="Times New Roman"/>
          <w:bCs/>
          <w:noProof/>
          <w:sz w:val="24"/>
          <w:szCs w:val="24"/>
          <w:lang w:eastAsia="en-GB"/>
        </w:rPr>
        <w:t xml:space="preserve"> </w:t>
      </w:r>
      <w:r w:rsidR="00096366">
        <w:rPr>
          <w:rFonts w:ascii="Times New Roman" w:hAnsi="Times New Roman"/>
          <w:bCs/>
          <w:noProof/>
          <w:sz w:val="24"/>
          <w:szCs w:val="24"/>
          <w:lang w:eastAsia="en-GB"/>
        </w:rPr>
        <w:t>under</w:t>
      </w:r>
      <w:r w:rsidR="00C850B6">
        <w:rPr>
          <w:rFonts w:ascii="Times New Roman" w:hAnsi="Times New Roman"/>
          <w:bCs/>
          <w:noProof/>
          <w:sz w:val="24"/>
          <w:szCs w:val="24"/>
          <w:lang w:eastAsia="en-GB"/>
        </w:rPr>
        <w:t xml:space="preserve"> its Article 16</w:t>
      </w:r>
      <w:r w:rsidRPr="00813DF8">
        <w:rPr>
          <w:rFonts w:ascii="Times New Roman" w:hAnsi="Times New Roman"/>
          <w:bCs/>
          <w:noProof/>
          <w:sz w:val="24"/>
          <w:szCs w:val="24"/>
          <w:lang w:eastAsia="en-GB"/>
        </w:rPr>
        <w:t>.</w:t>
      </w:r>
      <w:r>
        <w:rPr>
          <w:rFonts w:ascii="Times New Roman" w:hAnsi="Times New Roman"/>
          <w:bCs/>
          <w:noProof/>
          <w:sz w:val="24"/>
          <w:szCs w:val="24"/>
          <w:lang w:eastAsia="en-GB"/>
        </w:rPr>
        <w:t xml:space="preserve"> </w:t>
      </w:r>
      <w:r w:rsidR="00096366">
        <w:rPr>
          <w:rFonts w:ascii="Times New Roman" w:hAnsi="Times New Roman"/>
          <w:bCs/>
          <w:noProof/>
          <w:sz w:val="24"/>
          <w:szCs w:val="24"/>
          <w:lang w:eastAsia="en-GB"/>
        </w:rPr>
        <w:t xml:space="preserve">Article 17 </w:t>
      </w:r>
      <w:r w:rsidR="00F871F7">
        <w:rPr>
          <w:rFonts w:ascii="Times New Roman" w:hAnsi="Times New Roman"/>
          <w:bCs/>
          <w:noProof/>
          <w:sz w:val="24"/>
          <w:szCs w:val="24"/>
          <w:lang w:eastAsia="en-GB"/>
        </w:rPr>
        <w:t xml:space="preserve">foresees </w:t>
      </w:r>
      <w:r w:rsidR="00F14BD1">
        <w:rPr>
          <w:rFonts w:ascii="Times New Roman" w:hAnsi="Times New Roman"/>
          <w:bCs/>
          <w:noProof/>
          <w:sz w:val="24"/>
          <w:szCs w:val="24"/>
          <w:lang w:eastAsia="en-GB"/>
        </w:rPr>
        <w:t xml:space="preserve">that </w:t>
      </w:r>
      <w:r>
        <w:rPr>
          <w:rFonts w:ascii="Times New Roman" w:hAnsi="Times New Roman"/>
          <w:bCs/>
          <w:noProof/>
          <w:sz w:val="24"/>
          <w:szCs w:val="24"/>
          <w:lang w:eastAsia="en-GB"/>
        </w:rPr>
        <w:t>t</w:t>
      </w:r>
      <w:r w:rsidRPr="00813DF8">
        <w:rPr>
          <w:rFonts w:ascii="Times New Roman" w:hAnsi="Times New Roman"/>
          <w:bCs/>
          <w:noProof/>
          <w:sz w:val="24"/>
          <w:szCs w:val="24"/>
          <w:lang w:eastAsia="en-GB"/>
        </w:rPr>
        <w:t>he power to adopt delegated acts shall be conferred on the Commission for a</w:t>
      </w:r>
      <w:r w:rsidR="00096366">
        <w:rPr>
          <w:rFonts w:ascii="Times New Roman" w:hAnsi="Times New Roman"/>
          <w:bCs/>
          <w:noProof/>
          <w:sz w:val="24"/>
          <w:szCs w:val="24"/>
          <w:lang w:eastAsia="en-GB"/>
        </w:rPr>
        <w:t>n initial</w:t>
      </w:r>
      <w:r w:rsidRPr="00813DF8">
        <w:rPr>
          <w:rFonts w:ascii="Times New Roman" w:hAnsi="Times New Roman"/>
          <w:bCs/>
          <w:noProof/>
          <w:sz w:val="24"/>
          <w:szCs w:val="24"/>
          <w:lang w:eastAsia="en-GB"/>
        </w:rPr>
        <w:t xml:space="preserve"> period of six </w:t>
      </w:r>
      <w:r w:rsidRPr="00F14BD1">
        <w:rPr>
          <w:rFonts w:ascii="Times New Roman" w:hAnsi="Times New Roman"/>
          <w:bCs/>
          <w:noProof/>
          <w:sz w:val="24"/>
          <w:szCs w:val="24"/>
          <w:lang w:eastAsia="en-GB"/>
        </w:rPr>
        <w:t>years from 1 August 2017</w:t>
      </w:r>
      <w:r w:rsidR="00096366" w:rsidRPr="00096366">
        <w:rPr>
          <w:rFonts w:ascii="Times New Roman" w:hAnsi="Times New Roman"/>
          <w:bCs/>
          <w:noProof/>
          <w:sz w:val="24"/>
          <w:szCs w:val="24"/>
          <w:lang w:eastAsia="en-GB"/>
        </w:rPr>
        <w:t xml:space="preserve"> </w:t>
      </w:r>
      <w:r w:rsidR="00096366">
        <w:rPr>
          <w:rFonts w:ascii="Times New Roman" w:hAnsi="Times New Roman"/>
          <w:bCs/>
          <w:noProof/>
          <w:sz w:val="24"/>
          <w:szCs w:val="24"/>
          <w:lang w:eastAsia="en-GB"/>
        </w:rPr>
        <w:t>and t</w:t>
      </w:r>
      <w:r w:rsidR="0076122E">
        <w:rPr>
          <w:rFonts w:ascii="Times New Roman" w:hAnsi="Times New Roman"/>
          <w:bCs/>
          <w:noProof/>
          <w:sz w:val="24"/>
          <w:szCs w:val="24"/>
          <w:lang w:eastAsia="en-GB"/>
        </w:rPr>
        <w:t>he conditions for its extension</w:t>
      </w:r>
      <w:r w:rsidR="00640702" w:rsidRPr="00640702">
        <w:rPr>
          <w:rFonts w:ascii="Times New Roman" w:hAnsi="Times New Roman"/>
          <w:bCs/>
          <w:noProof/>
          <w:sz w:val="24"/>
          <w:szCs w:val="24"/>
          <w:lang w:eastAsia="en-GB"/>
        </w:rPr>
        <w:t>.</w:t>
      </w:r>
    </w:p>
    <w:p w14:paraId="678A4DC8" w14:textId="77777777" w:rsidR="001E7A92" w:rsidRPr="001E7A92" w:rsidRDefault="001E7A92" w:rsidP="007D3BE4">
      <w:pPr>
        <w:pStyle w:val="ListParagraph"/>
        <w:numPr>
          <w:ilvl w:val="0"/>
          <w:numId w:val="2"/>
        </w:numPr>
        <w:spacing w:before="240" w:after="240" w:line="240" w:lineRule="auto"/>
        <w:contextualSpacing w:val="0"/>
        <w:rPr>
          <w:rFonts w:ascii="Times New Roman" w:hAnsi="Times New Roman" w:cs="Times New Roman"/>
          <w:b/>
          <w:noProof/>
          <w:sz w:val="24"/>
          <w:szCs w:val="24"/>
        </w:rPr>
      </w:pPr>
      <w:r w:rsidRPr="001E7A92">
        <w:rPr>
          <w:rFonts w:ascii="Times New Roman" w:hAnsi="Times New Roman" w:cs="Times New Roman"/>
          <w:b/>
          <w:noProof/>
          <w:sz w:val="24"/>
          <w:szCs w:val="24"/>
        </w:rPr>
        <w:t>LEGAL BASIS</w:t>
      </w:r>
    </w:p>
    <w:p w14:paraId="7828687D" w14:textId="103BBDAC" w:rsidR="00E45CD2" w:rsidRPr="00BE1886" w:rsidRDefault="00421737" w:rsidP="007D3BE4">
      <w:pPr>
        <w:spacing w:before="240" w:after="240" w:line="240" w:lineRule="auto"/>
        <w:jc w:val="both"/>
        <w:rPr>
          <w:rFonts w:ascii="Times New Roman" w:hAnsi="Times New Roman" w:cs="Times New Roman"/>
          <w:noProof/>
          <w:sz w:val="24"/>
          <w:szCs w:val="24"/>
        </w:rPr>
      </w:pPr>
      <w:r w:rsidRPr="00421737">
        <w:rPr>
          <w:rFonts w:ascii="Times New Roman" w:hAnsi="Times New Roman" w:cs="Times New Roman"/>
          <w:noProof/>
          <w:sz w:val="24"/>
          <w:szCs w:val="24"/>
        </w:rPr>
        <w:t xml:space="preserve">This report is required under Article 17(2) of </w:t>
      </w:r>
      <w:r w:rsidRPr="00421737">
        <w:rPr>
          <w:rFonts w:ascii="Times New Roman" w:hAnsi="Times New Roman" w:cs="Times New Roman"/>
          <w:bCs/>
          <w:noProof/>
          <w:sz w:val="24"/>
          <w:szCs w:val="24"/>
          <w:lang w:val="en-US" w:eastAsia="en-GB"/>
        </w:rPr>
        <w:t>Regulation (EU) 2017/1369</w:t>
      </w:r>
      <w:r w:rsidRPr="00421737">
        <w:rPr>
          <w:rFonts w:ascii="Times New Roman" w:hAnsi="Times New Roman" w:cs="Times New Roman"/>
          <w:noProof/>
          <w:sz w:val="24"/>
          <w:szCs w:val="24"/>
        </w:rPr>
        <w:t xml:space="preserve">. Pursuant to this provision, the power to adopt delegated acts is conferred on the Commission for a period of six years from 1 August 2017 and the Commission is required to prepare a report in respect of the delegation of power at the latest nine months before the end of the six-year period. </w:t>
      </w:r>
      <w:r w:rsidR="00640702">
        <w:rPr>
          <w:rFonts w:ascii="Times New Roman" w:hAnsi="Times New Roman" w:cs="Times New Roman"/>
          <w:noProof/>
          <w:sz w:val="24"/>
          <w:szCs w:val="24"/>
        </w:rPr>
        <w:t>T</w:t>
      </w:r>
      <w:r w:rsidR="002C0078" w:rsidRPr="00BE1886">
        <w:rPr>
          <w:rFonts w:ascii="Times New Roman" w:hAnsi="Times New Roman" w:cs="Times New Roman"/>
          <w:noProof/>
          <w:sz w:val="24"/>
          <w:szCs w:val="24"/>
        </w:rPr>
        <w:t>his report</w:t>
      </w:r>
      <w:r w:rsidR="00640702">
        <w:rPr>
          <w:rFonts w:ascii="Times New Roman" w:hAnsi="Times New Roman" w:cs="Times New Roman"/>
          <w:noProof/>
          <w:sz w:val="24"/>
          <w:szCs w:val="24"/>
        </w:rPr>
        <w:t xml:space="preserve"> aim</w:t>
      </w:r>
      <w:r w:rsidR="000E1659">
        <w:rPr>
          <w:rFonts w:ascii="Times New Roman" w:hAnsi="Times New Roman" w:cs="Times New Roman"/>
          <w:noProof/>
          <w:sz w:val="24"/>
          <w:szCs w:val="24"/>
        </w:rPr>
        <w:t>s</w:t>
      </w:r>
      <w:r w:rsidR="00640702">
        <w:rPr>
          <w:rFonts w:ascii="Times New Roman" w:hAnsi="Times New Roman" w:cs="Times New Roman"/>
          <w:noProof/>
          <w:sz w:val="24"/>
          <w:szCs w:val="24"/>
        </w:rPr>
        <w:t xml:space="preserve"> to fulfil that requirement</w:t>
      </w:r>
      <w:r w:rsidR="00E4686E">
        <w:rPr>
          <w:rFonts w:ascii="Times New Roman" w:hAnsi="Times New Roman" w:cs="Times New Roman"/>
          <w:noProof/>
          <w:sz w:val="24"/>
          <w:szCs w:val="24"/>
        </w:rPr>
        <w:t>.</w:t>
      </w:r>
    </w:p>
    <w:p w14:paraId="78075CE1" w14:textId="31FFCBD0" w:rsidR="000510BA" w:rsidRPr="000510BA" w:rsidRDefault="000510BA" w:rsidP="007D3BE4">
      <w:pPr>
        <w:spacing w:before="240" w:after="240" w:line="240" w:lineRule="auto"/>
        <w:jc w:val="both"/>
        <w:rPr>
          <w:rFonts w:ascii="Times New Roman" w:hAnsi="Times New Roman" w:cs="Times New Roman"/>
          <w:noProof/>
          <w:sz w:val="24"/>
          <w:szCs w:val="24"/>
          <w:lang w:bidi="en-GB"/>
        </w:rPr>
      </w:pPr>
      <w:r w:rsidRPr="000510BA">
        <w:rPr>
          <w:rFonts w:ascii="Times New Roman" w:hAnsi="Times New Roman" w:cs="Times New Roman"/>
          <w:noProof/>
          <w:sz w:val="24"/>
          <w:szCs w:val="24"/>
        </w:rPr>
        <w:t>Article 17(2) of Regulation (EU) 2017/1369</w:t>
      </w:r>
      <w:r>
        <w:rPr>
          <w:rFonts w:ascii="Times New Roman" w:hAnsi="Times New Roman" w:cs="Times New Roman"/>
          <w:noProof/>
          <w:sz w:val="24"/>
          <w:szCs w:val="24"/>
        </w:rPr>
        <w:t xml:space="preserve"> </w:t>
      </w:r>
      <w:r w:rsidR="00640702">
        <w:rPr>
          <w:rFonts w:ascii="Times New Roman" w:hAnsi="Times New Roman" w:cs="Times New Roman"/>
          <w:noProof/>
          <w:sz w:val="24"/>
          <w:szCs w:val="24"/>
        </w:rPr>
        <w:t xml:space="preserve">also </w:t>
      </w:r>
      <w:r w:rsidRPr="000510BA">
        <w:rPr>
          <w:rFonts w:ascii="Times New Roman" w:hAnsi="Times New Roman" w:cs="Times New Roman"/>
          <w:noProof/>
          <w:sz w:val="24"/>
          <w:szCs w:val="24"/>
          <w:lang w:bidi="en-GB"/>
        </w:rPr>
        <w:t xml:space="preserve">lays down that </w:t>
      </w:r>
      <w:r>
        <w:rPr>
          <w:rFonts w:ascii="Times New Roman" w:hAnsi="Times New Roman" w:cs="Times New Roman"/>
          <w:noProof/>
          <w:sz w:val="24"/>
          <w:szCs w:val="24"/>
          <w:lang w:bidi="en-GB"/>
        </w:rPr>
        <w:t>t</w:t>
      </w:r>
      <w:r w:rsidRPr="000510BA">
        <w:rPr>
          <w:rFonts w:ascii="Times New Roman" w:hAnsi="Times New Roman" w:cs="Times New Roman"/>
          <w:noProof/>
          <w:sz w:val="24"/>
          <w:szCs w:val="24"/>
          <w:lang w:bidi="en-GB"/>
        </w:rPr>
        <w:t>he delegation of power shall be tacitly extended for periods of an identical duration, unless the European Parliament or the Council opposes such extension not later than three month</w:t>
      </w:r>
      <w:r>
        <w:rPr>
          <w:rFonts w:ascii="Times New Roman" w:hAnsi="Times New Roman" w:cs="Times New Roman"/>
          <w:noProof/>
          <w:sz w:val="24"/>
          <w:szCs w:val="24"/>
          <w:lang w:bidi="en-GB"/>
        </w:rPr>
        <w:t>s before the end of each period, while Article 17</w:t>
      </w:r>
      <w:r w:rsidRPr="000510BA">
        <w:rPr>
          <w:rFonts w:ascii="Times New Roman" w:hAnsi="Times New Roman" w:cs="Times New Roman"/>
          <w:noProof/>
          <w:sz w:val="24"/>
          <w:szCs w:val="24"/>
          <w:lang w:bidi="en-GB"/>
        </w:rPr>
        <w:t>(3) states that the delegation of power may be revoked at any time by the European Parliament or by the Council.</w:t>
      </w:r>
    </w:p>
    <w:p w14:paraId="4636B97D" w14:textId="6AD49450" w:rsidR="00937C72" w:rsidRPr="00DC720C" w:rsidRDefault="001E7A92" w:rsidP="007D3BE4">
      <w:pPr>
        <w:pStyle w:val="ListParagraph"/>
        <w:numPr>
          <w:ilvl w:val="0"/>
          <w:numId w:val="2"/>
        </w:numPr>
        <w:spacing w:before="240" w:after="240" w:line="240" w:lineRule="auto"/>
        <w:contextualSpacing w:val="0"/>
        <w:rPr>
          <w:rFonts w:ascii="Times New Roman" w:hAnsi="Times New Roman" w:cs="Times New Roman"/>
          <w:b/>
          <w:noProof/>
          <w:sz w:val="24"/>
          <w:szCs w:val="24"/>
        </w:rPr>
      </w:pPr>
      <w:r w:rsidRPr="001E7A92">
        <w:rPr>
          <w:rFonts w:ascii="Times New Roman" w:hAnsi="Times New Roman" w:cs="Times New Roman"/>
          <w:b/>
          <w:noProof/>
          <w:sz w:val="24"/>
          <w:szCs w:val="24"/>
        </w:rPr>
        <w:t>EXERCISE OF THE DELEGATION</w:t>
      </w:r>
    </w:p>
    <w:p w14:paraId="24F864FA" w14:textId="05AF157F" w:rsidR="00205614" w:rsidRPr="00DC720C" w:rsidRDefault="00AA6925" w:rsidP="007D3BE4">
      <w:pPr>
        <w:pStyle w:val="ListParagraph"/>
        <w:numPr>
          <w:ilvl w:val="1"/>
          <w:numId w:val="2"/>
        </w:numPr>
        <w:spacing w:before="240" w:after="240" w:line="240" w:lineRule="auto"/>
        <w:contextualSpacing w:val="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937C72" w:rsidRPr="00937C72">
        <w:rPr>
          <w:rFonts w:ascii="Times New Roman" w:hAnsi="Times New Roman" w:cs="Times New Roman"/>
          <w:b/>
          <w:noProof/>
          <w:sz w:val="24"/>
          <w:szCs w:val="24"/>
        </w:rPr>
        <w:t>Consultation prior to adoption</w:t>
      </w:r>
    </w:p>
    <w:p w14:paraId="3AA74CCE" w14:textId="6C50617B" w:rsidR="00937C72" w:rsidRDefault="00A050C3" w:rsidP="007D3BE4">
      <w:pPr>
        <w:spacing w:before="240" w:after="240" w:line="240" w:lineRule="auto"/>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eastAsia="en-GB"/>
        </w:rPr>
        <w:t>I</w:t>
      </w:r>
      <w:r w:rsidR="00937C72" w:rsidRPr="00205614">
        <w:rPr>
          <w:rFonts w:ascii="Times New Roman" w:hAnsi="Times New Roman" w:cs="Times New Roman"/>
          <w:bCs/>
          <w:noProof/>
          <w:sz w:val="24"/>
          <w:szCs w:val="24"/>
          <w:lang w:eastAsia="en-GB"/>
        </w:rPr>
        <w:t>n the spirit of openness and transparency, the Commission</w:t>
      </w:r>
      <w:r w:rsidR="0045702B">
        <w:rPr>
          <w:rFonts w:ascii="Times New Roman" w:hAnsi="Times New Roman" w:cs="Times New Roman"/>
          <w:bCs/>
          <w:noProof/>
          <w:sz w:val="24"/>
          <w:szCs w:val="24"/>
          <w:lang w:eastAsia="en-GB"/>
        </w:rPr>
        <w:t xml:space="preserve"> has</w:t>
      </w:r>
      <w:r w:rsidR="00937C72" w:rsidRPr="00205614">
        <w:rPr>
          <w:rFonts w:ascii="Times New Roman" w:hAnsi="Times New Roman" w:cs="Times New Roman"/>
          <w:bCs/>
          <w:noProof/>
          <w:sz w:val="24"/>
          <w:szCs w:val="24"/>
          <w:lang w:eastAsia="en-GB"/>
        </w:rPr>
        <w:t xml:space="preserve"> consulted</w:t>
      </w:r>
      <w:r w:rsidR="00937C72" w:rsidRPr="00CB2A58">
        <w:rPr>
          <w:rFonts w:ascii="Times New Roman" w:hAnsi="Times New Roman" w:cs="Times New Roman"/>
          <w:bCs/>
          <w:noProof/>
          <w:sz w:val="24"/>
          <w:szCs w:val="24"/>
          <w:lang w:eastAsia="en-GB"/>
        </w:rPr>
        <w:t xml:space="preserve"> </w:t>
      </w:r>
      <w:r w:rsidR="00937C72" w:rsidRPr="00205614">
        <w:rPr>
          <w:rFonts w:ascii="Times New Roman" w:hAnsi="Times New Roman" w:cs="Times New Roman"/>
          <w:bCs/>
          <w:noProof/>
          <w:sz w:val="24"/>
          <w:szCs w:val="24"/>
          <w:lang w:eastAsia="en-GB"/>
        </w:rPr>
        <w:t>experts nominated by Member States and relevant stakeholders</w:t>
      </w:r>
      <w:r w:rsidR="002C3E46">
        <w:rPr>
          <w:rFonts w:ascii="Times New Roman" w:hAnsi="Times New Roman" w:cs="Times New Roman"/>
          <w:bCs/>
          <w:noProof/>
          <w:sz w:val="24"/>
          <w:szCs w:val="24"/>
          <w:lang w:eastAsia="en-GB"/>
        </w:rPr>
        <w:t xml:space="preserve"> d</w:t>
      </w:r>
      <w:r w:rsidR="002C3E46" w:rsidRPr="00205614">
        <w:rPr>
          <w:rFonts w:ascii="Times New Roman" w:hAnsi="Times New Roman" w:cs="Times New Roman"/>
          <w:bCs/>
          <w:noProof/>
          <w:sz w:val="24"/>
          <w:szCs w:val="24"/>
          <w:lang w:eastAsia="en-GB"/>
        </w:rPr>
        <w:t>uring the preparation of delegated acts under Regulation (EU) No 305/2011</w:t>
      </w:r>
      <w:r>
        <w:rPr>
          <w:rFonts w:ascii="Times New Roman" w:hAnsi="Times New Roman" w:cs="Times New Roman"/>
          <w:bCs/>
          <w:noProof/>
          <w:sz w:val="24"/>
          <w:szCs w:val="24"/>
          <w:lang w:eastAsia="en-GB"/>
        </w:rPr>
        <w:t xml:space="preserve">. This has been done </w:t>
      </w:r>
      <w:r w:rsidR="0045702B">
        <w:rPr>
          <w:rFonts w:ascii="Times New Roman" w:hAnsi="Times New Roman" w:cs="Times New Roman"/>
          <w:bCs/>
          <w:noProof/>
          <w:sz w:val="24"/>
          <w:szCs w:val="24"/>
          <w:lang w:eastAsia="en-GB"/>
        </w:rPr>
        <w:t>through</w:t>
      </w:r>
      <w:r w:rsidR="00937C72" w:rsidRPr="00205614">
        <w:rPr>
          <w:rFonts w:ascii="Times New Roman" w:hAnsi="Times New Roman" w:cs="Times New Roman"/>
          <w:bCs/>
          <w:noProof/>
          <w:sz w:val="24"/>
          <w:szCs w:val="24"/>
          <w:lang w:eastAsia="en-GB"/>
        </w:rPr>
        <w:t xml:space="preserve"> regular dedicated meetings of experts and written consultations. </w:t>
      </w:r>
      <w:r w:rsidR="002C3E46">
        <w:rPr>
          <w:rFonts w:ascii="Times New Roman" w:hAnsi="Times New Roman" w:cs="Times New Roman"/>
          <w:bCs/>
          <w:noProof/>
          <w:sz w:val="24"/>
          <w:szCs w:val="24"/>
          <w:lang w:eastAsia="en-GB"/>
        </w:rPr>
        <w:t>A</w:t>
      </w:r>
      <w:r w:rsidR="00937C72" w:rsidRPr="00205614">
        <w:rPr>
          <w:rFonts w:ascii="Times New Roman" w:hAnsi="Times New Roman" w:cs="Times New Roman"/>
          <w:bCs/>
          <w:noProof/>
          <w:sz w:val="24"/>
          <w:szCs w:val="24"/>
          <w:lang w:eastAsia="en-GB"/>
        </w:rPr>
        <w:t xml:space="preserve">ll Member States were invited to nominate experts to participate </w:t>
      </w:r>
      <w:r w:rsidR="002C3E46">
        <w:rPr>
          <w:rFonts w:ascii="Times New Roman" w:hAnsi="Times New Roman" w:cs="Times New Roman"/>
          <w:bCs/>
          <w:noProof/>
          <w:sz w:val="24"/>
          <w:szCs w:val="24"/>
          <w:lang w:eastAsia="en-GB"/>
        </w:rPr>
        <w:t>in these consultations</w:t>
      </w:r>
      <w:r w:rsidR="00937C72" w:rsidRPr="00205614">
        <w:rPr>
          <w:rFonts w:ascii="Times New Roman" w:hAnsi="Times New Roman" w:cs="Times New Roman"/>
          <w:bCs/>
          <w:noProof/>
          <w:sz w:val="24"/>
          <w:szCs w:val="24"/>
          <w:lang w:eastAsia="en-GB"/>
        </w:rPr>
        <w:t>. The European Parliament was also invited to participate. The documents relevant to these consultations were transmitted simultaneously to the European Parliament and to the Council, as foreseen in the Common Understanding on delegated acts. The observations presented in these consultations were taken into consideration when preparing the final versions of delegated acts. Furthermore, the Commission</w:t>
      </w:r>
      <w:r w:rsidR="003C0B39">
        <w:rPr>
          <w:rFonts w:ascii="Times New Roman" w:hAnsi="Times New Roman" w:cs="Times New Roman"/>
          <w:bCs/>
          <w:noProof/>
          <w:sz w:val="24"/>
          <w:szCs w:val="24"/>
          <w:lang w:eastAsia="en-GB"/>
        </w:rPr>
        <w:t xml:space="preserve"> regularly</w:t>
      </w:r>
      <w:r w:rsidR="00937C72" w:rsidRPr="00205614">
        <w:rPr>
          <w:rFonts w:ascii="Times New Roman" w:hAnsi="Times New Roman" w:cs="Times New Roman"/>
          <w:bCs/>
          <w:noProof/>
          <w:sz w:val="24"/>
          <w:szCs w:val="24"/>
          <w:lang w:eastAsia="en-GB"/>
        </w:rPr>
        <w:t xml:space="preserve"> informed Member States and industry representatives of the progress made with the draft delegated acts, </w:t>
      </w:r>
      <w:r w:rsidR="008F7DB0">
        <w:rPr>
          <w:rFonts w:ascii="Times New Roman" w:hAnsi="Times New Roman" w:cs="Times New Roman"/>
          <w:bCs/>
          <w:noProof/>
          <w:sz w:val="24"/>
          <w:szCs w:val="24"/>
          <w:lang w:eastAsia="en-GB"/>
        </w:rPr>
        <w:t>in line with</w:t>
      </w:r>
      <w:r w:rsidR="00205614">
        <w:rPr>
          <w:rFonts w:ascii="Times New Roman" w:hAnsi="Times New Roman" w:cs="Times New Roman"/>
          <w:bCs/>
          <w:noProof/>
          <w:sz w:val="24"/>
          <w:szCs w:val="24"/>
          <w:lang w:eastAsia="en-GB"/>
        </w:rPr>
        <w:t xml:space="preserve"> Article 14 of the Regulation</w:t>
      </w:r>
      <w:r w:rsidR="008F7DB0">
        <w:rPr>
          <w:rFonts w:ascii="Times New Roman" w:hAnsi="Times New Roman" w:cs="Times New Roman"/>
          <w:bCs/>
          <w:noProof/>
          <w:sz w:val="24"/>
          <w:szCs w:val="24"/>
          <w:lang w:eastAsia="en-GB"/>
        </w:rPr>
        <w:t>.</w:t>
      </w:r>
    </w:p>
    <w:p w14:paraId="5DA8330D" w14:textId="4A99C4CD" w:rsidR="00205614" w:rsidRPr="00EB4900" w:rsidRDefault="00EB4900" w:rsidP="001D56AA">
      <w:pPr>
        <w:pStyle w:val="ListParagraph"/>
        <w:numPr>
          <w:ilvl w:val="1"/>
          <w:numId w:val="2"/>
        </w:numPr>
        <w:spacing w:before="240" w:after="240" w:line="240" w:lineRule="auto"/>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205614" w:rsidRPr="00EB4900">
        <w:rPr>
          <w:rFonts w:ascii="Times New Roman" w:hAnsi="Times New Roman" w:cs="Times New Roman"/>
          <w:b/>
          <w:noProof/>
          <w:sz w:val="24"/>
          <w:szCs w:val="24"/>
        </w:rPr>
        <w:t>Delegated acts adopted</w:t>
      </w:r>
    </w:p>
    <w:p w14:paraId="4BF3F1F6" w14:textId="7A32B94C" w:rsidR="005C4632" w:rsidRDefault="00064349" w:rsidP="007D3BE4">
      <w:pPr>
        <w:spacing w:before="240" w:after="240"/>
        <w:rPr>
          <w:rFonts w:ascii="Times New Roman" w:hAnsi="Times New Roman" w:cs="Times New Roman"/>
          <w:bCs/>
          <w:noProof/>
          <w:sz w:val="24"/>
          <w:szCs w:val="24"/>
          <w:lang w:val="en-US"/>
        </w:rPr>
      </w:pPr>
      <w:r w:rsidRPr="00EB4900">
        <w:rPr>
          <w:rFonts w:ascii="Times New Roman" w:hAnsi="Times New Roman" w:cs="Times New Roman"/>
          <w:bCs/>
          <w:noProof/>
          <w:sz w:val="24"/>
          <w:szCs w:val="24"/>
        </w:rPr>
        <w:t>During the reporting period, the Commission exercised its delegated powers by adopti</w:t>
      </w:r>
      <w:r w:rsidR="00EB4900">
        <w:rPr>
          <w:rFonts w:ascii="Times New Roman" w:hAnsi="Times New Roman" w:cs="Times New Roman"/>
          <w:bCs/>
          <w:noProof/>
          <w:sz w:val="24"/>
          <w:szCs w:val="24"/>
        </w:rPr>
        <w:t xml:space="preserve">ng the following delegated acts. </w:t>
      </w:r>
      <w:r w:rsidR="00DF23E4" w:rsidRPr="00DF23E4">
        <w:rPr>
          <w:rFonts w:ascii="Times New Roman" w:hAnsi="Times New Roman" w:cs="Times New Roman"/>
          <w:bCs/>
          <w:noProof/>
          <w:sz w:val="24"/>
          <w:szCs w:val="24"/>
          <w:lang w:val="en-US"/>
        </w:rPr>
        <w:t>The below table shows which acts contain the specific measures adopted under the relevant empowerments in Regulation (EU) 2017/1369.</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1586"/>
      </w:tblGrid>
      <w:tr w:rsidR="00476324" w14:paraId="69F42B45" w14:textId="77777777" w:rsidTr="00623761">
        <w:trPr>
          <w:trHeight w:val="896"/>
        </w:trPr>
        <w:tc>
          <w:tcPr>
            <w:tcW w:w="7797" w:type="dxa"/>
            <w:shd w:val="clear" w:color="auto" w:fill="D9D9D9"/>
            <w:vAlign w:val="center"/>
          </w:tcPr>
          <w:p w14:paraId="42508C18" w14:textId="77777777" w:rsidR="00476324" w:rsidRDefault="00476324" w:rsidP="00623761">
            <w:pPr>
              <w:pStyle w:val="TableParagraph"/>
              <w:spacing w:line="268" w:lineRule="exact"/>
              <w:ind w:right="137"/>
              <w:jc w:val="center"/>
              <w:rPr>
                <w:noProof/>
                <w:sz w:val="24"/>
              </w:rPr>
            </w:pPr>
            <w:r>
              <w:rPr>
                <w:noProof/>
                <w:sz w:val="24"/>
              </w:rPr>
              <w:t>Delegated Act</w:t>
            </w:r>
          </w:p>
        </w:tc>
        <w:tc>
          <w:tcPr>
            <w:tcW w:w="1586" w:type="dxa"/>
            <w:shd w:val="clear" w:color="auto" w:fill="D9D9D9"/>
            <w:vAlign w:val="center"/>
          </w:tcPr>
          <w:p w14:paraId="5C48A524" w14:textId="38FE08B6" w:rsidR="00476324" w:rsidRDefault="00476324" w:rsidP="0094268A">
            <w:pPr>
              <w:pStyle w:val="TableParagraph"/>
              <w:spacing w:line="264" w:lineRule="exact"/>
              <w:ind w:left="-5"/>
              <w:jc w:val="center"/>
              <w:rPr>
                <w:noProof/>
                <w:sz w:val="24"/>
              </w:rPr>
            </w:pPr>
            <w:r>
              <w:rPr>
                <w:noProof/>
                <w:sz w:val="24"/>
              </w:rPr>
              <w:t xml:space="preserve">Empowerments in </w:t>
            </w:r>
            <w:r w:rsidRPr="00476324">
              <w:rPr>
                <w:noProof/>
                <w:sz w:val="24"/>
                <w:lang w:val="en-US"/>
              </w:rPr>
              <w:t>Regulation 2017/1369</w:t>
            </w:r>
          </w:p>
        </w:tc>
      </w:tr>
      <w:tr w:rsidR="00601148" w14:paraId="435B24A2" w14:textId="77777777" w:rsidTr="00623761">
        <w:trPr>
          <w:trHeight w:val="826"/>
        </w:trPr>
        <w:tc>
          <w:tcPr>
            <w:tcW w:w="7797" w:type="dxa"/>
          </w:tcPr>
          <w:p w14:paraId="557ED97A" w14:textId="1FECB12F" w:rsidR="00601148" w:rsidRPr="00476324" w:rsidRDefault="00601148" w:rsidP="0094268A">
            <w:pPr>
              <w:pStyle w:val="TableParagraph"/>
              <w:numPr>
                <w:ilvl w:val="0"/>
                <w:numId w:val="4"/>
              </w:numPr>
              <w:spacing w:before="120" w:after="120" w:line="264" w:lineRule="exact"/>
              <w:ind w:left="142" w:right="137" w:firstLine="0"/>
              <w:jc w:val="both"/>
              <w:rPr>
                <w:noProof/>
                <w:sz w:val="24"/>
              </w:rPr>
            </w:pPr>
            <w:r w:rsidRPr="00476324">
              <w:rPr>
                <w:noProof/>
                <w:sz w:val="24"/>
                <w:lang w:val="en-US"/>
              </w:rPr>
              <w:t>Commission Delegated Regulation (EU) 2018/543 of 23 January 2018 correcting the Spanish language version of Commission Delegated Regulation (EU) No 812/2013 supplementing Directive 2010/30/EU of the European Parliament and of the Council with regard to the energy labelling of water heaters, hot water storage tanks and packages o</w:t>
            </w:r>
            <w:r w:rsidR="00305E48">
              <w:rPr>
                <w:noProof/>
                <w:sz w:val="24"/>
                <w:lang w:val="en-US"/>
              </w:rPr>
              <w:t>f water heater and solar device</w:t>
            </w:r>
          </w:p>
        </w:tc>
        <w:tc>
          <w:tcPr>
            <w:tcW w:w="1586" w:type="dxa"/>
          </w:tcPr>
          <w:p w14:paraId="7E69FEA6" w14:textId="77777777" w:rsidR="00601148" w:rsidRDefault="00601148" w:rsidP="0094268A">
            <w:pPr>
              <w:pStyle w:val="TableParagraph"/>
              <w:spacing w:before="120" w:line="268" w:lineRule="exact"/>
              <w:ind w:left="110"/>
              <w:jc w:val="center"/>
              <w:rPr>
                <w:noProof/>
                <w:sz w:val="24"/>
              </w:rPr>
            </w:pPr>
            <w:r w:rsidRPr="00F56282">
              <w:rPr>
                <w:noProof/>
                <w:sz w:val="24"/>
              </w:rPr>
              <w:t>Article 16</w:t>
            </w:r>
          </w:p>
        </w:tc>
      </w:tr>
      <w:tr w:rsidR="00601148" w14:paraId="2A5C8BAB" w14:textId="77777777" w:rsidTr="00623761">
        <w:trPr>
          <w:trHeight w:val="826"/>
        </w:trPr>
        <w:tc>
          <w:tcPr>
            <w:tcW w:w="7797" w:type="dxa"/>
          </w:tcPr>
          <w:p w14:paraId="26C80916"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2019/2013 of 11 March 2019 supplementing Regulation (EU) 2017/1369 of the European Parliament and of the Council with regard to energy labelling of electronic displays and repealing Commission Delegated Regulation (EU) No 1062/2010</w:t>
            </w:r>
          </w:p>
        </w:tc>
        <w:tc>
          <w:tcPr>
            <w:tcW w:w="1586" w:type="dxa"/>
          </w:tcPr>
          <w:p w14:paraId="631150FB" w14:textId="14F9CA15" w:rsidR="00601148" w:rsidRDefault="00601148" w:rsidP="0094268A">
            <w:pPr>
              <w:pStyle w:val="TableParagraph"/>
              <w:spacing w:before="120" w:line="268" w:lineRule="exact"/>
              <w:ind w:left="110"/>
              <w:jc w:val="center"/>
              <w:rPr>
                <w:noProof/>
                <w:sz w:val="24"/>
              </w:rPr>
            </w:pPr>
            <w:r w:rsidRPr="00F56282">
              <w:rPr>
                <w:noProof/>
                <w:sz w:val="24"/>
              </w:rPr>
              <w:t>Article 11(5) and Article 16</w:t>
            </w:r>
          </w:p>
        </w:tc>
      </w:tr>
      <w:tr w:rsidR="00601148" w14:paraId="0952016B" w14:textId="77777777" w:rsidTr="00623761">
        <w:trPr>
          <w:trHeight w:val="552"/>
        </w:trPr>
        <w:tc>
          <w:tcPr>
            <w:tcW w:w="7797" w:type="dxa"/>
          </w:tcPr>
          <w:p w14:paraId="15B050ED"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2019/2014 of 11 March 2019 supplementing Regulation (EU) 2017/1369 of the European Parliament and of the Council with regard to energy labelling of household washing machines and household washer-dryers and repealing Commission Delegated Regulation (EU) No 1061/2010 and Commission Directive 96/60/EC</w:t>
            </w:r>
          </w:p>
        </w:tc>
        <w:tc>
          <w:tcPr>
            <w:tcW w:w="1586" w:type="dxa"/>
          </w:tcPr>
          <w:p w14:paraId="281D5BA8" w14:textId="4DCA5268" w:rsidR="00601148" w:rsidRDefault="00601148" w:rsidP="0094268A">
            <w:pPr>
              <w:pStyle w:val="TableParagraph"/>
              <w:spacing w:before="120" w:line="268" w:lineRule="exact"/>
              <w:ind w:left="110"/>
              <w:jc w:val="center"/>
              <w:rPr>
                <w:noProof/>
                <w:sz w:val="24"/>
              </w:rPr>
            </w:pPr>
            <w:r w:rsidRPr="001B51EC">
              <w:rPr>
                <w:noProof/>
                <w:sz w:val="24"/>
              </w:rPr>
              <w:t>Article 16</w:t>
            </w:r>
          </w:p>
        </w:tc>
      </w:tr>
      <w:tr w:rsidR="00601148" w14:paraId="311D83B2" w14:textId="77777777" w:rsidTr="00305E48">
        <w:trPr>
          <w:trHeight w:val="132"/>
        </w:trPr>
        <w:tc>
          <w:tcPr>
            <w:tcW w:w="7797" w:type="dxa"/>
          </w:tcPr>
          <w:p w14:paraId="4BAF3239"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2019/2015 of 11 March 2019 supplementing Regulation (EU) 2017/1369 of the European Parliament and of the Council with regard to energy labelling of light sources and repealing Commission Delegated Regulation (EU) No 874/2012</w:t>
            </w:r>
          </w:p>
        </w:tc>
        <w:tc>
          <w:tcPr>
            <w:tcW w:w="1586" w:type="dxa"/>
          </w:tcPr>
          <w:p w14:paraId="1B268DE0" w14:textId="65C84442" w:rsidR="00601148" w:rsidRDefault="00601148" w:rsidP="0094268A">
            <w:pPr>
              <w:pStyle w:val="TableParagraph"/>
              <w:spacing w:before="120" w:line="268" w:lineRule="exact"/>
              <w:ind w:left="110"/>
              <w:jc w:val="center"/>
              <w:rPr>
                <w:noProof/>
                <w:sz w:val="24"/>
              </w:rPr>
            </w:pPr>
            <w:r w:rsidRPr="006D2493">
              <w:rPr>
                <w:noProof/>
                <w:sz w:val="24"/>
              </w:rPr>
              <w:t>Article 11(5) and Article 16(1)</w:t>
            </w:r>
          </w:p>
        </w:tc>
      </w:tr>
      <w:tr w:rsidR="00601148" w14:paraId="7D0D3CD6" w14:textId="77777777" w:rsidTr="00623761">
        <w:trPr>
          <w:trHeight w:val="826"/>
        </w:trPr>
        <w:tc>
          <w:tcPr>
            <w:tcW w:w="7797" w:type="dxa"/>
          </w:tcPr>
          <w:p w14:paraId="51EDBC2E"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2019/2016 of 11 March 2019 supplementing Regulation (EU) 2017/1369 of the European Parliament and of the Council with regard to energy labelling of refrigerating appliances and repealing Commission Delegated Regulation (EU) No 1060/2010</w:t>
            </w:r>
          </w:p>
        </w:tc>
        <w:tc>
          <w:tcPr>
            <w:tcW w:w="1586" w:type="dxa"/>
          </w:tcPr>
          <w:p w14:paraId="2859187D" w14:textId="77777777" w:rsidR="00601148" w:rsidRDefault="00601148" w:rsidP="0094268A">
            <w:pPr>
              <w:pStyle w:val="TableParagraph"/>
              <w:spacing w:before="120" w:line="268" w:lineRule="exact"/>
              <w:ind w:left="110"/>
              <w:jc w:val="center"/>
              <w:rPr>
                <w:noProof/>
                <w:sz w:val="24"/>
              </w:rPr>
            </w:pPr>
            <w:r w:rsidRPr="00F56282">
              <w:rPr>
                <w:noProof/>
                <w:sz w:val="24"/>
              </w:rPr>
              <w:t>Article 11(5) and Article 16(1)</w:t>
            </w:r>
          </w:p>
        </w:tc>
      </w:tr>
      <w:tr w:rsidR="00601148" w14:paraId="24B94A19" w14:textId="77777777" w:rsidTr="00623761">
        <w:trPr>
          <w:trHeight w:val="899"/>
        </w:trPr>
        <w:tc>
          <w:tcPr>
            <w:tcW w:w="7797" w:type="dxa"/>
          </w:tcPr>
          <w:p w14:paraId="01CAD7D4"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2019/2017 of 11 March 2019 supplementing Regulation (EU) 2017/1369 of the European Parliament and of the Council with regard to energy labelling of household dishwashers and repealing Commission Delegated Regulation (EU) No 1059/2010</w:t>
            </w:r>
          </w:p>
        </w:tc>
        <w:tc>
          <w:tcPr>
            <w:tcW w:w="1586" w:type="dxa"/>
          </w:tcPr>
          <w:p w14:paraId="5DC68A6C" w14:textId="4EEF8812" w:rsidR="00601148" w:rsidRDefault="00601148" w:rsidP="0094268A">
            <w:pPr>
              <w:pStyle w:val="TableParagraph"/>
              <w:spacing w:before="120" w:line="268" w:lineRule="exact"/>
              <w:ind w:left="110"/>
              <w:jc w:val="center"/>
              <w:rPr>
                <w:noProof/>
                <w:sz w:val="24"/>
              </w:rPr>
            </w:pPr>
            <w:r w:rsidRPr="00A929B3">
              <w:rPr>
                <w:noProof/>
                <w:sz w:val="24"/>
              </w:rPr>
              <w:t>Article 11(5) and Article 16</w:t>
            </w:r>
          </w:p>
        </w:tc>
      </w:tr>
      <w:tr w:rsidR="00601148" w14:paraId="3976304B" w14:textId="77777777" w:rsidTr="00623761">
        <w:trPr>
          <w:trHeight w:val="525"/>
        </w:trPr>
        <w:tc>
          <w:tcPr>
            <w:tcW w:w="7797" w:type="dxa"/>
          </w:tcPr>
          <w:p w14:paraId="7F32F189"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2019/2018 of 11 March 2019 supplementing Regulation (EU) 2017/1369 of the European Parliament and of the Council with regard to energy labelling of refrigerating appliances with a direct sales function</w:t>
            </w:r>
          </w:p>
        </w:tc>
        <w:tc>
          <w:tcPr>
            <w:tcW w:w="1586" w:type="dxa"/>
          </w:tcPr>
          <w:p w14:paraId="60690F20" w14:textId="5643EA30" w:rsidR="00601148" w:rsidRDefault="00601148" w:rsidP="0094268A">
            <w:pPr>
              <w:pStyle w:val="TableParagraph"/>
              <w:spacing w:before="120" w:line="268" w:lineRule="exact"/>
              <w:ind w:left="110"/>
              <w:jc w:val="center"/>
              <w:rPr>
                <w:noProof/>
                <w:sz w:val="24"/>
              </w:rPr>
            </w:pPr>
            <w:r w:rsidRPr="00F56282">
              <w:rPr>
                <w:noProof/>
                <w:sz w:val="24"/>
              </w:rPr>
              <w:t>Articles 11 and 16</w:t>
            </w:r>
          </w:p>
        </w:tc>
      </w:tr>
      <w:tr w:rsidR="00601148" w14:paraId="7B2224E4" w14:textId="77777777" w:rsidTr="00623761">
        <w:trPr>
          <w:trHeight w:val="132"/>
        </w:trPr>
        <w:tc>
          <w:tcPr>
            <w:tcW w:w="7797" w:type="dxa"/>
          </w:tcPr>
          <w:p w14:paraId="1028973C"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Commission Delegated Regulation (EU) 2020/987 of 20 January 2020 correcting certain language versions of Delegated Regulation (EU) No 1254/2014 supplementing Directive 2010/30/EU of the European Parliament and of the Council with regard to energy labelling of residential ventilation units</w:t>
            </w:r>
          </w:p>
        </w:tc>
        <w:tc>
          <w:tcPr>
            <w:tcW w:w="1586" w:type="dxa"/>
          </w:tcPr>
          <w:p w14:paraId="003E8FE0" w14:textId="77777777" w:rsidR="00601148" w:rsidRDefault="00601148" w:rsidP="0094268A">
            <w:pPr>
              <w:pStyle w:val="TableParagraph"/>
              <w:spacing w:before="120" w:line="268" w:lineRule="exact"/>
              <w:ind w:left="110"/>
              <w:jc w:val="center"/>
              <w:rPr>
                <w:noProof/>
                <w:sz w:val="24"/>
              </w:rPr>
            </w:pPr>
            <w:r w:rsidRPr="001B51EC">
              <w:rPr>
                <w:noProof/>
                <w:sz w:val="24"/>
              </w:rPr>
              <w:t>Article 16</w:t>
            </w:r>
          </w:p>
        </w:tc>
      </w:tr>
      <w:tr w:rsidR="00601148" w14:paraId="24630238" w14:textId="77777777" w:rsidTr="00623761">
        <w:trPr>
          <w:trHeight w:val="602"/>
        </w:trPr>
        <w:tc>
          <w:tcPr>
            <w:tcW w:w="7797" w:type="dxa"/>
          </w:tcPr>
          <w:p w14:paraId="17564646" w14:textId="77777777" w:rsidR="00601148" w:rsidRPr="00476324" w:rsidRDefault="00601148" w:rsidP="0094268A">
            <w:pPr>
              <w:pStyle w:val="TableParagraph"/>
              <w:numPr>
                <w:ilvl w:val="0"/>
                <w:numId w:val="4"/>
              </w:numPr>
              <w:spacing w:before="120" w:after="120" w:line="264" w:lineRule="exact"/>
              <w:ind w:left="142" w:right="137" w:firstLine="0"/>
              <w:jc w:val="both"/>
              <w:rPr>
                <w:noProof/>
                <w:sz w:val="24"/>
                <w:lang w:val="en-US"/>
              </w:rPr>
            </w:pPr>
            <w:r w:rsidRPr="00476324">
              <w:rPr>
                <w:noProof/>
                <w:sz w:val="24"/>
                <w:lang w:val="en-US"/>
              </w:rPr>
              <w:t xml:space="preserve">Commission Delegated Regulation (EU) 2020/1059 of 27 April 2020 correcting certain language versions of Delegated Regulations (EU) No 1059/2010, (EU) No 1060/2010, (EU) No 1061/2010, (EU) No 1062/2010, (EU) No 626/2011, (EU) No 392/2012 and (EU) No 874/2012 with regard to the labelling of certain energy-related products </w:t>
            </w:r>
          </w:p>
        </w:tc>
        <w:tc>
          <w:tcPr>
            <w:tcW w:w="1586" w:type="dxa"/>
          </w:tcPr>
          <w:p w14:paraId="63D2ADD0" w14:textId="067C1081" w:rsidR="00601148" w:rsidRDefault="00601148" w:rsidP="0094268A">
            <w:pPr>
              <w:pStyle w:val="TableParagraph"/>
              <w:spacing w:before="120" w:line="268" w:lineRule="exact"/>
              <w:ind w:left="110"/>
              <w:jc w:val="center"/>
              <w:rPr>
                <w:noProof/>
                <w:sz w:val="24"/>
              </w:rPr>
            </w:pPr>
            <w:r w:rsidRPr="001B51EC">
              <w:rPr>
                <w:noProof/>
                <w:sz w:val="24"/>
              </w:rPr>
              <w:t>Article 16</w:t>
            </w:r>
          </w:p>
        </w:tc>
      </w:tr>
      <w:tr w:rsidR="00476324" w14:paraId="3FE2D1D3" w14:textId="77777777" w:rsidTr="00623761">
        <w:trPr>
          <w:trHeight w:val="1890"/>
        </w:trPr>
        <w:tc>
          <w:tcPr>
            <w:tcW w:w="7797" w:type="dxa"/>
          </w:tcPr>
          <w:p w14:paraId="70360629" w14:textId="2C8D36FA" w:rsidR="00476324" w:rsidRPr="00476324" w:rsidRDefault="00476324" w:rsidP="0094268A">
            <w:pPr>
              <w:pStyle w:val="TableParagraph"/>
              <w:numPr>
                <w:ilvl w:val="0"/>
                <w:numId w:val="4"/>
              </w:numPr>
              <w:spacing w:before="120" w:after="120" w:line="264" w:lineRule="exact"/>
              <w:ind w:left="142" w:right="137" w:firstLine="0"/>
              <w:jc w:val="both"/>
              <w:rPr>
                <w:noProof/>
                <w:sz w:val="24"/>
              </w:rPr>
            </w:pPr>
            <w:r w:rsidRPr="00476324">
              <w:rPr>
                <w:noProof/>
                <w:sz w:val="24"/>
              </w:rPr>
              <w:t>Commission Delegated Regulation (EU) 2021/340 of 17 December 2020 amending Delegated Regulations (EU) 2019/2013, (EU) 2019/2014, (EU) 2019/2015, (EU) 2019/2016, (EU) 2019/2017 and (EU) 2019/2018 with regard to energy labelling requirements for electronic displays, household washing machines and household washer-dryers, light sources, refrigerating appliances, household dishwashers, and refrigerating appliances with a direct sales function</w:t>
            </w:r>
          </w:p>
        </w:tc>
        <w:tc>
          <w:tcPr>
            <w:tcW w:w="1586" w:type="dxa"/>
          </w:tcPr>
          <w:p w14:paraId="6397569E" w14:textId="6091C8E7" w:rsidR="00476324" w:rsidRDefault="00D44B68" w:rsidP="0094268A">
            <w:pPr>
              <w:pStyle w:val="TableParagraph"/>
              <w:spacing w:before="120" w:line="268" w:lineRule="exact"/>
              <w:ind w:left="108"/>
              <w:jc w:val="center"/>
              <w:rPr>
                <w:noProof/>
                <w:sz w:val="24"/>
              </w:rPr>
            </w:pPr>
            <w:r w:rsidRPr="00D44B68">
              <w:rPr>
                <w:noProof/>
                <w:sz w:val="24"/>
              </w:rPr>
              <w:t>Article 11(5) and Article 16</w:t>
            </w:r>
          </w:p>
        </w:tc>
      </w:tr>
    </w:tbl>
    <w:p w14:paraId="46C4C65F" w14:textId="7FEE470B" w:rsidR="00937C72" w:rsidRPr="001D56AA" w:rsidRDefault="00276426" w:rsidP="001D56AA">
      <w:pPr>
        <w:pStyle w:val="ListParagraph"/>
        <w:numPr>
          <w:ilvl w:val="1"/>
          <w:numId w:val="2"/>
        </w:numPr>
        <w:spacing w:before="240" w:after="240" w:line="240" w:lineRule="auto"/>
        <w:contextualSpacing w:val="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937C72" w:rsidRPr="001D56AA">
        <w:rPr>
          <w:rFonts w:ascii="Times New Roman" w:hAnsi="Times New Roman" w:cs="Times New Roman"/>
          <w:b/>
          <w:noProof/>
          <w:sz w:val="24"/>
          <w:szCs w:val="24"/>
        </w:rPr>
        <w:t>Objection to delegated acts</w:t>
      </w:r>
    </w:p>
    <w:p w14:paraId="070AE8F7" w14:textId="759E4C56" w:rsidR="00205614" w:rsidRDefault="00205614" w:rsidP="007D3BE4">
      <w:pPr>
        <w:spacing w:before="240" w:after="240" w:line="240" w:lineRule="auto"/>
        <w:jc w:val="both"/>
        <w:rPr>
          <w:rFonts w:ascii="Times New Roman" w:hAnsi="Times New Roman" w:cs="Times New Roman"/>
          <w:bCs/>
          <w:noProof/>
          <w:sz w:val="24"/>
          <w:szCs w:val="24"/>
          <w:lang w:val="en-US"/>
        </w:rPr>
      </w:pPr>
      <w:r w:rsidRPr="00205614">
        <w:rPr>
          <w:rFonts w:ascii="Times New Roman" w:hAnsi="Times New Roman" w:cs="Times New Roman"/>
          <w:bCs/>
          <w:noProof/>
          <w:sz w:val="24"/>
          <w:szCs w:val="24"/>
          <w:lang w:val="en-US"/>
        </w:rPr>
        <w:t xml:space="preserve">According to Article </w:t>
      </w:r>
      <w:r>
        <w:rPr>
          <w:rFonts w:ascii="Times New Roman" w:hAnsi="Times New Roman" w:cs="Times New Roman"/>
          <w:bCs/>
          <w:noProof/>
          <w:sz w:val="24"/>
          <w:szCs w:val="24"/>
          <w:lang w:val="en-US"/>
        </w:rPr>
        <w:t>17(6)</w:t>
      </w:r>
      <w:r w:rsidRPr="00205614">
        <w:rPr>
          <w:rFonts w:ascii="Times New Roman" w:hAnsi="Times New Roman" w:cs="Times New Roman"/>
          <w:bCs/>
          <w:noProof/>
          <w:sz w:val="24"/>
          <w:szCs w:val="24"/>
          <w:lang w:val="en-US"/>
        </w:rPr>
        <w:t xml:space="preserve"> of Regulation (EU)</w:t>
      </w:r>
      <w:r w:rsidRPr="00205614">
        <w:rPr>
          <w:noProof/>
        </w:rPr>
        <w:t xml:space="preserve"> </w:t>
      </w:r>
      <w:r w:rsidRPr="00205614">
        <w:rPr>
          <w:rFonts w:ascii="Times New Roman" w:hAnsi="Times New Roman" w:cs="Times New Roman"/>
          <w:bCs/>
          <w:noProof/>
          <w:sz w:val="24"/>
          <w:szCs w:val="24"/>
          <w:lang w:val="en-US"/>
        </w:rPr>
        <w:t>2017/1369, the European Parliament or the</w:t>
      </w:r>
      <w:r w:rsidR="00326E94">
        <w:rPr>
          <w:rFonts w:ascii="Times New Roman" w:hAnsi="Times New Roman" w:cs="Times New Roman"/>
          <w:bCs/>
          <w:noProof/>
          <w:sz w:val="24"/>
          <w:szCs w:val="24"/>
          <w:lang w:val="en-US"/>
        </w:rPr>
        <w:t xml:space="preserve"> </w:t>
      </w:r>
      <w:r w:rsidRPr="00205614">
        <w:rPr>
          <w:rFonts w:ascii="Times New Roman" w:hAnsi="Times New Roman" w:cs="Times New Roman"/>
          <w:bCs/>
          <w:noProof/>
          <w:sz w:val="24"/>
          <w:szCs w:val="24"/>
          <w:lang w:val="en-US"/>
        </w:rPr>
        <w:t xml:space="preserve">Council may object to a delegated act within a period of </w:t>
      </w:r>
      <w:r>
        <w:rPr>
          <w:rFonts w:ascii="Times New Roman" w:hAnsi="Times New Roman" w:cs="Times New Roman"/>
          <w:bCs/>
          <w:noProof/>
          <w:sz w:val="24"/>
          <w:szCs w:val="24"/>
          <w:lang w:val="en-US"/>
        </w:rPr>
        <w:t>two</w:t>
      </w:r>
      <w:r w:rsidRPr="00205614">
        <w:rPr>
          <w:rFonts w:ascii="Times New Roman" w:hAnsi="Times New Roman" w:cs="Times New Roman"/>
          <w:bCs/>
          <w:noProof/>
          <w:sz w:val="24"/>
          <w:szCs w:val="24"/>
          <w:lang w:val="en-US"/>
        </w:rPr>
        <w:t xml:space="preserve"> months from the date of notification, extendable by another three months. If either the European Parliament or the Council objects to a delegated act within this period, it shall not enter into force. Neither the the European Parliament nor the Council objected to any of the delegated acts</w:t>
      </w:r>
      <w:r>
        <w:rPr>
          <w:rFonts w:ascii="Times New Roman" w:hAnsi="Times New Roman" w:cs="Times New Roman"/>
          <w:bCs/>
          <w:noProof/>
          <w:sz w:val="24"/>
          <w:szCs w:val="24"/>
          <w:lang w:val="en-US"/>
        </w:rPr>
        <w:t xml:space="preserve"> mentio</w:t>
      </w:r>
      <w:r w:rsidR="00D33FF1">
        <w:rPr>
          <w:rFonts w:ascii="Times New Roman" w:hAnsi="Times New Roman" w:cs="Times New Roman"/>
          <w:bCs/>
          <w:noProof/>
          <w:sz w:val="24"/>
          <w:szCs w:val="24"/>
          <w:lang w:val="en-US"/>
        </w:rPr>
        <w:t>n</w:t>
      </w:r>
      <w:r>
        <w:rPr>
          <w:rFonts w:ascii="Times New Roman" w:hAnsi="Times New Roman" w:cs="Times New Roman"/>
          <w:bCs/>
          <w:noProof/>
          <w:sz w:val="24"/>
          <w:szCs w:val="24"/>
          <w:lang w:val="en-US"/>
        </w:rPr>
        <w:t>ed above.</w:t>
      </w:r>
      <w:r w:rsidRPr="00205614">
        <w:rPr>
          <w:rFonts w:ascii="Times New Roman" w:hAnsi="Times New Roman" w:cs="Times New Roman"/>
          <w:bCs/>
          <w:noProof/>
          <w:sz w:val="24"/>
          <w:szCs w:val="24"/>
          <w:lang w:val="en-US"/>
        </w:rPr>
        <w:t xml:space="preserve"> </w:t>
      </w:r>
    </w:p>
    <w:p w14:paraId="4A8E87FC" w14:textId="7B432489" w:rsidR="00F20773" w:rsidRPr="001D56AA" w:rsidRDefault="00F20773" w:rsidP="00F20773">
      <w:pPr>
        <w:pStyle w:val="ListParagraph"/>
        <w:numPr>
          <w:ilvl w:val="1"/>
          <w:numId w:val="2"/>
        </w:numPr>
        <w:spacing w:before="240" w:after="240" w:line="240" w:lineRule="auto"/>
        <w:contextualSpacing w:val="0"/>
        <w:rPr>
          <w:rFonts w:ascii="Times New Roman" w:hAnsi="Times New Roman" w:cs="Times New Roman"/>
          <w:b/>
          <w:noProof/>
          <w:sz w:val="24"/>
          <w:szCs w:val="24"/>
        </w:rPr>
      </w:pPr>
      <w:r>
        <w:rPr>
          <w:rFonts w:ascii="Times New Roman" w:hAnsi="Times New Roman" w:cs="Times New Roman"/>
          <w:b/>
          <w:noProof/>
          <w:sz w:val="24"/>
          <w:szCs w:val="24"/>
        </w:rPr>
        <w:t xml:space="preserve"> Need </w:t>
      </w:r>
      <w:r w:rsidR="00276426">
        <w:rPr>
          <w:rFonts w:ascii="Times New Roman" w:hAnsi="Times New Roman" w:cs="Times New Roman"/>
          <w:b/>
          <w:noProof/>
          <w:sz w:val="24"/>
          <w:szCs w:val="24"/>
        </w:rPr>
        <w:t>for</w:t>
      </w:r>
      <w:r>
        <w:rPr>
          <w:rFonts w:ascii="Times New Roman" w:hAnsi="Times New Roman" w:cs="Times New Roman"/>
          <w:b/>
          <w:noProof/>
          <w:sz w:val="24"/>
          <w:szCs w:val="24"/>
        </w:rPr>
        <w:t xml:space="preserve"> extending the power to adopt</w:t>
      </w:r>
      <w:r w:rsidRPr="001D56AA">
        <w:rPr>
          <w:rFonts w:ascii="Times New Roman" w:hAnsi="Times New Roman" w:cs="Times New Roman"/>
          <w:b/>
          <w:noProof/>
          <w:sz w:val="24"/>
          <w:szCs w:val="24"/>
        </w:rPr>
        <w:t xml:space="preserve"> delegated acts</w:t>
      </w:r>
    </w:p>
    <w:p w14:paraId="6DF75CA9" w14:textId="62B88DC3" w:rsidR="00F20773" w:rsidRPr="00F20773" w:rsidRDefault="00F20773" w:rsidP="00F20773">
      <w:pPr>
        <w:spacing w:before="240" w:after="240" w:line="240" w:lineRule="auto"/>
        <w:jc w:val="both"/>
        <w:rPr>
          <w:rFonts w:ascii="Times New Roman" w:hAnsi="Times New Roman" w:cs="Times New Roman"/>
          <w:bCs/>
          <w:noProof/>
          <w:sz w:val="24"/>
          <w:szCs w:val="24"/>
          <w:lang w:val="en-US"/>
        </w:rPr>
      </w:pPr>
      <w:r w:rsidRPr="00F20773">
        <w:rPr>
          <w:rFonts w:ascii="Times New Roman" w:hAnsi="Times New Roman" w:cs="Times New Roman"/>
          <w:bCs/>
          <w:noProof/>
          <w:sz w:val="24"/>
          <w:szCs w:val="24"/>
          <w:lang w:val="en-US"/>
        </w:rPr>
        <w:t>The Ecodesign and Energy Labelling Working Plan 2022-2024, adopted on 30 March 2022</w:t>
      </w:r>
      <w:r w:rsidRPr="00F20773">
        <w:rPr>
          <w:noProof/>
          <w:vertAlign w:val="superscript"/>
        </w:rPr>
        <w:footnoteReference w:id="3"/>
      </w:r>
      <w:r w:rsidRPr="00F20773">
        <w:rPr>
          <w:rFonts w:ascii="Times New Roman" w:hAnsi="Times New Roman" w:cs="Times New Roman"/>
          <w:bCs/>
          <w:noProof/>
          <w:sz w:val="24"/>
          <w:szCs w:val="24"/>
          <w:lang w:val="en-US"/>
        </w:rPr>
        <w:t xml:space="preserve">, in accordance with Article 15 of Regulation (EU) 2017/1369, sets out the priorities for work in the coming years for energy labelling of energy-related products, including several reviews of existing delegated acts and an indicative list of new energy-related product groups to be studied. It concludes that </w:t>
      </w:r>
      <w:r w:rsidR="00C20845">
        <w:rPr>
          <w:rFonts w:ascii="Times New Roman" w:hAnsi="Times New Roman" w:cs="Times New Roman"/>
          <w:bCs/>
          <w:noProof/>
          <w:sz w:val="24"/>
          <w:szCs w:val="24"/>
          <w:lang w:val="en-US"/>
        </w:rPr>
        <w:t>e</w:t>
      </w:r>
      <w:r w:rsidRPr="00F20773">
        <w:rPr>
          <w:rFonts w:ascii="Times New Roman" w:hAnsi="Times New Roman" w:cs="Times New Roman"/>
          <w:bCs/>
          <w:noProof/>
          <w:sz w:val="24"/>
          <w:szCs w:val="24"/>
          <w:lang w:val="en-US"/>
        </w:rPr>
        <w:t xml:space="preserve">nergy labelling delivers a vital and growing contribution to the European Green Deal and the “Fit for 55” objectives and to consumers faced with high energy prices whose bills would otherwise have been much higher. </w:t>
      </w:r>
    </w:p>
    <w:p w14:paraId="54E36C90" w14:textId="50FBE6E9" w:rsidR="00F20773" w:rsidRDefault="00F20773" w:rsidP="007D3BE4">
      <w:pPr>
        <w:spacing w:before="240" w:after="240" w:line="240" w:lineRule="auto"/>
        <w:jc w:val="both"/>
        <w:rPr>
          <w:rFonts w:ascii="Times New Roman" w:hAnsi="Times New Roman" w:cs="Times New Roman"/>
          <w:bCs/>
          <w:noProof/>
          <w:sz w:val="24"/>
          <w:szCs w:val="24"/>
          <w:lang w:val="en-US"/>
        </w:rPr>
      </w:pPr>
      <w:r>
        <w:rPr>
          <w:rFonts w:ascii="Times New Roman" w:hAnsi="Times New Roman" w:cs="Times New Roman"/>
          <w:noProof/>
          <w:sz w:val="24"/>
          <w:szCs w:val="24"/>
          <w:lang w:val="en-US"/>
        </w:rPr>
        <w:t>The vast majority of delegated acts announced in the Working Plan will not be ready for adoption by the end of the current six-year period on 1 August 2023. Moreover, even beyond the period covered by the Working Plan</w:t>
      </w:r>
      <w:r w:rsidR="007624B4">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t</w:t>
      </w:r>
      <w:r w:rsidRPr="00052406">
        <w:rPr>
          <w:rFonts w:ascii="Times New Roman" w:hAnsi="Times New Roman" w:cs="Times New Roman"/>
          <w:noProof/>
          <w:sz w:val="24"/>
          <w:szCs w:val="24"/>
        </w:rPr>
        <w:t>he empowerment</w:t>
      </w:r>
      <w:r>
        <w:rPr>
          <w:rFonts w:ascii="Times New Roman" w:hAnsi="Times New Roman" w:cs="Times New Roman"/>
          <w:noProof/>
          <w:sz w:val="24"/>
          <w:szCs w:val="24"/>
        </w:rPr>
        <w:t xml:space="preserve"> to adopt or amend delegated acts</w:t>
      </w:r>
      <w:r w:rsidRPr="00052406">
        <w:rPr>
          <w:rFonts w:ascii="Times New Roman" w:hAnsi="Times New Roman" w:cs="Times New Roman"/>
          <w:noProof/>
          <w:sz w:val="24"/>
          <w:szCs w:val="24"/>
        </w:rPr>
        <w:t xml:space="preserve"> will </w:t>
      </w:r>
      <w:r>
        <w:rPr>
          <w:rFonts w:ascii="Times New Roman" w:hAnsi="Times New Roman" w:cs="Times New Roman"/>
          <w:noProof/>
          <w:sz w:val="24"/>
          <w:szCs w:val="24"/>
        </w:rPr>
        <w:t>remain</w:t>
      </w:r>
      <w:r w:rsidRPr="00052406">
        <w:rPr>
          <w:rFonts w:ascii="Times New Roman" w:hAnsi="Times New Roman" w:cs="Times New Roman"/>
          <w:noProof/>
          <w:sz w:val="24"/>
          <w:szCs w:val="24"/>
        </w:rPr>
        <w:t xml:space="preserve"> </w:t>
      </w:r>
      <w:r>
        <w:rPr>
          <w:rFonts w:ascii="Times New Roman" w:hAnsi="Times New Roman" w:cs="Times New Roman"/>
          <w:noProof/>
          <w:sz w:val="24"/>
          <w:szCs w:val="24"/>
        </w:rPr>
        <w:t>necessary</w:t>
      </w:r>
      <w:r w:rsidRPr="00052406">
        <w:rPr>
          <w:rFonts w:ascii="Times New Roman" w:hAnsi="Times New Roman" w:cs="Times New Roman"/>
          <w:noProof/>
          <w:sz w:val="24"/>
          <w:szCs w:val="24"/>
        </w:rPr>
        <w:t xml:space="preserve"> </w:t>
      </w:r>
      <w:r w:rsidR="007624B4">
        <w:rPr>
          <w:rFonts w:ascii="Times New Roman" w:hAnsi="Times New Roman" w:cs="Times New Roman"/>
          <w:noProof/>
          <w:sz w:val="24"/>
          <w:szCs w:val="24"/>
        </w:rPr>
        <w:t xml:space="preserve">in order to enable </w:t>
      </w:r>
      <w:r>
        <w:rPr>
          <w:rFonts w:ascii="Times New Roman" w:hAnsi="Times New Roman" w:cs="Times New Roman"/>
          <w:noProof/>
          <w:sz w:val="24"/>
          <w:szCs w:val="24"/>
        </w:rPr>
        <w:t xml:space="preserve">the </w:t>
      </w:r>
      <w:r w:rsidRPr="00052406">
        <w:rPr>
          <w:rFonts w:ascii="Times New Roman" w:hAnsi="Times New Roman" w:cs="Times New Roman"/>
          <w:noProof/>
          <w:sz w:val="24"/>
          <w:szCs w:val="24"/>
        </w:rPr>
        <w:t>necessary flexibility in the implementation of the rules</w:t>
      </w:r>
      <w:r w:rsidR="000154CF">
        <w:rPr>
          <w:rFonts w:ascii="Times New Roman" w:hAnsi="Times New Roman" w:cs="Times New Roman"/>
          <w:noProof/>
          <w:sz w:val="24"/>
          <w:szCs w:val="24"/>
        </w:rPr>
        <w:t xml:space="preserve"> and</w:t>
      </w:r>
      <w:r w:rsidRPr="00052406">
        <w:rPr>
          <w:rFonts w:ascii="Times New Roman" w:hAnsi="Times New Roman" w:cs="Times New Roman"/>
          <w:noProof/>
          <w:sz w:val="24"/>
          <w:szCs w:val="24"/>
        </w:rPr>
        <w:t xml:space="preserve"> adjust them to </w:t>
      </w:r>
      <w:r w:rsidR="0020550D">
        <w:rPr>
          <w:rFonts w:ascii="Times New Roman" w:hAnsi="Times New Roman" w:cs="Times New Roman"/>
          <w:noProof/>
          <w:sz w:val="24"/>
          <w:szCs w:val="24"/>
        </w:rPr>
        <w:t>market and technology developments</w:t>
      </w:r>
      <w:r w:rsidR="000154CF">
        <w:rPr>
          <w:rFonts w:ascii="Times New Roman" w:hAnsi="Times New Roman" w:cs="Times New Roman"/>
          <w:noProof/>
          <w:sz w:val="24"/>
          <w:szCs w:val="24"/>
        </w:rPr>
        <w:t xml:space="preserve">. Furthermore, </w:t>
      </w:r>
      <w:r w:rsidR="00D2183D">
        <w:rPr>
          <w:rFonts w:ascii="Times New Roman" w:hAnsi="Times New Roman" w:cs="Times New Roman"/>
          <w:noProof/>
          <w:sz w:val="24"/>
          <w:szCs w:val="24"/>
        </w:rPr>
        <w:t xml:space="preserve">the </w:t>
      </w:r>
      <w:r w:rsidR="000154CF">
        <w:rPr>
          <w:rFonts w:ascii="Times New Roman" w:hAnsi="Times New Roman" w:cs="Times New Roman"/>
          <w:noProof/>
          <w:sz w:val="24"/>
          <w:szCs w:val="24"/>
        </w:rPr>
        <w:t>empowerment</w:t>
      </w:r>
      <w:r w:rsidRPr="00052406">
        <w:rPr>
          <w:rFonts w:ascii="Times New Roman" w:hAnsi="Times New Roman" w:cs="Times New Roman"/>
          <w:noProof/>
          <w:sz w:val="24"/>
          <w:szCs w:val="24"/>
        </w:rPr>
        <w:t xml:space="preserve"> </w:t>
      </w:r>
      <w:r w:rsidR="000154CF">
        <w:rPr>
          <w:rFonts w:ascii="Times New Roman" w:hAnsi="Times New Roman" w:cs="Times New Roman"/>
          <w:noProof/>
          <w:sz w:val="24"/>
          <w:szCs w:val="24"/>
        </w:rPr>
        <w:t>allows the</w:t>
      </w:r>
      <w:r w:rsidRPr="00052406">
        <w:rPr>
          <w:rFonts w:ascii="Times New Roman" w:hAnsi="Times New Roman" w:cs="Times New Roman"/>
          <w:noProof/>
          <w:sz w:val="24"/>
          <w:szCs w:val="24"/>
        </w:rPr>
        <w:t xml:space="preserve"> Commission to act in </w:t>
      </w:r>
      <w:r w:rsidR="00BA15E8">
        <w:rPr>
          <w:rFonts w:ascii="Times New Roman" w:hAnsi="Times New Roman" w:cs="Times New Roman"/>
          <w:noProof/>
          <w:sz w:val="24"/>
          <w:szCs w:val="24"/>
        </w:rPr>
        <w:t xml:space="preserve">other </w:t>
      </w:r>
      <w:r w:rsidRPr="00052406">
        <w:rPr>
          <w:rFonts w:ascii="Times New Roman" w:hAnsi="Times New Roman" w:cs="Times New Roman"/>
          <w:noProof/>
          <w:sz w:val="24"/>
          <w:szCs w:val="24"/>
        </w:rPr>
        <w:t xml:space="preserve">areas where it </w:t>
      </w:r>
      <w:r>
        <w:rPr>
          <w:rFonts w:ascii="Times New Roman" w:hAnsi="Times New Roman" w:cs="Times New Roman"/>
          <w:noProof/>
          <w:sz w:val="24"/>
          <w:szCs w:val="24"/>
        </w:rPr>
        <w:t>has</w:t>
      </w:r>
      <w:r w:rsidRPr="00052406">
        <w:rPr>
          <w:rFonts w:ascii="Times New Roman" w:hAnsi="Times New Roman" w:cs="Times New Roman"/>
          <w:noProof/>
          <w:sz w:val="24"/>
          <w:szCs w:val="24"/>
        </w:rPr>
        <w:t xml:space="preserve"> not </w:t>
      </w:r>
      <w:r>
        <w:rPr>
          <w:rFonts w:ascii="Times New Roman" w:hAnsi="Times New Roman" w:cs="Times New Roman"/>
          <w:noProof/>
          <w:sz w:val="24"/>
          <w:szCs w:val="24"/>
        </w:rPr>
        <w:t>yet done so</w:t>
      </w:r>
      <w:r w:rsidR="00D2183D">
        <w:rPr>
          <w:rFonts w:ascii="Times New Roman" w:hAnsi="Times New Roman" w:cs="Times New Roman"/>
          <w:noProof/>
          <w:sz w:val="24"/>
          <w:szCs w:val="24"/>
        </w:rPr>
        <w:t xml:space="preserve">, </w:t>
      </w:r>
      <w:r w:rsidRPr="00052406">
        <w:rPr>
          <w:rFonts w:ascii="Times New Roman" w:hAnsi="Times New Roman" w:cs="Times New Roman"/>
          <w:noProof/>
          <w:sz w:val="24"/>
          <w:szCs w:val="24"/>
        </w:rPr>
        <w:t xml:space="preserve">but may need to </w:t>
      </w:r>
      <w:r w:rsidR="00D2183D">
        <w:rPr>
          <w:rFonts w:ascii="Times New Roman" w:hAnsi="Times New Roman" w:cs="Times New Roman"/>
          <w:noProof/>
          <w:sz w:val="24"/>
          <w:szCs w:val="24"/>
        </w:rPr>
        <w:t>be addressed in the future</w:t>
      </w:r>
      <w:r w:rsidRPr="00052406">
        <w:rPr>
          <w:rFonts w:ascii="Times New Roman" w:hAnsi="Times New Roman" w:cs="Times New Roman"/>
          <w:noProof/>
          <w:sz w:val="24"/>
          <w:szCs w:val="24"/>
        </w:rPr>
        <w:t>.</w:t>
      </w:r>
      <w:r w:rsidR="0020550D">
        <w:rPr>
          <w:rFonts w:ascii="Times New Roman" w:hAnsi="Times New Roman" w:cs="Times New Roman"/>
          <w:noProof/>
          <w:sz w:val="24"/>
          <w:szCs w:val="24"/>
        </w:rPr>
        <w:t xml:space="preserve"> </w:t>
      </w:r>
    </w:p>
    <w:p w14:paraId="74837D90" w14:textId="77777777" w:rsidR="001E7A92" w:rsidRPr="00052406" w:rsidRDefault="001E7A92" w:rsidP="007D3BE4">
      <w:pPr>
        <w:pStyle w:val="ListParagraph"/>
        <w:numPr>
          <w:ilvl w:val="0"/>
          <w:numId w:val="6"/>
        </w:numPr>
        <w:spacing w:before="240" w:after="240" w:line="240" w:lineRule="auto"/>
        <w:contextualSpacing w:val="0"/>
        <w:jc w:val="both"/>
        <w:rPr>
          <w:rFonts w:ascii="Times New Roman" w:hAnsi="Times New Roman" w:cs="Times New Roman"/>
          <w:b/>
          <w:noProof/>
          <w:sz w:val="24"/>
          <w:szCs w:val="24"/>
        </w:rPr>
      </w:pPr>
      <w:r w:rsidRPr="00052406">
        <w:rPr>
          <w:rFonts w:ascii="Times New Roman" w:hAnsi="Times New Roman" w:cs="Times New Roman"/>
          <w:b/>
          <w:noProof/>
          <w:sz w:val="24"/>
          <w:szCs w:val="24"/>
        </w:rPr>
        <w:t>CONCLUSION</w:t>
      </w:r>
    </w:p>
    <w:p w14:paraId="332A92BD" w14:textId="6AD64B4A" w:rsidR="00205614" w:rsidRDefault="00205614" w:rsidP="007D3BE4">
      <w:pPr>
        <w:autoSpaceDE w:val="0"/>
        <w:autoSpaceDN w:val="0"/>
        <w:adjustRightInd w:val="0"/>
        <w:spacing w:before="240" w:after="240" w:line="240" w:lineRule="auto"/>
        <w:jc w:val="both"/>
        <w:rPr>
          <w:rFonts w:ascii="Times New Roman" w:hAnsi="Times New Roman" w:cs="Times New Roman"/>
          <w:noProof/>
          <w:sz w:val="24"/>
          <w:szCs w:val="24"/>
        </w:rPr>
      </w:pPr>
      <w:r w:rsidRPr="00205614">
        <w:rPr>
          <w:rFonts w:ascii="Times New Roman" w:hAnsi="Times New Roman" w:cs="Times New Roman"/>
          <w:noProof/>
          <w:sz w:val="24"/>
          <w:szCs w:val="24"/>
        </w:rPr>
        <w:t xml:space="preserve">The Commission considers that it has exercised its delegated powers within the remit conferred </w:t>
      </w:r>
      <w:r>
        <w:rPr>
          <w:rFonts w:ascii="Times New Roman" w:hAnsi="Times New Roman" w:cs="Times New Roman"/>
          <w:noProof/>
          <w:sz w:val="24"/>
          <w:szCs w:val="24"/>
        </w:rPr>
        <w:t>on</w:t>
      </w:r>
      <w:r w:rsidRPr="00205614">
        <w:rPr>
          <w:rFonts w:ascii="Times New Roman" w:hAnsi="Times New Roman" w:cs="Times New Roman"/>
          <w:noProof/>
          <w:sz w:val="24"/>
          <w:szCs w:val="24"/>
        </w:rPr>
        <w:t xml:space="preserve"> it by</w:t>
      </w:r>
      <w:r w:rsidRPr="00205614">
        <w:rPr>
          <w:noProof/>
        </w:rPr>
        <w:t xml:space="preserve"> </w:t>
      </w:r>
      <w:r w:rsidRPr="00205614">
        <w:rPr>
          <w:rFonts w:ascii="Times New Roman" w:hAnsi="Times New Roman" w:cs="Times New Roman"/>
          <w:noProof/>
          <w:sz w:val="24"/>
          <w:szCs w:val="24"/>
        </w:rPr>
        <w:t>Regulation (EU) 2017/1369</w:t>
      </w:r>
      <w:r w:rsidR="00D33FF1">
        <w:rPr>
          <w:rFonts w:ascii="Times New Roman" w:hAnsi="Times New Roman" w:cs="Times New Roman"/>
          <w:noProof/>
          <w:sz w:val="24"/>
          <w:szCs w:val="24"/>
        </w:rPr>
        <w:t>.</w:t>
      </w:r>
    </w:p>
    <w:p w14:paraId="7374E383" w14:textId="16E0EB44" w:rsidR="001E7A92" w:rsidRPr="00C4618A" w:rsidRDefault="00052406" w:rsidP="007D3BE4">
      <w:pPr>
        <w:autoSpaceDE w:val="0"/>
        <w:autoSpaceDN w:val="0"/>
        <w:adjustRightInd w:val="0"/>
        <w:spacing w:before="240" w:after="240" w:line="240" w:lineRule="auto"/>
        <w:jc w:val="both"/>
        <w:rPr>
          <w:rFonts w:ascii="Times New Roman" w:hAnsi="Times New Roman" w:cs="Times New Roman"/>
          <w:iCs/>
          <w:noProof/>
          <w:sz w:val="24"/>
          <w:szCs w:val="24"/>
        </w:rPr>
      </w:pPr>
      <w:r w:rsidRPr="00052406">
        <w:rPr>
          <w:rFonts w:ascii="Times New Roman" w:hAnsi="Times New Roman" w:cs="Times New Roman"/>
          <w:noProof/>
          <w:sz w:val="24"/>
          <w:szCs w:val="24"/>
        </w:rPr>
        <w:t xml:space="preserve">Given the </w:t>
      </w:r>
      <w:r w:rsidR="007F199C">
        <w:rPr>
          <w:rFonts w:ascii="Times New Roman" w:hAnsi="Times New Roman" w:cs="Times New Roman"/>
          <w:noProof/>
          <w:sz w:val="24"/>
          <w:szCs w:val="24"/>
        </w:rPr>
        <w:t xml:space="preserve">valuable </w:t>
      </w:r>
      <w:r w:rsidR="0020550D">
        <w:rPr>
          <w:rFonts w:ascii="Times New Roman" w:hAnsi="Times New Roman" w:cs="Times New Roman"/>
          <w:noProof/>
          <w:sz w:val="24"/>
          <w:szCs w:val="24"/>
        </w:rPr>
        <w:t>role</w:t>
      </w:r>
      <w:r w:rsidR="007F199C">
        <w:rPr>
          <w:rFonts w:ascii="Times New Roman" w:hAnsi="Times New Roman" w:cs="Times New Roman"/>
          <w:noProof/>
          <w:sz w:val="24"/>
          <w:szCs w:val="24"/>
        </w:rPr>
        <w:t xml:space="preserve"> energy labelling </w:t>
      </w:r>
      <w:r w:rsidR="0020550D">
        <w:rPr>
          <w:rFonts w:ascii="Times New Roman" w:hAnsi="Times New Roman" w:cs="Times New Roman"/>
          <w:noProof/>
          <w:sz w:val="24"/>
          <w:szCs w:val="24"/>
        </w:rPr>
        <w:t>can play in</w:t>
      </w:r>
      <w:r w:rsidR="007F199C">
        <w:rPr>
          <w:rFonts w:ascii="Times New Roman" w:hAnsi="Times New Roman" w:cs="Times New Roman"/>
          <w:noProof/>
          <w:sz w:val="24"/>
          <w:szCs w:val="24"/>
        </w:rPr>
        <w:t xml:space="preserve"> helping </w:t>
      </w:r>
      <w:r w:rsidR="0020550D">
        <w:rPr>
          <w:rFonts w:ascii="Times New Roman" w:hAnsi="Times New Roman" w:cs="Times New Roman"/>
          <w:noProof/>
          <w:sz w:val="24"/>
          <w:szCs w:val="24"/>
        </w:rPr>
        <w:t>consumers</w:t>
      </w:r>
      <w:r w:rsidR="007F199C">
        <w:rPr>
          <w:rFonts w:ascii="Times New Roman" w:hAnsi="Times New Roman" w:cs="Times New Roman"/>
          <w:noProof/>
          <w:sz w:val="24"/>
          <w:szCs w:val="24"/>
        </w:rPr>
        <w:t xml:space="preserve"> reduce their energy consumption, the requirement in existing energy labelling acts for </w:t>
      </w:r>
      <w:r w:rsidR="0020550D">
        <w:rPr>
          <w:rFonts w:ascii="Times New Roman" w:hAnsi="Times New Roman" w:cs="Times New Roman"/>
          <w:noProof/>
          <w:sz w:val="24"/>
          <w:szCs w:val="24"/>
        </w:rPr>
        <w:t xml:space="preserve">regular </w:t>
      </w:r>
      <w:r w:rsidR="007F199C">
        <w:rPr>
          <w:rFonts w:ascii="Times New Roman" w:hAnsi="Times New Roman" w:cs="Times New Roman"/>
          <w:noProof/>
          <w:sz w:val="24"/>
          <w:szCs w:val="24"/>
        </w:rPr>
        <w:t>review</w:t>
      </w:r>
      <w:r w:rsidR="0020550D">
        <w:rPr>
          <w:rFonts w:ascii="Times New Roman" w:hAnsi="Times New Roman" w:cs="Times New Roman"/>
          <w:noProof/>
          <w:sz w:val="24"/>
          <w:szCs w:val="24"/>
        </w:rPr>
        <w:t>s</w:t>
      </w:r>
      <w:r w:rsidR="007F199C">
        <w:rPr>
          <w:rFonts w:ascii="Times New Roman" w:hAnsi="Times New Roman" w:cs="Times New Roman"/>
          <w:noProof/>
          <w:sz w:val="24"/>
          <w:szCs w:val="24"/>
        </w:rPr>
        <w:t>, as well as the list of energy-related products in the</w:t>
      </w:r>
      <w:r w:rsidR="007F199C" w:rsidRPr="007F199C">
        <w:rPr>
          <w:noProof/>
        </w:rPr>
        <w:t xml:space="preserve"> </w:t>
      </w:r>
      <w:r w:rsidR="007F199C" w:rsidRPr="007F199C">
        <w:rPr>
          <w:rFonts w:ascii="Times New Roman" w:hAnsi="Times New Roman" w:cs="Times New Roman"/>
          <w:noProof/>
          <w:sz w:val="24"/>
          <w:szCs w:val="24"/>
        </w:rPr>
        <w:t>Ecodesign and Energy Labelling Working Plan 2022-2024</w:t>
      </w:r>
      <w:r w:rsidR="00322FA1">
        <w:rPr>
          <w:rFonts w:ascii="Times New Roman" w:hAnsi="Times New Roman" w:cs="Times New Roman"/>
          <w:noProof/>
          <w:sz w:val="24"/>
          <w:szCs w:val="24"/>
        </w:rPr>
        <w:t xml:space="preserve"> </w:t>
      </w:r>
      <w:r w:rsidR="006E1EB9">
        <w:rPr>
          <w:rFonts w:ascii="Times New Roman" w:hAnsi="Times New Roman" w:cs="Times New Roman"/>
          <w:noProof/>
          <w:sz w:val="24"/>
          <w:szCs w:val="24"/>
        </w:rPr>
        <w:t>in possible need of</w:t>
      </w:r>
      <w:r w:rsidR="00322FA1">
        <w:rPr>
          <w:rFonts w:ascii="Times New Roman" w:hAnsi="Times New Roman" w:cs="Times New Roman"/>
          <w:noProof/>
          <w:sz w:val="24"/>
          <w:szCs w:val="24"/>
        </w:rPr>
        <w:t xml:space="preserve"> energy labelling</w:t>
      </w:r>
      <w:r w:rsidRPr="00052406">
        <w:rPr>
          <w:rFonts w:ascii="Times New Roman" w:hAnsi="Times New Roman" w:cs="Times New Roman"/>
          <w:noProof/>
          <w:sz w:val="24"/>
          <w:szCs w:val="24"/>
        </w:rPr>
        <w:t xml:space="preserve">, the </w:t>
      </w:r>
      <w:r w:rsidR="001E7A92" w:rsidRPr="00C4618A">
        <w:rPr>
          <w:rFonts w:ascii="Times New Roman" w:hAnsi="Times New Roman" w:cs="Times New Roman"/>
          <w:iCs/>
          <w:noProof/>
          <w:sz w:val="24"/>
          <w:szCs w:val="24"/>
        </w:rPr>
        <w:t xml:space="preserve">Commission </w:t>
      </w:r>
      <w:r w:rsidR="0020550D">
        <w:rPr>
          <w:rFonts w:ascii="Times New Roman" w:hAnsi="Times New Roman" w:cs="Times New Roman"/>
          <w:iCs/>
          <w:noProof/>
          <w:sz w:val="24"/>
          <w:szCs w:val="24"/>
        </w:rPr>
        <w:t>considers there is a clear</w:t>
      </w:r>
      <w:r w:rsidR="001E7A92" w:rsidRPr="00C4618A">
        <w:rPr>
          <w:rFonts w:ascii="Times New Roman" w:hAnsi="Times New Roman" w:cs="Times New Roman"/>
          <w:iCs/>
          <w:noProof/>
          <w:sz w:val="24"/>
          <w:szCs w:val="24"/>
        </w:rPr>
        <w:t xml:space="preserve"> need for a tacit extension of the delegation</w:t>
      </w:r>
      <w:r w:rsidR="00AF176F" w:rsidRPr="00C4618A">
        <w:rPr>
          <w:rFonts w:ascii="Times New Roman" w:hAnsi="Times New Roman" w:cs="Times New Roman"/>
          <w:iCs/>
          <w:noProof/>
          <w:sz w:val="24"/>
          <w:szCs w:val="24"/>
        </w:rPr>
        <w:t>s</w:t>
      </w:r>
      <w:r w:rsidR="001E7A92" w:rsidRPr="00C4618A">
        <w:rPr>
          <w:rFonts w:ascii="Times New Roman" w:hAnsi="Times New Roman" w:cs="Times New Roman"/>
          <w:iCs/>
          <w:noProof/>
          <w:sz w:val="24"/>
          <w:szCs w:val="24"/>
        </w:rPr>
        <w:t xml:space="preserve"> of power provided for in </w:t>
      </w:r>
      <w:r w:rsidR="00480395" w:rsidRPr="00C4618A">
        <w:rPr>
          <w:rFonts w:ascii="Times New Roman" w:hAnsi="Times New Roman" w:cs="Times New Roman"/>
          <w:noProof/>
          <w:sz w:val="24"/>
          <w:szCs w:val="24"/>
        </w:rPr>
        <w:t>Article 17(2) of Regulation (EU) 2017/1369</w:t>
      </w:r>
      <w:r w:rsidR="001E7A92" w:rsidRPr="00C4618A">
        <w:rPr>
          <w:rFonts w:ascii="Times New Roman" w:hAnsi="Times New Roman" w:cs="Times New Roman"/>
          <w:iCs/>
          <w:noProof/>
          <w:sz w:val="24"/>
          <w:szCs w:val="24"/>
        </w:rPr>
        <w:t xml:space="preserve"> for a period of </w:t>
      </w:r>
      <w:r w:rsidR="00480395" w:rsidRPr="00C4618A">
        <w:rPr>
          <w:rFonts w:ascii="Times New Roman" w:hAnsi="Times New Roman" w:cs="Times New Roman"/>
          <w:iCs/>
          <w:noProof/>
          <w:sz w:val="24"/>
          <w:szCs w:val="24"/>
        </w:rPr>
        <w:t>six years</w:t>
      </w:r>
      <w:r w:rsidR="006E1EB9">
        <w:rPr>
          <w:rFonts w:ascii="Times New Roman" w:hAnsi="Times New Roman" w:cs="Times New Roman"/>
          <w:iCs/>
          <w:noProof/>
          <w:sz w:val="24"/>
          <w:szCs w:val="24"/>
        </w:rPr>
        <w:t>.</w:t>
      </w:r>
    </w:p>
    <w:p w14:paraId="1BE48588" w14:textId="77777777" w:rsidR="0055004A" w:rsidRPr="00C4618A" w:rsidRDefault="001E7A92" w:rsidP="007D3BE4">
      <w:pPr>
        <w:spacing w:before="240" w:after="240"/>
        <w:rPr>
          <w:noProof/>
        </w:rPr>
      </w:pPr>
      <w:r w:rsidRPr="00C4618A">
        <w:rPr>
          <w:rFonts w:ascii="Times New Roman" w:hAnsi="Times New Roman" w:cs="Times New Roman"/>
          <w:noProof/>
          <w:sz w:val="24"/>
          <w:szCs w:val="24"/>
        </w:rPr>
        <w:t>The Commission invites the European Parliament and the Co</w:t>
      </w:r>
      <w:r w:rsidR="00E15E75" w:rsidRPr="00C4618A">
        <w:rPr>
          <w:rFonts w:ascii="Times New Roman" w:hAnsi="Times New Roman" w:cs="Times New Roman"/>
          <w:noProof/>
          <w:sz w:val="24"/>
          <w:szCs w:val="24"/>
        </w:rPr>
        <w:t>uncil to take note of this report.</w:t>
      </w:r>
    </w:p>
    <w:sectPr w:rsidR="0055004A" w:rsidRPr="00C4618A" w:rsidSect="007518A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F777" w14:textId="77777777" w:rsidR="007518AB" w:rsidRDefault="007518AB" w:rsidP="007518AB">
      <w:pPr>
        <w:spacing w:after="0" w:line="240" w:lineRule="auto"/>
      </w:pPr>
      <w:r>
        <w:separator/>
      </w:r>
    </w:p>
  </w:endnote>
  <w:endnote w:type="continuationSeparator" w:id="0">
    <w:p w14:paraId="6F7764E6" w14:textId="77777777" w:rsidR="007518AB" w:rsidRDefault="007518AB" w:rsidP="007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F7C4" w14:textId="77777777" w:rsidR="0071296F" w:rsidRPr="0071296F" w:rsidRDefault="0071296F" w:rsidP="00712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B555" w14:textId="22E227C4" w:rsidR="001E0BFB" w:rsidRPr="0071296F" w:rsidRDefault="0071296F" w:rsidP="0071296F">
    <w:pPr>
      <w:pStyle w:val="FooterCoverPage"/>
      <w:rPr>
        <w:rFonts w:ascii="Arial" w:hAnsi="Arial" w:cs="Arial"/>
        <w:b/>
        <w:sz w:val="48"/>
      </w:rPr>
    </w:pPr>
    <w:r w:rsidRPr="0071296F">
      <w:rPr>
        <w:rFonts w:ascii="Arial" w:hAnsi="Arial" w:cs="Arial"/>
        <w:b/>
        <w:sz w:val="48"/>
      </w:rPr>
      <w:t>EN</w:t>
    </w:r>
    <w:r w:rsidRPr="0071296F">
      <w:rPr>
        <w:rFonts w:ascii="Arial" w:hAnsi="Arial" w:cs="Arial"/>
        <w:b/>
        <w:sz w:val="48"/>
      </w:rPr>
      <w:tab/>
    </w:r>
    <w:r w:rsidRPr="0071296F">
      <w:rPr>
        <w:rFonts w:ascii="Arial" w:hAnsi="Arial" w:cs="Arial"/>
        <w:b/>
        <w:sz w:val="48"/>
      </w:rPr>
      <w:tab/>
    </w:r>
    <w:r w:rsidRPr="0071296F">
      <w:tab/>
    </w:r>
    <w:r w:rsidRPr="0071296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8B65" w14:textId="77777777" w:rsidR="0071296F" w:rsidRPr="0071296F" w:rsidRDefault="0071296F" w:rsidP="0071296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D8BF" w14:textId="77777777" w:rsidR="007518AB" w:rsidRDefault="007518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905834"/>
      <w:docPartObj>
        <w:docPartGallery w:val="Page Numbers (Bottom of Page)"/>
        <w:docPartUnique/>
      </w:docPartObj>
    </w:sdtPr>
    <w:sdtEndPr>
      <w:rPr>
        <w:noProof/>
      </w:rPr>
    </w:sdtEndPr>
    <w:sdtContent>
      <w:p w14:paraId="1C66D2A5" w14:textId="43B0FFB0" w:rsidR="009F43FF" w:rsidRDefault="009F43FF">
        <w:pPr>
          <w:pStyle w:val="Footer"/>
          <w:jc w:val="center"/>
        </w:pPr>
        <w:r w:rsidRPr="00AD28E4">
          <w:rPr>
            <w:rFonts w:ascii="Times New Roman" w:hAnsi="Times New Roman" w:cs="Times New Roman"/>
          </w:rPr>
          <w:fldChar w:fldCharType="begin"/>
        </w:r>
        <w:r w:rsidRPr="00AD28E4">
          <w:rPr>
            <w:rFonts w:ascii="Times New Roman" w:hAnsi="Times New Roman" w:cs="Times New Roman"/>
          </w:rPr>
          <w:instrText xml:space="preserve"> PAGE   \* MERGEFORMAT </w:instrText>
        </w:r>
        <w:r w:rsidRPr="00AD28E4">
          <w:rPr>
            <w:rFonts w:ascii="Times New Roman" w:hAnsi="Times New Roman" w:cs="Times New Roman"/>
          </w:rPr>
          <w:fldChar w:fldCharType="separate"/>
        </w:r>
        <w:r w:rsidR="0071296F">
          <w:rPr>
            <w:rFonts w:ascii="Times New Roman" w:hAnsi="Times New Roman" w:cs="Times New Roman"/>
            <w:noProof/>
          </w:rPr>
          <w:t>1</w:t>
        </w:r>
        <w:r w:rsidRPr="00AD28E4">
          <w:rPr>
            <w:rFonts w:ascii="Times New Roman" w:hAnsi="Times New Roman" w:cs="Times New Roman"/>
            <w:noProof/>
          </w:rPr>
          <w:fldChar w:fldCharType="end"/>
        </w:r>
      </w:p>
    </w:sdtContent>
  </w:sdt>
  <w:p w14:paraId="2FABD6D0" w14:textId="77777777" w:rsidR="007518AB" w:rsidRDefault="007518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99BD" w14:textId="77777777" w:rsidR="007518AB" w:rsidRDefault="0075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B8BB" w14:textId="77777777" w:rsidR="007518AB" w:rsidRDefault="007518AB" w:rsidP="007518AB">
      <w:pPr>
        <w:spacing w:after="0" w:line="240" w:lineRule="auto"/>
      </w:pPr>
      <w:r>
        <w:separator/>
      </w:r>
    </w:p>
  </w:footnote>
  <w:footnote w:type="continuationSeparator" w:id="0">
    <w:p w14:paraId="4872E34E" w14:textId="77777777" w:rsidR="007518AB" w:rsidRDefault="007518AB" w:rsidP="007518AB">
      <w:pPr>
        <w:spacing w:after="0" w:line="240" w:lineRule="auto"/>
      </w:pPr>
      <w:r>
        <w:continuationSeparator/>
      </w:r>
    </w:p>
  </w:footnote>
  <w:footnote w:id="1">
    <w:p w14:paraId="7875951F" w14:textId="09080979" w:rsidR="003456E3" w:rsidRPr="003456E3" w:rsidRDefault="003456E3" w:rsidP="00305E48">
      <w:pPr>
        <w:pStyle w:val="FootnoteText"/>
        <w:spacing w:after="120"/>
        <w:ind w:left="142" w:hanging="142"/>
        <w:jc w:val="both"/>
        <w:rPr>
          <w:rFonts w:ascii="Times New Roman" w:hAnsi="Times New Roman" w:cs="Times New Roman"/>
        </w:rPr>
      </w:pPr>
      <w:r w:rsidRPr="002E4C86">
        <w:rPr>
          <w:rStyle w:val="FootnoteReference"/>
          <w:rFonts w:ascii="Times New Roman" w:hAnsi="Times New Roman"/>
          <w:b/>
        </w:rPr>
        <w:footnoteRef/>
      </w:r>
      <w:r w:rsidRPr="003456E3">
        <w:rPr>
          <w:rFonts w:ascii="Times New Roman" w:hAnsi="Times New Roman" w:cs="Times New Roman"/>
        </w:rPr>
        <w:t xml:space="preserve"> </w:t>
      </w:r>
      <w:r w:rsidR="0094268A">
        <w:rPr>
          <w:rFonts w:ascii="Times New Roman" w:hAnsi="Times New Roman" w:cs="Times New Roman"/>
        </w:rPr>
        <w:tab/>
      </w:r>
      <w:r w:rsidRPr="003456E3">
        <w:rPr>
          <w:rFonts w:ascii="Times New Roman" w:hAnsi="Times New Roman" w:cs="Times New Roman"/>
        </w:rPr>
        <w:t>Regulation (EU) 2017/1369 of the European Parliament and of the Council of 4 July 2017 setting a framework for energy labelling and repealing Directive 2010/</w:t>
      </w:r>
      <w:r w:rsidR="00206806">
        <w:rPr>
          <w:rFonts w:ascii="Times New Roman" w:hAnsi="Times New Roman" w:cs="Times New Roman"/>
        </w:rPr>
        <w:t>30/EU,</w:t>
      </w:r>
      <w:r w:rsidRPr="003456E3">
        <w:rPr>
          <w:rFonts w:ascii="Times New Roman" w:hAnsi="Times New Roman" w:cs="Times New Roman"/>
        </w:rPr>
        <w:t xml:space="preserve"> OJ L 198, 28.7.2017, p. 1–23</w:t>
      </w:r>
      <w:r w:rsidR="0094268A">
        <w:rPr>
          <w:rFonts w:ascii="Times New Roman" w:hAnsi="Times New Roman" w:cs="Times New Roman"/>
        </w:rPr>
        <w:t>.</w:t>
      </w:r>
    </w:p>
  </w:footnote>
  <w:footnote w:id="2">
    <w:p w14:paraId="16646C31" w14:textId="4E62DD9A" w:rsidR="005A74BC" w:rsidRPr="006E1EB9" w:rsidRDefault="001E03B4" w:rsidP="005A74BC">
      <w:pPr>
        <w:autoSpaceDE w:val="0"/>
        <w:autoSpaceDN w:val="0"/>
        <w:spacing w:before="40" w:after="40" w:line="240" w:lineRule="auto"/>
      </w:pPr>
      <w:r>
        <w:rPr>
          <w:rStyle w:val="FootnoteReference"/>
        </w:rPr>
        <w:footnoteRef/>
      </w:r>
      <w:r>
        <w:t xml:space="preserve"> </w:t>
      </w:r>
      <w:r w:rsidR="005A74BC" w:rsidRPr="00D017D8">
        <w:rPr>
          <w:rFonts w:ascii="Times New Roman" w:hAnsi="Times New Roman" w:cs="Times New Roman"/>
          <w:sz w:val="20"/>
          <w:szCs w:val="20"/>
        </w:rPr>
        <w:t>COMMISSION STAFF WORKING DOCUMENT Accompanying the document COMMUNICATION FROM THE COMMISSION Ecodesign and Energy Labelling Working Plan 2022-2024</w:t>
      </w:r>
      <w:r w:rsidR="005A74BC" w:rsidRPr="00D017D8">
        <w:rPr>
          <w:rFonts w:ascii="Segoe UI" w:hAnsi="Segoe UI" w:cs="Segoe UI"/>
          <w:color w:val="000000"/>
          <w:sz w:val="20"/>
          <w:szCs w:val="20"/>
          <w:lang w:val="en-US"/>
        </w:rPr>
        <w:t xml:space="preserve"> </w:t>
      </w:r>
      <w:r w:rsidR="005A74BC" w:rsidRPr="00D017D8">
        <w:rPr>
          <w:lang w:val="en-US"/>
        </w:rPr>
        <w:t xml:space="preserve"> </w:t>
      </w:r>
      <w:hyperlink r:id="rId1" w:history="1">
        <w:r w:rsidR="005A74BC" w:rsidRPr="00D017D8">
          <w:rPr>
            <w:rStyle w:val="Hyperlink"/>
            <w:rFonts w:ascii="Times New Roman" w:hAnsi="Times New Roman" w:cs="Times New Roman"/>
            <w:sz w:val="20"/>
            <w:szCs w:val="20"/>
            <w:lang w:val="en-US"/>
          </w:rPr>
          <w:t>EUR-Lex - 52022SC0101 - EN - EUR-Lex (europa.eu)</w:t>
        </w:r>
      </w:hyperlink>
      <w:r w:rsidR="005A74BC" w:rsidRPr="00D017D8">
        <w:rPr>
          <w:rFonts w:ascii="Segoe UI" w:hAnsi="Segoe UI" w:cs="Segoe UI"/>
          <w:sz w:val="20"/>
          <w:szCs w:val="20"/>
          <w:lang w:val="en-US"/>
        </w:rPr>
        <w:t xml:space="preserve"> </w:t>
      </w:r>
    </w:p>
    <w:p w14:paraId="414CF6C1" w14:textId="4FB80184" w:rsidR="001E03B4" w:rsidRPr="00D017D8" w:rsidRDefault="001E03B4">
      <w:pPr>
        <w:pStyle w:val="FootnoteText"/>
        <w:rPr>
          <w:lang w:val="en-US"/>
        </w:rPr>
      </w:pPr>
    </w:p>
  </w:footnote>
  <w:footnote w:id="3">
    <w:p w14:paraId="45AABFE6" w14:textId="77777777" w:rsidR="00F20773" w:rsidRPr="00560D11" w:rsidRDefault="00F20773" w:rsidP="00F20773">
      <w:pPr>
        <w:pStyle w:val="FootnoteText"/>
        <w:spacing w:after="120"/>
        <w:ind w:left="142" w:hanging="142"/>
        <w:jc w:val="both"/>
        <w:rPr>
          <w:lang w:val="en-US"/>
        </w:rPr>
      </w:pPr>
      <w:r w:rsidRPr="00206806">
        <w:rPr>
          <w:rFonts w:ascii="Times New Roman" w:hAnsi="Times New Roman"/>
          <w:b/>
          <w:vertAlign w:val="superscript"/>
        </w:rPr>
        <w:footnoteRef/>
      </w:r>
      <w:r w:rsidRPr="00560D11">
        <w:rPr>
          <w:rFonts w:ascii="Times New Roman" w:hAnsi="Times New Roman" w:cs="Times New Roman"/>
        </w:rPr>
        <w:t xml:space="preserve"> </w:t>
      </w:r>
      <w:r>
        <w:rPr>
          <w:rFonts w:ascii="Times New Roman" w:hAnsi="Times New Roman" w:cs="Times New Roman"/>
        </w:rPr>
        <w:tab/>
      </w:r>
      <w:r w:rsidRPr="00560D11">
        <w:rPr>
          <w:rFonts w:ascii="Times New Roman" w:hAnsi="Times New Roman" w:cs="Times New Roman"/>
        </w:rPr>
        <w:t>Communication from the Commission Ecodesign and Energy Labelling Working Plan 2022-2024 2022/C 182/01 C/2022/2026,  OJ C 182, 4.5.2022, p. 1–12;</w:t>
      </w:r>
      <w:r>
        <w:rPr>
          <w:rFonts w:ascii="Times New Roman" w:hAnsi="Times New Roman" w:cs="Times New Roman"/>
        </w:rPr>
        <w:t xml:space="preserve"> </w:t>
      </w:r>
      <w:hyperlink r:id="rId2" w:history="1">
        <w:r w:rsidRPr="002E4C86">
          <w:rPr>
            <w:rStyle w:val="Hyperlink"/>
            <w:rFonts w:ascii="Times New Roman" w:hAnsi="Times New Roman" w:cs="Times New Roman"/>
          </w:rPr>
          <w:t>EUR-Lex - 52022XC0504(01) - EN - EUR-Lex (europa.eu)</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90C94" w14:textId="77777777" w:rsidR="0071296F" w:rsidRPr="0071296F" w:rsidRDefault="0071296F" w:rsidP="00712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E34A5" w14:textId="77777777" w:rsidR="0071296F" w:rsidRPr="0071296F" w:rsidRDefault="0071296F" w:rsidP="0071296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A36D" w14:textId="77777777" w:rsidR="0071296F" w:rsidRPr="0071296F" w:rsidRDefault="0071296F" w:rsidP="0071296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E050" w14:textId="77777777" w:rsidR="007518AB" w:rsidRDefault="007518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6BE9" w14:textId="77777777" w:rsidR="007518AB" w:rsidRDefault="007518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DF12" w14:textId="77777777" w:rsidR="007518AB" w:rsidRDefault="0075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30E5"/>
    <w:multiLevelType w:val="multilevel"/>
    <w:tmpl w:val="FFB8F23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D003E50"/>
    <w:multiLevelType w:val="hybridMultilevel"/>
    <w:tmpl w:val="A618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8392E"/>
    <w:multiLevelType w:val="hybridMultilevel"/>
    <w:tmpl w:val="14F8CD42"/>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A672C"/>
    <w:multiLevelType w:val="multilevel"/>
    <w:tmpl w:val="A090485A"/>
    <w:lvl w:ilvl="0">
      <w:start w:val="3"/>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4" w15:restartNumberingAfterBreak="0">
    <w:nsid w:val="30F0232B"/>
    <w:multiLevelType w:val="multilevel"/>
    <w:tmpl w:val="FFB8F23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0B7E2D"/>
    <w:multiLevelType w:val="hybridMultilevel"/>
    <w:tmpl w:val="1FAEBA2E"/>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C26AE"/>
    <w:multiLevelType w:val="hybridMultilevel"/>
    <w:tmpl w:val="D8389888"/>
    <w:lvl w:ilvl="0" w:tplc="47202612">
      <w:start w:val="1"/>
      <w:numFmt w:val="decimal"/>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C75FDB8-147D-4346-B5A3-2937C8C25D7B"/>
    <w:docVar w:name="LW_COVERPAGE_TYPE" w:val="1"/>
    <w:docVar w:name="LW_CROSSREFERENCE" w:val="&lt;UNUSED&gt;"/>
    <w:docVar w:name="LW_DocType" w:val="NORMAL"/>
    <w:docVar w:name="LW_EMISSION" w:val="8.12.2022"/>
    <w:docVar w:name="LW_EMISSION_ISODATE" w:val="2022-12-08"/>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7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n the delegation of power to adopt delegated acts conferred on the Commission pursuant to Regulation (EU) 2017/1369 of the European Parliament and of the Council of 4 July 2017 setting a framework for energy labelling and repealing Directive 2010/30/EU&lt;/FMT&gt;"/>
    <w:docVar w:name="LW_TYPE.DOC.CP" w:val="REPORT FROM THE COMMISSION TO THE EUROPEAN PARLIAMENT AND THE COUNCIL"/>
    <w:docVar w:name="LwApiVersions" w:val="LW4CoDe 1.23.2.0; LW 8.0, Build 20211117"/>
  </w:docVars>
  <w:rsids>
    <w:rsidRoot w:val="007518AB"/>
    <w:rsid w:val="00004D4C"/>
    <w:rsid w:val="000154CF"/>
    <w:rsid w:val="0001631A"/>
    <w:rsid w:val="00031EDE"/>
    <w:rsid w:val="00035786"/>
    <w:rsid w:val="00041254"/>
    <w:rsid w:val="000510BA"/>
    <w:rsid w:val="00052406"/>
    <w:rsid w:val="00064290"/>
    <w:rsid w:val="00064349"/>
    <w:rsid w:val="00096366"/>
    <w:rsid w:val="000E1659"/>
    <w:rsid w:val="000F6FA6"/>
    <w:rsid w:val="00114234"/>
    <w:rsid w:val="00135FAB"/>
    <w:rsid w:val="00152893"/>
    <w:rsid w:val="00156742"/>
    <w:rsid w:val="00176E5D"/>
    <w:rsid w:val="001801D0"/>
    <w:rsid w:val="0018574D"/>
    <w:rsid w:val="001A3DF9"/>
    <w:rsid w:val="001B4602"/>
    <w:rsid w:val="001B51EC"/>
    <w:rsid w:val="001D56AA"/>
    <w:rsid w:val="001D7B24"/>
    <w:rsid w:val="001E03B4"/>
    <w:rsid w:val="001E0BFB"/>
    <w:rsid w:val="001E2C1A"/>
    <w:rsid w:val="001E7A92"/>
    <w:rsid w:val="0020550D"/>
    <w:rsid w:val="00205614"/>
    <w:rsid w:val="00206806"/>
    <w:rsid w:val="00215A1B"/>
    <w:rsid w:val="00273860"/>
    <w:rsid w:val="00276426"/>
    <w:rsid w:val="0029713D"/>
    <w:rsid w:val="002B0075"/>
    <w:rsid w:val="002C0078"/>
    <w:rsid w:val="002C3E46"/>
    <w:rsid w:val="002E0945"/>
    <w:rsid w:val="002E4C86"/>
    <w:rsid w:val="0030469E"/>
    <w:rsid w:val="00305E48"/>
    <w:rsid w:val="003066C0"/>
    <w:rsid w:val="00312206"/>
    <w:rsid w:val="00322FA1"/>
    <w:rsid w:val="003267BF"/>
    <w:rsid w:val="00326E94"/>
    <w:rsid w:val="00342CDC"/>
    <w:rsid w:val="003456E3"/>
    <w:rsid w:val="00354F38"/>
    <w:rsid w:val="003567D1"/>
    <w:rsid w:val="00362094"/>
    <w:rsid w:val="003666F9"/>
    <w:rsid w:val="003C0B39"/>
    <w:rsid w:val="003C2B6D"/>
    <w:rsid w:val="003D3B08"/>
    <w:rsid w:val="003E483D"/>
    <w:rsid w:val="003F1EC5"/>
    <w:rsid w:val="00407CB4"/>
    <w:rsid w:val="00412344"/>
    <w:rsid w:val="00421737"/>
    <w:rsid w:val="00426E21"/>
    <w:rsid w:val="00442C76"/>
    <w:rsid w:val="00455038"/>
    <w:rsid w:val="0045702B"/>
    <w:rsid w:val="00467495"/>
    <w:rsid w:val="004747A9"/>
    <w:rsid w:val="00476324"/>
    <w:rsid w:val="00480395"/>
    <w:rsid w:val="004B2C02"/>
    <w:rsid w:val="004D24FE"/>
    <w:rsid w:val="004E7F7D"/>
    <w:rsid w:val="004F1D5D"/>
    <w:rsid w:val="00540FD6"/>
    <w:rsid w:val="0055004A"/>
    <w:rsid w:val="00560D11"/>
    <w:rsid w:val="00565F03"/>
    <w:rsid w:val="00587941"/>
    <w:rsid w:val="005A74BC"/>
    <w:rsid w:val="005A788F"/>
    <w:rsid w:val="005B3DC7"/>
    <w:rsid w:val="005C4632"/>
    <w:rsid w:val="005D7B55"/>
    <w:rsid w:val="00601148"/>
    <w:rsid w:val="00623761"/>
    <w:rsid w:val="00640702"/>
    <w:rsid w:val="00641C8E"/>
    <w:rsid w:val="006427F8"/>
    <w:rsid w:val="00653623"/>
    <w:rsid w:val="00664859"/>
    <w:rsid w:val="006C0504"/>
    <w:rsid w:val="006C68B6"/>
    <w:rsid w:val="006D2493"/>
    <w:rsid w:val="006E1EB9"/>
    <w:rsid w:val="0071296F"/>
    <w:rsid w:val="007205DB"/>
    <w:rsid w:val="007229E7"/>
    <w:rsid w:val="00734ADF"/>
    <w:rsid w:val="007518AB"/>
    <w:rsid w:val="0076122E"/>
    <w:rsid w:val="007624B4"/>
    <w:rsid w:val="00765C5F"/>
    <w:rsid w:val="00791732"/>
    <w:rsid w:val="00794AC8"/>
    <w:rsid w:val="007D3BE4"/>
    <w:rsid w:val="007F199C"/>
    <w:rsid w:val="0080185F"/>
    <w:rsid w:val="00807333"/>
    <w:rsid w:val="00813DF8"/>
    <w:rsid w:val="00814821"/>
    <w:rsid w:val="00814C8F"/>
    <w:rsid w:val="00822952"/>
    <w:rsid w:val="008416CF"/>
    <w:rsid w:val="008452FD"/>
    <w:rsid w:val="0085714D"/>
    <w:rsid w:val="00871E0B"/>
    <w:rsid w:val="008879CA"/>
    <w:rsid w:val="008900E5"/>
    <w:rsid w:val="008C2CC9"/>
    <w:rsid w:val="008E0793"/>
    <w:rsid w:val="008F7DB0"/>
    <w:rsid w:val="00937C72"/>
    <w:rsid w:val="00942277"/>
    <w:rsid w:val="0094268A"/>
    <w:rsid w:val="00951E23"/>
    <w:rsid w:val="00963097"/>
    <w:rsid w:val="009749D6"/>
    <w:rsid w:val="009A701B"/>
    <w:rsid w:val="009C51DC"/>
    <w:rsid w:val="009D3731"/>
    <w:rsid w:val="009E21B3"/>
    <w:rsid w:val="009F43FF"/>
    <w:rsid w:val="00A04E0F"/>
    <w:rsid w:val="00A050C3"/>
    <w:rsid w:val="00A259B1"/>
    <w:rsid w:val="00A40DAA"/>
    <w:rsid w:val="00A71C16"/>
    <w:rsid w:val="00A72F00"/>
    <w:rsid w:val="00A77C3D"/>
    <w:rsid w:val="00A87711"/>
    <w:rsid w:val="00A929B3"/>
    <w:rsid w:val="00AA6925"/>
    <w:rsid w:val="00AB27B9"/>
    <w:rsid w:val="00AB7306"/>
    <w:rsid w:val="00AD28E4"/>
    <w:rsid w:val="00AF176F"/>
    <w:rsid w:val="00B14330"/>
    <w:rsid w:val="00B166AE"/>
    <w:rsid w:val="00B1749E"/>
    <w:rsid w:val="00B340C4"/>
    <w:rsid w:val="00B42F5F"/>
    <w:rsid w:val="00B557BC"/>
    <w:rsid w:val="00B6168D"/>
    <w:rsid w:val="00B72DD0"/>
    <w:rsid w:val="00B842BC"/>
    <w:rsid w:val="00BA15E8"/>
    <w:rsid w:val="00BE1886"/>
    <w:rsid w:val="00BF5FCB"/>
    <w:rsid w:val="00C20845"/>
    <w:rsid w:val="00C27918"/>
    <w:rsid w:val="00C31EDC"/>
    <w:rsid w:val="00C4618A"/>
    <w:rsid w:val="00C57190"/>
    <w:rsid w:val="00C72429"/>
    <w:rsid w:val="00C850B6"/>
    <w:rsid w:val="00CB0928"/>
    <w:rsid w:val="00CB0950"/>
    <w:rsid w:val="00CB2A58"/>
    <w:rsid w:val="00CB4A4D"/>
    <w:rsid w:val="00CB72CF"/>
    <w:rsid w:val="00CC134D"/>
    <w:rsid w:val="00CD75AB"/>
    <w:rsid w:val="00D017D8"/>
    <w:rsid w:val="00D2183D"/>
    <w:rsid w:val="00D33FF1"/>
    <w:rsid w:val="00D429E6"/>
    <w:rsid w:val="00D44B68"/>
    <w:rsid w:val="00D47B4D"/>
    <w:rsid w:val="00D53832"/>
    <w:rsid w:val="00D82874"/>
    <w:rsid w:val="00D82C42"/>
    <w:rsid w:val="00DC720C"/>
    <w:rsid w:val="00DD1A01"/>
    <w:rsid w:val="00DE7BE3"/>
    <w:rsid w:val="00DF23E4"/>
    <w:rsid w:val="00E15E75"/>
    <w:rsid w:val="00E30F70"/>
    <w:rsid w:val="00E31BB2"/>
    <w:rsid w:val="00E45CD2"/>
    <w:rsid w:val="00E4686E"/>
    <w:rsid w:val="00E8142A"/>
    <w:rsid w:val="00EA5F45"/>
    <w:rsid w:val="00EA7425"/>
    <w:rsid w:val="00EB4900"/>
    <w:rsid w:val="00ED22B8"/>
    <w:rsid w:val="00F14BD1"/>
    <w:rsid w:val="00F20773"/>
    <w:rsid w:val="00F409CF"/>
    <w:rsid w:val="00F4573A"/>
    <w:rsid w:val="00F4747E"/>
    <w:rsid w:val="00F50F5E"/>
    <w:rsid w:val="00F56282"/>
    <w:rsid w:val="00F871F7"/>
    <w:rsid w:val="00F94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A883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518AB"/>
    <w:rPr>
      <w:color w:val="0000FF"/>
      <w:shd w:val="clear" w:color="auto" w:fill="auto"/>
    </w:rPr>
  </w:style>
  <w:style w:type="paragraph" w:customStyle="1" w:styleId="Pagedecouverture">
    <w:name w:val="Page de couverture"/>
    <w:basedOn w:val="Normal"/>
    <w:next w:val="Normal"/>
    <w:rsid w:val="007518A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751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8AB"/>
  </w:style>
  <w:style w:type="paragraph" w:styleId="Footer">
    <w:name w:val="footer"/>
    <w:basedOn w:val="Normal"/>
    <w:link w:val="FooterChar"/>
    <w:uiPriority w:val="99"/>
    <w:unhideWhenUsed/>
    <w:rsid w:val="00751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8AB"/>
  </w:style>
  <w:style w:type="paragraph" w:customStyle="1" w:styleId="FooterCoverPage">
    <w:name w:val="Footer Cover Page"/>
    <w:basedOn w:val="Normal"/>
    <w:link w:val="FooterCoverPageChar"/>
    <w:rsid w:val="007518A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518AB"/>
    <w:rPr>
      <w:rFonts w:ascii="Times New Roman" w:hAnsi="Times New Roman" w:cs="Times New Roman"/>
      <w:sz w:val="24"/>
    </w:rPr>
  </w:style>
  <w:style w:type="paragraph" w:customStyle="1" w:styleId="FooterSensitivity">
    <w:name w:val="Footer Sensitivity"/>
    <w:basedOn w:val="Normal"/>
    <w:link w:val="FooterSensitivityChar"/>
    <w:rsid w:val="007518A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518AB"/>
    <w:rPr>
      <w:rFonts w:ascii="Times New Roman" w:hAnsi="Times New Roman" w:cs="Times New Roman"/>
      <w:b/>
      <w:sz w:val="32"/>
    </w:rPr>
  </w:style>
  <w:style w:type="paragraph" w:customStyle="1" w:styleId="HeaderCoverPage">
    <w:name w:val="Header Cover Page"/>
    <w:basedOn w:val="Normal"/>
    <w:link w:val="HeaderCoverPageChar"/>
    <w:rsid w:val="007518A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518AB"/>
    <w:rPr>
      <w:rFonts w:ascii="Times New Roman" w:hAnsi="Times New Roman" w:cs="Times New Roman"/>
      <w:sz w:val="24"/>
    </w:rPr>
  </w:style>
  <w:style w:type="paragraph" w:customStyle="1" w:styleId="HeaderSensitivity">
    <w:name w:val="Header Sensitivity"/>
    <w:basedOn w:val="Normal"/>
    <w:link w:val="HeaderSensitivityChar"/>
    <w:rsid w:val="007518A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518AB"/>
    <w:rPr>
      <w:rFonts w:ascii="Times New Roman" w:hAnsi="Times New Roman" w:cs="Times New Roman"/>
      <w:b/>
      <w:sz w:val="32"/>
    </w:rPr>
  </w:style>
  <w:style w:type="paragraph" w:customStyle="1" w:styleId="HeaderSensitivityRight">
    <w:name w:val="Header Sensitivity Right"/>
    <w:basedOn w:val="Normal"/>
    <w:link w:val="HeaderSensitivityRightChar"/>
    <w:rsid w:val="0029713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518AB"/>
    <w:rPr>
      <w:rFonts w:ascii="Times New Roman" w:hAnsi="Times New Roman" w:cs="Times New Roman"/>
      <w:sz w:val="28"/>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uiPriority w:val="99"/>
    <w:semiHidden/>
    <w:rsid w:val="001E7A92"/>
    <w:rPr>
      <w:rFonts w:cs="Times New Roman"/>
      <w:vertAlign w:val="superscript"/>
    </w:rPr>
  </w:style>
  <w:style w:type="paragraph" w:styleId="FootnoteText">
    <w:name w:val="footnote text"/>
    <w:basedOn w:val="Normal"/>
    <w:link w:val="FootnoteTextChar"/>
    <w:uiPriority w:val="99"/>
    <w:semiHidden/>
    <w:unhideWhenUsed/>
    <w:rsid w:val="001E7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A92"/>
    <w:rPr>
      <w:sz w:val="20"/>
      <w:szCs w:val="20"/>
    </w:rPr>
  </w:style>
  <w:style w:type="character" w:styleId="Hyperlink">
    <w:name w:val="Hyperlink"/>
    <w:basedOn w:val="DefaultParagraphFont"/>
    <w:uiPriority w:val="99"/>
    <w:unhideWhenUsed/>
    <w:rsid w:val="001E7A92"/>
    <w:rPr>
      <w:color w:val="0000FF"/>
      <w:u w:val="single"/>
    </w:rPr>
  </w:style>
  <w:style w:type="paragraph" w:customStyle="1" w:styleId="doc-ti">
    <w:name w:val="doc-ti"/>
    <w:basedOn w:val="Normal"/>
    <w:rsid w:val="001E7A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E7A92"/>
    <w:pPr>
      <w:ind w:left="720"/>
      <w:contextualSpacing/>
    </w:pPr>
  </w:style>
  <w:style w:type="character" w:styleId="CommentReference">
    <w:name w:val="annotation reference"/>
    <w:basedOn w:val="DefaultParagraphFont"/>
    <w:uiPriority w:val="99"/>
    <w:semiHidden/>
    <w:unhideWhenUsed/>
    <w:rsid w:val="00664859"/>
    <w:rPr>
      <w:sz w:val="16"/>
      <w:szCs w:val="16"/>
    </w:rPr>
  </w:style>
  <w:style w:type="paragraph" w:styleId="CommentText">
    <w:name w:val="annotation text"/>
    <w:basedOn w:val="Normal"/>
    <w:link w:val="CommentTextChar"/>
    <w:uiPriority w:val="99"/>
    <w:unhideWhenUsed/>
    <w:rsid w:val="00664859"/>
    <w:pPr>
      <w:spacing w:line="240" w:lineRule="auto"/>
    </w:pPr>
    <w:rPr>
      <w:sz w:val="20"/>
      <w:szCs w:val="20"/>
    </w:rPr>
  </w:style>
  <w:style w:type="character" w:customStyle="1" w:styleId="CommentTextChar">
    <w:name w:val="Comment Text Char"/>
    <w:basedOn w:val="DefaultParagraphFont"/>
    <w:link w:val="CommentText"/>
    <w:uiPriority w:val="99"/>
    <w:rsid w:val="00664859"/>
    <w:rPr>
      <w:sz w:val="20"/>
      <w:szCs w:val="20"/>
    </w:rPr>
  </w:style>
  <w:style w:type="paragraph" w:styleId="CommentSubject">
    <w:name w:val="annotation subject"/>
    <w:basedOn w:val="CommentText"/>
    <w:next w:val="CommentText"/>
    <w:link w:val="CommentSubjectChar"/>
    <w:uiPriority w:val="99"/>
    <w:semiHidden/>
    <w:unhideWhenUsed/>
    <w:rsid w:val="00664859"/>
    <w:rPr>
      <w:b/>
      <w:bCs/>
    </w:rPr>
  </w:style>
  <w:style w:type="character" w:customStyle="1" w:styleId="CommentSubjectChar">
    <w:name w:val="Comment Subject Char"/>
    <w:basedOn w:val="CommentTextChar"/>
    <w:link w:val="CommentSubject"/>
    <w:uiPriority w:val="99"/>
    <w:semiHidden/>
    <w:rsid w:val="00664859"/>
    <w:rPr>
      <w:b/>
      <w:bCs/>
      <w:sz w:val="20"/>
      <w:szCs w:val="20"/>
    </w:rPr>
  </w:style>
  <w:style w:type="paragraph" w:styleId="Revision">
    <w:name w:val="Revision"/>
    <w:hidden/>
    <w:uiPriority w:val="99"/>
    <w:semiHidden/>
    <w:rsid w:val="00664859"/>
    <w:pPr>
      <w:spacing w:after="0" w:line="240" w:lineRule="auto"/>
    </w:pPr>
  </w:style>
  <w:style w:type="paragraph" w:styleId="BalloonText">
    <w:name w:val="Balloon Text"/>
    <w:basedOn w:val="Normal"/>
    <w:link w:val="BalloonTextChar"/>
    <w:uiPriority w:val="99"/>
    <w:semiHidden/>
    <w:unhideWhenUsed/>
    <w:rsid w:val="00664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59"/>
    <w:rPr>
      <w:rFonts w:ascii="Segoe UI" w:hAnsi="Segoe UI" w:cs="Segoe UI"/>
      <w:sz w:val="18"/>
      <w:szCs w:val="18"/>
    </w:rPr>
  </w:style>
  <w:style w:type="paragraph" w:customStyle="1" w:styleId="Disclaimer">
    <w:name w:val="Disclaimer"/>
    <w:basedOn w:val="Normal"/>
    <w:rsid w:val="0029713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29713D"/>
    <w:pPr>
      <w:spacing w:after="0" w:line="276" w:lineRule="auto"/>
      <w:ind w:left="5103"/>
    </w:pPr>
    <w:rPr>
      <w:rFonts w:ascii="Times New Roman" w:hAnsi="Times New Roman" w:cs="Times New Roman"/>
      <w:sz w:val="28"/>
    </w:rPr>
  </w:style>
  <w:style w:type="paragraph" w:customStyle="1" w:styleId="DateMarking">
    <w:name w:val="DateMarking"/>
    <w:basedOn w:val="Normal"/>
    <w:rsid w:val="0029713D"/>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29713D"/>
    <w:pPr>
      <w:spacing w:after="0" w:line="276" w:lineRule="auto"/>
      <w:ind w:left="5103"/>
    </w:pPr>
    <w:rPr>
      <w:rFonts w:ascii="Times New Roman" w:hAnsi="Times New Roman" w:cs="Times New Roman"/>
      <w:i/>
      <w:sz w:val="28"/>
    </w:rPr>
  </w:style>
  <w:style w:type="paragraph" w:styleId="BodyText">
    <w:name w:val="Body Text"/>
    <w:basedOn w:val="Normal"/>
    <w:link w:val="BodyTextChar"/>
    <w:uiPriority w:val="99"/>
    <w:semiHidden/>
    <w:unhideWhenUsed/>
    <w:rsid w:val="000510BA"/>
    <w:pPr>
      <w:spacing w:after="120"/>
    </w:pPr>
  </w:style>
  <w:style w:type="character" w:customStyle="1" w:styleId="BodyTextChar">
    <w:name w:val="Body Text Char"/>
    <w:basedOn w:val="DefaultParagraphFont"/>
    <w:link w:val="BodyText"/>
    <w:uiPriority w:val="99"/>
    <w:semiHidden/>
    <w:rsid w:val="000510BA"/>
  </w:style>
  <w:style w:type="paragraph" w:customStyle="1" w:styleId="TableParagraph">
    <w:name w:val="Table Paragraph"/>
    <w:basedOn w:val="Normal"/>
    <w:uiPriority w:val="1"/>
    <w:qFormat/>
    <w:rsid w:val="00476324"/>
    <w:pPr>
      <w:widowControl w:val="0"/>
      <w:autoSpaceDE w:val="0"/>
      <w:autoSpaceDN w:val="0"/>
      <w:spacing w:after="0" w:line="240" w:lineRule="auto"/>
      <w:ind w:left="107"/>
    </w:pPr>
    <w:rPr>
      <w:rFonts w:ascii="Times New Roman" w:eastAsia="Times New Roman" w:hAnsi="Times New Roman" w:cs="Times New Roman"/>
      <w:lang w:eastAsia="en-GB" w:bidi="en-GB"/>
    </w:rPr>
  </w:style>
  <w:style w:type="character" w:styleId="FollowedHyperlink">
    <w:name w:val="FollowedHyperlink"/>
    <w:basedOn w:val="DefaultParagraphFont"/>
    <w:uiPriority w:val="99"/>
    <w:semiHidden/>
    <w:unhideWhenUsed/>
    <w:rsid w:val="007F1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4089">
      <w:bodyDiv w:val="1"/>
      <w:marLeft w:val="0"/>
      <w:marRight w:val="0"/>
      <w:marTop w:val="0"/>
      <w:marBottom w:val="0"/>
      <w:divBdr>
        <w:top w:val="none" w:sz="0" w:space="0" w:color="auto"/>
        <w:left w:val="none" w:sz="0" w:space="0" w:color="auto"/>
        <w:bottom w:val="none" w:sz="0" w:space="0" w:color="auto"/>
        <w:right w:val="none" w:sz="0" w:space="0" w:color="auto"/>
      </w:divBdr>
    </w:div>
    <w:div w:id="348289120">
      <w:bodyDiv w:val="1"/>
      <w:marLeft w:val="0"/>
      <w:marRight w:val="0"/>
      <w:marTop w:val="0"/>
      <w:marBottom w:val="0"/>
      <w:divBdr>
        <w:top w:val="none" w:sz="0" w:space="0" w:color="auto"/>
        <w:left w:val="none" w:sz="0" w:space="0" w:color="auto"/>
        <w:bottom w:val="none" w:sz="0" w:space="0" w:color="auto"/>
        <w:right w:val="none" w:sz="0" w:space="0" w:color="auto"/>
      </w:divBdr>
    </w:div>
    <w:div w:id="686635182">
      <w:bodyDiv w:val="1"/>
      <w:marLeft w:val="0"/>
      <w:marRight w:val="0"/>
      <w:marTop w:val="0"/>
      <w:marBottom w:val="0"/>
      <w:divBdr>
        <w:top w:val="none" w:sz="0" w:space="0" w:color="auto"/>
        <w:left w:val="none" w:sz="0" w:space="0" w:color="auto"/>
        <w:bottom w:val="none" w:sz="0" w:space="0" w:color="auto"/>
        <w:right w:val="none" w:sz="0" w:space="0" w:color="auto"/>
      </w:divBdr>
    </w:div>
    <w:div w:id="818419631">
      <w:bodyDiv w:val="1"/>
      <w:marLeft w:val="0"/>
      <w:marRight w:val="0"/>
      <w:marTop w:val="0"/>
      <w:marBottom w:val="0"/>
      <w:divBdr>
        <w:top w:val="none" w:sz="0" w:space="0" w:color="auto"/>
        <w:left w:val="none" w:sz="0" w:space="0" w:color="auto"/>
        <w:bottom w:val="none" w:sz="0" w:space="0" w:color="auto"/>
        <w:right w:val="none" w:sz="0" w:space="0" w:color="auto"/>
      </w:divBdr>
    </w:div>
    <w:div w:id="822819858">
      <w:bodyDiv w:val="1"/>
      <w:marLeft w:val="0"/>
      <w:marRight w:val="0"/>
      <w:marTop w:val="0"/>
      <w:marBottom w:val="0"/>
      <w:divBdr>
        <w:top w:val="none" w:sz="0" w:space="0" w:color="auto"/>
        <w:left w:val="none" w:sz="0" w:space="0" w:color="auto"/>
        <w:bottom w:val="none" w:sz="0" w:space="0" w:color="auto"/>
        <w:right w:val="none" w:sz="0" w:space="0" w:color="auto"/>
      </w:divBdr>
    </w:div>
    <w:div w:id="857503614">
      <w:bodyDiv w:val="1"/>
      <w:marLeft w:val="0"/>
      <w:marRight w:val="0"/>
      <w:marTop w:val="0"/>
      <w:marBottom w:val="0"/>
      <w:divBdr>
        <w:top w:val="none" w:sz="0" w:space="0" w:color="auto"/>
        <w:left w:val="none" w:sz="0" w:space="0" w:color="auto"/>
        <w:bottom w:val="none" w:sz="0" w:space="0" w:color="auto"/>
        <w:right w:val="none" w:sz="0" w:space="0" w:color="auto"/>
      </w:divBdr>
    </w:div>
    <w:div w:id="1017851052">
      <w:bodyDiv w:val="1"/>
      <w:marLeft w:val="0"/>
      <w:marRight w:val="0"/>
      <w:marTop w:val="0"/>
      <w:marBottom w:val="0"/>
      <w:divBdr>
        <w:top w:val="none" w:sz="0" w:space="0" w:color="auto"/>
        <w:left w:val="none" w:sz="0" w:space="0" w:color="auto"/>
        <w:bottom w:val="none" w:sz="0" w:space="0" w:color="auto"/>
        <w:right w:val="none" w:sz="0" w:space="0" w:color="auto"/>
      </w:divBdr>
    </w:div>
    <w:div w:id="1036084227">
      <w:bodyDiv w:val="1"/>
      <w:marLeft w:val="0"/>
      <w:marRight w:val="0"/>
      <w:marTop w:val="0"/>
      <w:marBottom w:val="0"/>
      <w:divBdr>
        <w:top w:val="none" w:sz="0" w:space="0" w:color="auto"/>
        <w:left w:val="none" w:sz="0" w:space="0" w:color="auto"/>
        <w:bottom w:val="none" w:sz="0" w:space="0" w:color="auto"/>
        <w:right w:val="none" w:sz="0" w:space="0" w:color="auto"/>
      </w:divBdr>
    </w:div>
    <w:div w:id="1046566426">
      <w:bodyDiv w:val="1"/>
      <w:marLeft w:val="0"/>
      <w:marRight w:val="0"/>
      <w:marTop w:val="0"/>
      <w:marBottom w:val="0"/>
      <w:divBdr>
        <w:top w:val="none" w:sz="0" w:space="0" w:color="auto"/>
        <w:left w:val="none" w:sz="0" w:space="0" w:color="auto"/>
        <w:bottom w:val="none" w:sz="0" w:space="0" w:color="auto"/>
        <w:right w:val="none" w:sz="0" w:space="0" w:color="auto"/>
      </w:divBdr>
    </w:div>
    <w:div w:id="1289166237">
      <w:bodyDiv w:val="1"/>
      <w:marLeft w:val="0"/>
      <w:marRight w:val="0"/>
      <w:marTop w:val="0"/>
      <w:marBottom w:val="0"/>
      <w:divBdr>
        <w:top w:val="none" w:sz="0" w:space="0" w:color="auto"/>
        <w:left w:val="none" w:sz="0" w:space="0" w:color="auto"/>
        <w:bottom w:val="none" w:sz="0" w:space="0" w:color="auto"/>
        <w:right w:val="none" w:sz="0" w:space="0" w:color="auto"/>
      </w:divBdr>
    </w:div>
    <w:div w:id="1324045453">
      <w:bodyDiv w:val="1"/>
      <w:marLeft w:val="0"/>
      <w:marRight w:val="0"/>
      <w:marTop w:val="0"/>
      <w:marBottom w:val="0"/>
      <w:divBdr>
        <w:top w:val="none" w:sz="0" w:space="0" w:color="auto"/>
        <w:left w:val="none" w:sz="0" w:space="0" w:color="auto"/>
        <w:bottom w:val="none" w:sz="0" w:space="0" w:color="auto"/>
        <w:right w:val="none" w:sz="0" w:space="0" w:color="auto"/>
      </w:divBdr>
    </w:div>
    <w:div w:id="1383360473">
      <w:bodyDiv w:val="1"/>
      <w:marLeft w:val="0"/>
      <w:marRight w:val="0"/>
      <w:marTop w:val="0"/>
      <w:marBottom w:val="0"/>
      <w:divBdr>
        <w:top w:val="none" w:sz="0" w:space="0" w:color="auto"/>
        <w:left w:val="none" w:sz="0" w:space="0" w:color="auto"/>
        <w:bottom w:val="none" w:sz="0" w:space="0" w:color="auto"/>
        <w:right w:val="none" w:sz="0" w:space="0" w:color="auto"/>
      </w:divBdr>
    </w:div>
    <w:div w:id="1425882562">
      <w:bodyDiv w:val="1"/>
      <w:marLeft w:val="0"/>
      <w:marRight w:val="0"/>
      <w:marTop w:val="0"/>
      <w:marBottom w:val="0"/>
      <w:divBdr>
        <w:top w:val="none" w:sz="0" w:space="0" w:color="auto"/>
        <w:left w:val="none" w:sz="0" w:space="0" w:color="auto"/>
        <w:bottom w:val="none" w:sz="0" w:space="0" w:color="auto"/>
        <w:right w:val="none" w:sz="0" w:space="0" w:color="auto"/>
      </w:divBdr>
    </w:div>
    <w:div w:id="1493834118">
      <w:bodyDiv w:val="1"/>
      <w:marLeft w:val="0"/>
      <w:marRight w:val="0"/>
      <w:marTop w:val="0"/>
      <w:marBottom w:val="0"/>
      <w:divBdr>
        <w:top w:val="none" w:sz="0" w:space="0" w:color="auto"/>
        <w:left w:val="none" w:sz="0" w:space="0" w:color="auto"/>
        <w:bottom w:val="none" w:sz="0" w:space="0" w:color="auto"/>
        <w:right w:val="none" w:sz="0" w:space="0" w:color="auto"/>
      </w:divBdr>
    </w:div>
    <w:div w:id="1762871461">
      <w:bodyDiv w:val="1"/>
      <w:marLeft w:val="0"/>
      <w:marRight w:val="0"/>
      <w:marTop w:val="0"/>
      <w:marBottom w:val="0"/>
      <w:divBdr>
        <w:top w:val="none" w:sz="0" w:space="0" w:color="auto"/>
        <w:left w:val="none" w:sz="0" w:space="0" w:color="auto"/>
        <w:bottom w:val="none" w:sz="0" w:space="0" w:color="auto"/>
        <w:right w:val="none" w:sz="0" w:space="0" w:color="auto"/>
      </w:divBdr>
    </w:div>
    <w:div w:id="1767264425">
      <w:bodyDiv w:val="1"/>
      <w:marLeft w:val="0"/>
      <w:marRight w:val="0"/>
      <w:marTop w:val="0"/>
      <w:marBottom w:val="0"/>
      <w:divBdr>
        <w:top w:val="none" w:sz="0" w:space="0" w:color="auto"/>
        <w:left w:val="none" w:sz="0" w:space="0" w:color="auto"/>
        <w:bottom w:val="none" w:sz="0" w:space="0" w:color="auto"/>
        <w:right w:val="none" w:sz="0" w:space="0" w:color="auto"/>
      </w:divBdr>
    </w:div>
    <w:div w:id="1771466588">
      <w:bodyDiv w:val="1"/>
      <w:marLeft w:val="0"/>
      <w:marRight w:val="0"/>
      <w:marTop w:val="0"/>
      <w:marBottom w:val="0"/>
      <w:divBdr>
        <w:top w:val="none" w:sz="0" w:space="0" w:color="auto"/>
        <w:left w:val="none" w:sz="0" w:space="0" w:color="auto"/>
        <w:bottom w:val="none" w:sz="0" w:space="0" w:color="auto"/>
        <w:right w:val="none" w:sz="0" w:space="0" w:color="auto"/>
      </w:divBdr>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
    <w:div w:id="21248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52022XC0504%2801%29&amp;qid=1651649049970" TargetMode="External"/><Relationship Id="rId1" Type="http://schemas.openxmlformats.org/officeDocument/2006/relationships/hyperlink" Target="https://eur-lex.europa.eu/legal-content/EN/TXT/?uri=CELEX:52022SC0101&amp;qid=1649262685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2D14-EBF8-4BE3-9682-23329356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8353</Characters>
  <Application>Microsoft Office Word</Application>
  <DocSecurity>0</DocSecurity>
  <Lines>160</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2022-11-18T11:01:00Z</dcterms:created>
  <dcterms:modified xsi:type="dcterms:W3CDTF">2022-12-06T11:46:00Z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8.1, Build 20220902</vt:lpwstr>
  </property>
  <property fmtid="{D5CDD505-2E9C-101B-9397-08002B2CF9AE}" pid="5" name="MSIP_Label_6bd9ddd1-4d20-43f6-abfa-fc3c07406f94_Enabled">
    <vt:lpwstr>true</vt:lpwstr>
  </property>
  <property fmtid="{D5CDD505-2E9C-101B-9397-08002B2CF9AE}" pid="6" name="MSIP_Label_6bd9ddd1-4d20-43f6-abfa-fc3c07406f94_SetDate">
    <vt:lpwstr>2022-11-10T09:09:54Z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b3841928-44d6-4b63-bd3a-150567f99cd8</vt:lpwstr>
  </property>
  <property fmtid="{D5CDD505-2E9C-101B-9397-08002B2CF9AE}" pid="11" name="MSIP_Label_6bd9ddd1-4d20-43f6-abfa-fc3c07406f94_ContentBits">
    <vt:lpwstr>0</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CP-006</vt:lpwstr>
  </property>
</Properties>
</file>