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3FB00" w14:textId="3D657D1D" w:rsidR="006B087E" w:rsidRPr="002661A8" w:rsidRDefault="00F705E6" w:rsidP="00F705E6">
      <w:pPr>
        <w:pStyle w:val="Pagedecouverture"/>
        <w:rPr>
          <w:noProof/>
        </w:rPr>
      </w:pPr>
      <w:bookmarkStart w:id="0" w:name="LW_BM_COVERPAGE"/>
      <w:r>
        <w:rPr>
          <w:noProof/>
        </w:rPr>
        <w:pict w14:anchorId="177ED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23FA91CA-D1C9-45AF-85E4-64E3DBDC2C28" style="width:455.25pt;height:600pt">
            <v:imagedata r:id="rId14" o:title=""/>
          </v:shape>
        </w:pict>
      </w:r>
    </w:p>
    <w:bookmarkEnd w:id="0"/>
    <w:p w14:paraId="392DE8AE" w14:textId="77777777" w:rsidR="006B087E" w:rsidRPr="002661A8" w:rsidRDefault="006B087E" w:rsidP="006B087E">
      <w:pPr>
        <w:pStyle w:val="TOCHeading"/>
        <w:rPr>
          <w:noProof/>
        </w:rPr>
        <w:sectPr w:rsidR="006B087E" w:rsidRPr="002661A8" w:rsidSect="00F705E6">
          <w:headerReference w:type="even" r:id="rId15"/>
          <w:headerReference w:type="default" r:id="rId16"/>
          <w:footerReference w:type="even" r:id="rId17"/>
          <w:footerReference w:type="default" r:id="rId18"/>
          <w:headerReference w:type="first" r:id="rId19"/>
          <w:footerReference w:type="first" r:id="rId20"/>
          <w:pgSz w:w="11906" w:h="16838"/>
          <w:pgMar w:top="1134" w:right="1417" w:bottom="1134" w:left="1417" w:header="709" w:footer="709" w:gutter="0"/>
          <w:pgNumType w:start="0"/>
          <w:cols w:space="720"/>
          <w:docGrid w:linePitch="299"/>
        </w:sectPr>
      </w:pPr>
    </w:p>
    <w:p w14:paraId="3144228B" w14:textId="77777777" w:rsidR="006B087E" w:rsidRPr="002661A8" w:rsidRDefault="3FA542DF" w:rsidP="3FA542DF">
      <w:pPr>
        <w:pStyle w:val="TOCHeading"/>
        <w:rPr>
          <w:noProof/>
          <w:szCs w:val="24"/>
        </w:rPr>
      </w:pPr>
      <w:bookmarkStart w:id="1" w:name="_GoBack"/>
      <w:bookmarkEnd w:id="1"/>
      <w:r w:rsidRPr="002661A8">
        <w:rPr>
          <w:noProof/>
        </w:rPr>
        <w:lastRenderedPageBreak/>
        <w:t>Table of contents</w:t>
      </w:r>
    </w:p>
    <w:p w14:paraId="0DE570CC" w14:textId="34D8A066" w:rsidR="0016359F" w:rsidRDefault="00941FB0">
      <w:pPr>
        <w:pStyle w:val="TOC1"/>
        <w:rPr>
          <w:rFonts w:asciiTheme="minorHAnsi" w:eastAsiaTheme="minorEastAsia" w:hAnsiTheme="minorHAnsi" w:cstheme="minorBidi"/>
          <w:caps w:val="0"/>
          <w:noProof/>
          <w:sz w:val="22"/>
          <w:szCs w:val="22"/>
          <w:lang w:val="en-IE" w:eastAsia="en-IE"/>
        </w:rPr>
      </w:pPr>
      <w:r>
        <w:rPr>
          <w:noProof/>
          <w:sz w:val="24"/>
          <w:szCs w:val="24"/>
        </w:rPr>
        <w:fldChar w:fldCharType="begin"/>
      </w:r>
      <w:r>
        <w:rPr>
          <w:noProof/>
          <w:sz w:val="24"/>
          <w:szCs w:val="24"/>
        </w:rPr>
        <w:instrText xml:space="preserve"> TOC \o "1-2" \h \z \t "Annex Title;1" </w:instrText>
      </w:r>
      <w:r>
        <w:rPr>
          <w:noProof/>
          <w:sz w:val="24"/>
          <w:szCs w:val="24"/>
        </w:rPr>
        <w:fldChar w:fldCharType="separate"/>
      </w:r>
      <w:hyperlink w:anchor="_Toc120291629" w:history="1">
        <w:r w:rsidR="0016359F" w:rsidRPr="003F4188">
          <w:rPr>
            <w:rStyle w:val="Hyperlink"/>
            <w:noProof/>
          </w:rPr>
          <w:t>1.</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Introduction</w:t>
        </w:r>
        <w:r w:rsidR="0016359F">
          <w:rPr>
            <w:noProof/>
            <w:webHidden/>
          </w:rPr>
          <w:tab/>
        </w:r>
        <w:r w:rsidR="0016359F">
          <w:rPr>
            <w:noProof/>
            <w:webHidden/>
          </w:rPr>
          <w:fldChar w:fldCharType="begin"/>
        </w:r>
        <w:r w:rsidR="0016359F">
          <w:rPr>
            <w:noProof/>
            <w:webHidden/>
          </w:rPr>
          <w:instrText xml:space="preserve"> PAGEREF _Toc120291629 \h </w:instrText>
        </w:r>
        <w:r w:rsidR="0016359F">
          <w:rPr>
            <w:noProof/>
            <w:webHidden/>
          </w:rPr>
        </w:r>
        <w:r w:rsidR="0016359F">
          <w:rPr>
            <w:noProof/>
            <w:webHidden/>
          </w:rPr>
          <w:fldChar w:fldCharType="separate"/>
        </w:r>
        <w:r w:rsidR="009D6A61">
          <w:rPr>
            <w:noProof/>
            <w:webHidden/>
          </w:rPr>
          <w:t>1</w:t>
        </w:r>
        <w:r w:rsidR="0016359F">
          <w:rPr>
            <w:noProof/>
            <w:webHidden/>
          </w:rPr>
          <w:fldChar w:fldCharType="end"/>
        </w:r>
      </w:hyperlink>
    </w:p>
    <w:p w14:paraId="3624F450" w14:textId="5BB9AD55" w:rsidR="0016359F" w:rsidRDefault="00F705E6">
      <w:pPr>
        <w:pStyle w:val="TOC1"/>
        <w:rPr>
          <w:rFonts w:asciiTheme="minorHAnsi" w:eastAsiaTheme="minorEastAsia" w:hAnsiTheme="minorHAnsi" w:cstheme="minorBidi"/>
          <w:caps w:val="0"/>
          <w:noProof/>
          <w:sz w:val="22"/>
          <w:szCs w:val="22"/>
          <w:lang w:val="en-IE" w:eastAsia="en-IE"/>
        </w:rPr>
      </w:pPr>
      <w:hyperlink w:anchor="_Toc120291630" w:history="1">
        <w:r w:rsidR="0016359F" w:rsidRPr="003F4188">
          <w:rPr>
            <w:rStyle w:val="Hyperlink"/>
            <w:noProof/>
          </w:rPr>
          <w:t>2.</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Economic, Political and legal context</w:t>
        </w:r>
        <w:r w:rsidR="0016359F">
          <w:rPr>
            <w:noProof/>
            <w:webHidden/>
          </w:rPr>
          <w:tab/>
        </w:r>
        <w:r w:rsidR="0016359F">
          <w:rPr>
            <w:noProof/>
            <w:webHidden/>
          </w:rPr>
          <w:fldChar w:fldCharType="begin"/>
        </w:r>
        <w:r w:rsidR="0016359F">
          <w:rPr>
            <w:noProof/>
            <w:webHidden/>
          </w:rPr>
          <w:instrText xml:space="preserve"> PAGEREF _Toc120291630 \h </w:instrText>
        </w:r>
        <w:r w:rsidR="0016359F">
          <w:rPr>
            <w:noProof/>
            <w:webHidden/>
          </w:rPr>
        </w:r>
        <w:r w:rsidR="0016359F">
          <w:rPr>
            <w:noProof/>
            <w:webHidden/>
          </w:rPr>
          <w:fldChar w:fldCharType="separate"/>
        </w:r>
        <w:r w:rsidR="009D6A61">
          <w:rPr>
            <w:noProof/>
            <w:webHidden/>
          </w:rPr>
          <w:t>3</w:t>
        </w:r>
        <w:r w:rsidR="0016359F">
          <w:rPr>
            <w:noProof/>
            <w:webHidden/>
          </w:rPr>
          <w:fldChar w:fldCharType="end"/>
        </w:r>
      </w:hyperlink>
    </w:p>
    <w:p w14:paraId="42BD6F5D" w14:textId="6BCC7C6D" w:rsidR="0016359F" w:rsidRDefault="00F705E6">
      <w:pPr>
        <w:pStyle w:val="TOC1"/>
        <w:rPr>
          <w:rFonts w:asciiTheme="minorHAnsi" w:eastAsiaTheme="minorEastAsia" w:hAnsiTheme="minorHAnsi" w:cstheme="minorBidi"/>
          <w:caps w:val="0"/>
          <w:noProof/>
          <w:sz w:val="22"/>
          <w:szCs w:val="22"/>
          <w:lang w:val="en-IE" w:eastAsia="en-IE"/>
        </w:rPr>
      </w:pPr>
      <w:hyperlink w:anchor="_Toc120291631" w:history="1">
        <w:r w:rsidR="0016359F" w:rsidRPr="003F4188">
          <w:rPr>
            <w:rStyle w:val="Hyperlink"/>
            <w:noProof/>
          </w:rPr>
          <w:t>2.1.</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Economic context</w:t>
        </w:r>
        <w:r w:rsidR="0016359F">
          <w:rPr>
            <w:noProof/>
            <w:webHidden/>
          </w:rPr>
          <w:tab/>
        </w:r>
        <w:r w:rsidR="0016359F">
          <w:rPr>
            <w:noProof/>
            <w:webHidden/>
          </w:rPr>
          <w:fldChar w:fldCharType="begin"/>
        </w:r>
        <w:r w:rsidR="0016359F">
          <w:rPr>
            <w:noProof/>
            <w:webHidden/>
          </w:rPr>
          <w:instrText xml:space="preserve"> PAGEREF _Toc120291631 \h </w:instrText>
        </w:r>
        <w:r w:rsidR="0016359F">
          <w:rPr>
            <w:noProof/>
            <w:webHidden/>
          </w:rPr>
        </w:r>
        <w:r w:rsidR="0016359F">
          <w:rPr>
            <w:noProof/>
            <w:webHidden/>
          </w:rPr>
          <w:fldChar w:fldCharType="separate"/>
        </w:r>
        <w:r w:rsidR="009D6A61">
          <w:rPr>
            <w:noProof/>
            <w:webHidden/>
          </w:rPr>
          <w:t>3</w:t>
        </w:r>
        <w:r w:rsidR="0016359F">
          <w:rPr>
            <w:noProof/>
            <w:webHidden/>
          </w:rPr>
          <w:fldChar w:fldCharType="end"/>
        </w:r>
      </w:hyperlink>
    </w:p>
    <w:p w14:paraId="78661581" w14:textId="6EF24290" w:rsidR="0016359F" w:rsidRDefault="00F705E6">
      <w:pPr>
        <w:pStyle w:val="TOC1"/>
        <w:rPr>
          <w:rFonts w:asciiTheme="minorHAnsi" w:eastAsiaTheme="minorEastAsia" w:hAnsiTheme="minorHAnsi" w:cstheme="minorBidi"/>
          <w:caps w:val="0"/>
          <w:noProof/>
          <w:sz w:val="22"/>
          <w:szCs w:val="22"/>
          <w:lang w:val="en-IE" w:eastAsia="en-IE"/>
        </w:rPr>
      </w:pPr>
      <w:hyperlink w:anchor="_Toc120291632" w:history="1">
        <w:r w:rsidR="0016359F" w:rsidRPr="003F4188">
          <w:rPr>
            <w:rStyle w:val="Hyperlink"/>
            <w:noProof/>
          </w:rPr>
          <w:t>2.2.</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Legal context</w:t>
        </w:r>
        <w:r w:rsidR="0016359F">
          <w:rPr>
            <w:noProof/>
            <w:webHidden/>
          </w:rPr>
          <w:tab/>
        </w:r>
        <w:r w:rsidR="0016359F">
          <w:rPr>
            <w:noProof/>
            <w:webHidden/>
          </w:rPr>
          <w:fldChar w:fldCharType="begin"/>
        </w:r>
        <w:r w:rsidR="0016359F">
          <w:rPr>
            <w:noProof/>
            <w:webHidden/>
          </w:rPr>
          <w:instrText xml:space="preserve"> PAGEREF _Toc120291632 \h </w:instrText>
        </w:r>
        <w:r w:rsidR="0016359F">
          <w:rPr>
            <w:noProof/>
            <w:webHidden/>
          </w:rPr>
        </w:r>
        <w:r w:rsidR="0016359F">
          <w:rPr>
            <w:noProof/>
            <w:webHidden/>
          </w:rPr>
          <w:fldChar w:fldCharType="separate"/>
        </w:r>
        <w:r w:rsidR="009D6A61">
          <w:rPr>
            <w:noProof/>
            <w:webHidden/>
          </w:rPr>
          <w:t>4</w:t>
        </w:r>
        <w:r w:rsidR="0016359F">
          <w:rPr>
            <w:noProof/>
            <w:webHidden/>
          </w:rPr>
          <w:fldChar w:fldCharType="end"/>
        </w:r>
      </w:hyperlink>
    </w:p>
    <w:p w14:paraId="7F53E414" w14:textId="4995FDF2" w:rsidR="0016359F" w:rsidRDefault="00F705E6">
      <w:pPr>
        <w:pStyle w:val="TOC1"/>
        <w:rPr>
          <w:rFonts w:asciiTheme="minorHAnsi" w:eastAsiaTheme="minorEastAsia" w:hAnsiTheme="minorHAnsi" w:cstheme="minorBidi"/>
          <w:caps w:val="0"/>
          <w:noProof/>
          <w:sz w:val="22"/>
          <w:szCs w:val="22"/>
          <w:lang w:val="en-IE" w:eastAsia="en-IE"/>
        </w:rPr>
      </w:pPr>
      <w:hyperlink w:anchor="_Toc120291633" w:history="1">
        <w:r w:rsidR="0016359F" w:rsidRPr="003F4188">
          <w:rPr>
            <w:rStyle w:val="Hyperlink"/>
            <w:noProof/>
          </w:rPr>
          <w:t>2.3.</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Political context</w:t>
        </w:r>
        <w:r w:rsidR="0016359F">
          <w:rPr>
            <w:noProof/>
            <w:webHidden/>
          </w:rPr>
          <w:tab/>
        </w:r>
        <w:r w:rsidR="0016359F">
          <w:rPr>
            <w:noProof/>
            <w:webHidden/>
          </w:rPr>
          <w:fldChar w:fldCharType="begin"/>
        </w:r>
        <w:r w:rsidR="0016359F">
          <w:rPr>
            <w:noProof/>
            <w:webHidden/>
          </w:rPr>
          <w:instrText xml:space="preserve"> PAGEREF _Toc120291633 \h </w:instrText>
        </w:r>
        <w:r w:rsidR="0016359F">
          <w:rPr>
            <w:noProof/>
            <w:webHidden/>
          </w:rPr>
        </w:r>
        <w:r w:rsidR="0016359F">
          <w:rPr>
            <w:noProof/>
            <w:webHidden/>
          </w:rPr>
          <w:fldChar w:fldCharType="separate"/>
        </w:r>
        <w:r w:rsidR="009D6A61">
          <w:rPr>
            <w:noProof/>
            <w:webHidden/>
          </w:rPr>
          <w:t>5</w:t>
        </w:r>
        <w:r w:rsidR="0016359F">
          <w:rPr>
            <w:noProof/>
            <w:webHidden/>
          </w:rPr>
          <w:fldChar w:fldCharType="end"/>
        </w:r>
      </w:hyperlink>
    </w:p>
    <w:p w14:paraId="5061DAF6" w14:textId="0A241F93" w:rsidR="0016359F" w:rsidRDefault="00F705E6">
      <w:pPr>
        <w:pStyle w:val="TOC1"/>
        <w:rPr>
          <w:rFonts w:asciiTheme="minorHAnsi" w:eastAsiaTheme="minorEastAsia" w:hAnsiTheme="minorHAnsi" w:cstheme="minorBidi"/>
          <w:caps w:val="0"/>
          <w:noProof/>
          <w:sz w:val="22"/>
          <w:szCs w:val="22"/>
          <w:lang w:val="en-IE" w:eastAsia="en-IE"/>
        </w:rPr>
      </w:pPr>
      <w:hyperlink w:anchor="_Toc120291634" w:history="1">
        <w:r w:rsidR="0016359F" w:rsidRPr="003F4188">
          <w:rPr>
            <w:rStyle w:val="Hyperlink"/>
            <w:noProof/>
          </w:rPr>
          <w:t>2.4.</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Consultative process</w:t>
        </w:r>
        <w:r w:rsidR="0016359F">
          <w:rPr>
            <w:noProof/>
            <w:webHidden/>
          </w:rPr>
          <w:tab/>
        </w:r>
        <w:r w:rsidR="0016359F">
          <w:rPr>
            <w:noProof/>
            <w:webHidden/>
          </w:rPr>
          <w:fldChar w:fldCharType="begin"/>
        </w:r>
        <w:r w:rsidR="0016359F">
          <w:rPr>
            <w:noProof/>
            <w:webHidden/>
          </w:rPr>
          <w:instrText xml:space="preserve"> PAGEREF _Toc120291634 \h </w:instrText>
        </w:r>
        <w:r w:rsidR="0016359F">
          <w:rPr>
            <w:noProof/>
            <w:webHidden/>
          </w:rPr>
        </w:r>
        <w:r w:rsidR="0016359F">
          <w:rPr>
            <w:noProof/>
            <w:webHidden/>
          </w:rPr>
          <w:fldChar w:fldCharType="separate"/>
        </w:r>
        <w:r w:rsidR="009D6A61">
          <w:rPr>
            <w:noProof/>
            <w:webHidden/>
          </w:rPr>
          <w:t>6</w:t>
        </w:r>
        <w:r w:rsidR="0016359F">
          <w:rPr>
            <w:noProof/>
            <w:webHidden/>
          </w:rPr>
          <w:fldChar w:fldCharType="end"/>
        </w:r>
      </w:hyperlink>
    </w:p>
    <w:p w14:paraId="5519E768" w14:textId="63173658" w:rsidR="0016359F" w:rsidRDefault="00F705E6">
      <w:pPr>
        <w:pStyle w:val="TOC1"/>
        <w:rPr>
          <w:rFonts w:asciiTheme="minorHAnsi" w:eastAsiaTheme="minorEastAsia" w:hAnsiTheme="minorHAnsi" w:cstheme="minorBidi"/>
          <w:caps w:val="0"/>
          <w:noProof/>
          <w:sz w:val="22"/>
          <w:szCs w:val="22"/>
          <w:lang w:val="en-IE" w:eastAsia="en-IE"/>
        </w:rPr>
      </w:pPr>
      <w:hyperlink w:anchor="_Toc120291635" w:history="1">
        <w:r w:rsidR="0016359F" w:rsidRPr="003F4188">
          <w:rPr>
            <w:rStyle w:val="Hyperlink"/>
            <w:noProof/>
          </w:rPr>
          <w:t>3.</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Problem definition</w:t>
        </w:r>
        <w:r w:rsidR="0016359F">
          <w:rPr>
            <w:noProof/>
            <w:webHidden/>
          </w:rPr>
          <w:tab/>
        </w:r>
        <w:r w:rsidR="0016359F">
          <w:rPr>
            <w:noProof/>
            <w:webHidden/>
          </w:rPr>
          <w:fldChar w:fldCharType="begin"/>
        </w:r>
        <w:r w:rsidR="0016359F">
          <w:rPr>
            <w:noProof/>
            <w:webHidden/>
          </w:rPr>
          <w:instrText xml:space="preserve"> PAGEREF _Toc120291635 \h </w:instrText>
        </w:r>
        <w:r w:rsidR="0016359F">
          <w:rPr>
            <w:noProof/>
            <w:webHidden/>
          </w:rPr>
        </w:r>
        <w:r w:rsidR="0016359F">
          <w:rPr>
            <w:noProof/>
            <w:webHidden/>
          </w:rPr>
          <w:fldChar w:fldCharType="separate"/>
        </w:r>
        <w:r w:rsidR="009D6A61">
          <w:rPr>
            <w:noProof/>
            <w:webHidden/>
          </w:rPr>
          <w:t>7</w:t>
        </w:r>
        <w:r w:rsidR="0016359F">
          <w:rPr>
            <w:noProof/>
            <w:webHidden/>
          </w:rPr>
          <w:fldChar w:fldCharType="end"/>
        </w:r>
      </w:hyperlink>
    </w:p>
    <w:p w14:paraId="5DCF6B07" w14:textId="0EF3F500" w:rsidR="0016359F" w:rsidRDefault="00F705E6">
      <w:pPr>
        <w:pStyle w:val="TOC1"/>
        <w:rPr>
          <w:rFonts w:asciiTheme="minorHAnsi" w:eastAsiaTheme="minorEastAsia" w:hAnsiTheme="minorHAnsi" w:cstheme="minorBidi"/>
          <w:caps w:val="0"/>
          <w:noProof/>
          <w:sz w:val="22"/>
          <w:szCs w:val="22"/>
          <w:lang w:val="en-IE" w:eastAsia="en-IE"/>
        </w:rPr>
      </w:pPr>
      <w:hyperlink w:anchor="_Toc120291636" w:history="1">
        <w:r w:rsidR="0016359F" w:rsidRPr="003F4188">
          <w:rPr>
            <w:rStyle w:val="Hyperlink"/>
            <w:noProof/>
          </w:rPr>
          <w:t>3.1.</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What are the problems?</w:t>
        </w:r>
        <w:r w:rsidR="0016359F">
          <w:rPr>
            <w:noProof/>
            <w:webHidden/>
          </w:rPr>
          <w:tab/>
        </w:r>
        <w:r w:rsidR="0016359F">
          <w:rPr>
            <w:noProof/>
            <w:webHidden/>
          </w:rPr>
          <w:fldChar w:fldCharType="begin"/>
        </w:r>
        <w:r w:rsidR="0016359F">
          <w:rPr>
            <w:noProof/>
            <w:webHidden/>
          </w:rPr>
          <w:instrText xml:space="preserve"> PAGEREF _Toc120291636 \h </w:instrText>
        </w:r>
        <w:r w:rsidR="0016359F">
          <w:rPr>
            <w:noProof/>
            <w:webHidden/>
          </w:rPr>
        </w:r>
        <w:r w:rsidR="0016359F">
          <w:rPr>
            <w:noProof/>
            <w:webHidden/>
          </w:rPr>
          <w:fldChar w:fldCharType="separate"/>
        </w:r>
        <w:r w:rsidR="009D6A61">
          <w:rPr>
            <w:noProof/>
            <w:webHidden/>
          </w:rPr>
          <w:t>7</w:t>
        </w:r>
        <w:r w:rsidR="0016359F">
          <w:rPr>
            <w:noProof/>
            <w:webHidden/>
          </w:rPr>
          <w:fldChar w:fldCharType="end"/>
        </w:r>
      </w:hyperlink>
    </w:p>
    <w:p w14:paraId="7949DB1C" w14:textId="7413F100" w:rsidR="0016359F" w:rsidRDefault="00F705E6">
      <w:pPr>
        <w:pStyle w:val="TOC1"/>
        <w:rPr>
          <w:rFonts w:asciiTheme="minorHAnsi" w:eastAsiaTheme="minorEastAsia" w:hAnsiTheme="minorHAnsi" w:cstheme="minorBidi"/>
          <w:caps w:val="0"/>
          <w:noProof/>
          <w:sz w:val="22"/>
          <w:szCs w:val="22"/>
          <w:lang w:val="en-IE" w:eastAsia="en-IE"/>
        </w:rPr>
      </w:pPr>
      <w:hyperlink w:anchor="_Toc120291637" w:history="1">
        <w:r w:rsidR="0016359F" w:rsidRPr="003F4188">
          <w:rPr>
            <w:rStyle w:val="Hyperlink"/>
            <w:i/>
            <w:noProof/>
          </w:rPr>
          <w:t>3.1.1.</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Supply side problems</w:t>
        </w:r>
        <w:r w:rsidR="0016359F">
          <w:rPr>
            <w:noProof/>
            <w:webHidden/>
          </w:rPr>
          <w:tab/>
        </w:r>
        <w:r w:rsidR="0016359F">
          <w:rPr>
            <w:noProof/>
            <w:webHidden/>
          </w:rPr>
          <w:fldChar w:fldCharType="begin"/>
        </w:r>
        <w:r w:rsidR="0016359F">
          <w:rPr>
            <w:noProof/>
            <w:webHidden/>
          </w:rPr>
          <w:instrText xml:space="preserve"> PAGEREF _Toc120291637 \h </w:instrText>
        </w:r>
        <w:r w:rsidR="0016359F">
          <w:rPr>
            <w:noProof/>
            <w:webHidden/>
          </w:rPr>
        </w:r>
        <w:r w:rsidR="0016359F">
          <w:rPr>
            <w:noProof/>
            <w:webHidden/>
          </w:rPr>
          <w:fldChar w:fldCharType="separate"/>
        </w:r>
        <w:r w:rsidR="009D6A61">
          <w:rPr>
            <w:noProof/>
            <w:webHidden/>
          </w:rPr>
          <w:t>8</w:t>
        </w:r>
        <w:r w:rsidR="0016359F">
          <w:rPr>
            <w:noProof/>
            <w:webHidden/>
          </w:rPr>
          <w:fldChar w:fldCharType="end"/>
        </w:r>
      </w:hyperlink>
    </w:p>
    <w:p w14:paraId="2167ACC5" w14:textId="071E0454" w:rsidR="0016359F" w:rsidRDefault="00F705E6">
      <w:pPr>
        <w:pStyle w:val="TOC1"/>
        <w:rPr>
          <w:rFonts w:asciiTheme="minorHAnsi" w:eastAsiaTheme="minorEastAsia" w:hAnsiTheme="minorHAnsi" w:cstheme="minorBidi"/>
          <w:caps w:val="0"/>
          <w:noProof/>
          <w:sz w:val="22"/>
          <w:szCs w:val="22"/>
          <w:lang w:val="en-IE" w:eastAsia="en-IE"/>
        </w:rPr>
      </w:pPr>
      <w:hyperlink w:anchor="_Toc120291638" w:history="1">
        <w:r w:rsidR="0016359F" w:rsidRPr="003F4188">
          <w:rPr>
            <w:rStyle w:val="Hyperlink"/>
            <w:i/>
            <w:noProof/>
          </w:rPr>
          <w:t>3.1.2.</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Demand side problems</w:t>
        </w:r>
        <w:r w:rsidR="0016359F">
          <w:rPr>
            <w:noProof/>
            <w:webHidden/>
          </w:rPr>
          <w:tab/>
        </w:r>
        <w:r w:rsidR="0016359F">
          <w:rPr>
            <w:noProof/>
            <w:webHidden/>
          </w:rPr>
          <w:fldChar w:fldCharType="begin"/>
        </w:r>
        <w:r w:rsidR="0016359F">
          <w:rPr>
            <w:noProof/>
            <w:webHidden/>
          </w:rPr>
          <w:instrText xml:space="preserve"> PAGEREF _Toc120291638 \h </w:instrText>
        </w:r>
        <w:r w:rsidR="0016359F">
          <w:rPr>
            <w:noProof/>
            <w:webHidden/>
          </w:rPr>
        </w:r>
        <w:r w:rsidR="0016359F">
          <w:rPr>
            <w:noProof/>
            <w:webHidden/>
          </w:rPr>
          <w:fldChar w:fldCharType="separate"/>
        </w:r>
        <w:r w:rsidR="009D6A61">
          <w:rPr>
            <w:noProof/>
            <w:webHidden/>
          </w:rPr>
          <w:t>9</w:t>
        </w:r>
        <w:r w:rsidR="0016359F">
          <w:rPr>
            <w:noProof/>
            <w:webHidden/>
          </w:rPr>
          <w:fldChar w:fldCharType="end"/>
        </w:r>
      </w:hyperlink>
    </w:p>
    <w:p w14:paraId="215BD51D" w14:textId="728F0A7B" w:rsidR="0016359F" w:rsidRDefault="00F705E6">
      <w:pPr>
        <w:pStyle w:val="TOC1"/>
        <w:rPr>
          <w:rFonts w:asciiTheme="minorHAnsi" w:eastAsiaTheme="minorEastAsia" w:hAnsiTheme="minorHAnsi" w:cstheme="minorBidi"/>
          <w:caps w:val="0"/>
          <w:noProof/>
          <w:sz w:val="22"/>
          <w:szCs w:val="22"/>
          <w:lang w:val="en-IE" w:eastAsia="en-IE"/>
        </w:rPr>
      </w:pPr>
      <w:hyperlink w:anchor="_Toc120291639" w:history="1">
        <w:r w:rsidR="0016359F" w:rsidRPr="003F4188">
          <w:rPr>
            <w:rStyle w:val="Hyperlink"/>
            <w:i/>
            <w:noProof/>
          </w:rPr>
          <w:t>3.1.3.</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Insufficient consideration of cross-border risks</w:t>
        </w:r>
        <w:r w:rsidR="0016359F">
          <w:rPr>
            <w:noProof/>
            <w:webHidden/>
          </w:rPr>
          <w:tab/>
        </w:r>
        <w:r w:rsidR="0016359F">
          <w:rPr>
            <w:noProof/>
            <w:webHidden/>
          </w:rPr>
          <w:fldChar w:fldCharType="begin"/>
        </w:r>
        <w:r w:rsidR="0016359F">
          <w:rPr>
            <w:noProof/>
            <w:webHidden/>
          </w:rPr>
          <w:instrText xml:space="preserve"> PAGEREF _Toc120291639 \h </w:instrText>
        </w:r>
        <w:r w:rsidR="0016359F">
          <w:rPr>
            <w:noProof/>
            <w:webHidden/>
          </w:rPr>
        </w:r>
        <w:r w:rsidR="0016359F">
          <w:rPr>
            <w:noProof/>
            <w:webHidden/>
          </w:rPr>
          <w:fldChar w:fldCharType="separate"/>
        </w:r>
        <w:r w:rsidR="009D6A61">
          <w:rPr>
            <w:noProof/>
            <w:webHidden/>
          </w:rPr>
          <w:t>10</w:t>
        </w:r>
        <w:r w:rsidR="0016359F">
          <w:rPr>
            <w:noProof/>
            <w:webHidden/>
          </w:rPr>
          <w:fldChar w:fldCharType="end"/>
        </w:r>
      </w:hyperlink>
    </w:p>
    <w:p w14:paraId="5B0B8151" w14:textId="22C40475" w:rsidR="0016359F" w:rsidRDefault="00F705E6">
      <w:pPr>
        <w:pStyle w:val="TOC1"/>
        <w:rPr>
          <w:rFonts w:asciiTheme="minorHAnsi" w:eastAsiaTheme="minorEastAsia" w:hAnsiTheme="minorHAnsi" w:cstheme="minorBidi"/>
          <w:caps w:val="0"/>
          <w:noProof/>
          <w:sz w:val="22"/>
          <w:szCs w:val="22"/>
          <w:lang w:val="en-IE" w:eastAsia="en-IE"/>
        </w:rPr>
      </w:pPr>
      <w:hyperlink w:anchor="_Toc120291640" w:history="1">
        <w:r w:rsidR="0016359F" w:rsidRPr="003F4188">
          <w:rPr>
            <w:rStyle w:val="Hyperlink"/>
            <w:noProof/>
          </w:rPr>
          <w:t>3.2.</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What are the problem drivers?</w:t>
        </w:r>
        <w:r w:rsidR="0016359F">
          <w:rPr>
            <w:noProof/>
            <w:webHidden/>
          </w:rPr>
          <w:tab/>
        </w:r>
        <w:r w:rsidR="0016359F">
          <w:rPr>
            <w:noProof/>
            <w:webHidden/>
          </w:rPr>
          <w:fldChar w:fldCharType="begin"/>
        </w:r>
        <w:r w:rsidR="0016359F">
          <w:rPr>
            <w:noProof/>
            <w:webHidden/>
          </w:rPr>
          <w:instrText xml:space="preserve"> PAGEREF _Toc120291640 \h </w:instrText>
        </w:r>
        <w:r w:rsidR="0016359F">
          <w:rPr>
            <w:noProof/>
            <w:webHidden/>
          </w:rPr>
        </w:r>
        <w:r w:rsidR="0016359F">
          <w:rPr>
            <w:noProof/>
            <w:webHidden/>
          </w:rPr>
          <w:fldChar w:fldCharType="separate"/>
        </w:r>
        <w:r w:rsidR="009D6A61">
          <w:rPr>
            <w:noProof/>
            <w:webHidden/>
          </w:rPr>
          <w:t>14</w:t>
        </w:r>
        <w:r w:rsidR="0016359F">
          <w:rPr>
            <w:noProof/>
            <w:webHidden/>
          </w:rPr>
          <w:fldChar w:fldCharType="end"/>
        </w:r>
      </w:hyperlink>
    </w:p>
    <w:p w14:paraId="636CDAB6" w14:textId="7434DA8A" w:rsidR="0016359F" w:rsidRDefault="00F705E6">
      <w:pPr>
        <w:pStyle w:val="TOC1"/>
        <w:rPr>
          <w:rFonts w:asciiTheme="minorHAnsi" w:eastAsiaTheme="minorEastAsia" w:hAnsiTheme="minorHAnsi" w:cstheme="minorBidi"/>
          <w:caps w:val="0"/>
          <w:noProof/>
          <w:sz w:val="22"/>
          <w:szCs w:val="22"/>
          <w:lang w:val="en-IE" w:eastAsia="en-IE"/>
        </w:rPr>
      </w:pPr>
      <w:hyperlink w:anchor="_Toc120291641" w:history="1">
        <w:r w:rsidR="0016359F" w:rsidRPr="003F4188">
          <w:rPr>
            <w:rStyle w:val="Hyperlink"/>
            <w:i/>
            <w:noProof/>
          </w:rPr>
          <w:t>3.2.1.</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Complex, lengthy, and burdensome procedures</w:t>
        </w:r>
        <w:r w:rsidR="0016359F">
          <w:rPr>
            <w:noProof/>
            <w:webHidden/>
          </w:rPr>
          <w:tab/>
        </w:r>
        <w:r w:rsidR="0016359F">
          <w:rPr>
            <w:noProof/>
            <w:webHidden/>
          </w:rPr>
          <w:fldChar w:fldCharType="begin"/>
        </w:r>
        <w:r w:rsidR="0016359F">
          <w:rPr>
            <w:noProof/>
            <w:webHidden/>
          </w:rPr>
          <w:instrText xml:space="preserve"> PAGEREF _Toc120291641 \h </w:instrText>
        </w:r>
        <w:r w:rsidR="0016359F">
          <w:rPr>
            <w:noProof/>
            <w:webHidden/>
          </w:rPr>
        </w:r>
        <w:r w:rsidR="0016359F">
          <w:rPr>
            <w:noProof/>
            <w:webHidden/>
          </w:rPr>
          <w:fldChar w:fldCharType="separate"/>
        </w:r>
        <w:r w:rsidR="009D6A61">
          <w:rPr>
            <w:noProof/>
            <w:webHidden/>
          </w:rPr>
          <w:t>14</w:t>
        </w:r>
        <w:r w:rsidR="0016359F">
          <w:rPr>
            <w:noProof/>
            <w:webHidden/>
          </w:rPr>
          <w:fldChar w:fldCharType="end"/>
        </w:r>
      </w:hyperlink>
    </w:p>
    <w:p w14:paraId="620F7399" w14:textId="5AC40138" w:rsidR="0016359F" w:rsidRDefault="00F705E6">
      <w:pPr>
        <w:pStyle w:val="TOC1"/>
        <w:rPr>
          <w:rFonts w:asciiTheme="minorHAnsi" w:eastAsiaTheme="minorEastAsia" w:hAnsiTheme="minorHAnsi" w:cstheme="minorBidi"/>
          <w:caps w:val="0"/>
          <w:noProof/>
          <w:sz w:val="22"/>
          <w:szCs w:val="22"/>
          <w:lang w:val="en-IE" w:eastAsia="en-IE"/>
        </w:rPr>
      </w:pPr>
      <w:hyperlink w:anchor="_Toc120291642" w:history="1">
        <w:r w:rsidR="0016359F" w:rsidRPr="003F4188">
          <w:rPr>
            <w:rStyle w:val="Hyperlink"/>
            <w:i/>
            <w:noProof/>
          </w:rPr>
          <w:t>3.2.2.</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Limited participation in EU CCPs and concentration in incumbent CCPs</w:t>
        </w:r>
        <w:r w:rsidR="0016359F">
          <w:rPr>
            <w:noProof/>
            <w:webHidden/>
          </w:rPr>
          <w:tab/>
        </w:r>
        <w:r w:rsidR="0016359F">
          <w:rPr>
            <w:noProof/>
            <w:webHidden/>
          </w:rPr>
          <w:fldChar w:fldCharType="begin"/>
        </w:r>
        <w:r w:rsidR="0016359F">
          <w:rPr>
            <w:noProof/>
            <w:webHidden/>
          </w:rPr>
          <w:instrText xml:space="preserve"> PAGEREF _Toc120291642 \h </w:instrText>
        </w:r>
        <w:r w:rsidR="0016359F">
          <w:rPr>
            <w:noProof/>
            <w:webHidden/>
          </w:rPr>
        </w:r>
        <w:r w:rsidR="0016359F">
          <w:rPr>
            <w:noProof/>
            <w:webHidden/>
          </w:rPr>
          <w:fldChar w:fldCharType="separate"/>
        </w:r>
        <w:r w:rsidR="009D6A61">
          <w:rPr>
            <w:noProof/>
            <w:webHidden/>
          </w:rPr>
          <w:t>18</w:t>
        </w:r>
        <w:r w:rsidR="0016359F">
          <w:rPr>
            <w:noProof/>
            <w:webHidden/>
          </w:rPr>
          <w:fldChar w:fldCharType="end"/>
        </w:r>
      </w:hyperlink>
    </w:p>
    <w:p w14:paraId="05D29B9D" w14:textId="501A11D3" w:rsidR="0016359F" w:rsidRDefault="00F705E6">
      <w:pPr>
        <w:pStyle w:val="TOC1"/>
        <w:rPr>
          <w:rFonts w:asciiTheme="minorHAnsi" w:eastAsiaTheme="minorEastAsia" w:hAnsiTheme="minorHAnsi" w:cstheme="minorBidi"/>
          <w:caps w:val="0"/>
          <w:noProof/>
          <w:sz w:val="22"/>
          <w:szCs w:val="22"/>
          <w:lang w:val="en-IE" w:eastAsia="en-IE"/>
        </w:rPr>
      </w:pPr>
      <w:hyperlink w:anchor="_Toc120291643" w:history="1">
        <w:r w:rsidR="0016359F" w:rsidRPr="003F4188">
          <w:rPr>
            <w:rStyle w:val="Hyperlink"/>
            <w:i/>
            <w:noProof/>
          </w:rPr>
          <w:t>3.2.3.</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Interconnectedness of EU financial system</w:t>
        </w:r>
        <w:r w:rsidR="0016359F">
          <w:rPr>
            <w:noProof/>
            <w:webHidden/>
          </w:rPr>
          <w:tab/>
        </w:r>
        <w:r w:rsidR="0016359F">
          <w:rPr>
            <w:noProof/>
            <w:webHidden/>
          </w:rPr>
          <w:fldChar w:fldCharType="begin"/>
        </w:r>
        <w:r w:rsidR="0016359F">
          <w:rPr>
            <w:noProof/>
            <w:webHidden/>
          </w:rPr>
          <w:instrText xml:space="preserve"> PAGEREF _Toc120291643 \h </w:instrText>
        </w:r>
        <w:r w:rsidR="0016359F">
          <w:rPr>
            <w:noProof/>
            <w:webHidden/>
          </w:rPr>
        </w:r>
        <w:r w:rsidR="0016359F">
          <w:rPr>
            <w:noProof/>
            <w:webHidden/>
          </w:rPr>
          <w:fldChar w:fldCharType="separate"/>
        </w:r>
        <w:r w:rsidR="009D6A61">
          <w:rPr>
            <w:noProof/>
            <w:webHidden/>
          </w:rPr>
          <w:t>19</w:t>
        </w:r>
        <w:r w:rsidR="0016359F">
          <w:rPr>
            <w:noProof/>
            <w:webHidden/>
          </w:rPr>
          <w:fldChar w:fldCharType="end"/>
        </w:r>
      </w:hyperlink>
    </w:p>
    <w:p w14:paraId="7BA88024" w14:textId="665241FC" w:rsidR="0016359F" w:rsidRDefault="00F705E6">
      <w:pPr>
        <w:pStyle w:val="TOC1"/>
        <w:rPr>
          <w:rFonts w:asciiTheme="minorHAnsi" w:eastAsiaTheme="minorEastAsia" w:hAnsiTheme="minorHAnsi" w:cstheme="minorBidi"/>
          <w:caps w:val="0"/>
          <w:noProof/>
          <w:sz w:val="22"/>
          <w:szCs w:val="22"/>
          <w:lang w:val="en-IE" w:eastAsia="en-IE"/>
        </w:rPr>
      </w:pPr>
      <w:hyperlink w:anchor="_Toc120291644" w:history="1">
        <w:r w:rsidR="0016359F" w:rsidRPr="003F4188">
          <w:rPr>
            <w:rStyle w:val="Hyperlink"/>
            <w:i/>
            <w:noProof/>
          </w:rPr>
          <w:t>3.2.4.</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Inefficient framework for supervisory cooperation</w:t>
        </w:r>
        <w:r w:rsidR="0016359F">
          <w:rPr>
            <w:noProof/>
            <w:webHidden/>
          </w:rPr>
          <w:tab/>
        </w:r>
        <w:r w:rsidR="0016359F">
          <w:rPr>
            <w:noProof/>
            <w:webHidden/>
          </w:rPr>
          <w:fldChar w:fldCharType="begin"/>
        </w:r>
        <w:r w:rsidR="0016359F">
          <w:rPr>
            <w:noProof/>
            <w:webHidden/>
          </w:rPr>
          <w:instrText xml:space="preserve"> PAGEREF _Toc120291644 \h </w:instrText>
        </w:r>
        <w:r w:rsidR="0016359F">
          <w:rPr>
            <w:noProof/>
            <w:webHidden/>
          </w:rPr>
        </w:r>
        <w:r w:rsidR="0016359F">
          <w:rPr>
            <w:noProof/>
            <w:webHidden/>
          </w:rPr>
          <w:fldChar w:fldCharType="separate"/>
        </w:r>
        <w:r w:rsidR="009D6A61">
          <w:rPr>
            <w:noProof/>
            <w:webHidden/>
          </w:rPr>
          <w:t>21</w:t>
        </w:r>
        <w:r w:rsidR="0016359F">
          <w:rPr>
            <w:noProof/>
            <w:webHidden/>
          </w:rPr>
          <w:fldChar w:fldCharType="end"/>
        </w:r>
      </w:hyperlink>
    </w:p>
    <w:p w14:paraId="0A48E86E" w14:textId="14D0DAEB" w:rsidR="0016359F" w:rsidRDefault="00F705E6">
      <w:pPr>
        <w:pStyle w:val="TOC1"/>
        <w:rPr>
          <w:rFonts w:asciiTheme="minorHAnsi" w:eastAsiaTheme="minorEastAsia" w:hAnsiTheme="minorHAnsi" w:cstheme="minorBidi"/>
          <w:caps w:val="0"/>
          <w:noProof/>
          <w:sz w:val="22"/>
          <w:szCs w:val="22"/>
          <w:lang w:val="en-IE" w:eastAsia="en-IE"/>
        </w:rPr>
      </w:pPr>
      <w:hyperlink w:anchor="_Toc120291645" w:history="1">
        <w:r w:rsidR="0016359F" w:rsidRPr="003F4188">
          <w:rPr>
            <w:rStyle w:val="Hyperlink"/>
            <w:noProof/>
          </w:rPr>
          <w:t>3.3.</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How likely is the problem to persist?</w:t>
        </w:r>
        <w:r w:rsidR="0016359F">
          <w:rPr>
            <w:noProof/>
            <w:webHidden/>
          </w:rPr>
          <w:tab/>
        </w:r>
        <w:r w:rsidR="0016359F">
          <w:rPr>
            <w:noProof/>
            <w:webHidden/>
          </w:rPr>
          <w:fldChar w:fldCharType="begin"/>
        </w:r>
        <w:r w:rsidR="0016359F">
          <w:rPr>
            <w:noProof/>
            <w:webHidden/>
          </w:rPr>
          <w:instrText xml:space="preserve"> PAGEREF _Toc120291645 \h </w:instrText>
        </w:r>
        <w:r w:rsidR="0016359F">
          <w:rPr>
            <w:noProof/>
            <w:webHidden/>
          </w:rPr>
        </w:r>
        <w:r w:rsidR="0016359F">
          <w:rPr>
            <w:noProof/>
            <w:webHidden/>
          </w:rPr>
          <w:fldChar w:fldCharType="separate"/>
        </w:r>
        <w:r w:rsidR="009D6A61">
          <w:rPr>
            <w:noProof/>
            <w:webHidden/>
          </w:rPr>
          <w:t>23</w:t>
        </w:r>
        <w:r w:rsidR="0016359F">
          <w:rPr>
            <w:noProof/>
            <w:webHidden/>
          </w:rPr>
          <w:fldChar w:fldCharType="end"/>
        </w:r>
      </w:hyperlink>
    </w:p>
    <w:p w14:paraId="2A098779" w14:textId="469D89BF" w:rsidR="0016359F" w:rsidRDefault="00F705E6">
      <w:pPr>
        <w:pStyle w:val="TOC1"/>
        <w:rPr>
          <w:rFonts w:asciiTheme="minorHAnsi" w:eastAsiaTheme="minorEastAsia" w:hAnsiTheme="minorHAnsi" w:cstheme="minorBidi"/>
          <w:caps w:val="0"/>
          <w:noProof/>
          <w:sz w:val="22"/>
          <w:szCs w:val="22"/>
          <w:lang w:val="en-IE" w:eastAsia="en-IE"/>
        </w:rPr>
      </w:pPr>
      <w:hyperlink w:anchor="_Toc120291646" w:history="1">
        <w:r w:rsidR="0016359F" w:rsidRPr="003F4188">
          <w:rPr>
            <w:rStyle w:val="Hyperlink"/>
            <w:i/>
            <w:noProof/>
          </w:rPr>
          <w:t>3.3.1.</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Limited attractiveness of EU CCPs and over-reliance on non-EU CCPs</w:t>
        </w:r>
        <w:r w:rsidR="0016359F">
          <w:rPr>
            <w:noProof/>
            <w:webHidden/>
          </w:rPr>
          <w:tab/>
        </w:r>
        <w:r w:rsidR="0016359F">
          <w:rPr>
            <w:noProof/>
            <w:webHidden/>
          </w:rPr>
          <w:fldChar w:fldCharType="begin"/>
        </w:r>
        <w:r w:rsidR="0016359F">
          <w:rPr>
            <w:noProof/>
            <w:webHidden/>
          </w:rPr>
          <w:instrText xml:space="preserve"> PAGEREF _Toc120291646 \h </w:instrText>
        </w:r>
        <w:r w:rsidR="0016359F">
          <w:rPr>
            <w:noProof/>
            <w:webHidden/>
          </w:rPr>
        </w:r>
        <w:r w:rsidR="0016359F">
          <w:rPr>
            <w:noProof/>
            <w:webHidden/>
          </w:rPr>
          <w:fldChar w:fldCharType="separate"/>
        </w:r>
        <w:r w:rsidR="009D6A61">
          <w:rPr>
            <w:noProof/>
            <w:webHidden/>
          </w:rPr>
          <w:t>23</w:t>
        </w:r>
        <w:r w:rsidR="0016359F">
          <w:rPr>
            <w:noProof/>
            <w:webHidden/>
          </w:rPr>
          <w:fldChar w:fldCharType="end"/>
        </w:r>
      </w:hyperlink>
    </w:p>
    <w:p w14:paraId="4A9EF9AF" w14:textId="17F7C87C" w:rsidR="0016359F" w:rsidRDefault="00F705E6">
      <w:pPr>
        <w:pStyle w:val="TOC1"/>
        <w:rPr>
          <w:rFonts w:asciiTheme="minorHAnsi" w:eastAsiaTheme="minorEastAsia" w:hAnsiTheme="minorHAnsi" w:cstheme="minorBidi"/>
          <w:caps w:val="0"/>
          <w:noProof/>
          <w:sz w:val="22"/>
          <w:szCs w:val="22"/>
          <w:lang w:val="en-IE" w:eastAsia="en-IE"/>
        </w:rPr>
      </w:pPr>
      <w:hyperlink w:anchor="_Toc120291647" w:history="1">
        <w:r w:rsidR="0016359F" w:rsidRPr="003F4188">
          <w:rPr>
            <w:rStyle w:val="Hyperlink"/>
            <w:i/>
            <w:noProof/>
          </w:rPr>
          <w:t>3.3.2.</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Risks to EU financial stability</w:t>
        </w:r>
        <w:r w:rsidR="0016359F">
          <w:rPr>
            <w:noProof/>
            <w:webHidden/>
          </w:rPr>
          <w:tab/>
        </w:r>
        <w:r w:rsidR="0016359F">
          <w:rPr>
            <w:noProof/>
            <w:webHidden/>
          </w:rPr>
          <w:fldChar w:fldCharType="begin"/>
        </w:r>
        <w:r w:rsidR="0016359F">
          <w:rPr>
            <w:noProof/>
            <w:webHidden/>
          </w:rPr>
          <w:instrText xml:space="preserve"> PAGEREF _Toc120291647 \h </w:instrText>
        </w:r>
        <w:r w:rsidR="0016359F">
          <w:rPr>
            <w:noProof/>
            <w:webHidden/>
          </w:rPr>
        </w:r>
        <w:r w:rsidR="0016359F">
          <w:rPr>
            <w:noProof/>
            <w:webHidden/>
          </w:rPr>
          <w:fldChar w:fldCharType="separate"/>
        </w:r>
        <w:r w:rsidR="009D6A61">
          <w:rPr>
            <w:noProof/>
            <w:webHidden/>
          </w:rPr>
          <w:t>24</w:t>
        </w:r>
        <w:r w:rsidR="0016359F">
          <w:rPr>
            <w:noProof/>
            <w:webHidden/>
          </w:rPr>
          <w:fldChar w:fldCharType="end"/>
        </w:r>
      </w:hyperlink>
    </w:p>
    <w:p w14:paraId="4FDD886A" w14:textId="16D46324" w:rsidR="0016359F" w:rsidRDefault="00F705E6">
      <w:pPr>
        <w:pStyle w:val="TOC1"/>
        <w:rPr>
          <w:rFonts w:asciiTheme="minorHAnsi" w:eastAsiaTheme="minorEastAsia" w:hAnsiTheme="minorHAnsi" w:cstheme="minorBidi"/>
          <w:caps w:val="0"/>
          <w:noProof/>
          <w:sz w:val="22"/>
          <w:szCs w:val="22"/>
          <w:lang w:val="en-IE" w:eastAsia="en-IE"/>
        </w:rPr>
      </w:pPr>
      <w:hyperlink w:anchor="_Toc120291648" w:history="1">
        <w:r w:rsidR="0016359F" w:rsidRPr="003F4188">
          <w:rPr>
            <w:rStyle w:val="Hyperlink"/>
            <w:noProof/>
          </w:rPr>
          <w:t>4.</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Why should the EU act?</w:t>
        </w:r>
        <w:r w:rsidR="0016359F">
          <w:rPr>
            <w:noProof/>
            <w:webHidden/>
          </w:rPr>
          <w:tab/>
        </w:r>
        <w:r w:rsidR="0016359F">
          <w:rPr>
            <w:noProof/>
            <w:webHidden/>
          </w:rPr>
          <w:fldChar w:fldCharType="begin"/>
        </w:r>
        <w:r w:rsidR="0016359F">
          <w:rPr>
            <w:noProof/>
            <w:webHidden/>
          </w:rPr>
          <w:instrText xml:space="preserve"> PAGEREF _Toc120291648 \h </w:instrText>
        </w:r>
        <w:r w:rsidR="0016359F">
          <w:rPr>
            <w:noProof/>
            <w:webHidden/>
          </w:rPr>
        </w:r>
        <w:r w:rsidR="0016359F">
          <w:rPr>
            <w:noProof/>
            <w:webHidden/>
          </w:rPr>
          <w:fldChar w:fldCharType="separate"/>
        </w:r>
        <w:r w:rsidR="009D6A61">
          <w:rPr>
            <w:noProof/>
            <w:webHidden/>
          </w:rPr>
          <w:t>26</w:t>
        </w:r>
        <w:r w:rsidR="0016359F">
          <w:rPr>
            <w:noProof/>
            <w:webHidden/>
          </w:rPr>
          <w:fldChar w:fldCharType="end"/>
        </w:r>
      </w:hyperlink>
    </w:p>
    <w:p w14:paraId="00C71C2F" w14:textId="39B2AE83" w:rsidR="0016359F" w:rsidRDefault="00F705E6">
      <w:pPr>
        <w:pStyle w:val="TOC1"/>
        <w:rPr>
          <w:rFonts w:asciiTheme="minorHAnsi" w:eastAsiaTheme="minorEastAsia" w:hAnsiTheme="minorHAnsi" w:cstheme="minorBidi"/>
          <w:caps w:val="0"/>
          <w:noProof/>
          <w:sz w:val="22"/>
          <w:szCs w:val="22"/>
          <w:lang w:val="en-IE" w:eastAsia="en-IE"/>
        </w:rPr>
      </w:pPr>
      <w:hyperlink w:anchor="_Toc120291649" w:history="1">
        <w:r w:rsidR="0016359F" w:rsidRPr="003F4188">
          <w:rPr>
            <w:rStyle w:val="Hyperlink"/>
            <w:noProof/>
          </w:rPr>
          <w:t>4.1.</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Legal basis</w:t>
        </w:r>
        <w:r w:rsidR="0016359F">
          <w:rPr>
            <w:noProof/>
            <w:webHidden/>
          </w:rPr>
          <w:tab/>
        </w:r>
        <w:r w:rsidR="0016359F">
          <w:rPr>
            <w:noProof/>
            <w:webHidden/>
          </w:rPr>
          <w:fldChar w:fldCharType="begin"/>
        </w:r>
        <w:r w:rsidR="0016359F">
          <w:rPr>
            <w:noProof/>
            <w:webHidden/>
          </w:rPr>
          <w:instrText xml:space="preserve"> PAGEREF _Toc120291649 \h </w:instrText>
        </w:r>
        <w:r w:rsidR="0016359F">
          <w:rPr>
            <w:noProof/>
            <w:webHidden/>
          </w:rPr>
        </w:r>
        <w:r w:rsidR="0016359F">
          <w:rPr>
            <w:noProof/>
            <w:webHidden/>
          </w:rPr>
          <w:fldChar w:fldCharType="separate"/>
        </w:r>
        <w:r w:rsidR="009D6A61">
          <w:rPr>
            <w:noProof/>
            <w:webHidden/>
          </w:rPr>
          <w:t>26</w:t>
        </w:r>
        <w:r w:rsidR="0016359F">
          <w:rPr>
            <w:noProof/>
            <w:webHidden/>
          </w:rPr>
          <w:fldChar w:fldCharType="end"/>
        </w:r>
      </w:hyperlink>
    </w:p>
    <w:p w14:paraId="7190EA19" w14:textId="538A8802" w:rsidR="0016359F" w:rsidRDefault="00F705E6">
      <w:pPr>
        <w:pStyle w:val="TOC1"/>
        <w:rPr>
          <w:rFonts w:asciiTheme="minorHAnsi" w:eastAsiaTheme="minorEastAsia" w:hAnsiTheme="minorHAnsi" w:cstheme="minorBidi"/>
          <w:caps w:val="0"/>
          <w:noProof/>
          <w:sz w:val="22"/>
          <w:szCs w:val="22"/>
          <w:lang w:val="en-IE" w:eastAsia="en-IE"/>
        </w:rPr>
      </w:pPr>
      <w:hyperlink w:anchor="_Toc120291650" w:history="1">
        <w:r w:rsidR="0016359F" w:rsidRPr="003F4188">
          <w:rPr>
            <w:rStyle w:val="Hyperlink"/>
            <w:noProof/>
          </w:rPr>
          <w:t>4.2.</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Subsidiarity: Necessity of EU action</w:t>
        </w:r>
        <w:r w:rsidR="0016359F">
          <w:rPr>
            <w:noProof/>
            <w:webHidden/>
          </w:rPr>
          <w:tab/>
        </w:r>
        <w:r w:rsidR="0016359F">
          <w:rPr>
            <w:noProof/>
            <w:webHidden/>
          </w:rPr>
          <w:fldChar w:fldCharType="begin"/>
        </w:r>
        <w:r w:rsidR="0016359F">
          <w:rPr>
            <w:noProof/>
            <w:webHidden/>
          </w:rPr>
          <w:instrText xml:space="preserve"> PAGEREF _Toc120291650 \h </w:instrText>
        </w:r>
        <w:r w:rsidR="0016359F">
          <w:rPr>
            <w:noProof/>
            <w:webHidden/>
          </w:rPr>
        </w:r>
        <w:r w:rsidR="0016359F">
          <w:rPr>
            <w:noProof/>
            <w:webHidden/>
          </w:rPr>
          <w:fldChar w:fldCharType="separate"/>
        </w:r>
        <w:r w:rsidR="009D6A61">
          <w:rPr>
            <w:noProof/>
            <w:webHidden/>
          </w:rPr>
          <w:t>26</w:t>
        </w:r>
        <w:r w:rsidR="0016359F">
          <w:rPr>
            <w:noProof/>
            <w:webHidden/>
          </w:rPr>
          <w:fldChar w:fldCharType="end"/>
        </w:r>
      </w:hyperlink>
    </w:p>
    <w:p w14:paraId="5F71B5AC" w14:textId="3BB6BFF3" w:rsidR="0016359F" w:rsidRDefault="00F705E6">
      <w:pPr>
        <w:pStyle w:val="TOC1"/>
        <w:rPr>
          <w:rFonts w:asciiTheme="minorHAnsi" w:eastAsiaTheme="minorEastAsia" w:hAnsiTheme="minorHAnsi" w:cstheme="minorBidi"/>
          <w:caps w:val="0"/>
          <w:noProof/>
          <w:sz w:val="22"/>
          <w:szCs w:val="22"/>
          <w:lang w:val="en-IE" w:eastAsia="en-IE"/>
        </w:rPr>
      </w:pPr>
      <w:hyperlink w:anchor="_Toc120291651" w:history="1">
        <w:r w:rsidR="0016359F" w:rsidRPr="003F4188">
          <w:rPr>
            <w:rStyle w:val="Hyperlink"/>
            <w:noProof/>
          </w:rPr>
          <w:t>4.3.</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Subsidiarity: Added value of EU action</w:t>
        </w:r>
        <w:r w:rsidR="0016359F">
          <w:rPr>
            <w:noProof/>
            <w:webHidden/>
          </w:rPr>
          <w:tab/>
        </w:r>
        <w:r w:rsidR="0016359F">
          <w:rPr>
            <w:noProof/>
            <w:webHidden/>
          </w:rPr>
          <w:fldChar w:fldCharType="begin"/>
        </w:r>
        <w:r w:rsidR="0016359F">
          <w:rPr>
            <w:noProof/>
            <w:webHidden/>
          </w:rPr>
          <w:instrText xml:space="preserve"> PAGEREF _Toc120291651 \h </w:instrText>
        </w:r>
        <w:r w:rsidR="0016359F">
          <w:rPr>
            <w:noProof/>
            <w:webHidden/>
          </w:rPr>
        </w:r>
        <w:r w:rsidR="0016359F">
          <w:rPr>
            <w:noProof/>
            <w:webHidden/>
          </w:rPr>
          <w:fldChar w:fldCharType="separate"/>
        </w:r>
        <w:r w:rsidR="009D6A61">
          <w:rPr>
            <w:noProof/>
            <w:webHidden/>
          </w:rPr>
          <w:t>27</w:t>
        </w:r>
        <w:r w:rsidR="0016359F">
          <w:rPr>
            <w:noProof/>
            <w:webHidden/>
          </w:rPr>
          <w:fldChar w:fldCharType="end"/>
        </w:r>
      </w:hyperlink>
    </w:p>
    <w:p w14:paraId="28535EC7" w14:textId="172FA25F" w:rsidR="0016359F" w:rsidRDefault="00F705E6">
      <w:pPr>
        <w:pStyle w:val="TOC1"/>
        <w:rPr>
          <w:rFonts w:asciiTheme="minorHAnsi" w:eastAsiaTheme="minorEastAsia" w:hAnsiTheme="minorHAnsi" w:cstheme="minorBidi"/>
          <w:caps w:val="0"/>
          <w:noProof/>
          <w:sz w:val="22"/>
          <w:szCs w:val="22"/>
          <w:lang w:val="en-IE" w:eastAsia="en-IE"/>
        </w:rPr>
      </w:pPr>
      <w:hyperlink w:anchor="_Toc120291652" w:history="1">
        <w:r w:rsidR="0016359F" w:rsidRPr="003F4188">
          <w:rPr>
            <w:rStyle w:val="Hyperlink"/>
            <w:noProof/>
          </w:rPr>
          <w:t>5.</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Objectives: What is to be achieved?</w:t>
        </w:r>
        <w:r w:rsidR="0016359F">
          <w:rPr>
            <w:noProof/>
            <w:webHidden/>
          </w:rPr>
          <w:tab/>
        </w:r>
        <w:r w:rsidR="0016359F">
          <w:rPr>
            <w:noProof/>
            <w:webHidden/>
          </w:rPr>
          <w:fldChar w:fldCharType="begin"/>
        </w:r>
        <w:r w:rsidR="0016359F">
          <w:rPr>
            <w:noProof/>
            <w:webHidden/>
          </w:rPr>
          <w:instrText xml:space="preserve"> PAGEREF _Toc120291652 \h </w:instrText>
        </w:r>
        <w:r w:rsidR="0016359F">
          <w:rPr>
            <w:noProof/>
            <w:webHidden/>
          </w:rPr>
        </w:r>
        <w:r w:rsidR="0016359F">
          <w:rPr>
            <w:noProof/>
            <w:webHidden/>
          </w:rPr>
          <w:fldChar w:fldCharType="separate"/>
        </w:r>
        <w:r w:rsidR="009D6A61">
          <w:rPr>
            <w:noProof/>
            <w:webHidden/>
          </w:rPr>
          <w:t>27</w:t>
        </w:r>
        <w:r w:rsidR="0016359F">
          <w:rPr>
            <w:noProof/>
            <w:webHidden/>
          </w:rPr>
          <w:fldChar w:fldCharType="end"/>
        </w:r>
      </w:hyperlink>
    </w:p>
    <w:p w14:paraId="2167C339" w14:textId="31B7B219" w:rsidR="0016359F" w:rsidRDefault="00F705E6">
      <w:pPr>
        <w:pStyle w:val="TOC1"/>
        <w:rPr>
          <w:rFonts w:asciiTheme="minorHAnsi" w:eastAsiaTheme="minorEastAsia" w:hAnsiTheme="minorHAnsi" w:cstheme="minorBidi"/>
          <w:caps w:val="0"/>
          <w:noProof/>
          <w:sz w:val="22"/>
          <w:szCs w:val="22"/>
          <w:lang w:val="en-IE" w:eastAsia="en-IE"/>
        </w:rPr>
      </w:pPr>
      <w:hyperlink w:anchor="_Toc120291653" w:history="1">
        <w:r w:rsidR="0016359F" w:rsidRPr="003F4188">
          <w:rPr>
            <w:rStyle w:val="Hyperlink"/>
            <w:noProof/>
          </w:rPr>
          <w:t>5.1.</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General objectives</w:t>
        </w:r>
        <w:r w:rsidR="0016359F">
          <w:rPr>
            <w:noProof/>
            <w:webHidden/>
          </w:rPr>
          <w:tab/>
        </w:r>
        <w:r w:rsidR="0016359F">
          <w:rPr>
            <w:noProof/>
            <w:webHidden/>
          </w:rPr>
          <w:fldChar w:fldCharType="begin"/>
        </w:r>
        <w:r w:rsidR="0016359F">
          <w:rPr>
            <w:noProof/>
            <w:webHidden/>
          </w:rPr>
          <w:instrText xml:space="preserve"> PAGEREF _Toc120291653 \h </w:instrText>
        </w:r>
        <w:r w:rsidR="0016359F">
          <w:rPr>
            <w:noProof/>
            <w:webHidden/>
          </w:rPr>
        </w:r>
        <w:r w:rsidR="0016359F">
          <w:rPr>
            <w:noProof/>
            <w:webHidden/>
          </w:rPr>
          <w:fldChar w:fldCharType="separate"/>
        </w:r>
        <w:r w:rsidR="009D6A61">
          <w:rPr>
            <w:noProof/>
            <w:webHidden/>
          </w:rPr>
          <w:t>27</w:t>
        </w:r>
        <w:r w:rsidR="0016359F">
          <w:rPr>
            <w:noProof/>
            <w:webHidden/>
          </w:rPr>
          <w:fldChar w:fldCharType="end"/>
        </w:r>
      </w:hyperlink>
    </w:p>
    <w:p w14:paraId="24B92DC3" w14:textId="5C2CEC40" w:rsidR="0016359F" w:rsidRDefault="00F705E6">
      <w:pPr>
        <w:pStyle w:val="TOC1"/>
        <w:rPr>
          <w:rFonts w:asciiTheme="minorHAnsi" w:eastAsiaTheme="minorEastAsia" w:hAnsiTheme="minorHAnsi" w:cstheme="minorBidi"/>
          <w:caps w:val="0"/>
          <w:noProof/>
          <w:sz w:val="22"/>
          <w:szCs w:val="22"/>
          <w:lang w:val="en-IE" w:eastAsia="en-IE"/>
        </w:rPr>
      </w:pPr>
      <w:hyperlink w:anchor="_Toc120291654" w:history="1">
        <w:r w:rsidR="0016359F" w:rsidRPr="003F4188">
          <w:rPr>
            <w:rStyle w:val="Hyperlink"/>
            <w:noProof/>
          </w:rPr>
          <w:t>5.2.</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Specific objectives</w:t>
        </w:r>
        <w:r w:rsidR="0016359F">
          <w:rPr>
            <w:noProof/>
            <w:webHidden/>
          </w:rPr>
          <w:tab/>
        </w:r>
        <w:r w:rsidR="0016359F">
          <w:rPr>
            <w:noProof/>
            <w:webHidden/>
          </w:rPr>
          <w:fldChar w:fldCharType="begin"/>
        </w:r>
        <w:r w:rsidR="0016359F">
          <w:rPr>
            <w:noProof/>
            <w:webHidden/>
          </w:rPr>
          <w:instrText xml:space="preserve"> PAGEREF _Toc120291654 \h </w:instrText>
        </w:r>
        <w:r w:rsidR="0016359F">
          <w:rPr>
            <w:noProof/>
            <w:webHidden/>
          </w:rPr>
        </w:r>
        <w:r w:rsidR="0016359F">
          <w:rPr>
            <w:noProof/>
            <w:webHidden/>
          </w:rPr>
          <w:fldChar w:fldCharType="separate"/>
        </w:r>
        <w:r w:rsidR="009D6A61">
          <w:rPr>
            <w:noProof/>
            <w:webHidden/>
          </w:rPr>
          <w:t>28</w:t>
        </w:r>
        <w:r w:rsidR="0016359F">
          <w:rPr>
            <w:noProof/>
            <w:webHidden/>
          </w:rPr>
          <w:fldChar w:fldCharType="end"/>
        </w:r>
      </w:hyperlink>
    </w:p>
    <w:p w14:paraId="6F1D5353" w14:textId="668405BF" w:rsidR="0016359F" w:rsidRDefault="00F705E6">
      <w:pPr>
        <w:pStyle w:val="TOC1"/>
        <w:rPr>
          <w:rFonts w:asciiTheme="minorHAnsi" w:eastAsiaTheme="minorEastAsia" w:hAnsiTheme="minorHAnsi" w:cstheme="minorBidi"/>
          <w:caps w:val="0"/>
          <w:noProof/>
          <w:sz w:val="22"/>
          <w:szCs w:val="22"/>
          <w:lang w:val="en-IE" w:eastAsia="en-IE"/>
        </w:rPr>
      </w:pPr>
      <w:hyperlink w:anchor="_Toc120291655" w:history="1">
        <w:r w:rsidR="0016359F" w:rsidRPr="003F4188">
          <w:rPr>
            <w:rStyle w:val="Hyperlink"/>
            <w:noProof/>
          </w:rPr>
          <w:t>6.</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What are the available policy options?</w:t>
        </w:r>
        <w:r w:rsidR="0016359F">
          <w:rPr>
            <w:noProof/>
            <w:webHidden/>
          </w:rPr>
          <w:tab/>
        </w:r>
        <w:r w:rsidR="0016359F">
          <w:rPr>
            <w:noProof/>
            <w:webHidden/>
          </w:rPr>
          <w:fldChar w:fldCharType="begin"/>
        </w:r>
        <w:r w:rsidR="0016359F">
          <w:rPr>
            <w:noProof/>
            <w:webHidden/>
          </w:rPr>
          <w:instrText xml:space="preserve"> PAGEREF _Toc120291655 \h </w:instrText>
        </w:r>
        <w:r w:rsidR="0016359F">
          <w:rPr>
            <w:noProof/>
            <w:webHidden/>
          </w:rPr>
        </w:r>
        <w:r w:rsidR="0016359F">
          <w:rPr>
            <w:noProof/>
            <w:webHidden/>
          </w:rPr>
          <w:fldChar w:fldCharType="separate"/>
        </w:r>
        <w:r w:rsidR="009D6A61">
          <w:rPr>
            <w:noProof/>
            <w:webHidden/>
          </w:rPr>
          <w:t>29</w:t>
        </w:r>
        <w:r w:rsidR="0016359F">
          <w:rPr>
            <w:noProof/>
            <w:webHidden/>
          </w:rPr>
          <w:fldChar w:fldCharType="end"/>
        </w:r>
      </w:hyperlink>
    </w:p>
    <w:p w14:paraId="53128DEA" w14:textId="5535798C" w:rsidR="0016359F" w:rsidRDefault="00F705E6">
      <w:pPr>
        <w:pStyle w:val="TOC1"/>
        <w:rPr>
          <w:rFonts w:asciiTheme="minorHAnsi" w:eastAsiaTheme="minorEastAsia" w:hAnsiTheme="minorHAnsi" w:cstheme="minorBidi"/>
          <w:caps w:val="0"/>
          <w:noProof/>
          <w:sz w:val="22"/>
          <w:szCs w:val="22"/>
          <w:lang w:val="en-IE" w:eastAsia="en-IE"/>
        </w:rPr>
      </w:pPr>
      <w:hyperlink w:anchor="_Toc120291656" w:history="1">
        <w:r w:rsidR="0016359F" w:rsidRPr="003F4188">
          <w:rPr>
            <w:rStyle w:val="Hyperlink"/>
            <w:noProof/>
          </w:rPr>
          <w:t>6.1.</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What is the baseline from which options are assessed?</w:t>
        </w:r>
        <w:r w:rsidR="0016359F">
          <w:rPr>
            <w:noProof/>
            <w:webHidden/>
          </w:rPr>
          <w:tab/>
        </w:r>
        <w:r w:rsidR="0016359F">
          <w:rPr>
            <w:noProof/>
            <w:webHidden/>
          </w:rPr>
          <w:fldChar w:fldCharType="begin"/>
        </w:r>
        <w:r w:rsidR="0016359F">
          <w:rPr>
            <w:noProof/>
            <w:webHidden/>
          </w:rPr>
          <w:instrText xml:space="preserve"> PAGEREF _Toc120291656 \h </w:instrText>
        </w:r>
        <w:r w:rsidR="0016359F">
          <w:rPr>
            <w:noProof/>
            <w:webHidden/>
          </w:rPr>
        </w:r>
        <w:r w:rsidR="0016359F">
          <w:rPr>
            <w:noProof/>
            <w:webHidden/>
          </w:rPr>
          <w:fldChar w:fldCharType="separate"/>
        </w:r>
        <w:r w:rsidR="009D6A61">
          <w:rPr>
            <w:noProof/>
            <w:webHidden/>
          </w:rPr>
          <w:t>29</w:t>
        </w:r>
        <w:r w:rsidR="0016359F">
          <w:rPr>
            <w:noProof/>
            <w:webHidden/>
          </w:rPr>
          <w:fldChar w:fldCharType="end"/>
        </w:r>
      </w:hyperlink>
    </w:p>
    <w:p w14:paraId="09DB201B" w14:textId="24DBA275" w:rsidR="0016359F" w:rsidRDefault="00F705E6">
      <w:pPr>
        <w:pStyle w:val="TOC1"/>
        <w:rPr>
          <w:rFonts w:asciiTheme="minorHAnsi" w:eastAsiaTheme="minorEastAsia" w:hAnsiTheme="minorHAnsi" w:cstheme="minorBidi"/>
          <w:caps w:val="0"/>
          <w:noProof/>
          <w:sz w:val="22"/>
          <w:szCs w:val="22"/>
          <w:lang w:val="en-IE" w:eastAsia="en-IE"/>
        </w:rPr>
      </w:pPr>
      <w:hyperlink w:anchor="_Toc120291657" w:history="1">
        <w:r w:rsidR="0016359F" w:rsidRPr="003F4188">
          <w:rPr>
            <w:rStyle w:val="Hyperlink"/>
            <w:noProof/>
          </w:rPr>
          <w:t>6.2.</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Description of the policy options</w:t>
        </w:r>
        <w:r w:rsidR="0016359F">
          <w:rPr>
            <w:noProof/>
            <w:webHidden/>
          </w:rPr>
          <w:tab/>
        </w:r>
        <w:r w:rsidR="0016359F">
          <w:rPr>
            <w:noProof/>
            <w:webHidden/>
          </w:rPr>
          <w:fldChar w:fldCharType="begin"/>
        </w:r>
        <w:r w:rsidR="0016359F">
          <w:rPr>
            <w:noProof/>
            <w:webHidden/>
          </w:rPr>
          <w:instrText xml:space="preserve"> PAGEREF _Toc120291657 \h </w:instrText>
        </w:r>
        <w:r w:rsidR="0016359F">
          <w:rPr>
            <w:noProof/>
            <w:webHidden/>
          </w:rPr>
        </w:r>
        <w:r w:rsidR="0016359F">
          <w:rPr>
            <w:noProof/>
            <w:webHidden/>
          </w:rPr>
          <w:fldChar w:fldCharType="separate"/>
        </w:r>
        <w:r w:rsidR="009D6A61">
          <w:rPr>
            <w:noProof/>
            <w:webHidden/>
          </w:rPr>
          <w:t>29</w:t>
        </w:r>
        <w:r w:rsidR="0016359F">
          <w:rPr>
            <w:noProof/>
            <w:webHidden/>
          </w:rPr>
          <w:fldChar w:fldCharType="end"/>
        </w:r>
      </w:hyperlink>
    </w:p>
    <w:p w14:paraId="366B53F9" w14:textId="6C994F31" w:rsidR="0016359F" w:rsidRDefault="00F705E6">
      <w:pPr>
        <w:pStyle w:val="TOC1"/>
        <w:rPr>
          <w:rFonts w:asciiTheme="minorHAnsi" w:eastAsiaTheme="minorEastAsia" w:hAnsiTheme="minorHAnsi" w:cstheme="minorBidi"/>
          <w:caps w:val="0"/>
          <w:noProof/>
          <w:sz w:val="22"/>
          <w:szCs w:val="22"/>
          <w:lang w:val="en-IE" w:eastAsia="en-IE"/>
        </w:rPr>
      </w:pPr>
      <w:hyperlink w:anchor="_Toc120291658" w:history="1">
        <w:r w:rsidR="0016359F" w:rsidRPr="003F4188">
          <w:rPr>
            <w:rStyle w:val="Hyperlink"/>
            <w:i/>
            <w:noProof/>
          </w:rPr>
          <w:t>6.2.1.</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Improve the attractiveness of EU CCPs</w:t>
        </w:r>
        <w:r w:rsidR="0016359F">
          <w:rPr>
            <w:noProof/>
            <w:webHidden/>
          </w:rPr>
          <w:tab/>
        </w:r>
        <w:r w:rsidR="0016359F">
          <w:rPr>
            <w:noProof/>
            <w:webHidden/>
          </w:rPr>
          <w:fldChar w:fldCharType="begin"/>
        </w:r>
        <w:r w:rsidR="0016359F">
          <w:rPr>
            <w:noProof/>
            <w:webHidden/>
          </w:rPr>
          <w:instrText xml:space="preserve"> PAGEREF _Toc120291658 \h </w:instrText>
        </w:r>
        <w:r w:rsidR="0016359F">
          <w:rPr>
            <w:noProof/>
            <w:webHidden/>
          </w:rPr>
        </w:r>
        <w:r w:rsidR="0016359F">
          <w:rPr>
            <w:noProof/>
            <w:webHidden/>
          </w:rPr>
          <w:fldChar w:fldCharType="separate"/>
        </w:r>
        <w:r w:rsidR="009D6A61">
          <w:rPr>
            <w:noProof/>
            <w:webHidden/>
          </w:rPr>
          <w:t>29</w:t>
        </w:r>
        <w:r w:rsidR="0016359F">
          <w:rPr>
            <w:noProof/>
            <w:webHidden/>
          </w:rPr>
          <w:fldChar w:fldCharType="end"/>
        </w:r>
      </w:hyperlink>
    </w:p>
    <w:p w14:paraId="4E8138B8" w14:textId="570B66F6" w:rsidR="0016359F" w:rsidRDefault="00F705E6">
      <w:pPr>
        <w:pStyle w:val="TOC1"/>
        <w:rPr>
          <w:rFonts w:asciiTheme="minorHAnsi" w:eastAsiaTheme="minorEastAsia" w:hAnsiTheme="minorHAnsi" w:cstheme="minorBidi"/>
          <w:caps w:val="0"/>
          <w:noProof/>
          <w:sz w:val="22"/>
          <w:szCs w:val="22"/>
          <w:lang w:val="en-IE" w:eastAsia="en-IE"/>
        </w:rPr>
      </w:pPr>
      <w:hyperlink w:anchor="_Toc120291659" w:history="1">
        <w:r w:rsidR="0016359F" w:rsidRPr="003F4188">
          <w:rPr>
            <w:rStyle w:val="Hyperlink"/>
            <w:i/>
            <w:noProof/>
          </w:rPr>
          <w:t>6.2.2.</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Encourage clearing in EU CCPs</w:t>
        </w:r>
        <w:r w:rsidR="0016359F">
          <w:rPr>
            <w:noProof/>
            <w:webHidden/>
          </w:rPr>
          <w:tab/>
        </w:r>
        <w:r w:rsidR="0016359F">
          <w:rPr>
            <w:noProof/>
            <w:webHidden/>
          </w:rPr>
          <w:fldChar w:fldCharType="begin"/>
        </w:r>
        <w:r w:rsidR="0016359F">
          <w:rPr>
            <w:noProof/>
            <w:webHidden/>
          </w:rPr>
          <w:instrText xml:space="preserve"> PAGEREF _Toc120291659 \h </w:instrText>
        </w:r>
        <w:r w:rsidR="0016359F">
          <w:rPr>
            <w:noProof/>
            <w:webHidden/>
          </w:rPr>
        </w:r>
        <w:r w:rsidR="0016359F">
          <w:rPr>
            <w:noProof/>
            <w:webHidden/>
          </w:rPr>
          <w:fldChar w:fldCharType="separate"/>
        </w:r>
        <w:r w:rsidR="009D6A61">
          <w:rPr>
            <w:noProof/>
            <w:webHidden/>
          </w:rPr>
          <w:t>30</w:t>
        </w:r>
        <w:r w:rsidR="0016359F">
          <w:rPr>
            <w:noProof/>
            <w:webHidden/>
          </w:rPr>
          <w:fldChar w:fldCharType="end"/>
        </w:r>
      </w:hyperlink>
    </w:p>
    <w:p w14:paraId="4E69CCB3" w14:textId="3913B97D" w:rsidR="0016359F" w:rsidRDefault="00F705E6">
      <w:pPr>
        <w:pStyle w:val="TOC1"/>
        <w:rPr>
          <w:rFonts w:asciiTheme="minorHAnsi" w:eastAsiaTheme="minorEastAsia" w:hAnsiTheme="minorHAnsi" w:cstheme="minorBidi"/>
          <w:caps w:val="0"/>
          <w:noProof/>
          <w:sz w:val="22"/>
          <w:szCs w:val="22"/>
          <w:lang w:val="en-IE" w:eastAsia="en-IE"/>
        </w:rPr>
      </w:pPr>
      <w:hyperlink w:anchor="_Toc120291660" w:history="1">
        <w:r w:rsidR="0016359F" w:rsidRPr="003F4188">
          <w:rPr>
            <w:rStyle w:val="Hyperlink"/>
            <w:i/>
            <w:noProof/>
          </w:rPr>
          <w:t>6.2.3.</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Enhance the assessment and management of cross-border risks</w:t>
        </w:r>
        <w:r w:rsidR="0016359F">
          <w:rPr>
            <w:noProof/>
            <w:webHidden/>
          </w:rPr>
          <w:tab/>
        </w:r>
        <w:r w:rsidR="0016359F">
          <w:rPr>
            <w:noProof/>
            <w:webHidden/>
          </w:rPr>
          <w:fldChar w:fldCharType="begin"/>
        </w:r>
        <w:r w:rsidR="0016359F">
          <w:rPr>
            <w:noProof/>
            <w:webHidden/>
          </w:rPr>
          <w:instrText xml:space="preserve"> PAGEREF _Toc120291660 \h </w:instrText>
        </w:r>
        <w:r w:rsidR="0016359F">
          <w:rPr>
            <w:noProof/>
            <w:webHidden/>
          </w:rPr>
        </w:r>
        <w:r w:rsidR="0016359F">
          <w:rPr>
            <w:noProof/>
            <w:webHidden/>
          </w:rPr>
          <w:fldChar w:fldCharType="separate"/>
        </w:r>
        <w:r w:rsidR="009D6A61">
          <w:rPr>
            <w:noProof/>
            <w:webHidden/>
          </w:rPr>
          <w:t>31</w:t>
        </w:r>
        <w:r w:rsidR="0016359F">
          <w:rPr>
            <w:noProof/>
            <w:webHidden/>
          </w:rPr>
          <w:fldChar w:fldCharType="end"/>
        </w:r>
      </w:hyperlink>
    </w:p>
    <w:p w14:paraId="4BDED168" w14:textId="0A7FE4CA" w:rsidR="0016359F" w:rsidRDefault="00F705E6">
      <w:pPr>
        <w:pStyle w:val="TOC1"/>
        <w:rPr>
          <w:rFonts w:asciiTheme="minorHAnsi" w:eastAsiaTheme="minorEastAsia" w:hAnsiTheme="minorHAnsi" w:cstheme="minorBidi"/>
          <w:caps w:val="0"/>
          <w:noProof/>
          <w:sz w:val="22"/>
          <w:szCs w:val="22"/>
          <w:lang w:val="en-IE" w:eastAsia="en-IE"/>
        </w:rPr>
      </w:pPr>
      <w:hyperlink w:anchor="_Toc120291661" w:history="1">
        <w:r w:rsidR="0016359F" w:rsidRPr="003F4188">
          <w:rPr>
            <w:rStyle w:val="Hyperlink"/>
            <w:noProof/>
          </w:rPr>
          <w:t>6.3.</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Options discarded at an early stage</w:t>
        </w:r>
        <w:r w:rsidR="0016359F">
          <w:rPr>
            <w:noProof/>
            <w:webHidden/>
          </w:rPr>
          <w:tab/>
        </w:r>
        <w:r w:rsidR="0016359F">
          <w:rPr>
            <w:noProof/>
            <w:webHidden/>
          </w:rPr>
          <w:fldChar w:fldCharType="begin"/>
        </w:r>
        <w:r w:rsidR="0016359F">
          <w:rPr>
            <w:noProof/>
            <w:webHidden/>
          </w:rPr>
          <w:instrText xml:space="preserve"> PAGEREF _Toc120291661 \h </w:instrText>
        </w:r>
        <w:r w:rsidR="0016359F">
          <w:rPr>
            <w:noProof/>
            <w:webHidden/>
          </w:rPr>
        </w:r>
        <w:r w:rsidR="0016359F">
          <w:rPr>
            <w:noProof/>
            <w:webHidden/>
          </w:rPr>
          <w:fldChar w:fldCharType="separate"/>
        </w:r>
        <w:r w:rsidR="009D6A61">
          <w:rPr>
            <w:noProof/>
            <w:webHidden/>
          </w:rPr>
          <w:t>32</w:t>
        </w:r>
        <w:r w:rsidR="0016359F">
          <w:rPr>
            <w:noProof/>
            <w:webHidden/>
          </w:rPr>
          <w:fldChar w:fldCharType="end"/>
        </w:r>
      </w:hyperlink>
    </w:p>
    <w:p w14:paraId="3E146F94" w14:textId="230F864D" w:rsidR="0016359F" w:rsidRDefault="00F705E6">
      <w:pPr>
        <w:pStyle w:val="TOC1"/>
        <w:rPr>
          <w:rFonts w:asciiTheme="minorHAnsi" w:eastAsiaTheme="minorEastAsia" w:hAnsiTheme="minorHAnsi" w:cstheme="minorBidi"/>
          <w:caps w:val="0"/>
          <w:noProof/>
          <w:sz w:val="22"/>
          <w:szCs w:val="22"/>
          <w:lang w:val="en-IE" w:eastAsia="en-IE"/>
        </w:rPr>
      </w:pPr>
      <w:hyperlink w:anchor="_Toc120291662" w:history="1">
        <w:r w:rsidR="0016359F" w:rsidRPr="003F4188">
          <w:rPr>
            <w:rStyle w:val="Hyperlink"/>
            <w:noProof/>
          </w:rPr>
          <w:t>7.</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What are the impacts of the options and how do they compare?</w:t>
        </w:r>
        <w:r w:rsidR="0016359F">
          <w:rPr>
            <w:noProof/>
            <w:webHidden/>
          </w:rPr>
          <w:tab/>
        </w:r>
        <w:r w:rsidR="0016359F">
          <w:rPr>
            <w:noProof/>
            <w:webHidden/>
          </w:rPr>
          <w:fldChar w:fldCharType="begin"/>
        </w:r>
        <w:r w:rsidR="0016359F">
          <w:rPr>
            <w:noProof/>
            <w:webHidden/>
          </w:rPr>
          <w:instrText xml:space="preserve"> PAGEREF _Toc120291662 \h </w:instrText>
        </w:r>
        <w:r w:rsidR="0016359F">
          <w:rPr>
            <w:noProof/>
            <w:webHidden/>
          </w:rPr>
        </w:r>
        <w:r w:rsidR="0016359F">
          <w:rPr>
            <w:noProof/>
            <w:webHidden/>
          </w:rPr>
          <w:fldChar w:fldCharType="separate"/>
        </w:r>
        <w:r w:rsidR="009D6A61">
          <w:rPr>
            <w:noProof/>
            <w:webHidden/>
          </w:rPr>
          <w:t>32</w:t>
        </w:r>
        <w:r w:rsidR="0016359F">
          <w:rPr>
            <w:noProof/>
            <w:webHidden/>
          </w:rPr>
          <w:fldChar w:fldCharType="end"/>
        </w:r>
      </w:hyperlink>
    </w:p>
    <w:p w14:paraId="310950B7" w14:textId="030CECF8" w:rsidR="0016359F" w:rsidRDefault="00F705E6">
      <w:pPr>
        <w:pStyle w:val="TOC1"/>
        <w:rPr>
          <w:rFonts w:asciiTheme="minorHAnsi" w:eastAsiaTheme="minorEastAsia" w:hAnsiTheme="minorHAnsi" w:cstheme="minorBidi"/>
          <w:caps w:val="0"/>
          <w:noProof/>
          <w:sz w:val="22"/>
          <w:szCs w:val="22"/>
          <w:lang w:val="en-IE" w:eastAsia="en-IE"/>
        </w:rPr>
      </w:pPr>
      <w:hyperlink w:anchor="_Toc120291663" w:history="1">
        <w:r w:rsidR="0016359F" w:rsidRPr="003F4188">
          <w:rPr>
            <w:rStyle w:val="Hyperlink"/>
            <w:noProof/>
          </w:rPr>
          <w:t>7.1.</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A - Measures to improve the attractiveness of EU CCPs</w:t>
        </w:r>
        <w:r w:rsidR="0016359F">
          <w:rPr>
            <w:noProof/>
            <w:webHidden/>
          </w:rPr>
          <w:tab/>
        </w:r>
        <w:r w:rsidR="0016359F">
          <w:rPr>
            <w:noProof/>
            <w:webHidden/>
          </w:rPr>
          <w:fldChar w:fldCharType="begin"/>
        </w:r>
        <w:r w:rsidR="0016359F">
          <w:rPr>
            <w:noProof/>
            <w:webHidden/>
          </w:rPr>
          <w:instrText xml:space="preserve"> PAGEREF _Toc120291663 \h </w:instrText>
        </w:r>
        <w:r w:rsidR="0016359F">
          <w:rPr>
            <w:noProof/>
            <w:webHidden/>
          </w:rPr>
        </w:r>
        <w:r w:rsidR="0016359F">
          <w:rPr>
            <w:noProof/>
            <w:webHidden/>
          </w:rPr>
          <w:fldChar w:fldCharType="separate"/>
        </w:r>
        <w:r w:rsidR="009D6A61">
          <w:rPr>
            <w:noProof/>
            <w:webHidden/>
          </w:rPr>
          <w:t>32</w:t>
        </w:r>
        <w:r w:rsidR="0016359F">
          <w:rPr>
            <w:noProof/>
            <w:webHidden/>
          </w:rPr>
          <w:fldChar w:fldCharType="end"/>
        </w:r>
      </w:hyperlink>
    </w:p>
    <w:p w14:paraId="4D6A4F0D" w14:textId="68D66C09" w:rsidR="0016359F" w:rsidRDefault="00F705E6">
      <w:pPr>
        <w:pStyle w:val="TOC1"/>
        <w:rPr>
          <w:rFonts w:asciiTheme="minorHAnsi" w:eastAsiaTheme="minorEastAsia" w:hAnsiTheme="minorHAnsi" w:cstheme="minorBidi"/>
          <w:caps w:val="0"/>
          <w:noProof/>
          <w:sz w:val="22"/>
          <w:szCs w:val="22"/>
          <w:lang w:val="en-IE" w:eastAsia="en-IE"/>
        </w:rPr>
      </w:pPr>
      <w:hyperlink w:anchor="_Toc120291664" w:history="1">
        <w:r w:rsidR="0016359F" w:rsidRPr="003F4188">
          <w:rPr>
            <w:rStyle w:val="Hyperlink"/>
            <w:i/>
            <w:noProof/>
          </w:rPr>
          <w:t>7.1.1.</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Option A2 – Simplify the procedures for launching products and changing models and parameters</w:t>
        </w:r>
        <w:r w:rsidR="0016359F">
          <w:rPr>
            <w:noProof/>
            <w:webHidden/>
          </w:rPr>
          <w:tab/>
        </w:r>
        <w:r w:rsidR="0016359F">
          <w:rPr>
            <w:noProof/>
            <w:webHidden/>
          </w:rPr>
          <w:fldChar w:fldCharType="begin"/>
        </w:r>
        <w:r w:rsidR="0016359F">
          <w:rPr>
            <w:noProof/>
            <w:webHidden/>
          </w:rPr>
          <w:instrText xml:space="preserve"> PAGEREF _Toc120291664 \h </w:instrText>
        </w:r>
        <w:r w:rsidR="0016359F">
          <w:rPr>
            <w:noProof/>
            <w:webHidden/>
          </w:rPr>
        </w:r>
        <w:r w:rsidR="0016359F">
          <w:rPr>
            <w:noProof/>
            <w:webHidden/>
          </w:rPr>
          <w:fldChar w:fldCharType="separate"/>
        </w:r>
        <w:r w:rsidR="009D6A61">
          <w:rPr>
            <w:noProof/>
            <w:webHidden/>
          </w:rPr>
          <w:t>32</w:t>
        </w:r>
        <w:r w:rsidR="0016359F">
          <w:rPr>
            <w:noProof/>
            <w:webHidden/>
          </w:rPr>
          <w:fldChar w:fldCharType="end"/>
        </w:r>
      </w:hyperlink>
    </w:p>
    <w:p w14:paraId="02678602" w14:textId="4054CF24" w:rsidR="0016359F" w:rsidRDefault="00F705E6">
      <w:pPr>
        <w:pStyle w:val="TOC1"/>
        <w:rPr>
          <w:rFonts w:asciiTheme="minorHAnsi" w:eastAsiaTheme="minorEastAsia" w:hAnsiTheme="minorHAnsi" w:cstheme="minorBidi"/>
          <w:caps w:val="0"/>
          <w:noProof/>
          <w:sz w:val="22"/>
          <w:szCs w:val="22"/>
          <w:lang w:val="en-IE" w:eastAsia="en-IE"/>
        </w:rPr>
      </w:pPr>
      <w:hyperlink w:anchor="_Toc120291665" w:history="1">
        <w:r w:rsidR="0016359F" w:rsidRPr="003F4188">
          <w:rPr>
            <w:rStyle w:val="Hyperlink"/>
            <w:i/>
            <w:noProof/>
          </w:rPr>
          <w:t>7.1.2.</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Option A3 – Introduce an ex-post approval/non-objection procedure/review</w:t>
        </w:r>
        <w:r w:rsidR="0016359F" w:rsidRPr="003F4188">
          <w:rPr>
            <w:rStyle w:val="Hyperlink"/>
            <w:noProof/>
          </w:rPr>
          <w:t xml:space="preserve"> </w:t>
        </w:r>
        <w:r w:rsidR="0016359F" w:rsidRPr="003F4188">
          <w:rPr>
            <w:rStyle w:val="Hyperlink"/>
            <w:i/>
            <w:noProof/>
          </w:rPr>
          <w:t>for certain changes</w:t>
        </w:r>
        <w:r w:rsidR="0016359F">
          <w:rPr>
            <w:noProof/>
            <w:webHidden/>
          </w:rPr>
          <w:tab/>
        </w:r>
        <w:r w:rsidR="0016359F">
          <w:rPr>
            <w:noProof/>
            <w:webHidden/>
          </w:rPr>
          <w:fldChar w:fldCharType="begin"/>
        </w:r>
        <w:r w:rsidR="0016359F">
          <w:rPr>
            <w:noProof/>
            <w:webHidden/>
          </w:rPr>
          <w:instrText xml:space="preserve"> PAGEREF _Toc120291665 \h </w:instrText>
        </w:r>
        <w:r w:rsidR="0016359F">
          <w:rPr>
            <w:noProof/>
            <w:webHidden/>
          </w:rPr>
        </w:r>
        <w:r w:rsidR="0016359F">
          <w:rPr>
            <w:noProof/>
            <w:webHidden/>
          </w:rPr>
          <w:fldChar w:fldCharType="separate"/>
        </w:r>
        <w:r w:rsidR="009D6A61">
          <w:rPr>
            <w:noProof/>
            <w:webHidden/>
          </w:rPr>
          <w:t>35</w:t>
        </w:r>
        <w:r w:rsidR="0016359F">
          <w:rPr>
            <w:noProof/>
            <w:webHidden/>
          </w:rPr>
          <w:fldChar w:fldCharType="end"/>
        </w:r>
      </w:hyperlink>
    </w:p>
    <w:p w14:paraId="588CBDDC" w14:textId="367C7566" w:rsidR="0016359F" w:rsidRDefault="00F705E6">
      <w:pPr>
        <w:pStyle w:val="TOC1"/>
        <w:rPr>
          <w:rFonts w:asciiTheme="minorHAnsi" w:eastAsiaTheme="minorEastAsia" w:hAnsiTheme="minorHAnsi" w:cstheme="minorBidi"/>
          <w:caps w:val="0"/>
          <w:noProof/>
          <w:sz w:val="22"/>
          <w:szCs w:val="22"/>
          <w:lang w:val="en-IE" w:eastAsia="en-IE"/>
        </w:rPr>
      </w:pPr>
      <w:hyperlink w:anchor="_Toc120291666" w:history="1">
        <w:r w:rsidR="0016359F" w:rsidRPr="003F4188">
          <w:rPr>
            <w:rStyle w:val="Hyperlink"/>
            <w:i/>
            <w:noProof/>
          </w:rPr>
          <w:t>7.1.3.</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Option A4 – Combination of Options A2 and A3</w:t>
        </w:r>
        <w:r w:rsidR="0016359F">
          <w:rPr>
            <w:noProof/>
            <w:webHidden/>
          </w:rPr>
          <w:tab/>
        </w:r>
        <w:r w:rsidR="0016359F">
          <w:rPr>
            <w:noProof/>
            <w:webHidden/>
          </w:rPr>
          <w:fldChar w:fldCharType="begin"/>
        </w:r>
        <w:r w:rsidR="0016359F">
          <w:rPr>
            <w:noProof/>
            <w:webHidden/>
          </w:rPr>
          <w:instrText xml:space="preserve"> PAGEREF _Toc120291666 \h </w:instrText>
        </w:r>
        <w:r w:rsidR="0016359F">
          <w:rPr>
            <w:noProof/>
            <w:webHidden/>
          </w:rPr>
        </w:r>
        <w:r w:rsidR="0016359F">
          <w:rPr>
            <w:noProof/>
            <w:webHidden/>
          </w:rPr>
          <w:fldChar w:fldCharType="separate"/>
        </w:r>
        <w:r w:rsidR="009D6A61">
          <w:rPr>
            <w:noProof/>
            <w:webHidden/>
          </w:rPr>
          <w:t>37</w:t>
        </w:r>
        <w:r w:rsidR="0016359F">
          <w:rPr>
            <w:noProof/>
            <w:webHidden/>
          </w:rPr>
          <w:fldChar w:fldCharType="end"/>
        </w:r>
      </w:hyperlink>
    </w:p>
    <w:p w14:paraId="2A5C978A" w14:textId="13649E35" w:rsidR="0016359F" w:rsidRDefault="00F705E6">
      <w:pPr>
        <w:pStyle w:val="TOC1"/>
        <w:rPr>
          <w:rFonts w:asciiTheme="minorHAnsi" w:eastAsiaTheme="minorEastAsia" w:hAnsiTheme="minorHAnsi" w:cstheme="minorBidi"/>
          <w:caps w:val="0"/>
          <w:noProof/>
          <w:sz w:val="22"/>
          <w:szCs w:val="22"/>
          <w:lang w:val="en-IE" w:eastAsia="en-IE"/>
        </w:rPr>
      </w:pPr>
      <w:hyperlink w:anchor="_Toc120291667" w:history="1">
        <w:r w:rsidR="0016359F" w:rsidRPr="003F4188">
          <w:rPr>
            <w:rStyle w:val="Hyperlink"/>
            <w:i/>
            <w:noProof/>
          </w:rPr>
          <w:t>7.1.4.</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Choice of preferred option.</w:t>
        </w:r>
        <w:r w:rsidR="0016359F">
          <w:rPr>
            <w:noProof/>
            <w:webHidden/>
          </w:rPr>
          <w:tab/>
        </w:r>
        <w:r w:rsidR="0016359F">
          <w:rPr>
            <w:noProof/>
            <w:webHidden/>
          </w:rPr>
          <w:fldChar w:fldCharType="begin"/>
        </w:r>
        <w:r w:rsidR="0016359F">
          <w:rPr>
            <w:noProof/>
            <w:webHidden/>
          </w:rPr>
          <w:instrText xml:space="preserve"> PAGEREF _Toc120291667 \h </w:instrText>
        </w:r>
        <w:r w:rsidR="0016359F">
          <w:rPr>
            <w:noProof/>
            <w:webHidden/>
          </w:rPr>
        </w:r>
        <w:r w:rsidR="0016359F">
          <w:rPr>
            <w:noProof/>
            <w:webHidden/>
          </w:rPr>
          <w:fldChar w:fldCharType="separate"/>
        </w:r>
        <w:r w:rsidR="009D6A61">
          <w:rPr>
            <w:noProof/>
            <w:webHidden/>
          </w:rPr>
          <w:t>39</w:t>
        </w:r>
        <w:r w:rsidR="0016359F">
          <w:rPr>
            <w:noProof/>
            <w:webHidden/>
          </w:rPr>
          <w:fldChar w:fldCharType="end"/>
        </w:r>
      </w:hyperlink>
    </w:p>
    <w:p w14:paraId="3D2E41DB" w14:textId="67A64E18" w:rsidR="0016359F" w:rsidRDefault="00F705E6">
      <w:pPr>
        <w:pStyle w:val="TOC1"/>
        <w:rPr>
          <w:rFonts w:asciiTheme="minorHAnsi" w:eastAsiaTheme="minorEastAsia" w:hAnsiTheme="minorHAnsi" w:cstheme="minorBidi"/>
          <w:caps w:val="0"/>
          <w:noProof/>
          <w:sz w:val="22"/>
          <w:szCs w:val="22"/>
          <w:lang w:val="en-IE" w:eastAsia="en-IE"/>
        </w:rPr>
      </w:pPr>
      <w:hyperlink w:anchor="_Toc120291668" w:history="1">
        <w:r w:rsidR="0016359F" w:rsidRPr="003F4188">
          <w:rPr>
            <w:rStyle w:val="Hyperlink"/>
            <w:noProof/>
          </w:rPr>
          <w:t>7.2.</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B - Measures to encourage clearing in the EU</w:t>
        </w:r>
        <w:r w:rsidR="0016359F">
          <w:rPr>
            <w:noProof/>
            <w:webHidden/>
          </w:rPr>
          <w:tab/>
        </w:r>
        <w:r w:rsidR="0016359F">
          <w:rPr>
            <w:noProof/>
            <w:webHidden/>
          </w:rPr>
          <w:fldChar w:fldCharType="begin"/>
        </w:r>
        <w:r w:rsidR="0016359F">
          <w:rPr>
            <w:noProof/>
            <w:webHidden/>
          </w:rPr>
          <w:instrText xml:space="preserve"> PAGEREF _Toc120291668 \h </w:instrText>
        </w:r>
        <w:r w:rsidR="0016359F">
          <w:rPr>
            <w:noProof/>
            <w:webHidden/>
          </w:rPr>
        </w:r>
        <w:r w:rsidR="0016359F">
          <w:rPr>
            <w:noProof/>
            <w:webHidden/>
          </w:rPr>
          <w:fldChar w:fldCharType="separate"/>
        </w:r>
        <w:r w:rsidR="009D6A61">
          <w:rPr>
            <w:noProof/>
            <w:webHidden/>
          </w:rPr>
          <w:t>39</w:t>
        </w:r>
        <w:r w:rsidR="0016359F">
          <w:rPr>
            <w:noProof/>
            <w:webHidden/>
          </w:rPr>
          <w:fldChar w:fldCharType="end"/>
        </w:r>
      </w:hyperlink>
    </w:p>
    <w:p w14:paraId="32A1354B" w14:textId="3EA66B4D" w:rsidR="0016359F" w:rsidRDefault="00F705E6">
      <w:pPr>
        <w:pStyle w:val="TOC1"/>
        <w:rPr>
          <w:rFonts w:asciiTheme="minorHAnsi" w:eastAsiaTheme="minorEastAsia" w:hAnsiTheme="minorHAnsi" w:cstheme="minorBidi"/>
          <w:caps w:val="0"/>
          <w:noProof/>
          <w:sz w:val="22"/>
          <w:szCs w:val="22"/>
          <w:lang w:val="en-IE" w:eastAsia="en-IE"/>
        </w:rPr>
      </w:pPr>
      <w:hyperlink w:anchor="_Toc120291669" w:history="1">
        <w:r w:rsidR="0016359F" w:rsidRPr="003F4188">
          <w:rPr>
            <w:rStyle w:val="Hyperlink"/>
            <w:i/>
            <w:noProof/>
          </w:rPr>
          <w:t>7.2.1.</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Option B2 - Limit/dis-incentivise banks’ excessive exposures to CCPs</w:t>
        </w:r>
        <w:r w:rsidR="0016359F">
          <w:rPr>
            <w:noProof/>
            <w:webHidden/>
          </w:rPr>
          <w:tab/>
        </w:r>
        <w:r w:rsidR="0016359F">
          <w:rPr>
            <w:noProof/>
            <w:webHidden/>
          </w:rPr>
          <w:fldChar w:fldCharType="begin"/>
        </w:r>
        <w:r w:rsidR="0016359F">
          <w:rPr>
            <w:noProof/>
            <w:webHidden/>
          </w:rPr>
          <w:instrText xml:space="preserve"> PAGEREF _Toc120291669 \h </w:instrText>
        </w:r>
        <w:r w:rsidR="0016359F">
          <w:rPr>
            <w:noProof/>
            <w:webHidden/>
          </w:rPr>
        </w:r>
        <w:r w:rsidR="0016359F">
          <w:rPr>
            <w:noProof/>
            <w:webHidden/>
          </w:rPr>
          <w:fldChar w:fldCharType="separate"/>
        </w:r>
        <w:r w:rsidR="009D6A61">
          <w:rPr>
            <w:noProof/>
            <w:webHidden/>
          </w:rPr>
          <w:t>39</w:t>
        </w:r>
        <w:r w:rsidR="0016359F">
          <w:rPr>
            <w:noProof/>
            <w:webHidden/>
          </w:rPr>
          <w:fldChar w:fldCharType="end"/>
        </w:r>
      </w:hyperlink>
    </w:p>
    <w:p w14:paraId="6D8643B4" w14:textId="714F5AAB" w:rsidR="0016359F" w:rsidRDefault="00F705E6">
      <w:pPr>
        <w:pStyle w:val="TOC1"/>
        <w:rPr>
          <w:rFonts w:asciiTheme="minorHAnsi" w:eastAsiaTheme="minorEastAsia" w:hAnsiTheme="minorHAnsi" w:cstheme="minorBidi"/>
          <w:caps w:val="0"/>
          <w:noProof/>
          <w:sz w:val="22"/>
          <w:szCs w:val="22"/>
          <w:lang w:val="en-IE" w:eastAsia="en-IE"/>
        </w:rPr>
      </w:pPr>
      <w:hyperlink w:anchor="_Toc120291670" w:history="1">
        <w:r w:rsidR="0016359F" w:rsidRPr="003F4188">
          <w:rPr>
            <w:rStyle w:val="Hyperlink"/>
            <w:i/>
            <w:noProof/>
          </w:rPr>
          <w:t>7.2.2.</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Option B3 – Active account at EU CCPs</w:t>
        </w:r>
        <w:r w:rsidR="0016359F">
          <w:rPr>
            <w:noProof/>
            <w:webHidden/>
          </w:rPr>
          <w:tab/>
        </w:r>
        <w:r w:rsidR="0016359F">
          <w:rPr>
            <w:noProof/>
            <w:webHidden/>
          </w:rPr>
          <w:fldChar w:fldCharType="begin"/>
        </w:r>
        <w:r w:rsidR="0016359F">
          <w:rPr>
            <w:noProof/>
            <w:webHidden/>
          </w:rPr>
          <w:instrText xml:space="preserve"> PAGEREF _Toc120291670 \h </w:instrText>
        </w:r>
        <w:r w:rsidR="0016359F">
          <w:rPr>
            <w:noProof/>
            <w:webHidden/>
          </w:rPr>
        </w:r>
        <w:r w:rsidR="0016359F">
          <w:rPr>
            <w:noProof/>
            <w:webHidden/>
          </w:rPr>
          <w:fldChar w:fldCharType="separate"/>
        </w:r>
        <w:r w:rsidR="009D6A61">
          <w:rPr>
            <w:noProof/>
            <w:webHidden/>
          </w:rPr>
          <w:t>44</w:t>
        </w:r>
        <w:r w:rsidR="0016359F">
          <w:rPr>
            <w:noProof/>
            <w:webHidden/>
          </w:rPr>
          <w:fldChar w:fldCharType="end"/>
        </w:r>
      </w:hyperlink>
    </w:p>
    <w:p w14:paraId="52E038D7" w14:textId="634E322E" w:rsidR="0016359F" w:rsidRDefault="00F705E6">
      <w:pPr>
        <w:pStyle w:val="TOC1"/>
        <w:rPr>
          <w:rFonts w:asciiTheme="minorHAnsi" w:eastAsiaTheme="minorEastAsia" w:hAnsiTheme="minorHAnsi" w:cstheme="minorBidi"/>
          <w:caps w:val="0"/>
          <w:noProof/>
          <w:sz w:val="22"/>
          <w:szCs w:val="22"/>
          <w:lang w:val="en-IE" w:eastAsia="en-IE"/>
        </w:rPr>
      </w:pPr>
      <w:hyperlink w:anchor="_Toc120291671" w:history="1">
        <w:r w:rsidR="0016359F" w:rsidRPr="003F4188">
          <w:rPr>
            <w:rStyle w:val="Hyperlink"/>
            <w:i/>
            <w:noProof/>
          </w:rPr>
          <w:t>7.2.3.</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Option B4 – Broaden the scope of clearing participants, i.e. public entities</w:t>
        </w:r>
        <w:r w:rsidR="0016359F">
          <w:rPr>
            <w:noProof/>
            <w:webHidden/>
          </w:rPr>
          <w:tab/>
        </w:r>
        <w:r w:rsidR="0016359F">
          <w:rPr>
            <w:noProof/>
            <w:webHidden/>
          </w:rPr>
          <w:fldChar w:fldCharType="begin"/>
        </w:r>
        <w:r w:rsidR="0016359F">
          <w:rPr>
            <w:noProof/>
            <w:webHidden/>
          </w:rPr>
          <w:instrText xml:space="preserve"> PAGEREF _Toc120291671 \h </w:instrText>
        </w:r>
        <w:r w:rsidR="0016359F">
          <w:rPr>
            <w:noProof/>
            <w:webHidden/>
          </w:rPr>
        </w:r>
        <w:r w:rsidR="0016359F">
          <w:rPr>
            <w:noProof/>
            <w:webHidden/>
          </w:rPr>
          <w:fldChar w:fldCharType="separate"/>
        </w:r>
        <w:r w:rsidR="009D6A61">
          <w:rPr>
            <w:noProof/>
            <w:webHidden/>
          </w:rPr>
          <w:t>48</w:t>
        </w:r>
        <w:r w:rsidR="0016359F">
          <w:rPr>
            <w:noProof/>
            <w:webHidden/>
          </w:rPr>
          <w:fldChar w:fldCharType="end"/>
        </w:r>
      </w:hyperlink>
    </w:p>
    <w:p w14:paraId="7EF17209" w14:textId="60A05D17" w:rsidR="0016359F" w:rsidRDefault="00F705E6">
      <w:pPr>
        <w:pStyle w:val="TOC1"/>
        <w:rPr>
          <w:rFonts w:asciiTheme="minorHAnsi" w:eastAsiaTheme="minorEastAsia" w:hAnsiTheme="minorHAnsi" w:cstheme="minorBidi"/>
          <w:caps w:val="0"/>
          <w:noProof/>
          <w:sz w:val="22"/>
          <w:szCs w:val="22"/>
          <w:lang w:val="en-IE" w:eastAsia="en-IE"/>
        </w:rPr>
      </w:pPr>
      <w:hyperlink w:anchor="_Toc120291672" w:history="1">
        <w:r w:rsidR="0016359F" w:rsidRPr="003F4188">
          <w:rPr>
            <w:rStyle w:val="Hyperlink"/>
            <w:i/>
            <w:noProof/>
          </w:rPr>
          <w:t>7.2.4.</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Option B5 – Facilitate clearing by clients</w:t>
        </w:r>
        <w:r w:rsidR="0016359F">
          <w:rPr>
            <w:noProof/>
            <w:webHidden/>
          </w:rPr>
          <w:tab/>
        </w:r>
        <w:r w:rsidR="0016359F">
          <w:rPr>
            <w:noProof/>
            <w:webHidden/>
          </w:rPr>
          <w:fldChar w:fldCharType="begin"/>
        </w:r>
        <w:r w:rsidR="0016359F">
          <w:rPr>
            <w:noProof/>
            <w:webHidden/>
          </w:rPr>
          <w:instrText xml:space="preserve"> PAGEREF _Toc120291672 \h </w:instrText>
        </w:r>
        <w:r w:rsidR="0016359F">
          <w:rPr>
            <w:noProof/>
            <w:webHidden/>
          </w:rPr>
        </w:r>
        <w:r w:rsidR="0016359F">
          <w:rPr>
            <w:noProof/>
            <w:webHidden/>
          </w:rPr>
          <w:fldChar w:fldCharType="separate"/>
        </w:r>
        <w:r w:rsidR="009D6A61">
          <w:rPr>
            <w:noProof/>
            <w:webHidden/>
          </w:rPr>
          <w:t>51</w:t>
        </w:r>
        <w:r w:rsidR="0016359F">
          <w:rPr>
            <w:noProof/>
            <w:webHidden/>
          </w:rPr>
          <w:fldChar w:fldCharType="end"/>
        </w:r>
      </w:hyperlink>
    </w:p>
    <w:p w14:paraId="0FB0AC9F" w14:textId="05889AE9" w:rsidR="0016359F" w:rsidRDefault="00F705E6">
      <w:pPr>
        <w:pStyle w:val="TOC1"/>
        <w:rPr>
          <w:rFonts w:asciiTheme="minorHAnsi" w:eastAsiaTheme="minorEastAsia" w:hAnsiTheme="minorHAnsi" w:cstheme="minorBidi"/>
          <w:caps w:val="0"/>
          <w:noProof/>
          <w:sz w:val="22"/>
          <w:szCs w:val="22"/>
          <w:lang w:val="en-IE" w:eastAsia="en-IE"/>
        </w:rPr>
      </w:pPr>
      <w:hyperlink w:anchor="_Toc120291673" w:history="1">
        <w:r w:rsidR="0016359F" w:rsidRPr="003F4188">
          <w:rPr>
            <w:rStyle w:val="Hyperlink"/>
            <w:i/>
            <w:noProof/>
          </w:rPr>
          <w:t>7.2.5.</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Option B6 – Combination of all options</w:t>
        </w:r>
        <w:r w:rsidR="0016359F">
          <w:rPr>
            <w:noProof/>
            <w:webHidden/>
          </w:rPr>
          <w:tab/>
        </w:r>
        <w:r w:rsidR="0016359F">
          <w:rPr>
            <w:noProof/>
            <w:webHidden/>
          </w:rPr>
          <w:fldChar w:fldCharType="begin"/>
        </w:r>
        <w:r w:rsidR="0016359F">
          <w:rPr>
            <w:noProof/>
            <w:webHidden/>
          </w:rPr>
          <w:instrText xml:space="preserve"> PAGEREF _Toc120291673 \h </w:instrText>
        </w:r>
        <w:r w:rsidR="0016359F">
          <w:rPr>
            <w:noProof/>
            <w:webHidden/>
          </w:rPr>
        </w:r>
        <w:r w:rsidR="0016359F">
          <w:rPr>
            <w:noProof/>
            <w:webHidden/>
          </w:rPr>
          <w:fldChar w:fldCharType="separate"/>
        </w:r>
        <w:r w:rsidR="009D6A61">
          <w:rPr>
            <w:noProof/>
            <w:webHidden/>
          </w:rPr>
          <w:t>54</w:t>
        </w:r>
        <w:r w:rsidR="0016359F">
          <w:rPr>
            <w:noProof/>
            <w:webHidden/>
          </w:rPr>
          <w:fldChar w:fldCharType="end"/>
        </w:r>
      </w:hyperlink>
    </w:p>
    <w:p w14:paraId="07DB123A" w14:textId="25E17120" w:rsidR="0016359F" w:rsidRDefault="00F705E6">
      <w:pPr>
        <w:pStyle w:val="TOC1"/>
        <w:rPr>
          <w:rFonts w:asciiTheme="minorHAnsi" w:eastAsiaTheme="minorEastAsia" w:hAnsiTheme="minorHAnsi" w:cstheme="minorBidi"/>
          <w:caps w:val="0"/>
          <w:noProof/>
          <w:sz w:val="22"/>
          <w:szCs w:val="22"/>
          <w:lang w:val="en-IE" w:eastAsia="en-IE"/>
        </w:rPr>
      </w:pPr>
      <w:hyperlink w:anchor="_Toc120291674" w:history="1">
        <w:r w:rsidR="0016359F" w:rsidRPr="003F4188">
          <w:rPr>
            <w:rStyle w:val="Hyperlink"/>
            <w:i/>
            <w:noProof/>
          </w:rPr>
          <w:t>7.2.6.</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Choice of preferred option</w:t>
        </w:r>
        <w:r w:rsidR="0016359F">
          <w:rPr>
            <w:noProof/>
            <w:webHidden/>
          </w:rPr>
          <w:tab/>
        </w:r>
        <w:r w:rsidR="0016359F">
          <w:rPr>
            <w:noProof/>
            <w:webHidden/>
          </w:rPr>
          <w:fldChar w:fldCharType="begin"/>
        </w:r>
        <w:r w:rsidR="0016359F">
          <w:rPr>
            <w:noProof/>
            <w:webHidden/>
          </w:rPr>
          <w:instrText xml:space="preserve"> PAGEREF _Toc120291674 \h </w:instrText>
        </w:r>
        <w:r w:rsidR="0016359F">
          <w:rPr>
            <w:noProof/>
            <w:webHidden/>
          </w:rPr>
        </w:r>
        <w:r w:rsidR="0016359F">
          <w:rPr>
            <w:noProof/>
            <w:webHidden/>
          </w:rPr>
          <w:fldChar w:fldCharType="separate"/>
        </w:r>
        <w:r w:rsidR="009D6A61">
          <w:rPr>
            <w:noProof/>
            <w:webHidden/>
          </w:rPr>
          <w:t>56</w:t>
        </w:r>
        <w:r w:rsidR="0016359F">
          <w:rPr>
            <w:noProof/>
            <w:webHidden/>
          </w:rPr>
          <w:fldChar w:fldCharType="end"/>
        </w:r>
      </w:hyperlink>
    </w:p>
    <w:p w14:paraId="7A56F2F7" w14:textId="0AD66387" w:rsidR="0016359F" w:rsidRDefault="00F705E6">
      <w:pPr>
        <w:pStyle w:val="TOC1"/>
        <w:rPr>
          <w:rFonts w:asciiTheme="minorHAnsi" w:eastAsiaTheme="minorEastAsia" w:hAnsiTheme="minorHAnsi" w:cstheme="minorBidi"/>
          <w:caps w:val="0"/>
          <w:noProof/>
          <w:sz w:val="22"/>
          <w:szCs w:val="22"/>
          <w:lang w:val="en-IE" w:eastAsia="en-IE"/>
        </w:rPr>
      </w:pPr>
      <w:hyperlink w:anchor="_Toc120291675" w:history="1">
        <w:r w:rsidR="0016359F" w:rsidRPr="003F4188">
          <w:rPr>
            <w:rStyle w:val="Hyperlink"/>
            <w:noProof/>
          </w:rPr>
          <w:t>7.3.</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C - Measures to enhance the assessment and management of cross-border risk</w:t>
        </w:r>
        <w:r w:rsidR="0016359F">
          <w:rPr>
            <w:noProof/>
            <w:webHidden/>
          </w:rPr>
          <w:tab/>
        </w:r>
        <w:r w:rsidR="0016359F">
          <w:rPr>
            <w:noProof/>
            <w:webHidden/>
          </w:rPr>
          <w:fldChar w:fldCharType="begin"/>
        </w:r>
        <w:r w:rsidR="0016359F">
          <w:rPr>
            <w:noProof/>
            <w:webHidden/>
          </w:rPr>
          <w:instrText xml:space="preserve"> PAGEREF _Toc120291675 \h </w:instrText>
        </w:r>
        <w:r w:rsidR="0016359F">
          <w:rPr>
            <w:noProof/>
            <w:webHidden/>
          </w:rPr>
        </w:r>
        <w:r w:rsidR="0016359F">
          <w:rPr>
            <w:noProof/>
            <w:webHidden/>
          </w:rPr>
          <w:fldChar w:fldCharType="separate"/>
        </w:r>
        <w:r w:rsidR="009D6A61">
          <w:rPr>
            <w:noProof/>
            <w:webHidden/>
          </w:rPr>
          <w:t>57</w:t>
        </w:r>
        <w:r w:rsidR="0016359F">
          <w:rPr>
            <w:noProof/>
            <w:webHidden/>
          </w:rPr>
          <w:fldChar w:fldCharType="end"/>
        </w:r>
      </w:hyperlink>
    </w:p>
    <w:p w14:paraId="74B3DAE6" w14:textId="027692BB" w:rsidR="0016359F" w:rsidRDefault="00F705E6">
      <w:pPr>
        <w:pStyle w:val="TOC1"/>
        <w:rPr>
          <w:rFonts w:asciiTheme="minorHAnsi" w:eastAsiaTheme="minorEastAsia" w:hAnsiTheme="minorHAnsi" w:cstheme="minorBidi"/>
          <w:caps w:val="0"/>
          <w:noProof/>
          <w:sz w:val="22"/>
          <w:szCs w:val="22"/>
          <w:lang w:val="en-IE" w:eastAsia="en-IE"/>
        </w:rPr>
      </w:pPr>
      <w:hyperlink w:anchor="_Toc120291676" w:history="1">
        <w:r w:rsidR="0016359F" w:rsidRPr="003F4188">
          <w:rPr>
            <w:rStyle w:val="Hyperlink"/>
            <w:i/>
            <w:noProof/>
          </w:rPr>
          <w:t>7.3.1.</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Option C2: Targeted amendments to current supervisory framework</w:t>
        </w:r>
        <w:r w:rsidR="0016359F">
          <w:rPr>
            <w:noProof/>
            <w:webHidden/>
          </w:rPr>
          <w:tab/>
        </w:r>
        <w:r w:rsidR="0016359F">
          <w:rPr>
            <w:noProof/>
            <w:webHidden/>
          </w:rPr>
          <w:fldChar w:fldCharType="begin"/>
        </w:r>
        <w:r w:rsidR="0016359F">
          <w:rPr>
            <w:noProof/>
            <w:webHidden/>
          </w:rPr>
          <w:instrText xml:space="preserve"> PAGEREF _Toc120291676 \h </w:instrText>
        </w:r>
        <w:r w:rsidR="0016359F">
          <w:rPr>
            <w:noProof/>
            <w:webHidden/>
          </w:rPr>
        </w:r>
        <w:r w:rsidR="0016359F">
          <w:rPr>
            <w:noProof/>
            <w:webHidden/>
          </w:rPr>
          <w:fldChar w:fldCharType="separate"/>
        </w:r>
        <w:r w:rsidR="009D6A61">
          <w:rPr>
            <w:noProof/>
            <w:webHidden/>
          </w:rPr>
          <w:t>57</w:t>
        </w:r>
        <w:r w:rsidR="0016359F">
          <w:rPr>
            <w:noProof/>
            <w:webHidden/>
          </w:rPr>
          <w:fldChar w:fldCharType="end"/>
        </w:r>
      </w:hyperlink>
    </w:p>
    <w:p w14:paraId="32E19C6C" w14:textId="6A65EEA5" w:rsidR="0016359F" w:rsidRDefault="00F705E6">
      <w:pPr>
        <w:pStyle w:val="TOC1"/>
        <w:rPr>
          <w:rFonts w:asciiTheme="minorHAnsi" w:eastAsiaTheme="minorEastAsia" w:hAnsiTheme="minorHAnsi" w:cstheme="minorBidi"/>
          <w:caps w:val="0"/>
          <w:noProof/>
          <w:sz w:val="22"/>
          <w:szCs w:val="22"/>
          <w:lang w:val="en-IE" w:eastAsia="en-IE"/>
        </w:rPr>
      </w:pPr>
      <w:hyperlink w:anchor="_Toc120291677" w:history="1">
        <w:r w:rsidR="0016359F" w:rsidRPr="003F4188">
          <w:rPr>
            <w:rStyle w:val="Hyperlink"/>
            <w:i/>
            <w:noProof/>
            <w:lang w:val="fr-BE"/>
          </w:rPr>
          <w:t>7.3.2.</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lang w:val="fr-BE"/>
          </w:rPr>
          <w:t>Option C3: Centralise EU CCP supervision</w:t>
        </w:r>
        <w:r w:rsidR="0016359F">
          <w:rPr>
            <w:noProof/>
            <w:webHidden/>
          </w:rPr>
          <w:tab/>
        </w:r>
        <w:r w:rsidR="0016359F">
          <w:rPr>
            <w:noProof/>
            <w:webHidden/>
          </w:rPr>
          <w:fldChar w:fldCharType="begin"/>
        </w:r>
        <w:r w:rsidR="0016359F">
          <w:rPr>
            <w:noProof/>
            <w:webHidden/>
          </w:rPr>
          <w:instrText xml:space="preserve"> PAGEREF _Toc120291677 \h </w:instrText>
        </w:r>
        <w:r w:rsidR="0016359F">
          <w:rPr>
            <w:noProof/>
            <w:webHidden/>
          </w:rPr>
        </w:r>
        <w:r w:rsidR="0016359F">
          <w:rPr>
            <w:noProof/>
            <w:webHidden/>
          </w:rPr>
          <w:fldChar w:fldCharType="separate"/>
        </w:r>
        <w:r w:rsidR="009D6A61">
          <w:rPr>
            <w:noProof/>
            <w:webHidden/>
          </w:rPr>
          <w:t>60</w:t>
        </w:r>
        <w:r w:rsidR="0016359F">
          <w:rPr>
            <w:noProof/>
            <w:webHidden/>
          </w:rPr>
          <w:fldChar w:fldCharType="end"/>
        </w:r>
      </w:hyperlink>
    </w:p>
    <w:p w14:paraId="143AA03F" w14:textId="6CB3BD89" w:rsidR="0016359F" w:rsidRDefault="00F705E6">
      <w:pPr>
        <w:pStyle w:val="TOC1"/>
        <w:rPr>
          <w:rFonts w:asciiTheme="minorHAnsi" w:eastAsiaTheme="minorEastAsia" w:hAnsiTheme="minorHAnsi" w:cstheme="minorBidi"/>
          <w:caps w:val="0"/>
          <w:noProof/>
          <w:sz w:val="22"/>
          <w:szCs w:val="22"/>
          <w:lang w:val="en-IE" w:eastAsia="en-IE"/>
        </w:rPr>
      </w:pPr>
      <w:hyperlink w:anchor="_Toc120291678" w:history="1">
        <w:r w:rsidR="0016359F" w:rsidRPr="003F4188">
          <w:rPr>
            <w:rStyle w:val="Hyperlink"/>
            <w:i/>
            <w:noProof/>
          </w:rPr>
          <w:t>7.3.3.</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Choice of preferred policy option</w:t>
        </w:r>
        <w:r w:rsidR="0016359F">
          <w:rPr>
            <w:noProof/>
            <w:webHidden/>
          </w:rPr>
          <w:tab/>
        </w:r>
        <w:r w:rsidR="0016359F">
          <w:rPr>
            <w:noProof/>
            <w:webHidden/>
          </w:rPr>
          <w:fldChar w:fldCharType="begin"/>
        </w:r>
        <w:r w:rsidR="0016359F">
          <w:rPr>
            <w:noProof/>
            <w:webHidden/>
          </w:rPr>
          <w:instrText xml:space="preserve"> PAGEREF _Toc120291678 \h </w:instrText>
        </w:r>
        <w:r w:rsidR="0016359F">
          <w:rPr>
            <w:noProof/>
            <w:webHidden/>
          </w:rPr>
        </w:r>
        <w:r w:rsidR="0016359F">
          <w:rPr>
            <w:noProof/>
            <w:webHidden/>
          </w:rPr>
          <w:fldChar w:fldCharType="separate"/>
        </w:r>
        <w:r w:rsidR="009D6A61">
          <w:rPr>
            <w:noProof/>
            <w:webHidden/>
          </w:rPr>
          <w:t>62</w:t>
        </w:r>
        <w:r w:rsidR="0016359F">
          <w:rPr>
            <w:noProof/>
            <w:webHidden/>
          </w:rPr>
          <w:fldChar w:fldCharType="end"/>
        </w:r>
      </w:hyperlink>
    </w:p>
    <w:p w14:paraId="28224F87" w14:textId="7CF34AB8" w:rsidR="0016359F" w:rsidRDefault="00F705E6">
      <w:pPr>
        <w:pStyle w:val="TOC1"/>
        <w:rPr>
          <w:rFonts w:asciiTheme="minorHAnsi" w:eastAsiaTheme="minorEastAsia" w:hAnsiTheme="minorHAnsi" w:cstheme="minorBidi"/>
          <w:caps w:val="0"/>
          <w:noProof/>
          <w:sz w:val="22"/>
          <w:szCs w:val="22"/>
          <w:lang w:val="en-IE" w:eastAsia="en-IE"/>
        </w:rPr>
      </w:pPr>
      <w:hyperlink w:anchor="_Toc120291679" w:history="1">
        <w:r w:rsidR="0016359F" w:rsidRPr="003F4188">
          <w:rPr>
            <w:rStyle w:val="Hyperlink"/>
            <w:noProof/>
          </w:rPr>
          <w:t>8.</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Preferred options</w:t>
        </w:r>
        <w:r w:rsidR="0016359F">
          <w:rPr>
            <w:noProof/>
            <w:webHidden/>
          </w:rPr>
          <w:tab/>
        </w:r>
        <w:r w:rsidR="0016359F">
          <w:rPr>
            <w:noProof/>
            <w:webHidden/>
          </w:rPr>
          <w:fldChar w:fldCharType="begin"/>
        </w:r>
        <w:r w:rsidR="0016359F">
          <w:rPr>
            <w:noProof/>
            <w:webHidden/>
          </w:rPr>
          <w:instrText xml:space="preserve"> PAGEREF _Toc120291679 \h </w:instrText>
        </w:r>
        <w:r w:rsidR="0016359F">
          <w:rPr>
            <w:noProof/>
            <w:webHidden/>
          </w:rPr>
        </w:r>
        <w:r w:rsidR="0016359F">
          <w:rPr>
            <w:noProof/>
            <w:webHidden/>
          </w:rPr>
          <w:fldChar w:fldCharType="separate"/>
        </w:r>
        <w:r w:rsidR="009D6A61">
          <w:rPr>
            <w:noProof/>
            <w:webHidden/>
          </w:rPr>
          <w:t>62</w:t>
        </w:r>
        <w:r w:rsidR="0016359F">
          <w:rPr>
            <w:noProof/>
            <w:webHidden/>
          </w:rPr>
          <w:fldChar w:fldCharType="end"/>
        </w:r>
      </w:hyperlink>
    </w:p>
    <w:p w14:paraId="4751C230" w14:textId="6B485612" w:rsidR="0016359F" w:rsidRDefault="00F705E6">
      <w:pPr>
        <w:pStyle w:val="TOC1"/>
        <w:rPr>
          <w:rFonts w:asciiTheme="minorHAnsi" w:eastAsiaTheme="minorEastAsia" w:hAnsiTheme="minorHAnsi" w:cstheme="minorBidi"/>
          <w:caps w:val="0"/>
          <w:noProof/>
          <w:sz w:val="22"/>
          <w:szCs w:val="22"/>
          <w:lang w:val="en-IE" w:eastAsia="en-IE"/>
        </w:rPr>
      </w:pPr>
      <w:hyperlink w:anchor="_Toc120291680" w:history="1">
        <w:r w:rsidR="0016359F" w:rsidRPr="003F4188">
          <w:rPr>
            <w:rStyle w:val="Hyperlink"/>
            <w:noProof/>
          </w:rPr>
          <w:t>8.1.</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Summary of the preferred package</w:t>
        </w:r>
        <w:r w:rsidR="0016359F">
          <w:rPr>
            <w:noProof/>
            <w:webHidden/>
          </w:rPr>
          <w:tab/>
        </w:r>
        <w:r w:rsidR="0016359F">
          <w:rPr>
            <w:noProof/>
            <w:webHidden/>
          </w:rPr>
          <w:fldChar w:fldCharType="begin"/>
        </w:r>
        <w:r w:rsidR="0016359F">
          <w:rPr>
            <w:noProof/>
            <w:webHidden/>
          </w:rPr>
          <w:instrText xml:space="preserve"> PAGEREF _Toc120291680 \h </w:instrText>
        </w:r>
        <w:r w:rsidR="0016359F">
          <w:rPr>
            <w:noProof/>
            <w:webHidden/>
          </w:rPr>
        </w:r>
        <w:r w:rsidR="0016359F">
          <w:rPr>
            <w:noProof/>
            <w:webHidden/>
          </w:rPr>
          <w:fldChar w:fldCharType="separate"/>
        </w:r>
        <w:r w:rsidR="009D6A61">
          <w:rPr>
            <w:noProof/>
            <w:webHidden/>
          </w:rPr>
          <w:t>62</w:t>
        </w:r>
        <w:r w:rsidR="0016359F">
          <w:rPr>
            <w:noProof/>
            <w:webHidden/>
          </w:rPr>
          <w:fldChar w:fldCharType="end"/>
        </w:r>
      </w:hyperlink>
    </w:p>
    <w:p w14:paraId="2693849B" w14:textId="0DEC44E1" w:rsidR="0016359F" w:rsidRDefault="00F705E6">
      <w:pPr>
        <w:pStyle w:val="TOC1"/>
        <w:rPr>
          <w:rFonts w:asciiTheme="minorHAnsi" w:eastAsiaTheme="minorEastAsia" w:hAnsiTheme="minorHAnsi" w:cstheme="minorBidi"/>
          <w:caps w:val="0"/>
          <w:noProof/>
          <w:sz w:val="22"/>
          <w:szCs w:val="22"/>
          <w:lang w:val="en-IE" w:eastAsia="en-IE"/>
        </w:rPr>
      </w:pPr>
      <w:hyperlink w:anchor="_Toc120291681" w:history="1">
        <w:r w:rsidR="0016359F" w:rsidRPr="003F4188">
          <w:rPr>
            <w:rStyle w:val="Hyperlink"/>
            <w:noProof/>
          </w:rPr>
          <w:t>8.2.</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Combined impacts</w:t>
        </w:r>
        <w:r w:rsidR="0016359F">
          <w:rPr>
            <w:noProof/>
            <w:webHidden/>
          </w:rPr>
          <w:tab/>
        </w:r>
        <w:r w:rsidR="0016359F">
          <w:rPr>
            <w:noProof/>
            <w:webHidden/>
          </w:rPr>
          <w:fldChar w:fldCharType="begin"/>
        </w:r>
        <w:r w:rsidR="0016359F">
          <w:rPr>
            <w:noProof/>
            <w:webHidden/>
          </w:rPr>
          <w:instrText xml:space="preserve"> PAGEREF _Toc120291681 \h </w:instrText>
        </w:r>
        <w:r w:rsidR="0016359F">
          <w:rPr>
            <w:noProof/>
            <w:webHidden/>
          </w:rPr>
        </w:r>
        <w:r w:rsidR="0016359F">
          <w:rPr>
            <w:noProof/>
            <w:webHidden/>
          </w:rPr>
          <w:fldChar w:fldCharType="separate"/>
        </w:r>
        <w:r w:rsidR="009D6A61">
          <w:rPr>
            <w:noProof/>
            <w:webHidden/>
          </w:rPr>
          <w:t>64</w:t>
        </w:r>
        <w:r w:rsidR="0016359F">
          <w:rPr>
            <w:noProof/>
            <w:webHidden/>
          </w:rPr>
          <w:fldChar w:fldCharType="end"/>
        </w:r>
      </w:hyperlink>
    </w:p>
    <w:p w14:paraId="0452E7A2" w14:textId="790D6131" w:rsidR="0016359F" w:rsidRDefault="00F705E6">
      <w:pPr>
        <w:pStyle w:val="TOC1"/>
        <w:rPr>
          <w:rFonts w:asciiTheme="minorHAnsi" w:eastAsiaTheme="minorEastAsia" w:hAnsiTheme="minorHAnsi" w:cstheme="minorBidi"/>
          <w:caps w:val="0"/>
          <w:noProof/>
          <w:sz w:val="22"/>
          <w:szCs w:val="22"/>
          <w:lang w:val="en-IE" w:eastAsia="en-IE"/>
        </w:rPr>
      </w:pPr>
      <w:hyperlink w:anchor="_Toc120291682" w:history="1">
        <w:r w:rsidR="0016359F" w:rsidRPr="003F4188">
          <w:rPr>
            <w:rStyle w:val="Hyperlink"/>
            <w:i/>
            <w:noProof/>
          </w:rPr>
          <w:t>8.2.1.</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Overall impact of the package on relevant stakeholders</w:t>
        </w:r>
        <w:r w:rsidR="0016359F">
          <w:rPr>
            <w:noProof/>
            <w:webHidden/>
          </w:rPr>
          <w:tab/>
        </w:r>
        <w:r w:rsidR="0016359F">
          <w:rPr>
            <w:noProof/>
            <w:webHidden/>
          </w:rPr>
          <w:fldChar w:fldCharType="begin"/>
        </w:r>
        <w:r w:rsidR="0016359F">
          <w:rPr>
            <w:noProof/>
            <w:webHidden/>
          </w:rPr>
          <w:instrText xml:space="preserve"> PAGEREF _Toc120291682 \h </w:instrText>
        </w:r>
        <w:r w:rsidR="0016359F">
          <w:rPr>
            <w:noProof/>
            <w:webHidden/>
          </w:rPr>
        </w:r>
        <w:r w:rsidR="0016359F">
          <w:rPr>
            <w:noProof/>
            <w:webHidden/>
          </w:rPr>
          <w:fldChar w:fldCharType="separate"/>
        </w:r>
        <w:r w:rsidR="009D6A61">
          <w:rPr>
            <w:noProof/>
            <w:webHidden/>
          </w:rPr>
          <w:t>64</w:t>
        </w:r>
        <w:r w:rsidR="0016359F">
          <w:rPr>
            <w:noProof/>
            <w:webHidden/>
          </w:rPr>
          <w:fldChar w:fldCharType="end"/>
        </w:r>
      </w:hyperlink>
    </w:p>
    <w:p w14:paraId="7B8CE39A" w14:textId="3EAB1B0C" w:rsidR="0016359F" w:rsidRDefault="00F705E6">
      <w:pPr>
        <w:pStyle w:val="TOC1"/>
        <w:rPr>
          <w:rFonts w:asciiTheme="minorHAnsi" w:eastAsiaTheme="minorEastAsia" w:hAnsiTheme="minorHAnsi" w:cstheme="minorBidi"/>
          <w:caps w:val="0"/>
          <w:noProof/>
          <w:sz w:val="22"/>
          <w:szCs w:val="22"/>
          <w:lang w:val="en-IE" w:eastAsia="en-IE"/>
        </w:rPr>
      </w:pPr>
      <w:hyperlink w:anchor="_Toc120291683" w:history="1">
        <w:r w:rsidR="0016359F" w:rsidRPr="003F4188">
          <w:rPr>
            <w:rStyle w:val="Hyperlink"/>
            <w:i/>
            <w:noProof/>
          </w:rPr>
          <w:t>8.2.2.</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Impact on financial stability</w:t>
        </w:r>
        <w:r w:rsidR="0016359F">
          <w:rPr>
            <w:noProof/>
            <w:webHidden/>
          </w:rPr>
          <w:tab/>
        </w:r>
        <w:r w:rsidR="0016359F">
          <w:rPr>
            <w:noProof/>
            <w:webHidden/>
          </w:rPr>
          <w:fldChar w:fldCharType="begin"/>
        </w:r>
        <w:r w:rsidR="0016359F">
          <w:rPr>
            <w:noProof/>
            <w:webHidden/>
          </w:rPr>
          <w:instrText xml:space="preserve"> PAGEREF _Toc120291683 \h </w:instrText>
        </w:r>
        <w:r w:rsidR="0016359F">
          <w:rPr>
            <w:noProof/>
            <w:webHidden/>
          </w:rPr>
        </w:r>
        <w:r w:rsidR="0016359F">
          <w:rPr>
            <w:noProof/>
            <w:webHidden/>
          </w:rPr>
          <w:fldChar w:fldCharType="separate"/>
        </w:r>
        <w:r w:rsidR="009D6A61">
          <w:rPr>
            <w:noProof/>
            <w:webHidden/>
          </w:rPr>
          <w:t>66</w:t>
        </w:r>
        <w:r w:rsidR="0016359F">
          <w:rPr>
            <w:noProof/>
            <w:webHidden/>
          </w:rPr>
          <w:fldChar w:fldCharType="end"/>
        </w:r>
      </w:hyperlink>
    </w:p>
    <w:p w14:paraId="67047C29" w14:textId="49B3874B" w:rsidR="0016359F" w:rsidRDefault="00F705E6">
      <w:pPr>
        <w:pStyle w:val="TOC1"/>
        <w:rPr>
          <w:rFonts w:asciiTheme="minorHAnsi" w:eastAsiaTheme="minorEastAsia" w:hAnsiTheme="minorHAnsi" w:cstheme="minorBidi"/>
          <w:caps w:val="0"/>
          <w:noProof/>
          <w:sz w:val="22"/>
          <w:szCs w:val="22"/>
          <w:lang w:val="en-IE" w:eastAsia="en-IE"/>
        </w:rPr>
      </w:pPr>
      <w:hyperlink w:anchor="_Toc120291684" w:history="1">
        <w:r w:rsidR="0016359F" w:rsidRPr="003F4188">
          <w:rPr>
            <w:rStyle w:val="Hyperlink"/>
            <w:i/>
            <w:noProof/>
          </w:rPr>
          <w:t>8.2.3.</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Impact on small and medium sized enterprises</w:t>
        </w:r>
        <w:r w:rsidR="0016359F">
          <w:rPr>
            <w:noProof/>
            <w:webHidden/>
          </w:rPr>
          <w:tab/>
        </w:r>
        <w:r w:rsidR="0016359F">
          <w:rPr>
            <w:noProof/>
            <w:webHidden/>
          </w:rPr>
          <w:fldChar w:fldCharType="begin"/>
        </w:r>
        <w:r w:rsidR="0016359F">
          <w:rPr>
            <w:noProof/>
            <w:webHidden/>
          </w:rPr>
          <w:instrText xml:space="preserve"> PAGEREF _Toc120291684 \h </w:instrText>
        </w:r>
        <w:r w:rsidR="0016359F">
          <w:rPr>
            <w:noProof/>
            <w:webHidden/>
          </w:rPr>
        </w:r>
        <w:r w:rsidR="0016359F">
          <w:rPr>
            <w:noProof/>
            <w:webHidden/>
          </w:rPr>
          <w:fldChar w:fldCharType="separate"/>
        </w:r>
        <w:r w:rsidR="009D6A61">
          <w:rPr>
            <w:noProof/>
            <w:webHidden/>
          </w:rPr>
          <w:t>67</w:t>
        </w:r>
        <w:r w:rsidR="0016359F">
          <w:rPr>
            <w:noProof/>
            <w:webHidden/>
          </w:rPr>
          <w:fldChar w:fldCharType="end"/>
        </w:r>
      </w:hyperlink>
    </w:p>
    <w:p w14:paraId="321C1C6B" w14:textId="268FE68A" w:rsidR="0016359F" w:rsidRDefault="00F705E6">
      <w:pPr>
        <w:pStyle w:val="TOC1"/>
        <w:rPr>
          <w:rFonts w:asciiTheme="minorHAnsi" w:eastAsiaTheme="minorEastAsia" w:hAnsiTheme="minorHAnsi" w:cstheme="minorBidi"/>
          <w:caps w:val="0"/>
          <w:noProof/>
          <w:sz w:val="22"/>
          <w:szCs w:val="22"/>
          <w:lang w:val="en-IE" w:eastAsia="en-IE"/>
        </w:rPr>
      </w:pPr>
      <w:hyperlink w:anchor="_Toc120291685" w:history="1">
        <w:r w:rsidR="0016359F" w:rsidRPr="003F4188">
          <w:rPr>
            <w:rStyle w:val="Hyperlink"/>
            <w:i/>
            <w:noProof/>
          </w:rPr>
          <w:t>8.2.4.</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Social and environmental impact</w:t>
        </w:r>
        <w:r w:rsidR="0016359F">
          <w:rPr>
            <w:noProof/>
            <w:webHidden/>
          </w:rPr>
          <w:tab/>
        </w:r>
        <w:r w:rsidR="0016359F">
          <w:rPr>
            <w:noProof/>
            <w:webHidden/>
          </w:rPr>
          <w:fldChar w:fldCharType="begin"/>
        </w:r>
        <w:r w:rsidR="0016359F">
          <w:rPr>
            <w:noProof/>
            <w:webHidden/>
          </w:rPr>
          <w:instrText xml:space="preserve"> PAGEREF _Toc120291685 \h </w:instrText>
        </w:r>
        <w:r w:rsidR="0016359F">
          <w:rPr>
            <w:noProof/>
            <w:webHidden/>
          </w:rPr>
        </w:r>
        <w:r w:rsidR="0016359F">
          <w:rPr>
            <w:noProof/>
            <w:webHidden/>
          </w:rPr>
          <w:fldChar w:fldCharType="separate"/>
        </w:r>
        <w:r w:rsidR="009D6A61">
          <w:rPr>
            <w:noProof/>
            <w:webHidden/>
          </w:rPr>
          <w:t>67</w:t>
        </w:r>
        <w:r w:rsidR="0016359F">
          <w:rPr>
            <w:noProof/>
            <w:webHidden/>
          </w:rPr>
          <w:fldChar w:fldCharType="end"/>
        </w:r>
      </w:hyperlink>
    </w:p>
    <w:p w14:paraId="7B7B0172" w14:textId="0A6B0EB7" w:rsidR="0016359F" w:rsidRDefault="00F705E6">
      <w:pPr>
        <w:pStyle w:val="TOC1"/>
        <w:rPr>
          <w:rFonts w:asciiTheme="minorHAnsi" w:eastAsiaTheme="minorEastAsia" w:hAnsiTheme="minorHAnsi" w:cstheme="minorBidi"/>
          <w:caps w:val="0"/>
          <w:noProof/>
          <w:sz w:val="22"/>
          <w:szCs w:val="22"/>
          <w:lang w:val="en-IE" w:eastAsia="en-IE"/>
        </w:rPr>
      </w:pPr>
      <w:hyperlink w:anchor="_Toc120291686" w:history="1">
        <w:r w:rsidR="0016359F" w:rsidRPr="003F4188">
          <w:rPr>
            <w:rStyle w:val="Hyperlink"/>
            <w:i/>
            <w:noProof/>
          </w:rPr>
          <w:t>8.2.5.</w:t>
        </w:r>
        <w:r w:rsidR="0016359F">
          <w:rPr>
            <w:rFonts w:asciiTheme="minorHAnsi" w:eastAsiaTheme="minorEastAsia" w:hAnsiTheme="minorHAnsi" w:cstheme="minorBidi"/>
            <w:caps w:val="0"/>
            <w:noProof/>
            <w:sz w:val="22"/>
            <w:szCs w:val="22"/>
            <w:lang w:val="en-IE" w:eastAsia="en-IE"/>
          </w:rPr>
          <w:tab/>
        </w:r>
        <w:r w:rsidR="0016359F" w:rsidRPr="003F4188">
          <w:rPr>
            <w:rStyle w:val="Hyperlink"/>
            <w:i/>
            <w:noProof/>
          </w:rPr>
          <w:t>Impact on the EU budget</w:t>
        </w:r>
        <w:r w:rsidR="0016359F">
          <w:rPr>
            <w:noProof/>
            <w:webHidden/>
          </w:rPr>
          <w:tab/>
        </w:r>
        <w:r w:rsidR="0016359F">
          <w:rPr>
            <w:noProof/>
            <w:webHidden/>
          </w:rPr>
          <w:fldChar w:fldCharType="begin"/>
        </w:r>
        <w:r w:rsidR="0016359F">
          <w:rPr>
            <w:noProof/>
            <w:webHidden/>
          </w:rPr>
          <w:instrText xml:space="preserve"> PAGEREF _Toc120291686 \h </w:instrText>
        </w:r>
        <w:r w:rsidR="0016359F">
          <w:rPr>
            <w:noProof/>
            <w:webHidden/>
          </w:rPr>
        </w:r>
        <w:r w:rsidR="0016359F">
          <w:rPr>
            <w:noProof/>
            <w:webHidden/>
          </w:rPr>
          <w:fldChar w:fldCharType="separate"/>
        </w:r>
        <w:r w:rsidR="009D6A61">
          <w:rPr>
            <w:noProof/>
            <w:webHidden/>
          </w:rPr>
          <w:t>67</w:t>
        </w:r>
        <w:r w:rsidR="0016359F">
          <w:rPr>
            <w:noProof/>
            <w:webHidden/>
          </w:rPr>
          <w:fldChar w:fldCharType="end"/>
        </w:r>
      </w:hyperlink>
    </w:p>
    <w:p w14:paraId="38F364AE" w14:textId="17DC7D01" w:rsidR="0016359F" w:rsidRDefault="00F705E6">
      <w:pPr>
        <w:pStyle w:val="TOC1"/>
        <w:rPr>
          <w:rFonts w:asciiTheme="minorHAnsi" w:eastAsiaTheme="minorEastAsia" w:hAnsiTheme="minorHAnsi" w:cstheme="minorBidi"/>
          <w:caps w:val="0"/>
          <w:noProof/>
          <w:sz w:val="22"/>
          <w:szCs w:val="22"/>
          <w:lang w:val="en-IE" w:eastAsia="en-IE"/>
        </w:rPr>
      </w:pPr>
      <w:hyperlink w:anchor="_Toc120291687" w:history="1">
        <w:r w:rsidR="0016359F" w:rsidRPr="003F4188">
          <w:rPr>
            <w:rStyle w:val="Hyperlink"/>
            <w:noProof/>
          </w:rPr>
          <w:t>8.3.</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REFIT (simplification and improved efficiency) and application of the ‘one in, one out’ approach</w:t>
        </w:r>
        <w:r w:rsidR="0016359F">
          <w:rPr>
            <w:noProof/>
            <w:webHidden/>
          </w:rPr>
          <w:tab/>
        </w:r>
        <w:r w:rsidR="0016359F">
          <w:rPr>
            <w:noProof/>
            <w:webHidden/>
          </w:rPr>
          <w:fldChar w:fldCharType="begin"/>
        </w:r>
        <w:r w:rsidR="0016359F">
          <w:rPr>
            <w:noProof/>
            <w:webHidden/>
          </w:rPr>
          <w:instrText xml:space="preserve"> PAGEREF _Toc120291687 \h </w:instrText>
        </w:r>
        <w:r w:rsidR="0016359F">
          <w:rPr>
            <w:noProof/>
            <w:webHidden/>
          </w:rPr>
        </w:r>
        <w:r w:rsidR="0016359F">
          <w:rPr>
            <w:noProof/>
            <w:webHidden/>
          </w:rPr>
          <w:fldChar w:fldCharType="separate"/>
        </w:r>
        <w:r w:rsidR="009D6A61">
          <w:rPr>
            <w:noProof/>
            <w:webHidden/>
          </w:rPr>
          <w:t>67</w:t>
        </w:r>
        <w:r w:rsidR="0016359F">
          <w:rPr>
            <w:noProof/>
            <w:webHidden/>
          </w:rPr>
          <w:fldChar w:fldCharType="end"/>
        </w:r>
      </w:hyperlink>
    </w:p>
    <w:p w14:paraId="6C6A4133" w14:textId="211B6542" w:rsidR="0016359F" w:rsidRDefault="00F705E6">
      <w:pPr>
        <w:pStyle w:val="TOC1"/>
        <w:rPr>
          <w:rFonts w:asciiTheme="minorHAnsi" w:eastAsiaTheme="minorEastAsia" w:hAnsiTheme="minorHAnsi" w:cstheme="minorBidi"/>
          <w:caps w:val="0"/>
          <w:noProof/>
          <w:sz w:val="22"/>
          <w:szCs w:val="22"/>
          <w:lang w:val="en-IE" w:eastAsia="en-IE"/>
        </w:rPr>
      </w:pPr>
      <w:hyperlink w:anchor="_Toc120291688" w:history="1">
        <w:r w:rsidR="0016359F" w:rsidRPr="003F4188">
          <w:rPr>
            <w:rStyle w:val="Hyperlink"/>
            <w:noProof/>
          </w:rPr>
          <w:t>9.</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How will actual impacts be monitored and evaluated?</w:t>
        </w:r>
        <w:r w:rsidR="0016359F">
          <w:rPr>
            <w:noProof/>
            <w:webHidden/>
          </w:rPr>
          <w:tab/>
        </w:r>
        <w:r w:rsidR="0016359F">
          <w:rPr>
            <w:noProof/>
            <w:webHidden/>
          </w:rPr>
          <w:fldChar w:fldCharType="begin"/>
        </w:r>
        <w:r w:rsidR="0016359F">
          <w:rPr>
            <w:noProof/>
            <w:webHidden/>
          </w:rPr>
          <w:instrText xml:space="preserve"> PAGEREF _Toc120291688 \h </w:instrText>
        </w:r>
        <w:r w:rsidR="0016359F">
          <w:rPr>
            <w:noProof/>
            <w:webHidden/>
          </w:rPr>
        </w:r>
        <w:r w:rsidR="0016359F">
          <w:rPr>
            <w:noProof/>
            <w:webHidden/>
          </w:rPr>
          <w:fldChar w:fldCharType="separate"/>
        </w:r>
        <w:r w:rsidR="009D6A61">
          <w:rPr>
            <w:noProof/>
            <w:webHidden/>
          </w:rPr>
          <w:t>68</w:t>
        </w:r>
        <w:r w:rsidR="0016359F">
          <w:rPr>
            <w:noProof/>
            <w:webHidden/>
          </w:rPr>
          <w:fldChar w:fldCharType="end"/>
        </w:r>
      </w:hyperlink>
    </w:p>
    <w:p w14:paraId="43542123" w14:textId="63797D27" w:rsidR="0016359F" w:rsidRDefault="00F705E6">
      <w:pPr>
        <w:pStyle w:val="TOC1"/>
        <w:rPr>
          <w:rFonts w:asciiTheme="minorHAnsi" w:eastAsiaTheme="minorEastAsia" w:hAnsiTheme="minorHAnsi" w:cstheme="minorBidi"/>
          <w:caps w:val="0"/>
          <w:noProof/>
          <w:sz w:val="22"/>
          <w:szCs w:val="22"/>
          <w:lang w:val="en-IE" w:eastAsia="en-IE"/>
        </w:rPr>
      </w:pPr>
      <w:hyperlink w:anchor="_Toc120291689" w:history="1">
        <w:r w:rsidR="0016359F" w:rsidRPr="003F4188">
          <w:rPr>
            <w:rStyle w:val="Hyperlink"/>
            <w:noProof/>
          </w:rPr>
          <w:t>Annex 1: Procedural information</w:t>
        </w:r>
        <w:r w:rsidR="0016359F">
          <w:rPr>
            <w:noProof/>
            <w:webHidden/>
          </w:rPr>
          <w:tab/>
        </w:r>
        <w:r w:rsidR="0016359F">
          <w:rPr>
            <w:noProof/>
            <w:webHidden/>
          </w:rPr>
          <w:fldChar w:fldCharType="begin"/>
        </w:r>
        <w:r w:rsidR="0016359F">
          <w:rPr>
            <w:noProof/>
            <w:webHidden/>
          </w:rPr>
          <w:instrText xml:space="preserve"> PAGEREF _Toc120291689 \h </w:instrText>
        </w:r>
        <w:r w:rsidR="0016359F">
          <w:rPr>
            <w:noProof/>
            <w:webHidden/>
          </w:rPr>
        </w:r>
        <w:r w:rsidR="0016359F">
          <w:rPr>
            <w:noProof/>
            <w:webHidden/>
          </w:rPr>
          <w:fldChar w:fldCharType="separate"/>
        </w:r>
        <w:r w:rsidR="009D6A61">
          <w:rPr>
            <w:noProof/>
            <w:webHidden/>
          </w:rPr>
          <w:t>70</w:t>
        </w:r>
        <w:r w:rsidR="0016359F">
          <w:rPr>
            <w:noProof/>
            <w:webHidden/>
          </w:rPr>
          <w:fldChar w:fldCharType="end"/>
        </w:r>
      </w:hyperlink>
    </w:p>
    <w:p w14:paraId="0D880CDE" w14:textId="47F3E639" w:rsidR="0016359F" w:rsidRDefault="00F705E6">
      <w:pPr>
        <w:pStyle w:val="TOC1"/>
        <w:rPr>
          <w:rFonts w:asciiTheme="minorHAnsi" w:eastAsiaTheme="minorEastAsia" w:hAnsiTheme="minorHAnsi" w:cstheme="minorBidi"/>
          <w:caps w:val="0"/>
          <w:noProof/>
          <w:sz w:val="22"/>
          <w:szCs w:val="22"/>
          <w:lang w:val="en-IE" w:eastAsia="en-IE"/>
        </w:rPr>
      </w:pPr>
      <w:hyperlink w:anchor="_Toc120291690" w:history="1">
        <w:r w:rsidR="0016359F" w:rsidRPr="003F4188">
          <w:rPr>
            <w:rStyle w:val="Hyperlink"/>
            <w:noProof/>
          </w:rPr>
          <w:t>Annex 2: Stakeholder consultation</w:t>
        </w:r>
        <w:r w:rsidR="0016359F">
          <w:rPr>
            <w:noProof/>
            <w:webHidden/>
          </w:rPr>
          <w:tab/>
        </w:r>
        <w:r w:rsidR="0016359F">
          <w:rPr>
            <w:noProof/>
            <w:webHidden/>
          </w:rPr>
          <w:fldChar w:fldCharType="begin"/>
        </w:r>
        <w:r w:rsidR="0016359F">
          <w:rPr>
            <w:noProof/>
            <w:webHidden/>
          </w:rPr>
          <w:instrText xml:space="preserve"> PAGEREF _Toc120291690 \h </w:instrText>
        </w:r>
        <w:r w:rsidR="0016359F">
          <w:rPr>
            <w:noProof/>
            <w:webHidden/>
          </w:rPr>
        </w:r>
        <w:r w:rsidR="0016359F">
          <w:rPr>
            <w:noProof/>
            <w:webHidden/>
          </w:rPr>
          <w:fldChar w:fldCharType="separate"/>
        </w:r>
        <w:r w:rsidR="009D6A61">
          <w:rPr>
            <w:noProof/>
            <w:webHidden/>
          </w:rPr>
          <w:t>72</w:t>
        </w:r>
        <w:r w:rsidR="0016359F">
          <w:rPr>
            <w:noProof/>
            <w:webHidden/>
          </w:rPr>
          <w:fldChar w:fldCharType="end"/>
        </w:r>
      </w:hyperlink>
    </w:p>
    <w:p w14:paraId="37624943" w14:textId="46E1C3FB" w:rsidR="0016359F" w:rsidRDefault="00F705E6">
      <w:pPr>
        <w:pStyle w:val="TOC1"/>
        <w:rPr>
          <w:rFonts w:asciiTheme="minorHAnsi" w:eastAsiaTheme="minorEastAsia" w:hAnsiTheme="minorHAnsi" w:cstheme="minorBidi"/>
          <w:caps w:val="0"/>
          <w:noProof/>
          <w:sz w:val="22"/>
          <w:szCs w:val="22"/>
          <w:lang w:val="en-IE" w:eastAsia="en-IE"/>
        </w:rPr>
      </w:pPr>
      <w:hyperlink w:anchor="_Toc120291691" w:history="1">
        <w:r w:rsidR="0016359F" w:rsidRPr="003F4188">
          <w:rPr>
            <w:rStyle w:val="Hyperlink"/>
            <w:noProof/>
            <w:lang w:val="en-IE"/>
          </w:rPr>
          <w:t>Overview of Respondents</w:t>
        </w:r>
        <w:r w:rsidR="0016359F">
          <w:rPr>
            <w:noProof/>
            <w:webHidden/>
          </w:rPr>
          <w:tab/>
        </w:r>
        <w:r w:rsidR="0016359F">
          <w:rPr>
            <w:noProof/>
            <w:webHidden/>
          </w:rPr>
          <w:fldChar w:fldCharType="begin"/>
        </w:r>
        <w:r w:rsidR="0016359F">
          <w:rPr>
            <w:noProof/>
            <w:webHidden/>
          </w:rPr>
          <w:instrText xml:space="preserve"> PAGEREF _Toc120291691 \h </w:instrText>
        </w:r>
        <w:r w:rsidR="0016359F">
          <w:rPr>
            <w:noProof/>
            <w:webHidden/>
          </w:rPr>
        </w:r>
        <w:r w:rsidR="0016359F">
          <w:rPr>
            <w:noProof/>
            <w:webHidden/>
          </w:rPr>
          <w:fldChar w:fldCharType="separate"/>
        </w:r>
        <w:r w:rsidR="009D6A61">
          <w:rPr>
            <w:noProof/>
            <w:webHidden/>
          </w:rPr>
          <w:t>74</w:t>
        </w:r>
        <w:r w:rsidR="0016359F">
          <w:rPr>
            <w:noProof/>
            <w:webHidden/>
          </w:rPr>
          <w:fldChar w:fldCharType="end"/>
        </w:r>
      </w:hyperlink>
    </w:p>
    <w:p w14:paraId="50A1540C" w14:textId="4C3782FD" w:rsidR="0016359F" w:rsidRDefault="00F705E6">
      <w:pPr>
        <w:pStyle w:val="TOC1"/>
        <w:rPr>
          <w:rFonts w:asciiTheme="minorHAnsi" w:eastAsiaTheme="minorEastAsia" w:hAnsiTheme="minorHAnsi" w:cstheme="minorBidi"/>
          <w:caps w:val="0"/>
          <w:noProof/>
          <w:sz w:val="22"/>
          <w:szCs w:val="22"/>
          <w:lang w:val="en-IE" w:eastAsia="en-IE"/>
        </w:rPr>
      </w:pPr>
      <w:hyperlink w:anchor="_Toc120291692" w:history="1">
        <w:r w:rsidR="0016359F" w:rsidRPr="003F4188">
          <w:rPr>
            <w:rStyle w:val="Hyperlink"/>
            <w:noProof/>
            <w:lang w:val="en-IE"/>
          </w:rPr>
          <w:t>Summary of Key Messages</w:t>
        </w:r>
        <w:r w:rsidR="0016359F">
          <w:rPr>
            <w:noProof/>
            <w:webHidden/>
          </w:rPr>
          <w:tab/>
        </w:r>
        <w:r w:rsidR="0016359F">
          <w:rPr>
            <w:noProof/>
            <w:webHidden/>
          </w:rPr>
          <w:fldChar w:fldCharType="begin"/>
        </w:r>
        <w:r w:rsidR="0016359F">
          <w:rPr>
            <w:noProof/>
            <w:webHidden/>
          </w:rPr>
          <w:instrText xml:space="preserve"> PAGEREF _Toc120291692 \h </w:instrText>
        </w:r>
        <w:r w:rsidR="0016359F">
          <w:rPr>
            <w:noProof/>
            <w:webHidden/>
          </w:rPr>
        </w:r>
        <w:r w:rsidR="0016359F">
          <w:rPr>
            <w:noProof/>
            <w:webHidden/>
          </w:rPr>
          <w:fldChar w:fldCharType="separate"/>
        </w:r>
        <w:r w:rsidR="009D6A61">
          <w:rPr>
            <w:noProof/>
            <w:webHidden/>
          </w:rPr>
          <w:t>75</w:t>
        </w:r>
        <w:r w:rsidR="0016359F">
          <w:rPr>
            <w:noProof/>
            <w:webHidden/>
          </w:rPr>
          <w:fldChar w:fldCharType="end"/>
        </w:r>
      </w:hyperlink>
    </w:p>
    <w:p w14:paraId="58223FDA" w14:textId="55E7C2C0" w:rsidR="0016359F" w:rsidRDefault="00F705E6">
      <w:pPr>
        <w:pStyle w:val="TOC1"/>
        <w:rPr>
          <w:rFonts w:asciiTheme="minorHAnsi" w:eastAsiaTheme="minorEastAsia" w:hAnsiTheme="minorHAnsi" w:cstheme="minorBidi"/>
          <w:caps w:val="0"/>
          <w:noProof/>
          <w:sz w:val="22"/>
          <w:szCs w:val="22"/>
          <w:lang w:val="en-IE" w:eastAsia="en-IE"/>
        </w:rPr>
      </w:pPr>
      <w:hyperlink w:anchor="_Toc120291693" w:history="1">
        <w:r w:rsidR="0016359F" w:rsidRPr="003F4188">
          <w:rPr>
            <w:rStyle w:val="Hyperlink"/>
            <w:noProof/>
          </w:rPr>
          <w:t>Annex 3: Who is affected and how?</w:t>
        </w:r>
        <w:r w:rsidR="0016359F">
          <w:rPr>
            <w:noProof/>
            <w:webHidden/>
          </w:rPr>
          <w:tab/>
        </w:r>
        <w:r w:rsidR="0016359F">
          <w:rPr>
            <w:noProof/>
            <w:webHidden/>
          </w:rPr>
          <w:fldChar w:fldCharType="begin"/>
        </w:r>
        <w:r w:rsidR="0016359F">
          <w:rPr>
            <w:noProof/>
            <w:webHidden/>
          </w:rPr>
          <w:instrText xml:space="preserve"> PAGEREF _Toc120291693 \h </w:instrText>
        </w:r>
        <w:r w:rsidR="0016359F">
          <w:rPr>
            <w:noProof/>
            <w:webHidden/>
          </w:rPr>
        </w:r>
        <w:r w:rsidR="0016359F">
          <w:rPr>
            <w:noProof/>
            <w:webHidden/>
          </w:rPr>
          <w:fldChar w:fldCharType="separate"/>
        </w:r>
        <w:r w:rsidR="009D6A61">
          <w:rPr>
            <w:noProof/>
            <w:webHidden/>
          </w:rPr>
          <w:t>94</w:t>
        </w:r>
        <w:r w:rsidR="0016359F">
          <w:rPr>
            <w:noProof/>
            <w:webHidden/>
          </w:rPr>
          <w:fldChar w:fldCharType="end"/>
        </w:r>
      </w:hyperlink>
    </w:p>
    <w:p w14:paraId="34F872D3" w14:textId="719A8CB3" w:rsidR="0016359F" w:rsidRDefault="00F705E6">
      <w:pPr>
        <w:pStyle w:val="TOC1"/>
        <w:rPr>
          <w:rFonts w:asciiTheme="minorHAnsi" w:eastAsiaTheme="minorEastAsia" w:hAnsiTheme="minorHAnsi" w:cstheme="minorBidi"/>
          <w:caps w:val="0"/>
          <w:noProof/>
          <w:sz w:val="22"/>
          <w:szCs w:val="22"/>
          <w:lang w:val="en-IE" w:eastAsia="en-IE"/>
        </w:rPr>
      </w:pPr>
      <w:hyperlink w:anchor="_Toc120291694" w:history="1">
        <w:r w:rsidR="0016359F" w:rsidRPr="003F4188">
          <w:rPr>
            <w:rStyle w:val="Hyperlink"/>
            <w:noProof/>
          </w:rPr>
          <w:t>Annex 4: Analytical methods</w:t>
        </w:r>
        <w:r w:rsidR="0016359F">
          <w:rPr>
            <w:noProof/>
            <w:webHidden/>
          </w:rPr>
          <w:tab/>
        </w:r>
        <w:r w:rsidR="0016359F">
          <w:rPr>
            <w:noProof/>
            <w:webHidden/>
          </w:rPr>
          <w:fldChar w:fldCharType="begin"/>
        </w:r>
        <w:r w:rsidR="0016359F">
          <w:rPr>
            <w:noProof/>
            <w:webHidden/>
          </w:rPr>
          <w:instrText xml:space="preserve"> PAGEREF _Toc120291694 \h </w:instrText>
        </w:r>
        <w:r w:rsidR="0016359F">
          <w:rPr>
            <w:noProof/>
            <w:webHidden/>
          </w:rPr>
        </w:r>
        <w:r w:rsidR="0016359F">
          <w:rPr>
            <w:noProof/>
            <w:webHidden/>
          </w:rPr>
          <w:fldChar w:fldCharType="separate"/>
        </w:r>
        <w:r w:rsidR="009D6A61">
          <w:rPr>
            <w:noProof/>
            <w:webHidden/>
          </w:rPr>
          <w:t>100</w:t>
        </w:r>
        <w:r w:rsidR="0016359F">
          <w:rPr>
            <w:noProof/>
            <w:webHidden/>
          </w:rPr>
          <w:fldChar w:fldCharType="end"/>
        </w:r>
      </w:hyperlink>
    </w:p>
    <w:p w14:paraId="3A59E052" w14:textId="1D772B84" w:rsidR="0016359F" w:rsidRDefault="00F705E6">
      <w:pPr>
        <w:pStyle w:val="TOC1"/>
        <w:rPr>
          <w:rFonts w:asciiTheme="minorHAnsi" w:eastAsiaTheme="minorEastAsia" w:hAnsiTheme="minorHAnsi" w:cstheme="minorBidi"/>
          <w:caps w:val="0"/>
          <w:noProof/>
          <w:sz w:val="22"/>
          <w:szCs w:val="22"/>
          <w:lang w:val="en-IE" w:eastAsia="en-IE"/>
        </w:rPr>
      </w:pPr>
      <w:hyperlink w:anchor="_Toc120291695" w:history="1">
        <w:r w:rsidR="0016359F" w:rsidRPr="003F4188">
          <w:rPr>
            <w:rStyle w:val="Hyperlink"/>
            <w:noProof/>
          </w:rPr>
          <w:t>Annex 5: Tables and figures</w:t>
        </w:r>
        <w:r w:rsidR="0016359F">
          <w:rPr>
            <w:noProof/>
            <w:webHidden/>
          </w:rPr>
          <w:tab/>
        </w:r>
        <w:r w:rsidR="0016359F">
          <w:rPr>
            <w:noProof/>
            <w:webHidden/>
          </w:rPr>
          <w:fldChar w:fldCharType="begin"/>
        </w:r>
        <w:r w:rsidR="0016359F">
          <w:rPr>
            <w:noProof/>
            <w:webHidden/>
          </w:rPr>
          <w:instrText xml:space="preserve"> PAGEREF _Toc120291695 \h </w:instrText>
        </w:r>
        <w:r w:rsidR="0016359F">
          <w:rPr>
            <w:noProof/>
            <w:webHidden/>
          </w:rPr>
        </w:r>
        <w:r w:rsidR="0016359F">
          <w:rPr>
            <w:noProof/>
            <w:webHidden/>
          </w:rPr>
          <w:fldChar w:fldCharType="separate"/>
        </w:r>
        <w:r w:rsidR="009D6A61">
          <w:rPr>
            <w:noProof/>
            <w:webHidden/>
          </w:rPr>
          <w:t>102</w:t>
        </w:r>
        <w:r w:rsidR="0016359F">
          <w:rPr>
            <w:noProof/>
            <w:webHidden/>
          </w:rPr>
          <w:fldChar w:fldCharType="end"/>
        </w:r>
      </w:hyperlink>
    </w:p>
    <w:p w14:paraId="24FF7133" w14:textId="7D477F6D" w:rsidR="0016359F" w:rsidRDefault="00F705E6">
      <w:pPr>
        <w:pStyle w:val="TOC1"/>
        <w:rPr>
          <w:rFonts w:asciiTheme="minorHAnsi" w:eastAsiaTheme="minorEastAsia" w:hAnsiTheme="minorHAnsi" w:cstheme="minorBidi"/>
          <w:caps w:val="0"/>
          <w:noProof/>
          <w:sz w:val="22"/>
          <w:szCs w:val="22"/>
          <w:lang w:val="en-IE" w:eastAsia="en-IE"/>
        </w:rPr>
      </w:pPr>
      <w:hyperlink w:anchor="_Toc120291696" w:history="1">
        <w:r w:rsidR="0016359F" w:rsidRPr="003F4188">
          <w:rPr>
            <w:rStyle w:val="Hyperlink"/>
            <w:noProof/>
          </w:rPr>
          <w:t>Annex 6: Options discarded at an early stage</w:t>
        </w:r>
        <w:r w:rsidR="0016359F">
          <w:rPr>
            <w:noProof/>
            <w:webHidden/>
          </w:rPr>
          <w:tab/>
        </w:r>
        <w:r w:rsidR="0016359F">
          <w:rPr>
            <w:noProof/>
            <w:webHidden/>
          </w:rPr>
          <w:fldChar w:fldCharType="begin"/>
        </w:r>
        <w:r w:rsidR="0016359F">
          <w:rPr>
            <w:noProof/>
            <w:webHidden/>
          </w:rPr>
          <w:instrText xml:space="preserve"> PAGEREF _Toc120291696 \h </w:instrText>
        </w:r>
        <w:r w:rsidR="0016359F">
          <w:rPr>
            <w:noProof/>
            <w:webHidden/>
          </w:rPr>
        </w:r>
        <w:r w:rsidR="0016359F">
          <w:rPr>
            <w:noProof/>
            <w:webHidden/>
          </w:rPr>
          <w:fldChar w:fldCharType="separate"/>
        </w:r>
        <w:r w:rsidR="009D6A61">
          <w:rPr>
            <w:noProof/>
            <w:webHidden/>
          </w:rPr>
          <w:t>106</w:t>
        </w:r>
        <w:r w:rsidR="0016359F">
          <w:rPr>
            <w:noProof/>
            <w:webHidden/>
          </w:rPr>
          <w:fldChar w:fldCharType="end"/>
        </w:r>
      </w:hyperlink>
    </w:p>
    <w:p w14:paraId="76A668F9" w14:textId="37BB922F" w:rsidR="0016359F" w:rsidRDefault="00F705E6">
      <w:pPr>
        <w:pStyle w:val="TOC1"/>
        <w:rPr>
          <w:rFonts w:asciiTheme="minorHAnsi" w:eastAsiaTheme="minorEastAsia" w:hAnsiTheme="minorHAnsi" w:cstheme="minorBidi"/>
          <w:caps w:val="0"/>
          <w:noProof/>
          <w:sz w:val="22"/>
          <w:szCs w:val="22"/>
          <w:lang w:val="en-IE" w:eastAsia="en-IE"/>
        </w:rPr>
      </w:pPr>
      <w:hyperlink w:anchor="_Toc120291697" w:history="1">
        <w:r w:rsidR="0016359F" w:rsidRPr="003F4188">
          <w:rPr>
            <w:rStyle w:val="Hyperlink"/>
            <w:noProof/>
          </w:rPr>
          <w:t>Annex 7: Background</w:t>
        </w:r>
        <w:r w:rsidR="0016359F">
          <w:rPr>
            <w:noProof/>
            <w:webHidden/>
          </w:rPr>
          <w:tab/>
        </w:r>
        <w:r w:rsidR="0016359F">
          <w:rPr>
            <w:noProof/>
            <w:webHidden/>
          </w:rPr>
          <w:fldChar w:fldCharType="begin"/>
        </w:r>
        <w:r w:rsidR="0016359F">
          <w:rPr>
            <w:noProof/>
            <w:webHidden/>
          </w:rPr>
          <w:instrText xml:space="preserve"> PAGEREF _Toc120291697 \h </w:instrText>
        </w:r>
        <w:r w:rsidR="0016359F">
          <w:rPr>
            <w:noProof/>
            <w:webHidden/>
          </w:rPr>
        </w:r>
        <w:r w:rsidR="0016359F">
          <w:rPr>
            <w:noProof/>
            <w:webHidden/>
          </w:rPr>
          <w:fldChar w:fldCharType="separate"/>
        </w:r>
        <w:r w:rsidR="009D6A61">
          <w:rPr>
            <w:noProof/>
            <w:webHidden/>
          </w:rPr>
          <w:t>108</w:t>
        </w:r>
        <w:r w:rsidR="0016359F">
          <w:rPr>
            <w:noProof/>
            <w:webHidden/>
          </w:rPr>
          <w:fldChar w:fldCharType="end"/>
        </w:r>
      </w:hyperlink>
    </w:p>
    <w:p w14:paraId="6916022E" w14:textId="0F7402A4" w:rsidR="0016359F" w:rsidRDefault="00F705E6">
      <w:pPr>
        <w:pStyle w:val="TOC1"/>
        <w:rPr>
          <w:rFonts w:asciiTheme="minorHAnsi" w:eastAsiaTheme="minorEastAsia" w:hAnsiTheme="minorHAnsi" w:cstheme="minorBidi"/>
          <w:caps w:val="0"/>
          <w:noProof/>
          <w:sz w:val="22"/>
          <w:szCs w:val="22"/>
          <w:lang w:val="en-IE" w:eastAsia="en-IE"/>
        </w:rPr>
      </w:pPr>
      <w:hyperlink w:anchor="_Toc120291698" w:history="1">
        <w:r w:rsidR="0016359F" w:rsidRPr="003F4188">
          <w:rPr>
            <w:rStyle w:val="Hyperlink"/>
            <w:noProof/>
          </w:rPr>
          <w:t>1.</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The over-the-counter (OTC) derivatives market</w:t>
        </w:r>
        <w:r w:rsidR="0016359F">
          <w:rPr>
            <w:noProof/>
            <w:webHidden/>
          </w:rPr>
          <w:tab/>
        </w:r>
        <w:r w:rsidR="0016359F">
          <w:rPr>
            <w:noProof/>
            <w:webHidden/>
          </w:rPr>
          <w:fldChar w:fldCharType="begin"/>
        </w:r>
        <w:r w:rsidR="0016359F">
          <w:rPr>
            <w:noProof/>
            <w:webHidden/>
          </w:rPr>
          <w:instrText xml:space="preserve"> PAGEREF _Toc120291698 \h </w:instrText>
        </w:r>
        <w:r w:rsidR="0016359F">
          <w:rPr>
            <w:noProof/>
            <w:webHidden/>
          </w:rPr>
        </w:r>
        <w:r w:rsidR="0016359F">
          <w:rPr>
            <w:noProof/>
            <w:webHidden/>
          </w:rPr>
          <w:fldChar w:fldCharType="separate"/>
        </w:r>
        <w:r w:rsidR="009D6A61">
          <w:rPr>
            <w:noProof/>
            <w:webHidden/>
          </w:rPr>
          <w:t>108</w:t>
        </w:r>
        <w:r w:rsidR="0016359F">
          <w:rPr>
            <w:noProof/>
            <w:webHidden/>
          </w:rPr>
          <w:fldChar w:fldCharType="end"/>
        </w:r>
      </w:hyperlink>
    </w:p>
    <w:p w14:paraId="0C5E83F1" w14:textId="4731968F" w:rsidR="0016359F" w:rsidRDefault="00F705E6">
      <w:pPr>
        <w:pStyle w:val="TOC1"/>
        <w:rPr>
          <w:rFonts w:asciiTheme="minorHAnsi" w:eastAsiaTheme="minorEastAsia" w:hAnsiTheme="minorHAnsi" w:cstheme="minorBidi"/>
          <w:caps w:val="0"/>
          <w:noProof/>
          <w:sz w:val="22"/>
          <w:szCs w:val="22"/>
          <w:lang w:val="en-IE" w:eastAsia="en-IE"/>
        </w:rPr>
      </w:pPr>
      <w:hyperlink w:anchor="_Toc120291699" w:history="1">
        <w:r w:rsidR="0016359F" w:rsidRPr="003F4188">
          <w:rPr>
            <w:rStyle w:val="Hyperlink"/>
            <w:noProof/>
          </w:rPr>
          <w:t>2.</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Clearing</w:t>
        </w:r>
        <w:r w:rsidR="0016359F">
          <w:rPr>
            <w:noProof/>
            <w:webHidden/>
          </w:rPr>
          <w:tab/>
        </w:r>
        <w:r w:rsidR="0016359F">
          <w:rPr>
            <w:noProof/>
            <w:webHidden/>
          </w:rPr>
          <w:fldChar w:fldCharType="begin"/>
        </w:r>
        <w:r w:rsidR="0016359F">
          <w:rPr>
            <w:noProof/>
            <w:webHidden/>
          </w:rPr>
          <w:instrText xml:space="preserve"> PAGEREF _Toc120291699 \h </w:instrText>
        </w:r>
        <w:r w:rsidR="0016359F">
          <w:rPr>
            <w:noProof/>
            <w:webHidden/>
          </w:rPr>
        </w:r>
        <w:r w:rsidR="0016359F">
          <w:rPr>
            <w:noProof/>
            <w:webHidden/>
          </w:rPr>
          <w:fldChar w:fldCharType="separate"/>
        </w:r>
        <w:r w:rsidR="009D6A61">
          <w:rPr>
            <w:noProof/>
            <w:webHidden/>
          </w:rPr>
          <w:t>109</w:t>
        </w:r>
        <w:r w:rsidR="0016359F">
          <w:rPr>
            <w:noProof/>
            <w:webHidden/>
          </w:rPr>
          <w:fldChar w:fldCharType="end"/>
        </w:r>
      </w:hyperlink>
    </w:p>
    <w:p w14:paraId="20F8773D" w14:textId="7720BBB6" w:rsidR="0016359F" w:rsidRDefault="00F705E6">
      <w:pPr>
        <w:pStyle w:val="TOC1"/>
        <w:rPr>
          <w:rFonts w:asciiTheme="minorHAnsi" w:eastAsiaTheme="minorEastAsia" w:hAnsiTheme="minorHAnsi" w:cstheme="minorBidi"/>
          <w:caps w:val="0"/>
          <w:noProof/>
          <w:sz w:val="22"/>
          <w:szCs w:val="22"/>
          <w:lang w:val="en-IE" w:eastAsia="en-IE"/>
        </w:rPr>
      </w:pPr>
      <w:hyperlink w:anchor="_Toc120291700" w:history="1">
        <w:r w:rsidR="0016359F" w:rsidRPr="003F4188">
          <w:rPr>
            <w:rStyle w:val="Hyperlink"/>
            <w:noProof/>
          </w:rPr>
          <w:t>3.</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CCPs are vital infrastructures for the financial system</w:t>
        </w:r>
        <w:r w:rsidR="0016359F">
          <w:rPr>
            <w:noProof/>
            <w:webHidden/>
          </w:rPr>
          <w:tab/>
        </w:r>
        <w:r w:rsidR="0016359F">
          <w:rPr>
            <w:noProof/>
            <w:webHidden/>
          </w:rPr>
          <w:fldChar w:fldCharType="begin"/>
        </w:r>
        <w:r w:rsidR="0016359F">
          <w:rPr>
            <w:noProof/>
            <w:webHidden/>
          </w:rPr>
          <w:instrText xml:space="preserve"> PAGEREF _Toc120291700 \h </w:instrText>
        </w:r>
        <w:r w:rsidR="0016359F">
          <w:rPr>
            <w:noProof/>
            <w:webHidden/>
          </w:rPr>
        </w:r>
        <w:r w:rsidR="0016359F">
          <w:rPr>
            <w:noProof/>
            <w:webHidden/>
          </w:rPr>
          <w:fldChar w:fldCharType="separate"/>
        </w:r>
        <w:r w:rsidR="009D6A61">
          <w:rPr>
            <w:noProof/>
            <w:webHidden/>
          </w:rPr>
          <w:t>109</w:t>
        </w:r>
        <w:r w:rsidR="0016359F">
          <w:rPr>
            <w:noProof/>
            <w:webHidden/>
          </w:rPr>
          <w:fldChar w:fldCharType="end"/>
        </w:r>
      </w:hyperlink>
    </w:p>
    <w:p w14:paraId="77032BF5" w14:textId="26F249CD" w:rsidR="0016359F" w:rsidRDefault="00F705E6">
      <w:pPr>
        <w:pStyle w:val="TOC1"/>
        <w:rPr>
          <w:rFonts w:asciiTheme="minorHAnsi" w:eastAsiaTheme="minorEastAsia" w:hAnsiTheme="minorHAnsi" w:cstheme="minorBidi"/>
          <w:caps w:val="0"/>
          <w:noProof/>
          <w:sz w:val="22"/>
          <w:szCs w:val="22"/>
          <w:lang w:val="en-IE" w:eastAsia="en-IE"/>
        </w:rPr>
      </w:pPr>
      <w:hyperlink w:anchor="_Toc120291701" w:history="1">
        <w:r w:rsidR="0016359F" w:rsidRPr="003F4188">
          <w:rPr>
            <w:rStyle w:val="Hyperlink"/>
            <w:noProof/>
          </w:rPr>
          <w:t>4.</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Clearing in the EU</w:t>
        </w:r>
        <w:r w:rsidR="0016359F">
          <w:rPr>
            <w:noProof/>
            <w:webHidden/>
          </w:rPr>
          <w:tab/>
        </w:r>
        <w:r w:rsidR="0016359F">
          <w:rPr>
            <w:noProof/>
            <w:webHidden/>
          </w:rPr>
          <w:fldChar w:fldCharType="begin"/>
        </w:r>
        <w:r w:rsidR="0016359F">
          <w:rPr>
            <w:noProof/>
            <w:webHidden/>
          </w:rPr>
          <w:instrText xml:space="preserve"> PAGEREF _Toc120291701 \h </w:instrText>
        </w:r>
        <w:r w:rsidR="0016359F">
          <w:rPr>
            <w:noProof/>
            <w:webHidden/>
          </w:rPr>
        </w:r>
        <w:r w:rsidR="0016359F">
          <w:rPr>
            <w:noProof/>
            <w:webHidden/>
          </w:rPr>
          <w:fldChar w:fldCharType="separate"/>
        </w:r>
        <w:r w:rsidR="009D6A61">
          <w:rPr>
            <w:noProof/>
            <w:webHidden/>
          </w:rPr>
          <w:t>110</w:t>
        </w:r>
        <w:r w:rsidR="0016359F">
          <w:rPr>
            <w:noProof/>
            <w:webHidden/>
          </w:rPr>
          <w:fldChar w:fldCharType="end"/>
        </w:r>
      </w:hyperlink>
    </w:p>
    <w:p w14:paraId="4FBA5D2D" w14:textId="5B63191F" w:rsidR="0016359F" w:rsidRDefault="00F705E6">
      <w:pPr>
        <w:pStyle w:val="TOC1"/>
        <w:rPr>
          <w:rFonts w:asciiTheme="minorHAnsi" w:eastAsiaTheme="minorEastAsia" w:hAnsiTheme="minorHAnsi" w:cstheme="minorBidi"/>
          <w:caps w:val="0"/>
          <w:noProof/>
          <w:sz w:val="22"/>
          <w:szCs w:val="22"/>
          <w:lang w:val="en-IE" w:eastAsia="en-IE"/>
        </w:rPr>
      </w:pPr>
      <w:hyperlink w:anchor="_Toc120291702" w:history="1">
        <w:r w:rsidR="0016359F" w:rsidRPr="003F4188">
          <w:rPr>
            <w:rStyle w:val="Hyperlink"/>
            <w:noProof/>
          </w:rPr>
          <w:t>4.1.</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Increasing volumes of clearing</w:t>
        </w:r>
        <w:r w:rsidR="0016359F">
          <w:rPr>
            <w:noProof/>
            <w:webHidden/>
          </w:rPr>
          <w:tab/>
        </w:r>
        <w:r w:rsidR="0016359F">
          <w:rPr>
            <w:noProof/>
            <w:webHidden/>
          </w:rPr>
          <w:fldChar w:fldCharType="begin"/>
        </w:r>
        <w:r w:rsidR="0016359F">
          <w:rPr>
            <w:noProof/>
            <w:webHidden/>
          </w:rPr>
          <w:instrText xml:space="preserve"> PAGEREF _Toc120291702 \h </w:instrText>
        </w:r>
        <w:r w:rsidR="0016359F">
          <w:rPr>
            <w:noProof/>
            <w:webHidden/>
          </w:rPr>
        </w:r>
        <w:r w:rsidR="0016359F">
          <w:rPr>
            <w:noProof/>
            <w:webHidden/>
          </w:rPr>
          <w:fldChar w:fldCharType="separate"/>
        </w:r>
        <w:r w:rsidR="009D6A61">
          <w:rPr>
            <w:noProof/>
            <w:webHidden/>
          </w:rPr>
          <w:t>110</w:t>
        </w:r>
        <w:r w:rsidR="0016359F">
          <w:rPr>
            <w:noProof/>
            <w:webHidden/>
          </w:rPr>
          <w:fldChar w:fldCharType="end"/>
        </w:r>
      </w:hyperlink>
    </w:p>
    <w:p w14:paraId="3B9554E6" w14:textId="1EF8E809" w:rsidR="0016359F" w:rsidRDefault="00F705E6">
      <w:pPr>
        <w:pStyle w:val="TOC1"/>
        <w:rPr>
          <w:rFonts w:asciiTheme="minorHAnsi" w:eastAsiaTheme="minorEastAsia" w:hAnsiTheme="minorHAnsi" w:cstheme="minorBidi"/>
          <w:caps w:val="0"/>
          <w:noProof/>
          <w:sz w:val="22"/>
          <w:szCs w:val="22"/>
          <w:lang w:val="en-IE" w:eastAsia="en-IE"/>
        </w:rPr>
      </w:pPr>
      <w:hyperlink w:anchor="_Toc120291703" w:history="1">
        <w:r w:rsidR="0016359F" w:rsidRPr="003F4188">
          <w:rPr>
            <w:rStyle w:val="Hyperlink"/>
            <w:noProof/>
          </w:rPr>
          <w:t>4.2.</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Concentrated and integrated CCP landscape</w:t>
        </w:r>
        <w:r w:rsidR="0016359F">
          <w:rPr>
            <w:noProof/>
            <w:webHidden/>
          </w:rPr>
          <w:tab/>
        </w:r>
        <w:r w:rsidR="0016359F">
          <w:rPr>
            <w:noProof/>
            <w:webHidden/>
          </w:rPr>
          <w:fldChar w:fldCharType="begin"/>
        </w:r>
        <w:r w:rsidR="0016359F">
          <w:rPr>
            <w:noProof/>
            <w:webHidden/>
          </w:rPr>
          <w:instrText xml:space="preserve"> PAGEREF _Toc120291703 \h </w:instrText>
        </w:r>
        <w:r w:rsidR="0016359F">
          <w:rPr>
            <w:noProof/>
            <w:webHidden/>
          </w:rPr>
        </w:r>
        <w:r w:rsidR="0016359F">
          <w:rPr>
            <w:noProof/>
            <w:webHidden/>
          </w:rPr>
          <w:fldChar w:fldCharType="separate"/>
        </w:r>
        <w:r w:rsidR="009D6A61">
          <w:rPr>
            <w:noProof/>
            <w:webHidden/>
          </w:rPr>
          <w:t>112</w:t>
        </w:r>
        <w:r w:rsidR="0016359F">
          <w:rPr>
            <w:noProof/>
            <w:webHidden/>
          </w:rPr>
          <w:fldChar w:fldCharType="end"/>
        </w:r>
      </w:hyperlink>
    </w:p>
    <w:p w14:paraId="6AE6D551" w14:textId="34F53034" w:rsidR="0016359F" w:rsidRDefault="00F705E6">
      <w:pPr>
        <w:pStyle w:val="TOC1"/>
        <w:rPr>
          <w:rFonts w:asciiTheme="minorHAnsi" w:eastAsiaTheme="minorEastAsia" w:hAnsiTheme="minorHAnsi" w:cstheme="minorBidi"/>
          <w:caps w:val="0"/>
          <w:noProof/>
          <w:sz w:val="22"/>
          <w:szCs w:val="22"/>
          <w:lang w:val="en-IE" w:eastAsia="en-IE"/>
        </w:rPr>
      </w:pPr>
      <w:hyperlink w:anchor="_Toc120291704" w:history="1">
        <w:r w:rsidR="0016359F" w:rsidRPr="003F4188">
          <w:rPr>
            <w:rStyle w:val="Hyperlink"/>
            <w:noProof/>
          </w:rPr>
          <w:t>4.3.</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Big differences in product offerings</w:t>
        </w:r>
        <w:r w:rsidR="0016359F">
          <w:rPr>
            <w:noProof/>
            <w:webHidden/>
          </w:rPr>
          <w:tab/>
        </w:r>
        <w:r w:rsidR="0016359F">
          <w:rPr>
            <w:noProof/>
            <w:webHidden/>
          </w:rPr>
          <w:fldChar w:fldCharType="begin"/>
        </w:r>
        <w:r w:rsidR="0016359F">
          <w:rPr>
            <w:noProof/>
            <w:webHidden/>
          </w:rPr>
          <w:instrText xml:space="preserve"> PAGEREF _Toc120291704 \h </w:instrText>
        </w:r>
        <w:r w:rsidR="0016359F">
          <w:rPr>
            <w:noProof/>
            <w:webHidden/>
          </w:rPr>
        </w:r>
        <w:r w:rsidR="0016359F">
          <w:rPr>
            <w:noProof/>
            <w:webHidden/>
          </w:rPr>
          <w:fldChar w:fldCharType="separate"/>
        </w:r>
        <w:r w:rsidR="009D6A61">
          <w:rPr>
            <w:noProof/>
            <w:webHidden/>
          </w:rPr>
          <w:t>113</w:t>
        </w:r>
        <w:r w:rsidR="0016359F">
          <w:rPr>
            <w:noProof/>
            <w:webHidden/>
          </w:rPr>
          <w:fldChar w:fldCharType="end"/>
        </w:r>
      </w:hyperlink>
    </w:p>
    <w:p w14:paraId="3492757E" w14:textId="6758651E" w:rsidR="0016359F" w:rsidRDefault="00F705E6">
      <w:pPr>
        <w:pStyle w:val="TOC1"/>
        <w:rPr>
          <w:rFonts w:asciiTheme="minorHAnsi" w:eastAsiaTheme="minorEastAsia" w:hAnsiTheme="minorHAnsi" w:cstheme="minorBidi"/>
          <w:caps w:val="0"/>
          <w:noProof/>
          <w:sz w:val="22"/>
          <w:szCs w:val="22"/>
          <w:lang w:val="en-IE" w:eastAsia="en-IE"/>
        </w:rPr>
      </w:pPr>
      <w:hyperlink w:anchor="_Toc120291705" w:history="1">
        <w:r w:rsidR="0016359F" w:rsidRPr="003F4188">
          <w:rPr>
            <w:rStyle w:val="Hyperlink"/>
            <w:noProof/>
          </w:rPr>
          <w:t>4.4.</w:t>
        </w:r>
        <w:r w:rsidR="0016359F">
          <w:rPr>
            <w:rFonts w:asciiTheme="minorHAnsi" w:eastAsiaTheme="minorEastAsia" w:hAnsiTheme="minorHAnsi" w:cstheme="minorBidi"/>
            <w:caps w:val="0"/>
            <w:noProof/>
            <w:sz w:val="22"/>
            <w:szCs w:val="22"/>
            <w:lang w:val="en-IE" w:eastAsia="en-IE"/>
          </w:rPr>
          <w:tab/>
        </w:r>
        <w:r w:rsidR="0016359F" w:rsidRPr="003F4188">
          <w:rPr>
            <w:rStyle w:val="Hyperlink"/>
            <w:noProof/>
          </w:rPr>
          <w:t>Liquidity</w:t>
        </w:r>
        <w:r w:rsidR="0016359F">
          <w:rPr>
            <w:noProof/>
            <w:webHidden/>
          </w:rPr>
          <w:tab/>
        </w:r>
        <w:r w:rsidR="0016359F">
          <w:rPr>
            <w:noProof/>
            <w:webHidden/>
          </w:rPr>
          <w:fldChar w:fldCharType="begin"/>
        </w:r>
        <w:r w:rsidR="0016359F">
          <w:rPr>
            <w:noProof/>
            <w:webHidden/>
          </w:rPr>
          <w:instrText xml:space="preserve"> PAGEREF _Toc120291705 \h </w:instrText>
        </w:r>
        <w:r w:rsidR="0016359F">
          <w:rPr>
            <w:noProof/>
            <w:webHidden/>
          </w:rPr>
        </w:r>
        <w:r w:rsidR="0016359F">
          <w:rPr>
            <w:noProof/>
            <w:webHidden/>
          </w:rPr>
          <w:fldChar w:fldCharType="separate"/>
        </w:r>
        <w:r w:rsidR="009D6A61">
          <w:rPr>
            <w:noProof/>
            <w:webHidden/>
          </w:rPr>
          <w:t>117</w:t>
        </w:r>
        <w:r w:rsidR="0016359F">
          <w:rPr>
            <w:noProof/>
            <w:webHidden/>
          </w:rPr>
          <w:fldChar w:fldCharType="end"/>
        </w:r>
      </w:hyperlink>
    </w:p>
    <w:p w14:paraId="7B10ECAA" w14:textId="71B2405B" w:rsidR="00991FBC" w:rsidRPr="002661A8" w:rsidRDefault="00941FB0">
      <w:pPr>
        <w:rPr>
          <w:b/>
          <w:bCs/>
          <w:noProof/>
          <w:sz w:val="24"/>
          <w:szCs w:val="24"/>
        </w:rPr>
      </w:pPr>
      <w:r>
        <w:rPr>
          <w:noProof/>
          <w:sz w:val="24"/>
          <w:szCs w:val="24"/>
        </w:rPr>
        <w:fldChar w:fldCharType="end"/>
      </w:r>
      <w:r w:rsidR="00991FBC" w:rsidRPr="002661A8">
        <w:rPr>
          <w:b/>
          <w:bCs/>
          <w:noProof/>
          <w:sz w:val="24"/>
          <w:szCs w:val="24"/>
        </w:rPr>
        <w:br w:type="page"/>
      </w:r>
    </w:p>
    <w:p w14:paraId="7903DBEB" w14:textId="3770BD0A" w:rsidR="006B087E" w:rsidRPr="002661A8" w:rsidRDefault="3FA542DF" w:rsidP="3FA542DF">
      <w:pPr>
        <w:jc w:val="center"/>
        <w:rPr>
          <w:rFonts w:ascii="Times New Roman" w:hAnsi="Times New Roman" w:cs="Times New Roman"/>
          <w:b/>
          <w:noProof/>
          <w:sz w:val="24"/>
          <w:szCs w:val="24"/>
        </w:rPr>
      </w:pPr>
      <w:r w:rsidRPr="002661A8">
        <w:rPr>
          <w:rFonts w:ascii="Times New Roman" w:hAnsi="Times New Roman" w:cs="Times New Roman"/>
          <w:b/>
          <w:noProof/>
          <w:sz w:val="24"/>
          <w:szCs w:val="24"/>
        </w:rPr>
        <w:t>Glossary</w:t>
      </w:r>
    </w:p>
    <w:tbl>
      <w:tblPr>
        <w:tblStyle w:val="TableGrid"/>
        <w:tblW w:w="0" w:type="auto"/>
        <w:tblLook w:val="04A0" w:firstRow="1" w:lastRow="0" w:firstColumn="1" w:lastColumn="0" w:noHBand="0" w:noVBand="1"/>
      </w:tblPr>
      <w:tblGrid>
        <w:gridCol w:w="1525"/>
        <w:gridCol w:w="7309"/>
      </w:tblGrid>
      <w:tr w:rsidR="00046A6B" w:rsidRPr="002661A8" w14:paraId="694C9902" w14:textId="77777777" w:rsidTr="000E2972">
        <w:tc>
          <w:tcPr>
            <w:tcW w:w="1242" w:type="dxa"/>
            <w:tcBorders>
              <w:bottom w:val="double" w:sz="4" w:space="0" w:color="auto"/>
            </w:tcBorders>
            <w:shd w:val="clear" w:color="auto" w:fill="F2F2F2" w:themeFill="background1" w:themeFillShade="F2"/>
          </w:tcPr>
          <w:p w14:paraId="2418B784" w14:textId="77777777" w:rsidR="006B087E" w:rsidRPr="002661A8" w:rsidRDefault="3FA542DF" w:rsidP="00FD2BC6">
            <w:pPr>
              <w:spacing w:before="120"/>
              <w:jc w:val="center"/>
              <w:rPr>
                <w:b/>
                <w:i/>
                <w:noProof/>
                <w:sz w:val="22"/>
                <w:szCs w:val="22"/>
              </w:rPr>
            </w:pPr>
            <w:r w:rsidRPr="002661A8">
              <w:rPr>
                <w:b/>
                <w:bCs/>
                <w:i/>
                <w:iCs/>
                <w:noProof/>
                <w:sz w:val="22"/>
                <w:szCs w:val="22"/>
              </w:rPr>
              <w:t>Term or acronym</w:t>
            </w:r>
          </w:p>
        </w:tc>
        <w:tc>
          <w:tcPr>
            <w:tcW w:w="7592" w:type="dxa"/>
            <w:tcBorders>
              <w:bottom w:val="double" w:sz="4" w:space="0" w:color="auto"/>
            </w:tcBorders>
            <w:shd w:val="clear" w:color="auto" w:fill="F2F2F2" w:themeFill="background1" w:themeFillShade="F2"/>
          </w:tcPr>
          <w:p w14:paraId="63450137" w14:textId="77777777" w:rsidR="006B087E" w:rsidRPr="002661A8" w:rsidRDefault="3FA542DF" w:rsidP="00D6052F">
            <w:pPr>
              <w:spacing w:before="120"/>
              <w:jc w:val="center"/>
              <w:rPr>
                <w:b/>
                <w:i/>
                <w:noProof/>
                <w:sz w:val="22"/>
                <w:szCs w:val="22"/>
              </w:rPr>
            </w:pPr>
            <w:r w:rsidRPr="002661A8">
              <w:rPr>
                <w:b/>
                <w:bCs/>
                <w:i/>
                <w:iCs/>
                <w:noProof/>
                <w:sz w:val="22"/>
                <w:szCs w:val="22"/>
              </w:rPr>
              <w:t>Meaning or definition</w:t>
            </w:r>
          </w:p>
        </w:tc>
      </w:tr>
      <w:tr w:rsidR="00DD025D" w:rsidRPr="00DD025D" w14:paraId="39902DCA" w14:textId="77777777" w:rsidTr="000E2972">
        <w:tc>
          <w:tcPr>
            <w:tcW w:w="1242" w:type="dxa"/>
            <w:tcBorders>
              <w:top w:val="double" w:sz="4" w:space="0" w:color="auto"/>
              <w:bottom w:val="single" w:sz="4" w:space="0" w:color="auto"/>
            </w:tcBorders>
            <w:shd w:val="clear" w:color="auto" w:fill="FFFFFF" w:themeFill="background1"/>
          </w:tcPr>
          <w:p w14:paraId="64BD0516" w14:textId="5782A439" w:rsidR="00DD025D" w:rsidRPr="00DD025D" w:rsidRDefault="00DD025D" w:rsidP="00DD025D">
            <w:pPr>
              <w:rPr>
                <w:noProof/>
              </w:rPr>
            </w:pPr>
            <w:r>
              <w:rPr>
                <w:noProof/>
              </w:rPr>
              <w:t>Authorised CCP/</w:t>
            </w:r>
            <w:r w:rsidR="000E2972">
              <w:rPr>
                <w:noProof/>
              </w:rPr>
              <w:t xml:space="preserve"> </w:t>
            </w:r>
            <w:r>
              <w:rPr>
                <w:noProof/>
              </w:rPr>
              <w:t>EU CCP</w:t>
            </w:r>
          </w:p>
        </w:tc>
        <w:tc>
          <w:tcPr>
            <w:tcW w:w="7592" w:type="dxa"/>
            <w:tcBorders>
              <w:top w:val="double" w:sz="4" w:space="0" w:color="auto"/>
              <w:bottom w:val="single" w:sz="4" w:space="0" w:color="auto"/>
            </w:tcBorders>
            <w:shd w:val="clear" w:color="auto" w:fill="FFFFFF" w:themeFill="background1"/>
          </w:tcPr>
          <w:p w14:paraId="4279110E" w14:textId="4BAE3197" w:rsidR="00DD025D" w:rsidRPr="00DD025D" w:rsidRDefault="0051363D" w:rsidP="00DD025D">
            <w:pPr>
              <w:rPr>
                <w:noProof/>
              </w:rPr>
            </w:pPr>
            <w:r>
              <w:rPr>
                <w:noProof/>
              </w:rPr>
              <w:t>A CCP established in a Member State and authorised under Regulation (EU) No 648/2012.</w:t>
            </w:r>
          </w:p>
        </w:tc>
      </w:tr>
      <w:tr w:rsidR="00046A6B" w:rsidRPr="002661A8" w14:paraId="622260B9" w14:textId="77777777" w:rsidTr="000E2972">
        <w:tc>
          <w:tcPr>
            <w:tcW w:w="1242" w:type="dxa"/>
            <w:tcBorders>
              <w:top w:val="single" w:sz="4" w:space="0" w:color="auto"/>
              <w:bottom w:val="single" w:sz="4" w:space="0" w:color="auto"/>
            </w:tcBorders>
            <w:tcMar>
              <w:top w:w="85" w:type="dxa"/>
              <w:left w:w="57" w:type="dxa"/>
              <w:bottom w:w="85" w:type="dxa"/>
              <w:right w:w="57" w:type="dxa"/>
            </w:tcMar>
          </w:tcPr>
          <w:p w14:paraId="3B0134F6" w14:textId="72DB4A1D" w:rsidR="00524030" w:rsidRPr="002661A8" w:rsidRDefault="3FA542DF" w:rsidP="000A140B">
            <w:pPr>
              <w:rPr>
                <w:noProof/>
              </w:rPr>
            </w:pPr>
            <w:r w:rsidRPr="002661A8">
              <w:rPr>
                <w:noProof/>
              </w:rPr>
              <w:t>BCBS</w:t>
            </w:r>
          </w:p>
        </w:tc>
        <w:tc>
          <w:tcPr>
            <w:tcW w:w="7592" w:type="dxa"/>
            <w:tcBorders>
              <w:top w:val="single" w:sz="4" w:space="0" w:color="auto"/>
              <w:bottom w:val="single" w:sz="4" w:space="0" w:color="auto"/>
            </w:tcBorders>
            <w:tcMar>
              <w:top w:w="85" w:type="dxa"/>
              <w:left w:w="57" w:type="dxa"/>
              <w:bottom w:w="85" w:type="dxa"/>
              <w:right w:w="57" w:type="dxa"/>
            </w:tcMar>
          </w:tcPr>
          <w:p w14:paraId="3859A52C" w14:textId="653C1864" w:rsidR="00524030" w:rsidRPr="002661A8" w:rsidRDefault="3FA542DF" w:rsidP="003229A4">
            <w:pPr>
              <w:jc w:val="both"/>
              <w:rPr>
                <w:noProof/>
              </w:rPr>
            </w:pPr>
            <w:r w:rsidRPr="002661A8">
              <w:rPr>
                <w:noProof/>
              </w:rPr>
              <w:t xml:space="preserve">The Basel Committee on Banking Supervision is the primary global standard setter for the prudential regulation of banks and provides a forum for regular cooperation on banking supervisory matters. Its 45 members </w:t>
            </w:r>
            <w:r w:rsidR="00A404DA" w:rsidRPr="002661A8">
              <w:rPr>
                <w:noProof/>
              </w:rPr>
              <w:t>are</w:t>
            </w:r>
            <w:r w:rsidRPr="002661A8">
              <w:rPr>
                <w:noProof/>
              </w:rPr>
              <w:t xml:space="preserve"> central banks and bank supervisors from 28 jurisdictions.</w:t>
            </w:r>
          </w:p>
        </w:tc>
      </w:tr>
      <w:tr w:rsidR="00046A6B" w:rsidRPr="002661A8" w14:paraId="3FFF8250" w14:textId="77777777" w:rsidTr="000E2972">
        <w:tc>
          <w:tcPr>
            <w:tcW w:w="1242" w:type="dxa"/>
            <w:tcBorders>
              <w:top w:val="single" w:sz="4" w:space="0" w:color="auto"/>
            </w:tcBorders>
            <w:tcMar>
              <w:top w:w="85" w:type="dxa"/>
              <w:left w:w="57" w:type="dxa"/>
              <w:bottom w:w="85" w:type="dxa"/>
              <w:right w:w="57" w:type="dxa"/>
            </w:tcMar>
          </w:tcPr>
          <w:p w14:paraId="581BF802" w14:textId="77777777" w:rsidR="00DF67F6" w:rsidRPr="002661A8" w:rsidRDefault="3FA542DF" w:rsidP="000A140B">
            <w:pPr>
              <w:rPr>
                <w:noProof/>
              </w:rPr>
            </w:pPr>
            <w:r w:rsidRPr="002661A8">
              <w:rPr>
                <w:noProof/>
              </w:rPr>
              <w:t>CBI</w:t>
            </w:r>
          </w:p>
        </w:tc>
        <w:tc>
          <w:tcPr>
            <w:tcW w:w="7592" w:type="dxa"/>
            <w:tcBorders>
              <w:top w:val="single" w:sz="4" w:space="0" w:color="auto"/>
            </w:tcBorders>
            <w:tcMar>
              <w:top w:w="85" w:type="dxa"/>
              <w:left w:w="57" w:type="dxa"/>
              <w:bottom w:w="85" w:type="dxa"/>
              <w:right w:w="57" w:type="dxa"/>
            </w:tcMar>
          </w:tcPr>
          <w:p w14:paraId="440647DB" w14:textId="77777777" w:rsidR="00DF67F6" w:rsidRPr="002661A8" w:rsidRDefault="3FA542DF" w:rsidP="003229A4">
            <w:pPr>
              <w:jc w:val="both"/>
              <w:rPr>
                <w:noProof/>
              </w:rPr>
            </w:pPr>
            <w:r w:rsidRPr="002661A8">
              <w:rPr>
                <w:noProof/>
              </w:rPr>
              <w:t>Central Bank of Issue</w:t>
            </w:r>
          </w:p>
        </w:tc>
      </w:tr>
      <w:tr w:rsidR="00046A6B" w:rsidRPr="002661A8" w14:paraId="15220BD6" w14:textId="77777777" w:rsidTr="000E2972">
        <w:tc>
          <w:tcPr>
            <w:tcW w:w="1242" w:type="dxa"/>
            <w:tcBorders>
              <w:bottom w:val="single" w:sz="4" w:space="0" w:color="auto"/>
            </w:tcBorders>
            <w:tcMar>
              <w:top w:w="85" w:type="dxa"/>
              <w:left w:w="57" w:type="dxa"/>
              <w:bottom w:w="85" w:type="dxa"/>
              <w:right w:w="57" w:type="dxa"/>
            </w:tcMar>
          </w:tcPr>
          <w:p w14:paraId="4837042A" w14:textId="77777777" w:rsidR="00DF67F6" w:rsidRPr="002661A8" w:rsidRDefault="3FA542DF" w:rsidP="000A140B">
            <w:pPr>
              <w:rPr>
                <w:noProof/>
              </w:rPr>
            </w:pPr>
            <w:r w:rsidRPr="002661A8">
              <w:rPr>
                <w:noProof/>
              </w:rPr>
              <w:t>CCP</w:t>
            </w:r>
          </w:p>
        </w:tc>
        <w:tc>
          <w:tcPr>
            <w:tcW w:w="7592" w:type="dxa"/>
            <w:tcBorders>
              <w:bottom w:val="single" w:sz="4" w:space="0" w:color="auto"/>
            </w:tcBorders>
            <w:tcMar>
              <w:top w:w="85" w:type="dxa"/>
              <w:left w:w="57" w:type="dxa"/>
              <w:bottom w:w="85" w:type="dxa"/>
              <w:right w:w="57" w:type="dxa"/>
            </w:tcMar>
          </w:tcPr>
          <w:p w14:paraId="01A79594" w14:textId="77777777" w:rsidR="00DF67F6" w:rsidRPr="002661A8" w:rsidRDefault="3FA542DF" w:rsidP="003229A4">
            <w:pPr>
              <w:jc w:val="both"/>
              <w:rPr>
                <w:noProof/>
              </w:rPr>
            </w:pPr>
            <w:r w:rsidRPr="002661A8">
              <w:rPr>
                <w:noProof/>
              </w:rPr>
              <w:t>Central Counterparty</w:t>
            </w:r>
          </w:p>
        </w:tc>
      </w:tr>
      <w:tr w:rsidR="00046A6B" w:rsidRPr="002661A8" w14:paraId="3A930CF4" w14:textId="77777777" w:rsidTr="000E2972">
        <w:tc>
          <w:tcPr>
            <w:tcW w:w="1242" w:type="dxa"/>
            <w:tcMar>
              <w:top w:w="85" w:type="dxa"/>
              <w:left w:w="57" w:type="dxa"/>
              <w:bottom w:w="85" w:type="dxa"/>
              <w:right w:w="57" w:type="dxa"/>
            </w:tcMar>
          </w:tcPr>
          <w:p w14:paraId="562CC5A4" w14:textId="77777777" w:rsidR="00DF67F6" w:rsidRPr="002661A8" w:rsidRDefault="3FA542DF" w:rsidP="000A140B">
            <w:pPr>
              <w:rPr>
                <w:noProof/>
              </w:rPr>
            </w:pPr>
            <w:r w:rsidRPr="002661A8">
              <w:rPr>
                <w:noProof/>
              </w:rPr>
              <w:t>CDS</w:t>
            </w:r>
          </w:p>
        </w:tc>
        <w:tc>
          <w:tcPr>
            <w:tcW w:w="7592" w:type="dxa"/>
            <w:tcMar>
              <w:top w:w="85" w:type="dxa"/>
              <w:left w:w="57" w:type="dxa"/>
              <w:bottom w:w="85" w:type="dxa"/>
              <w:right w:w="57" w:type="dxa"/>
            </w:tcMar>
          </w:tcPr>
          <w:p w14:paraId="0EA71310" w14:textId="77777777" w:rsidR="00DF67F6" w:rsidRPr="002661A8" w:rsidRDefault="3FA542DF" w:rsidP="003229A4">
            <w:pPr>
              <w:jc w:val="both"/>
              <w:rPr>
                <w:noProof/>
              </w:rPr>
            </w:pPr>
            <w:r w:rsidRPr="002661A8">
              <w:rPr>
                <w:noProof/>
              </w:rPr>
              <w:t>Credit Default Swaps</w:t>
            </w:r>
          </w:p>
        </w:tc>
      </w:tr>
      <w:tr w:rsidR="008E7231" w:rsidRPr="002661A8" w14:paraId="367ED150" w14:textId="77777777" w:rsidTr="000E2972">
        <w:tc>
          <w:tcPr>
            <w:tcW w:w="1242" w:type="dxa"/>
            <w:tcMar>
              <w:top w:w="85" w:type="dxa"/>
              <w:left w:w="57" w:type="dxa"/>
              <w:bottom w:w="85" w:type="dxa"/>
              <w:right w:w="57" w:type="dxa"/>
            </w:tcMar>
          </w:tcPr>
          <w:p w14:paraId="38E2B802" w14:textId="2186B8F5" w:rsidR="008E7231" w:rsidRPr="002661A8" w:rsidRDefault="008E7231" w:rsidP="000A140B">
            <w:pPr>
              <w:rPr>
                <w:noProof/>
              </w:rPr>
            </w:pPr>
            <w:r w:rsidRPr="002661A8">
              <w:rPr>
                <w:noProof/>
              </w:rPr>
              <w:t>CEA</w:t>
            </w:r>
          </w:p>
        </w:tc>
        <w:tc>
          <w:tcPr>
            <w:tcW w:w="7592" w:type="dxa"/>
            <w:tcMar>
              <w:top w:w="85" w:type="dxa"/>
              <w:left w:w="57" w:type="dxa"/>
              <w:bottom w:w="85" w:type="dxa"/>
              <w:right w:w="57" w:type="dxa"/>
            </w:tcMar>
          </w:tcPr>
          <w:p w14:paraId="6CB9FF2A" w14:textId="6008B10B" w:rsidR="008E7231" w:rsidRPr="002661A8" w:rsidRDefault="008E7231" w:rsidP="003229A4">
            <w:pPr>
              <w:jc w:val="both"/>
              <w:rPr>
                <w:noProof/>
              </w:rPr>
            </w:pPr>
            <w:r w:rsidRPr="002661A8">
              <w:rPr>
                <w:noProof/>
              </w:rPr>
              <w:t>The Commodity Exchange Act regulates the trading of commodity futures in the US</w:t>
            </w:r>
            <w:r w:rsidR="00F856EB">
              <w:rPr>
                <w:noProof/>
              </w:rPr>
              <w:t>.</w:t>
            </w:r>
          </w:p>
        </w:tc>
      </w:tr>
      <w:tr w:rsidR="00DD025D" w:rsidRPr="002661A8" w14:paraId="773BD6D4" w14:textId="77777777" w:rsidTr="000E2972">
        <w:tc>
          <w:tcPr>
            <w:tcW w:w="1242" w:type="dxa"/>
            <w:tcMar>
              <w:top w:w="85" w:type="dxa"/>
              <w:left w:w="57" w:type="dxa"/>
              <w:bottom w:w="85" w:type="dxa"/>
              <w:right w:w="57" w:type="dxa"/>
            </w:tcMar>
          </w:tcPr>
          <w:p w14:paraId="5845CBC1" w14:textId="5C051447" w:rsidR="0054524B" w:rsidRPr="002661A8" w:rsidRDefault="00DD025D" w:rsidP="000A140B">
            <w:pPr>
              <w:rPr>
                <w:noProof/>
              </w:rPr>
            </w:pPr>
            <w:r>
              <w:rPr>
                <w:noProof/>
              </w:rPr>
              <w:t>Central clearing</w:t>
            </w:r>
          </w:p>
        </w:tc>
        <w:tc>
          <w:tcPr>
            <w:tcW w:w="7592" w:type="dxa"/>
            <w:tcMar>
              <w:top w:w="85" w:type="dxa"/>
              <w:left w:w="57" w:type="dxa"/>
              <w:bottom w:w="85" w:type="dxa"/>
              <w:right w:w="57" w:type="dxa"/>
            </w:tcMar>
          </w:tcPr>
          <w:p w14:paraId="08A684A8" w14:textId="5E9176DB" w:rsidR="0054524B" w:rsidRPr="002661A8" w:rsidRDefault="00E342D5" w:rsidP="003229A4">
            <w:pPr>
              <w:jc w:val="both"/>
              <w:rPr>
                <w:noProof/>
              </w:rPr>
            </w:pPr>
            <w:r>
              <w:rPr>
                <w:noProof/>
              </w:rPr>
              <w:t>T</w:t>
            </w:r>
            <w:r w:rsidRPr="00E342D5">
              <w:rPr>
                <w:noProof/>
              </w:rPr>
              <w:t xml:space="preserve">he process </w:t>
            </w:r>
            <w:r>
              <w:rPr>
                <w:noProof/>
              </w:rPr>
              <w:t xml:space="preserve">by which a CCP </w:t>
            </w:r>
            <w:r w:rsidRPr="00E342D5">
              <w:rPr>
                <w:noProof/>
              </w:rPr>
              <w:t>establish</w:t>
            </w:r>
            <w:r>
              <w:rPr>
                <w:noProof/>
              </w:rPr>
              <w:t>es</w:t>
            </w:r>
            <w:r w:rsidRPr="00E342D5">
              <w:rPr>
                <w:noProof/>
              </w:rPr>
              <w:t xml:space="preserve"> positions, including the calculation of net obligations, and ensur</w:t>
            </w:r>
            <w:r>
              <w:rPr>
                <w:noProof/>
              </w:rPr>
              <w:t>es</w:t>
            </w:r>
            <w:r w:rsidRPr="00E342D5">
              <w:rPr>
                <w:noProof/>
              </w:rPr>
              <w:t xml:space="preserve"> that financial instruments, cash, or both, are available to secure the exposures arising from those positions</w:t>
            </w:r>
            <w:r>
              <w:rPr>
                <w:noProof/>
              </w:rPr>
              <w:t>.</w:t>
            </w:r>
          </w:p>
        </w:tc>
      </w:tr>
      <w:tr w:rsidR="00046A6B" w:rsidRPr="002661A8" w14:paraId="35A4FF50" w14:textId="77777777" w:rsidTr="000E2972">
        <w:tc>
          <w:tcPr>
            <w:tcW w:w="1242" w:type="dxa"/>
            <w:tcBorders>
              <w:top w:val="single" w:sz="4" w:space="0" w:color="auto"/>
            </w:tcBorders>
            <w:tcMar>
              <w:top w:w="85" w:type="dxa"/>
              <w:left w:w="57" w:type="dxa"/>
              <w:bottom w:w="85" w:type="dxa"/>
              <w:right w:w="57" w:type="dxa"/>
            </w:tcMar>
          </w:tcPr>
          <w:p w14:paraId="3664B2B3" w14:textId="77777777" w:rsidR="00DF67F6" w:rsidRPr="002661A8" w:rsidRDefault="3FA542DF" w:rsidP="000A140B">
            <w:pPr>
              <w:rPr>
                <w:noProof/>
              </w:rPr>
            </w:pPr>
            <w:r w:rsidRPr="002661A8">
              <w:rPr>
                <w:noProof/>
              </w:rPr>
              <w:t>Central Counterparty (CCP)</w:t>
            </w:r>
          </w:p>
        </w:tc>
        <w:tc>
          <w:tcPr>
            <w:tcW w:w="7592" w:type="dxa"/>
            <w:tcBorders>
              <w:top w:val="single" w:sz="4" w:space="0" w:color="auto"/>
            </w:tcBorders>
            <w:tcMar>
              <w:top w:w="85" w:type="dxa"/>
              <w:left w:w="57" w:type="dxa"/>
              <w:bottom w:w="85" w:type="dxa"/>
              <w:right w:w="57" w:type="dxa"/>
            </w:tcMar>
          </w:tcPr>
          <w:p w14:paraId="5028507F" w14:textId="53328E6B" w:rsidR="00DF67F6" w:rsidRPr="002661A8" w:rsidRDefault="3FA542DF" w:rsidP="003229A4">
            <w:pPr>
              <w:jc w:val="both"/>
              <w:rPr>
                <w:noProof/>
              </w:rPr>
            </w:pPr>
            <w:r w:rsidRPr="002661A8">
              <w:rPr>
                <w:noProof/>
              </w:rPr>
              <w:t>A legal person interpos</w:t>
            </w:r>
            <w:r w:rsidR="00A404DA" w:rsidRPr="002661A8">
              <w:rPr>
                <w:noProof/>
              </w:rPr>
              <w:t>ing</w:t>
            </w:r>
            <w:r w:rsidRPr="002661A8">
              <w:rPr>
                <w:noProof/>
              </w:rPr>
              <w:t xml:space="preserve"> itself between the counterparties to contracts traded on one or more financial markets, becoming the buyer to every seller and the seller to every buyer.</w:t>
            </w:r>
          </w:p>
        </w:tc>
      </w:tr>
      <w:tr w:rsidR="008E7231" w:rsidRPr="002661A8" w14:paraId="55037797" w14:textId="77777777" w:rsidTr="000E2972">
        <w:tc>
          <w:tcPr>
            <w:tcW w:w="1242" w:type="dxa"/>
            <w:tcBorders>
              <w:top w:val="single" w:sz="4" w:space="0" w:color="auto"/>
            </w:tcBorders>
            <w:tcMar>
              <w:top w:w="85" w:type="dxa"/>
              <w:left w:w="57" w:type="dxa"/>
              <w:bottom w:w="85" w:type="dxa"/>
              <w:right w:w="57" w:type="dxa"/>
            </w:tcMar>
          </w:tcPr>
          <w:p w14:paraId="695C6083" w14:textId="16DFEF04" w:rsidR="008E7231" w:rsidRPr="002661A8" w:rsidRDefault="008E7231" w:rsidP="000A140B">
            <w:pPr>
              <w:rPr>
                <w:noProof/>
              </w:rPr>
            </w:pPr>
            <w:r w:rsidRPr="002661A8">
              <w:rPr>
                <w:noProof/>
              </w:rPr>
              <w:t>CFTC</w:t>
            </w:r>
          </w:p>
        </w:tc>
        <w:tc>
          <w:tcPr>
            <w:tcW w:w="7592" w:type="dxa"/>
            <w:tcBorders>
              <w:top w:val="single" w:sz="4" w:space="0" w:color="auto"/>
            </w:tcBorders>
            <w:tcMar>
              <w:top w:w="85" w:type="dxa"/>
              <w:left w:w="57" w:type="dxa"/>
              <w:bottom w:w="85" w:type="dxa"/>
              <w:right w:w="57" w:type="dxa"/>
            </w:tcMar>
          </w:tcPr>
          <w:p w14:paraId="17EF5E5B" w14:textId="4D808E2B" w:rsidR="008E7231" w:rsidRPr="002661A8" w:rsidRDefault="00F856EB" w:rsidP="003F20FE">
            <w:pPr>
              <w:jc w:val="both"/>
              <w:rPr>
                <w:noProof/>
              </w:rPr>
            </w:pPr>
            <w:r>
              <w:rPr>
                <w:noProof/>
              </w:rPr>
              <w:t xml:space="preserve">The </w:t>
            </w:r>
            <w:r w:rsidR="008E7231" w:rsidRPr="002661A8">
              <w:rPr>
                <w:noProof/>
              </w:rPr>
              <w:t>Commodity Futures Trading Commission</w:t>
            </w:r>
            <w:r w:rsidR="00BE276F">
              <w:rPr>
                <w:noProof/>
              </w:rPr>
              <w:t xml:space="preserve"> is</w:t>
            </w:r>
            <w:r w:rsidR="008E7231" w:rsidRPr="002661A8">
              <w:rPr>
                <w:noProof/>
              </w:rPr>
              <w:t xml:space="preserve"> an independent agency of the US government that regulates US derivatives markets</w:t>
            </w:r>
            <w:r w:rsidR="0073538D" w:rsidRPr="002661A8">
              <w:rPr>
                <w:noProof/>
              </w:rPr>
              <w:t>.</w:t>
            </w:r>
          </w:p>
        </w:tc>
      </w:tr>
      <w:tr w:rsidR="00046A6B" w:rsidRPr="002661A8" w14:paraId="338F0994" w14:textId="77777777" w:rsidTr="000E2972">
        <w:tc>
          <w:tcPr>
            <w:tcW w:w="1242" w:type="dxa"/>
            <w:tcMar>
              <w:top w:w="85" w:type="dxa"/>
              <w:left w:w="57" w:type="dxa"/>
              <w:bottom w:w="85" w:type="dxa"/>
              <w:right w:w="57" w:type="dxa"/>
            </w:tcMar>
          </w:tcPr>
          <w:p w14:paraId="15E37E7A" w14:textId="77777777" w:rsidR="00DF67F6" w:rsidRPr="002661A8" w:rsidRDefault="3FA542DF" w:rsidP="000A140B">
            <w:pPr>
              <w:rPr>
                <w:noProof/>
              </w:rPr>
            </w:pPr>
            <w:r w:rsidRPr="002661A8">
              <w:rPr>
                <w:noProof/>
              </w:rPr>
              <w:t>Clearing</w:t>
            </w:r>
          </w:p>
        </w:tc>
        <w:tc>
          <w:tcPr>
            <w:tcW w:w="7592" w:type="dxa"/>
            <w:tcMar>
              <w:top w:w="85" w:type="dxa"/>
              <w:left w:w="57" w:type="dxa"/>
              <w:bottom w:w="85" w:type="dxa"/>
              <w:right w:w="57" w:type="dxa"/>
            </w:tcMar>
          </w:tcPr>
          <w:p w14:paraId="5377BCB3" w14:textId="22723400" w:rsidR="00DF67F6" w:rsidRPr="002661A8" w:rsidRDefault="3FA542DF" w:rsidP="003229A4">
            <w:pPr>
              <w:jc w:val="both"/>
              <w:rPr>
                <w:noProof/>
              </w:rPr>
            </w:pPr>
            <w:r w:rsidRPr="002661A8">
              <w:rPr>
                <w:noProof/>
              </w:rPr>
              <w:t xml:space="preserve">The process of establishing positions, including the calculation of net obligations, and ensuring that financial instruments, cash, or both, are available to secure the exposures arising from </w:t>
            </w:r>
            <w:r w:rsidR="007D3146" w:rsidRPr="002661A8">
              <w:rPr>
                <w:noProof/>
              </w:rPr>
              <w:t>them</w:t>
            </w:r>
            <w:r w:rsidRPr="002661A8">
              <w:rPr>
                <w:noProof/>
              </w:rPr>
              <w:t>.</w:t>
            </w:r>
          </w:p>
        </w:tc>
      </w:tr>
      <w:tr w:rsidR="00046A6B" w:rsidRPr="002661A8" w14:paraId="70D96526" w14:textId="77777777" w:rsidTr="000E2972">
        <w:tc>
          <w:tcPr>
            <w:tcW w:w="1242" w:type="dxa"/>
            <w:tcMar>
              <w:top w:w="85" w:type="dxa"/>
              <w:left w:w="57" w:type="dxa"/>
              <w:bottom w:w="85" w:type="dxa"/>
              <w:right w:w="57" w:type="dxa"/>
            </w:tcMar>
          </w:tcPr>
          <w:p w14:paraId="116F317C" w14:textId="77777777" w:rsidR="00DF67F6" w:rsidRPr="002661A8" w:rsidRDefault="3FA542DF" w:rsidP="000A140B">
            <w:pPr>
              <w:rPr>
                <w:noProof/>
              </w:rPr>
            </w:pPr>
            <w:r w:rsidRPr="002661A8">
              <w:rPr>
                <w:noProof/>
              </w:rPr>
              <w:t>Clearing member/direct participant</w:t>
            </w:r>
          </w:p>
        </w:tc>
        <w:tc>
          <w:tcPr>
            <w:tcW w:w="7592" w:type="dxa"/>
            <w:tcMar>
              <w:top w:w="85" w:type="dxa"/>
              <w:left w:w="57" w:type="dxa"/>
              <w:bottom w:w="85" w:type="dxa"/>
              <w:right w:w="57" w:type="dxa"/>
            </w:tcMar>
          </w:tcPr>
          <w:p w14:paraId="71CA16CB" w14:textId="1C54730C" w:rsidR="00DF67F6" w:rsidRPr="002661A8" w:rsidRDefault="3FA542DF" w:rsidP="003229A4">
            <w:pPr>
              <w:jc w:val="both"/>
              <w:rPr>
                <w:noProof/>
              </w:rPr>
            </w:pPr>
            <w:r w:rsidRPr="002661A8">
              <w:rPr>
                <w:noProof/>
              </w:rPr>
              <w:t>An undertaking</w:t>
            </w:r>
            <w:r w:rsidR="00046A6B" w:rsidRPr="002661A8">
              <w:rPr>
                <w:noProof/>
              </w:rPr>
              <w:t>, typically a large internationally active bank,</w:t>
            </w:r>
            <w:r w:rsidRPr="002661A8">
              <w:rPr>
                <w:noProof/>
              </w:rPr>
              <w:t xml:space="preserve"> which participates in a CCP and is responsible for discharging the financial obligations arising from that participation.</w:t>
            </w:r>
          </w:p>
        </w:tc>
      </w:tr>
      <w:tr w:rsidR="008C490F" w:rsidRPr="002661A8" w14:paraId="57229357" w14:textId="77777777" w:rsidTr="000E2972">
        <w:tc>
          <w:tcPr>
            <w:tcW w:w="1242" w:type="dxa"/>
            <w:tcMar>
              <w:top w:w="85" w:type="dxa"/>
              <w:left w:w="57" w:type="dxa"/>
              <w:bottom w:w="85" w:type="dxa"/>
              <w:right w:w="57" w:type="dxa"/>
            </w:tcMar>
          </w:tcPr>
          <w:p w14:paraId="3E4F14EB" w14:textId="24BB00BE" w:rsidR="008C490F" w:rsidRPr="002661A8" w:rsidRDefault="008C490F" w:rsidP="000A140B">
            <w:pPr>
              <w:rPr>
                <w:noProof/>
              </w:rPr>
            </w:pPr>
            <w:r>
              <w:rPr>
                <w:noProof/>
              </w:rPr>
              <w:t>Clearing obligation/central clearing obligations</w:t>
            </w:r>
          </w:p>
        </w:tc>
        <w:tc>
          <w:tcPr>
            <w:tcW w:w="7592" w:type="dxa"/>
            <w:tcMar>
              <w:top w:w="85" w:type="dxa"/>
              <w:left w:w="57" w:type="dxa"/>
              <w:bottom w:w="85" w:type="dxa"/>
              <w:right w:w="57" w:type="dxa"/>
            </w:tcMar>
          </w:tcPr>
          <w:p w14:paraId="7AE24FF6" w14:textId="6C7EA54E" w:rsidR="008C490F" w:rsidRPr="002661A8" w:rsidRDefault="00FA0CAE" w:rsidP="003229A4">
            <w:pPr>
              <w:jc w:val="both"/>
              <w:rPr>
                <w:noProof/>
              </w:rPr>
            </w:pPr>
            <w:r>
              <w:rPr>
                <w:noProof/>
              </w:rPr>
              <w:t>The process by which ESMA determines that certain market participants should clear certain types of OTC derivatives in an EU CCP or in a third-country CCP recognised by ESMA.</w:t>
            </w:r>
          </w:p>
        </w:tc>
      </w:tr>
      <w:tr w:rsidR="00046A6B" w:rsidRPr="002661A8" w14:paraId="37B06222" w14:textId="77777777" w:rsidTr="000E2972">
        <w:tc>
          <w:tcPr>
            <w:tcW w:w="1242" w:type="dxa"/>
            <w:tcMar>
              <w:top w:w="85" w:type="dxa"/>
              <w:left w:w="57" w:type="dxa"/>
              <w:bottom w:w="85" w:type="dxa"/>
              <w:right w:w="57" w:type="dxa"/>
            </w:tcMar>
          </w:tcPr>
          <w:p w14:paraId="5F0A694D" w14:textId="3A5AC055" w:rsidR="00DF67F6" w:rsidRPr="002661A8" w:rsidRDefault="00046A6B" w:rsidP="000A140B">
            <w:pPr>
              <w:rPr>
                <w:noProof/>
              </w:rPr>
            </w:pPr>
            <w:r w:rsidRPr="002661A8">
              <w:rPr>
                <w:noProof/>
              </w:rPr>
              <w:t>Clients</w:t>
            </w:r>
          </w:p>
        </w:tc>
        <w:tc>
          <w:tcPr>
            <w:tcW w:w="7592" w:type="dxa"/>
            <w:tcMar>
              <w:top w:w="85" w:type="dxa"/>
              <w:left w:w="57" w:type="dxa"/>
              <w:bottom w:w="85" w:type="dxa"/>
              <w:right w:w="57" w:type="dxa"/>
            </w:tcMar>
          </w:tcPr>
          <w:p w14:paraId="2D768A9D" w14:textId="57DAD94B" w:rsidR="00DF67F6" w:rsidRPr="002661A8" w:rsidRDefault="00046A6B" w:rsidP="003229A4">
            <w:pPr>
              <w:jc w:val="both"/>
              <w:rPr>
                <w:noProof/>
              </w:rPr>
            </w:pPr>
            <w:r w:rsidRPr="002661A8">
              <w:rPr>
                <w:noProof/>
              </w:rPr>
              <w:t xml:space="preserve">Clients </w:t>
            </w:r>
            <w:r w:rsidR="00A80381" w:rsidRPr="002661A8">
              <w:rPr>
                <w:noProof/>
              </w:rPr>
              <w:t>are</w:t>
            </w:r>
            <w:r w:rsidRPr="002661A8">
              <w:rPr>
                <w:noProof/>
              </w:rPr>
              <w:t xml:space="preserve"> clients of clearing members</w:t>
            </w:r>
            <w:r w:rsidR="0073538D" w:rsidRPr="002661A8">
              <w:rPr>
                <w:noProof/>
              </w:rPr>
              <w:t xml:space="preserve">, e.g. </w:t>
            </w:r>
            <w:r w:rsidRPr="002661A8">
              <w:rPr>
                <w:noProof/>
              </w:rPr>
              <w:t>hedge funds, pensions funds, investment funds, banks, insurance firms, etc. who use clearing members to help clear in a CCP.</w:t>
            </w:r>
          </w:p>
        </w:tc>
      </w:tr>
      <w:tr w:rsidR="00FD2055" w:rsidRPr="002661A8" w14:paraId="6DB5E8B4" w14:textId="77777777" w:rsidTr="000E2972">
        <w:tc>
          <w:tcPr>
            <w:tcW w:w="1242" w:type="dxa"/>
            <w:tcMar>
              <w:top w:w="85" w:type="dxa"/>
              <w:left w:w="57" w:type="dxa"/>
              <w:bottom w:w="85" w:type="dxa"/>
              <w:right w:w="57" w:type="dxa"/>
            </w:tcMar>
          </w:tcPr>
          <w:p w14:paraId="15901B83" w14:textId="4DDB6876" w:rsidR="00046A6B" w:rsidRPr="002661A8" w:rsidRDefault="00046A6B" w:rsidP="000A140B">
            <w:pPr>
              <w:rPr>
                <w:noProof/>
              </w:rPr>
            </w:pPr>
            <w:r w:rsidRPr="002661A8">
              <w:rPr>
                <w:noProof/>
              </w:rPr>
              <w:t>CMU</w:t>
            </w:r>
          </w:p>
        </w:tc>
        <w:tc>
          <w:tcPr>
            <w:tcW w:w="7592" w:type="dxa"/>
            <w:tcMar>
              <w:top w:w="85" w:type="dxa"/>
              <w:left w:w="57" w:type="dxa"/>
              <w:bottom w:w="85" w:type="dxa"/>
              <w:right w:w="57" w:type="dxa"/>
            </w:tcMar>
          </w:tcPr>
          <w:p w14:paraId="547C1E98" w14:textId="2AD07A2B" w:rsidR="00046A6B" w:rsidRPr="002661A8" w:rsidRDefault="00046A6B" w:rsidP="003229A4">
            <w:pPr>
              <w:jc w:val="both"/>
              <w:rPr>
                <w:noProof/>
              </w:rPr>
            </w:pPr>
            <w:r w:rsidRPr="002661A8">
              <w:rPr>
                <w:noProof/>
              </w:rPr>
              <w:t>Capital Markets Union</w:t>
            </w:r>
          </w:p>
        </w:tc>
      </w:tr>
      <w:tr w:rsidR="00046A6B" w:rsidRPr="002661A8" w14:paraId="1039E15F" w14:textId="77777777" w:rsidTr="000E2972">
        <w:tc>
          <w:tcPr>
            <w:tcW w:w="1242" w:type="dxa"/>
            <w:tcMar>
              <w:top w:w="85" w:type="dxa"/>
              <w:left w:w="57" w:type="dxa"/>
              <w:bottom w:w="85" w:type="dxa"/>
              <w:right w:w="57" w:type="dxa"/>
            </w:tcMar>
          </w:tcPr>
          <w:p w14:paraId="04B17591" w14:textId="77777777" w:rsidR="00DF67F6" w:rsidRPr="002661A8" w:rsidRDefault="3FA542DF" w:rsidP="000A140B">
            <w:pPr>
              <w:rPr>
                <w:noProof/>
              </w:rPr>
            </w:pPr>
            <w:r w:rsidRPr="002661A8">
              <w:rPr>
                <w:noProof/>
              </w:rPr>
              <w:t>Collateral</w:t>
            </w:r>
          </w:p>
        </w:tc>
        <w:tc>
          <w:tcPr>
            <w:tcW w:w="7592" w:type="dxa"/>
            <w:tcMar>
              <w:top w:w="85" w:type="dxa"/>
              <w:left w:w="57" w:type="dxa"/>
              <w:bottom w:w="85" w:type="dxa"/>
              <w:right w:w="57" w:type="dxa"/>
            </w:tcMar>
          </w:tcPr>
          <w:p w14:paraId="26F7EC88" w14:textId="77777777" w:rsidR="00DF67F6" w:rsidRPr="002661A8" w:rsidRDefault="3FA542DF" w:rsidP="003229A4">
            <w:pPr>
              <w:jc w:val="both"/>
              <w:rPr>
                <w:noProof/>
              </w:rPr>
            </w:pPr>
            <w:r w:rsidRPr="002661A8">
              <w:rPr>
                <w:noProof/>
              </w:rPr>
              <w:t>An asset or third-party commitment that is used by the collateral provider to secure an obligation to the collateral taker. Collateral arrangements may take different legal forms; collateral may be obtained using the method of title transfer or pledge.</w:t>
            </w:r>
          </w:p>
        </w:tc>
      </w:tr>
      <w:tr w:rsidR="00046A6B" w:rsidRPr="002661A8" w14:paraId="6A59CC9F" w14:textId="77777777" w:rsidTr="000E2972">
        <w:tc>
          <w:tcPr>
            <w:tcW w:w="1242" w:type="dxa"/>
            <w:tcMar>
              <w:top w:w="85" w:type="dxa"/>
              <w:left w:w="57" w:type="dxa"/>
              <w:bottom w:w="85" w:type="dxa"/>
              <w:right w:w="57" w:type="dxa"/>
            </w:tcMar>
          </w:tcPr>
          <w:p w14:paraId="1787A353" w14:textId="77777777" w:rsidR="00DF67F6" w:rsidRPr="002661A8" w:rsidRDefault="3FA542DF" w:rsidP="000A140B">
            <w:pPr>
              <w:rPr>
                <w:noProof/>
              </w:rPr>
            </w:pPr>
            <w:r w:rsidRPr="002661A8">
              <w:rPr>
                <w:noProof/>
              </w:rPr>
              <w:t>Counterparty credit risk</w:t>
            </w:r>
          </w:p>
        </w:tc>
        <w:tc>
          <w:tcPr>
            <w:tcW w:w="7592" w:type="dxa"/>
            <w:tcMar>
              <w:top w:w="85" w:type="dxa"/>
              <w:left w:w="57" w:type="dxa"/>
              <w:bottom w:w="85" w:type="dxa"/>
              <w:right w:w="57" w:type="dxa"/>
            </w:tcMar>
          </w:tcPr>
          <w:p w14:paraId="49916844" w14:textId="57827328" w:rsidR="00DF67F6" w:rsidRPr="002661A8" w:rsidRDefault="3FA542DF" w:rsidP="003229A4">
            <w:pPr>
              <w:jc w:val="both"/>
              <w:rPr>
                <w:noProof/>
              </w:rPr>
            </w:pPr>
            <w:r w:rsidRPr="002661A8">
              <w:rPr>
                <w:noProof/>
              </w:rPr>
              <w:t>The risk that a counterparty will not settle an obligation for full value, either when due or at any time thereafter. Credit risk includes pre-settlement risk (replacement cost risk) and settlement risk.</w:t>
            </w:r>
          </w:p>
        </w:tc>
      </w:tr>
      <w:tr w:rsidR="00046A6B" w:rsidRPr="002661A8" w14:paraId="75075AF5" w14:textId="77777777" w:rsidTr="000E2972">
        <w:tc>
          <w:tcPr>
            <w:tcW w:w="1242" w:type="dxa"/>
            <w:tcMar>
              <w:top w:w="85" w:type="dxa"/>
              <w:left w:w="57" w:type="dxa"/>
              <w:bottom w:w="85" w:type="dxa"/>
              <w:right w:w="57" w:type="dxa"/>
            </w:tcMar>
          </w:tcPr>
          <w:p w14:paraId="4F2D0637" w14:textId="6D650AF9" w:rsidR="00524030" w:rsidRPr="002661A8" w:rsidRDefault="3FA542DF" w:rsidP="00524030">
            <w:pPr>
              <w:rPr>
                <w:noProof/>
              </w:rPr>
            </w:pPr>
            <w:r w:rsidRPr="002661A8">
              <w:rPr>
                <w:noProof/>
              </w:rPr>
              <w:t>CPMI</w:t>
            </w:r>
          </w:p>
        </w:tc>
        <w:tc>
          <w:tcPr>
            <w:tcW w:w="7592" w:type="dxa"/>
            <w:tcMar>
              <w:top w:w="85" w:type="dxa"/>
              <w:left w:w="57" w:type="dxa"/>
              <w:bottom w:w="85" w:type="dxa"/>
              <w:right w:w="57" w:type="dxa"/>
            </w:tcMar>
          </w:tcPr>
          <w:p w14:paraId="0D5445D3" w14:textId="01CEEBA4" w:rsidR="00524030" w:rsidRPr="002661A8" w:rsidRDefault="3FA542DF" w:rsidP="003229A4">
            <w:pPr>
              <w:jc w:val="both"/>
              <w:rPr>
                <w:noProof/>
              </w:rPr>
            </w:pPr>
            <w:r w:rsidRPr="002661A8">
              <w:rPr>
                <w:noProof/>
              </w:rPr>
              <w:t>The Committee on Payments and Market Infrastructures</w:t>
            </w:r>
            <w:r w:rsidRPr="002661A8" w:rsidDel="00BE276F">
              <w:rPr>
                <w:noProof/>
              </w:rPr>
              <w:t xml:space="preserve"> </w:t>
            </w:r>
            <w:r w:rsidRPr="002661A8">
              <w:rPr>
                <w:noProof/>
              </w:rPr>
              <w:t>is an international standard setter that promotes, monitors and makes recommendations about the safety and efficiency of payment, clearing, settlement and related arrangements, thereby supporting financial stability and the wider economy. The CPMI also serves as a forum for central bank cooperation in related oversight, policy and operational matters, including the provision of central bank services.</w:t>
            </w:r>
          </w:p>
        </w:tc>
      </w:tr>
      <w:tr w:rsidR="00046A6B" w:rsidRPr="002661A8" w14:paraId="2A9CA91B" w14:textId="77777777" w:rsidTr="000E2972">
        <w:tc>
          <w:tcPr>
            <w:tcW w:w="1242" w:type="dxa"/>
            <w:tcMar>
              <w:top w:w="85" w:type="dxa"/>
              <w:left w:w="57" w:type="dxa"/>
              <w:bottom w:w="85" w:type="dxa"/>
              <w:right w:w="57" w:type="dxa"/>
            </w:tcMar>
          </w:tcPr>
          <w:p w14:paraId="120BDA63" w14:textId="77777777" w:rsidR="00DF67F6" w:rsidRPr="002661A8" w:rsidRDefault="3FA542DF" w:rsidP="000A140B">
            <w:pPr>
              <w:rPr>
                <w:noProof/>
              </w:rPr>
            </w:pPr>
            <w:r w:rsidRPr="002661A8">
              <w:rPr>
                <w:noProof/>
              </w:rPr>
              <w:t>Credit risk</w:t>
            </w:r>
          </w:p>
        </w:tc>
        <w:tc>
          <w:tcPr>
            <w:tcW w:w="7592" w:type="dxa"/>
            <w:tcMar>
              <w:top w:w="85" w:type="dxa"/>
              <w:left w:w="57" w:type="dxa"/>
              <w:bottom w:w="85" w:type="dxa"/>
              <w:right w:w="57" w:type="dxa"/>
            </w:tcMar>
          </w:tcPr>
          <w:p w14:paraId="1E6F304C" w14:textId="793A448A" w:rsidR="00DF67F6" w:rsidRPr="002661A8" w:rsidRDefault="3FA542DF" w:rsidP="003229A4">
            <w:pPr>
              <w:jc w:val="both"/>
              <w:rPr>
                <w:noProof/>
              </w:rPr>
            </w:pPr>
            <w:r w:rsidRPr="002661A8">
              <w:rPr>
                <w:noProof/>
              </w:rPr>
              <w:t>The risk of a change in value due to actual credit losses deviating from expected credit losses due to the failure to meet contractual debt obligations.</w:t>
            </w:r>
            <w:r w:rsidR="000C3D62" w:rsidRPr="002661A8">
              <w:rPr>
                <w:noProof/>
              </w:rPr>
              <w:t xml:space="preserve"> </w:t>
            </w:r>
            <w:r w:rsidRPr="002661A8">
              <w:rPr>
                <w:noProof/>
              </w:rPr>
              <w:t xml:space="preserve">Credit risk comprises default and settlement risk. Credit risk can arise on issuers of securities (in </w:t>
            </w:r>
            <w:r w:rsidR="0073538D" w:rsidRPr="002661A8">
              <w:rPr>
                <w:noProof/>
              </w:rPr>
              <w:t xml:space="preserve">a </w:t>
            </w:r>
            <w:r w:rsidRPr="002661A8">
              <w:rPr>
                <w:noProof/>
              </w:rPr>
              <w:t xml:space="preserve">company’s investment portfolio), debtors (e.g. mortgagors), counterparties (e.g. derivative contracts or deposits) and intermediaries, to whom the company </w:t>
            </w:r>
            <w:r w:rsidR="0073538D" w:rsidRPr="002661A8">
              <w:rPr>
                <w:noProof/>
              </w:rPr>
              <w:t>is</w:t>
            </w:r>
            <w:r w:rsidRPr="002661A8">
              <w:rPr>
                <w:noProof/>
              </w:rPr>
              <w:t xml:space="preserve"> expos</w:t>
            </w:r>
            <w:r w:rsidR="0073538D" w:rsidRPr="002661A8">
              <w:rPr>
                <w:noProof/>
              </w:rPr>
              <w:t>ed</w:t>
            </w:r>
            <w:r w:rsidRPr="002661A8">
              <w:rPr>
                <w:noProof/>
              </w:rPr>
              <w:t>.</w:t>
            </w:r>
          </w:p>
        </w:tc>
      </w:tr>
      <w:tr w:rsidR="00046A6B" w:rsidRPr="002661A8" w14:paraId="0A9B2396" w14:textId="77777777" w:rsidTr="000E2972">
        <w:tc>
          <w:tcPr>
            <w:tcW w:w="1242" w:type="dxa"/>
            <w:tcMar>
              <w:top w:w="85" w:type="dxa"/>
              <w:left w:w="57" w:type="dxa"/>
              <w:bottom w:w="85" w:type="dxa"/>
              <w:right w:w="57" w:type="dxa"/>
            </w:tcMar>
          </w:tcPr>
          <w:p w14:paraId="7772FA00" w14:textId="5AB4B311" w:rsidR="00FE3686" w:rsidRPr="002661A8" w:rsidRDefault="3FA542DF" w:rsidP="000A140B">
            <w:pPr>
              <w:rPr>
                <w:noProof/>
              </w:rPr>
            </w:pPr>
            <w:r w:rsidRPr="002661A8">
              <w:rPr>
                <w:noProof/>
              </w:rPr>
              <w:t>CRR</w:t>
            </w:r>
          </w:p>
        </w:tc>
        <w:tc>
          <w:tcPr>
            <w:tcW w:w="7592" w:type="dxa"/>
            <w:tcMar>
              <w:top w:w="85" w:type="dxa"/>
              <w:left w:w="57" w:type="dxa"/>
              <w:bottom w:w="85" w:type="dxa"/>
              <w:right w:w="57" w:type="dxa"/>
            </w:tcMar>
          </w:tcPr>
          <w:p w14:paraId="10EDB73C" w14:textId="0D5D2453" w:rsidR="00FE3686" w:rsidRPr="002661A8" w:rsidRDefault="3FA542DF" w:rsidP="003229A4">
            <w:pPr>
              <w:jc w:val="both"/>
              <w:rPr>
                <w:noProof/>
              </w:rPr>
            </w:pPr>
            <w:r w:rsidRPr="002661A8">
              <w:rPr>
                <w:noProof/>
              </w:rPr>
              <w:t>Regulation (EU) No 575/2013 of the European Parliament and of the Council of 26 June 2013 on prudential requirements for credit institutions and investment firms and amending Regulation (EU) No 648/2012</w:t>
            </w:r>
          </w:p>
        </w:tc>
      </w:tr>
      <w:tr w:rsidR="008E7231" w:rsidRPr="002661A8" w14:paraId="14C2E4AE" w14:textId="77777777" w:rsidTr="000E2972">
        <w:tc>
          <w:tcPr>
            <w:tcW w:w="1242" w:type="dxa"/>
            <w:tcMar>
              <w:top w:w="85" w:type="dxa"/>
              <w:left w:w="57" w:type="dxa"/>
              <w:bottom w:w="85" w:type="dxa"/>
              <w:right w:w="57" w:type="dxa"/>
            </w:tcMar>
          </w:tcPr>
          <w:p w14:paraId="6B78B06C" w14:textId="29DCDFBC" w:rsidR="008E7231" w:rsidRPr="002661A8" w:rsidRDefault="008E7231" w:rsidP="000A140B">
            <w:pPr>
              <w:rPr>
                <w:noProof/>
              </w:rPr>
            </w:pPr>
            <w:r w:rsidRPr="002661A8">
              <w:rPr>
                <w:noProof/>
              </w:rPr>
              <w:t>DCO</w:t>
            </w:r>
          </w:p>
        </w:tc>
        <w:tc>
          <w:tcPr>
            <w:tcW w:w="7592" w:type="dxa"/>
            <w:tcMar>
              <w:top w:w="85" w:type="dxa"/>
              <w:left w:w="57" w:type="dxa"/>
              <w:bottom w:w="85" w:type="dxa"/>
              <w:right w:w="57" w:type="dxa"/>
            </w:tcMar>
          </w:tcPr>
          <w:p w14:paraId="10151B3E" w14:textId="07E313B9" w:rsidR="008E7231" w:rsidRPr="002661A8" w:rsidRDefault="008E7231" w:rsidP="003229A4">
            <w:pPr>
              <w:jc w:val="both"/>
              <w:rPr>
                <w:noProof/>
              </w:rPr>
            </w:pPr>
            <w:r w:rsidRPr="002661A8">
              <w:rPr>
                <w:noProof/>
              </w:rPr>
              <w:t>Derivatives Clearing Organi</w:t>
            </w:r>
            <w:r w:rsidR="009F7F64" w:rsidRPr="002661A8">
              <w:rPr>
                <w:noProof/>
              </w:rPr>
              <w:t>z</w:t>
            </w:r>
            <w:r w:rsidRPr="002661A8">
              <w:rPr>
                <w:noProof/>
              </w:rPr>
              <w:t>ation</w:t>
            </w:r>
          </w:p>
        </w:tc>
      </w:tr>
      <w:tr w:rsidR="00046A6B" w:rsidRPr="002661A8" w14:paraId="2D3D4B16" w14:textId="77777777" w:rsidTr="000E2972">
        <w:tc>
          <w:tcPr>
            <w:tcW w:w="1242" w:type="dxa"/>
            <w:tcMar>
              <w:top w:w="85" w:type="dxa"/>
              <w:left w:w="57" w:type="dxa"/>
              <w:bottom w:w="85" w:type="dxa"/>
              <w:right w:w="57" w:type="dxa"/>
            </w:tcMar>
          </w:tcPr>
          <w:p w14:paraId="57102DF3" w14:textId="77777777" w:rsidR="00DF67F6" w:rsidRPr="002661A8" w:rsidRDefault="3FA542DF" w:rsidP="000A140B">
            <w:pPr>
              <w:rPr>
                <w:noProof/>
              </w:rPr>
            </w:pPr>
            <w:r w:rsidRPr="002661A8">
              <w:rPr>
                <w:noProof/>
              </w:rPr>
              <w:t>EMIR</w:t>
            </w:r>
          </w:p>
        </w:tc>
        <w:tc>
          <w:tcPr>
            <w:tcW w:w="7592" w:type="dxa"/>
            <w:tcMar>
              <w:top w:w="85" w:type="dxa"/>
              <w:left w:w="57" w:type="dxa"/>
              <w:bottom w:w="85" w:type="dxa"/>
              <w:right w:w="57" w:type="dxa"/>
            </w:tcMar>
          </w:tcPr>
          <w:p w14:paraId="22BFA583" w14:textId="77777777" w:rsidR="00DF67F6" w:rsidRPr="002661A8" w:rsidRDefault="3FA542DF" w:rsidP="003229A4">
            <w:pPr>
              <w:jc w:val="both"/>
              <w:rPr>
                <w:noProof/>
              </w:rPr>
            </w:pPr>
            <w:r w:rsidRPr="002661A8">
              <w:rPr>
                <w:noProof/>
              </w:rPr>
              <w:t>'European Markets Infrastructure Regulation', short for: Regulation (EU) No 648/2012 of the European Parliament and of the Council of 4 July 2012 on OTC derivatives, central counterparties and trade repositories</w:t>
            </w:r>
          </w:p>
        </w:tc>
      </w:tr>
      <w:tr w:rsidR="00046A6B" w:rsidRPr="002661A8" w14:paraId="541EFA0B" w14:textId="77777777" w:rsidTr="000E2972">
        <w:tc>
          <w:tcPr>
            <w:tcW w:w="1242" w:type="dxa"/>
            <w:tcMar>
              <w:top w:w="85" w:type="dxa"/>
              <w:left w:w="57" w:type="dxa"/>
              <w:bottom w:w="85" w:type="dxa"/>
              <w:right w:w="57" w:type="dxa"/>
            </w:tcMar>
          </w:tcPr>
          <w:p w14:paraId="226762CA" w14:textId="347817D8" w:rsidR="00524030" w:rsidRPr="002661A8" w:rsidRDefault="3FA542DF" w:rsidP="000A140B">
            <w:pPr>
              <w:rPr>
                <w:noProof/>
              </w:rPr>
            </w:pPr>
            <w:r w:rsidRPr="002661A8">
              <w:rPr>
                <w:noProof/>
              </w:rPr>
              <w:t>EBA</w:t>
            </w:r>
          </w:p>
        </w:tc>
        <w:tc>
          <w:tcPr>
            <w:tcW w:w="7592" w:type="dxa"/>
            <w:tcMar>
              <w:top w:w="85" w:type="dxa"/>
              <w:left w:w="57" w:type="dxa"/>
              <w:bottom w:w="85" w:type="dxa"/>
              <w:right w:w="57" w:type="dxa"/>
            </w:tcMar>
          </w:tcPr>
          <w:p w14:paraId="7345B433" w14:textId="2AB99DBC" w:rsidR="00524030" w:rsidRPr="002661A8" w:rsidRDefault="3FA542DF" w:rsidP="003229A4">
            <w:pPr>
              <w:jc w:val="both"/>
              <w:rPr>
                <w:noProof/>
              </w:rPr>
            </w:pPr>
            <w:r w:rsidRPr="002661A8">
              <w:rPr>
                <w:noProof/>
              </w:rPr>
              <w:t>European Banking Authority</w:t>
            </w:r>
          </w:p>
        </w:tc>
      </w:tr>
      <w:tr w:rsidR="00046A6B" w:rsidRPr="002661A8" w14:paraId="603259DB" w14:textId="77777777" w:rsidTr="000E2972">
        <w:tc>
          <w:tcPr>
            <w:tcW w:w="1242" w:type="dxa"/>
            <w:tcMar>
              <w:top w:w="85" w:type="dxa"/>
              <w:left w:w="57" w:type="dxa"/>
              <w:bottom w:w="85" w:type="dxa"/>
              <w:right w:w="57" w:type="dxa"/>
            </w:tcMar>
          </w:tcPr>
          <w:p w14:paraId="75A0A3C6" w14:textId="6FA817EA" w:rsidR="00524030" w:rsidRPr="002661A8" w:rsidRDefault="3FA542DF" w:rsidP="000A140B">
            <w:pPr>
              <w:rPr>
                <w:noProof/>
              </w:rPr>
            </w:pPr>
            <w:r w:rsidRPr="002661A8">
              <w:rPr>
                <w:noProof/>
              </w:rPr>
              <w:t>EIOPA</w:t>
            </w:r>
          </w:p>
        </w:tc>
        <w:tc>
          <w:tcPr>
            <w:tcW w:w="7592" w:type="dxa"/>
            <w:tcMar>
              <w:top w:w="85" w:type="dxa"/>
              <w:left w:w="57" w:type="dxa"/>
              <w:bottom w:w="85" w:type="dxa"/>
              <w:right w:w="57" w:type="dxa"/>
            </w:tcMar>
          </w:tcPr>
          <w:p w14:paraId="2EB7E754" w14:textId="000211D0" w:rsidR="00524030" w:rsidRPr="002661A8" w:rsidRDefault="3FA542DF" w:rsidP="003229A4">
            <w:pPr>
              <w:jc w:val="both"/>
              <w:rPr>
                <w:noProof/>
              </w:rPr>
            </w:pPr>
            <w:r w:rsidRPr="002661A8">
              <w:rPr>
                <w:noProof/>
              </w:rPr>
              <w:t>European Insurance and Occupational Pensions Authority</w:t>
            </w:r>
          </w:p>
        </w:tc>
      </w:tr>
      <w:tr w:rsidR="00046A6B" w:rsidRPr="002661A8" w14:paraId="0018DF86" w14:textId="77777777" w:rsidTr="000E2972">
        <w:tc>
          <w:tcPr>
            <w:tcW w:w="1242" w:type="dxa"/>
            <w:tcMar>
              <w:top w:w="85" w:type="dxa"/>
              <w:left w:w="57" w:type="dxa"/>
              <w:bottom w:w="85" w:type="dxa"/>
              <w:right w:w="57" w:type="dxa"/>
            </w:tcMar>
          </w:tcPr>
          <w:p w14:paraId="2376632F" w14:textId="54DDEA3D" w:rsidR="00DF67F6" w:rsidRPr="002661A8" w:rsidRDefault="3FA542DF" w:rsidP="000A140B">
            <w:pPr>
              <w:rPr>
                <w:noProof/>
              </w:rPr>
            </w:pPr>
            <w:r w:rsidRPr="002661A8">
              <w:rPr>
                <w:noProof/>
              </w:rPr>
              <w:t>ESA</w:t>
            </w:r>
            <w:r w:rsidR="003062B7" w:rsidRPr="002661A8">
              <w:rPr>
                <w:noProof/>
              </w:rPr>
              <w:t>s</w:t>
            </w:r>
          </w:p>
        </w:tc>
        <w:tc>
          <w:tcPr>
            <w:tcW w:w="7592" w:type="dxa"/>
            <w:tcMar>
              <w:top w:w="85" w:type="dxa"/>
              <w:left w:w="57" w:type="dxa"/>
              <w:bottom w:w="85" w:type="dxa"/>
              <w:right w:w="57" w:type="dxa"/>
            </w:tcMar>
          </w:tcPr>
          <w:p w14:paraId="0FC7D3E6" w14:textId="260DEC73" w:rsidR="00DF67F6" w:rsidRPr="002661A8" w:rsidRDefault="3FA542DF" w:rsidP="003229A4">
            <w:pPr>
              <w:jc w:val="both"/>
              <w:rPr>
                <w:noProof/>
              </w:rPr>
            </w:pPr>
            <w:r w:rsidRPr="002661A8">
              <w:rPr>
                <w:noProof/>
              </w:rPr>
              <w:t>European Supervisory Authorit</w:t>
            </w:r>
            <w:r w:rsidR="003062B7" w:rsidRPr="002661A8">
              <w:rPr>
                <w:noProof/>
              </w:rPr>
              <w:t>ies (i.e. EBA, ESMA, EIOPA)</w:t>
            </w:r>
          </w:p>
        </w:tc>
      </w:tr>
      <w:tr w:rsidR="00046A6B" w:rsidRPr="002661A8" w14:paraId="090007E5" w14:textId="77777777" w:rsidTr="000E2972">
        <w:tc>
          <w:tcPr>
            <w:tcW w:w="1242" w:type="dxa"/>
            <w:tcMar>
              <w:top w:w="85" w:type="dxa"/>
              <w:left w:w="57" w:type="dxa"/>
              <w:bottom w:w="85" w:type="dxa"/>
              <w:right w:w="57" w:type="dxa"/>
            </w:tcMar>
          </w:tcPr>
          <w:p w14:paraId="5543B74C" w14:textId="77777777" w:rsidR="00DF67F6" w:rsidRPr="002661A8" w:rsidRDefault="3FA542DF" w:rsidP="000A140B">
            <w:pPr>
              <w:rPr>
                <w:noProof/>
              </w:rPr>
            </w:pPr>
            <w:r w:rsidRPr="002661A8">
              <w:rPr>
                <w:noProof/>
              </w:rPr>
              <w:t>ESCB</w:t>
            </w:r>
          </w:p>
        </w:tc>
        <w:tc>
          <w:tcPr>
            <w:tcW w:w="7592" w:type="dxa"/>
            <w:tcMar>
              <w:top w:w="85" w:type="dxa"/>
              <w:left w:w="57" w:type="dxa"/>
              <w:bottom w:w="85" w:type="dxa"/>
              <w:right w:w="57" w:type="dxa"/>
            </w:tcMar>
          </w:tcPr>
          <w:p w14:paraId="21DBD17A" w14:textId="77777777" w:rsidR="00DF67F6" w:rsidRPr="002661A8" w:rsidRDefault="3FA542DF" w:rsidP="003229A4">
            <w:pPr>
              <w:jc w:val="both"/>
              <w:rPr>
                <w:noProof/>
              </w:rPr>
            </w:pPr>
            <w:r w:rsidRPr="002661A8">
              <w:rPr>
                <w:noProof/>
              </w:rPr>
              <w:t>European System of Central Banks</w:t>
            </w:r>
          </w:p>
        </w:tc>
      </w:tr>
      <w:tr w:rsidR="00046A6B" w:rsidRPr="002661A8" w14:paraId="61DA3AB5" w14:textId="77777777" w:rsidTr="000E2972">
        <w:tc>
          <w:tcPr>
            <w:tcW w:w="1242" w:type="dxa"/>
            <w:tcMar>
              <w:top w:w="85" w:type="dxa"/>
              <w:left w:w="57" w:type="dxa"/>
              <w:bottom w:w="85" w:type="dxa"/>
              <w:right w:w="57" w:type="dxa"/>
            </w:tcMar>
          </w:tcPr>
          <w:p w14:paraId="65495FDD" w14:textId="2FF8F4D1" w:rsidR="00524030" w:rsidRPr="002661A8" w:rsidRDefault="3FA542DF" w:rsidP="000A140B">
            <w:pPr>
              <w:rPr>
                <w:noProof/>
              </w:rPr>
            </w:pPr>
            <w:r w:rsidRPr="002661A8">
              <w:rPr>
                <w:noProof/>
              </w:rPr>
              <w:t>ESMA</w:t>
            </w:r>
          </w:p>
        </w:tc>
        <w:tc>
          <w:tcPr>
            <w:tcW w:w="7592" w:type="dxa"/>
            <w:tcMar>
              <w:top w:w="85" w:type="dxa"/>
              <w:left w:w="57" w:type="dxa"/>
              <w:bottom w:w="85" w:type="dxa"/>
              <w:right w:w="57" w:type="dxa"/>
            </w:tcMar>
          </w:tcPr>
          <w:p w14:paraId="4AEF8550" w14:textId="490D86B5" w:rsidR="00982AA1" w:rsidRPr="002661A8" w:rsidRDefault="3FA542DF" w:rsidP="003229A4">
            <w:pPr>
              <w:jc w:val="both"/>
              <w:rPr>
                <w:noProof/>
              </w:rPr>
            </w:pPr>
            <w:r w:rsidRPr="002661A8">
              <w:rPr>
                <w:noProof/>
              </w:rPr>
              <w:t>European Securities and Market Authority</w:t>
            </w:r>
          </w:p>
        </w:tc>
      </w:tr>
      <w:tr w:rsidR="00D8644A" w:rsidRPr="002661A8" w14:paraId="336FAC41" w14:textId="77777777" w:rsidTr="000E2972">
        <w:tc>
          <w:tcPr>
            <w:tcW w:w="1242" w:type="dxa"/>
            <w:tcMar>
              <w:top w:w="85" w:type="dxa"/>
              <w:left w:w="57" w:type="dxa"/>
              <w:bottom w:w="85" w:type="dxa"/>
              <w:right w:w="57" w:type="dxa"/>
            </w:tcMar>
          </w:tcPr>
          <w:p w14:paraId="67C426D2" w14:textId="2FB9F363" w:rsidR="00D8644A" w:rsidRPr="002661A8" w:rsidRDefault="00D8644A" w:rsidP="000A140B">
            <w:pPr>
              <w:rPr>
                <w:noProof/>
              </w:rPr>
            </w:pPr>
            <w:r w:rsidRPr="002661A8">
              <w:rPr>
                <w:noProof/>
              </w:rPr>
              <w:t>FTE</w:t>
            </w:r>
          </w:p>
        </w:tc>
        <w:tc>
          <w:tcPr>
            <w:tcW w:w="7592" w:type="dxa"/>
            <w:tcMar>
              <w:top w:w="85" w:type="dxa"/>
              <w:left w:w="57" w:type="dxa"/>
              <w:bottom w:w="85" w:type="dxa"/>
              <w:right w:w="57" w:type="dxa"/>
            </w:tcMar>
          </w:tcPr>
          <w:p w14:paraId="6B122DB0" w14:textId="4DD8B3DB" w:rsidR="00D8644A" w:rsidRPr="002661A8" w:rsidRDefault="00D8644A" w:rsidP="003229A4">
            <w:pPr>
              <w:jc w:val="both"/>
              <w:rPr>
                <w:noProof/>
              </w:rPr>
            </w:pPr>
            <w:r w:rsidRPr="002661A8">
              <w:rPr>
                <w:noProof/>
              </w:rPr>
              <w:t>Full time equivalent</w:t>
            </w:r>
          </w:p>
        </w:tc>
      </w:tr>
      <w:tr w:rsidR="00046A6B" w:rsidRPr="002661A8" w14:paraId="59718B15" w14:textId="77777777" w:rsidTr="000E2972">
        <w:tc>
          <w:tcPr>
            <w:tcW w:w="1242" w:type="dxa"/>
            <w:tcMar>
              <w:top w:w="85" w:type="dxa"/>
              <w:left w:w="57" w:type="dxa"/>
              <w:bottom w:w="85" w:type="dxa"/>
              <w:right w:w="57" w:type="dxa"/>
            </w:tcMar>
          </w:tcPr>
          <w:p w14:paraId="29346EDA" w14:textId="20FBFF3B" w:rsidR="00982AA1" w:rsidRPr="002661A8" w:rsidRDefault="00982AA1" w:rsidP="000A140B">
            <w:pPr>
              <w:rPr>
                <w:noProof/>
              </w:rPr>
            </w:pPr>
            <w:r w:rsidRPr="002661A8">
              <w:rPr>
                <w:noProof/>
              </w:rPr>
              <w:t>IRD</w:t>
            </w:r>
          </w:p>
        </w:tc>
        <w:tc>
          <w:tcPr>
            <w:tcW w:w="7592" w:type="dxa"/>
            <w:tcMar>
              <w:top w:w="85" w:type="dxa"/>
              <w:left w:w="57" w:type="dxa"/>
              <w:bottom w:w="85" w:type="dxa"/>
              <w:right w:w="57" w:type="dxa"/>
            </w:tcMar>
          </w:tcPr>
          <w:p w14:paraId="5B8D5E8F" w14:textId="7A329A70" w:rsidR="00982AA1" w:rsidRPr="002661A8" w:rsidRDefault="00C109F5" w:rsidP="00C109F5">
            <w:pPr>
              <w:jc w:val="both"/>
              <w:rPr>
                <w:noProof/>
              </w:rPr>
            </w:pPr>
            <w:r w:rsidRPr="002661A8">
              <w:rPr>
                <w:noProof/>
              </w:rPr>
              <w:t>Interest rate derivatives are financial instruments which value is linked to the movements of an interest rate reference. They may include futures, options, or swaps contracts. Interest rate derivatives are often used as hedges by institutional investors, banks, companies, and individuals to protect themselves against changes in interest rates, but they can also be used to speculate on the evolution of interest rates.</w:t>
            </w:r>
          </w:p>
        </w:tc>
      </w:tr>
      <w:tr w:rsidR="00046A6B" w:rsidRPr="002661A8" w14:paraId="6CA2CCB9" w14:textId="77777777" w:rsidTr="000E2972">
        <w:trPr>
          <w:trHeight w:val="25"/>
        </w:trPr>
        <w:tc>
          <w:tcPr>
            <w:tcW w:w="1242" w:type="dxa"/>
            <w:tcMar>
              <w:top w:w="85" w:type="dxa"/>
              <w:left w:w="57" w:type="dxa"/>
              <w:bottom w:w="85" w:type="dxa"/>
              <w:right w:w="57" w:type="dxa"/>
            </w:tcMar>
          </w:tcPr>
          <w:p w14:paraId="549A43A8" w14:textId="5260D87D" w:rsidR="00524030" w:rsidRPr="002661A8" w:rsidRDefault="3FA542DF" w:rsidP="00524030">
            <w:pPr>
              <w:rPr>
                <w:noProof/>
              </w:rPr>
            </w:pPr>
            <w:r w:rsidRPr="002661A8">
              <w:rPr>
                <w:noProof/>
              </w:rPr>
              <w:t>IRS</w:t>
            </w:r>
          </w:p>
        </w:tc>
        <w:tc>
          <w:tcPr>
            <w:tcW w:w="7592" w:type="dxa"/>
            <w:tcMar>
              <w:top w:w="85" w:type="dxa"/>
              <w:left w:w="57" w:type="dxa"/>
              <w:bottom w:w="85" w:type="dxa"/>
              <w:right w:w="57" w:type="dxa"/>
            </w:tcMar>
          </w:tcPr>
          <w:p w14:paraId="3D226C55" w14:textId="025BACCF" w:rsidR="00524030" w:rsidRPr="002661A8" w:rsidRDefault="3FA542DF" w:rsidP="003229A4">
            <w:pPr>
              <w:jc w:val="both"/>
              <w:rPr>
                <w:noProof/>
              </w:rPr>
            </w:pPr>
            <w:r w:rsidRPr="002661A8">
              <w:rPr>
                <w:noProof/>
              </w:rPr>
              <w:t>An interest rate swap</w:t>
            </w:r>
            <w:r w:rsidRPr="002661A8" w:rsidDel="00DC726A">
              <w:rPr>
                <w:noProof/>
              </w:rPr>
              <w:t xml:space="preserve"> </w:t>
            </w:r>
            <w:r w:rsidRPr="002661A8">
              <w:rPr>
                <w:noProof/>
              </w:rPr>
              <w:t>is a forward contract in which one stream of future interest payments is exchanged for another based on a specified principal amount. Interest rate swaps usually involve the exchange of a fixed for a floating rate, or vice versa, to reduce or increase exposure to fluctuations in interest rates or to obtain a marginally lower interest rate than would have been possible without the swap.</w:t>
            </w:r>
          </w:p>
        </w:tc>
      </w:tr>
      <w:tr w:rsidR="00CA73C6" w:rsidRPr="002661A8" w14:paraId="37BDCB31" w14:textId="77777777" w:rsidTr="000E2972">
        <w:trPr>
          <w:trHeight w:val="25"/>
        </w:trPr>
        <w:tc>
          <w:tcPr>
            <w:tcW w:w="1242" w:type="dxa"/>
            <w:tcMar>
              <w:top w:w="85" w:type="dxa"/>
              <w:left w:w="57" w:type="dxa"/>
              <w:bottom w:w="85" w:type="dxa"/>
              <w:right w:w="57" w:type="dxa"/>
            </w:tcMar>
          </w:tcPr>
          <w:p w14:paraId="385C2AD4" w14:textId="14BF929C" w:rsidR="00CA73C6" w:rsidRPr="002661A8" w:rsidRDefault="00CA73C6" w:rsidP="00DC726A">
            <w:pPr>
              <w:rPr>
                <w:noProof/>
              </w:rPr>
            </w:pPr>
            <w:r>
              <w:rPr>
                <w:noProof/>
              </w:rPr>
              <w:t>Implementing Technical Standards (ITSs)</w:t>
            </w:r>
          </w:p>
        </w:tc>
        <w:tc>
          <w:tcPr>
            <w:tcW w:w="7592" w:type="dxa"/>
            <w:tcMar>
              <w:top w:w="85" w:type="dxa"/>
              <w:left w:w="57" w:type="dxa"/>
              <w:bottom w:w="85" w:type="dxa"/>
              <w:right w:w="57" w:type="dxa"/>
            </w:tcMar>
          </w:tcPr>
          <w:p w14:paraId="42E3C9B4" w14:textId="12013DD2" w:rsidR="00CA73C6" w:rsidRPr="002661A8" w:rsidRDefault="00CA73C6" w:rsidP="00CA73C6">
            <w:pPr>
              <w:jc w:val="both"/>
              <w:rPr>
                <w:noProof/>
              </w:rPr>
            </w:pPr>
            <w:r>
              <w:rPr>
                <w:noProof/>
              </w:rPr>
              <w:t>I</w:t>
            </w:r>
            <w:r w:rsidRPr="00CA73C6">
              <w:rPr>
                <w:noProof/>
              </w:rPr>
              <w:t>mplemen</w:t>
            </w:r>
            <w:r>
              <w:rPr>
                <w:noProof/>
              </w:rPr>
              <w:t>ting technical standards</w:t>
            </w:r>
            <w:r w:rsidDel="00DC726A">
              <w:rPr>
                <w:noProof/>
              </w:rPr>
              <w:t xml:space="preserve"> </w:t>
            </w:r>
            <w:r w:rsidRPr="00CA73C6">
              <w:rPr>
                <w:noProof/>
              </w:rPr>
              <w:t>are adopted by means of an implementing act</w:t>
            </w:r>
            <w:r>
              <w:rPr>
                <w:noProof/>
              </w:rPr>
              <w:t xml:space="preserve"> pursuant to Article 291 of the Treaty on the Functioning of the European Union (TFEU)</w:t>
            </w:r>
            <w:r w:rsidRPr="00CA73C6">
              <w:rPr>
                <w:noProof/>
              </w:rPr>
              <w:t>.</w:t>
            </w:r>
            <w:r>
              <w:rPr>
                <w:noProof/>
              </w:rPr>
              <w:t xml:space="preserve"> </w:t>
            </w:r>
            <w:r w:rsidRPr="00CA73C6">
              <w:rPr>
                <w:noProof/>
              </w:rPr>
              <w:t xml:space="preserve">ESMA, as the other ESAs, may be entrusted with preparing draft </w:t>
            </w:r>
            <w:r>
              <w:rPr>
                <w:noProof/>
              </w:rPr>
              <w:t>ITSs</w:t>
            </w:r>
            <w:r w:rsidRPr="00CA73C6">
              <w:rPr>
                <w:noProof/>
              </w:rPr>
              <w:t xml:space="preserve"> to be subsequently adopted by the Commission pursuant to the procedure set out in </w:t>
            </w:r>
            <w:r>
              <w:rPr>
                <w:noProof/>
              </w:rPr>
              <w:t>Article 15 of</w:t>
            </w:r>
            <w:r w:rsidRPr="00CA73C6">
              <w:rPr>
                <w:noProof/>
              </w:rPr>
              <w:t xml:space="preserve"> the ESMA Regulation (Regulation (EU) No 1095/2010).</w:t>
            </w:r>
          </w:p>
        </w:tc>
      </w:tr>
      <w:tr w:rsidR="00046A6B" w:rsidRPr="002661A8" w14:paraId="7F449FC4" w14:textId="77777777" w:rsidTr="000E2972">
        <w:trPr>
          <w:trHeight w:val="25"/>
        </w:trPr>
        <w:tc>
          <w:tcPr>
            <w:tcW w:w="1242" w:type="dxa"/>
            <w:tcMar>
              <w:top w:w="85" w:type="dxa"/>
              <w:left w:w="57" w:type="dxa"/>
              <w:bottom w:w="85" w:type="dxa"/>
              <w:right w:w="57" w:type="dxa"/>
            </w:tcMar>
          </w:tcPr>
          <w:p w14:paraId="69FA9B65" w14:textId="554FBF4B" w:rsidR="00524030" w:rsidRPr="002661A8" w:rsidRDefault="3FA542DF" w:rsidP="00524030">
            <w:pPr>
              <w:rPr>
                <w:noProof/>
              </w:rPr>
            </w:pPr>
            <w:r w:rsidRPr="002661A8">
              <w:rPr>
                <w:noProof/>
              </w:rPr>
              <w:t>FSB</w:t>
            </w:r>
          </w:p>
        </w:tc>
        <w:tc>
          <w:tcPr>
            <w:tcW w:w="7592" w:type="dxa"/>
            <w:tcMar>
              <w:top w:w="85" w:type="dxa"/>
              <w:left w:w="57" w:type="dxa"/>
              <w:bottom w:w="85" w:type="dxa"/>
              <w:right w:w="57" w:type="dxa"/>
            </w:tcMar>
          </w:tcPr>
          <w:p w14:paraId="4E2868AD" w14:textId="54AD52BE" w:rsidR="00524030" w:rsidRPr="002661A8" w:rsidRDefault="3FA542DF" w:rsidP="003229A4">
            <w:pPr>
              <w:jc w:val="both"/>
              <w:rPr>
                <w:noProof/>
              </w:rPr>
            </w:pPr>
            <w:r w:rsidRPr="002661A8">
              <w:rPr>
                <w:noProof/>
              </w:rPr>
              <w:t>The Financial Stability Board is an international body that monitors and makes recommendations about the global financial system. It promotes international financial stability; it does so by coordinating national financial authorities and international standard-setting bodies as they work toward developing strong regulatory, supervisory and other financial sector policies. It fosters a level playing field by encouraging coherent implementation of these policies across sectors and jurisdictions. Policies developed in the pursuit of these objectives are implemented by jurisdictions and national authorities.</w:t>
            </w:r>
          </w:p>
        </w:tc>
      </w:tr>
      <w:tr w:rsidR="00046A6B" w:rsidRPr="002661A8" w14:paraId="61F68A15" w14:textId="77777777" w:rsidTr="000E2972">
        <w:trPr>
          <w:trHeight w:val="1922"/>
        </w:trPr>
        <w:tc>
          <w:tcPr>
            <w:tcW w:w="1242" w:type="dxa"/>
            <w:tcMar>
              <w:top w:w="85" w:type="dxa"/>
              <w:left w:w="57" w:type="dxa"/>
              <w:bottom w:w="85" w:type="dxa"/>
              <w:right w:w="57" w:type="dxa"/>
            </w:tcMar>
          </w:tcPr>
          <w:p w14:paraId="7542420D" w14:textId="5F40DDCB" w:rsidR="00524030" w:rsidRPr="002661A8" w:rsidRDefault="3FA542DF" w:rsidP="00524030">
            <w:pPr>
              <w:rPr>
                <w:noProof/>
              </w:rPr>
            </w:pPr>
            <w:r w:rsidRPr="002661A8">
              <w:rPr>
                <w:noProof/>
              </w:rPr>
              <w:t>IOSCO</w:t>
            </w:r>
          </w:p>
        </w:tc>
        <w:tc>
          <w:tcPr>
            <w:tcW w:w="7592" w:type="dxa"/>
            <w:tcMar>
              <w:top w:w="85" w:type="dxa"/>
              <w:left w:w="57" w:type="dxa"/>
              <w:bottom w:w="85" w:type="dxa"/>
              <w:right w:w="57" w:type="dxa"/>
            </w:tcMar>
          </w:tcPr>
          <w:p w14:paraId="09ECF16D" w14:textId="184C2F5F" w:rsidR="00524030" w:rsidRPr="002661A8" w:rsidRDefault="3FA542DF" w:rsidP="00A404DA">
            <w:pPr>
              <w:jc w:val="both"/>
              <w:rPr>
                <w:noProof/>
              </w:rPr>
            </w:pPr>
            <w:r w:rsidRPr="002661A8">
              <w:rPr>
                <w:noProof/>
              </w:rPr>
              <w:t>The International Organization of Securities Commissions is an association of regulat</w:t>
            </w:r>
            <w:r w:rsidR="009606E7" w:rsidRPr="002661A8">
              <w:rPr>
                <w:noProof/>
              </w:rPr>
              <w:t>ors of</w:t>
            </w:r>
            <w:r w:rsidRPr="002661A8">
              <w:rPr>
                <w:noProof/>
              </w:rPr>
              <w:t xml:space="preserve"> the world's securities and futures markets. Members are typically primary securities and/or futures regulators in a national jurisdiction or the main financial regulator from each country. Its mandate is to:</w:t>
            </w:r>
            <w:r w:rsidR="00A404DA" w:rsidRPr="002661A8">
              <w:rPr>
                <w:noProof/>
              </w:rPr>
              <w:t xml:space="preserve"> d</w:t>
            </w:r>
            <w:r w:rsidRPr="002661A8">
              <w:rPr>
                <w:noProof/>
              </w:rPr>
              <w:t>evelop, implement, and promote high standards of regulation to enhance investor protection and reduce systemic risk</w:t>
            </w:r>
            <w:r w:rsidR="00A404DA" w:rsidRPr="002661A8">
              <w:rPr>
                <w:noProof/>
              </w:rPr>
              <w:t>; s</w:t>
            </w:r>
            <w:r w:rsidRPr="002661A8">
              <w:rPr>
                <w:noProof/>
              </w:rPr>
              <w:t>hare information with exchanges and assist them with technical and operational issues</w:t>
            </w:r>
            <w:r w:rsidR="00A404DA" w:rsidRPr="002661A8">
              <w:rPr>
                <w:noProof/>
              </w:rPr>
              <w:t>; e</w:t>
            </w:r>
            <w:r w:rsidRPr="002661A8">
              <w:rPr>
                <w:noProof/>
              </w:rPr>
              <w:t xml:space="preserve">stablish standards </w:t>
            </w:r>
            <w:r w:rsidR="00775365" w:rsidRPr="002661A8">
              <w:rPr>
                <w:noProof/>
              </w:rPr>
              <w:t>to</w:t>
            </w:r>
            <w:r w:rsidRPr="002661A8">
              <w:rPr>
                <w:noProof/>
              </w:rPr>
              <w:t xml:space="preserve"> monitoring global investment transactions across borders and markets</w:t>
            </w:r>
            <w:r w:rsidR="000C3D62" w:rsidRPr="002661A8">
              <w:rPr>
                <w:noProof/>
              </w:rPr>
              <w:t>.</w:t>
            </w:r>
          </w:p>
        </w:tc>
      </w:tr>
      <w:tr w:rsidR="00724804" w:rsidRPr="002661A8" w14:paraId="36D13B64" w14:textId="77777777" w:rsidTr="000E2972">
        <w:trPr>
          <w:trHeight w:val="488"/>
        </w:trPr>
        <w:tc>
          <w:tcPr>
            <w:tcW w:w="1242" w:type="dxa"/>
            <w:tcMar>
              <w:top w:w="85" w:type="dxa"/>
              <w:left w:w="57" w:type="dxa"/>
              <w:bottom w:w="85" w:type="dxa"/>
              <w:right w:w="57" w:type="dxa"/>
            </w:tcMar>
          </w:tcPr>
          <w:p w14:paraId="0D9A34A4" w14:textId="579097E3" w:rsidR="004B08AE" w:rsidRDefault="004B08AE" w:rsidP="00524030">
            <w:pPr>
              <w:rPr>
                <w:noProof/>
              </w:rPr>
            </w:pPr>
            <w:r>
              <w:rPr>
                <w:noProof/>
              </w:rPr>
              <w:t xml:space="preserve">Level 1 act </w:t>
            </w:r>
          </w:p>
        </w:tc>
        <w:tc>
          <w:tcPr>
            <w:tcW w:w="7592" w:type="dxa"/>
            <w:tcMar>
              <w:top w:w="85" w:type="dxa"/>
              <w:left w:w="57" w:type="dxa"/>
              <w:bottom w:w="85" w:type="dxa"/>
              <w:right w:w="57" w:type="dxa"/>
            </w:tcMar>
          </w:tcPr>
          <w:p w14:paraId="6FE231F2" w14:textId="7C2367BD" w:rsidR="004B08AE" w:rsidRDefault="004B08AE" w:rsidP="004B08AE">
            <w:pPr>
              <w:jc w:val="both"/>
              <w:rPr>
                <w:noProof/>
              </w:rPr>
            </w:pPr>
            <w:r>
              <w:rPr>
                <w:noProof/>
              </w:rPr>
              <w:t>The term Level 1 act refers to Directives and Regulations adopted by the</w:t>
            </w:r>
            <w:r w:rsidRPr="004B08AE">
              <w:rPr>
                <w:noProof/>
              </w:rPr>
              <w:t xml:space="preserve"> European Parliament and Council</w:t>
            </w:r>
            <w:r>
              <w:rPr>
                <w:noProof/>
              </w:rPr>
              <w:t xml:space="preserve"> on the basis of a Commission proposal</w:t>
            </w:r>
            <w:r w:rsidRPr="004B08AE">
              <w:rPr>
                <w:noProof/>
              </w:rPr>
              <w:t>.</w:t>
            </w:r>
          </w:p>
        </w:tc>
      </w:tr>
      <w:tr w:rsidR="00724804" w:rsidRPr="002661A8" w14:paraId="1C8508B1" w14:textId="77777777" w:rsidTr="000E2972">
        <w:trPr>
          <w:trHeight w:val="1182"/>
        </w:trPr>
        <w:tc>
          <w:tcPr>
            <w:tcW w:w="1242" w:type="dxa"/>
            <w:tcMar>
              <w:top w:w="85" w:type="dxa"/>
              <w:left w:w="57" w:type="dxa"/>
              <w:bottom w:w="85" w:type="dxa"/>
              <w:right w:w="57" w:type="dxa"/>
            </w:tcMar>
          </w:tcPr>
          <w:p w14:paraId="4D7F91FB" w14:textId="52E39ACE" w:rsidR="004B08AE" w:rsidRDefault="004B08AE" w:rsidP="00524030">
            <w:pPr>
              <w:rPr>
                <w:noProof/>
              </w:rPr>
            </w:pPr>
            <w:r>
              <w:rPr>
                <w:noProof/>
              </w:rPr>
              <w:t>Level 2 act</w:t>
            </w:r>
          </w:p>
        </w:tc>
        <w:tc>
          <w:tcPr>
            <w:tcW w:w="7592" w:type="dxa"/>
            <w:tcMar>
              <w:top w:w="85" w:type="dxa"/>
              <w:left w:w="57" w:type="dxa"/>
              <w:bottom w:w="85" w:type="dxa"/>
              <w:right w:w="57" w:type="dxa"/>
            </w:tcMar>
          </w:tcPr>
          <w:p w14:paraId="3210194F" w14:textId="59BD6083" w:rsidR="004B08AE" w:rsidRDefault="004B08AE" w:rsidP="004B08AE">
            <w:pPr>
              <w:jc w:val="both"/>
              <w:rPr>
                <w:noProof/>
              </w:rPr>
            </w:pPr>
            <w:r>
              <w:rPr>
                <w:noProof/>
              </w:rPr>
              <w:t>Many level 1 regulations and directives in the area of financial services (so called ‘basic acts’) contain empowerments for level 2 measures to be adopted by the Commission by means of delegated acts or implementing acts. Delegated acts, as defined in Article 290 TFEU, are acts supplementing or amending certain non-essential elements of a basic act. Implementing acts, as defined in Article 291 TFEU are to be used where uniform conditions for implementing basic acts are required. Where the level 2 measures require the expertise of supervisory experts, it can be determined in the basic act that these measures are technical standards based on drafts developed by the European Supervisory Authorities (see also the terms Regulatory Technical Standards and Implementing Tech</w:t>
            </w:r>
            <w:r w:rsidR="00D41C12">
              <w:rPr>
                <w:noProof/>
              </w:rPr>
              <w:t>n</w:t>
            </w:r>
            <w:r>
              <w:rPr>
                <w:noProof/>
              </w:rPr>
              <w:t>ical Standards)</w:t>
            </w:r>
            <w:r w:rsidR="00A40B31">
              <w:rPr>
                <w:noProof/>
              </w:rPr>
              <w:t>.</w:t>
            </w:r>
          </w:p>
        </w:tc>
      </w:tr>
      <w:tr w:rsidR="00CC4C06" w:rsidRPr="002661A8" w14:paraId="2B2EC70F" w14:textId="77777777" w:rsidTr="000E2972">
        <w:trPr>
          <w:trHeight w:val="462"/>
        </w:trPr>
        <w:tc>
          <w:tcPr>
            <w:tcW w:w="1242" w:type="dxa"/>
            <w:tcMar>
              <w:top w:w="85" w:type="dxa"/>
              <w:left w:w="57" w:type="dxa"/>
              <w:bottom w:w="85" w:type="dxa"/>
              <w:right w:w="57" w:type="dxa"/>
            </w:tcMar>
          </w:tcPr>
          <w:p w14:paraId="6F3F5D31" w14:textId="77777777" w:rsidR="00662E5E" w:rsidRPr="002661A8" w:rsidRDefault="00BB49AD" w:rsidP="00524030">
            <w:pPr>
              <w:rPr>
                <w:noProof/>
              </w:rPr>
            </w:pPr>
            <w:r>
              <w:rPr>
                <w:noProof/>
              </w:rPr>
              <w:t>Legacy trades</w:t>
            </w:r>
          </w:p>
        </w:tc>
        <w:tc>
          <w:tcPr>
            <w:tcW w:w="7592" w:type="dxa"/>
            <w:tcMar>
              <w:top w:w="85" w:type="dxa"/>
              <w:left w:w="57" w:type="dxa"/>
              <w:bottom w:w="85" w:type="dxa"/>
              <w:right w:w="57" w:type="dxa"/>
            </w:tcMar>
          </w:tcPr>
          <w:p w14:paraId="6CE71610" w14:textId="77777777" w:rsidR="00662E5E" w:rsidRPr="002661A8" w:rsidRDefault="00D05825" w:rsidP="00A404DA">
            <w:pPr>
              <w:jc w:val="both"/>
              <w:rPr>
                <w:noProof/>
              </w:rPr>
            </w:pPr>
            <w:r>
              <w:rPr>
                <w:noProof/>
              </w:rPr>
              <w:t>Transactions entered into before a given date, typically the entry into force of a Regulation or a given (new) provision.</w:t>
            </w:r>
          </w:p>
        </w:tc>
      </w:tr>
      <w:tr w:rsidR="00046A6B" w:rsidRPr="002661A8" w14:paraId="2C60B096" w14:textId="77777777" w:rsidTr="000E2972">
        <w:trPr>
          <w:trHeight w:val="1952"/>
        </w:trPr>
        <w:tc>
          <w:tcPr>
            <w:tcW w:w="1242" w:type="dxa"/>
            <w:tcMar>
              <w:top w:w="85" w:type="dxa"/>
              <w:left w:w="57" w:type="dxa"/>
              <w:bottom w:w="85" w:type="dxa"/>
              <w:right w:w="57" w:type="dxa"/>
            </w:tcMar>
          </w:tcPr>
          <w:p w14:paraId="39E62BBC" w14:textId="44685F78" w:rsidR="00DF67F6" w:rsidRPr="002661A8" w:rsidRDefault="3FA542DF" w:rsidP="000A140B">
            <w:pPr>
              <w:rPr>
                <w:noProof/>
              </w:rPr>
            </w:pPr>
            <w:r w:rsidRPr="002661A8">
              <w:rPr>
                <w:noProof/>
              </w:rPr>
              <w:t>Margin (initial/variation)</w:t>
            </w:r>
          </w:p>
        </w:tc>
        <w:tc>
          <w:tcPr>
            <w:tcW w:w="7592" w:type="dxa"/>
            <w:tcMar>
              <w:top w:w="85" w:type="dxa"/>
              <w:left w:w="57" w:type="dxa"/>
              <w:bottom w:w="85" w:type="dxa"/>
              <w:right w:w="57" w:type="dxa"/>
            </w:tcMar>
          </w:tcPr>
          <w:p w14:paraId="24ECD2D3" w14:textId="117B4587" w:rsidR="00DF67F6" w:rsidRPr="002661A8" w:rsidRDefault="3FA542DF" w:rsidP="00DE335E">
            <w:pPr>
              <w:jc w:val="both"/>
              <w:rPr>
                <w:noProof/>
              </w:rPr>
            </w:pPr>
            <w:r w:rsidRPr="002661A8">
              <w:rPr>
                <w:noProof/>
              </w:rPr>
              <w:t>An asset (or third-party commitment) accepted by a counterparty to ensure performance on potential obligations to it or cover market movements on unsettled transactions.</w:t>
            </w:r>
            <w:r w:rsidR="000C3D62" w:rsidRPr="002661A8">
              <w:rPr>
                <w:noProof/>
              </w:rPr>
              <w:t xml:space="preserve"> </w:t>
            </w:r>
            <w:r w:rsidRPr="002661A8">
              <w:rPr>
                <w:noProof/>
              </w:rPr>
              <w:t>‘</w:t>
            </w:r>
            <w:r w:rsidRPr="002661A8">
              <w:rPr>
                <w:b/>
                <w:noProof/>
              </w:rPr>
              <w:t>Initial margin</w:t>
            </w:r>
            <w:r w:rsidRPr="002661A8">
              <w:rPr>
                <w:noProof/>
              </w:rPr>
              <w:t>’ means margins collected by the CCP to cover potential future exposure to clearing members providing the margin and, where relevant, interoperable CCPs in the interval between the last margin collection and the liquidation of positions following a default of a clearing member or of an interoperable CCP default. ‘</w:t>
            </w:r>
            <w:r w:rsidRPr="002661A8">
              <w:rPr>
                <w:b/>
                <w:noProof/>
              </w:rPr>
              <w:t>Variation margin</w:t>
            </w:r>
            <w:r w:rsidRPr="002661A8">
              <w:rPr>
                <w:noProof/>
              </w:rPr>
              <w:t>’ means margins collected or paid out to reflect current exposures resulting from actual changes in market price.</w:t>
            </w:r>
          </w:p>
        </w:tc>
      </w:tr>
      <w:tr w:rsidR="00183E10" w:rsidRPr="002661A8" w14:paraId="5AFFFA7B" w14:textId="77777777" w:rsidTr="000E2972">
        <w:trPr>
          <w:trHeight w:val="530"/>
        </w:trPr>
        <w:tc>
          <w:tcPr>
            <w:tcW w:w="1242" w:type="dxa"/>
            <w:tcMar>
              <w:top w:w="85" w:type="dxa"/>
              <w:left w:w="57" w:type="dxa"/>
              <w:bottom w:w="85" w:type="dxa"/>
              <w:right w:w="57" w:type="dxa"/>
            </w:tcMar>
          </w:tcPr>
          <w:p w14:paraId="4B789CB8" w14:textId="4964EA62" w:rsidR="00D80F0E" w:rsidRPr="002661A8" w:rsidRDefault="00D80F0E" w:rsidP="000A140B">
            <w:pPr>
              <w:rPr>
                <w:noProof/>
              </w:rPr>
            </w:pPr>
            <w:r w:rsidRPr="002661A8">
              <w:rPr>
                <w:noProof/>
              </w:rPr>
              <w:t>National competent authority</w:t>
            </w:r>
            <w:r w:rsidR="006462F0" w:rsidRPr="002661A8">
              <w:rPr>
                <w:noProof/>
              </w:rPr>
              <w:t xml:space="preserve"> (NCA)</w:t>
            </w:r>
          </w:p>
        </w:tc>
        <w:tc>
          <w:tcPr>
            <w:tcW w:w="7592" w:type="dxa"/>
            <w:tcMar>
              <w:top w:w="85" w:type="dxa"/>
              <w:left w:w="57" w:type="dxa"/>
              <w:bottom w:w="85" w:type="dxa"/>
              <w:right w:w="57" w:type="dxa"/>
            </w:tcMar>
          </w:tcPr>
          <w:p w14:paraId="6D21274B" w14:textId="31F9CC03" w:rsidR="00D80F0E" w:rsidRPr="002661A8" w:rsidRDefault="49976730" w:rsidP="00DE335E">
            <w:pPr>
              <w:jc w:val="both"/>
              <w:rPr>
                <w:noProof/>
                <w:sz w:val="21"/>
                <w:szCs w:val="21"/>
              </w:rPr>
            </w:pPr>
            <w:r w:rsidRPr="002661A8">
              <w:rPr>
                <w:noProof/>
              </w:rPr>
              <w:t>The authority</w:t>
            </w:r>
            <w:r w:rsidR="00DB70CE" w:rsidRPr="002661A8">
              <w:rPr>
                <w:noProof/>
              </w:rPr>
              <w:t>/ies</w:t>
            </w:r>
            <w:r w:rsidRPr="002661A8">
              <w:rPr>
                <w:noProof/>
              </w:rPr>
              <w:t xml:space="preserve"> designated by each Member State in accordance with Article 22 of EMIR tasked with the authorisation and supervision of EU CCPs established in that Member State.</w:t>
            </w:r>
          </w:p>
        </w:tc>
      </w:tr>
      <w:tr w:rsidR="00046A6B" w:rsidRPr="002661A8" w14:paraId="0A5945E1" w14:textId="77777777" w:rsidTr="000E2972">
        <w:trPr>
          <w:trHeight w:val="2073"/>
        </w:trPr>
        <w:tc>
          <w:tcPr>
            <w:tcW w:w="1242" w:type="dxa"/>
            <w:tcMar>
              <w:top w:w="85" w:type="dxa"/>
              <w:left w:w="57" w:type="dxa"/>
              <w:bottom w:w="85" w:type="dxa"/>
              <w:right w:w="57" w:type="dxa"/>
            </w:tcMar>
          </w:tcPr>
          <w:p w14:paraId="3BA96BF0" w14:textId="6206274D" w:rsidR="00DF67F6" w:rsidRPr="002661A8" w:rsidRDefault="3FA542DF" w:rsidP="000A140B">
            <w:pPr>
              <w:rPr>
                <w:noProof/>
              </w:rPr>
            </w:pPr>
            <w:r w:rsidRPr="002661A8">
              <w:rPr>
                <w:noProof/>
              </w:rPr>
              <w:t>Non-Financial Counterparty (NFC)</w:t>
            </w:r>
          </w:p>
        </w:tc>
        <w:tc>
          <w:tcPr>
            <w:tcW w:w="7592" w:type="dxa"/>
            <w:tcBorders>
              <w:bottom w:val="single" w:sz="4" w:space="0" w:color="auto"/>
            </w:tcBorders>
            <w:tcMar>
              <w:top w:w="85" w:type="dxa"/>
              <w:left w:w="57" w:type="dxa"/>
              <w:bottom w:w="85" w:type="dxa"/>
              <w:right w:w="57" w:type="dxa"/>
            </w:tcMar>
          </w:tcPr>
          <w:p w14:paraId="334572FE" w14:textId="287859E5" w:rsidR="00DF67F6" w:rsidRPr="002661A8" w:rsidRDefault="3FA542DF" w:rsidP="007E2573">
            <w:pPr>
              <w:jc w:val="both"/>
              <w:rPr>
                <w:noProof/>
              </w:rPr>
            </w:pPr>
            <w:r w:rsidRPr="002661A8">
              <w:rPr>
                <w:noProof/>
              </w:rPr>
              <w:t xml:space="preserve">An </w:t>
            </w:r>
            <w:r w:rsidR="00A404DA" w:rsidRPr="002661A8">
              <w:rPr>
                <w:noProof/>
              </w:rPr>
              <w:t xml:space="preserve">EU </w:t>
            </w:r>
            <w:r w:rsidRPr="002661A8">
              <w:rPr>
                <w:noProof/>
              </w:rPr>
              <w:t xml:space="preserve">undertaking that is not a CCP or a financial counterparty, as defined in </w:t>
            </w:r>
            <w:r w:rsidR="007D3146" w:rsidRPr="002661A8">
              <w:rPr>
                <w:noProof/>
              </w:rPr>
              <w:t xml:space="preserve">EMIR, </w:t>
            </w:r>
            <w:r w:rsidRPr="002661A8">
              <w:rPr>
                <w:noProof/>
              </w:rPr>
              <w:t>Article</w:t>
            </w:r>
            <w:r w:rsidR="007D3146" w:rsidRPr="002661A8">
              <w:rPr>
                <w:noProof/>
              </w:rPr>
              <w:t> </w:t>
            </w:r>
            <w:r w:rsidRPr="002661A8">
              <w:rPr>
                <w:noProof/>
              </w:rPr>
              <w:t xml:space="preserve">2(9). The requirements vary depending on the profile of a </w:t>
            </w:r>
            <w:r w:rsidR="007D3146" w:rsidRPr="002661A8">
              <w:rPr>
                <w:noProof/>
              </w:rPr>
              <w:t>NFC</w:t>
            </w:r>
            <w:r w:rsidRPr="002661A8">
              <w:rPr>
                <w:noProof/>
              </w:rPr>
              <w:t>.</w:t>
            </w:r>
            <w:r w:rsidR="007D3146" w:rsidRPr="002661A8">
              <w:rPr>
                <w:noProof/>
              </w:rPr>
              <w:t xml:space="preserve"> </w:t>
            </w:r>
            <w:r w:rsidRPr="002661A8">
              <w:rPr>
                <w:noProof/>
              </w:rPr>
              <w:t xml:space="preserve">In determining whether an NFC should be subject to the clearing obligation, EMIR </w:t>
            </w:r>
            <w:r w:rsidR="007D3146" w:rsidRPr="002661A8">
              <w:rPr>
                <w:noProof/>
              </w:rPr>
              <w:t>considers</w:t>
            </w:r>
            <w:r w:rsidRPr="002661A8">
              <w:rPr>
                <w:noProof/>
              </w:rPr>
              <w:t xml:space="preserve"> the purpose for which that NFC uses OTC derivative contracts as well as to the size of the exposures that it has in those instruments. NFCs are subject to the clearing obligation and risk mitigation techniques requirements where their positions in non-hedging OTC derivatives exceed certain thresholds defined by ESMA.</w:t>
            </w:r>
            <w:r w:rsidR="007D3146" w:rsidRPr="002661A8">
              <w:rPr>
                <w:noProof/>
              </w:rPr>
              <w:t xml:space="preserve"> </w:t>
            </w:r>
            <w:r w:rsidRPr="002661A8">
              <w:rPr>
                <w:noProof/>
              </w:rPr>
              <w:t xml:space="preserve">These NFCs are </w:t>
            </w:r>
            <w:r w:rsidR="007D3146" w:rsidRPr="002661A8">
              <w:rPr>
                <w:noProof/>
              </w:rPr>
              <w:t>known</w:t>
            </w:r>
            <w:r w:rsidRPr="002661A8">
              <w:rPr>
                <w:noProof/>
              </w:rPr>
              <w:t xml:space="preserve"> as 'NFC+' as opposed to NFCs below the threshold which are known as 'NFC-'.</w:t>
            </w:r>
          </w:p>
        </w:tc>
      </w:tr>
      <w:tr w:rsidR="00046A6B" w:rsidRPr="002661A8" w14:paraId="10E601A5" w14:textId="77777777" w:rsidTr="000E2972">
        <w:tc>
          <w:tcPr>
            <w:tcW w:w="1242" w:type="dxa"/>
            <w:tcMar>
              <w:top w:w="85" w:type="dxa"/>
              <w:left w:w="57" w:type="dxa"/>
              <w:bottom w:w="85" w:type="dxa"/>
              <w:right w:w="57" w:type="dxa"/>
            </w:tcMar>
          </w:tcPr>
          <w:p w14:paraId="1DDA86C8" w14:textId="77777777" w:rsidR="00DF67F6" w:rsidRPr="002661A8" w:rsidRDefault="3FA542DF" w:rsidP="000A140B">
            <w:pPr>
              <w:rPr>
                <w:noProof/>
              </w:rPr>
            </w:pPr>
            <w:r w:rsidRPr="002661A8">
              <w:rPr>
                <w:noProof/>
              </w:rPr>
              <w:t>OTC</w:t>
            </w:r>
          </w:p>
        </w:tc>
        <w:tc>
          <w:tcPr>
            <w:tcW w:w="7592" w:type="dxa"/>
            <w:tcMar>
              <w:top w:w="85" w:type="dxa"/>
              <w:left w:w="57" w:type="dxa"/>
              <w:bottom w:w="85" w:type="dxa"/>
              <w:right w:w="57" w:type="dxa"/>
            </w:tcMar>
          </w:tcPr>
          <w:p w14:paraId="6371696A" w14:textId="10E70F60" w:rsidR="00DF67F6" w:rsidRPr="002661A8" w:rsidRDefault="3FA542DF" w:rsidP="003229A4">
            <w:pPr>
              <w:jc w:val="both"/>
              <w:rPr>
                <w:noProof/>
              </w:rPr>
            </w:pPr>
            <w:r w:rsidRPr="002661A8">
              <w:rPr>
                <w:noProof/>
              </w:rPr>
              <w:t>"</w:t>
            </w:r>
            <w:r w:rsidR="001D0F11" w:rsidRPr="002661A8">
              <w:rPr>
                <w:noProof/>
              </w:rPr>
              <w:t>Over</w:t>
            </w:r>
            <w:r w:rsidRPr="002661A8">
              <w:rPr>
                <w:noProof/>
              </w:rPr>
              <w:t>-the-counter" can be used to refer to stocks that trade via a dealer network as opposed to on a regulated market. It also refers to debt securities and other financial instruments such as derivatives, which are traded through a dealer network.</w:t>
            </w:r>
          </w:p>
        </w:tc>
      </w:tr>
      <w:tr w:rsidR="00046A6B" w:rsidRPr="002661A8" w14:paraId="388E31BB" w14:textId="77777777" w:rsidTr="000E2972">
        <w:tc>
          <w:tcPr>
            <w:tcW w:w="1242" w:type="dxa"/>
            <w:tcMar>
              <w:top w:w="85" w:type="dxa"/>
              <w:left w:w="57" w:type="dxa"/>
              <w:bottom w:w="85" w:type="dxa"/>
              <w:right w:w="57" w:type="dxa"/>
            </w:tcMar>
          </w:tcPr>
          <w:p w14:paraId="62D9CD43" w14:textId="77777777" w:rsidR="00DF67F6" w:rsidRPr="002661A8" w:rsidRDefault="3FA542DF" w:rsidP="000A140B">
            <w:pPr>
              <w:rPr>
                <w:noProof/>
              </w:rPr>
            </w:pPr>
            <w:r w:rsidRPr="002661A8">
              <w:rPr>
                <w:noProof/>
              </w:rPr>
              <w:t>OTC derivative</w:t>
            </w:r>
          </w:p>
        </w:tc>
        <w:tc>
          <w:tcPr>
            <w:tcW w:w="7592" w:type="dxa"/>
            <w:tcMar>
              <w:top w:w="85" w:type="dxa"/>
              <w:left w:w="57" w:type="dxa"/>
              <w:bottom w:w="85" w:type="dxa"/>
              <w:right w:w="57" w:type="dxa"/>
            </w:tcMar>
          </w:tcPr>
          <w:p w14:paraId="58A477A1" w14:textId="4A98AEAC" w:rsidR="00DF67F6" w:rsidRPr="002661A8" w:rsidRDefault="3FA542DF" w:rsidP="003229A4">
            <w:pPr>
              <w:jc w:val="both"/>
              <w:rPr>
                <w:noProof/>
              </w:rPr>
            </w:pPr>
            <w:r w:rsidRPr="002661A8">
              <w:rPr>
                <w:noProof/>
              </w:rPr>
              <w:t>A derivative contract the execution of which does not take place on a regulated market as within the meaning of Article 4(1)(14) of Directive</w:t>
            </w:r>
            <w:r w:rsidR="007D3146" w:rsidRPr="002661A8">
              <w:rPr>
                <w:noProof/>
              </w:rPr>
              <w:t> </w:t>
            </w:r>
            <w:r w:rsidRPr="002661A8">
              <w:rPr>
                <w:noProof/>
              </w:rPr>
              <w:t>2004/39/EC or on a third-country market considered as equivalent to a regulated market in accordance with Article 19(6) of Directive 2004/39/EC.</w:t>
            </w:r>
          </w:p>
        </w:tc>
      </w:tr>
      <w:tr w:rsidR="00E029AD" w:rsidRPr="002661A8" w14:paraId="67574560" w14:textId="77777777" w:rsidTr="000E2972">
        <w:tc>
          <w:tcPr>
            <w:tcW w:w="1242" w:type="dxa"/>
            <w:tcMar>
              <w:top w:w="85" w:type="dxa"/>
              <w:left w:w="57" w:type="dxa"/>
              <w:bottom w:w="85" w:type="dxa"/>
              <w:right w:w="57" w:type="dxa"/>
            </w:tcMar>
          </w:tcPr>
          <w:p w14:paraId="27CFAF56" w14:textId="20D3872B" w:rsidR="00E029AD" w:rsidRPr="002661A8" w:rsidRDefault="00E029AD" w:rsidP="000A140B">
            <w:pPr>
              <w:rPr>
                <w:noProof/>
              </w:rPr>
            </w:pPr>
            <w:r w:rsidRPr="002661A8">
              <w:rPr>
                <w:noProof/>
              </w:rPr>
              <w:t>PSA</w:t>
            </w:r>
          </w:p>
        </w:tc>
        <w:tc>
          <w:tcPr>
            <w:tcW w:w="7592" w:type="dxa"/>
            <w:tcMar>
              <w:top w:w="85" w:type="dxa"/>
              <w:left w:w="57" w:type="dxa"/>
              <w:bottom w:w="85" w:type="dxa"/>
              <w:right w:w="57" w:type="dxa"/>
            </w:tcMar>
          </w:tcPr>
          <w:p w14:paraId="65862C1D" w14:textId="773DC3B4" w:rsidR="00E029AD" w:rsidRPr="002661A8" w:rsidRDefault="00E029AD" w:rsidP="003229A4">
            <w:pPr>
              <w:jc w:val="both"/>
              <w:rPr>
                <w:noProof/>
              </w:rPr>
            </w:pPr>
            <w:r w:rsidRPr="002661A8">
              <w:rPr>
                <w:noProof/>
              </w:rPr>
              <w:t>Pension Scheme Arrangement</w:t>
            </w:r>
          </w:p>
        </w:tc>
      </w:tr>
      <w:tr w:rsidR="00DD025D" w:rsidRPr="002661A8" w14:paraId="07E56BB4" w14:textId="77777777" w:rsidTr="000E2972">
        <w:tc>
          <w:tcPr>
            <w:tcW w:w="1242" w:type="dxa"/>
            <w:tcMar>
              <w:top w:w="85" w:type="dxa"/>
              <w:left w:w="57" w:type="dxa"/>
              <w:bottom w:w="85" w:type="dxa"/>
              <w:right w:w="57" w:type="dxa"/>
            </w:tcMar>
          </w:tcPr>
          <w:p w14:paraId="0550BD29" w14:textId="17976F31" w:rsidR="00DD025D" w:rsidRPr="002661A8" w:rsidRDefault="00DD025D" w:rsidP="000A140B">
            <w:pPr>
              <w:rPr>
                <w:noProof/>
              </w:rPr>
            </w:pPr>
            <w:r>
              <w:rPr>
                <w:noProof/>
              </w:rPr>
              <w:t>Recognised CCP</w:t>
            </w:r>
          </w:p>
        </w:tc>
        <w:tc>
          <w:tcPr>
            <w:tcW w:w="7592" w:type="dxa"/>
            <w:tcMar>
              <w:top w:w="85" w:type="dxa"/>
              <w:left w:w="57" w:type="dxa"/>
              <w:bottom w:w="85" w:type="dxa"/>
              <w:right w:w="57" w:type="dxa"/>
            </w:tcMar>
          </w:tcPr>
          <w:p w14:paraId="05758113" w14:textId="10FF7216" w:rsidR="00DD025D" w:rsidRPr="002661A8" w:rsidRDefault="00E342D5" w:rsidP="003229A4">
            <w:pPr>
              <w:jc w:val="both"/>
              <w:rPr>
                <w:noProof/>
              </w:rPr>
            </w:pPr>
            <w:r>
              <w:rPr>
                <w:noProof/>
              </w:rPr>
              <w:t xml:space="preserve">A </w:t>
            </w:r>
            <w:r w:rsidR="008B1710">
              <w:rPr>
                <w:noProof/>
              </w:rPr>
              <w:t xml:space="preserve">third-country </w:t>
            </w:r>
            <w:r>
              <w:rPr>
                <w:noProof/>
              </w:rPr>
              <w:t>CCP that has been recognised by ESMA in accordance with the procedure and the requirements laid out in EMIR, Article 25.</w:t>
            </w:r>
          </w:p>
        </w:tc>
      </w:tr>
      <w:tr w:rsidR="00383E58" w:rsidRPr="002661A8" w14:paraId="18E316B9" w14:textId="77777777" w:rsidTr="000E2972">
        <w:tc>
          <w:tcPr>
            <w:tcW w:w="1242" w:type="dxa"/>
            <w:tcMar>
              <w:top w:w="85" w:type="dxa"/>
              <w:left w:w="57" w:type="dxa"/>
              <w:bottom w:w="85" w:type="dxa"/>
              <w:right w:w="57" w:type="dxa"/>
            </w:tcMar>
          </w:tcPr>
          <w:p w14:paraId="156172F4" w14:textId="5EAD2914" w:rsidR="00383E58" w:rsidRPr="002661A8" w:rsidRDefault="00383E58" w:rsidP="000A140B">
            <w:pPr>
              <w:rPr>
                <w:noProof/>
              </w:rPr>
            </w:pPr>
            <w:r>
              <w:rPr>
                <w:noProof/>
              </w:rPr>
              <w:t>Regulated market</w:t>
            </w:r>
          </w:p>
        </w:tc>
        <w:tc>
          <w:tcPr>
            <w:tcW w:w="7592" w:type="dxa"/>
            <w:tcMar>
              <w:top w:w="85" w:type="dxa"/>
              <w:left w:w="57" w:type="dxa"/>
              <w:bottom w:w="85" w:type="dxa"/>
              <w:right w:w="57" w:type="dxa"/>
            </w:tcMar>
          </w:tcPr>
          <w:p w14:paraId="5683C9D7" w14:textId="300A1AE4" w:rsidR="00383E58" w:rsidRPr="002661A8" w:rsidRDefault="00FA0CAE" w:rsidP="003229A4">
            <w:pPr>
              <w:jc w:val="both"/>
              <w:rPr>
                <w:noProof/>
              </w:rPr>
            </w:pPr>
            <w:r>
              <w:rPr>
                <w:noProof/>
              </w:rPr>
              <w:t>A</w:t>
            </w:r>
            <w:r w:rsidRPr="00FA0CAE">
              <w:rPr>
                <w:noProof/>
              </w:rPr>
              <w:t xml:space="preserve"> multilateral system operated and/or managed by a market operator, which brings together or facilitates the bringing together of multiple third-party buying and selling interests in financial instruments – in the system and in accordance with its non-discretionary rules – in a way that results in a contract, in respect of the financial instruments admitted to trading under its rules and/or systems, and which is authorised and functions regularly and in accordance with Title III of Directive</w:t>
            </w:r>
            <w:r>
              <w:rPr>
                <w:noProof/>
              </w:rPr>
              <w:t xml:space="preserve"> </w:t>
            </w:r>
            <w:r w:rsidRPr="00FA0CAE">
              <w:rPr>
                <w:noProof/>
              </w:rPr>
              <w:t>2014/65/EU;</w:t>
            </w:r>
          </w:p>
        </w:tc>
      </w:tr>
      <w:tr w:rsidR="0006591C" w:rsidRPr="002661A8" w14:paraId="509A6A07" w14:textId="77777777" w:rsidTr="000E2972">
        <w:tc>
          <w:tcPr>
            <w:tcW w:w="1242" w:type="dxa"/>
            <w:tcMar>
              <w:top w:w="85" w:type="dxa"/>
              <w:left w:w="57" w:type="dxa"/>
              <w:bottom w:w="85" w:type="dxa"/>
              <w:right w:w="57" w:type="dxa"/>
            </w:tcMar>
          </w:tcPr>
          <w:p w14:paraId="5DDA62DC" w14:textId="4392DA9A" w:rsidR="0006591C" w:rsidRDefault="0006591C" w:rsidP="000028D1">
            <w:pPr>
              <w:rPr>
                <w:noProof/>
              </w:rPr>
            </w:pPr>
            <w:r>
              <w:rPr>
                <w:noProof/>
              </w:rPr>
              <w:t>Regulatory Technical Standards (RTSs)</w:t>
            </w:r>
          </w:p>
        </w:tc>
        <w:tc>
          <w:tcPr>
            <w:tcW w:w="7592" w:type="dxa"/>
            <w:tcMar>
              <w:top w:w="85" w:type="dxa"/>
              <w:left w:w="57" w:type="dxa"/>
              <w:bottom w:w="85" w:type="dxa"/>
              <w:right w:w="57" w:type="dxa"/>
            </w:tcMar>
          </w:tcPr>
          <w:p w14:paraId="1E0F6B77" w14:textId="0C5B2AC3" w:rsidR="0006591C" w:rsidRDefault="000028D1" w:rsidP="000028D1">
            <w:pPr>
              <w:jc w:val="both"/>
              <w:rPr>
                <w:noProof/>
              </w:rPr>
            </w:pPr>
            <w:r>
              <w:rPr>
                <w:noProof/>
              </w:rPr>
              <w:t>Regulatory Technical Standards</w:t>
            </w:r>
            <w:r w:rsidR="0006591C" w:rsidRPr="0006591C">
              <w:rPr>
                <w:noProof/>
              </w:rPr>
              <w:t xml:space="preserve"> are adopted by the Commission by means of a delegated act</w:t>
            </w:r>
            <w:r w:rsidR="0006591C">
              <w:rPr>
                <w:noProof/>
              </w:rPr>
              <w:t xml:space="preserve"> pursuant to Article 290 of the Treaty on the Functioning of the European Union. ESMA, as the other ESAs, may be entrusted with preparing draft RTSs to be subsequently </w:t>
            </w:r>
            <w:r w:rsidR="00CA73C6">
              <w:rPr>
                <w:noProof/>
              </w:rPr>
              <w:t>adopted</w:t>
            </w:r>
            <w:r w:rsidR="0006591C">
              <w:rPr>
                <w:noProof/>
              </w:rPr>
              <w:t xml:space="preserve"> by the Commission </w:t>
            </w:r>
            <w:r w:rsidR="00CA73C6">
              <w:rPr>
                <w:noProof/>
              </w:rPr>
              <w:t>pursuant to</w:t>
            </w:r>
            <w:r w:rsidR="0006591C">
              <w:rPr>
                <w:noProof/>
              </w:rPr>
              <w:t xml:space="preserve"> the procedure set out in Articles </w:t>
            </w:r>
            <w:r w:rsidR="00CA73C6">
              <w:rPr>
                <w:noProof/>
              </w:rPr>
              <w:t>10 to 14</w:t>
            </w:r>
            <w:r w:rsidR="0006591C">
              <w:rPr>
                <w:noProof/>
              </w:rPr>
              <w:t xml:space="preserve"> of the ESMA Regulation (Regulation (EU) No 1095/2010).</w:t>
            </w:r>
          </w:p>
        </w:tc>
      </w:tr>
      <w:tr w:rsidR="00274FF9" w:rsidRPr="002661A8" w14:paraId="7FD9786C" w14:textId="77777777" w:rsidTr="000E2972">
        <w:tc>
          <w:tcPr>
            <w:tcW w:w="1242" w:type="dxa"/>
            <w:tcMar>
              <w:top w:w="85" w:type="dxa"/>
              <w:left w:w="57" w:type="dxa"/>
              <w:bottom w:w="85" w:type="dxa"/>
              <w:right w:w="57" w:type="dxa"/>
            </w:tcMar>
          </w:tcPr>
          <w:p w14:paraId="25F51F0C" w14:textId="300EE399" w:rsidR="00274FF9" w:rsidRPr="002661A8" w:rsidRDefault="00274FF9" w:rsidP="000A140B">
            <w:pPr>
              <w:rPr>
                <w:noProof/>
              </w:rPr>
            </w:pPr>
            <w:r w:rsidRPr="002661A8">
              <w:rPr>
                <w:noProof/>
              </w:rPr>
              <w:t>SSM</w:t>
            </w:r>
          </w:p>
        </w:tc>
        <w:tc>
          <w:tcPr>
            <w:tcW w:w="7592" w:type="dxa"/>
            <w:tcMar>
              <w:top w:w="85" w:type="dxa"/>
              <w:left w:w="57" w:type="dxa"/>
              <w:bottom w:w="85" w:type="dxa"/>
              <w:right w:w="57" w:type="dxa"/>
            </w:tcMar>
          </w:tcPr>
          <w:p w14:paraId="47B4D844" w14:textId="0B45A1DB" w:rsidR="00274FF9" w:rsidRPr="002661A8" w:rsidRDefault="00274FF9" w:rsidP="003229A4">
            <w:pPr>
              <w:jc w:val="both"/>
              <w:rPr>
                <w:noProof/>
              </w:rPr>
            </w:pPr>
            <w:r w:rsidRPr="002661A8">
              <w:rPr>
                <w:noProof/>
              </w:rPr>
              <w:t xml:space="preserve">The Single Supervisory Mechanism refers to the </w:t>
            </w:r>
            <w:r w:rsidR="00F7351E" w:rsidRPr="002661A8">
              <w:rPr>
                <w:noProof/>
              </w:rPr>
              <w:t xml:space="preserve">EU </w:t>
            </w:r>
            <w:r w:rsidRPr="002661A8">
              <w:rPr>
                <w:noProof/>
              </w:rPr>
              <w:t xml:space="preserve">system of banking supervision. It comprises the ECB and the national supervisory authorities of the participating countries. </w:t>
            </w:r>
            <w:r w:rsidR="00B0097E" w:rsidRPr="002661A8">
              <w:rPr>
                <w:noProof/>
              </w:rPr>
              <w:t>EU</w:t>
            </w:r>
            <w:r w:rsidRPr="002661A8">
              <w:rPr>
                <w:noProof/>
              </w:rPr>
              <w:t xml:space="preserve"> banking supervision is one of the two pillars of the EU banking union, along with the Single Resolution Mechanism.</w:t>
            </w:r>
          </w:p>
        </w:tc>
      </w:tr>
      <w:tr w:rsidR="00046A6B" w:rsidRPr="002661A8" w14:paraId="7D479DD8" w14:textId="77777777" w:rsidTr="000E2972">
        <w:tc>
          <w:tcPr>
            <w:tcW w:w="1242" w:type="dxa"/>
            <w:tcMar>
              <w:top w:w="85" w:type="dxa"/>
              <w:left w:w="57" w:type="dxa"/>
              <w:bottom w:w="85" w:type="dxa"/>
              <w:right w:w="57" w:type="dxa"/>
            </w:tcMar>
          </w:tcPr>
          <w:p w14:paraId="13A7E277" w14:textId="7D045DA3" w:rsidR="00D5196D" w:rsidRPr="002661A8" w:rsidRDefault="00D5196D" w:rsidP="000A140B">
            <w:pPr>
              <w:rPr>
                <w:noProof/>
              </w:rPr>
            </w:pPr>
            <w:r w:rsidRPr="002661A8">
              <w:rPr>
                <w:noProof/>
              </w:rPr>
              <w:t xml:space="preserve">STIR futures </w:t>
            </w:r>
          </w:p>
        </w:tc>
        <w:tc>
          <w:tcPr>
            <w:tcW w:w="7592" w:type="dxa"/>
            <w:tcMar>
              <w:top w:w="85" w:type="dxa"/>
              <w:left w:w="57" w:type="dxa"/>
              <w:bottom w:w="85" w:type="dxa"/>
              <w:right w:w="57" w:type="dxa"/>
            </w:tcMar>
          </w:tcPr>
          <w:p w14:paraId="2AA7AA93" w14:textId="4CDCF508" w:rsidR="00D5196D" w:rsidRPr="002661A8" w:rsidRDefault="00D5196D" w:rsidP="003229A4">
            <w:pPr>
              <w:jc w:val="both"/>
              <w:rPr>
                <w:noProof/>
              </w:rPr>
            </w:pPr>
            <w:r w:rsidRPr="002661A8">
              <w:rPr>
                <w:noProof/>
              </w:rPr>
              <w:t>Short-term interest rate derivatives</w:t>
            </w:r>
          </w:p>
        </w:tc>
      </w:tr>
      <w:tr w:rsidR="00046A6B" w:rsidRPr="002661A8" w14:paraId="4AAED09F" w14:textId="77777777" w:rsidTr="000E2972">
        <w:tc>
          <w:tcPr>
            <w:tcW w:w="1242" w:type="dxa"/>
            <w:tcMar>
              <w:top w:w="85" w:type="dxa"/>
              <w:left w:w="57" w:type="dxa"/>
              <w:bottom w:w="85" w:type="dxa"/>
              <w:right w:w="57" w:type="dxa"/>
            </w:tcMar>
          </w:tcPr>
          <w:p w14:paraId="4BAEE3E1" w14:textId="32E6AD27" w:rsidR="00524030" w:rsidRPr="002661A8" w:rsidRDefault="3FA542DF" w:rsidP="00524030">
            <w:pPr>
              <w:rPr>
                <w:noProof/>
              </w:rPr>
            </w:pPr>
            <w:r w:rsidRPr="002661A8">
              <w:rPr>
                <w:noProof/>
              </w:rPr>
              <w:t>Systemic risk</w:t>
            </w:r>
          </w:p>
        </w:tc>
        <w:tc>
          <w:tcPr>
            <w:tcW w:w="7592" w:type="dxa"/>
            <w:tcMar>
              <w:top w:w="85" w:type="dxa"/>
              <w:left w:w="57" w:type="dxa"/>
              <w:bottom w:w="85" w:type="dxa"/>
              <w:right w:w="57" w:type="dxa"/>
            </w:tcMar>
          </w:tcPr>
          <w:p w14:paraId="0F690343" w14:textId="5E71DD4A" w:rsidR="00524030" w:rsidRPr="002661A8" w:rsidRDefault="3FA542DF" w:rsidP="003229A4">
            <w:pPr>
              <w:jc w:val="both"/>
              <w:rPr>
                <w:noProof/>
              </w:rPr>
            </w:pPr>
            <w:r w:rsidRPr="002661A8">
              <w:rPr>
                <w:noProof/>
              </w:rPr>
              <w:t>The risk that the inability of one participant to meet its obligations in a system will cause other participants to be unable to meet their obligations when they become due, potentially with spill over effects (e.g. liquidity or credit problems) threatening the stability of or confidence in the financial system. That inability to meet obligations can be caused by operational or financial problems.</w:t>
            </w:r>
          </w:p>
        </w:tc>
      </w:tr>
      <w:tr w:rsidR="00B21EC1" w:rsidRPr="002661A8" w14:paraId="79C7F5F8" w14:textId="77777777" w:rsidTr="000E2972">
        <w:tc>
          <w:tcPr>
            <w:tcW w:w="1242" w:type="dxa"/>
            <w:tcMar>
              <w:top w:w="85" w:type="dxa"/>
              <w:left w:w="57" w:type="dxa"/>
              <w:bottom w:w="85" w:type="dxa"/>
              <w:right w:w="57" w:type="dxa"/>
            </w:tcMar>
          </w:tcPr>
          <w:p w14:paraId="3424D58A" w14:textId="6DBB7345" w:rsidR="00B21EC1" w:rsidRPr="002661A8" w:rsidRDefault="00DD025D" w:rsidP="00524030">
            <w:pPr>
              <w:rPr>
                <w:noProof/>
              </w:rPr>
            </w:pPr>
            <w:r>
              <w:rPr>
                <w:noProof/>
              </w:rPr>
              <w:t>Third-country CCP</w:t>
            </w:r>
          </w:p>
        </w:tc>
        <w:tc>
          <w:tcPr>
            <w:tcW w:w="7592" w:type="dxa"/>
            <w:tcMar>
              <w:top w:w="85" w:type="dxa"/>
              <w:left w:w="57" w:type="dxa"/>
              <w:bottom w:w="85" w:type="dxa"/>
              <w:right w:w="57" w:type="dxa"/>
            </w:tcMar>
          </w:tcPr>
          <w:p w14:paraId="0420CF93" w14:textId="019813B8" w:rsidR="00B21EC1" w:rsidRPr="002661A8" w:rsidRDefault="00E342D5" w:rsidP="003229A4">
            <w:pPr>
              <w:jc w:val="both"/>
              <w:rPr>
                <w:noProof/>
              </w:rPr>
            </w:pPr>
            <w:r>
              <w:rPr>
                <w:noProof/>
              </w:rPr>
              <w:t xml:space="preserve">A CCP established outside of the </w:t>
            </w:r>
            <w:r w:rsidR="006B04D8">
              <w:rPr>
                <w:noProof/>
              </w:rPr>
              <w:t>EU</w:t>
            </w:r>
            <w:r>
              <w:rPr>
                <w:noProof/>
              </w:rPr>
              <w:t>.</w:t>
            </w:r>
          </w:p>
        </w:tc>
      </w:tr>
      <w:tr w:rsidR="00DD025D" w:rsidRPr="002661A8" w14:paraId="2176D9EC" w14:textId="77777777" w:rsidTr="000E2972">
        <w:tc>
          <w:tcPr>
            <w:tcW w:w="1242" w:type="dxa"/>
            <w:tcMar>
              <w:top w:w="85" w:type="dxa"/>
              <w:left w:w="57" w:type="dxa"/>
              <w:bottom w:w="85" w:type="dxa"/>
              <w:right w:w="57" w:type="dxa"/>
            </w:tcMar>
          </w:tcPr>
          <w:p w14:paraId="5603653E" w14:textId="73984575" w:rsidR="00DD025D" w:rsidRDefault="00DD025D" w:rsidP="00524030">
            <w:pPr>
              <w:rPr>
                <w:noProof/>
              </w:rPr>
            </w:pPr>
            <w:r>
              <w:rPr>
                <w:noProof/>
              </w:rPr>
              <w:t>Tier 1 CCPs</w:t>
            </w:r>
          </w:p>
        </w:tc>
        <w:tc>
          <w:tcPr>
            <w:tcW w:w="7592" w:type="dxa"/>
            <w:tcMar>
              <w:top w:w="85" w:type="dxa"/>
              <w:left w:w="57" w:type="dxa"/>
              <w:bottom w:w="85" w:type="dxa"/>
              <w:right w:w="57" w:type="dxa"/>
            </w:tcMar>
          </w:tcPr>
          <w:p w14:paraId="5B4FDA4E" w14:textId="6C2C589D" w:rsidR="00DD025D" w:rsidRPr="002661A8" w:rsidRDefault="008B1710" w:rsidP="008B1710">
            <w:pPr>
              <w:jc w:val="both"/>
              <w:rPr>
                <w:noProof/>
              </w:rPr>
            </w:pPr>
            <w:r>
              <w:rPr>
                <w:noProof/>
              </w:rPr>
              <w:t>Recognised t</w:t>
            </w:r>
            <w:r w:rsidR="00E342D5">
              <w:rPr>
                <w:noProof/>
              </w:rPr>
              <w:t>hird-country CCPs that have not been determined as Tier 2 CCPs by ESMA.</w:t>
            </w:r>
          </w:p>
        </w:tc>
      </w:tr>
      <w:tr w:rsidR="00DD025D" w:rsidRPr="002661A8" w14:paraId="260FEE40" w14:textId="77777777" w:rsidTr="000E2972">
        <w:tc>
          <w:tcPr>
            <w:tcW w:w="1242" w:type="dxa"/>
            <w:tcMar>
              <w:top w:w="85" w:type="dxa"/>
              <w:left w:w="57" w:type="dxa"/>
              <w:bottom w:w="85" w:type="dxa"/>
              <w:right w:w="57" w:type="dxa"/>
            </w:tcMar>
          </w:tcPr>
          <w:p w14:paraId="1940F538" w14:textId="09D437F7" w:rsidR="00DD025D" w:rsidRPr="002661A8" w:rsidRDefault="00DD025D" w:rsidP="00DD025D">
            <w:pPr>
              <w:rPr>
                <w:noProof/>
              </w:rPr>
            </w:pPr>
            <w:r w:rsidRPr="002661A8">
              <w:rPr>
                <w:noProof/>
              </w:rPr>
              <w:t>Tier 2 CCPs</w:t>
            </w:r>
          </w:p>
        </w:tc>
        <w:tc>
          <w:tcPr>
            <w:tcW w:w="7592" w:type="dxa"/>
            <w:tcMar>
              <w:top w:w="85" w:type="dxa"/>
              <w:left w:w="57" w:type="dxa"/>
              <w:bottom w:w="85" w:type="dxa"/>
              <w:right w:w="57" w:type="dxa"/>
            </w:tcMar>
          </w:tcPr>
          <w:p w14:paraId="6C0C11B3" w14:textId="148F4625" w:rsidR="00DD025D" w:rsidRPr="002661A8" w:rsidRDefault="008B1710" w:rsidP="00291DA4">
            <w:pPr>
              <w:jc w:val="both"/>
              <w:rPr>
                <w:noProof/>
              </w:rPr>
            </w:pPr>
            <w:r>
              <w:rPr>
                <w:noProof/>
              </w:rPr>
              <w:t>Recognised t</w:t>
            </w:r>
            <w:r w:rsidR="00DD025D" w:rsidRPr="002661A8">
              <w:rPr>
                <w:noProof/>
              </w:rPr>
              <w:t>hird-country CCPs that</w:t>
            </w:r>
            <w:r w:rsidR="00291DA4">
              <w:rPr>
                <w:noProof/>
              </w:rPr>
              <w:t xml:space="preserve"> ha</w:t>
            </w:r>
            <w:r w:rsidR="00F856EB">
              <w:rPr>
                <w:noProof/>
              </w:rPr>
              <w:t>ve</w:t>
            </w:r>
            <w:r w:rsidR="00291DA4">
              <w:rPr>
                <w:noProof/>
              </w:rPr>
              <w:t xml:space="preserve"> been determined by ESMA, pursuant to Article 25(2a), to be</w:t>
            </w:r>
            <w:r w:rsidR="00DD025D" w:rsidRPr="002661A8">
              <w:rPr>
                <w:noProof/>
              </w:rPr>
              <w:t xml:space="preserve">, or likely to become, of systemic importance to the financial stability of the EU or one or more of its Member States. Tier 2 CCPs have to comply with </w:t>
            </w:r>
            <w:r w:rsidR="006B04D8">
              <w:rPr>
                <w:noProof/>
              </w:rPr>
              <w:t>certain</w:t>
            </w:r>
            <w:r w:rsidR="006B04D8" w:rsidRPr="002661A8">
              <w:rPr>
                <w:noProof/>
              </w:rPr>
              <w:t xml:space="preserve"> </w:t>
            </w:r>
            <w:r w:rsidR="00DD025D" w:rsidRPr="002661A8">
              <w:rPr>
                <w:noProof/>
              </w:rPr>
              <w:t>EMIR requirements and are supervised by ESMA.</w:t>
            </w:r>
            <w:r w:rsidR="00291DA4">
              <w:rPr>
                <w:noProof/>
              </w:rPr>
              <w:t xml:space="preserve"> </w:t>
            </w:r>
          </w:p>
        </w:tc>
      </w:tr>
      <w:tr w:rsidR="00046A6B" w:rsidRPr="002661A8" w14:paraId="3B8B0B60" w14:textId="77777777" w:rsidTr="000E2972">
        <w:tc>
          <w:tcPr>
            <w:tcW w:w="1242" w:type="dxa"/>
            <w:tcMar>
              <w:top w:w="85" w:type="dxa"/>
              <w:left w:w="57" w:type="dxa"/>
              <w:bottom w:w="85" w:type="dxa"/>
              <w:right w:w="57" w:type="dxa"/>
            </w:tcMar>
          </w:tcPr>
          <w:p w14:paraId="4F5F11BB" w14:textId="09441E66" w:rsidR="00524030" w:rsidRPr="002661A8" w:rsidRDefault="3FA542DF" w:rsidP="00524030">
            <w:pPr>
              <w:rPr>
                <w:noProof/>
              </w:rPr>
            </w:pPr>
            <w:r w:rsidRPr="002661A8">
              <w:rPr>
                <w:noProof/>
              </w:rPr>
              <w:t>Trade repository (TR)</w:t>
            </w:r>
          </w:p>
        </w:tc>
        <w:tc>
          <w:tcPr>
            <w:tcW w:w="7592" w:type="dxa"/>
            <w:tcMar>
              <w:top w:w="85" w:type="dxa"/>
              <w:left w:w="57" w:type="dxa"/>
              <w:bottom w:w="85" w:type="dxa"/>
              <w:right w:w="57" w:type="dxa"/>
            </w:tcMar>
          </w:tcPr>
          <w:p w14:paraId="0D381505" w14:textId="01794B1C" w:rsidR="00524030" w:rsidRPr="002661A8" w:rsidDel="009A07E1" w:rsidRDefault="3FA542DF" w:rsidP="003229A4">
            <w:pPr>
              <w:jc w:val="both"/>
              <w:rPr>
                <w:noProof/>
              </w:rPr>
            </w:pPr>
            <w:r w:rsidRPr="002661A8">
              <w:rPr>
                <w:noProof/>
              </w:rPr>
              <w:t>Trade repositories centrally collect and maintain the records of derivatives under Regulation EU No 648/2012 (EMIR). TRs also centrally collect and maintain records of securities financing transactions (SFTs) under Regulation No 2015/2365, on transparency of securities financing transactions and of reuse and amending EMIR (SFTR).</w:t>
            </w:r>
          </w:p>
        </w:tc>
      </w:tr>
      <w:tr w:rsidR="00E029AD" w:rsidRPr="002661A8" w14:paraId="32A0A4CD" w14:textId="77777777" w:rsidTr="000E2972">
        <w:tc>
          <w:tcPr>
            <w:tcW w:w="1242" w:type="dxa"/>
            <w:tcMar>
              <w:top w:w="85" w:type="dxa"/>
              <w:left w:w="57" w:type="dxa"/>
              <w:bottom w:w="85" w:type="dxa"/>
              <w:right w:w="57" w:type="dxa"/>
            </w:tcMar>
          </w:tcPr>
          <w:p w14:paraId="68FB2F6B" w14:textId="7A896077" w:rsidR="00E029AD" w:rsidRPr="002661A8" w:rsidRDefault="00E029AD" w:rsidP="00524030">
            <w:pPr>
              <w:rPr>
                <w:noProof/>
              </w:rPr>
            </w:pPr>
            <w:r w:rsidRPr="002661A8">
              <w:rPr>
                <w:noProof/>
              </w:rPr>
              <w:t>TFEU</w:t>
            </w:r>
          </w:p>
        </w:tc>
        <w:tc>
          <w:tcPr>
            <w:tcW w:w="7592" w:type="dxa"/>
            <w:tcMar>
              <w:top w:w="85" w:type="dxa"/>
              <w:left w:w="57" w:type="dxa"/>
              <w:bottom w:w="85" w:type="dxa"/>
              <w:right w:w="57" w:type="dxa"/>
            </w:tcMar>
          </w:tcPr>
          <w:p w14:paraId="075713D6" w14:textId="780B45B7" w:rsidR="00E029AD" w:rsidRPr="002661A8" w:rsidRDefault="00E029AD" w:rsidP="003229A4">
            <w:pPr>
              <w:jc w:val="both"/>
              <w:rPr>
                <w:noProof/>
              </w:rPr>
            </w:pPr>
            <w:r w:rsidRPr="002661A8">
              <w:rPr>
                <w:noProof/>
              </w:rPr>
              <w:t>Treaty on the Functioning of the European Union</w:t>
            </w:r>
          </w:p>
        </w:tc>
      </w:tr>
    </w:tbl>
    <w:p w14:paraId="5913057E" w14:textId="59C5E285" w:rsidR="005077BE" w:rsidRPr="002661A8" w:rsidRDefault="00B0097E" w:rsidP="005E4982">
      <w:pPr>
        <w:rPr>
          <w:noProof/>
          <w:sz w:val="24"/>
          <w:szCs w:val="24"/>
        </w:rPr>
        <w:sectPr w:rsidR="005077BE" w:rsidRPr="002661A8" w:rsidSect="007A546F">
          <w:headerReference w:type="even" r:id="rId21"/>
          <w:headerReference w:type="default" r:id="rId22"/>
          <w:footerReference w:type="even" r:id="rId23"/>
          <w:footerReference w:type="default" r:id="rId24"/>
          <w:headerReference w:type="first" r:id="rId25"/>
          <w:footerReference w:type="first" r:id="rId26"/>
          <w:pgSz w:w="11906" w:h="16838"/>
          <w:pgMar w:top="1020" w:right="1701" w:bottom="1020" w:left="1587" w:header="601" w:footer="1077" w:gutter="0"/>
          <w:pgNumType w:start="1"/>
          <w:cols w:space="720"/>
          <w:titlePg/>
          <w:docGrid w:linePitch="299"/>
        </w:sectPr>
      </w:pPr>
      <w:r w:rsidRPr="002661A8">
        <w:rPr>
          <w:noProof/>
          <w:sz w:val="24"/>
          <w:szCs w:val="24"/>
        </w:rPr>
        <w:br w:type="page"/>
      </w:r>
    </w:p>
    <w:p w14:paraId="3224EBB1" w14:textId="77777777" w:rsidR="006B087E" w:rsidRPr="002661A8" w:rsidRDefault="006B087E" w:rsidP="00F74470">
      <w:pPr>
        <w:spacing w:after="0" w:line="240" w:lineRule="auto"/>
        <w:rPr>
          <w:noProof/>
          <w:sz w:val="4"/>
          <w:szCs w:val="4"/>
        </w:rPr>
      </w:pPr>
    </w:p>
    <w:p w14:paraId="0619D521" w14:textId="4F05B0C8" w:rsidR="002676D8" w:rsidRPr="002661A8" w:rsidRDefault="3FA542DF" w:rsidP="00ED5088">
      <w:pPr>
        <w:pStyle w:val="Heading1"/>
        <w:numPr>
          <w:ilvl w:val="0"/>
          <w:numId w:val="6"/>
        </w:numPr>
        <w:spacing w:before="0" w:after="120"/>
        <w:ind w:left="482" w:hanging="482"/>
        <w:rPr>
          <w:noProof/>
        </w:rPr>
      </w:pPr>
      <w:bookmarkStart w:id="2" w:name="_Introduction"/>
      <w:bookmarkStart w:id="3" w:name="_Toc107493821"/>
      <w:bookmarkStart w:id="4" w:name="_Toc107497857"/>
      <w:bookmarkStart w:id="5" w:name="_Toc107503410"/>
      <w:bookmarkStart w:id="6" w:name="_Toc107504558"/>
      <w:bookmarkStart w:id="7" w:name="_Toc107505403"/>
      <w:bookmarkStart w:id="8" w:name="_Toc107838879"/>
      <w:bookmarkStart w:id="9" w:name="_Toc107849211"/>
      <w:bookmarkStart w:id="10" w:name="_Toc107853658"/>
      <w:bookmarkStart w:id="11" w:name="_Toc108539781"/>
      <w:bookmarkStart w:id="12" w:name="_Toc108539899"/>
      <w:bookmarkStart w:id="13" w:name="_Toc109057357"/>
      <w:bookmarkStart w:id="14" w:name="_Toc109120723"/>
      <w:bookmarkStart w:id="15" w:name="_Toc109122358"/>
      <w:bookmarkStart w:id="16" w:name="_Toc109133095"/>
      <w:bookmarkStart w:id="17" w:name="_Toc120291629"/>
      <w:bookmarkStart w:id="18" w:name="_Toc107846974"/>
      <w:bookmarkStart w:id="19" w:name="_Toc103337450"/>
      <w:bookmarkStart w:id="20" w:name="_Toc104309972"/>
      <w:bookmarkStart w:id="21" w:name="_Toc105656416"/>
      <w:bookmarkStart w:id="22" w:name="_Toc106827799"/>
      <w:bookmarkStart w:id="23" w:name="_Toc106981674"/>
      <w:bookmarkEnd w:id="2"/>
      <w:r w:rsidRPr="002661A8">
        <w:rPr>
          <w:noProof/>
        </w:rPr>
        <w:t>Introduction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bookmarkEnd w:id="18"/>
    <w:p w14:paraId="73902AD3" w14:textId="53356D84" w:rsidR="002676D8" w:rsidRPr="002661A8" w:rsidRDefault="002676D8" w:rsidP="002676D8">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This impact assessment concerns</w:t>
      </w:r>
      <w:r w:rsidR="005F3B80">
        <w:rPr>
          <w:rFonts w:ascii="Times New Roman" w:hAnsi="Times New Roman" w:cs="Times New Roman"/>
          <w:noProof/>
          <w:sz w:val="24"/>
          <w:szCs w:val="24"/>
        </w:rPr>
        <w:t xml:space="preserve"> </w:t>
      </w:r>
      <w:r w:rsidR="000E2972">
        <w:rPr>
          <w:rFonts w:ascii="Times New Roman" w:hAnsi="Times New Roman" w:cs="Times New Roman"/>
          <w:noProof/>
          <w:sz w:val="24"/>
          <w:szCs w:val="24"/>
        </w:rPr>
        <w:t>a</w:t>
      </w:r>
      <w:r w:rsidR="005F3B80">
        <w:rPr>
          <w:rFonts w:ascii="Times New Roman" w:hAnsi="Times New Roman" w:cs="Times New Roman"/>
          <w:noProof/>
          <w:sz w:val="24"/>
          <w:szCs w:val="24"/>
        </w:rPr>
        <w:t xml:space="preserve"> review of</w:t>
      </w:r>
      <w:r w:rsidRPr="002661A8">
        <w:rPr>
          <w:rFonts w:ascii="Times New Roman" w:hAnsi="Times New Roman" w:cs="Times New Roman"/>
          <w:noProof/>
          <w:sz w:val="24"/>
          <w:szCs w:val="24"/>
        </w:rPr>
        <w:t xml:space="preserve"> the European Market Infrastructure Regulation </w:t>
      </w:r>
      <w:r w:rsidR="00DB70CE" w:rsidRPr="002661A8">
        <w:rPr>
          <w:rFonts w:ascii="Times New Roman" w:hAnsi="Times New Roman" w:cs="Times New Roman"/>
          <w:noProof/>
          <w:sz w:val="24"/>
          <w:szCs w:val="24"/>
        </w:rPr>
        <w:t>(</w:t>
      </w:r>
      <w:r w:rsidRPr="002661A8">
        <w:rPr>
          <w:rFonts w:ascii="Times New Roman" w:hAnsi="Times New Roman" w:cs="Times New Roman"/>
          <w:noProof/>
          <w:sz w:val="24"/>
          <w:szCs w:val="24"/>
        </w:rPr>
        <w:t>EMIR</w:t>
      </w:r>
      <w:r w:rsidR="00DB70CE" w:rsidRPr="002661A8">
        <w:rPr>
          <w:rFonts w:ascii="Times New Roman" w:hAnsi="Times New Roman" w:cs="Times New Roman"/>
          <w:noProof/>
          <w:sz w:val="24"/>
          <w:szCs w:val="24"/>
        </w:rPr>
        <w:t>)</w:t>
      </w:r>
      <w:r w:rsidRPr="002661A8">
        <w:rPr>
          <w:rFonts w:ascii="Times New Roman" w:hAnsi="Times New Roman" w:cs="Times New Roman"/>
          <w:noProof/>
          <w:sz w:val="24"/>
          <w:szCs w:val="24"/>
        </w:rPr>
        <w:t>.</w:t>
      </w:r>
      <w:r w:rsidRPr="002661A8">
        <w:rPr>
          <w:rStyle w:val="FootnoteReference"/>
          <w:rFonts w:ascii="Times New Roman" w:hAnsi="Times New Roman" w:cs="Times New Roman"/>
          <w:noProof/>
          <w:sz w:val="24"/>
          <w:szCs w:val="24"/>
        </w:rPr>
        <w:footnoteReference w:id="2"/>
      </w:r>
      <w:r w:rsidRPr="002661A8">
        <w:rPr>
          <w:rFonts w:ascii="Times New Roman" w:hAnsi="Times New Roman" w:cs="Times New Roman"/>
          <w:noProof/>
          <w:sz w:val="24"/>
          <w:szCs w:val="24"/>
        </w:rPr>
        <w:t xml:space="preserve"> EMIR regulates derivatives transactions, including measures to limit their risks through central counterparties (CCPs).</w:t>
      </w:r>
      <w:bookmarkStart w:id="24" w:name="_Ref120266768"/>
      <w:r w:rsidRPr="002661A8">
        <w:rPr>
          <w:rStyle w:val="FootnoteReference"/>
          <w:rFonts w:ascii="Times New Roman" w:hAnsi="Times New Roman" w:cs="Times New Roman"/>
          <w:noProof/>
          <w:sz w:val="24"/>
          <w:szCs w:val="24"/>
        </w:rPr>
        <w:footnoteReference w:id="3"/>
      </w:r>
      <w:bookmarkEnd w:id="24"/>
      <w:r w:rsidRPr="002661A8">
        <w:rPr>
          <w:rFonts w:ascii="Times New Roman" w:hAnsi="Times New Roman" w:cs="Times New Roman"/>
          <w:noProof/>
          <w:sz w:val="24"/>
          <w:szCs w:val="24"/>
        </w:rPr>
        <w:t xml:space="preserve"> </w:t>
      </w:r>
      <w:r w:rsidR="006D6FE8" w:rsidRPr="002661A8">
        <w:rPr>
          <w:rFonts w:ascii="Times New Roman" w:hAnsi="Times New Roman" w:cs="Times New Roman"/>
          <w:noProof/>
          <w:sz w:val="24"/>
          <w:szCs w:val="24"/>
        </w:rPr>
        <w:t xml:space="preserve">It </w:t>
      </w:r>
      <w:r w:rsidRPr="002661A8">
        <w:rPr>
          <w:rFonts w:ascii="Times New Roman" w:hAnsi="Times New Roman" w:cs="Times New Roman"/>
          <w:noProof/>
          <w:sz w:val="24"/>
          <w:szCs w:val="24"/>
        </w:rPr>
        <w:t>was adopted in the wake of the 2008</w:t>
      </w:r>
      <w:r w:rsidR="00144CE1">
        <w:rPr>
          <w:rFonts w:ascii="Times New Roman" w:hAnsi="Times New Roman" w:cs="Times New Roman"/>
          <w:noProof/>
          <w:sz w:val="24"/>
          <w:szCs w:val="24"/>
        </w:rPr>
        <w:t>-</w:t>
      </w:r>
      <w:r w:rsidRPr="002661A8">
        <w:rPr>
          <w:rFonts w:ascii="Times New Roman" w:hAnsi="Times New Roman" w:cs="Times New Roman"/>
          <w:noProof/>
          <w:sz w:val="24"/>
          <w:szCs w:val="24"/>
        </w:rPr>
        <w:t>2009 financial crisis</w:t>
      </w:r>
      <w:r w:rsidR="00DB70CE" w:rsidRPr="002661A8">
        <w:rPr>
          <w:rFonts w:ascii="Times New Roman" w:hAnsi="Times New Roman" w:cs="Times New Roman"/>
          <w:noProof/>
          <w:sz w:val="24"/>
          <w:szCs w:val="24"/>
        </w:rPr>
        <w:t xml:space="preserve"> </w:t>
      </w:r>
      <w:r w:rsidRPr="002661A8">
        <w:rPr>
          <w:rFonts w:ascii="Times New Roman" w:hAnsi="Times New Roman" w:cs="Times New Roman"/>
          <w:noProof/>
          <w:sz w:val="24"/>
          <w:szCs w:val="24"/>
        </w:rPr>
        <w:t>to promote</w:t>
      </w:r>
      <w:r w:rsidRPr="002661A8">
        <w:rPr>
          <w:rFonts w:ascii="Times New Roman" w:hAnsi="Times New Roman" w:cs="Times New Roman"/>
          <w:b/>
          <w:noProof/>
          <w:sz w:val="24"/>
          <w:szCs w:val="24"/>
        </w:rPr>
        <w:t xml:space="preserve"> financial stability</w:t>
      </w:r>
      <w:r w:rsidRPr="002661A8">
        <w:rPr>
          <w:rFonts w:ascii="Times New Roman" w:hAnsi="Times New Roman" w:cs="Times New Roman"/>
          <w:noProof/>
          <w:sz w:val="24"/>
          <w:szCs w:val="24"/>
        </w:rPr>
        <w:t xml:space="preserve"> </w:t>
      </w:r>
      <w:r w:rsidR="008D388F" w:rsidRPr="002661A8">
        <w:rPr>
          <w:rFonts w:ascii="Times New Roman" w:hAnsi="Times New Roman" w:cs="Times New Roman"/>
          <w:noProof/>
          <w:sz w:val="24"/>
          <w:szCs w:val="24"/>
        </w:rPr>
        <w:t>and</w:t>
      </w:r>
      <w:r w:rsidRPr="002661A8">
        <w:rPr>
          <w:rFonts w:ascii="Times New Roman" w:hAnsi="Times New Roman" w:cs="Times New Roman"/>
          <w:noProof/>
          <w:sz w:val="24"/>
          <w:szCs w:val="24"/>
        </w:rPr>
        <w:t xml:space="preserve"> to make markets more transparent, more standardised, and thus safer. Similar reforms were implemented </w:t>
      </w:r>
      <w:r w:rsidR="00022324" w:rsidRPr="002661A8">
        <w:rPr>
          <w:rFonts w:ascii="Times New Roman" w:hAnsi="Times New Roman" w:cs="Times New Roman"/>
          <w:noProof/>
          <w:sz w:val="24"/>
          <w:szCs w:val="24"/>
        </w:rPr>
        <w:t>in most G20 countries</w:t>
      </w:r>
      <w:r w:rsidRPr="002661A8">
        <w:rPr>
          <w:rFonts w:ascii="Times New Roman" w:hAnsi="Times New Roman" w:cs="Times New Roman"/>
          <w:noProof/>
          <w:sz w:val="24"/>
          <w:szCs w:val="24"/>
        </w:rPr>
        <w:t>.</w:t>
      </w:r>
      <w:r w:rsidR="001B7962" w:rsidRPr="002661A8">
        <w:rPr>
          <w:rFonts w:ascii="Times New Roman" w:hAnsi="Times New Roman" w:cs="Times New Roman"/>
          <w:noProof/>
          <w:sz w:val="24"/>
          <w:szCs w:val="24"/>
        </w:rPr>
        <w:t xml:space="preserve"> </w:t>
      </w:r>
      <w:r w:rsidRPr="002661A8">
        <w:rPr>
          <w:rFonts w:ascii="Times New Roman" w:hAnsi="Times New Roman" w:cs="Times New Roman"/>
          <w:noProof/>
          <w:sz w:val="24"/>
          <w:szCs w:val="24"/>
        </w:rPr>
        <w:t>EMIR requires that derivatives transactions are reported to ensure market transparency for regulators and supervisors</w:t>
      </w:r>
      <w:r w:rsidR="00D860A3" w:rsidRPr="002661A8">
        <w:rPr>
          <w:rFonts w:ascii="Times New Roman" w:hAnsi="Times New Roman" w:cs="Times New Roman"/>
          <w:noProof/>
          <w:sz w:val="24"/>
          <w:szCs w:val="24"/>
        </w:rPr>
        <w:t xml:space="preserve">; and </w:t>
      </w:r>
      <w:r w:rsidRPr="002661A8">
        <w:rPr>
          <w:rFonts w:ascii="Times New Roman" w:hAnsi="Times New Roman" w:cs="Times New Roman"/>
          <w:noProof/>
          <w:sz w:val="24"/>
          <w:szCs w:val="24"/>
        </w:rPr>
        <w:t>that their risks are appropriately mitigated through centrally clearing at a CCP or exchanging collateral, known as ‘margin’, in bilateral transactions. C</w:t>
      </w:r>
      <w:r w:rsidR="008D388F" w:rsidRPr="002661A8">
        <w:rPr>
          <w:rFonts w:ascii="Times New Roman" w:hAnsi="Times New Roman" w:cs="Times New Roman"/>
          <w:noProof/>
          <w:sz w:val="24"/>
          <w:szCs w:val="24"/>
        </w:rPr>
        <w:t>CPs</w:t>
      </w:r>
      <w:r w:rsidRPr="002661A8">
        <w:rPr>
          <w:rFonts w:ascii="Times New Roman" w:hAnsi="Times New Roman" w:cs="Times New Roman"/>
          <w:noProof/>
          <w:sz w:val="24"/>
          <w:szCs w:val="24"/>
        </w:rPr>
        <w:t xml:space="preserve"> </w:t>
      </w:r>
      <w:r w:rsidR="008D388F" w:rsidRPr="002661A8">
        <w:rPr>
          <w:rFonts w:ascii="Times New Roman" w:hAnsi="Times New Roman" w:cs="Times New Roman"/>
          <w:noProof/>
          <w:sz w:val="24"/>
          <w:szCs w:val="24"/>
        </w:rPr>
        <w:t xml:space="preserve">and the risks they manage </w:t>
      </w:r>
      <w:r w:rsidRPr="002661A8">
        <w:rPr>
          <w:rFonts w:ascii="Times New Roman" w:hAnsi="Times New Roman" w:cs="Times New Roman"/>
          <w:noProof/>
          <w:sz w:val="24"/>
          <w:szCs w:val="24"/>
        </w:rPr>
        <w:t>ha</w:t>
      </w:r>
      <w:r w:rsidR="008D388F" w:rsidRPr="002661A8">
        <w:rPr>
          <w:rFonts w:ascii="Times New Roman" w:hAnsi="Times New Roman" w:cs="Times New Roman"/>
          <w:noProof/>
          <w:sz w:val="24"/>
          <w:szCs w:val="24"/>
        </w:rPr>
        <w:t>ve</w:t>
      </w:r>
      <w:r w:rsidRPr="002661A8">
        <w:rPr>
          <w:rFonts w:ascii="Times New Roman" w:hAnsi="Times New Roman" w:cs="Times New Roman"/>
          <w:noProof/>
          <w:sz w:val="24"/>
          <w:szCs w:val="24"/>
        </w:rPr>
        <w:t xml:space="preserve"> grown considerably since the adoption of EMIR.</w:t>
      </w:r>
      <w:r w:rsidR="001D5FC7">
        <w:rPr>
          <w:rFonts w:ascii="Times New Roman" w:hAnsi="Times New Roman" w:cs="Times New Roman"/>
          <w:noProof/>
          <w:sz w:val="24"/>
          <w:szCs w:val="24"/>
        </w:rPr>
        <w:t xml:space="preserve"> </w:t>
      </w:r>
      <w:r w:rsidR="00C81765">
        <w:rPr>
          <w:rFonts w:ascii="Times New Roman" w:hAnsi="Times New Roman" w:cs="Times New Roman"/>
          <w:noProof/>
          <w:sz w:val="24"/>
          <w:szCs w:val="24"/>
        </w:rPr>
        <w:t>T</w:t>
      </w:r>
      <w:r w:rsidR="001D5FC7">
        <w:rPr>
          <w:rFonts w:ascii="Times New Roman" w:hAnsi="Times New Roman" w:cs="Times New Roman"/>
          <w:noProof/>
          <w:sz w:val="24"/>
          <w:szCs w:val="24"/>
        </w:rPr>
        <w:t xml:space="preserve">he EU </w:t>
      </w:r>
      <w:r w:rsidR="00C81765">
        <w:rPr>
          <w:rFonts w:ascii="Times New Roman" w:hAnsi="Times New Roman" w:cs="Times New Roman"/>
          <w:noProof/>
          <w:sz w:val="24"/>
          <w:szCs w:val="24"/>
        </w:rPr>
        <w:t>subsequently</w:t>
      </w:r>
      <w:r w:rsidR="001D5FC7">
        <w:rPr>
          <w:rFonts w:ascii="Times New Roman" w:hAnsi="Times New Roman" w:cs="Times New Roman"/>
          <w:noProof/>
          <w:sz w:val="24"/>
          <w:szCs w:val="24"/>
        </w:rPr>
        <w:t xml:space="preserve"> adapted the banking rules on counterparty credit risk in the Capital Requirements </w:t>
      </w:r>
      <w:r w:rsidR="00EC1DE4">
        <w:rPr>
          <w:rFonts w:ascii="Times New Roman" w:hAnsi="Times New Roman" w:cs="Times New Roman"/>
          <w:noProof/>
          <w:sz w:val="24"/>
          <w:szCs w:val="24"/>
        </w:rPr>
        <w:t>Regulation</w:t>
      </w:r>
      <w:r w:rsidR="001D5FC7">
        <w:rPr>
          <w:rFonts w:ascii="Times New Roman" w:hAnsi="Times New Roman" w:cs="Times New Roman"/>
          <w:noProof/>
          <w:sz w:val="24"/>
          <w:szCs w:val="24"/>
        </w:rPr>
        <w:t xml:space="preserve"> to grant a preferential capital treatment to exposures to CCPs, reflecting the </w:t>
      </w:r>
      <w:r w:rsidR="00EC1DE4">
        <w:rPr>
          <w:rFonts w:ascii="Times New Roman" w:hAnsi="Times New Roman" w:cs="Times New Roman"/>
          <w:noProof/>
          <w:sz w:val="24"/>
          <w:szCs w:val="24"/>
        </w:rPr>
        <w:t>risk-reducing role of CCPs</w:t>
      </w:r>
      <w:r w:rsidR="001D5FC7">
        <w:rPr>
          <w:rFonts w:ascii="Times New Roman" w:hAnsi="Times New Roman" w:cs="Times New Roman"/>
          <w:noProof/>
          <w:sz w:val="24"/>
          <w:szCs w:val="24"/>
        </w:rPr>
        <w:t>. Rules on counterparty risk also exist in the</w:t>
      </w:r>
      <w:r w:rsidR="001D5FC7" w:rsidDel="00383E58">
        <w:rPr>
          <w:rFonts w:ascii="Times New Roman" w:hAnsi="Times New Roman" w:cs="Times New Roman"/>
          <w:noProof/>
          <w:sz w:val="24"/>
          <w:szCs w:val="24"/>
        </w:rPr>
        <w:t xml:space="preserve"> </w:t>
      </w:r>
      <w:r w:rsidR="001D5FC7">
        <w:rPr>
          <w:rFonts w:ascii="Times New Roman" w:hAnsi="Times New Roman" w:cs="Times New Roman"/>
          <w:noProof/>
          <w:sz w:val="24"/>
          <w:szCs w:val="24"/>
        </w:rPr>
        <w:t xml:space="preserve">frameworks </w:t>
      </w:r>
      <w:r w:rsidR="000E2972">
        <w:rPr>
          <w:rFonts w:ascii="Times New Roman" w:hAnsi="Times New Roman" w:cs="Times New Roman"/>
          <w:noProof/>
          <w:sz w:val="24"/>
          <w:szCs w:val="24"/>
        </w:rPr>
        <w:t>for</w:t>
      </w:r>
      <w:r w:rsidR="001D5FC7">
        <w:rPr>
          <w:rFonts w:ascii="Times New Roman" w:hAnsi="Times New Roman" w:cs="Times New Roman"/>
          <w:noProof/>
          <w:sz w:val="24"/>
          <w:szCs w:val="24"/>
        </w:rPr>
        <w:t xml:space="preserve"> investment funds</w:t>
      </w:r>
      <w:r w:rsidR="00EC1DE4">
        <w:rPr>
          <w:rStyle w:val="FootnoteReference"/>
          <w:rFonts w:ascii="Times New Roman" w:hAnsi="Times New Roman" w:cs="Times New Roman"/>
          <w:noProof/>
          <w:sz w:val="24"/>
          <w:szCs w:val="24"/>
        </w:rPr>
        <w:footnoteReference w:id="4"/>
      </w:r>
      <w:r w:rsidR="000E2972">
        <w:rPr>
          <w:rFonts w:ascii="Times New Roman" w:hAnsi="Times New Roman" w:cs="Times New Roman"/>
          <w:noProof/>
          <w:sz w:val="24"/>
          <w:szCs w:val="24"/>
        </w:rPr>
        <w:t xml:space="preserve"> and insurance</w:t>
      </w:r>
      <w:r w:rsidR="00846509">
        <w:rPr>
          <w:rFonts w:ascii="Times New Roman" w:hAnsi="Times New Roman" w:cs="Times New Roman"/>
          <w:noProof/>
          <w:sz w:val="24"/>
          <w:szCs w:val="24"/>
        </w:rPr>
        <w:t xml:space="preserve"> companies</w:t>
      </w:r>
      <w:r w:rsidR="00846509">
        <w:rPr>
          <w:rStyle w:val="FootnoteReference"/>
          <w:rFonts w:ascii="Times New Roman" w:hAnsi="Times New Roman" w:cs="Times New Roman"/>
          <w:noProof/>
          <w:sz w:val="24"/>
          <w:szCs w:val="24"/>
        </w:rPr>
        <w:footnoteReference w:id="5"/>
      </w:r>
      <w:r w:rsidR="00EC1DE4">
        <w:rPr>
          <w:rFonts w:ascii="Times New Roman" w:hAnsi="Times New Roman" w:cs="Times New Roman"/>
          <w:noProof/>
          <w:sz w:val="24"/>
          <w:szCs w:val="24"/>
        </w:rPr>
        <w:t xml:space="preserve">, however these were not </w:t>
      </w:r>
      <w:r w:rsidR="000E2972">
        <w:rPr>
          <w:rFonts w:ascii="Times New Roman" w:hAnsi="Times New Roman" w:cs="Times New Roman"/>
          <w:noProof/>
          <w:sz w:val="24"/>
          <w:szCs w:val="24"/>
        </w:rPr>
        <w:t>adjusted</w:t>
      </w:r>
      <w:r w:rsidR="00EC1DE4">
        <w:rPr>
          <w:rFonts w:ascii="Times New Roman" w:hAnsi="Times New Roman" w:cs="Times New Roman"/>
          <w:noProof/>
          <w:sz w:val="24"/>
          <w:szCs w:val="24"/>
        </w:rPr>
        <w:t xml:space="preserve"> to </w:t>
      </w:r>
      <w:r w:rsidR="000E2972">
        <w:rPr>
          <w:rFonts w:ascii="Times New Roman" w:hAnsi="Times New Roman" w:cs="Times New Roman"/>
          <w:noProof/>
          <w:sz w:val="24"/>
          <w:szCs w:val="24"/>
        </w:rPr>
        <w:t xml:space="preserve">fully </w:t>
      </w:r>
      <w:r w:rsidR="00EC1DE4">
        <w:rPr>
          <w:rFonts w:ascii="Times New Roman" w:hAnsi="Times New Roman" w:cs="Times New Roman"/>
          <w:noProof/>
          <w:sz w:val="24"/>
          <w:szCs w:val="24"/>
        </w:rPr>
        <w:t xml:space="preserve">reflect the role of CCPs. </w:t>
      </w:r>
    </w:p>
    <w:p w14:paraId="7CC7DE01" w14:textId="6D00CBCF" w:rsidR="002676D8" w:rsidRPr="002661A8" w:rsidRDefault="002676D8" w:rsidP="002676D8">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In 2017, the Commission</w:t>
      </w:r>
      <w:r w:rsidRPr="002661A8" w:rsidDel="00C82C01">
        <w:rPr>
          <w:rFonts w:ascii="Times New Roman" w:hAnsi="Times New Roman" w:cs="Times New Roman"/>
          <w:noProof/>
          <w:sz w:val="24"/>
          <w:szCs w:val="24"/>
        </w:rPr>
        <w:t xml:space="preserve"> </w:t>
      </w:r>
      <w:r w:rsidRPr="002661A8">
        <w:rPr>
          <w:rFonts w:ascii="Times New Roman" w:hAnsi="Times New Roman" w:cs="Times New Roman"/>
          <w:noProof/>
          <w:sz w:val="24"/>
          <w:szCs w:val="24"/>
        </w:rPr>
        <w:t xml:space="preserve">published two legislative proposals amending EMIR, adopted by the co-legislators in 2019. EMIR </w:t>
      </w:r>
      <w:r w:rsidR="00A010C4" w:rsidRPr="002661A8">
        <w:rPr>
          <w:rFonts w:ascii="Times New Roman" w:hAnsi="Times New Roman" w:cs="Times New Roman"/>
          <w:noProof/>
          <w:sz w:val="24"/>
          <w:szCs w:val="24"/>
        </w:rPr>
        <w:t xml:space="preserve">REFIT </w:t>
      </w:r>
      <w:r w:rsidRPr="002661A8">
        <w:rPr>
          <w:rFonts w:ascii="Times New Roman" w:hAnsi="Times New Roman" w:cs="Times New Roman"/>
          <w:noProof/>
          <w:sz w:val="24"/>
          <w:szCs w:val="24"/>
        </w:rPr>
        <w:t xml:space="preserve">recalibrated some of the rules to ensure their proportionality, while </w:t>
      </w:r>
      <w:r w:rsidR="00D860A3" w:rsidRPr="002661A8">
        <w:rPr>
          <w:rFonts w:ascii="Times New Roman" w:hAnsi="Times New Roman" w:cs="Times New Roman"/>
          <w:noProof/>
          <w:sz w:val="24"/>
          <w:szCs w:val="24"/>
        </w:rPr>
        <w:t xml:space="preserve">ensuring </w:t>
      </w:r>
      <w:r w:rsidRPr="002661A8">
        <w:rPr>
          <w:rFonts w:ascii="Times New Roman" w:hAnsi="Times New Roman" w:cs="Times New Roman"/>
          <w:b/>
          <w:noProof/>
          <w:sz w:val="24"/>
          <w:szCs w:val="24"/>
        </w:rPr>
        <w:t>financial stability</w:t>
      </w:r>
      <w:r w:rsidRPr="002661A8">
        <w:rPr>
          <w:rFonts w:ascii="Times New Roman" w:hAnsi="Times New Roman" w:cs="Times New Roman"/>
          <w:noProof/>
          <w:sz w:val="24"/>
          <w:szCs w:val="24"/>
        </w:rPr>
        <w:t xml:space="preserve">. </w:t>
      </w:r>
      <w:r w:rsidR="00A2540A" w:rsidRPr="002661A8">
        <w:rPr>
          <w:rFonts w:ascii="Times New Roman" w:hAnsi="Times New Roman" w:cs="Times New Roman"/>
          <w:noProof/>
          <w:sz w:val="24"/>
          <w:szCs w:val="24"/>
        </w:rPr>
        <w:t xml:space="preserve">Acknowledging the emerging issues related to the increasing concentration of risks in CCPs, in particular third-country CCPs, EMIR 2.2 revised the supervisory framework and set out a process for assessing the systemic nature of third-country CCPs by </w:t>
      </w:r>
      <w:r w:rsidR="00F856EB">
        <w:rPr>
          <w:rFonts w:ascii="Times New Roman" w:hAnsi="Times New Roman" w:cs="Times New Roman"/>
          <w:noProof/>
          <w:sz w:val="24"/>
          <w:szCs w:val="24"/>
        </w:rPr>
        <w:t>the European Securities and Markets Authority (</w:t>
      </w:r>
      <w:r w:rsidR="00A2540A" w:rsidRPr="002661A8">
        <w:rPr>
          <w:rFonts w:ascii="Times New Roman" w:hAnsi="Times New Roman" w:cs="Times New Roman"/>
          <w:noProof/>
          <w:sz w:val="24"/>
          <w:szCs w:val="24"/>
        </w:rPr>
        <w:t>ESMA</w:t>
      </w:r>
      <w:r w:rsidR="00F856EB">
        <w:rPr>
          <w:rFonts w:ascii="Times New Roman" w:hAnsi="Times New Roman" w:cs="Times New Roman"/>
          <w:noProof/>
          <w:sz w:val="24"/>
          <w:szCs w:val="24"/>
        </w:rPr>
        <w:t>)</w:t>
      </w:r>
      <w:r w:rsidR="00A2540A" w:rsidRPr="002661A8">
        <w:rPr>
          <w:rFonts w:ascii="Times New Roman" w:hAnsi="Times New Roman" w:cs="Times New Roman"/>
          <w:noProof/>
          <w:sz w:val="24"/>
          <w:szCs w:val="24"/>
        </w:rPr>
        <w:t xml:space="preserve"> in cooperation with the</w:t>
      </w:r>
      <w:r w:rsidR="00311E8A" w:rsidRPr="002661A8">
        <w:rPr>
          <w:rFonts w:ascii="Times New Roman" w:hAnsi="Times New Roman" w:cs="Times New Roman"/>
          <w:noProof/>
          <w:sz w:val="24"/>
          <w:szCs w:val="24"/>
        </w:rPr>
        <w:t xml:space="preserve"> European Systemic Risk Board (</w:t>
      </w:r>
      <w:r w:rsidR="00A2540A" w:rsidRPr="002661A8">
        <w:rPr>
          <w:rFonts w:ascii="Times New Roman" w:hAnsi="Times New Roman" w:cs="Times New Roman"/>
          <w:noProof/>
          <w:sz w:val="24"/>
          <w:szCs w:val="24"/>
        </w:rPr>
        <w:t>ESRB</w:t>
      </w:r>
      <w:r w:rsidR="00311E8A" w:rsidRPr="002661A8">
        <w:rPr>
          <w:rFonts w:ascii="Times New Roman" w:hAnsi="Times New Roman" w:cs="Times New Roman"/>
          <w:noProof/>
          <w:sz w:val="24"/>
          <w:szCs w:val="24"/>
        </w:rPr>
        <w:t>)</w:t>
      </w:r>
      <w:r w:rsidR="00A2540A" w:rsidRPr="002661A8">
        <w:rPr>
          <w:rFonts w:ascii="Times New Roman" w:hAnsi="Times New Roman" w:cs="Times New Roman"/>
          <w:noProof/>
          <w:sz w:val="24"/>
          <w:szCs w:val="24"/>
        </w:rPr>
        <w:t xml:space="preserve"> and the central banks of issue</w:t>
      </w:r>
      <w:r w:rsidRPr="002661A8">
        <w:rPr>
          <w:rFonts w:ascii="Times New Roman" w:hAnsi="Times New Roman" w:cs="Times New Roman"/>
          <w:noProof/>
          <w:sz w:val="24"/>
          <w:szCs w:val="24"/>
        </w:rPr>
        <w:t>. EMIR is complemented by the CCP Recovery and Resolution Regulation, adopted in 2020</w:t>
      </w:r>
      <w:r w:rsidR="0034415A" w:rsidRPr="002661A8">
        <w:rPr>
          <w:rFonts w:ascii="Times New Roman" w:hAnsi="Times New Roman" w:cs="Times New Roman"/>
          <w:noProof/>
          <w:sz w:val="24"/>
          <w:szCs w:val="24"/>
        </w:rPr>
        <w:t>,</w:t>
      </w:r>
      <w:r w:rsidRPr="002661A8">
        <w:rPr>
          <w:rStyle w:val="FootnoteReference"/>
          <w:rFonts w:ascii="Times New Roman" w:hAnsi="Times New Roman" w:cs="Times New Roman"/>
          <w:noProof/>
          <w:sz w:val="24"/>
          <w:szCs w:val="24"/>
        </w:rPr>
        <w:footnoteReference w:id="6"/>
      </w:r>
      <w:r w:rsidRPr="002661A8">
        <w:rPr>
          <w:rFonts w:ascii="Times New Roman" w:hAnsi="Times New Roman" w:cs="Times New Roman"/>
          <w:noProof/>
          <w:sz w:val="24"/>
          <w:szCs w:val="24"/>
        </w:rPr>
        <w:t xml:space="preserve"> to prepare for the </w:t>
      </w:r>
      <w:r w:rsidR="00D860A3" w:rsidRPr="002661A8">
        <w:rPr>
          <w:rFonts w:ascii="Times New Roman" w:hAnsi="Times New Roman" w:cs="Times New Roman"/>
          <w:noProof/>
          <w:sz w:val="24"/>
          <w:szCs w:val="24"/>
        </w:rPr>
        <w:t xml:space="preserve">unlikely </w:t>
      </w:r>
      <w:r w:rsidR="00312A9F" w:rsidRPr="002661A8">
        <w:rPr>
          <w:rFonts w:ascii="Times New Roman" w:hAnsi="Times New Roman" w:cs="Times New Roman"/>
          <w:noProof/>
          <w:sz w:val="24"/>
          <w:szCs w:val="24"/>
        </w:rPr>
        <w:t>– though massively impactful -</w:t>
      </w:r>
      <w:r w:rsidR="00D860A3" w:rsidRPr="002661A8">
        <w:rPr>
          <w:rFonts w:ascii="Times New Roman" w:hAnsi="Times New Roman" w:cs="Times New Roman"/>
          <w:noProof/>
          <w:sz w:val="24"/>
          <w:szCs w:val="24"/>
        </w:rPr>
        <w:t xml:space="preserve"> </w:t>
      </w:r>
      <w:r w:rsidRPr="002661A8">
        <w:rPr>
          <w:rFonts w:ascii="Times New Roman" w:hAnsi="Times New Roman" w:cs="Times New Roman"/>
          <w:noProof/>
          <w:sz w:val="24"/>
          <w:szCs w:val="24"/>
        </w:rPr>
        <w:t>event that an EU CCP faces severe distress.</w:t>
      </w:r>
      <w:r w:rsidRPr="002661A8">
        <w:rPr>
          <w:rStyle w:val="FootnoteReference"/>
          <w:rFonts w:ascii="Times New Roman" w:hAnsi="Times New Roman" w:cs="Times New Roman"/>
          <w:noProof/>
          <w:sz w:val="24"/>
          <w:szCs w:val="24"/>
        </w:rPr>
        <w:footnoteReference w:id="7"/>
      </w:r>
      <w:r w:rsidRPr="002661A8">
        <w:rPr>
          <w:rFonts w:ascii="Times New Roman" w:hAnsi="Times New Roman" w:cs="Times New Roman"/>
          <w:noProof/>
          <w:sz w:val="24"/>
          <w:szCs w:val="24"/>
        </w:rPr>
        <w:t xml:space="preserve"> Financial stability is at the core of </w:t>
      </w:r>
      <w:r w:rsidR="00741FE0" w:rsidRPr="002661A8">
        <w:rPr>
          <w:rFonts w:ascii="Times New Roman" w:hAnsi="Times New Roman" w:cs="Times New Roman"/>
          <w:noProof/>
          <w:sz w:val="24"/>
          <w:szCs w:val="24"/>
        </w:rPr>
        <w:t xml:space="preserve">these pieces of </w:t>
      </w:r>
      <w:r w:rsidR="00D860A3" w:rsidRPr="002661A8">
        <w:rPr>
          <w:rFonts w:ascii="Times New Roman" w:hAnsi="Times New Roman" w:cs="Times New Roman"/>
          <w:noProof/>
          <w:sz w:val="24"/>
          <w:szCs w:val="24"/>
        </w:rPr>
        <w:t xml:space="preserve">EU </w:t>
      </w:r>
      <w:r w:rsidR="00741FE0" w:rsidRPr="002661A8">
        <w:rPr>
          <w:rFonts w:ascii="Times New Roman" w:hAnsi="Times New Roman" w:cs="Times New Roman"/>
          <w:noProof/>
          <w:sz w:val="24"/>
          <w:szCs w:val="24"/>
        </w:rPr>
        <w:t>legislation</w:t>
      </w:r>
      <w:r w:rsidRPr="002661A8">
        <w:rPr>
          <w:rFonts w:ascii="Times New Roman" w:hAnsi="Times New Roman" w:cs="Times New Roman"/>
          <w:noProof/>
          <w:sz w:val="24"/>
          <w:szCs w:val="24"/>
        </w:rPr>
        <w:t>. This impact assessment should be put in this context.</w:t>
      </w:r>
    </w:p>
    <w:p w14:paraId="1A9CC839" w14:textId="35340953" w:rsidR="002676D8" w:rsidRPr="002661A8" w:rsidRDefault="002676D8" w:rsidP="002676D8">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Since 201</w:t>
      </w:r>
      <w:r w:rsidR="008824E6" w:rsidRPr="002661A8">
        <w:rPr>
          <w:rFonts w:ascii="Times New Roman" w:hAnsi="Times New Roman" w:cs="Times New Roman"/>
          <w:noProof/>
          <w:sz w:val="24"/>
          <w:szCs w:val="24"/>
        </w:rPr>
        <w:t>7</w:t>
      </w:r>
      <w:r w:rsidRPr="002661A8">
        <w:rPr>
          <w:rFonts w:ascii="Times New Roman" w:hAnsi="Times New Roman" w:cs="Times New Roman"/>
          <w:noProof/>
          <w:sz w:val="24"/>
          <w:szCs w:val="24"/>
        </w:rPr>
        <w:t xml:space="preserve">, concerns have been repeatedly expressed about the ongoing risks to the </w:t>
      </w:r>
      <w:r w:rsidRPr="002661A8">
        <w:rPr>
          <w:rFonts w:ascii="Times New Roman" w:hAnsi="Times New Roman" w:cs="Times New Roman"/>
          <w:b/>
          <w:noProof/>
          <w:sz w:val="24"/>
          <w:szCs w:val="24"/>
        </w:rPr>
        <w:t>EU financial stability</w:t>
      </w:r>
      <w:r w:rsidRPr="002661A8">
        <w:rPr>
          <w:rFonts w:ascii="Times New Roman" w:hAnsi="Times New Roman" w:cs="Times New Roman"/>
          <w:noProof/>
          <w:sz w:val="24"/>
          <w:szCs w:val="24"/>
        </w:rPr>
        <w:t xml:space="preserve"> arising from the </w:t>
      </w:r>
      <w:r w:rsidR="000C228C" w:rsidRPr="002661A8">
        <w:rPr>
          <w:rFonts w:ascii="Times New Roman" w:hAnsi="Times New Roman" w:cs="Times New Roman"/>
          <w:noProof/>
          <w:sz w:val="24"/>
          <w:szCs w:val="24"/>
        </w:rPr>
        <w:t xml:space="preserve">excessive </w:t>
      </w:r>
      <w:r w:rsidRPr="002661A8">
        <w:rPr>
          <w:rFonts w:ascii="Times New Roman" w:hAnsi="Times New Roman" w:cs="Times New Roman"/>
          <w:noProof/>
          <w:sz w:val="24"/>
          <w:szCs w:val="24"/>
        </w:rPr>
        <w:t>concentration of clearing in some third-country CCPs, notably</w:t>
      </w:r>
      <w:r w:rsidR="00F856EB">
        <w:rPr>
          <w:rFonts w:ascii="Times New Roman" w:hAnsi="Times New Roman" w:cs="Times New Roman"/>
          <w:noProof/>
          <w:sz w:val="24"/>
          <w:szCs w:val="24"/>
        </w:rPr>
        <w:t xml:space="preserve"> in the United Kingdom, </w:t>
      </w:r>
      <w:r w:rsidRPr="002661A8">
        <w:rPr>
          <w:rFonts w:ascii="Times New Roman" w:hAnsi="Times New Roman" w:cs="Times New Roman"/>
          <w:noProof/>
          <w:sz w:val="24"/>
          <w:szCs w:val="24"/>
        </w:rPr>
        <w:t xml:space="preserve">in a stress scenario. </w:t>
      </w:r>
      <w:r w:rsidR="00BA70F2" w:rsidRPr="002661A8">
        <w:rPr>
          <w:rFonts w:ascii="Times New Roman" w:hAnsi="Times New Roman" w:cs="Times New Roman"/>
          <w:noProof/>
          <w:sz w:val="24"/>
          <w:szCs w:val="24"/>
        </w:rPr>
        <w:t>T</w:t>
      </w:r>
      <w:r w:rsidRPr="002661A8">
        <w:rPr>
          <w:rFonts w:ascii="Times New Roman" w:hAnsi="Times New Roman" w:cs="Times New Roman"/>
          <w:noProof/>
          <w:sz w:val="24"/>
          <w:szCs w:val="24"/>
        </w:rPr>
        <w:t xml:space="preserve">o avoid cliff edge </w:t>
      </w:r>
      <w:r w:rsidR="0078643C" w:rsidRPr="002661A8">
        <w:rPr>
          <w:rFonts w:ascii="Times New Roman" w:hAnsi="Times New Roman" w:cs="Times New Roman"/>
          <w:noProof/>
          <w:sz w:val="24"/>
          <w:szCs w:val="24"/>
        </w:rPr>
        <w:t xml:space="preserve">effects </w:t>
      </w:r>
      <w:r w:rsidR="006E7538" w:rsidRPr="002661A8">
        <w:rPr>
          <w:rFonts w:ascii="Times New Roman" w:hAnsi="Times New Roman" w:cs="Times New Roman"/>
          <w:noProof/>
          <w:sz w:val="24"/>
          <w:szCs w:val="24"/>
        </w:rPr>
        <w:t xml:space="preserve">related to </w:t>
      </w:r>
      <w:r w:rsidR="009606E7" w:rsidRPr="002661A8">
        <w:rPr>
          <w:rFonts w:ascii="Times New Roman" w:hAnsi="Times New Roman" w:cs="Times New Roman"/>
          <w:noProof/>
          <w:sz w:val="24"/>
          <w:szCs w:val="24"/>
        </w:rPr>
        <w:t>the</w:t>
      </w:r>
      <w:r w:rsidR="009606E7" w:rsidRPr="002661A8" w:rsidDel="00634FB9">
        <w:rPr>
          <w:rFonts w:ascii="Times New Roman" w:hAnsi="Times New Roman" w:cs="Times New Roman"/>
          <w:noProof/>
          <w:sz w:val="24"/>
          <w:szCs w:val="24"/>
        </w:rPr>
        <w:t xml:space="preserve"> </w:t>
      </w:r>
      <w:r w:rsidR="009606E7" w:rsidRPr="002661A8">
        <w:rPr>
          <w:rFonts w:ascii="Times New Roman" w:hAnsi="Times New Roman" w:cs="Times New Roman"/>
          <w:noProof/>
          <w:sz w:val="24"/>
          <w:szCs w:val="24"/>
        </w:rPr>
        <w:t>withdrawal</w:t>
      </w:r>
      <w:r w:rsidR="00634FB9" w:rsidRPr="002661A8">
        <w:rPr>
          <w:rFonts w:ascii="Times New Roman" w:hAnsi="Times New Roman" w:cs="Times New Roman"/>
          <w:noProof/>
          <w:sz w:val="24"/>
          <w:szCs w:val="24"/>
        </w:rPr>
        <w:t xml:space="preserve"> of the UK</w:t>
      </w:r>
      <w:r w:rsidR="009606E7" w:rsidRPr="002661A8">
        <w:rPr>
          <w:rFonts w:ascii="Times New Roman" w:hAnsi="Times New Roman" w:cs="Times New Roman"/>
          <w:noProof/>
          <w:sz w:val="24"/>
          <w:szCs w:val="24"/>
        </w:rPr>
        <w:t xml:space="preserve"> from the EU</w:t>
      </w:r>
      <w:r w:rsidRPr="002661A8">
        <w:rPr>
          <w:rFonts w:ascii="Times New Roman" w:hAnsi="Times New Roman" w:cs="Times New Roman"/>
          <w:noProof/>
          <w:sz w:val="24"/>
          <w:szCs w:val="24"/>
        </w:rPr>
        <w:t>, the Commission adopted a series of equivalence decisions to maintain access to UK CCPs.</w:t>
      </w:r>
      <w:r w:rsidR="00DD4FFD">
        <w:rPr>
          <w:rStyle w:val="FootnoteReference"/>
          <w:rFonts w:ascii="Times New Roman" w:hAnsi="Times New Roman" w:cs="Times New Roman"/>
          <w:noProof/>
          <w:sz w:val="24"/>
          <w:szCs w:val="24"/>
        </w:rPr>
        <w:footnoteReference w:id="8"/>
      </w:r>
      <w:r w:rsidRPr="002661A8">
        <w:rPr>
          <w:rFonts w:ascii="Times New Roman" w:hAnsi="Times New Roman" w:cs="Times New Roman"/>
          <w:noProof/>
          <w:sz w:val="24"/>
          <w:szCs w:val="24"/>
        </w:rPr>
        <w:t xml:space="preserve"> </w:t>
      </w:r>
      <w:r w:rsidR="00D03386" w:rsidRPr="002661A8">
        <w:rPr>
          <w:rFonts w:ascii="Times New Roman" w:hAnsi="Times New Roman" w:cs="Times New Roman"/>
          <w:noProof/>
          <w:sz w:val="24"/>
          <w:szCs w:val="24"/>
        </w:rPr>
        <w:t>Therein</w:t>
      </w:r>
      <w:r w:rsidRPr="002661A8">
        <w:rPr>
          <w:rFonts w:ascii="Times New Roman" w:hAnsi="Times New Roman" w:cs="Times New Roman"/>
          <w:noProof/>
          <w:sz w:val="24"/>
          <w:szCs w:val="24"/>
        </w:rPr>
        <w:t xml:space="preserve">, the Commission called on market participants to reduce their </w:t>
      </w:r>
      <w:r w:rsidR="000C228C" w:rsidRPr="002661A8">
        <w:rPr>
          <w:rFonts w:ascii="Times New Roman" w:hAnsi="Times New Roman" w:cs="Times New Roman"/>
          <w:noProof/>
          <w:sz w:val="24"/>
          <w:szCs w:val="24"/>
        </w:rPr>
        <w:t>excessive</w:t>
      </w:r>
      <w:r w:rsidRPr="002661A8">
        <w:rPr>
          <w:rFonts w:ascii="Times New Roman" w:hAnsi="Times New Roman" w:cs="Times New Roman"/>
          <w:noProof/>
          <w:sz w:val="24"/>
          <w:szCs w:val="24"/>
        </w:rPr>
        <w:t xml:space="preserve"> exposures to systemic CCPs</w:t>
      </w:r>
      <w:r w:rsidR="0078643C" w:rsidRPr="002661A8">
        <w:rPr>
          <w:rFonts w:ascii="Times New Roman" w:hAnsi="Times New Roman" w:cs="Times New Roman"/>
          <w:noProof/>
          <w:sz w:val="24"/>
          <w:szCs w:val="24"/>
        </w:rPr>
        <w:t xml:space="preserve"> outside the EU</w:t>
      </w:r>
      <w:r w:rsidRPr="002661A8">
        <w:rPr>
          <w:rFonts w:ascii="Times New Roman" w:hAnsi="Times New Roman" w:cs="Times New Roman"/>
          <w:noProof/>
          <w:sz w:val="24"/>
          <w:szCs w:val="24"/>
        </w:rPr>
        <w:t xml:space="preserve">. This was reiterated in the Communication on </w:t>
      </w:r>
      <w:r w:rsidR="003975DC" w:rsidRPr="002661A8">
        <w:rPr>
          <w:rFonts w:ascii="Times New Roman" w:hAnsi="Times New Roman" w:cs="Times New Roman"/>
          <w:noProof/>
          <w:sz w:val="24"/>
          <w:szCs w:val="24"/>
        </w:rPr>
        <w:t xml:space="preserve">open </w:t>
      </w:r>
      <w:r w:rsidRPr="002661A8">
        <w:rPr>
          <w:rFonts w:ascii="Times New Roman" w:hAnsi="Times New Roman" w:cs="Times New Roman"/>
          <w:noProof/>
          <w:sz w:val="24"/>
          <w:szCs w:val="24"/>
        </w:rPr>
        <w:t>strategic autonomy in January 2021</w:t>
      </w:r>
      <w:r w:rsidR="006E7538" w:rsidRPr="002661A8">
        <w:rPr>
          <w:rFonts w:ascii="Times New Roman" w:hAnsi="Times New Roman" w:cs="Times New Roman"/>
          <w:noProof/>
          <w:sz w:val="24"/>
          <w:szCs w:val="24"/>
        </w:rPr>
        <w:t>.</w:t>
      </w:r>
      <w:bookmarkStart w:id="25" w:name="_Ref120289567"/>
      <w:r w:rsidRPr="002661A8">
        <w:rPr>
          <w:rFonts w:ascii="Times New Roman" w:hAnsi="Times New Roman" w:cs="Times New Roman"/>
          <w:noProof/>
          <w:sz w:val="24"/>
          <w:szCs w:val="24"/>
          <w:vertAlign w:val="superscript"/>
        </w:rPr>
        <w:footnoteReference w:id="9"/>
      </w:r>
      <w:bookmarkEnd w:id="25"/>
      <w:r w:rsidR="004330A6" w:rsidRPr="002661A8">
        <w:rPr>
          <w:rFonts w:ascii="Times New Roman" w:hAnsi="Times New Roman" w:cs="Times New Roman"/>
          <w:noProof/>
          <w:sz w:val="24"/>
          <w:szCs w:val="24"/>
        </w:rPr>
        <w:t xml:space="preserve"> </w:t>
      </w:r>
      <w:r w:rsidR="001B7962" w:rsidRPr="002661A8">
        <w:rPr>
          <w:rFonts w:ascii="Times New Roman" w:hAnsi="Times New Roman" w:cs="Times New Roman"/>
          <w:noProof/>
          <w:sz w:val="24"/>
          <w:szCs w:val="24"/>
        </w:rPr>
        <w:t xml:space="preserve">But </w:t>
      </w:r>
      <w:r w:rsidRPr="002661A8">
        <w:rPr>
          <w:rFonts w:ascii="Times New Roman" w:hAnsi="Times New Roman" w:cs="Times New Roman"/>
          <w:noProof/>
          <w:sz w:val="24"/>
          <w:szCs w:val="24"/>
        </w:rPr>
        <w:t xml:space="preserve">challenges </w:t>
      </w:r>
      <w:r w:rsidR="00D860A3" w:rsidRPr="002661A8">
        <w:rPr>
          <w:rFonts w:ascii="Times New Roman" w:hAnsi="Times New Roman" w:cs="Times New Roman"/>
          <w:noProof/>
          <w:sz w:val="24"/>
          <w:szCs w:val="24"/>
        </w:rPr>
        <w:t>persist</w:t>
      </w:r>
      <w:r w:rsidRPr="002661A8">
        <w:rPr>
          <w:rFonts w:ascii="Times New Roman" w:hAnsi="Times New Roman" w:cs="Times New Roman"/>
          <w:noProof/>
          <w:sz w:val="24"/>
          <w:szCs w:val="24"/>
        </w:rPr>
        <w:t xml:space="preserve"> </w:t>
      </w:r>
      <w:r w:rsidR="00E17E28" w:rsidRPr="002661A8">
        <w:rPr>
          <w:rFonts w:ascii="Times New Roman" w:hAnsi="Times New Roman" w:cs="Times New Roman"/>
          <w:noProof/>
          <w:sz w:val="24"/>
          <w:szCs w:val="24"/>
        </w:rPr>
        <w:t>to</w:t>
      </w:r>
      <w:r w:rsidR="00A64118" w:rsidRPr="002661A8">
        <w:rPr>
          <w:rFonts w:ascii="Times New Roman" w:hAnsi="Times New Roman" w:cs="Times New Roman"/>
          <w:noProof/>
          <w:sz w:val="24"/>
          <w:szCs w:val="24"/>
        </w:rPr>
        <w:t xml:space="preserve"> </w:t>
      </w:r>
      <w:r w:rsidRPr="002661A8">
        <w:rPr>
          <w:rFonts w:ascii="Times New Roman" w:hAnsi="Times New Roman" w:cs="Times New Roman"/>
          <w:noProof/>
          <w:sz w:val="24"/>
          <w:szCs w:val="24"/>
        </w:rPr>
        <w:t>reduc</w:t>
      </w:r>
      <w:r w:rsidR="00E17E28" w:rsidRPr="002661A8">
        <w:rPr>
          <w:rFonts w:ascii="Times New Roman" w:hAnsi="Times New Roman" w:cs="Times New Roman"/>
          <w:noProof/>
          <w:sz w:val="24"/>
          <w:szCs w:val="24"/>
        </w:rPr>
        <w:t>e</w:t>
      </w:r>
      <w:r w:rsidRPr="002661A8">
        <w:rPr>
          <w:rFonts w:ascii="Times New Roman" w:hAnsi="Times New Roman" w:cs="Times New Roman"/>
          <w:noProof/>
          <w:sz w:val="24"/>
          <w:szCs w:val="24"/>
        </w:rPr>
        <w:t xml:space="preserve"> </w:t>
      </w:r>
      <w:r w:rsidR="000C228C" w:rsidRPr="002661A8">
        <w:rPr>
          <w:rFonts w:ascii="Times New Roman" w:hAnsi="Times New Roman" w:cs="Times New Roman"/>
          <w:noProof/>
          <w:sz w:val="24"/>
          <w:szCs w:val="24"/>
        </w:rPr>
        <w:t>those</w:t>
      </w:r>
      <w:r w:rsidRPr="002661A8">
        <w:rPr>
          <w:rFonts w:ascii="Times New Roman" w:hAnsi="Times New Roman" w:cs="Times New Roman"/>
          <w:noProof/>
          <w:sz w:val="24"/>
          <w:szCs w:val="24"/>
        </w:rPr>
        <w:t xml:space="preserve"> exposures. </w:t>
      </w:r>
    </w:p>
    <w:p w14:paraId="0BB9EFED" w14:textId="030AEECA" w:rsidR="002676D8" w:rsidRPr="002661A8" w:rsidRDefault="002676D8" w:rsidP="002676D8">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Th</w:t>
      </w:r>
      <w:r w:rsidR="00A64118" w:rsidRPr="002661A8">
        <w:rPr>
          <w:rFonts w:ascii="Times New Roman" w:hAnsi="Times New Roman" w:cs="Times New Roman"/>
          <w:noProof/>
          <w:sz w:val="24"/>
          <w:szCs w:val="24"/>
        </w:rPr>
        <w:t>ese aspects</w:t>
      </w:r>
      <w:r w:rsidRPr="002661A8">
        <w:rPr>
          <w:rFonts w:ascii="Times New Roman" w:hAnsi="Times New Roman" w:cs="Times New Roman"/>
          <w:noProof/>
          <w:sz w:val="24"/>
          <w:szCs w:val="24"/>
        </w:rPr>
        <w:t xml:space="preserve"> </w:t>
      </w:r>
      <w:r w:rsidR="006715EA" w:rsidRPr="002661A8">
        <w:rPr>
          <w:rFonts w:ascii="Times New Roman" w:hAnsi="Times New Roman" w:cs="Times New Roman"/>
          <w:noProof/>
          <w:sz w:val="24"/>
          <w:szCs w:val="24"/>
        </w:rPr>
        <w:t xml:space="preserve">also </w:t>
      </w:r>
      <w:r w:rsidR="00A056DC" w:rsidRPr="002661A8">
        <w:rPr>
          <w:rFonts w:ascii="Times New Roman" w:hAnsi="Times New Roman" w:cs="Times New Roman"/>
          <w:noProof/>
          <w:sz w:val="24"/>
          <w:szCs w:val="24"/>
        </w:rPr>
        <w:t xml:space="preserve">emerged </w:t>
      </w:r>
      <w:r w:rsidRPr="002661A8">
        <w:rPr>
          <w:rFonts w:ascii="Times New Roman" w:hAnsi="Times New Roman" w:cs="Times New Roman"/>
          <w:noProof/>
          <w:sz w:val="24"/>
          <w:szCs w:val="24"/>
        </w:rPr>
        <w:t xml:space="preserve">in </w:t>
      </w:r>
      <w:r w:rsidR="00A056DC" w:rsidRPr="002661A8">
        <w:rPr>
          <w:rFonts w:ascii="Times New Roman" w:hAnsi="Times New Roman" w:cs="Times New Roman"/>
          <w:noProof/>
          <w:sz w:val="24"/>
          <w:szCs w:val="24"/>
        </w:rPr>
        <w:t xml:space="preserve">the report on the systemic importance of </w:t>
      </w:r>
      <w:r w:rsidR="00953060" w:rsidRPr="002661A8">
        <w:rPr>
          <w:rFonts w:ascii="Times New Roman" w:hAnsi="Times New Roman" w:cs="Times New Roman"/>
          <w:noProof/>
          <w:sz w:val="24"/>
          <w:szCs w:val="24"/>
        </w:rPr>
        <w:t>UK</w:t>
      </w:r>
      <w:r w:rsidR="00800F15" w:rsidRPr="002661A8">
        <w:rPr>
          <w:rFonts w:ascii="Times New Roman" w:hAnsi="Times New Roman" w:cs="Times New Roman"/>
          <w:noProof/>
          <w:sz w:val="24"/>
          <w:szCs w:val="24"/>
        </w:rPr>
        <w:t xml:space="preserve"> CCPs</w:t>
      </w:r>
      <w:r w:rsidR="00A056DC" w:rsidRPr="002661A8">
        <w:rPr>
          <w:rFonts w:ascii="Times New Roman" w:hAnsi="Times New Roman" w:cs="Times New Roman"/>
          <w:noProof/>
          <w:sz w:val="24"/>
          <w:szCs w:val="24"/>
        </w:rPr>
        <w:t xml:space="preserve"> published by</w:t>
      </w:r>
      <w:r w:rsidRPr="002661A8">
        <w:rPr>
          <w:rFonts w:ascii="Times New Roman" w:hAnsi="Times New Roman" w:cs="Times New Roman"/>
          <w:noProof/>
          <w:sz w:val="24"/>
          <w:szCs w:val="24"/>
        </w:rPr>
        <w:t xml:space="preserve"> ESMA</w:t>
      </w:r>
      <w:r w:rsidR="00A056DC" w:rsidRPr="002661A8">
        <w:rPr>
          <w:rFonts w:ascii="Times New Roman" w:hAnsi="Times New Roman" w:cs="Times New Roman"/>
          <w:noProof/>
          <w:sz w:val="24"/>
          <w:szCs w:val="24"/>
        </w:rPr>
        <w:t xml:space="preserve"> in</w:t>
      </w:r>
      <w:r w:rsidR="006715EA" w:rsidRPr="002661A8">
        <w:rPr>
          <w:rFonts w:ascii="Times New Roman" w:hAnsi="Times New Roman" w:cs="Times New Roman"/>
          <w:noProof/>
          <w:sz w:val="24"/>
          <w:szCs w:val="24"/>
        </w:rPr>
        <w:t xml:space="preserve"> </w:t>
      </w:r>
      <w:r w:rsidR="00A056DC" w:rsidRPr="002661A8">
        <w:rPr>
          <w:rFonts w:ascii="Times New Roman" w:hAnsi="Times New Roman" w:cs="Times New Roman"/>
          <w:noProof/>
          <w:sz w:val="24"/>
          <w:szCs w:val="24"/>
        </w:rPr>
        <w:t>December 2021</w:t>
      </w:r>
      <w:r w:rsidR="0078643C" w:rsidRPr="002661A8">
        <w:rPr>
          <w:rFonts w:ascii="Times New Roman" w:hAnsi="Times New Roman" w:cs="Times New Roman"/>
          <w:noProof/>
          <w:sz w:val="24"/>
          <w:szCs w:val="24"/>
        </w:rPr>
        <w:t xml:space="preserve"> (henceforth </w:t>
      </w:r>
      <w:r w:rsidR="00953060" w:rsidRPr="002661A8">
        <w:rPr>
          <w:rFonts w:ascii="Times New Roman" w:hAnsi="Times New Roman" w:cs="Times New Roman"/>
          <w:noProof/>
          <w:sz w:val="24"/>
          <w:szCs w:val="24"/>
        </w:rPr>
        <w:t>“</w:t>
      </w:r>
      <w:r w:rsidR="0078643C" w:rsidRPr="002661A8">
        <w:rPr>
          <w:rFonts w:ascii="Times New Roman" w:hAnsi="Times New Roman" w:cs="Times New Roman"/>
          <w:noProof/>
          <w:sz w:val="24"/>
          <w:szCs w:val="24"/>
        </w:rPr>
        <w:t xml:space="preserve">the </w:t>
      </w:r>
      <w:r w:rsidR="00BE2DD0" w:rsidRPr="002661A8">
        <w:rPr>
          <w:rFonts w:ascii="Times New Roman" w:hAnsi="Times New Roman" w:cs="Times New Roman"/>
          <w:noProof/>
          <w:sz w:val="24"/>
          <w:szCs w:val="24"/>
        </w:rPr>
        <w:t xml:space="preserve">2021 </w:t>
      </w:r>
      <w:r w:rsidR="0078643C" w:rsidRPr="002661A8">
        <w:rPr>
          <w:rFonts w:ascii="Times New Roman" w:hAnsi="Times New Roman" w:cs="Times New Roman"/>
          <w:noProof/>
          <w:sz w:val="24"/>
          <w:szCs w:val="24"/>
        </w:rPr>
        <w:t>ESMA report</w:t>
      </w:r>
      <w:r w:rsidR="00BE2DD0" w:rsidRPr="002661A8">
        <w:rPr>
          <w:rFonts w:ascii="Times New Roman" w:hAnsi="Times New Roman" w:cs="Times New Roman"/>
          <w:noProof/>
          <w:sz w:val="24"/>
          <w:szCs w:val="24"/>
        </w:rPr>
        <w:t xml:space="preserve"> on UK CCPs</w:t>
      </w:r>
      <w:r w:rsidR="0078643C" w:rsidRPr="002661A8">
        <w:rPr>
          <w:rFonts w:ascii="Times New Roman" w:hAnsi="Times New Roman" w:cs="Times New Roman"/>
          <w:noProof/>
          <w:sz w:val="24"/>
          <w:szCs w:val="24"/>
        </w:rPr>
        <w:t>”)</w:t>
      </w:r>
      <w:bookmarkStart w:id="26" w:name="_Ref120290389"/>
      <w:r w:rsidRPr="002661A8">
        <w:rPr>
          <w:rStyle w:val="FootnoteReference"/>
          <w:rFonts w:ascii="Times New Roman" w:hAnsi="Times New Roman" w:cs="Times New Roman"/>
          <w:noProof/>
          <w:sz w:val="24"/>
          <w:szCs w:val="24"/>
        </w:rPr>
        <w:footnoteReference w:id="10"/>
      </w:r>
      <w:bookmarkEnd w:id="26"/>
      <w:r w:rsidR="005F183D">
        <w:rPr>
          <w:rFonts w:ascii="Times New Roman" w:hAnsi="Times New Roman" w:cs="Times New Roman"/>
          <w:noProof/>
          <w:sz w:val="24"/>
          <w:szCs w:val="24"/>
        </w:rPr>
        <w:t xml:space="preserve">. </w:t>
      </w:r>
      <w:r w:rsidRPr="002661A8">
        <w:rPr>
          <w:rFonts w:ascii="Times New Roman" w:hAnsi="Times New Roman" w:cs="Times New Roman"/>
          <w:noProof/>
          <w:sz w:val="24"/>
          <w:szCs w:val="24"/>
        </w:rPr>
        <w:t>Th</w:t>
      </w:r>
      <w:r w:rsidR="00976D62">
        <w:rPr>
          <w:rFonts w:ascii="Times New Roman" w:hAnsi="Times New Roman" w:cs="Times New Roman"/>
          <w:noProof/>
          <w:sz w:val="24"/>
          <w:szCs w:val="24"/>
        </w:rPr>
        <w:t>at</w:t>
      </w:r>
      <w:r w:rsidRPr="002661A8">
        <w:rPr>
          <w:rFonts w:ascii="Times New Roman" w:hAnsi="Times New Roman" w:cs="Times New Roman"/>
          <w:noProof/>
          <w:sz w:val="24"/>
          <w:szCs w:val="24"/>
        </w:rPr>
        <w:t xml:space="preserve"> report</w:t>
      </w:r>
      <w:r w:rsidR="001B04CE" w:rsidDel="00976D62">
        <w:rPr>
          <w:rFonts w:ascii="Times New Roman" w:hAnsi="Times New Roman" w:cs="Times New Roman"/>
          <w:noProof/>
          <w:sz w:val="24"/>
          <w:szCs w:val="24"/>
        </w:rPr>
        <w:t xml:space="preserve"> </w:t>
      </w:r>
      <w:r w:rsidRPr="002661A8">
        <w:rPr>
          <w:rFonts w:ascii="Times New Roman" w:hAnsi="Times New Roman" w:cs="Times New Roman"/>
          <w:noProof/>
          <w:sz w:val="24"/>
          <w:szCs w:val="24"/>
        </w:rPr>
        <w:t>concluded that some services provided by those CCPs were of such substantial systemic importance that the existing</w:t>
      </w:r>
      <w:r w:rsidRPr="002661A8">
        <w:rPr>
          <w:rFonts w:ascii="Times New Roman" w:hAnsi="Times New Roman" w:cs="Times New Roman"/>
          <w:b/>
          <w:noProof/>
          <w:sz w:val="24"/>
          <w:szCs w:val="24"/>
        </w:rPr>
        <w:t xml:space="preserve"> EMIR 2.2 framework could be insufficient to manage the risks to EU financial stability</w:t>
      </w:r>
      <w:r w:rsidRPr="002661A8">
        <w:rPr>
          <w:rFonts w:ascii="Times New Roman" w:hAnsi="Times New Roman" w:cs="Times New Roman"/>
          <w:noProof/>
          <w:sz w:val="24"/>
          <w:szCs w:val="24"/>
        </w:rPr>
        <w:t>.</w:t>
      </w:r>
      <w:r w:rsidRPr="002A0245">
        <w:rPr>
          <w:rStyle w:val="FootnoteReference"/>
          <w:rFonts w:ascii="Times New Roman" w:hAnsi="Times New Roman" w:cs="Times New Roman"/>
          <w:noProof/>
          <w:sz w:val="24"/>
          <w:szCs w:val="24"/>
        </w:rPr>
        <w:footnoteReference w:id="11"/>
      </w:r>
      <w:r w:rsidRPr="005F3B80">
        <w:rPr>
          <w:rFonts w:ascii="Times New Roman" w:hAnsi="Times New Roman" w:cs="Times New Roman"/>
          <w:noProof/>
          <w:sz w:val="24"/>
          <w:szCs w:val="24"/>
        </w:rPr>
        <w:t xml:space="preserve"> </w:t>
      </w:r>
      <w:r w:rsidR="00976D62">
        <w:rPr>
          <w:rFonts w:ascii="Times New Roman" w:hAnsi="Times New Roman" w:cs="Times New Roman"/>
          <w:noProof/>
          <w:sz w:val="24"/>
          <w:szCs w:val="24"/>
        </w:rPr>
        <w:t>It, however,</w:t>
      </w:r>
      <w:r w:rsidRPr="002661A8">
        <w:rPr>
          <w:rFonts w:ascii="Times New Roman" w:hAnsi="Times New Roman" w:cs="Times New Roman"/>
          <w:noProof/>
          <w:sz w:val="24"/>
          <w:szCs w:val="24"/>
        </w:rPr>
        <w:t xml:space="preserve"> underlined that the costs of requiring those services to be relocated to the EU would, at present, outweigh the benefits.</w:t>
      </w:r>
      <w:r w:rsidR="00846509" w:rsidRPr="00846509">
        <w:rPr>
          <w:rFonts w:ascii="Times New Roman" w:hAnsi="Times New Roman" w:cs="Times New Roman"/>
          <w:noProof/>
          <w:sz w:val="24"/>
          <w:szCs w:val="24"/>
        </w:rPr>
        <w:t xml:space="preserve"> </w:t>
      </w:r>
      <w:r w:rsidR="00846509">
        <w:rPr>
          <w:rFonts w:ascii="Times New Roman" w:hAnsi="Times New Roman" w:cs="Times New Roman"/>
          <w:noProof/>
          <w:sz w:val="24"/>
          <w:szCs w:val="24"/>
        </w:rPr>
        <w:t>In addition, a Member of the ECB Executive Board expressed the view that financial markets are more stable when market participants have options for where to clear, and there is room for the EU to further develop its clearing system</w:t>
      </w:r>
      <w:r w:rsidR="00846509">
        <w:rPr>
          <w:rStyle w:val="FootnoteReference"/>
          <w:rFonts w:ascii="Times New Roman" w:hAnsi="Times New Roman" w:cs="Times New Roman"/>
          <w:noProof/>
          <w:sz w:val="24"/>
          <w:szCs w:val="24"/>
        </w:rPr>
        <w:footnoteReference w:id="12"/>
      </w:r>
      <w:r w:rsidR="00846509">
        <w:rPr>
          <w:rFonts w:ascii="Times New Roman" w:hAnsi="Times New Roman" w:cs="Times New Roman"/>
          <w:noProof/>
          <w:sz w:val="24"/>
          <w:szCs w:val="24"/>
        </w:rPr>
        <w:t>.</w:t>
      </w:r>
    </w:p>
    <w:p w14:paraId="773619EE" w14:textId="6D80A845" w:rsidR="002676D8" w:rsidRPr="002661A8" w:rsidRDefault="002676D8" w:rsidP="002676D8">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The issues identified in this impact assessment </w:t>
      </w:r>
      <w:r w:rsidR="001B5FAA" w:rsidRPr="002661A8">
        <w:rPr>
          <w:rFonts w:ascii="Times New Roman" w:hAnsi="Times New Roman" w:cs="Times New Roman"/>
          <w:noProof/>
          <w:sz w:val="24"/>
          <w:szCs w:val="24"/>
        </w:rPr>
        <w:t xml:space="preserve">affect </w:t>
      </w:r>
      <w:r w:rsidRPr="002661A8">
        <w:rPr>
          <w:rFonts w:ascii="Times New Roman" w:hAnsi="Times New Roman" w:cs="Times New Roman"/>
          <w:b/>
          <w:noProof/>
          <w:sz w:val="24"/>
          <w:szCs w:val="24"/>
        </w:rPr>
        <w:t>EU financial stability</w:t>
      </w:r>
      <w:r w:rsidRPr="002661A8">
        <w:rPr>
          <w:rFonts w:ascii="Times New Roman" w:hAnsi="Times New Roman" w:cs="Times New Roman"/>
          <w:noProof/>
          <w:sz w:val="24"/>
          <w:szCs w:val="24"/>
        </w:rPr>
        <w:t xml:space="preserve"> by </w:t>
      </w:r>
      <w:r w:rsidR="00634FB9" w:rsidRPr="002661A8">
        <w:rPr>
          <w:rFonts w:ascii="Times New Roman" w:hAnsi="Times New Roman" w:cs="Times New Roman"/>
          <w:noProof/>
          <w:sz w:val="24"/>
          <w:szCs w:val="24"/>
        </w:rPr>
        <w:t>obstructing</w:t>
      </w:r>
      <w:r w:rsidRPr="002661A8" w:rsidDel="00634FB9">
        <w:rPr>
          <w:rFonts w:ascii="Times New Roman" w:hAnsi="Times New Roman" w:cs="Times New Roman"/>
          <w:noProof/>
          <w:sz w:val="24"/>
          <w:szCs w:val="24"/>
        </w:rPr>
        <w:t xml:space="preserve"> </w:t>
      </w:r>
      <w:r w:rsidRPr="002661A8">
        <w:rPr>
          <w:rFonts w:ascii="Times New Roman" w:hAnsi="Times New Roman" w:cs="Times New Roman"/>
          <w:noProof/>
          <w:sz w:val="24"/>
          <w:szCs w:val="24"/>
        </w:rPr>
        <w:t xml:space="preserve">the reduction of </w:t>
      </w:r>
      <w:r w:rsidR="000C228C" w:rsidRPr="002661A8">
        <w:rPr>
          <w:rFonts w:ascii="Times New Roman" w:hAnsi="Times New Roman" w:cs="Times New Roman"/>
          <w:noProof/>
          <w:sz w:val="24"/>
          <w:szCs w:val="24"/>
        </w:rPr>
        <w:t xml:space="preserve">excessive </w:t>
      </w:r>
      <w:r w:rsidRPr="002661A8">
        <w:rPr>
          <w:rFonts w:ascii="Times New Roman" w:hAnsi="Times New Roman" w:cs="Times New Roman"/>
          <w:noProof/>
          <w:sz w:val="24"/>
          <w:szCs w:val="24"/>
        </w:rPr>
        <w:t>exposures to systemic CCPs</w:t>
      </w:r>
      <w:r w:rsidR="00D860A3" w:rsidRPr="002661A8">
        <w:rPr>
          <w:rFonts w:ascii="Times New Roman" w:hAnsi="Times New Roman" w:cs="Times New Roman"/>
          <w:noProof/>
          <w:sz w:val="24"/>
          <w:szCs w:val="24"/>
        </w:rPr>
        <w:t xml:space="preserve"> and</w:t>
      </w:r>
      <w:r w:rsidRPr="002661A8" w:rsidDel="00890C2D">
        <w:rPr>
          <w:rFonts w:ascii="Times New Roman" w:hAnsi="Times New Roman" w:cs="Times New Roman"/>
          <w:noProof/>
          <w:sz w:val="24"/>
          <w:szCs w:val="24"/>
        </w:rPr>
        <w:t xml:space="preserve"> </w:t>
      </w:r>
      <w:r w:rsidRPr="002661A8">
        <w:rPr>
          <w:rFonts w:ascii="Times New Roman" w:hAnsi="Times New Roman" w:cs="Times New Roman"/>
          <w:noProof/>
          <w:sz w:val="24"/>
          <w:szCs w:val="24"/>
        </w:rPr>
        <w:t xml:space="preserve">constitute a significant impediment to </w:t>
      </w:r>
      <w:r w:rsidR="00A64118" w:rsidRPr="002661A8">
        <w:rPr>
          <w:rFonts w:ascii="Times New Roman" w:hAnsi="Times New Roman" w:cs="Times New Roman"/>
          <w:noProof/>
          <w:sz w:val="24"/>
          <w:szCs w:val="24"/>
        </w:rPr>
        <w:t>develop</w:t>
      </w:r>
      <w:r w:rsidR="00634FB9" w:rsidRPr="002661A8">
        <w:rPr>
          <w:rFonts w:ascii="Times New Roman" w:hAnsi="Times New Roman" w:cs="Times New Roman"/>
          <w:noProof/>
          <w:sz w:val="24"/>
          <w:szCs w:val="24"/>
        </w:rPr>
        <w:t>ing</w:t>
      </w:r>
      <w:r w:rsidRPr="002661A8">
        <w:rPr>
          <w:rFonts w:ascii="Times New Roman" w:hAnsi="Times New Roman" w:cs="Times New Roman"/>
          <w:noProof/>
          <w:sz w:val="24"/>
          <w:szCs w:val="24"/>
        </w:rPr>
        <w:t xml:space="preserve"> an efficient and competitive </w:t>
      </w:r>
      <w:r w:rsidR="00F7351E" w:rsidRPr="002661A8">
        <w:rPr>
          <w:rFonts w:ascii="Times New Roman" w:hAnsi="Times New Roman" w:cs="Times New Roman"/>
          <w:noProof/>
          <w:sz w:val="24"/>
          <w:szCs w:val="24"/>
        </w:rPr>
        <w:t xml:space="preserve">EU </w:t>
      </w:r>
      <w:r w:rsidRPr="002661A8">
        <w:rPr>
          <w:rFonts w:ascii="Times New Roman" w:hAnsi="Times New Roman" w:cs="Times New Roman"/>
          <w:noProof/>
          <w:sz w:val="24"/>
          <w:szCs w:val="24"/>
        </w:rPr>
        <w:t xml:space="preserve">clearing market, a </w:t>
      </w:r>
      <w:r w:rsidR="00976D62">
        <w:rPr>
          <w:rFonts w:ascii="Times New Roman" w:hAnsi="Times New Roman" w:cs="Times New Roman"/>
          <w:noProof/>
          <w:sz w:val="24"/>
          <w:szCs w:val="24"/>
        </w:rPr>
        <w:t>cornerstone</w:t>
      </w:r>
      <w:r w:rsidRPr="002661A8">
        <w:rPr>
          <w:rFonts w:ascii="Times New Roman" w:hAnsi="Times New Roman" w:cs="Times New Roman"/>
          <w:noProof/>
          <w:sz w:val="24"/>
          <w:szCs w:val="24"/>
        </w:rPr>
        <w:t xml:space="preserve"> </w:t>
      </w:r>
      <w:r w:rsidR="00976D62">
        <w:rPr>
          <w:rFonts w:ascii="Times New Roman" w:hAnsi="Times New Roman" w:cs="Times New Roman"/>
          <w:noProof/>
          <w:sz w:val="24"/>
          <w:szCs w:val="24"/>
        </w:rPr>
        <w:t>of</w:t>
      </w:r>
      <w:r w:rsidRPr="002661A8">
        <w:rPr>
          <w:rFonts w:ascii="Times New Roman" w:hAnsi="Times New Roman" w:cs="Times New Roman"/>
          <w:noProof/>
          <w:sz w:val="24"/>
          <w:szCs w:val="24"/>
        </w:rPr>
        <w:t xml:space="preserve"> a deep and liquid </w:t>
      </w:r>
      <w:r w:rsidRPr="002661A8">
        <w:rPr>
          <w:rFonts w:ascii="Times New Roman" w:hAnsi="Times New Roman" w:cs="Times New Roman"/>
          <w:b/>
          <w:noProof/>
          <w:sz w:val="24"/>
          <w:szCs w:val="24"/>
        </w:rPr>
        <w:t>Capital Markets Union (CMU)</w:t>
      </w:r>
      <w:r w:rsidRPr="002661A8">
        <w:rPr>
          <w:rFonts w:ascii="Times New Roman" w:hAnsi="Times New Roman" w:cs="Times New Roman"/>
          <w:noProof/>
          <w:sz w:val="24"/>
          <w:szCs w:val="24"/>
        </w:rPr>
        <w:t xml:space="preserve">. </w:t>
      </w:r>
      <w:r w:rsidR="001B04CE" w:rsidRPr="00CE24AA">
        <w:rPr>
          <w:rFonts w:ascii="Times New Roman" w:hAnsi="Times New Roman" w:cs="Times New Roman"/>
          <w:noProof/>
          <w:sz w:val="24"/>
          <w:szCs w:val="24"/>
        </w:rPr>
        <w:t>Risks to financial stability stemming from excessive exposures to third</w:t>
      </w:r>
      <w:r w:rsidR="00144CE1">
        <w:rPr>
          <w:rFonts w:ascii="Times New Roman" w:hAnsi="Times New Roman" w:cs="Times New Roman"/>
          <w:noProof/>
          <w:sz w:val="24"/>
          <w:szCs w:val="24"/>
        </w:rPr>
        <w:t>-</w:t>
      </w:r>
      <w:r w:rsidR="001B04CE" w:rsidRPr="00CE24AA">
        <w:rPr>
          <w:rFonts w:ascii="Times New Roman" w:hAnsi="Times New Roman" w:cs="Times New Roman"/>
          <w:noProof/>
          <w:sz w:val="24"/>
          <w:szCs w:val="24"/>
        </w:rPr>
        <w:t>country entities are a source of vulnerabilities for the EU market and affect the EU</w:t>
      </w:r>
      <w:r w:rsidR="00CE24AA">
        <w:rPr>
          <w:rFonts w:ascii="Times New Roman" w:hAnsi="Times New Roman" w:cs="Times New Roman"/>
          <w:noProof/>
          <w:sz w:val="24"/>
          <w:szCs w:val="24"/>
        </w:rPr>
        <w:t>’s</w:t>
      </w:r>
      <w:r w:rsidR="001B04CE" w:rsidRPr="00CE24AA">
        <w:rPr>
          <w:rFonts w:ascii="Times New Roman" w:hAnsi="Times New Roman" w:cs="Times New Roman"/>
          <w:noProof/>
          <w:sz w:val="24"/>
          <w:szCs w:val="24"/>
        </w:rPr>
        <w:t xml:space="preserve"> </w:t>
      </w:r>
      <w:r w:rsidR="001B04CE" w:rsidRPr="00CE24AA">
        <w:rPr>
          <w:rFonts w:ascii="Times New Roman" w:hAnsi="Times New Roman" w:cs="Times New Roman"/>
          <w:b/>
          <w:noProof/>
          <w:sz w:val="24"/>
          <w:szCs w:val="24"/>
        </w:rPr>
        <w:t>open strategic autonomy</w:t>
      </w:r>
      <w:r w:rsidR="001B04CE" w:rsidRPr="00CE24AA">
        <w:rPr>
          <w:rFonts w:ascii="Times New Roman" w:hAnsi="Times New Roman" w:cs="Times New Roman"/>
          <w:noProof/>
          <w:sz w:val="24"/>
          <w:szCs w:val="24"/>
        </w:rPr>
        <w:t xml:space="preserve">. A robust clearing alternative within the EU supports the resilience of EU financial markets and </w:t>
      </w:r>
      <w:r w:rsidR="00976D62">
        <w:rPr>
          <w:rFonts w:ascii="Times New Roman" w:hAnsi="Times New Roman" w:cs="Times New Roman"/>
          <w:noProof/>
          <w:sz w:val="24"/>
          <w:szCs w:val="24"/>
        </w:rPr>
        <w:t>contributes</w:t>
      </w:r>
      <w:r w:rsidR="001B04CE" w:rsidRPr="00CE24AA">
        <w:rPr>
          <w:rFonts w:ascii="Times New Roman" w:hAnsi="Times New Roman" w:cs="Times New Roman"/>
          <w:noProof/>
          <w:sz w:val="24"/>
          <w:szCs w:val="24"/>
        </w:rPr>
        <w:t xml:space="preserve"> to global financial stability, by broadening the clearing options available.</w:t>
      </w:r>
      <w:r w:rsidR="00305A0F" w:rsidRPr="00305A0F">
        <w:rPr>
          <w:rFonts w:ascii="Times New Roman" w:eastAsia="Times New Roman" w:hAnsi="Times New Roman" w:cs="Times New Roman"/>
          <w:noProof/>
          <w:sz w:val="24"/>
          <w:szCs w:val="20"/>
        </w:rPr>
        <w:t xml:space="preserve"> </w:t>
      </w:r>
      <w:r w:rsidR="00305A0F" w:rsidRPr="004F2951">
        <w:rPr>
          <w:rFonts w:ascii="Times New Roman" w:eastAsia="Times New Roman" w:hAnsi="Times New Roman" w:cs="Times New Roman"/>
          <w:noProof/>
          <w:sz w:val="24"/>
          <w:szCs w:val="20"/>
        </w:rPr>
        <w:t>As the Commission stated in its Communication on open strategic autonomy, “</w:t>
      </w:r>
      <w:r w:rsidR="00305A0F" w:rsidRPr="004F2951">
        <w:rPr>
          <w:rFonts w:ascii="Times New Roman" w:eastAsia="Times New Roman" w:hAnsi="Times New Roman" w:cs="Times New Roman"/>
          <w:i/>
          <w:noProof/>
          <w:sz w:val="24"/>
          <w:szCs w:val="20"/>
        </w:rPr>
        <w:t xml:space="preserve">the EU is open to global financial markets but </w:t>
      </w:r>
      <w:r w:rsidR="00305A0F" w:rsidRPr="004F2951">
        <w:rPr>
          <w:rFonts w:ascii="Times New Roman" w:eastAsia="Times New Roman" w:hAnsi="Times New Roman" w:cs="Times New Roman"/>
          <w:b/>
          <w:i/>
          <w:noProof/>
          <w:sz w:val="24"/>
          <w:szCs w:val="20"/>
        </w:rPr>
        <w:t>it is ready to protect its interests</w:t>
      </w:r>
      <w:r w:rsidR="00305A0F" w:rsidRPr="004F2951">
        <w:rPr>
          <w:rFonts w:ascii="Times New Roman" w:eastAsia="Times New Roman" w:hAnsi="Times New Roman" w:cs="Times New Roman"/>
          <w:noProof/>
          <w:sz w:val="24"/>
          <w:szCs w:val="20"/>
        </w:rPr>
        <w:t>”.</w:t>
      </w:r>
      <w:r w:rsidR="00305A0F" w:rsidRPr="004F2951">
        <w:rPr>
          <w:rStyle w:val="FootnoteReference"/>
          <w:rFonts w:ascii="Times New Roman" w:eastAsia="Times New Roman" w:hAnsi="Times New Roman" w:cs="Times New Roman"/>
          <w:noProof/>
          <w:sz w:val="24"/>
          <w:szCs w:val="20"/>
        </w:rPr>
        <w:footnoteReference w:id="13"/>
      </w:r>
      <w:r w:rsidR="00305A0F" w:rsidRPr="004F2951">
        <w:rPr>
          <w:rFonts w:ascii="Times New Roman" w:eastAsia="Times New Roman" w:hAnsi="Times New Roman" w:cs="Times New Roman"/>
          <w:noProof/>
          <w:sz w:val="24"/>
          <w:szCs w:val="20"/>
        </w:rPr>
        <w:t xml:space="preserve"> The need to address the risks to EU financial stability due to </w:t>
      </w:r>
      <w:r w:rsidR="00E73DE8">
        <w:rPr>
          <w:rFonts w:ascii="Times New Roman" w:eastAsia="Times New Roman" w:hAnsi="Times New Roman" w:cs="Times New Roman"/>
          <w:noProof/>
          <w:sz w:val="24"/>
          <w:szCs w:val="20"/>
        </w:rPr>
        <w:t xml:space="preserve">the EU’s </w:t>
      </w:r>
      <w:r w:rsidR="00305A0F" w:rsidRPr="004F2951">
        <w:rPr>
          <w:rFonts w:ascii="Times New Roman" w:eastAsia="Times New Roman" w:hAnsi="Times New Roman" w:cs="Times New Roman"/>
          <w:noProof/>
          <w:sz w:val="24"/>
          <w:szCs w:val="20"/>
        </w:rPr>
        <w:t>overreliance on third-country CCPs was also recognised by the Council</w:t>
      </w:r>
      <w:r w:rsidR="00CE24AA">
        <w:rPr>
          <w:rFonts w:ascii="Times New Roman" w:eastAsia="Times New Roman" w:hAnsi="Times New Roman" w:cs="Times New Roman"/>
          <w:noProof/>
          <w:sz w:val="24"/>
          <w:szCs w:val="20"/>
        </w:rPr>
        <w:t xml:space="preserve">, which </w:t>
      </w:r>
      <w:r w:rsidR="00305A0F" w:rsidRPr="004F2951">
        <w:rPr>
          <w:rFonts w:ascii="Times New Roman" w:eastAsia="Times New Roman" w:hAnsi="Times New Roman" w:cs="Times New Roman"/>
          <w:noProof/>
          <w:sz w:val="24"/>
          <w:szCs w:val="20"/>
        </w:rPr>
        <w:t>supported “</w:t>
      </w:r>
      <w:r w:rsidR="00305A0F" w:rsidRPr="004F2951">
        <w:rPr>
          <w:rFonts w:ascii="Times New Roman" w:eastAsia="Times New Roman" w:hAnsi="Times New Roman" w:cs="Times New Roman"/>
          <w:i/>
          <w:noProof/>
          <w:sz w:val="24"/>
          <w:szCs w:val="20"/>
        </w:rPr>
        <w:t>current work from the Commission to assess and tackle such excessive reliance, e.g. on third-country central counterparties clearing derivatives</w:t>
      </w:r>
      <w:r w:rsidR="00305A0F" w:rsidRPr="004F2951">
        <w:rPr>
          <w:rFonts w:ascii="Times New Roman" w:eastAsia="Times New Roman" w:hAnsi="Times New Roman" w:cs="Times New Roman"/>
          <w:noProof/>
          <w:sz w:val="24"/>
          <w:szCs w:val="20"/>
        </w:rPr>
        <w:t>”.</w:t>
      </w:r>
      <w:bookmarkStart w:id="27" w:name="_Ref120267037"/>
      <w:r w:rsidR="00305A0F" w:rsidRPr="004F2951">
        <w:rPr>
          <w:rStyle w:val="FootnoteReference"/>
          <w:rFonts w:ascii="Times New Roman" w:eastAsia="Times New Roman" w:hAnsi="Times New Roman" w:cs="Times New Roman"/>
          <w:noProof/>
          <w:sz w:val="24"/>
          <w:szCs w:val="20"/>
        </w:rPr>
        <w:footnoteReference w:id="14"/>
      </w:r>
      <w:bookmarkEnd w:id="27"/>
    </w:p>
    <w:p w14:paraId="718DC08F" w14:textId="34882E45" w:rsidR="002676D8" w:rsidRPr="002661A8" w:rsidRDefault="002676D8" w:rsidP="002676D8">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At the same time, addressing these issues and facilitating clearing in the EU </w:t>
      </w:r>
      <w:r w:rsidR="00A64118" w:rsidRPr="002661A8">
        <w:rPr>
          <w:rFonts w:ascii="Times New Roman" w:hAnsi="Times New Roman" w:cs="Times New Roman"/>
          <w:noProof/>
          <w:sz w:val="24"/>
          <w:szCs w:val="24"/>
        </w:rPr>
        <w:t xml:space="preserve">entails </w:t>
      </w:r>
      <w:r w:rsidR="006E7538" w:rsidRPr="002661A8">
        <w:rPr>
          <w:rFonts w:ascii="Times New Roman" w:hAnsi="Times New Roman" w:cs="Times New Roman"/>
          <w:noProof/>
          <w:sz w:val="24"/>
          <w:szCs w:val="24"/>
        </w:rPr>
        <w:t>ensuring that</w:t>
      </w:r>
      <w:r w:rsidRPr="002661A8">
        <w:rPr>
          <w:rFonts w:ascii="Times New Roman" w:hAnsi="Times New Roman" w:cs="Times New Roman"/>
          <w:noProof/>
          <w:sz w:val="24"/>
          <w:szCs w:val="24"/>
        </w:rPr>
        <w:t xml:space="preserve"> the supervisory framework for EU CCPs </w:t>
      </w:r>
      <w:r w:rsidR="006E7538" w:rsidRPr="002661A8">
        <w:rPr>
          <w:rFonts w:ascii="Times New Roman" w:hAnsi="Times New Roman" w:cs="Times New Roman"/>
          <w:noProof/>
          <w:sz w:val="24"/>
          <w:szCs w:val="24"/>
        </w:rPr>
        <w:t xml:space="preserve">is sufficient to manage </w:t>
      </w:r>
      <w:r w:rsidR="00A64118" w:rsidRPr="002661A8">
        <w:rPr>
          <w:rFonts w:ascii="Times New Roman" w:hAnsi="Times New Roman" w:cs="Times New Roman"/>
          <w:noProof/>
          <w:sz w:val="24"/>
          <w:szCs w:val="24"/>
        </w:rPr>
        <w:t xml:space="preserve">the risks associated with </w:t>
      </w:r>
      <w:r w:rsidR="00733A6F" w:rsidRPr="002661A8">
        <w:rPr>
          <w:rFonts w:ascii="Times New Roman" w:hAnsi="Times New Roman" w:cs="Times New Roman"/>
          <w:noProof/>
          <w:sz w:val="24"/>
          <w:szCs w:val="24"/>
        </w:rPr>
        <w:t>the</w:t>
      </w:r>
      <w:r w:rsidR="006E7538" w:rsidRPr="002661A8">
        <w:rPr>
          <w:rFonts w:ascii="Times New Roman" w:hAnsi="Times New Roman" w:cs="Times New Roman"/>
          <w:noProof/>
          <w:sz w:val="24"/>
          <w:szCs w:val="24"/>
        </w:rPr>
        <w:t xml:space="preserve"> interconnectedness of the </w:t>
      </w:r>
      <w:r w:rsidRPr="002661A8" w:rsidDel="00890C2D">
        <w:rPr>
          <w:rFonts w:ascii="Times New Roman" w:hAnsi="Times New Roman" w:cs="Times New Roman"/>
          <w:noProof/>
          <w:sz w:val="24"/>
          <w:szCs w:val="24"/>
        </w:rPr>
        <w:t>EU financial s</w:t>
      </w:r>
      <w:r w:rsidR="006E7538" w:rsidRPr="002661A8">
        <w:rPr>
          <w:rFonts w:ascii="Times New Roman" w:hAnsi="Times New Roman" w:cs="Times New Roman"/>
          <w:noProof/>
          <w:sz w:val="24"/>
          <w:szCs w:val="24"/>
        </w:rPr>
        <w:t>ystem</w:t>
      </w:r>
      <w:r w:rsidR="00733A6F" w:rsidRPr="002661A8">
        <w:rPr>
          <w:rFonts w:ascii="Times New Roman" w:hAnsi="Times New Roman" w:cs="Times New Roman"/>
          <w:noProof/>
          <w:sz w:val="24"/>
          <w:szCs w:val="24"/>
        </w:rPr>
        <w:t xml:space="preserve"> and increasing clearing volumes</w:t>
      </w:r>
      <w:r w:rsidRPr="002661A8">
        <w:rPr>
          <w:rFonts w:ascii="Times New Roman" w:hAnsi="Times New Roman" w:cs="Times New Roman"/>
          <w:noProof/>
          <w:sz w:val="24"/>
          <w:szCs w:val="24"/>
        </w:rPr>
        <w:t xml:space="preserve">. </w:t>
      </w:r>
      <w:r w:rsidRPr="002661A8">
        <w:rPr>
          <w:rFonts w:ascii="Times New Roman" w:hAnsi="Times New Roman" w:cs="Times New Roman"/>
          <w:b/>
          <w:noProof/>
          <w:sz w:val="24"/>
          <w:szCs w:val="24"/>
        </w:rPr>
        <w:t xml:space="preserve">Important cross-border risks and their implications for the wider financial system </w:t>
      </w:r>
      <w:r w:rsidRPr="000E2972">
        <w:rPr>
          <w:rFonts w:ascii="Times New Roman" w:hAnsi="Times New Roman" w:cs="Times New Roman"/>
          <w:noProof/>
          <w:sz w:val="24"/>
          <w:szCs w:val="24"/>
        </w:rPr>
        <w:t>could be overlooked under the current arrangements.</w:t>
      </w:r>
      <w:r w:rsidRPr="002661A8">
        <w:rPr>
          <w:rFonts w:ascii="Times New Roman" w:hAnsi="Times New Roman" w:cs="Times New Roman"/>
          <w:noProof/>
          <w:sz w:val="24"/>
          <w:szCs w:val="24"/>
        </w:rPr>
        <w:t xml:space="preserve"> </w:t>
      </w:r>
      <w:r w:rsidRPr="002661A8">
        <w:rPr>
          <w:rFonts w:ascii="Times New Roman" w:hAnsi="Times New Roman" w:cs="Times New Roman"/>
          <w:b/>
          <w:noProof/>
          <w:sz w:val="24"/>
          <w:szCs w:val="24"/>
        </w:rPr>
        <w:t>These risks could be further amplified as EU clearing markets grow.</w:t>
      </w:r>
      <w:r w:rsidRPr="002661A8">
        <w:rPr>
          <w:rFonts w:ascii="Times New Roman" w:hAnsi="Times New Roman" w:cs="Times New Roman"/>
          <w:noProof/>
          <w:sz w:val="24"/>
          <w:szCs w:val="24"/>
        </w:rPr>
        <w:t xml:space="preserve"> Moreover, the current complex and</w:t>
      </w:r>
      <w:r w:rsidR="00AD73A8">
        <w:rPr>
          <w:rFonts w:ascii="Times New Roman" w:hAnsi="Times New Roman" w:cs="Times New Roman"/>
          <w:noProof/>
          <w:sz w:val="24"/>
          <w:szCs w:val="24"/>
        </w:rPr>
        <w:t xml:space="preserve"> </w:t>
      </w:r>
      <w:r w:rsidRPr="002661A8">
        <w:rPr>
          <w:rFonts w:ascii="Times New Roman" w:hAnsi="Times New Roman" w:cs="Times New Roman"/>
          <w:noProof/>
          <w:sz w:val="24"/>
          <w:szCs w:val="24"/>
        </w:rPr>
        <w:t xml:space="preserve">burdensome </w:t>
      </w:r>
      <w:r w:rsidR="00A64118" w:rsidRPr="002661A8">
        <w:rPr>
          <w:rFonts w:ascii="Times New Roman" w:hAnsi="Times New Roman" w:cs="Times New Roman"/>
          <w:noProof/>
          <w:sz w:val="24"/>
          <w:szCs w:val="24"/>
        </w:rPr>
        <w:t xml:space="preserve">supervisory </w:t>
      </w:r>
      <w:r w:rsidRPr="002661A8">
        <w:rPr>
          <w:rFonts w:ascii="Times New Roman" w:hAnsi="Times New Roman" w:cs="Times New Roman"/>
          <w:noProof/>
          <w:sz w:val="24"/>
          <w:szCs w:val="24"/>
        </w:rPr>
        <w:t xml:space="preserve">system </w:t>
      </w:r>
      <w:r w:rsidR="00AD73A8">
        <w:rPr>
          <w:rFonts w:ascii="Times New Roman" w:hAnsi="Times New Roman" w:cs="Times New Roman"/>
          <w:noProof/>
          <w:sz w:val="24"/>
          <w:szCs w:val="24"/>
        </w:rPr>
        <w:t>limits</w:t>
      </w:r>
      <w:r w:rsidR="00A64118" w:rsidRPr="002661A8">
        <w:rPr>
          <w:rFonts w:ascii="Times New Roman" w:hAnsi="Times New Roman" w:cs="Times New Roman"/>
          <w:noProof/>
          <w:sz w:val="24"/>
          <w:szCs w:val="24"/>
        </w:rPr>
        <w:t xml:space="preserve"> the </w:t>
      </w:r>
      <w:r w:rsidR="001D0C7F" w:rsidRPr="002661A8">
        <w:rPr>
          <w:rFonts w:ascii="Times New Roman" w:hAnsi="Times New Roman" w:cs="Times New Roman"/>
          <w:noProof/>
          <w:sz w:val="24"/>
          <w:szCs w:val="24"/>
        </w:rPr>
        <w:t>attractiveness</w:t>
      </w:r>
      <w:r w:rsidR="00A64118" w:rsidRPr="002661A8">
        <w:rPr>
          <w:rFonts w:ascii="Times New Roman" w:hAnsi="Times New Roman" w:cs="Times New Roman"/>
          <w:noProof/>
          <w:sz w:val="24"/>
          <w:szCs w:val="24"/>
        </w:rPr>
        <w:t xml:space="preserve"> of </w:t>
      </w:r>
      <w:r w:rsidRPr="002661A8">
        <w:rPr>
          <w:rFonts w:ascii="Times New Roman" w:hAnsi="Times New Roman" w:cs="Times New Roman"/>
          <w:noProof/>
          <w:sz w:val="24"/>
          <w:szCs w:val="24"/>
        </w:rPr>
        <w:t>EU CCPs.</w:t>
      </w:r>
    </w:p>
    <w:p w14:paraId="65D01BD2" w14:textId="0E53DB69" w:rsidR="00740CCC" w:rsidRPr="002661A8" w:rsidRDefault="005F3DFE" w:rsidP="00740CCC">
      <w:pPr>
        <w:spacing w:after="120" w:line="240" w:lineRule="auto"/>
        <w:jc w:val="both"/>
        <w:rPr>
          <w:rFonts w:ascii="Times New Roman" w:hAnsi="Times New Roman" w:cs="Times New Roman"/>
          <w:b/>
          <w:noProof/>
          <w:sz w:val="24"/>
          <w:szCs w:val="24"/>
        </w:rPr>
      </w:pPr>
      <w:r w:rsidRPr="002661A8">
        <w:rPr>
          <w:rFonts w:ascii="Times New Roman" w:hAnsi="Times New Roman" w:cs="Times New Roman"/>
          <w:noProof/>
          <w:sz w:val="24"/>
          <w:szCs w:val="24"/>
        </w:rPr>
        <w:t>T</w:t>
      </w:r>
      <w:r w:rsidR="002676D8" w:rsidRPr="002661A8">
        <w:rPr>
          <w:rFonts w:ascii="Times New Roman" w:hAnsi="Times New Roman" w:cs="Times New Roman"/>
          <w:noProof/>
          <w:sz w:val="24"/>
          <w:szCs w:val="24"/>
        </w:rPr>
        <w:t xml:space="preserve">his impact assessment </w:t>
      </w:r>
      <w:r w:rsidR="00800F15" w:rsidRPr="002661A8">
        <w:rPr>
          <w:rFonts w:ascii="Times New Roman" w:hAnsi="Times New Roman" w:cs="Times New Roman"/>
          <w:noProof/>
          <w:sz w:val="24"/>
          <w:szCs w:val="24"/>
        </w:rPr>
        <w:t>assess</w:t>
      </w:r>
      <w:r w:rsidR="00EB25D4" w:rsidRPr="002661A8">
        <w:rPr>
          <w:rFonts w:ascii="Times New Roman" w:hAnsi="Times New Roman" w:cs="Times New Roman"/>
          <w:noProof/>
          <w:sz w:val="24"/>
          <w:szCs w:val="24"/>
        </w:rPr>
        <w:t>es</w:t>
      </w:r>
      <w:r w:rsidR="00800F15" w:rsidRPr="002661A8">
        <w:rPr>
          <w:rFonts w:ascii="Times New Roman" w:hAnsi="Times New Roman" w:cs="Times New Roman"/>
          <w:noProof/>
          <w:sz w:val="24"/>
          <w:szCs w:val="24"/>
        </w:rPr>
        <w:t xml:space="preserve"> </w:t>
      </w:r>
      <w:r w:rsidR="002676D8" w:rsidRPr="002661A8">
        <w:rPr>
          <w:rFonts w:ascii="Times New Roman" w:hAnsi="Times New Roman" w:cs="Times New Roman"/>
          <w:b/>
          <w:noProof/>
          <w:sz w:val="24"/>
          <w:szCs w:val="24"/>
        </w:rPr>
        <w:t xml:space="preserve">the need to address the potential </w:t>
      </w:r>
      <w:r w:rsidR="00800F15" w:rsidRPr="002661A8">
        <w:rPr>
          <w:rFonts w:ascii="Times New Roman" w:hAnsi="Times New Roman" w:cs="Times New Roman"/>
          <w:b/>
          <w:noProof/>
          <w:sz w:val="24"/>
          <w:szCs w:val="24"/>
        </w:rPr>
        <w:t xml:space="preserve">financial stability </w:t>
      </w:r>
      <w:r w:rsidR="002676D8" w:rsidRPr="002661A8">
        <w:rPr>
          <w:rFonts w:ascii="Times New Roman" w:hAnsi="Times New Roman" w:cs="Times New Roman"/>
          <w:b/>
          <w:noProof/>
          <w:sz w:val="24"/>
          <w:szCs w:val="24"/>
        </w:rPr>
        <w:t>risks to the EU</w:t>
      </w:r>
      <w:r w:rsidR="00800F15" w:rsidRPr="002661A8">
        <w:rPr>
          <w:rFonts w:ascii="Times New Roman" w:hAnsi="Times New Roman" w:cs="Times New Roman"/>
          <w:b/>
          <w:noProof/>
          <w:sz w:val="24"/>
          <w:szCs w:val="24"/>
        </w:rPr>
        <w:t xml:space="preserve"> </w:t>
      </w:r>
      <w:r w:rsidR="001D44C8" w:rsidRPr="002661A8">
        <w:rPr>
          <w:rFonts w:ascii="Times New Roman" w:hAnsi="Times New Roman" w:cs="Times New Roman"/>
          <w:b/>
          <w:noProof/>
          <w:sz w:val="24"/>
          <w:szCs w:val="24"/>
        </w:rPr>
        <w:t>due to</w:t>
      </w:r>
      <w:r w:rsidR="00800F15" w:rsidRPr="002661A8">
        <w:rPr>
          <w:rFonts w:ascii="Times New Roman" w:hAnsi="Times New Roman" w:cs="Times New Roman"/>
          <w:b/>
          <w:noProof/>
          <w:sz w:val="24"/>
          <w:szCs w:val="24"/>
        </w:rPr>
        <w:t xml:space="preserve"> the continued overreliance on systemic non-EU CCPs and the options to reduce </w:t>
      </w:r>
      <w:r w:rsidR="00AD73A8">
        <w:rPr>
          <w:rFonts w:ascii="Times New Roman" w:hAnsi="Times New Roman" w:cs="Times New Roman"/>
          <w:b/>
          <w:noProof/>
          <w:sz w:val="24"/>
          <w:szCs w:val="24"/>
        </w:rPr>
        <w:t>identified</w:t>
      </w:r>
      <w:r w:rsidR="00800F15" w:rsidRPr="002661A8">
        <w:rPr>
          <w:rFonts w:ascii="Times New Roman" w:hAnsi="Times New Roman" w:cs="Times New Roman"/>
          <w:b/>
          <w:noProof/>
          <w:sz w:val="24"/>
          <w:szCs w:val="24"/>
        </w:rPr>
        <w:t xml:space="preserve"> risks </w:t>
      </w:r>
      <w:r w:rsidR="00AD73A8">
        <w:rPr>
          <w:rFonts w:ascii="Times New Roman" w:hAnsi="Times New Roman" w:cs="Times New Roman"/>
          <w:b/>
          <w:noProof/>
          <w:sz w:val="24"/>
          <w:szCs w:val="24"/>
        </w:rPr>
        <w:t xml:space="preserve">and vulnerabilities </w:t>
      </w:r>
      <w:r w:rsidR="002676D8" w:rsidRPr="002661A8">
        <w:rPr>
          <w:rFonts w:ascii="Times New Roman" w:hAnsi="Times New Roman" w:cs="Times New Roman"/>
          <w:b/>
          <w:noProof/>
          <w:sz w:val="24"/>
          <w:szCs w:val="24"/>
        </w:rPr>
        <w:t xml:space="preserve">by building a </w:t>
      </w:r>
      <w:r w:rsidR="00800F15" w:rsidRPr="002661A8">
        <w:rPr>
          <w:rFonts w:ascii="Times New Roman" w:hAnsi="Times New Roman" w:cs="Times New Roman"/>
          <w:b/>
          <w:noProof/>
          <w:sz w:val="24"/>
          <w:szCs w:val="24"/>
        </w:rPr>
        <w:t xml:space="preserve">more </w:t>
      </w:r>
      <w:r w:rsidR="00E62AE8" w:rsidRPr="002661A8">
        <w:rPr>
          <w:rFonts w:ascii="Times New Roman" w:hAnsi="Times New Roman" w:cs="Times New Roman"/>
          <w:b/>
          <w:noProof/>
          <w:sz w:val="24"/>
          <w:szCs w:val="24"/>
        </w:rPr>
        <w:t>attractive</w:t>
      </w:r>
      <w:r w:rsidR="002676D8" w:rsidRPr="002661A8">
        <w:rPr>
          <w:rFonts w:ascii="Times New Roman" w:hAnsi="Times New Roman" w:cs="Times New Roman"/>
          <w:b/>
          <w:noProof/>
          <w:sz w:val="24"/>
          <w:szCs w:val="24"/>
        </w:rPr>
        <w:t xml:space="preserve"> and robust </w:t>
      </w:r>
      <w:r w:rsidR="00F7351E" w:rsidRPr="002661A8">
        <w:rPr>
          <w:rFonts w:ascii="Times New Roman" w:hAnsi="Times New Roman" w:cs="Times New Roman"/>
          <w:b/>
          <w:noProof/>
          <w:sz w:val="24"/>
          <w:szCs w:val="24"/>
        </w:rPr>
        <w:t xml:space="preserve">EU </w:t>
      </w:r>
      <w:r w:rsidR="002676D8" w:rsidRPr="002661A8">
        <w:rPr>
          <w:rFonts w:ascii="Times New Roman" w:hAnsi="Times New Roman" w:cs="Times New Roman"/>
          <w:b/>
          <w:noProof/>
          <w:sz w:val="24"/>
          <w:szCs w:val="24"/>
        </w:rPr>
        <w:t>clearing market, which will in turn strengthen the</w:t>
      </w:r>
      <w:r w:rsidR="002676D8" w:rsidRPr="002661A8" w:rsidDel="00044633">
        <w:rPr>
          <w:rFonts w:ascii="Times New Roman" w:hAnsi="Times New Roman" w:cs="Times New Roman"/>
          <w:b/>
          <w:noProof/>
          <w:sz w:val="24"/>
          <w:szCs w:val="24"/>
        </w:rPr>
        <w:t xml:space="preserve"> </w:t>
      </w:r>
      <w:r w:rsidR="002676D8" w:rsidRPr="002661A8">
        <w:rPr>
          <w:rFonts w:ascii="Times New Roman" w:hAnsi="Times New Roman" w:cs="Times New Roman"/>
          <w:b/>
          <w:noProof/>
          <w:sz w:val="24"/>
          <w:szCs w:val="24"/>
        </w:rPr>
        <w:t>CMU.</w:t>
      </w:r>
      <w:r w:rsidR="002676D8" w:rsidRPr="002661A8">
        <w:rPr>
          <w:rFonts w:ascii="Times New Roman" w:hAnsi="Times New Roman" w:cs="Times New Roman"/>
          <w:noProof/>
          <w:sz w:val="24"/>
          <w:szCs w:val="24"/>
        </w:rPr>
        <w:t xml:space="preserve"> </w:t>
      </w:r>
      <w:r w:rsidR="001D44C8" w:rsidRPr="002661A8">
        <w:rPr>
          <w:rFonts w:ascii="Times New Roman" w:hAnsi="Times New Roman" w:cs="Times New Roman"/>
          <w:noProof/>
          <w:sz w:val="24"/>
          <w:szCs w:val="24"/>
        </w:rPr>
        <w:t>I</w:t>
      </w:r>
      <w:r w:rsidR="00800F15" w:rsidRPr="002661A8">
        <w:rPr>
          <w:rFonts w:ascii="Times New Roman" w:hAnsi="Times New Roman" w:cs="Times New Roman"/>
          <w:noProof/>
          <w:sz w:val="24"/>
          <w:szCs w:val="24"/>
        </w:rPr>
        <w:t>t analyses options to address</w:t>
      </w:r>
      <w:r w:rsidR="002676D8" w:rsidRPr="002661A8">
        <w:rPr>
          <w:rFonts w:ascii="Times New Roman" w:hAnsi="Times New Roman" w:cs="Times New Roman"/>
          <w:noProof/>
          <w:sz w:val="24"/>
          <w:szCs w:val="24"/>
        </w:rPr>
        <w:t xml:space="preserve">: </w:t>
      </w:r>
      <w:r w:rsidR="002676D8" w:rsidRPr="002661A8">
        <w:rPr>
          <w:rFonts w:ascii="Times New Roman" w:hAnsi="Times New Roman" w:cs="Times New Roman"/>
          <w:b/>
          <w:noProof/>
          <w:sz w:val="24"/>
          <w:szCs w:val="24"/>
        </w:rPr>
        <w:t>supply</w:t>
      </w:r>
      <w:r w:rsidR="00351D20" w:rsidRPr="002661A8">
        <w:rPr>
          <w:rFonts w:ascii="Times New Roman" w:hAnsi="Times New Roman" w:cs="Times New Roman"/>
          <w:b/>
          <w:noProof/>
          <w:sz w:val="24"/>
          <w:szCs w:val="24"/>
        </w:rPr>
        <w:t>-</w:t>
      </w:r>
      <w:r w:rsidR="002676D8" w:rsidRPr="002661A8">
        <w:rPr>
          <w:rFonts w:ascii="Times New Roman" w:hAnsi="Times New Roman" w:cs="Times New Roman"/>
          <w:b/>
          <w:noProof/>
          <w:sz w:val="24"/>
          <w:szCs w:val="24"/>
        </w:rPr>
        <w:t>side issues</w:t>
      </w:r>
      <w:r w:rsidR="002676D8" w:rsidRPr="002661A8">
        <w:rPr>
          <w:rFonts w:ascii="Times New Roman" w:hAnsi="Times New Roman" w:cs="Times New Roman"/>
          <w:noProof/>
          <w:sz w:val="24"/>
          <w:szCs w:val="24"/>
        </w:rPr>
        <w:t>, caused by excessive compliance costs limiting EU CCPs</w:t>
      </w:r>
      <w:r w:rsidR="00A056DC" w:rsidRPr="002661A8">
        <w:rPr>
          <w:rFonts w:ascii="Times New Roman" w:hAnsi="Times New Roman" w:cs="Times New Roman"/>
          <w:noProof/>
          <w:sz w:val="24"/>
          <w:szCs w:val="24"/>
        </w:rPr>
        <w:t>’</w:t>
      </w:r>
      <w:r w:rsidR="002676D8" w:rsidRPr="002661A8">
        <w:rPr>
          <w:rFonts w:ascii="Times New Roman" w:hAnsi="Times New Roman" w:cs="Times New Roman"/>
          <w:noProof/>
          <w:sz w:val="24"/>
          <w:szCs w:val="24"/>
        </w:rPr>
        <w:t xml:space="preserve"> ability to compete and a lack of capacity, notably in the range of products </w:t>
      </w:r>
      <w:r w:rsidR="00351D20" w:rsidRPr="002661A8">
        <w:rPr>
          <w:rFonts w:ascii="Times New Roman" w:hAnsi="Times New Roman" w:cs="Times New Roman"/>
          <w:noProof/>
          <w:sz w:val="24"/>
          <w:szCs w:val="24"/>
        </w:rPr>
        <w:t>offered</w:t>
      </w:r>
      <w:r w:rsidR="002676D8" w:rsidRPr="002661A8">
        <w:rPr>
          <w:rFonts w:ascii="Times New Roman" w:hAnsi="Times New Roman" w:cs="Times New Roman"/>
          <w:noProof/>
          <w:sz w:val="24"/>
          <w:szCs w:val="24"/>
        </w:rPr>
        <w:t xml:space="preserve">; </w:t>
      </w:r>
      <w:r w:rsidR="00022324" w:rsidRPr="002661A8">
        <w:rPr>
          <w:rFonts w:ascii="Times New Roman" w:hAnsi="Times New Roman" w:cs="Times New Roman"/>
          <w:b/>
          <w:noProof/>
          <w:sz w:val="24"/>
          <w:szCs w:val="24"/>
        </w:rPr>
        <w:t>demand</w:t>
      </w:r>
      <w:r w:rsidR="00351D20" w:rsidRPr="002661A8">
        <w:rPr>
          <w:rFonts w:ascii="Times New Roman" w:hAnsi="Times New Roman" w:cs="Times New Roman"/>
          <w:b/>
          <w:noProof/>
          <w:sz w:val="24"/>
          <w:szCs w:val="24"/>
        </w:rPr>
        <w:t>-</w:t>
      </w:r>
      <w:r w:rsidR="00022324" w:rsidRPr="002661A8">
        <w:rPr>
          <w:rFonts w:ascii="Times New Roman" w:hAnsi="Times New Roman" w:cs="Times New Roman"/>
          <w:b/>
          <w:noProof/>
          <w:sz w:val="24"/>
          <w:szCs w:val="24"/>
        </w:rPr>
        <w:t>side issues</w:t>
      </w:r>
      <w:r w:rsidR="00022324" w:rsidRPr="002661A8">
        <w:rPr>
          <w:rFonts w:ascii="Times New Roman" w:hAnsi="Times New Roman" w:cs="Times New Roman"/>
          <w:noProof/>
          <w:sz w:val="24"/>
          <w:szCs w:val="24"/>
        </w:rPr>
        <w:t xml:space="preserve">, </w:t>
      </w:r>
      <w:r w:rsidR="00A863D4" w:rsidRPr="002661A8">
        <w:rPr>
          <w:rFonts w:ascii="Times New Roman" w:hAnsi="Times New Roman" w:cs="Times New Roman"/>
          <w:noProof/>
          <w:sz w:val="24"/>
          <w:szCs w:val="24"/>
        </w:rPr>
        <w:t xml:space="preserve">i.e. </w:t>
      </w:r>
      <w:r w:rsidR="00022324" w:rsidRPr="002661A8">
        <w:rPr>
          <w:rFonts w:ascii="Times New Roman" w:hAnsi="Times New Roman" w:cs="Times New Roman"/>
          <w:noProof/>
          <w:sz w:val="24"/>
          <w:szCs w:val="24"/>
        </w:rPr>
        <w:t xml:space="preserve">limited liquidity and network efficiencies; </w:t>
      </w:r>
      <w:r w:rsidR="002676D8" w:rsidRPr="002661A8">
        <w:rPr>
          <w:rFonts w:ascii="Times New Roman" w:hAnsi="Times New Roman" w:cs="Times New Roman"/>
          <w:noProof/>
          <w:sz w:val="24"/>
          <w:szCs w:val="24"/>
        </w:rPr>
        <w:t xml:space="preserve">and the insufficient consideration of </w:t>
      </w:r>
      <w:r w:rsidR="002676D8" w:rsidRPr="002661A8">
        <w:rPr>
          <w:rFonts w:ascii="Times New Roman" w:hAnsi="Times New Roman" w:cs="Times New Roman"/>
          <w:b/>
          <w:noProof/>
          <w:sz w:val="24"/>
          <w:szCs w:val="24"/>
        </w:rPr>
        <w:t>cross-border risks</w:t>
      </w:r>
      <w:r w:rsidR="002676D8" w:rsidRPr="002661A8">
        <w:rPr>
          <w:rFonts w:ascii="Times New Roman" w:hAnsi="Times New Roman" w:cs="Times New Roman"/>
          <w:noProof/>
          <w:sz w:val="24"/>
          <w:szCs w:val="24"/>
        </w:rPr>
        <w:t xml:space="preserve">. </w:t>
      </w:r>
      <w:r w:rsidR="00740CCC" w:rsidRPr="002661A8">
        <w:rPr>
          <w:rFonts w:ascii="Times New Roman" w:hAnsi="Times New Roman" w:cs="Times New Roman"/>
          <w:noProof/>
          <w:sz w:val="24"/>
          <w:szCs w:val="24"/>
        </w:rPr>
        <w:t>Addressing these issues, thereby improving the attractiveness and soundness of EU clearing markets,</w:t>
      </w:r>
      <w:r w:rsidR="00976D62">
        <w:rPr>
          <w:rFonts w:ascii="Times New Roman" w:hAnsi="Times New Roman" w:cs="Times New Roman"/>
          <w:noProof/>
          <w:sz w:val="24"/>
          <w:szCs w:val="24"/>
        </w:rPr>
        <w:t xml:space="preserve"> </w:t>
      </w:r>
      <w:r w:rsidR="00976D62" w:rsidRPr="002A0245">
        <w:rPr>
          <w:rFonts w:ascii="Times New Roman" w:hAnsi="Times New Roman" w:cs="Times New Roman"/>
          <w:b/>
          <w:noProof/>
          <w:sz w:val="24"/>
          <w:szCs w:val="24"/>
        </w:rPr>
        <w:t>will enhance</w:t>
      </w:r>
      <w:r w:rsidR="00740CCC" w:rsidRPr="002661A8">
        <w:rPr>
          <w:rFonts w:ascii="Times New Roman" w:hAnsi="Times New Roman" w:cs="Times New Roman"/>
          <w:noProof/>
          <w:sz w:val="24"/>
          <w:szCs w:val="24"/>
        </w:rPr>
        <w:t xml:space="preserve"> </w:t>
      </w:r>
      <w:r w:rsidR="00740CCC" w:rsidRPr="002661A8">
        <w:rPr>
          <w:rFonts w:ascii="Times New Roman" w:hAnsi="Times New Roman" w:cs="Times New Roman"/>
          <w:b/>
          <w:noProof/>
          <w:sz w:val="24"/>
          <w:szCs w:val="24"/>
        </w:rPr>
        <w:t>the EU’s financial stability.</w:t>
      </w:r>
    </w:p>
    <w:p w14:paraId="1ED679FD" w14:textId="16E58F58" w:rsidR="006B087E" w:rsidRPr="002661A8" w:rsidRDefault="002676D8" w:rsidP="00ED5088">
      <w:pPr>
        <w:pStyle w:val="Heading1"/>
        <w:numPr>
          <w:ilvl w:val="0"/>
          <w:numId w:val="6"/>
        </w:numPr>
        <w:spacing w:before="0" w:after="120"/>
        <w:rPr>
          <w:noProof/>
        </w:rPr>
      </w:pPr>
      <w:bookmarkStart w:id="28" w:name="_Toc107505404"/>
      <w:bookmarkStart w:id="29" w:name="_Toc107493822"/>
      <w:bookmarkStart w:id="30" w:name="_Toc107497858"/>
      <w:bookmarkStart w:id="31" w:name="_Toc107838880"/>
      <w:bookmarkStart w:id="32" w:name="_Toc107846975"/>
      <w:bookmarkStart w:id="33" w:name="_Toc107849212"/>
      <w:bookmarkStart w:id="34" w:name="_Toc107853659"/>
      <w:bookmarkStart w:id="35" w:name="_Toc108539782"/>
      <w:bookmarkStart w:id="36" w:name="_Toc108539900"/>
      <w:bookmarkStart w:id="37" w:name="_Toc109057358"/>
      <w:bookmarkStart w:id="38" w:name="_Toc109120724"/>
      <w:bookmarkStart w:id="39" w:name="_Toc109122359"/>
      <w:bookmarkStart w:id="40" w:name="_Toc109133096"/>
      <w:bookmarkStart w:id="41" w:name="_Toc120291630"/>
      <w:bookmarkStart w:id="42" w:name="_Toc107503411"/>
      <w:bookmarkStart w:id="43" w:name="_Toc107504559"/>
      <w:r w:rsidRPr="002661A8">
        <w:rPr>
          <w:noProof/>
        </w:rPr>
        <w:t>Economic,</w:t>
      </w:r>
      <w:r w:rsidR="3FA542DF" w:rsidRPr="002661A8">
        <w:rPr>
          <w:noProof/>
        </w:rPr>
        <w:t xml:space="preserve"> Political and legal context</w:t>
      </w:r>
      <w:bookmarkEnd w:id="19"/>
      <w:bookmarkEnd w:id="20"/>
      <w:bookmarkEnd w:id="21"/>
      <w:bookmarkEnd w:id="22"/>
      <w:bookmarkEnd w:id="23"/>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2E65190" w14:textId="4EFDA40E" w:rsidR="009C614D" w:rsidRPr="002661A8" w:rsidRDefault="002774A2" w:rsidP="00ED5088">
      <w:pPr>
        <w:pStyle w:val="Heading1"/>
        <w:numPr>
          <w:ilvl w:val="1"/>
          <w:numId w:val="6"/>
        </w:numPr>
        <w:spacing w:before="0" w:after="120"/>
        <w:rPr>
          <w:smallCaps w:val="0"/>
          <w:noProof/>
        </w:rPr>
      </w:pPr>
      <w:bookmarkStart w:id="44" w:name="_Economic_context"/>
      <w:bookmarkStart w:id="45" w:name="_Toc107493823"/>
      <w:bookmarkStart w:id="46" w:name="_Toc107497859"/>
      <w:bookmarkStart w:id="47" w:name="_Toc107503412"/>
      <w:bookmarkStart w:id="48" w:name="_Toc107504560"/>
      <w:bookmarkStart w:id="49" w:name="_Toc107505405"/>
      <w:bookmarkStart w:id="50" w:name="_Toc107838881"/>
      <w:bookmarkStart w:id="51" w:name="_Toc107846976"/>
      <w:bookmarkStart w:id="52" w:name="_Toc107849213"/>
      <w:bookmarkStart w:id="53" w:name="_Toc107853660"/>
      <w:bookmarkStart w:id="54" w:name="_Toc108539783"/>
      <w:bookmarkStart w:id="55" w:name="_Toc108539901"/>
      <w:bookmarkStart w:id="56" w:name="_Toc109057359"/>
      <w:bookmarkStart w:id="57" w:name="_Toc109120725"/>
      <w:bookmarkStart w:id="58" w:name="_Toc109122360"/>
      <w:bookmarkStart w:id="59" w:name="_Toc109133097"/>
      <w:bookmarkStart w:id="60" w:name="_Toc120291631"/>
      <w:bookmarkEnd w:id="42"/>
      <w:bookmarkEnd w:id="43"/>
      <w:bookmarkEnd w:id="44"/>
      <w:r w:rsidRPr="002661A8">
        <w:rPr>
          <w:smallCaps w:val="0"/>
          <w:noProof/>
        </w:rPr>
        <w:t>Economic context</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1E7FFEE9" w14:textId="243DBAA0" w:rsidR="00BE6653" w:rsidRPr="002661A8" w:rsidRDefault="00974F73" w:rsidP="00BE6653">
      <w:pPr>
        <w:pStyle w:val="Body"/>
        <w:spacing w:after="120"/>
        <w:rPr>
          <w:b/>
          <w:noProof/>
        </w:rPr>
      </w:pPr>
      <w:r w:rsidRPr="002661A8">
        <w:rPr>
          <w:rStyle w:val="None"/>
          <w:rFonts w:eastAsia="Arial Unicode MS" w:cs="Arial Unicode MS"/>
          <w:noProof/>
        </w:rPr>
        <w:t xml:space="preserve">CCPs interpose themselves between buyers and sellers and, by way of netting and concentration, reduce the overall credit risk in the system. </w:t>
      </w:r>
      <w:r w:rsidR="00E93A8B" w:rsidRPr="002661A8">
        <w:rPr>
          <w:rFonts w:eastAsia="Arial Unicode MS" w:cs="Arial Unicode MS"/>
          <w:noProof/>
        </w:rPr>
        <w:t xml:space="preserve">Concentration of OTC derivatives clearing is driven by the nature of the business, with its low marginal cost, economies of scale and a high premium on liquidity – all of which promote the emergence of large market providers. </w:t>
      </w:r>
      <w:r w:rsidR="00BE6653" w:rsidRPr="002661A8">
        <w:rPr>
          <w:rStyle w:val="None"/>
          <w:rFonts w:eastAsia="Arial Unicode MS" w:cs="Arial Unicode MS"/>
          <w:noProof/>
        </w:rPr>
        <w:t xml:space="preserve">Since the </w:t>
      </w:r>
      <w:r w:rsidR="00BE6653" w:rsidRPr="002661A8">
        <w:rPr>
          <w:rFonts w:eastAsia="Arial Unicode MS" w:cs="Arial Unicode MS"/>
          <w:noProof/>
        </w:rPr>
        <w:t xml:space="preserve">2008-2009 financial crisis, the market for centrally-cleared derivatives has expanded in a limited number of CCPs resulting in </w:t>
      </w:r>
      <w:r w:rsidR="00BE6653" w:rsidRPr="002661A8">
        <w:rPr>
          <w:rFonts w:eastAsia="Arial Unicode MS" w:cs="Arial Unicode MS"/>
          <w:b/>
          <w:noProof/>
        </w:rPr>
        <w:t xml:space="preserve">heavy concentration </w:t>
      </w:r>
      <w:r w:rsidR="00BE6653" w:rsidRPr="002661A8">
        <w:rPr>
          <w:rFonts w:eastAsia="Arial Unicode MS" w:cs="Arial Unicode MS"/>
          <w:noProof/>
        </w:rPr>
        <w:t xml:space="preserve">and </w:t>
      </w:r>
      <w:r w:rsidR="00BE6653" w:rsidRPr="002661A8">
        <w:rPr>
          <w:rFonts w:eastAsia="Arial Unicode MS" w:cs="Arial Unicode MS"/>
          <w:b/>
          <w:noProof/>
        </w:rPr>
        <w:t>high levels of interconnectedness</w:t>
      </w:r>
      <w:r w:rsidR="005E13C9" w:rsidRPr="002661A8">
        <w:rPr>
          <w:rFonts w:eastAsia="Arial Unicode MS" w:cs="Arial Unicode MS"/>
          <w:noProof/>
        </w:rPr>
        <w:t xml:space="preserve">, and therefore in </w:t>
      </w:r>
      <w:r w:rsidR="00E93A8B" w:rsidRPr="002661A8">
        <w:rPr>
          <w:rFonts w:eastAsia="Arial Unicode MS" w:cs="Arial Unicode MS"/>
          <w:noProof/>
        </w:rPr>
        <w:t>n</w:t>
      </w:r>
      <w:r w:rsidR="00BE6653" w:rsidRPr="002661A8">
        <w:rPr>
          <w:rFonts w:eastAsia="Arial Unicode MS" w:cs="Arial Unicode MS"/>
          <w:noProof/>
        </w:rPr>
        <w:t>ew risks</w:t>
      </w:r>
      <w:r w:rsidR="00A07CAC" w:rsidRPr="002661A8">
        <w:rPr>
          <w:rFonts w:eastAsia="Arial Unicode MS" w:cs="Arial Unicode MS"/>
          <w:noProof/>
        </w:rPr>
        <w:t>,</w:t>
      </w:r>
      <w:r w:rsidR="00BE6653" w:rsidRPr="002661A8">
        <w:rPr>
          <w:rStyle w:val="FootnoteReference"/>
          <w:noProof/>
        </w:rPr>
        <w:footnoteReference w:id="15"/>
      </w:r>
      <w:r w:rsidR="00BE6653" w:rsidRPr="002661A8">
        <w:rPr>
          <w:rFonts w:eastAsia="Arial Unicode MS" w:cs="Arial Unicode MS"/>
          <w:noProof/>
        </w:rPr>
        <w:t xml:space="preserve"> linked to the concentration </w:t>
      </w:r>
      <w:r w:rsidR="00E93A8B" w:rsidRPr="002661A8">
        <w:rPr>
          <w:rFonts w:eastAsia="Arial Unicode MS" w:cs="Arial Unicode MS"/>
          <w:noProof/>
        </w:rPr>
        <w:t>and interconnectedness of</w:t>
      </w:r>
      <w:r w:rsidR="00BE6653" w:rsidRPr="002661A8">
        <w:rPr>
          <w:rFonts w:eastAsia="Arial Unicode MS" w:cs="Arial Unicode MS"/>
          <w:noProof/>
        </w:rPr>
        <w:t xml:space="preserve"> </w:t>
      </w:r>
      <w:r w:rsidR="00E93A8B" w:rsidRPr="002661A8">
        <w:rPr>
          <w:rFonts w:eastAsia="Arial Unicode MS" w:cs="Arial Unicode MS"/>
          <w:noProof/>
        </w:rPr>
        <w:t xml:space="preserve">those </w:t>
      </w:r>
      <w:r w:rsidR="00BE6653" w:rsidRPr="002661A8">
        <w:rPr>
          <w:rFonts w:eastAsia="Arial Unicode MS" w:cs="Arial Unicode MS"/>
          <w:noProof/>
        </w:rPr>
        <w:t>infrastructures across political and monetary jurisdictions.</w:t>
      </w:r>
    </w:p>
    <w:p w14:paraId="48D943A8" w14:textId="4C05AA49" w:rsidR="00E52AA0" w:rsidRPr="002661A8" w:rsidRDefault="00321926" w:rsidP="00D06EAA">
      <w:pPr>
        <w:pStyle w:val="Body"/>
        <w:spacing w:after="120"/>
        <w:rPr>
          <w:rStyle w:val="None"/>
          <w:rFonts w:eastAsia="Arial Unicode MS" w:cs="Arial Unicode MS"/>
          <w:noProof/>
        </w:rPr>
      </w:pPr>
      <w:r w:rsidRPr="002661A8">
        <w:rPr>
          <w:noProof/>
        </w:rPr>
        <w:t>As of end-June 2021, the outstanding notional of OTC derivatives amounted to EUR 514 trillion, corresponding to 88% of the overall derivatives market.</w:t>
      </w:r>
      <w:r w:rsidRPr="002661A8">
        <w:rPr>
          <w:rStyle w:val="FootnoteReference"/>
          <w:noProof/>
        </w:rPr>
        <w:footnoteReference w:id="16"/>
      </w:r>
      <w:r w:rsidRPr="002661A8">
        <w:rPr>
          <w:noProof/>
        </w:rPr>
        <w:t xml:space="preserve"> Interest rate derivatives</w:t>
      </w:r>
      <w:r w:rsidR="00A863D4" w:rsidRPr="002661A8">
        <w:rPr>
          <w:noProof/>
        </w:rPr>
        <w:t xml:space="preserve"> (IRD)</w:t>
      </w:r>
      <w:r w:rsidRPr="002661A8">
        <w:rPr>
          <w:noProof/>
        </w:rPr>
        <w:t xml:space="preserve"> represent</w:t>
      </w:r>
      <w:r w:rsidR="00844D89" w:rsidRPr="002661A8">
        <w:rPr>
          <w:noProof/>
        </w:rPr>
        <w:t>ed</w:t>
      </w:r>
      <w:r w:rsidRPr="002661A8">
        <w:rPr>
          <w:noProof/>
        </w:rPr>
        <w:t xml:space="preserve"> 80% of outstanding OTC derivatives, of which 60% </w:t>
      </w:r>
      <w:r w:rsidR="00844D89" w:rsidRPr="002661A8">
        <w:rPr>
          <w:noProof/>
        </w:rPr>
        <w:t xml:space="preserve">were </w:t>
      </w:r>
      <w:r w:rsidRPr="002661A8">
        <w:rPr>
          <w:noProof/>
        </w:rPr>
        <w:t>cleared through CCPs.</w:t>
      </w:r>
      <w:r w:rsidR="006E7538" w:rsidRPr="002661A8">
        <w:rPr>
          <w:rStyle w:val="FootnoteReference"/>
          <w:noProof/>
        </w:rPr>
        <w:footnoteReference w:id="17"/>
      </w:r>
      <w:r w:rsidRPr="002661A8">
        <w:rPr>
          <w:rStyle w:val="None"/>
          <w:rFonts w:eastAsia="Arial Unicode MS" w:cs="Arial Unicode MS"/>
          <w:noProof/>
        </w:rPr>
        <w:t xml:space="preserve"> </w:t>
      </w:r>
      <w:r w:rsidR="0064259B" w:rsidRPr="002661A8">
        <w:rPr>
          <w:noProof/>
        </w:rPr>
        <w:t>At end 2020, UK-based LCH Ltd</w:t>
      </w:r>
      <w:r w:rsidR="00DD025D">
        <w:rPr>
          <w:rStyle w:val="FootnoteReference"/>
          <w:noProof/>
        </w:rPr>
        <w:footnoteReference w:id="18"/>
      </w:r>
      <w:r w:rsidR="0064259B" w:rsidRPr="002661A8">
        <w:rPr>
          <w:noProof/>
        </w:rPr>
        <w:t xml:space="preserve"> cleared more than 90% of centrally cleared OTC IRD globally, and more than 80% and 90% of the volume of OTC IRDs denominated in euro and in other EU currencies respectively.</w:t>
      </w:r>
      <w:r w:rsidR="0064259B" w:rsidRPr="002661A8">
        <w:rPr>
          <w:rStyle w:val="FootnoteReference"/>
          <w:noProof/>
        </w:rPr>
        <w:footnoteReference w:id="19"/>
      </w:r>
      <w:r w:rsidR="0064259B" w:rsidRPr="002661A8">
        <w:rPr>
          <w:rStyle w:val="CommentReference"/>
          <w:noProof/>
          <w:sz w:val="24"/>
          <w:szCs w:val="24"/>
        </w:rPr>
        <w:t xml:space="preserve"> </w:t>
      </w:r>
      <w:r w:rsidR="3FA542DF" w:rsidRPr="002661A8">
        <w:rPr>
          <w:rStyle w:val="None"/>
          <w:rFonts w:eastAsia="Arial Unicode MS" w:cs="Arial Unicode MS"/>
          <w:noProof/>
        </w:rPr>
        <w:t xml:space="preserve">The economies of scale (due to netting and diversification benefits) </w:t>
      </w:r>
      <w:r w:rsidR="0032514F" w:rsidRPr="002661A8">
        <w:rPr>
          <w:rStyle w:val="None"/>
          <w:rFonts w:eastAsia="Arial Unicode MS" w:cs="Arial Unicode MS"/>
          <w:noProof/>
        </w:rPr>
        <w:t>in</w:t>
      </w:r>
      <w:r w:rsidR="3FA542DF" w:rsidRPr="002661A8">
        <w:rPr>
          <w:rStyle w:val="None"/>
          <w:rFonts w:eastAsia="Arial Unicode MS" w:cs="Arial Unicode MS"/>
          <w:noProof/>
        </w:rPr>
        <w:t xml:space="preserve"> central clearing</w:t>
      </w:r>
      <w:r w:rsidR="0032514F" w:rsidRPr="002661A8">
        <w:rPr>
          <w:rStyle w:val="None"/>
          <w:rFonts w:eastAsia="Arial Unicode MS" w:cs="Arial Unicode MS"/>
          <w:noProof/>
        </w:rPr>
        <w:t xml:space="preserve"> lead to significant concentration of the market in</w:t>
      </w:r>
      <w:r w:rsidR="3FA542DF" w:rsidRPr="002661A8">
        <w:rPr>
          <w:rStyle w:val="None"/>
          <w:rFonts w:eastAsia="Arial Unicode MS" w:cs="Arial Unicode MS"/>
          <w:noProof/>
        </w:rPr>
        <w:t xml:space="preserve"> a small number of large CCPs. </w:t>
      </w:r>
      <w:hyperlink w:anchor="_Annex_7:_Background" w:history="1">
        <w:r w:rsidR="00E52AA0" w:rsidRPr="002661A8">
          <w:rPr>
            <w:rStyle w:val="Hyperlink"/>
            <w:rFonts w:eastAsia="Arial Unicode MS" w:cs="Arial Unicode MS"/>
            <w:noProof/>
          </w:rPr>
          <w:t>Annex</w:t>
        </w:r>
        <w:r w:rsidR="00800F15" w:rsidRPr="002661A8">
          <w:rPr>
            <w:rStyle w:val="Hyperlink"/>
            <w:rFonts w:eastAsia="Arial Unicode MS" w:cs="Arial Unicode MS"/>
            <w:noProof/>
          </w:rPr>
          <w:t xml:space="preserve"> </w:t>
        </w:r>
        <w:r w:rsidR="00953060" w:rsidRPr="002661A8">
          <w:rPr>
            <w:rStyle w:val="Hyperlink"/>
            <w:rFonts w:eastAsia="Arial Unicode MS" w:cs="Arial Unicode MS"/>
            <w:noProof/>
          </w:rPr>
          <w:t>7</w:t>
        </w:r>
      </w:hyperlink>
      <w:r w:rsidR="00974F73" w:rsidRPr="002661A8">
        <w:rPr>
          <w:rStyle w:val="None"/>
          <w:rFonts w:eastAsia="Arial Unicode MS" w:cs="Arial Unicode MS"/>
          <w:noProof/>
        </w:rPr>
        <w:t xml:space="preserve"> </w:t>
      </w:r>
      <w:r w:rsidR="00E52AA0" w:rsidRPr="002661A8">
        <w:rPr>
          <w:rStyle w:val="None"/>
          <w:rFonts w:eastAsia="Arial Unicode MS" w:cs="Arial Unicode MS"/>
          <w:noProof/>
        </w:rPr>
        <w:t>contains information on the role of</w:t>
      </w:r>
      <w:r w:rsidR="00E52AA0" w:rsidRPr="002661A8">
        <w:rPr>
          <w:rStyle w:val="FootnoteReference"/>
          <w:noProof/>
          <w:vertAlign w:val="baseline"/>
        </w:rPr>
        <w:t xml:space="preserve"> CCPs </w:t>
      </w:r>
      <w:r w:rsidR="00E52AA0" w:rsidRPr="002661A8">
        <w:rPr>
          <w:noProof/>
        </w:rPr>
        <w:t>and their economic development.</w:t>
      </w:r>
    </w:p>
    <w:p w14:paraId="1C942811" w14:textId="35A0A366" w:rsidR="007D2EEF" w:rsidRPr="002661A8" w:rsidRDefault="3FA542DF" w:rsidP="007D2EEF">
      <w:pPr>
        <w:pStyle w:val="Body"/>
        <w:spacing w:after="120"/>
        <w:rPr>
          <w:rStyle w:val="None"/>
          <w:rFonts w:asciiTheme="minorHAnsi" w:eastAsia="Arial Unicode MS" w:hAnsiTheme="minorHAnsi" w:cs="Arial Unicode MS"/>
          <w:noProof/>
          <w:color w:val="auto"/>
          <w:sz w:val="22"/>
          <w:szCs w:val="22"/>
          <w:bdr w:val="none" w:sz="0" w:space="0" w:color="auto"/>
          <w:lang w:eastAsia="en-US"/>
        </w:rPr>
      </w:pPr>
      <w:r w:rsidRPr="002661A8">
        <w:rPr>
          <w:rStyle w:val="None"/>
          <w:rFonts w:eastAsia="Arial Unicode MS" w:cs="Arial Unicode MS"/>
          <w:noProof/>
        </w:rPr>
        <w:t xml:space="preserve">The financial resources of such large CCPs are, however, not unlimited. One severe shock could potentially threaten their viability. Their financial soundness is </w:t>
      </w:r>
      <w:r w:rsidR="006E7538" w:rsidRPr="002661A8">
        <w:rPr>
          <w:rStyle w:val="None"/>
          <w:rFonts w:eastAsia="Arial Unicode MS" w:cs="Arial Unicode MS"/>
          <w:noProof/>
        </w:rPr>
        <w:t xml:space="preserve">thus </w:t>
      </w:r>
      <w:r w:rsidRPr="002661A8">
        <w:rPr>
          <w:rStyle w:val="None"/>
          <w:rFonts w:eastAsia="Arial Unicode MS" w:cs="Arial Unicode MS"/>
          <w:noProof/>
        </w:rPr>
        <w:t>essential to ensur</w:t>
      </w:r>
      <w:r w:rsidR="00A056DC" w:rsidRPr="002661A8">
        <w:rPr>
          <w:rStyle w:val="None"/>
          <w:rFonts w:eastAsia="Arial Unicode MS" w:cs="Arial Unicode MS"/>
          <w:noProof/>
        </w:rPr>
        <w:t>e</w:t>
      </w:r>
      <w:r w:rsidRPr="002661A8">
        <w:rPr>
          <w:rStyle w:val="None"/>
          <w:rFonts w:eastAsia="Arial Unicode MS" w:cs="Arial Unicode MS"/>
          <w:noProof/>
        </w:rPr>
        <w:t xml:space="preserve"> the stability of the entire financial system.</w:t>
      </w:r>
      <w:r w:rsidR="00E52AA0" w:rsidRPr="002661A8">
        <w:rPr>
          <w:rStyle w:val="None"/>
          <w:rFonts w:eastAsia="Arial Unicode MS" w:cs="Arial Unicode MS"/>
          <w:noProof/>
        </w:rPr>
        <w:t xml:space="preserve"> </w:t>
      </w:r>
      <w:r w:rsidR="00A056DC" w:rsidRPr="002661A8">
        <w:rPr>
          <w:rStyle w:val="None"/>
          <w:rFonts w:eastAsia="Arial Unicode MS" w:cs="Arial Unicode MS"/>
          <w:noProof/>
        </w:rPr>
        <w:t>A</w:t>
      </w:r>
      <w:r w:rsidR="00175F66" w:rsidRPr="002661A8">
        <w:rPr>
          <w:rStyle w:val="None"/>
          <w:rFonts w:eastAsia="Arial Unicode MS" w:cs="Arial Unicode MS"/>
          <w:noProof/>
        </w:rPr>
        <w:t xml:space="preserve"> CCP could default for </w:t>
      </w:r>
      <w:r w:rsidR="0012438B" w:rsidRPr="002661A8">
        <w:rPr>
          <w:rStyle w:val="None"/>
          <w:rFonts w:eastAsia="Arial Unicode MS" w:cs="Arial Unicode MS"/>
          <w:noProof/>
        </w:rPr>
        <w:t>various</w:t>
      </w:r>
      <w:r w:rsidR="00175F66" w:rsidRPr="002661A8">
        <w:rPr>
          <w:rStyle w:val="None"/>
          <w:rFonts w:eastAsia="Arial Unicode MS" w:cs="Arial Unicode MS"/>
          <w:noProof/>
        </w:rPr>
        <w:t xml:space="preserve"> reasons</w:t>
      </w:r>
      <w:r w:rsidR="00A056DC" w:rsidRPr="002661A8">
        <w:rPr>
          <w:rStyle w:val="None"/>
          <w:rFonts w:eastAsia="Arial Unicode MS" w:cs="Arial Unicode MS"/>
          <w:noProof/>
        </w:rPr>
        <w:t>,</w:t>
      </w:r>
      <w:r w:rsidR="00175F66" w:rsidRPr="002661A8">
        <w:rPr>
          <w:rStyle w:val="None"/>
          <w:rFonts w:eastAsia="Arial Unicode MS" w:cs="Arial Unicode MS"/>
          <w:noProof/>
        </w:rPr>
        <w:t xml:space="preserve"> </w:t>
      </w:r>
      <w:r w:rsidR="007D2EEF" w:rsidRPr="002661A8">
        <w:rPr>
          <w:rStyle w:val="None"/>
          <w:rFonts w:eastAsia="Arial Unicode MS" w:cs="Arial Unicode MS"/>
          <w:noProof/>
        </w:rPr>
        <w:t>e.g.</w:t>
      </w:r>
      <w:r w:rsidR="00175F66" w:rsidRPr="002661A8">
        <w:rPr>
          <w:rStyle w:val="None"/>
          <w:rFonts w:eastAsia="Arial Unicode MS" w:cs="Arial Unicode MS"/>
          <w:noProof/>
        </w:rPr>
        <w:t xml:space="preserve"> operational failure</w:t>
      </w:r>
      <w:r w:rsidR="00A056DC" w:rsidRPr="002661A8">
        <w:rPr>
          <w:rStyle w:val="None"/>
          <w:rFonts w:eastAsia="Arial Unicode MS" w:cs="Arial Unicode MS"/>
          <w:noProof/>
        </w:rPr>
        <w:t>s or</w:t>
      </w:r>
      <w:r w:rsidRPr="002661A8">
        <w:rPr>
          <w:rStyle w:val="None"/>
          <w:rFonts w:eastAsia="Arial Unicode MS" w:cs="Arial Unicode MS"/>
          <w:noProof/>
        </w:rPr>
        <w:t xml:space="preserve"> unforeseen losses </w:t>
      </w:r>
      <w:r w:rsidR="00FE77E5" w:rsidRPr="002661A8">
        <w:rPr>
          <w:rStyle w:val="None"/>
          <w:rFonts w:eastAsia="Arial Unicode MS" w:cs="Arial Unicode MS"/>
          <w:noProof/>
        </w:rPr>
        <w:t>following</w:t>
      </w:r>
      <w:r w:rsidRPr="002661A8">
        <w:rPr>
          <w:rStyle w:val="None"/>
          <w:rFonts w:eastAsia="Arial Unicode MS" w:cs="Arial Unicode MS"/>
          <w:noProof/>
        </w:rPr>
        <w:t xml:space="preserve"> simultaneous default</w:t>
      </w:r>
      <w:r w:rsidR="00A056DC" w:rsidRPr="002661A8">
        <w:rPr>
          <w:rStyle w:val="None"/>
          <w:rFonts w:eastAsia="Arial Unicode MS" w:cs="Arial Unicode MS"/>
          <w:noProof/>
        </w:rPr>
        <w:t>s</w:t>
      </w:r>
      <w:r w:rsidRPr="002661A8">
        <w:rPr>
          <w:rStyle w:val="None"/>
          <w:rFonts w:eastAsia="Arial Unicode MS" w:cs="Arial Unicode MS"/>
          <w:noProof/>
        </w:rPr>
        <w:t xml:space="preserve"> of several of its members. </w:t>
      </w:r>
      <w:r w:rsidR="0012438B" w:rsidRPr="002661A8">
        <w:rPr>
          <w:rStyle w:val="None"/>
          <w:rFonts w:eastAsia="Arial Unicode MS" w:cs="Arial Unicode MS"/>
          <w:noProof/>
        </w:rPr>
        <w:t xml:space="preserve">The knock-on effects could be far-reaching if the CCP </w:t>
      </w:r>
      <w:r w:rsidR="006E7538" w:rsidRPr="002661A8">
        <w:rPr>
          <w:rStyle w:val="None"/>
          <w:rFonts w:eastAsia="Arial Unicode MS" w:cs="Arial Unicode MS"/>
          <w:noProof/>
        </w:rPr>
        <w:t xml:space="preserve">were </w:t>
      </w:r>
      <w:r w:rsidR="004D47ED" w:rsidRPr="002661A8">
        <w:rPr>
          <w:rStyle w:val="None"/>
          <w:rFonts w:eastAsia="Arial Unicode MS" w:cs="Arial Unicode MS"/>
          <w:noProof/>
        </w:rPr>
        <w:t>unable</w:t>
      </w:r>
      <w:r w:rsidR="0012438B" w:rsidRPr="002661A8">
        <w:rPr>
          <w:rStyle w:val="None"/>
          <w:rFonts w:eastAsia="Arial Unicode MS" w:cs="Arial Unicode MS"/>
          <w:noProof/>
        </w:rPr>
        <w:t xml:space="preserve"> to manage the default within its default waterfall. In addition, large banking groups tend to be clearing members in several CCPs, amplifying the systemic </w:t>
      </w:r>
      <w:r w:rsidR="004D47ED" w:rsidRPr="002661A8">
        <w:rPr>
          <w:rStyle w:val="None"/>
          <w:rFonts w:eastAsia="Arial Unicode MS" w:cs="Arial Unicode MS"/>
          <w:noProof/>
        </w:rPr>
        <w:t xml:space="preserve">effect </w:t>
      </w:r>
      <w:r w:rsidR="0012438B" w:rsidRPr="002661A8">
        <w:rPr>
          <w:rStyle w:val="None"/>
          <w:rFonts w:eastAsia="Arial Unicode MS" w:cs="Arial Unicode MS"/>
          <w:noProof/>
        </w:rPr>
        <w:t xml:space="preserve">of </w:t>
      </w:r>
      <w:r w:rsidR="007A6D90" w:rsidRPr="002661A8">
        <w:rPr>
          <w:rStyle w:val="None"/>
          <w:rFonts w:eastAsia="Arial Unicode MS" w:cs="Arial Unicode MS"/>
          <w:noProof/>
        </w:rPr>
        <w:t>their failure.</w:t>
      </w:r>
      <w:r w:rsidR="0012438B" w:rsidRPr="002661A8">
        <w:rPr>
          <w:rStyle w:val="None"/>
          <w:rFonts w:eastAsia="Arial Unicode MS" w:cs="Arial Unicode MS"/>
          <w:noProof/>
        </w:rPr>
        <w:t xml:space="preserve"> </w:t>
      </w:r>
      <w:r w:rsidR="007D2EEF" w:rsidRPr="002661A8">
        <w:rPr>
          <w:rStyle w:val="None"/>
          <w:rFonts w:eastAsia="Arial Unicode MS" w:cs="Arial Unicode MS"/>
          <w:noProof/>
        </w:rPr>
        <w:t xml:space="preserve">Problems at a large CCP may spread financial contagion, as all major financial institutions are interconnected via direct and indirect links to CCPs. </w:t>
      </w:r>
    </w:p>
    <w:p w14:paraId="66C0C50E" w14:textId="0744D8D7" w:rsidR="00C03822" w:rsidRPr="002661A8" w:rsidRDefault="0012438B" w:rsidP="000F5043">
      <w:pPr>
        <w:pStyle w:val="Body"/>
        <w:spacing w:after="120"/>
        <w:rPr>
          <w:rStyle w:val="None"/>
          <w:rFonts w:eastAsia="Arial Unicode MS" w:cs="Arial Unicode MS"/>
          <w:noProof/>
        </w:rPr>
      </w:pPr>
      <w:r w:rsidRPr="002661A8">
        <w:rPr>
          <w:rStyle w:val="None"/>
          <w:rFonts w:eastAsia="Arial Unicode MS" w:cs="Arial Unicode MS"/>
          <w:noProof/>
        </w:rPr>
        <w:t>The cessation of operations of a CCP would deprive market participants of certain basic</w:t>
      </w:r>
      <w:r w:rsidR="00A863D4" w:rsidRPr="002661A8">
        <w:rPr>
          <w:rStyle w:val="None"/>
          <w:rFonts w:eastAsia="Arial Unicode MS" w:cs="Arial Unicode MS"/>
          <w:noProof/>
        </w:rPr>
        <w:t xml:space="preserve"> post-trade</w:t>
      </w:r>
      <w:r w:rsidRPr="002661A8">
        <w:rPr>
          <w:rStyle w:val="None"/>
          <w:rFonts w:eastAsia="Arial Unicode MS" w:cs="Arial Unicode MS"/>
          <w:noProof/>
        </w:rPr>
        <w:t xml:space="preserve"> functions, entailing the shutdown of entire markets and uncertainty regarding exposures of several market participants with </w:t>
      </w:r>
      <w:r w:rsidR="007F7B4D" w:rsidRPr="002661A8">
        <w:rPr>
          <w:rStyle w:val="None"/>
          <w:rFonts w:eastAsia="Arial Unicode MS" w:cs="Arial Unicode MS"/>
          <w:noProof/>
        </w:rPr>
        <w:t xml:space="preserve">massive </w:t>
      </w:r>
      <w:r w:rsidRPr="002661A8">
        <w:rPr>
          <w:rStyle w:val="None"/>
          <w:rFonts w:eastAsia="Arial Unicode MS" w:cs="Arial Unicode MS"/>
          <w:noProof/>
        </w:rPr>
        <w:t xml:space="preserve">knock-on effects. Resolution frameworks, set up to different extents around the world, aim at preserving the continuity of </w:t>
      </w:r>
      <w:r w:rsidR="00A863D4" w:rsidRPr="002661A8">
        <w:rPr>
          <w:rStyle w:val="None"/>
          <w:rFonts w:eastAsia="Arial Unicode MS" w:cs="Arial Unicode MS"/>
          <w:noProof/>
        </w:rPr>
        <w:t xml:space="preserve">a CCP’s </w:t>
      </w:r>
      <w:r w:rsidRPr="002661A8">
        <w:rPr>
          <w:rStyle w:val="None"/>
          <w:rFonts w:eastAsia="Arial Unicode MS" w:cs="Arial Unicode MS"/>
          <w:noProof/>
        </w:rPr>
        <w:t xml:space="preserve">critical functions in case of a crisis, </w:t>
      </w:r>
      <w:r w:rsidR="00A863D4" w:rsidRPr="002661A8">
        <w:rPr>
          <w:rStyle w:val="None"/>
          <w:rFonts w:eastAsia="Arial Unicode MS" w:cs="Arial Unicode MS"/>
          <w:noProof/>
        </w:rPr>
        <w:t>to</w:t>
      </w:r>
      <w:r w:rsidR="007E43E7" w:rsidRPr="002661A8">
        <w:rPr>
          <w:rStyle w:val="None"/>
          <w:rFonts w:eastAsia="Arial Unicode MS" w:cs="Arial Unicode MS"/>
          <w:noProof/>
        </w:rPr>
        <w:t xml:space="preserve"> safeguard financial stability</w:t>
      </w:r>
      <w:r w:rsidR="00C81488" w:rsidRPr="002661A8">
        <w:rPr>
          <w:rStyle w:val="None"/>
          <w:rFonts w:eastAsia="Arial Unicode MS" w:cs="Arial Unicode MS"/>
          <w:noProof/>
        </w:rPr>
        <w:t>.</w:t>
      </w:r>
      <w:r w:rsidR="007E43E7" w:rsidRPr="002661A8">
        <w:rPr>
          <w:rStyle w:val="FootnoteReference"/>
          <w:rFonts w:eastAsia="Arial Unicode MS" w:cs="Arial Unicode MS"/>
          <w:noProof/>
        </w:rPr>
        <w:footnoteReference w:id="20"/>
      </w:r>
      <w:r w:rsidR="006F2A77" w:rsidRPr="002661A8">
        <w:rPr>
          <w:rStyle w:val="FootnoteReference"/>
          <w:rFonts w:eastAsia="Arial Unicode MS" w:cs="Arial Unicode MS"/>
          <w:noProof/>
        </w:rPr>
        <w:t xml:space="preserve"> </w:t>
      </w:r>
    </w:p>
    <w:p w14:paraId="15565004" w14:textId="24A36F5E" w:rsidR="004630B1" w:rsidRPr="002661A8" w:rsidRDefault="3FA542DF" w:rsidP="00ED5088">
      <w:pPr>
        <w:pStyle w:val="Heading1"/>
        <w:numPr>
          <w:ilvl w:val="1"/>
          <w:numId w:val="6"/>
        </w:numPr>
        <w:spacing w:before="0" w:after="120"/>
        <w:rPr>
          <w:smallCaps w:val="0"/>
          <w:noProof/>
        </w:rPr>
      </w:pPr>
      <w:bookmarkStart w:id="61" w:name="_Legal_context"/>
      <w:bookmarkStart w:id="62" w:name="_Toc103337460"/>
      <w:bookmarkStart w:id="63" w:name="_Toc104309975"/>
      <w:bookmarkStart w:id="64" w:name="_Toc105656419"/>
      <w:bookmarkStart w:id="65" w:name="_Toc106827806"/>
      <w:bookmarkStart w:id="66" w:name="_Toc106981682"/>
      <w:bookmarkStart w:id="67" w:name="_Toc107493824"/>
      <w:bookmarkStart w:id="68" w:name="_Toc107497860"/>
      <w:bookmarkStart w:id="69" w:name="_Toc107503413"/>
      <w:bookmarkStart w:id="70" w:name="_Toc107504561"/>
      <w:bookmarkStart w:id="71" w:name="_Toc107505406"/>
      <w:bookmarkStart w:id="72" w:name="_Toc107838882"/>
      <w:bookmarkStart w:id="73" w:name="_Toc107846977"/>
      <w:bookmarkStart w:id="74" w:name="_Toc107849214"/>
      <w:bookmarkStart w:id="75" w:name="_Toc107853661"/>
      <w:bookmarkStart w:id="76" w:name="_Toc108539784"/>
      <w:bookmarkStart w:id="77" w:name="_Toc108539902"/>
      <w:bookmarkStart w:id="78" w:name="_Toc109057360"/>
      <w:bookmarkStart w:id="79" w:name="_Toc109120726"/>
      <w:bookmarkStart w:id="80" w:name="_Toc109122361"/>
      <w:bookmarkStart w:id="81" w:name="_Toc109133098"/>
      <w:bookmarkStart w:id="82" w:name="_Toc120291632"/>
      <w:bookmarkEnd w:id="61"/>
      <w:r w:rsidRPr="002661A8">
        <w:rPr>
          <w:smallCaps w:val="0"/>
          <w:noProof/>
        </w:rPr>
        <w:t>Legal context</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202EDF48" w14:textId="61D3A4BB" w:rsidR="00AA7F68" w:rsidRPr="002661A8" w:rsidRDefault="00396550" w:rsidP="000F5043">
      <w:pPr>
        <w:spacing w:after="120" w:line="240" w:lineRule="auto"/>
        <w:jc w:val="both"/>
        <w:rPr>
          <w:rFonts w:ascii="Times New Roman" w:hAnsi="Times New Roman" w:cs="Times New Roman"/>
          <w:noProof/>
          <w:sz w:val="24"/>
          <w:szCs w:val="24"/>
        </w:rPr>
      </w:pPr>
      <w:r w:rsidRPr="002661A8">
        <w:rPr>
          <w:rFonts w:ascii="Times New Roman" w:eastAsia="Arial Unicode MS" w:hAnsi="Times New Roman" w:cs="Times New Roman"/>
          <w:noProof/>
          <w:sz w:val="24"/>
          <w:szCs w:val="24"/>
        </w:rPr>
        <w:t xml:space="preserve">As </w:t>
      </w:r>
      <w:r w:rsidR="00E42017" w:rsidRPr="002661A8">
        <w:rPr>
          <w:rFonts w:ascii="Times New Roman" w:eastAsia="Arial Unicode MS" w:hAnsi="Times New Roman" w:cs="Times New Roman"/>
          <w:noProof/>
          <w:sz w:val="24"/>
          <w:szCs w:val="24"/>
        </w:rPr>
        <w:t>seen</w:t>
      </w:r>
      <w:r w:rsidRPr="002661A8">
        <w:rPr>
          <w:rFonts w:ascii="Times New Roman" w:eastAsia="Arial Unicode MS" w:hAnsi="Times New Roman" w:cs="Times New Roman"/>
          <w:noProof/>
          <w:sz w:val="24"/>
          <w:szCs w:val="24"/>
        </w:rPr>
        <w:t xml:space="preserve"> </w:t>
      </w:r>
      <w:r w:rsidR="007D75F7" w:rsidRPr="002661A8">
        <w:rPr>
          <w:rFonts w:ascii="Times New Roman" w:eastAsia="Arial Unicode MS" w:hAnsi="Times New Roman" w:cs="Times New Roman"/>
          <w:noProof/>
          <w:sz w:val="24"/>
          <w:szCs w:val="24"/>
        </w:rPr>
        <w:t>above</w:t>
      </w:r>
      <w:r w:rsidRPr="002661A8">
        <w:rPr>
          <w:rFonts w:ascii="Times New Roman" w:eastAsia="Arial Unicode MS" w:hAnsi="Times New Roman" w:cs="Times New Roman"/>
          <w:noProof/>
          <w:sz w:val="24"/>
          <w:szCs w:val="24"/>
        </w:rPr>
        <w:t>,</w:t>
      </w:r>
      <w:r w:rsidR="008D1505" w:rsidRPr="002661A8">
        <w:rPr>
          <w:rFonts w:ascii="Times New Roman" w:eastAsia="Arial Unicode MS" w:hAnsi="Times New Roman" w:cs="Times New Roman"/>
          <w:noProof/>
          <w:sz w:val="24"/>
          <w:szCs w:val="24"/>
        </w:rPr>
        <w:t xml:space="preserve"> </w:t>
      </w:r>
      <w:r w:rsidRPr="002661A8">
        <w:rPr>
          <w:rFonts w:ascii="Times New Roman" w:eastAsia="Arial Unicode MS" w:hAnsi="Times New Roman" w:cs="Times New Roman"/>
          <w:noProof/>
          <w:sz w:val="24"/>
          <w:szCs w:val="24"/>
        </w:rPr>
        <w:t xml:space="preserve">in </w:t>
      </w:r>
      <w:hyperlink w:anchor="_Introduction" w:history="1">
        <w:r w:rsidRPr="002661A8">
          <w:rPr>
            <w:rStyle w:val="Hyperlink"/>
            <w:rFonts w:ascii="Times New Roman" w:eastAsia="Arial Unicode MS" w:hAnsi="Times New Roman" w:cs="Times New Roman"/>
            <w:noProof/>
            <w:sz w:val="24"/>
            <w:szCs w:val="24"/>
          </w:rPr>
          <w:t>Section 1.1</w:t>
        </w:r>
      </w:hyperlink>
      <w:r w:rsidRPr="002661A8">
        <w:rPr>
          <w:rFonts w:ascii="Times New Roman" w:eastAsia="Arial Unicode MS" w:hAnsi="Times New Roman" w:cs="Times New Roman"/>
          <w:noProof/>
          <w:sz w:val="24"/>
          <w:szCs w:val="24"/>
        </w:rPr>
        <w:t xml:space="preserve">, </w:t>
      </w:r>
      <w:r w:rsidR="00AA7F68" w:rsidRPr="002661A8">
        <w:rPr>
          <w:rFonts w:ascii="Times New Roman" w:eastAsia="Arial Unicode MS" w:hAnsi="Times New Roman" w:cs="Times New Roman"/>
          <w:noProof/>
          <w:sz w:val="24"/>
          <w:szCs w:val="24"/>
        </w:rPr>
        <w:t xml:space="preserve">the </w:t>
      </w:r>
      <w:r w:rsidR="00945197" w:rsidRPr="002661A8">
        <w:rPr>
          <w:rFonts w:ascii="Times New Roman" w:eastAsia="Arial Unicode MS" w:hAnsi="Times New Roman" w:cs="Times New Roman"/>
          <w:noProof/>
          <w:sz w:val="24"/>
          <w:szCs w:val="24"/>
        </w:rPr>
        <w:t>most recent</w:t>
      </w:r>
      <w:r w:rsidR="00AA7F68" w:rsidRPr="002661A8">
        <w:rPr>
          <w:rFonts w:ascii="Times New Roman" w:eastAsia="Arial Unicode MS" w:hAnsi="Times New Roman" w:cs="Times New Roman"/>
          <w:noProof/>
          <w:sz w:val="24"/>
          <w:szCs w:val="24"/>
        </w:rPr>
        <w:t xml:space="preserve"> amendment to</w:t>
      </w:r>
      <w:r w:rsidRPr="002661A8">
        <w:rPr>
          <w:rFonts w:ascii="Times New Roman" w:eastAsia="Arial Unicode MS" w:hAnsi="Times New Roman" w:cs="Times New Roman"/>
          <w:noProof/>
          <w:sz w:val="24"/>
          <w:szCs w:val="24"/>
        </w:rPr>
        <w:t xml:space="preserve"> EMIR </w:t>
      </w:r>
      <w:r w:rsidR="0061034B" w:rsidRPr="002661A8">
        <w:rPr>
          <w:rFonts w:ascii="Times New Roman" w:hAnsi="Times New Roman" w:cs="Times New Roman"/>
          <w:noProof/>
          <w:sz w:val="24"/>
          <w:szCs w:val="24"/>
        </w:rPr>
        <w:t>aimed at</w:t>
      </w:r>
      <w:r w:rsidR="00A31A20" w:rsidRPr="002661A8">
        <w:rPr>
          <w:rFonts w:ascii="Times New Roman" w:hAnsi="Times New Roman" w:cs="Times New Roman"/>
          <w:noProof/>
          <w:sz w:val="24"/>
          <w:szCs w:val="24"/>
        </w:rPr>
        <w:t xml:space="preserve"> enhanc</w:t>
      </w:r>
      <w:r w:rsidR="0061034B" w:rsidRPr="002661A8">
        <w:rPr>
          <w:rFonts w:ascii="Times New Roman" w:hAnsi="Times New Roman" w:cs="Times New Roman"/>
          <w:noProof/>
          <w:sz w:val="24"/>
          <w:szCs w:val="24"/>
        </w:rPr>
        <w:t>ing</w:t>
      </w:r>
      <w:r w:rsidR="00A31A20" w:rsidRPr="002661A8">
        <w:rPr>
          <w:rFonts w:ascii="Times New Roman" w:hAnsi="Times New Roman" w:cs="Times New Roman"/>
          <w:noProof/>
          <w:sz w:val="24"/>
          <w:szCs w:val="24"/>
        </w:rPr>
        <w:t xml:space="preserve"> the supervisory framework for EU and third-country CCPs</w:t>
      </w:r>
      <w:r w:rsidR="00A041DE" w:rsidRPr="002661A8">
        <w:rPr>
          <w:rFonts w:ascii="Times New Roman" w:hAnsi="Times New Roman" w:cs="Times New Roman"/>
          <w:noProof/>
          <w:sz w:val="24"/>
          <w:szCs w:val="24"/>
        </w:rPr>
        <w:t xml:space="preserve"> to ensure EU financial stability</w:t>
      </w:r>
      <w:r w:rsidR="004A6AC4" w:rsidRPr="002661A8">
        <w:rPr>
          <w:rFonts w:ascii="Times New Roman" w:hAnsi="Times New Roman" w:cs="Times New Roman"/>
          <w:noProof/>
          <w:sz w:val="24"/>
          <w:szCs w:val="24"/>
        </w:rPr>
        <w:t>,</w:t>
      </w:r>
      <w:r w:rsidR="005939D7" w:rsidRPr="002661A8">
        <w:rPr>
          <w:rStyle w:val="FootnoteReference"/>
          <w:rFonts w:ascii="Times New Roman" w:hAnsi="Times New Roman" w:cs="Times New Roman"/>
          <w:noProof/>
          <w:sz w:val="24"/>
          <w:szCs w:val="24"/>
        </w:rPr>
        <w:footnoteReference w:id="21"/>
      </w:r>
      <w:r w:rsidR="00AA7F68" w:rsidRPr="002661A8">
        <w:rPr>
          <w:rFonts w:ascii="Times New Roman" w:hAnsi="Times New Roman" w:cs="Times New Roman"/>
          <w:noProof/>
          <w:sz w:val="24"/>
          <w:szCs w:val="24"/>
        </w:rPr>
        <w:t xml:space="preserve"> </w:t>
      </w:r>
      <w:r w:rsidR="00240D9A" w:rsidRPr="002661A8">
        <w:rPr>
          <w:rFonts w:ascii="Times New Roman" w:hAnsi="Times New Roman" w:cs="Times New Roman"/>
          <w:noProof/>
          <w:sz w:val="24"/>
          <w:szCs w:val="24"/>
        </w:rPr>
        <w:t>introduc</w:t>
      </w:r>
      <w:r w:rsidR="004A6AC4" w:rsidRPr="002661A8">
        <w:rPr>
          <w:rFonts w:ascii="Times New Roman" w:hAnsi="Times New Roman" w:cs="Times New Roman"/>
          <w:noProof/>
          <w:sz w:val="24"/>
          <w:szCs w:val="24"/>
        </w:rPr>
        <w:t>ing</w:t>
      </w:r>
      <w:r w:rsidR="00240D9A" w:rsidRPr="002661A8">
        <w:rPr>
          <w:rFonts w:ascii="Times New Roman" w:hAnsi="Times New Roman" w:cs="Times New Roman"/>
          <w:noProof/>
          <w:sz w:val="24"/>
          <w:szCs w:val="24"/>
        </w:rPr>
        <w:t xml:space="preserve"> new supervisory arrangements for EU and third-country CCPs.</w:t>
      </w:r>
      <w:r w:rsidR="00A31A20" w:rsidRPr="002661A8" w:rsidDel="006954BE">
        <w:rPr>
          <w:rFonts w:ascii="Times New Roman" w:hAnsi="Times New Roman" w:cs="Times New Roman"/>
          <w:noProof/>
          <w:sz w:val="24"/>
          <w:szCs w:val="24"/>
        </w:rPr>
        <w:t xml:space="preserve"> </w:t>
      </w:r>
    </w:p>
    <w:p w14:paraId="354B0788" w14:textId="5A81D395" w:rsidR="00613AB1" w:rsidRPr="002661A8" w:rsidRDefault="006E7538" w:rsidP="000F5043">
      <w:pPr>
        <w:spacing w:after="120" w:line="240" w:lineRule="auto"/>
        <w:jc w:val="both"/>
        <w:rPr>
          <w:rStyle w:val="CommentReference"/>
          <w:rFonts w:ascii="Times New Roman" w:hAnsi="Times New Roman" w:cs="Times New Roman"/>
          <w:noProof/>
          <w:sz w:val="24"/>
          <w:szCs w:val="24"/>
        </w:rPr>
      </w:pPr>
      <w:r w:rsidRPr="002661A8">
        <w:rPr>
          <w:rFonts w:ascii="Times New Roman" w:hAnsi="Times New Roman" w:cs="Times New Roman"/>
          <w:noProof/>
          <w:sz w:val="24"/>
          <w:szCs w:val="24"/>
        </w:rPr>
        <w:t>First, f</w:t>
      </w:r>
      <w:r w:rsidR="006954BE" w:rsidRPr="002661A8">
        <w:rPr>
          <w:rFonts w:ascii="Times New Roman" w:hAnsi="Times New Roman" w:cs="Times New Roman"/>
          <w:noProof/>
          <w:sz w:val="24"/>
          <w:szCs w:val="24"/>
        </w:rPr>
        <w:t>or EU CCPs,</w:t>
      </w:r>
      <w:r w:rsidRPr="002661A8">
        <w:rPr>
          <w:rFonts w:ascii="Times New Roman" w:hAnsi="Times New Roman" w:cs="Times New Roman"/>
          <w:noProof/>
          <w:sz w:val="24"/>
          <w:szCs w:val="24"/>
        </w:rPr>
        <w:t xml:space="preserve"> </w:t>
      </w:r>
      <w:r w:rsidR="00311E8A" w:rsidRPr="002661A8" w:rsidDel="006462F0">
        <w:rPr>
          <w:rFonts w:ascii="Times New Roman" w:hAnsi="Times New Roman" w:cs="Times New Roman"/>
          <w:noProof/>
          <w:sz w:val="24"/>
          <w:szCs w:val="24"/>
        </w:rPr>
        <w:t>national</w:t>
      </w:r>
      <w:r w:rsidR="006462F0" w:rsidRPr="002661A8">
        <w:rPr>
          <w:rFonts w:ascii="Times New Roman" w:hAnsi="Times New Roman" w:cs="Times New Roman"/>
          <w:noProof/>
          <w:sz w:val="24"/>
          <w:szCs w:val="24"/>
        </w:rPr>
        <w:t xml:space="preserve"> competent authorities (NCAs)</w:t>
      </w:r>
      <w:r w:rsidRPr="002661A8">
        <w:rPr>
          <w:rFonts w:ascii="Times New Roman" w:hAnsi="Times New Roman" w:cs="Times New Roman"/>
          <w:noProof/>
          <w:sz w:val="24"/>
          <w:szCs w:val="24"/>
        </w:rPr>
        <w:t xml:space="preserve"> continue to have full supervisory powers over CCPs in their Member State, including their ongoing supervision. </w:t>
      </w:r>
      <w:r w:rsidR="00A31A20" w:rsidRPr="002661A8">
        <w:rPr>
          <w:rFonts w:ascii="Times New Roman" w:hAnsi="Times New Roman" w:cs="Times New Roman"/>
          <w:noProof/>
          <w:sz w:val="24"/>
          <w:szCs w:val="24"/>
        </w:rPr>
        <w:t xml:space="preserve">EMIR </w:t>
      </w:r>
      <w:r w:rsidR="00D851A4" w:rsidRPr="002661A8">
        <w:rPr>
          <w:rFonts w:ascii="Times New Roman" w:hAnsi="Times New Roman" w:cs="Times New Roman"/>
          <w:noProof/>
          <w:sz w:val="24"/>
          <w:szCs w:val="24"/>
        </w:rPr>
        <w:t xml:space="preserve">has </w:t>
      </w:r>
      <w:r w:rsidR="00A31A20" w:rsidRPr="002661A8">
        <w:rPr>
          <w:rFonts w:ascii="Times New Roman" w:hAnsi="Times New Roman" w:cs="Times New Roman"/>
          <w:noProof/>
          <w:sz w:val="24"/>
          <w:szCs w:val="24"/>
        </w:rPr>
        <w:t>two processes to ensure the cooperation of authorities:</w:t>
      </w:r>
      <w:r w:rsidR="00311E8A" w:rsidRPr="002661A8">
        <w:rPr>
          <w:rFonts w:ascii="Times New Roman" w:hAnsi="Times New Roman" w:cs="Times New Roman"/>
          <w:noProof/>
          <w:sz w:val="24"/>
          <w:szCs w:val="24"/>
        </w:rPr>
        <w:t xml:space="preserve"> consultation of</w:t>
      </w:r>
      <w:r w:rsidR="00A31A20" w:rsidRPr="002661A8">
        <w:rPr>
          <w:rFonts w:ascii="Times New Roman" w:hAnsi="Times New Roman" w:cs="Times New Roman"/>
          <w:noProof/>
          <w:sz w:val="24"/>
          <w:szCs w:val="24"/>
        </w:rPr>
        <w:t xml:space="preserve"> colleges and </w:t>
      </w:r>
      <w:r w:rsidR="00C04E61">
        <w:rPr>
          <w:rFonts w:ascii="Times New Roman" w:hAnsi="Times New Roman" w:cs="Times New Roman"/>
          <w:noProof/>
          <w:sz w:val="24"/>
          <w:szCs w:val="24"/>
        </w:rPr>
        <w:t xml:space="preserve">of </w:t>
      </w:r>
      <w:r w:rsidR="005763C8" w:rsidRPr="002661A8">
        <w:rPr>
          <w:rFonts w:ascii="Times New Roman" w:hAnsi="Times New Roman" w:cs="Times New Roman"/>
          <w:noProof/>
          <w:sz w:val="24"/>
          <w:szCs w:val="24"/>
        </w:rPr>
        <w:t>ESMA</w:t>
      </w:r>
      <w:r w:rsidR="00A31A20" w:rsidRPr="002661A8">
        <w:rPr>
          <w:rFonts w:ascii="Times New Roman" w:hAnsi="Times New Roman" w:cs="Times New Roman"/>
          <w:noProof/>
          <w:sz w:val="24"/>
          <w:szCs w:val="24"/>
        </w:rPr>
        <w:t xml:space="preserve"> </w:t>
      </w:r>
      <w:r w:rsidR="00A970AB" w:rsidRPr="002661A8">
        <w:rPr>
          <w:rFonts w:ascii="Times New Roman" w:hAnsi="Times New Roman" w:cs="Times New Roman"/>
          <w:noProof/>
          <w:sz w:val="24"/>
          <w:szCs w:val="24"/>
        </w:rPr>
        <w:t xml:space="preserve">(see </w:t>
      </w:r>
      <w:r w:rsidR="00240D9A" w:rsidRPr="002661A8">
        <w:rPr>
          <w:rFonts w:ascii="Times New Roman" w:hAnsi="Times New Roman" w:cs="Times New Roman"/>
          <w:noProof/>
          <w:sz w:val="24"/>
          <w:szCs w:val="24"/>
        </w:rPr>
        <w:t xml:space="preserve">Table </w:t>
      </w:r>
      <w:r w:rsidR="00CC4863" w:rsidRPr="002661A8">
        <w:rPr>
          <w:rFonts w:ascii="Times New Roman" w:hAnsi="Times New Roman" w:cs="Times New Roman"/>
          <w:noProof/>
          <w:sz w:val="24"/>
          <w:szCs w:val="24"/>
        </w:rPr>
        <w:t>3</w:t>
      </w:r>
      <w:r w:rsidR="005E384F" w:rsidRPr="002661A8">
        <w:rPr>
          <w:rFonts w:ascii="Times New Roman" w:hAnsi="Times New Roman" w:cs="Times New Roman"/>
          <w:noProof/>
          <w:sz w:val="24"/>
          <w:szCs w:val="24"/>
        </w:rPr>
        <w:t>,</w:t>
      </w:r>
      <w:r w:rsidR="00C05927" w:rsidRPr="002661A8">
        <w:rPr>
          <w:rFonts w:ascii="Times New Roman" w:hAnsi="Times New Roman" w:cs="Times New Roman"/>
          <w:noProof/>
          <w:sz w:val="24"/>
          <w:szCs w:val="24"/>
        </w:rPr>
        <w:t xml:space="preserve"> </w:t>
      </w:r>
      <w:hyperlink w:anchor="_Annex_5:_Tables" w:history="1">
        <w:r w:rsidR="00167359" w:rsidRPr="002661A8">
          <w:rPr>
            <w:rStyle w:val="Hyperlink"/>
            <w:rFonts w:ascii="Times New Roman" w:hAnsi="Times New Roman" w:cs="Times New Roman"/>
            <w:noProof/>
            <w:sz w:val="24"/>
            <w:szCs w:val="24"/>
          </w:rPr>
          <w:t xml:space="preserve">Annex </w:t>
        </w:r>
        <w:r w:rsidR="00CC4863" w:rsidRPr="002661A8">
          <w:rPr>
            <w:rStyle w:val="Hyperlink"/>
            <w:rFonts w:ascii="Times New Roman" w:hAnsi="Times New Roman" w:cs="Times New Roman"/>
            <w:noProof/>
            <w:sz w:val="24"/>
            <w:szCs w:val="24"/>
          </w:rPr>
          <w:t>5</w:t>
        </w:r>
      </w:hyperlink>
      <w:r w:rsidR="00A970AB" w:rsidRPr="002661A8">
        <w:rPr>
          <w:rFonts w:ascii="Times New Roman" w:hAnsi="Times New Roman" w:cs="Times New Roman"/>
          <w:noProof/>
          <w:sz w:val="24"/>
          <w:szCs w:val="24"/>
        </w:rPr>
        <w:t>)</w:t>
      </w:r>
      <w:r w:rsidR="00A31A20" w:rsidRPr="002661A8">
        <w:rPr>
          <w:rFonts w:ascii="Times New Roman" w:hAnsi="Times New Roman" w:cs="Times New Roman"/>
          <w:noProof/>
          <w:sz w:val="24"/>
          <w:szCs w:val="24"/>
        </w:rPr>
        <w:t>.</w:t>
      </w:r>
      <w:r w:rsidR="00A970AB" w:rsidRPr="002661A8">
        <w:rPr>
          <w:rFonts w:ascii="Times New Roman" w:hAnsi="Times New Roman" w:cs="Times New Roman"/>
          <w:noProof/>
          <w:sz w:val="24"/>
          <w:szCs w:val="24"/>
        </w:rPr>
        <w:t xml:space="preserve"> </w:t>
      </w:r>
      <w:r w:rsidRPr="002661A8">
        <w:rPr>
          <w:rFonts w:ascii="Times New Roman" w:hAnsi="Times New Roman" w:cs="Times New Roman"/>
          <w:noProof/>
          <w:sz w:val="24"/>
          <w:szCs w:val="24"/>
        </w:rPr>
        <w:t>C</w:t>
      </w:r>
      <w:r w:rsidR="005D360D" w:rsidRPr="002661A8">
        <w:rPr>
          <w:rFonts w:ascii="Times New Roman" w:hAnsi="Times New Roman" w:cs="Times New Roman"/>
          <w:noProof/>
          <w:sz w:val="24"/>
          <w:szCs w:val="24"/>
        </w:rPr>
        <w:t xml:space="preserve">olleges </w:t>
      </w:r>
      <w:r w:rsidR="00623901" w:rsidRPr="002661A8">
        <w:rPr>
          <w:rFonts w:ascii="Times New Roman" w:hAnsi="Times New Roman" w:cs="Times New Roman"/>
          <w:noProof/>
          <w:sz w:val="24"/>
          <w:szCs w:val="24"/>
        </w:rPr>
        <w:t>were introduced in</w:t>
      </w:r>
      <w:r w:rsidR="005D360D" w:rsidRPr="002661A8">
        <w:rPr>
          <w:rFonts w:ascii="Times New Roman" w:hAnsi="Times New Roman" w:cs="Times New Roman"/>
          <w:noProof/>
          <w:sz w:val="24"/>
          <w:szCs w:val="24"/>
        </w:rPr>
        <w:t xml:space="preserve"> 2012</w:t>
      </w:r>
      <w:r w:rsidR="005763C8" w:rsidRPr="002661A8">
        <w:rPr>
          <w:rFonts w:ascii="Times New Roman" w:hAnsi="Times New Roman" w:cs="Times New Roman"/>
          <w:noProof/>
          <w:sz w:val="24"/>
          <w:szCs w:val="24"/>
        </w:rPr>
        <w:t>,</w:t>
      </w:r>
      <w:r w:rsidR="006954BE" w:rsidRPr="002661A8" w:rsidDel="005763C8">
        <w:rPr>
          <w:rFonts w:ascii="Times New Roman" w:hAnsi="Times New Roman" w:cs="Times New Roman"/>
          <w:noProof/>
          <w:sz w:val="24"/>
          <w:szCs w:val="24"/>
        </w:rPr>
        <w:t xml:space="preserve"> </w:t>
      </w:r>
      <w:r w:rsidR="006954BE" w:rsidRPr="002661A8">
        <w:rPr>
          <w:rFonts w:ascii="Times New Roman" w:hAnsi="Times New Roman" w:cs="Times New Roman"/>
          <w:noProof/>
          <w:sz w:val="24"/>
          <w:szCs w:val="24"/>
        </w:rPr>
        <w:t>bring</w:t>
      </w:r>
      <w:r w:rsidR="005763C8" w:rsidRPr="002661A8">
        <w:rPr>
          <w:rFonts w:ascii="Times New Roman" w:hAnsi="Times New Roman" w:cs="Times New Roman"/>
          <w:noProof/>
          <w:sz w:val="24"/>
          <w:szCs w:val="24"/>
        </w:rPr>
        <w:t>ing</w:t>
      </w:r>
      <w:r w:rsidR="00800F15" w:rsidRPr="002661A8">
        <w:rPr>
          <w:rFonts w:ascii="Times New Roman" w:hAnsi="Times New Roman" w:cs="Times New Roman"/>
          <w:noProof/>
          <w:sz w:val="24"/>
          <w:szCs w:val="24"/>
        </w:rPr>
        <w:t xml:space="preserve"> </w:t>
      </w:r>
      <w:r w:rsidR="005D360D" w:rsidRPr="002661A8">
        <w:rPr>
          <w:rFonts w:ascii="Times New Roman" w:hAnsi="Times New Roman" w:cs="Times New Roman"/>
          <w:noProof/>
          <w:sz w:val="24"/>
          <w:szCs w:val="24"/>
        </w:rPr>
        <w:t xml:space="preserve">together authorities </w:t>
      </w:r>
      <w:r w:rsidR="006954BE" w:rsidRPr="002661A8">
        <w:rPr>
          <w:rFonts w:ascii="Times New Roman" w:hAnsi="Times New Roman" w:cs="Times New Roman"/>
          <w:noProof/>
          <w:sz w:val="24"/>
          <w:szCs w:val="24"/>
        </w:rPr>
        <w:t>with</w:t>
      </w:r>
      <w:r w:rsidR="005D360D" w:rsidRPr="002661A8">
        <w:rPr>
          <w:rFonts w:ascii="Times New Roman" w:hAnsi="Times New Roman" w:cs="Times New Roman"/>
          <w:noProof/>
          <w:sz w:val="24"/>
          <w:szCs w:val="24"/>
        </w:rPr>
        <w:t xml:space="preserve"> an interest in </w:t>
      </w:r>
      <w:r w:rsidR="005763C8" w:rsidRPr="002661A8">
        <w:rPr>
          <w:rFonts w:ascii="Times New Roman" w:hAnsi="Times New Roman" w:cs="Times New Roman"/>
          <w:noProof/>
          <w:sz w:val="24"/>
          <w:szCs w:val="24"/>
        </w:rPr>
        <w:t xml:space="preserve">CCP </w:t>
      </w:r>
      <w:r w:rsidR="005D360D" w:rsidRPr="002661A8">
        <w:rPr>
          <w:rFonts w:ascii="Times New Roman" w:hAnsi="Times New Roman" w:cs="Times New Roman"/>
          <w:noProof/>
          <w:sz w:val="24"/>
          <w:szCs w:val="24"/>
        </w:rPr>
        <w:t xml:space="preserve">operations </w:t>
      </w:r>
      <w:r w:rsidR="000D4745" w:rsidRPr="002661A8">
        <w:rPr>
          <w:rFonts w:ascii="Times New Roman" w:hAnsi="Times New Roman" w:cs="Times New Roman"/>
          <w:noProof/>
          <w:sz w:val="24"/>
          <w:szCs w:val="24"/>
        </w:rPr>
        <w:t>as voting members</w:t>
      </w:r>
      <w:bookmarkStart w:id="83" w:name="_Ref120267576"/>
      <w:r w:rsidR="00917692" w:rsidRPr="002661A8">
        <w:rPr>
          <w:rStyle w:val="FootnoteReference"/>
          <w:rFonts w:ascii="Times New Roman" w:hAnsi="Times New Roman" w:cs="Times New Roman"/>
          <w:noProof/>
          <w:sz w:val="24"/>
          <w:szCs w:val="24"/>
        </w:rPr>
        <w:footnoteReference w:id="22"/>
      </w:r>
      <w:bookmarkEnd w:id="83"/>
      <w:r w:rsidR="005D360D" w:rsidRPr="002661A8">
        <w:rPr>
          <w:rFonts w:ascii="Times New Roman" w:hAnsi="Times New Roman" w:cs="Times New Roman"/>
          <w:noProof/>
          <w:sz w:val="24"/>
          <w:szCs w:val="24"/>
        </w:rPr>
        <w:t xml:space="preserve"> </w:t>
      </w:r>
      <w:r w:rsidR="000D4745" w:rsidRPr="002661A8">
        <w:rPr>
          <w:rFonts w:ascii="Times New Roman" w:hAnsi="Times New Roman" w:cs="Times New Roman"/>
          <w:noProof/>
          <w:sz w:val="24"/>
          <w:szCs w:val="24"/>
        </w:rPr>
        <w:t>or as non-voting members</w:t>
      </w:r>
      <w:r w:rsidR="007261E7" w:rsidRPr="002661A8">
        <w:rPr>
          <w:rFonts w:ascii="Times New Roman" w:hAnsi="Times New Roman" w:cs="Times New Roman"/>
          <w:noProof/>
          <w:sz w:val="24"/>
          <w:szCs w:val="24"/>
        </w:rPr>
        <w:t>.</w:t>
      </w:r>
      <w:r w:rsidR="005D360D" w:rsidRPr="002661A8">
        <w:rPr>
          <w:rStyle w:val="FootnoteReference"/>
          <w:rFonts w:ascii="Times New Roman" w:hAnsi="Times New Roman" w:cs="Times New Roman"/>
          <w:noProof/>
          <w:sz w:val="24"/>
          <w:szCs w:val="24"/>
        </w:rPr>
        <w:footnoteReference w:id="23"/>
      </w:r>
      <w:r w:rsidR="005D360D" w:rsidRPr="002661A8">
        <w:rPr>
          <w:rFonts w:ascii="Times New Roman" w:hAnsi="Times New Roman" w:cs="Times New Roman"/>
          <w:noProof/>
          <w:sz w:val="24"/>
          <w:szCs w:val="24"/>
        </w:rPr>
        <w:t xml:space="preserve"> </w:t>
      </w:r>
      <w:r w:rsidR="004921C3" w:rsidRPr="002661A8">
        <w:rPr>
          <w:rFonts w:ascii="Times New Roman" w:hAnsi="Times New Roman" w:cs="Times New Roman"/>
          <w:noProof/>
          <w:sz w:val="24"/>
          <w:szCs w:val="24"/>
        </w:rPr>
        <w:t>ESMA has binding mediation powers</w:t>
      </w:r>
      <w:r w:rsidR="005763C8" w:rsidRPr="002661A8">
        <w:rPr>
          <w:rFonts w:ascii="Times New Roman" w:hAnsi="Times New Roman" w:cs="Times New Roman"/>
          <w:noProof/>
          <w:sz w:val="24"/>
          <w:szCs w:val="24"/>
        </w:rPr>
        <w:t xml:space="preserve"> in certain areas when a negative opinion is adopted</w:t>
      </w:r>
      <w:r w:rsidR="000D4745" w:rsidRPr="002661A8">
        <w:rPr>
          <w:rFonts w:ascii="Times New Roman" w:hAnsi="Times New Roman" w:cs="Times New Roman"/>
          <w:noProof/>
          <w:sz w:val="24"/>
          <w:szCs w:val="24"/>
        </w:rPr>
        <w:t>.</w:t>
      </w:r>
      <w:r w:rsidR="00613AB1" w:rsidRPr="002661A8">
        <w:rPr>
          <w:rFonts w:ascii="Times New Roman" w:hAnsi="Times New Roman" w:cs="Times New Roman"/>
          <w:noProof/>
          <w:sz w:val="24"/>
          <w:szCs w:val="24"/>
        </w:rPr>
        <w:t xml:space="preserve"> </w:t>
      </w:r>
      <w:r w:rsidR="004921C3" w:rsidRPr="002661A8">
        <w:rPr>
          <w:rFonts w:ascii="Times New Roman" w:hAnsi="Times New Roman" w:cs="Times New Roman"/>
          <w:noProof/>
          <w:sz w:val="24"/>
          <w:szCs w:val="24"/>
        </w:rPr>
        <w:t>Under</w:t>
      </w:r>
      <w:r w:rsidR="00613AB1" w:rsidRPr="002661A8">
        <w:rPr>
          <w:rFonts w:ascii="Times New Roman" w:hAnsi="Times New Roman" w:cs="Times New Roman"/>
          <w:noProof/>
          <w:sz w:val="24"/>
          <w:szCs w:val="24"/>
        </w:rPr>
        <w:t xml:space="preserve"> EMIR 2.2, </w:t>
      </w:r>
      <w:r w:rsidR="00C04E61">
        <w:rPr>
          <w:rFonts w:ascii="Times New Roman" w:hAnsi="Times New Roman" w:cs="Times New Roman"/>
          <w:noProof/>
          <w:sz w:val="24"/>
          <w:szCs w:val="24"/>
        </w:rPr>
        <w:t xml:space="preserve">the </w:t>
      </w:r>
      <w:r w:rsidR="00613AB1" w:rsidRPr="002661A8">
        <w:rPr>
          <w:rFonts w:ascii="Times New Roman" w:hAnsi="Times New Roman" w:cs="Times New Roman"/>
          <w:noProof/>
          <w:sz w:val="24"/>
          <w:szCs w:val="24"/>
        </w:rPr>
        <w:t>college</w:t>
      </w:r>
      <w:r w:rsidR="00613AB1" w:rsidRPr="002661A8" w:rsidDel="00C04E61">
        <w:rPr>
          <w:rFonts w:ascii="Times New Roman" w:hAnsi="Times New Roman" w:cs="Times New Roman"/>
          <w:noProof/>
          <w:sz w:val="24"/>
          <w:szCs w:val="24"/>
        </w:rPr>
        <w:t xml:space="preserve"> </w:t>
      </w:r>
      <w:r w:rsidR="00613AB1" w:rsidRPr="002661A8">
        <w:rPr>
          <w:rFonts w:ascii="Times New Roman" w:hAnsi="Times New Roman" w:cs="Times New Roman"/>
          <w:noProof/>
          <w:sz w:val="24"/>
          <w:szCs w:val="24"/>
        </w:rPr>
        <w:t xml:space="preserve">can </w:t>
      </w:r>
      <w:r w:rsidR="00942CFA" w:rsidRPr="002661A8">
        <w:rPr>
          <w:rFonts w:ascii="Times New Roman" w:hAnsi="Times New Roman" w:cs="Times New Roman"/>
          <w:noProof/>
          <w:sz w:val="24"/>
          <w:szCs w:val="24"/>
        </w:rPr>
        <w:t xml:space="preserve">also </w:t>
      </w:r>
      <w:r w:rsidR="004921C3" w:rsidRPr="002661A8">
        <w:rPr>
          <w:rFonts w:ascii="Times New Roman" w:hAnsi="Times New Roman" w:cs="Times New Roman"/>
          <w:noProof/>
          <w:sz w:val="24"/>
          <w:szCs w:val="24"/>
        </w:rPr>
        <w:t xml:space="preserve">include </w:t>
      </w:r>
      <w:r w:rsidR="00613AB1" w:rsidRPr="002661A8">
        <w:rPr>
          <w:rFonts w:ascii="Times New Roman" w:hAnsi="Times New Roman" w:cs="Times New Roman"/>
          <w:noProof/>
          <w:sz w:val="24"/>
          <w:szCs w:val="24"/>
        </w:rPr>
        <w:t xml:space="preserve">recommendations </w:t>
      </w:r>
      <w:r w:rsidR="004921C3" w:rsidRPr="002661A8">
        <w:rPr>
          <w:rFonts w:ascii="Times New Roman" w:hAnsi="Times New Roman" w:cs="Times New Roman"/>
          <w:noProof/>
          <w:sz w:val="24"/>
          <w:szCs w:val="24"/>
        </w:rPr>
        <w:t xml:space="preserve">in </w:t>
      </w:r>
      <w:r w:rsidR="00C04E61">
        <w:rPr>
          <w:rFonts w:ascii="Times New Roman" w:hAnsi="Times New Roman" w:cs="Times New Roman"/>
          <w:noProof/>
          <w:sz w:val="24"/>
          <w:szCs w:val="24"/>
        </w:rPr>
        <w:t>its</w:t>
      </w:r>
      <w:r w:rsidR="00613AB1" w:rsidRPr="002661A8">
        <w:rPr>
          <w:rFonts w:ascii="Times New Roman" w:hAnsi="Times New Roman" w:cs="Times New Roman"/>
          <w:noProof/>
          <w:sz w:val="24"/>
          <w:szCs w:val="24"/>
        </w:rPr>
        <w:t xml:space="preserve"> opinion. </w:t>
      </w:r>
      <w:r w:rsidR="005763C8" w:rsidRPr="002661A8">
        <w:rPr>
          <w:rFonts w:ascii="Times New Roman" w:hAnsi="Times New Roman" w:cs="Times New Roman"/>
          <w:noProof/>
          <w:sz w:val="24"/>
          <w:szCs w:val="24"/>
        </w:rPr>
        <w:t>A</w:t>
      </w:r>
      <w:r w:rsidR="00613AB1" w:rsidRPr="002661A8">
        <w:rPr>
          <w:rFonts w:ascii="Times New Roman" w:hAnsi="Times New Roman" w:cs="Times New Roman"/>
          <w:noProof/>
          <w:sz w:val="24"/>
          <w:szCs w:val="24"/>
        </w:rPr>
        <w:t>ny central bank may “</w:t>
      </w:r>
      <w:r w:rsidR="00613AB1" w:rsidRPr="002661A8">
        <w:rPr>
          <w:rFonts w:ascii="Times New Roman" w:hAnsi="Times New Roman" w:cs="Times New Roman"/>
          <w:i/>
          <w:noProof/>
          <w:sz w:val="24"/>
          <w:szCs w:val="24"/>
        </w:rPr>
        <w:t>adopt recommendations relating to the currency it issues</w:t>
      </w:r>
      <w:r w:rsidR="00613AB1" w:rsidRPr="002661A8">
        <w:rPr>
          <w:rFonts w:ascii="Times New Roman" w:hAnsi="Times New Roman" w:cs="Times New Roman"/>
          <w:noProof/>
          <w:sz w:val="24"/>
          <w:szCs w:val="24"/>
        </w:rPr>
        <w:t>”</w:t>
      </w:r>
      <w:r w:rsidR="00AC6936" w:rsidRPr="002661A8">
        <w:rPr>
          <w:rFonts w:ascii="Times New Roman" w:hAnsi="Times New Roman" w:cs="Times New Roman"/>
          <w:noProof/>
          <w:sz w:val="24"/>
          <w:szCs w:val="24"/>
        </w:rPr>
        <w:t>.</w:t>
      </w:r>
      <w:r w:rsidR="006954BE" w:rsidRPr="002661A8">
        <w:rPr>
          <w:rFonts w:ascii="Times New Roman" w:hAnsi="Times New Roman" w:cs="Times New Roman"/>
          <w:noProof/>
          <w:sz w:val="24"/>
          <w:szCs w:val="24"/>
        </w:rPr>
        <w:t xml:space="preserve"> </w:t>
      </w:r>
      <w:r w:rsidR="00613AB1" w:rsidRPr="002661A8">
        <w:rPr>
          <w:rFonts w:ascii="Times New Roman" w:hAnsi="Times New Roman" w:cs="Times New Roman"/>
          <w:noProof/>
          <w:sz w:val="24"/>
          <w:szCs w:val="24"/>
        </w:rPr>
        <w:t xml:space="preserve">EMIR 2.2 </w:t>
      </w:r>
      <w:r w:rsidR="0061034B" w:rsidRPr="002661A8">
        <w:rPr>
          <w:rFonts w:ascii="Times New Roman" w:hAnsi="Times New Roman" w:cs="Times New Roman"/>
          <w:noProof/>
          <w:sz w:val="24"/>
          <w:szCs w:val="24"/>
        </w:rPr>
        <w:t xml:space="preserve">also </w:t>
      </w:r>
      <w:r w:rsidR="00613AB1" w:rsidRPr="002661A8">
        <w:rPr>
          <w:rFonts w:ascii="Times New Roman" w:hAnsi="Times New Roman" w:cs="Times New Roman"/>
          <w:noProof/>
          <w:sz w:val="24"/>
          <w:szCs w:val="24"/>
        </w:rPr>
        <w:t>increased ESMA’s role</w:t>
      </w:r>
      <w:r w:rsidR="005763C8" w:rsidRPr="002661A8">
        <w:rPr>
          <w:rFonts w:ascii="Times New Roman" w:hAnsi="Times New Roman" w:cs="Times New Roman"/>
          <w:noProof/>
          <w:sz w:val="24"/>
          <w:szCs w:val="24"/>
        </w:rPr>
        <w:t xml:space="preserve"> </w:t>
      </w:r>
      <w:r w:rsidR="00311E8A" w:rsidRPr="002661A8">
        <w:rPr>
          <w:rFonts w:ascii="Times New Roman" w:hAnsi="Times New Roman" w:cs="Times New Roman"/>
          <w:noProof/>
          <w:sz w:val="24"/>
          <w:szCs w:val="24"/>
        </w:rPr>
        <w:t>by</w:t>
      </w:r>
      <w:r w:rsidR="00613AB1" w:rsidRPr="002661A8">
        <w:rPr>
          <w:rFonts w:ascii="Times New Roman" w:hAnsi="Times New Roman" w:cs="Times New Roman"/>
          <w:noProof/>
          <w:sz w:val="24"/>
          <w:szCs w:val="24"/>
        </w:rPr>
        <w:t xml:space="preserve"> </w:t>
      </w:r>
      <w:r w:rsidR="00311E8A" w:rsidRPr="002661A8">
        <w:rPr>
          <w:rFonts w:ascii="Times New Roman" w:hAnsi="Times New Roman" w:cs="Times New Roman"/>
          <w:noProof/>
          <w:sz w:val="24"/>
          <w:szCs w:val="24"/>
        </w:rPr>
        <w:t>em</w:t>
      </w:r>
      <w:r w:rsidR="00613AB1" w:rsidRPr="002661A8">
        <w:rPr>
          <w:rFonts w:ascii="Times New Roman" w:hAnsi="Times New Roman" w:cs="Times New Roman"/>
          <w:noProof/>
          <w:sz w:val="24"/>
          <w:szCs w:val="24"/>
        </w:rPr>
        <w:t>power</w:t>
      </w:r>
      <w:r w:rsidR="00311E8A" w:rsidRPr="002661A8">
        <w:rPr>
          <w:rFonts w:ascii="Times New Roman" w:hAnsi="Times New Roman" w:cs="Times New Roman"/>
          <w:noProof/>
          <w:sz w:val="24"/>
          <w:szCs w:val="24"/>
        </w:rPr>
        <w:t>ing</w:t>
      </w:r>
      <w:r w:rsidR="00613AB1" w:rsidRPr="002661A8">
        <w:rPr>
          <w:rFonts w:ascii="Times New Roman" w:hAnsi="Times New Roman" w:cs="Times New Roman"/>
          <w:noProof/>
          <w:sz w:val="24"/>
          <w:szCs w:val="24"/>
        </w:rPr>
        <w:t xml:space="preserve"> </w:t>
      </w:r>
      <w:r w:rsidR="0061034B" w:rsidRPr="002661A8">
        <w:rPr>
          <w:rFonts w:ascii="Times New Roman" w:hAnsi="Times New Roman" w:cs="Times New Roman"/>
          <w:noProof/>
          <w:sz w:val="24"/>
          <w:szCs w:val="24"/>
        </w:rPr>
        <w:t xml:space="preserve">it </w:t>
      </w:r>
      <w:r w:rsidR="00613AB1" w:rsidRPr="002661A8">
        <w:rPr>
          <w:rFonts w:ascii="Times New Roman" w:hAnsi="Times New Roman" w:cs="Times New Roman"/>
          <w:noProof/>
          <w:sz w:val="24"/>
          <w:szCs w:val="24"/>
        </w:rPr>
        <w:t>to issue opinion</w:t>
      </w:r>
      <w:r w:rsidRPr="002661A8">
        <w:rPr>
          <w:rFonts w:ascii="Times New Roman" w:hAnsi="Times New Roman" w:cs="Times New Roman"/>
          <w:noProof/>
          <w:sz w:val="24"/>
          <w:szCs w:val="24"/>
        </w:rPr>
        <w:t>s</w:t>
      </w:r>
      <w:r w:rsidR="00613AB1" w:rsidRPr="002661A8">
        <w:rPr>
          <w:rFonts w:ascii="Times New Roman" w:hAnsi="Times New Roman" w:cs="Times New Roman"/>
          <w:noProof/>
          <w:sz w:val="24"/>
          <w:szCs w:val="24"/>
        </w:rPr>
        <w:t xml:space="preserve"> before certain </w:t>
      </w:r>
      <w:r w:rsidR="007261E7" w:rsidRPr="002661A8">
        <w:rPr>
          <w:rFonts w:ascii="Times New Roman" w:hAnsi="Times New Roman" w:cs="Times New Roman"/>
          <w:noProof/>
          <w:sz w:val="24"/>
          <w:szCs w:val="24"/>
        </w:rPr>
        <w:t>NCA</w:t>
      </w:r>
      <w:r w:rsidR="00613AB1" w:rsidRPr="002661A8">
        <w:rPr>
          <w:rFonts w:ascii="Times New Roman" w:hAnsi="Times New Roman" w:cs="Times New Roman"/>
          <w:noProof/>
          <w:sz w:val="24"/>
          <w:szCs w:val="24"/>
        </w:rPr>
        <w:t xml:space="preserve"> decisions</w:t>
      </w:r>
      <w:r w:rsidR="00942CFA" w:rsidRPr="002661A8">
        <w:rPr>
          <w:rFonts w:ascii="Times New Roman" w:hAnsi="Times New Roman" w:cs="Times New Roman"/>
          <w:noProof/>
          <w:sz w:val="24"/>
          <w:szCs w:val="24"/>
        </w:rPr>
        <w:t xml:space="preserve"> are adopted</w:t>
      </w:r>
      <w:r w:rsidR="00613AB1" w:rsidRPr="002661A8">
        <w:rPr>
          <w:rFonts w:ascii="Times New Roman" w:hAnsi="Times New Roman" w:cs="Times New Roman"/>
          <w:noProof/>
          <w:sz w:val="24"/>
          <w:szCs w:val="24"/>
        </w:rPr>
        <w:t xml:space="preserve">. </w:t>
      </w:r>
      <w:r w:rsidR="00311E8A" w:rsidRPr="002661A8">
        <w:rPr>
          <w:rFonts w:ascii="Times New Roman" w:hAnsi="Times New Roman" w:cs="Times New Roman"/>
          <w:noProof/>
          <w:sz w:val="24"/>
          <w:szCs w:val="24"/>
        </w:rPr>
        <w:t xml:space="preserve">The newly established CCP Supervisory Committee (CCP SC) </w:t>
      </w:r>
      <w:r w:rsidR="00613AB1" w:rsidRPr="002661A8">
        <w:rPr>
          <w:rFonts w:ascii="Times New Roman" w:hAnsi="Times New Roman" w:cs="Times New Roman"/>
          <w:noProof/>
          <w:sz w:val="24"/>
          <w:szCs w:val="24"/>
        </w:rPr>
        <w:t>prepares decisions</w:t>
      </w:r>
      <w:r w:rsidR="00C04E61">
        <w:rPr>
          <w:rFonts w:ascii="Times New Roman" w:hAnsi="Times New Roman" w:cs="Times New Roman"/>
          <w:noProof/>
          <w:sz w:val="24"/>
          <w:szCs w:val="24"/>
        </w:rPr>
        <w:t xml:space="preserve"> for adoption by the Board of Supervisors</w:t>
      </w:r>
      <w:r w:rsidR="00613AB1" w:rsidRPr="002661A8">
        <w:rPr>
          <w:rFonts w:ascii="Times New Roman" w:hAnsi="Times New Roman" w:cs="Times New Roman"/>
          <w:noProof/>
          <w:sz w:val="24"/>
          <w:szCs w:val="24"/>
        </w:rPr>
        <w:t xml:space="preserve"> and carries out </w:t>
      </w:r>
      <w:r w:rsidR="003C0DA1">
        <w:rPr>
          <w:rFonts w:ascii="Times New Roman" w:hAnsi="Times New Roman" w:cs="Times New Roman"/>
          <w:noProof/>
          <w:sz w:val="24"/>
          <w:szCs w:val="24"/>
        </w:rPr>
        <w:t xml:space="preserve">some of </w:t>
      </w:r>
      <w:r w:rsidR="00613AB1" w:rsidRPr="002661A8">
        <w:rPr>
          <w:rFonts w:ascii="Times New Roman" w:hAnsi="Times New Roman" w:cs="Times New Roman"/>
          <w:noProof/>
          <w:sz w:val="24"/>
          <w:szCs w:val="24"/>
        </w:rPr>
        <w:t>ESMA</w:t>
      </w:r>
      <w:r w:rsidR="00942CFA" w:rsidRPr="002661A8">
        <w:rPr>
          <w:rFonts w:ascii="Times New Roman" w:hAnsi="Times New Roman" w:cs="Times New Roman"/>
          <w:noProof/>
          <w:sz w:val="24"/>
          <w:szCs w:val="24"/>
        </w:rPr>
        <w:t>’s tasks for</w:t>
      </w:r>
      <w:r w:rsidR="00613AB1" w:rsidRPr="002661A8">
        <w:rPr>
          <w:rFonts w:ascii="Times New Roman" w:hAnsi="Times New Roman" w:cs="Times New Roman"/>
          <w:noProof/>
          <w:sz w:val="24"/>
          <w:szCs w:val="24"/>
        </w:rPr>
        <w:t xml:space="preserve"> EU CCPs. </w:t>
      </w:r>
    </w:p>
    <w:p w14:paraId="0C52ABCA" w14:textId="04674B3C" w:rsidR="00576633" w:rsidRPr="002661A8" w:rsidRDefault="006E7538" w:rsidP="000F5043">
      <w:pPr>
        <w:spacing w:after="120" w:line="240" w:lineRule="auto"/>
        <w:jc w:val="both"/>
        <w:rPr>
          <w:rStyle w:val="CommentReference"/>
          <w:rFonts w:ascii="Times New Roman" w:hAnsi="Times New Roman"/>
          <w:noProof/>
          <w:sz w:val="24"/>
          <w:szCs w:val="24"/>
        </w:rPr>
      </w:pPr>
      <w:r w:rsidRPr="002661A8">
        <w:rPr>
          <w:rStyle w:val="CommentReference"/>
          <w:rFonts w:ascii="Times New Roman" w:hAnsi="Times New Roman"/>
          <w:noProof/>
          <w:sz w:val="24"/>
          <w:szCs w:val="24"/>
        </w:rPr>
        <w:t xml:space="preserve">Second, </w:t>
      </w:r>
      <w:r w:rsidR="00613AB1" w:rsidRPr="002661A8">
        <w:rPr>
          <w:rStyle w:val="CommentReference"/>
          <w:rFonts w:ascii="Times New Roman" w:hAnsi="Times New Roman"/>
          <w:noProof/>
          <w:sz w:val="24"/>
          <w:szCs w:val="24"/>
        </w:rPr>
        <w:t xml:space="preserve">EMIR 2.2 </w:t>
      </w:r>
      <w:r w:rsidR="00F145C3" w:rsidRPr="002661A8">
        <w:rPr>
          <w:rStyle w:val="CommentReference"/>
          <w:rFonts w:ascii="Times New Roman" w:hAnsi="Times New Roman"/>
          <w:noProof/>
          <w:sz w:val="24"/>
          <w:szCs w:val="24"/>
        </w:rPr>
        <w:t>enhanc</w:t>
      </w:r>
      <w:r w:rsidR="006954BE" w:rsidRPr="002661A8">
        <w:rPr>
          <w:rStyle w:val="CommentReference"/>
          <w:rFonts w:ascii="Times New Roman" w:hAnsi="Times New Roman"/>
          <w:noProof/>
          <w:sz w:val="24"/>
          <w:szCs w:val="24"/>
        </w:rPr>
        <w:t>ed</w:t>
      </w:r>
      <w:r w:rsidR="00F145C3" w:rsidRPr="002661A8">
        <w:rPr>
          <w:rStyle w:val="CommentReference"/>
          <w:rFonts w:ascii="Times New Roman" w:hAnsi="Times New Roman"/>
          <w:noProof/>
          <w:sz w:val="24"/>
          <w:szCs w:val="24"/>
        </w:rPr>
        <w:t xml:space="preserve"> the role of ESMA and central banks in relation to </w:t>
      </w:r>
      <w:r w:rsidR="009B599B">
        <w:rPr>
          <w:rStyle w:val="CommentReference"/>
          <w:rFonts w:ascii="Times New Roman" w:hAnsi="Times New Roman"/>
          <w:noProof/>
          <w:sz w:val="24"/>
          <w:szCs w:val="24"/>
        </w:rPr>
        <w:t xml:space="preserve">recognised </w:t>
      </w:r>
      <w:r w:rsidR="00F145C3" w:rsidRPr="002661A8">
        <w:rPr>
          <w:rStyle w:val="CommentReference"/>
          <w:rFonts w:ascii="Times New Roman" w:hAnsi="Times New Roman"/>
          <w:noProof/>
          <w:sz w:val="24"/>
          <w:szCs w:val="24"/>
        </w:rPr>
        <w:t xml:space="preserve">third-country CCPs, in particular those classified as </w:t>
      </w:r>
      <w:r w:rsidR="004160AD" w:rsidRPr="002661A8">
        <w:rPr>
          <w:rStyle w:val="CommentReference"/>
          <w:rFonts w:ascii="Times New Roman" w:hAnsi="Times New Roman"/>
          <w:noProof/>
          <w:sz w:val="24"/>
          <w:szCs w:val="24"/>
        </w:rPr>
        <w:t xml:space="preserve">systemic </w:t>
      </w:r>
      <w:r w:rsidR="00613AB1" w:rsidRPr="002661A8">
        <w:rPr>
          <w:rStyle w:val="CommentReference"/>
          <w:rFonts w:ascii="Times New Roman" w:hAnsi="Times New Roman"/>
          <w:noProof/>
          <w:sz w:val="24"/>
          <w:szCs w:val="24"/>
        </w:rPr>
        <w:t>(Tier 2 CCPs)</w:t>
      </w:r>
      <w:r w:rsidR="00F145C3" w:rsidRPr="002661A8">
        <w:rPr>
          <w:rStyle w:val="CommentReference"/>
          <w:rFonts w:ascii="Times New Roman" w:hAnsi="Times New Roman"/>
          <w:noProof/>
          <w:sz w:val="24"/>
          <w:szCs w:val="24"/>
        </w:rPr>
        <w:t>.</w:t>
      </w:r>
      <w:r w:rsidR="00613AB1" w:rsidRPr="002661A8">
        <w:rPr>
          <w:rStyle w:val="CommentReference"/>
          <w:rFonts w:ascii="Times New Roman" w:hAnsi="Times New Roman"/>
          <w:noProof/>
          <w:sz w:val="24"/>
          <w:szCs w:val="24"/>
        </w:rPr>
        <w:t xml:space="preserve"> </w:t>
      </w:r>
      <w:r w:rsidR="00BA4AC3">
        <w:rPr>
          <w:rStyle w:val="CommentReference"/>
          <w:rFonts w:ascii="Times New Roman" w:hAnsi="Times New Roman"/>
          <w:noProof/>
          <w:sz w:val="24"/>
          <w:szCs w:val="24"/>
        </w:rPr>
        <w:t>In contrast to Tier 1 CCPs (</w:t>
      </w:r>
      <w:r w:rsidR="00144CE1">
        <w:rPr>
          <w:rStyle w:val="CommentReference"/>
          <w:rFonts w:ascii="Times New Roman" w:hAnsi="Times New Roman"/>
          <w:noProof/>
          <w:sz w:val="24"/>
          <w:szCs w:val="24"/>
        </w:rPr>
        <w:t xml:space="preserve">i.e. </w:t>
      </w:r>
      <w:r w:rsidR="00BA4AC3">
        <w:rPr>
          <w:rStyle w:val="CommentReference"/>
          <w:rFonts w:ascii="Times New Roman" w:hAnsi="Times New Roman"/>
          <w:noProof/>
          <w:sz w:val="24"/>
          <w:szCs w:val="24"/>
        </w:rPr>
        <w:t>CCPs that are not systemically important</w:t>
      </w:r>
      <w:r w:rsidR="00901C09">
        <w:rPr>
          <w:rStyle w:val="CommentReference"/>
          <w:rFonts w:ascii="Times New Roman" w:hAnsi="Times New Roman"/>
          <w:noProof/>
          <w:sz w:val="24"/>
          <w:szCs w:val="24"/>
        </w:rPr>
        <w:t xml:space="preserve"> or</w:t>
      </w:r>
      <w:r w:rsidR="00C04E61">
        <w:rPr>
          <w:rStyle w:val="CommentReference"/>
          <w:rFonts w:ascii="Times New Roman" w:hAnsi="Times New Roman"/>
          <w:noProof/>
          <w:sz w:val="24"/>
          <w:szCs w:val="24"/>
        </w:rPr>
        <w:t xml:space="preserve"> are not</w:t>
      </w:r>
      <w:r w:rsidR="00901C09">
        <w:rPr>
          <w:rStyle w:val="CommentReference"/>
          <w:rFonts w:ascii="Times New Roman" w:hAnsi="Times New Roman"/>
          <w:noProof/>
          <w:sz w:val="24"/>
          <w:szCs w:val="24"/>
        </w:rPr>
        <w:t xml:space="preserve"> likely to become</w:t>
      </w:r>
      <w:r w:rsidR="00BA4AC3">
        <w:rPr>
          <w:rStyle w:val="CommentReference"/>
          <w:rFonts w:ascii="Times New Roman" w:hAnsi="Times New Roman"/>
          <w:noProof/>
          <w:sz w:val="24"/>
          <w:szCs w:val="24"/>
        </w:rPr>
        <w:t xml:space="preserve"> systemically important), </w:t>
      </w:r>
      <w:r w:rsidR="00613AB1" w:rsidRPr="002661A8">
        <w:rPr>
          <w:rStyle w:val="CommentReference"/>
          <w:rFonts w:ascii="Times New Roman" w:hAnsi="Times New Roman"/>
          <w:b/>
          <w:bCs/>
          <w:noProof/>
          <w:sz w:val="24"/>
          <w:szCs w:val="24"/>
        </w:rPr>
        <w:t>Tier 2 CCPs have to comply with additional requirements</w:t>
      </w:r>
      <w:r w:rsidR="004A6AC4" w:rsidRPr="002661A8">
        <w:rPr>
          <w:rStyle w:val="CommentReference"/>
          <w:rFonts w:ascii="Times New Roman" w:hAnsi="Times New Roman"/>
          <w:b/>
          <w:bCs/>
          <w:noProof/>
          <w:sz w:val="24"/>
          <w:szCs w:val="24"/>
        </w:rPr>
        <w:t xml:space="preserve"> </w:t>
      </w:r>
      <w:r w:rsidR="004A6AC4" w:rsidRPr="002A0245">
        <w:rPr>
          <w:rStyle w:val="CommentReference"/>
          <w:rFonts w:ascii="Times New Roman" w:hAnsi="Times New Roman"/>
          <w:noProof/>
          <w:sz w:val="24"/>
          <w:szCs w:val="24"/>
        </w:rPr>
        <w:t>(including organisational, conduct of business and prudential EMIR requirements)</w:t>
      </w:r>
      <w:r w:rsidR="00613AB1" w:rsidRPr="002661A8">
        <w:rPr>
          <w:rStyle w:val="CommentReference"/>
          <w:rFonts w:ascii="Times New Roman" w:hAnsi="Times New Roman"/>
          <w:b/>
          <w:bCs/>
          <w:noProof/>
          <w:sz w:val="24"/>
          <w:szCs w:val="24"/>
        </w:rPr>
        <w:t xml:space="preserve"> and are subject to direct supervision </w:t>
      </w:r>
      <w:r w:rsidR="00792074" w:rsidRPr="002661A8">
        <w:rPr>
          <w:rStyle w:val="CommentReference"/>
          <w:rFonts w:ascii="Times New Roman" w:hAnsi="Times New Roman"/>
          <w:b/>
          <w:bCs/>
          <w:noProof/>
          <w:sz w:val="24"/>
          <w:szCs w:val="24"/>
        </w:rPr>
        <w:t xml:space="preserve">by </w:t>
      </w:r>
      <w:r w:rsidR="00613AB1" w:rsidRPr="002661A8">
        <w:rPr>
          <w:rStyle w:val="CommentReference"/>
          <w:rFonts w:ascii="Times New Roman" w:hAnsi="Times New Roman"/>
          <w:b/>
          <w:bCs/>
          <w:noProof/>
          <w:sz w:val="24"/>
          <w:szCs w:val="24"/>
        </w:rPr>
        <w:t>ESMA</w:t>
      </w:r>
      <w:r w:rsidR="00F145C3" w:rsidRPr="002661A8">
        <w:rPr>
          <w:rStyle w:val="CommentReference"/>
          <w:rFonts w:ascii="Times New Roman" w:hAnsi="Times New Roman"/>
          <w:noProof/>
          <w:sz w:val="24"/>
          <w:szCs w:val="24"/>
        </w:rPr>
        <w:t xml:space="preserve"> in consultation, in </w:t>
      </w:r>
      <w:r w:rsidR="00792074" w:rsidRPr="002661A8">
        <w:rPr>
          <w:rStyle w:val="CommentReference"/>
          <w:rFonts w:ascii="Times New Roman" w:hAnsi="Times New Roman"/>
          <w:noProof/>
          <w:sz w:val="24"/>
          <w:szCs w:val="24"/>
        </w:rPr>
        <w:t xml:space="preserve">some </w:t>
      </w:r>
      <w:r w:rsidR="00F145C3" w:rsidRPr="002661A8">
        <w:rPr>
          <w:rStyle w:val="CommentReference"/>
          <w:rFonts w:ascii="Times New Roman" w:hAnsi="Times New Roman"/>
          <w:noProof/>
          <w:sz w:val="24"/>
          <w:szCs w:val="24"/>
        </w:rPr>
        <w:t>areas, with central banks of issue</w:t>
      </w:r>
      <w:r w:rsidR="00613AB1" w:rsidRPr="002661A8">
        <w:rPr>
          <w:rStyle w:val="CommentReference"/>
          <w:rFonts w:ascii="Times New Roman" w:hAnsi="Times New Roman"/>
          <w:noProof/>
          <w:sz w:val="24"/>
          <w:szCs w:val="24"/>
        </w:rPr>
        <w:t>.</w:t>
      </w:r>
      <w:r w:rsidR="009A299D" w:rsidRPr="002661A8">
        <w:rPr>
          <w:rStyle w:val="CommentReference"/>
          <w:rFonts w:ascii="Times New Roman" w:hAnsi="Times New Roman"/>
          <w:noProof/>
          <w:sz w:val="24"/>
          <w:szCs w:val="24"/>
        </w:rPr>
        <w:t xml:space="preserve"> </w:t>
      </w:r>
      <w:r w:rsidR="004A6AC4" w:rsidRPr="002661A8">
        <w:rPr>
          <w:rStyle w:val="CommentReference"/>
          <w:rFonts w:ascii="Times New Roman" w:hAnsi="Times New Roman"/>
          <w:noProof/>
          <w:sz w:val="24"/>
          <w:szCs w:val="24"/>
        </w:rPr>
        <w:t>Where a Tier 2 CCP infringes the</w:t>
      </w:r>
      <w:r w:rsidR="00336CAF">
        <w:rPr>
          <w:rStyle w:val="CommentReference"/>
          <w:rFonts w:ascii="Times New Roman" w:hAnsi="Times New Roman"/>
          <w:noProof/>
          <w:sz w:val="24"/>
          <w:szCs w:val="24"/>
        </w:rPr>
        <w:t xml:space="preserve"> requirements</w:t>
      </w:r>
      <w:r w:rsidR="004A6AC4" w:rsidRPr="002661A8" w:rsidDel="003C0DA1">
        <w:rPr>
          <w:rStyle w:val="CommentReference"/>
          <w:rFonts w:ascii="Times New Roman" w:hAnsi="Times New Roman"/>
          <w:noProof/>
          <w:sz w:val="24"/>
          <w:szCs w:val="24"/>
        </w:rPr>
        <w:t xml:space="preserve"> </w:t>
      </w:r>
      <w:r w:rsidR="004A6AC4" w:rsidRPr="002661A8">
        <w:rPr>
          <w:rStyle w:val="CommentReference"/>
          <w:rFonts w:ascii="Times New Roman" w:hAnsi="Times New Roman"/>
          <w:noProof/>
          <w:sz w:val="24"/>
          <w:szCs w:val="24"/>
        </w:rPr>
        <w:t xml:space="preserve">ESMA </w:t>
      </w:r>
      <w:r w:rsidR="003313DA" w:rsidRPr="002661A8">
        <w:rPr>
          <w:rStyle w:val="CommentReference"/>
          <w:rFonts w:ascii="Times New Roman" w:hAnsi="Times New Roman"/>
          <w:noProof/>
          <w:sz w:val="24"/>
          <w:szCs w:val="24"/>
        </w:rPr>
        <w:t>can</w:t>
      </w:r>
      <w:r w:rsidR="004A6AC4" w:rsidRPr="002661A8">
        <w:rPr>
          <w:rStyle w:val="CommentReference"/>
          <w:rFonts w:ascii="Times New Roman" w:hAnsi="Times New Roman"/>
          <w:noProof/>
          <w:sz w:val="24"/>
          <w:szCs w:val="24"/>
        </w:rPr>
        <w:t xml:space="preserve"> impose supervisory measures, including fines</w:t>
      </w:r>
      <w:r w:rsidR="008B1710">
        <w:rPr>
          <w:rStyle w:val="CommentReference"/>
          <w:rFonts w:ascii="Times New Roman" w:hAnsi="Times New Roman"/>
          <w:noProof/>
          <w:sz w:val="24"/>
          <w:szCs w:val="24"/>
        </w:rPr>
        <w:t>, periodic penalty payments</w:t>
      </w:r>
      <w:r w:rsidR="004A6AC4" w:rsidRPr="002661A8" w:rsidDel="008B1710">
        <w:rPr>
          <w:rStyle w:val="CommentReference"/>
          <w:rFonts w:ascii="Times New Roman" w:hAnsi="Times New Roman"/>
          <w:noProof/>
          <w:sz w:val="24"/>
          <w:szCs w:val="24"/>
        </w:rPr>
        <w:t xml:space="preserve"> </w:t>
      </w:r>
      <w:r w:rsidR="004A6AC4" w:rsidRPr="002661A8">
        <w:rPr>
          <w:rStyle w:val="CommentReference"/>
          <w:rFonts w:ascii="Times New Roman" w:hAnsi="Times New Roman"/>
          <w:noProof/>
          <w:sz w:val="24"/>
          <w:szCs w:val="24"/>
        </w:rPr>
        <w:t xml:space="preserve">and the withdrawal of that CCP’s recognition. </w:t>
      </w:r>
      <w:r w:rsidR="00BE2DD0" w:rsidRPr="002661A8">
        <w:rPr>
          <w:rStyle w:val="CommentReference"/>
          <w:rFonts w:ascii="Times New Roman" w:hAnsi="Times New Roman"/>
          <w:noProof/>
          <w:sz w:val="24"/>
          <w:szCs w:val="24"/>
        </w:rPr>
        <w:t xml:space="preserve">Currently, ESMA has determined that </w:t>
      </w:r>
      <w:r w:rsidR="003A36F7" w:rsidRPr="002661A8">
        <w:rPr>
          <w:rStyle w:val="CommentReference"/>
          <w:rFonts w:ascii="Times New Roman" w:hAnsi="Times New Roman"/>
          <w:noProof/>
          <w:sz w:val="24"/>
          <w:szCs w:val="24"/>
        </w:rPr>
        <w:t>only</w:t>
      </w:r>
      <w:r w:rsidR="00BE2DD0" w:rsidRPr="002661A8">
        <w:rPr>
          <w:rStyle w:val="CommentReference"/>
          <w:rFonts w:ascii="Times New Roman" w:hAnsi="Times New Roman"/>
          <w:noProof/>
          <w:sz w:val="24"/>
          <w:szCs w:val="24"/>
        </w:rPr>
        <w:t xml:space="preserve"> LCH Ltd and ICEU, both established in the UK, qualify as Tier 2 CCPs. </w:t>
      </w:r>
      <w:r w:rsidR="00F145C3" w:rsidRPr="002661A8">
        <w:rPr>
          <w:rStyle w:val="CommentReference"/>
          <w:rFonts w:ascii="Times New Roman" w:hAnsi="Times New Roman" w:cs="Times New Roman"/>
          <w:noProof/>
          <w:sz w:val="24"/>
          <w:szCs w:val="24"/>
        </w:rPr>
        <w:t>W</w:t>
      </w:r>
      <w:r w:rsidR="00613AB1" w:rsidRPr="002661A8">
        <w:rPr>
          <w:rStyle w:val="CommentReference"/>
          <w:rFonts w:ascii="Times New Roman" w:hAnsi="Times New Roman" w:cs="Times New Roman"/>
          <w:noProof/>
          <w:sz w:val="24"/>
          <w:szCs w:val="24"/>
        </w:rPr>
        <w:t>here ESMA, in agreement with the central banks of issue and in consultation with the ESRB</w:t>
      </w:r>
      <w:r w:rsidR="00613AB1" w:rsidRPr="002661A8">
        <w:rPr>
          <w:rStyle w:val="CommentReference"/>
          <w:rFonts w:ascii="Times New Roman" w:hAnsi="Times New Roman"/>
          <w:noProof/>
          <w:sz w:val="24"/>
          <w:szCs w:val="24"/>
        </w:rPr>
        <w:t xml:space="preserve">, considers a third-country CCP </w:t>
      </w:r>
      <w:r w:rsidR="009D12F4" w:rsidRPr="002661A8">
        <w:rPr>
          <w:rStyle w:val="CommentReference"/>
          <w:rFonts w:ascii="Times New Roman" w:hAnsi="Times New Roman"/>
          <w:noProof/>
          <w:sz w:val="24"/>
          <w:szCs w:val="24"/>
        </w:rPr>
        <w:t xml:space="preserve">or some of its clearing services </w:t>
      </w:r>
      <w:r w:rsidR="00613AB1" w:rsidRPr="002661A8">
        <w:rPr>
          <w:rStyle w:val="CommentReference"/>
          <w:rFonts w:ascii="Times New Roman" w:hAnsi="Times New Roman"/>
          <w:noProof/>
          <w:sz w:val="24"/>
          <w:szCs w:val="24"/>
        </w:rPr>
        <w:t>of substantial</w:t>
      </w:r>
      <w:r w:rsidR="009D12F4" w:rsidRPr="002661A8">
        <w:rPr>
          <w:rStyle w:val="CommentReference"/>
          <w:rFonts w:ascii="Times New Roman" w:hAnsi="Times New Roman"/>
          <w:noProof/>
          <w:sz w:val="24"/>
          <w:szCs w:val="24"/>
        </w:rPr>
        <w:t xml:space="preserve"> systemic</w:t>
      </w:r>
      <w:r w:rsidR="00613AB1" w:rsidRPr="002661A8">
        <w:rPr>
          <w:rStyle w:val="CommentReference"/>
          <w:rFonts w:ascii="Times New Roman" w:hAnsi="Times New Roman"/>
          <w:noProof/>
          <w:sz w:val="24"/>
          <w:szCs w:val="24"/>
        </w:rPr>
        <w:t xml:space="preserve"> importance, it shall recommend that that third-country CCP </w:t>
      </w:r>
      <w:r w:rsidR="009B599B">
        <w:rPr>
          <w:rStyle w:val="CommentReference"/>
          <w:rFonts w:ascii="Times New Roman" w:hAnsi="Times New Roman"/>
          <w:noProof/>
          <w:sz w:val="24"/>
          <w:szCs w:val="24"/>
        </w:rPr>
        <w:t>should not be</w:t>
      </w:r>
      <w:r w:rsidR="00613AB1" w:rsidRPr="002661A8">
        <w:rPr>
          <w:rStyle w:val="CommentReference"/>
          <w:rFonts w:ascii="Times New Roman" w:hAnsi="Times New Roman"/>
          <w:noProof/>
          <w:sz w:val="24"/>
          <w:szCs w:val="24"/>
        </w:rPr>
        <w:t xml:space="preserve"> recognised. </w:t>
      </w:r>
      <w:r w:rsidR="00792074" w:rsidRPr="002661A8">
        <w:rPr>
          <w:rStyle w:val="CommentReference"/>
          <w:rFonts w:ascii="Times New Roman" w:hAnsi="Times New Roman"/>
          <w:noProof/>
          <w:sz w:val="24"/>
          <w:szCs w:val="24"/>
        </w:rPr>
        <w:t>T</w:t>
      </w:r>
      <w:r w:rsidR="00613AB1" w:rsidRPr="002661A8">
        <w:rPr>
          <w:rStyle w:val="CommentReference"/>
          <w:rFonts w:ascii="Times New Roman" w:hAnsi="Times New Roman"/>
          <w:noProof/>
          <w:sz w:val="24"/>
          <w:szCs w:val="24"/>
        </w:rPr>
        <w:t>he Commission may</w:t>
      </w:r>
      <w:r w:rsidR="003C3291" w:rsidRPr="002661A8">
        <w:rPr>
          <w:rStyle w:val="CommentReference"/>
          <w:rFonts w:ascii="Times New Roman" w:hAnsi="Times New Roman"/>
          <w:noProof/>
          <w:sz w:val="24"/>
          <w:szCs w:val="24"/>
        </w:rPr>
        <w:t xml:space="preserve"> </w:t>
      </w:r>
      <w:r w:rsidR="00792074" w:rsidRPr="002661A8">
        <w:rPr>
          <w:rStyle w:val="CommentReference"/>
          <w:rFonts w:ascii="Times New Roman" w:hAnsi="Times New Roman"/>
          <w:noProof/>
          <w:sz w:val="24"/>
          <w:szCs w:val="24"/>
        </w:rPr>
        <w:t xml:space="preserve">then </w:t>
      </w:r>
      <w:r w:rsidR="003C3291" w:rsidRPr="002661A8">
        <w:rPr>
          <w:rStyle w:val="CommentReference"/>
          <w:rFonts w:ascii="Times New Roman" w:hAnsi="Times New Roman"/>
          <w:noProof/>
          <w:sz w:val="24"/>
          <w:szCs w:val="24"/>
        </w:rPr>
        <w:t>require</w:t>
      </w:r>
      <w:r w:rsidR="00613AB1" w:rsidRPr="002661A8">
        <w:rPr>
          <w:rStyle w:val="CommentReference"/>
          <w:rFonts w:ascii="Times New Roman" w:hAnsi="Times New Roman"/>
          <w:noProof/>
          <w:sz w:val="24"/>
          <w:szCs w:val="24"/>
        </w:rPr>
        <w:t xml:space="preserve"> some or all of the clearing services of that CCP </w:t>
      </w:r>
      <w:r w:rsidR="003C3291" w:rsidRPr="002661A8">
        <w:rPr>
          <w:rStyle w:val="CommentReference"/>
          <w:rFonts w:ascii="Times New Roman" w:hAnsi="Times New Roman"/>
          <w:noProof/>
          <w:sz w:val="24"/>
          <w:szCs w:val="24"/>
        </w:rPr>
        <w:t xml:space="preserve">to </w:t>
      </w:r>
      <w:r w:rsidR="00613AB1" w:rsidRPr="002661A8">
        <w:rPr>
          <w:rStyle w:val="CommentReference"/>
          <w:rFonts w:ascii="Times New Roman" w:hAnsi="Times New Roman"/>
          <w:noProof/>
          <w:sz w:val="24"/>
          <w:szCs w:val="24"/>
        </w:rPr>
        <w:t xml:space="preserve">be provided </w:t>
      </w:r>
      <w:r w:rsidR="00792074" w:rsidRPr="002661A8">
        <w:rPr>
          <w:rStyle w:val="CommentReference"/>
          <w:rFonts w:ascii="Times New Roman" w:hAnsi="Times New Roman"/>
          <w:noProof/>
          <w:sz w:val="24"/>
          <w:szCs w:val="24"/>
        </w:rPr>
        <w:t xml:space="preserve">only </w:t>
      </w:r>
      <w:r w:rsidR="00613AB1" w:rsidRPr="002661A8">
        <w:rPr>
          <w:rStyle w:val="CommentReference"/>
          <w:rFonts w:ascii="Times New Roman" w:hAnsi="Times New Roman"/>
          <w:noProof/>
          <w:sz w:val="24"/>
          <w:szCs w:val="24"/>
        </w:rPr>
        <w:t xml:space="preserve">after it has established itself </w:t>
      </w:r>
      <w:r w:rsidR="003C3291" w:rsidRPr="002661A8">
        <w:rPr>
          <w:rStyle w:val="CommentReference"/>
          <w:rFonts w:ascii="Times New Roman" w:hAnsi="Times New Roman"/>
          <w:noProof/>
          <w:sz w:val="24"/>
          <w:szCs w:val="24"/>
        </w:rPr>
        <w:t>in the EU</w:t>
      </w:r>
      <w:r w:rsidR="00613AB1" w:rsidRPr="002661A8">
        <w:rPr>
          <w:rStyle w:val="CommentReference"/>
          <w:rFonts w:ascii="Times New Roman" w:hAnsi="Times New Roman"/>
          <w:noProof/>
          <w:sz w:val="24"/>
          <w:szCs w:val="24"/>
        </w:rPr>
        <w:t>.</w:t>
      </w:r>
      <w:r w:rsidR="004A6AC4" w:rsidRPr="002661A8">
        <w:rPr>
          <w:rStyle w:val="CommentReference"/>
          <w:rFonts w:ascii="Times New Roman" w:hAnsi="Times New Roman"/>
          <w:noProof/>
          <w:sz w:val="24"/>
          <w:szCs w:val="24"/>
        </w:rPr>
        <w:t xml:space="preserve"> </w:t>
      </w:r>
    </w:p>
    <w:p w14:paraId="2EE7B860" w14:textId="09BDF299" w:rsidR="00CA3D60" w:rsidRPr="002661A8" w:rsidRDefault="000E73A6" w:rsidP="000F5043">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Experience with the application of the revised EMIR framework has already revealed </w:t>
      </w:r>
      <w:r w:rsidR="0048301A" w:rsidRPr="002661A8">
        <w:rPr>
          <w:rFonts w:ascii="Times New Roman" w:hAnsi="Times New Roman" w:cs="Times New Roman"/>
          <w:noProof/>
          <w:sz w:val="24"/>
          <w:szCs w:val="24"/>
        </w:rPr>
        <w:t xml:space="preserve">some </w:t>
      </w:r>
      <w:r w:rsidRPr="002661A8">
        <w:rPr>
          <w:rFonts w:ascii="Times New Roman" w:hAnsi="Times New Roman" w:cs="Times New Roman"/>
          <w:noProof/>
          <w:sz w:val="24"/>
          <w:szCs w:val="24"/>
        </w:rPr>
        <w:t>shortcomings</w:t>
      </w:r>
      <w:r w:rsidR="0048301A" w:rsidRPr="002661A8">
        <w:rPr>
          <w:rFonts w:ascii="Times New Roman" w:hAnsi="Times New Roman" w:cs="Times New Roman"/>
          <w:noProof/>
          <w:sz w:val="24"/>
          <w:szCs w:val="24"/>
        </w:rPr>
        <w:t xml:space="preserve"> (see</w:t>
      </w:r>
      <w:r w:rsidRPr="002661A8">
        <w:rPr>
          <w:rFonts w:ascii="Times New Roman" w:hAnsi="Times New Roman" w:cs="Times New Roman"/>
          <w:noProof/>
          <w:sz w:val="24"/>
          <w:szCs w:val="24"/>
        </w:rPr>
        <w:t xml:space="preserve"> </w:t>
      </w:r>
      <w:hyperlink w:anchor="_Problem_definition" w:history="1">
        <w:r w:rsidRPr="002661A8">
          <w:rPr>
            <w:rStyle w:val="Hyperlink"/>
            <w:rFonts w:ascii="Times New Roman" w:hAnsi="Times New Roman" w:cs="Times New Roman"/>
            <w:noProof/>
            <w:sz w:val="24"/>
            <w:szCs w:val="24"/>
          </w:rPr>
          <w:t xml:space="preserve">Section </w:t>
        </w:r>
        <w:r w:rsidR="0034415A" w:rsidRPr="002661A8">
          <w:rPr>
            <w:rStyle w:val="Hyperlink"/>
            <w:rFonts w:ascii="Times New Roman" w:hAnsi="Times New Roman" w:cs="Times New Roman"/>
            <w:noProof/>
            <w:sz w:val="24"/>
            <w:szCs w:val="24"/>
          </w:rPr>
          <w:t>3</w:t>
        </w:r>
      </w:hyperlink>
      <w:r w:rsidR="0048301A" w:rsidRPr="002661A8">
        <w:rPr>
          <w:rFonts w:ascii="Times New Roman" w:hAnsi="Times New Roman" w:cs="Times New Roman"/>
          <w:noProof/>
          <w:sz w:val="24"/>
          <w:szCs w:val="24"/>
        </w:rPr>
        <w:t>)</w:t>
      </w:r>
      <w:r w:rsidRPr="002661A8">
        <w:rPr>
          <w:rFonts w:ascii="Times New Roman" w:hAnsi="Times New Roman" w:cs="Times New Roman"/>
          <w:noProof/>
          <w:sz w:val="24"/>
          <w:szCs w:val="24"/>
        </w:rPr>
        <w:t xml:space="preserve">. </w:t>
      </w:r>
      <w:r w:rsidR="00CA3D60" w:rsidRPr="002661A8">
        <w:rPr>
          <w:rFonts w:ascii="Times New Roman" w:hAnsi="Times New Roman" w:cs="Times New Roman"/>
          <w:noProof/>
          <w:sz w:val="24"/>
          <w:szCs w:val="24"/>
        </w:rPr>
        <w:t xml:space="preserve">A targeted review of EMIR 2.2., in particular </w:t>
      </w:r>
      <w:r w:rsidR="00641DA4" w:rsidRPr="002661A8">
        <w:rPr>
          <w:rFonts w:ascii="Times New Roman" w:hAnsi="Times New Roman" w:cs="Times New Roman"/>
          <w:noProof/>
          <w:sz w:val="24"/>
          <w:szCs w:val="24"/>
        </w:rPr>
        <w:t xml:space="preserve">on </w:t>
      </w:r>
      <w:r w:rsidR="00CA3D60" w:rsidRPr="002661A8">
        <w:rPr>
          <w:rFonts w:ascii="Times New Roman" w:hAnsi="Times New Roman" w:cs="Times New Roman"/>
          <w:noProof/>
          <w:sz w:val="24"/>
          <w:szCs w:val="24"/>
        </w:rPr>
        <w:t xml:space="preserve">the supervisory arrangements, </w:t>
      </w:r>
      <w:r w:rsidR="0048301A" w:rsidRPr="002661A8">
        <w:rPr>
          <w:rFonts w:ascii="Times New Roman" w:hAnsi="Times New Roman" w:cs="Times New Roman"/>
          <w:noProof/>
          <w:sz w:val="24"/>
          <w:szCs w:val="24"/>
        </w:rPr>
        <w:t>is required</w:t>
      </w:r>
      <w:r w:rsidR="00240D9A" w:rsidRPr="002661A8">
        <w:rPr>
          <w:rFonts w:ascii="Times New Roman" w:hAnsi="Times New Roman" w:cs="Times New Roman"/>
          <w:noProof/>
          <w:sz w:val="24"/>
          <w:szCs w:val="24"/>
        </w:rPr>
        <w:t xml:space="preserve"> under EMIR (Article 8</w:t>
      </w:r>
      <w:r w:rsidR="005B00F9">
        <w:rPr>
          <w:rFonts w:ascii="Times New Roman" w:hAnsi="Times New Roman" w:cs="Times New Roman"/>
          <w:noProof/>
          <w:sz w:val="24"/>
          <w:szCs w:val="24"/>
        </w:rPr>
        <w:t>5</w:t>
      </w:r>
      <w:r w:rsidR="00240D9A" w:rsidRPr="002661A8">
        <w:rPr>
          <w:rFonts w:ascii="Times New Roman" w:hAnsi="Times New Roman" w:cs="Times New Roman"/>
          <w:noProof/>
          <w:sz w:val="24"/>
          <w:szCs w:val="24"/>
        </w:rPr>
        <w:t>(7))</w:t>
      </w:r>
      <w:r w:rsidR="0048301A" w:rsidRPr="002661A8">
        <w:rPr>
          <w:rFonts w:ascii="Times New Roman" w:hAnsi="Times New Roman" w:cs="Times New Roman"/>
          <w:noProof/>
          <w:sz w:val="24"/>
          <w:szCs w:val="24"/>
        </w:rPr>
        <w:t xml:space="preserve"> </w:t>
      </w:r>
      <w:r w:rsidR="00CA3D60" w:rsidRPr="002661A8">
        <w:rPr>
          <w:rFonts w:ascii="Times New Roman" w:hAnsi="Times New Roman" w:cs="Times New Roman"/>
          <w:noProof/>
          <w:sz w:val="24"/>
          <w:szCs w:val="24"/>
        </w:rPr>
        <w:t>by 2 January 2023</w:t>
      </w:r>
      <w:r w:rsidR="003313DA" w:rsidRPr="002661A8">
        <w:rPr>
          <w:rFonts w:ascii="Times New Roman" w:hAnsi="Times New Roman" w:cs="Times New Roman"/>
          <w:noProof/>
          <w:sz w:val="24"/>
          <w:szCs w:val="24"/>
        </w:rPr>
        <w:t>;</w:t>
      </w:r>
      <w:r w:rsidR="0048301A" w:rsidRPr="002661A8">
        <w:rPr>
          <w:rStyle w:val="FootnoteReference"/>
          <w:rFonts w:ascii="Times New Roman" w:hAnsi="Times New Roman" w:cs="Times New Roman"/>
          <w:noProof/>
          <w:sz w:val="24"/>
          <w:szCs w:val="24"/>
        </w:rPr>
        <w:footnoteReference w:id="24"/>
      </w:r>
      <w:r w:rsidR="00F360E2" w:rsidRPr="002661A8">
        <w:rPr>
          <w:rFonts w:ascii="Times New Roman" w:hAnsi="Times New Roman" w:cs="Times New Roman"/>
          <w:noProof/>
          <w:sz w:val="24"/>
          <w:szCs w:val="24"/>
        </w:rPr>
        <w:t xml:space="preserve"> this </w:t>
      </w:r>
      <w:r w:rsidR="009D12F4" w:rsidRPr="002661A8">
        <w:rPr>
          <w:rFonts w:ascii="Times New Roman" w:hAnsi="Times New Roman" w:cs="Times New Roman"/>
          <w:noProof/>
          <w:sz w:val="24"/>
          <w:szCs w:val="24"/>
        </w:rPr>
        <w:t>requirement is fulfilled</w:t>
      </w:r>
      <w:r w:rsidR="00F360E2" w:rsidRPr="002661A8">
        <w:rPr>
          <w:rFonts w:ascii="Times New Roman" w:hAnsi="Times New Roman" w:cs="Times New Roman"/>
          <w:noProof/>
          <w:sz w:val="24"/>
          <w:szCs w:val="24"/>
        </w:rPr>
        <w:t xml:space="preserve"> in the context of this initiative</w:t>
      </w:r>
      <w:r w:rsidR="006D02C0" w:rsidRPr="002661A8">
        <w:rPr>
          <w:rFonts w:ascii="Times New Roman" w:hAnsi="Times New Roman" w:cs="Times New Roman"/>
          <w:noProof/>
          <w:sz w:val="24"/>
          <w:szCs w:val="24"/>
        </w:rPr>
        <w:t>.</w:t>
      </w:r>
      <w:r w:rsidR="00CA3D60" w:rsidRPr="002661A8">
        <w:rPr>
          <w:rFonts w:ascii="Times New Roman" w:hAnsi="Times New Roman" w:cs="Times New Roman"/>
          <w:noProof/>
          <w:sz w:val="24"/>
          <w:szCs w:val="24"/>
        </w:rPr>
        <w:t xml:space="preserve"> A more comprehensive review of EMIR is required by 2024 under Article </w:t>
      </w:r>
      <w:r w:rsidR="00F360E2" w:rsidRPr="002661A8">
        <w:rPr>
          <w:rFonts w:ascii="Times New Roman" w:hAnsi="Times New Roman" w:cs="Times New Roman"/>
          <w:noProof/>
          <w:sz w:val="24"/>
          <w:szCs w:val="24"/>
        </w:rPr>
        <w:t>85(1)</w:t>
      </w:r>
      <w:r w:rsidR="00CA3D60" w:rsidRPr="002661A8">
        <w:rPr>
          <w:rFonts w:ascii="Times New Roman" w:hAnsi="Times New Roman" w:cs="Times New Roman"/>
          <w:noProof/>
          <w:sz w:val="24"/>
          <w:szCs w:val="24"/>
        </w:rPr>
        <w:t xml:space="preserve"> of EMIR</w:t>
      </w:r>
      <w:r w:rsidR="00C04E61">
        <w:rPr>
          <w:rFonts w:ascii="Times New Roman" w:hAnsi="Times New Roman" w:cs="Times New Roman"/>
          <w:noProof/>
          <w:sz w:val="24"/>
          <w:szCs w:val="24"/>
        </w:rPr>
        <w:t xml:space="preserve"> as currently in force</w:t>
      </w:r>
      <w:r w:rsidR="00CA3D60" w:rsidRPr="002661A8">
        <w:rPr>
          <w:rFonts w:ascii="Times New Roman" w:hAnsi="Times New Roman" w:cs="Times New Roman"/>
          <w:noProof/>
          <w:sz w:val="24"/>
          <w:szCs w:val="24"/>
        </w:rPr>
        <w:t>.</w:t>
      </w:r>
    </w:p>
    <w:p w14:paraId="711B7758" w14:textId="00A106AA" w:rsidR="00E25234" w:rsidRPr="002661A8" w:rsidRDefault="00E25234" w:rsidP="000F5043">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To address the challenges posed by the growing importance of CCPs and </w:t>
      </w:r>
      <w:r w:rsidR="0091362E" w:rsidRPr="002661A8">
        <w:rPr>
          <w:rFonts w:ascii="Times New Roman" w:hAnsi="Times New Roman" w:cs="Times New Roman"/>
          <w:noProof/>
          <w:sz w:val="24"/>
          <w:szCs w:val="24"/>
        </w:rPr>
        <w:t>improve</w:t>
      </w:r>
      <w:r w:rsidR="00240D9A" w:rsidRPr="002661A8">
        <w:rPr>
          <w:rFonts w:ascii="Times New Roman" w:hAnsi="Times New Roman" w:cs="Times New Roman"/>
          <w:noProof/>
          <w:sz w:val="24"/>
          <w:szCs w:val="24"/>
        </w:rPr>
        <w:t xml:space="preserve"> the</w:t>
      </w:r>
      <w:r w:rsidR="0091362E" w:rsidRPr="002661A8">
        <w:rPr>
          <w:rFonts w:ascii="Times New Roman" w:hAnsi="Times New Roman" w:cs="Times New Roman"/>
          <w:noProof/>
          <w:sz w:val="24"/>
          <w:szCs w:val="24"/>
        </w:rPr>
        <w:t xml:space="preserve"> preparedness and </w:t>
      </w:r>
      <w:r w:rsidR="00240D9A" w:rsidRPr="002661A8">
        <w:rPr>
          <w:rFonts w:ascii="Times New Roman" w:hAnsi="Times New Roman" w:cs="Times New Roman"/>
          <w:noProof/>
          <w:sz w:val="24"/>
          <w:szCs w:val="24"/>
        </w:rPr>
        <w:t xml:space="preserve">the </w:t>
      </w:r>
      <w:r w:rsidR="0091362E" w:rsidRPr="002661A8">
        <w:rPr>
          <w:rFonts w:ascii="Times New Roman" w:hAnsi="Times New Roman" w:cs="Times New Roman"/>
          <w:noProof/>
          <w:sz w:val="24"/>
          <w:szCs w:val="24"/>
        </w:rPr>
        <w:t xml:space="preserve">tools to handle the potential crisis of </w:t>
      </w:r>
      <w:r w:rsidRPr="002661A8">
        <w:rPr>
          <w:rFonts w:ascii="Times New Roman" w:hAnsi="Times New Roman" w:cs="Times New Roman"/>
          <w:noProof/>
          <w:sz w:val="24"/>
          <w:szCs w:val="24"/>
        </w:rPr>
        <w:t>a</w:t>
      </w:r>
      <w:r w:rsidR="00C05927" w:rsidRPr="002661A8">
        <w:rPr>
          <w:rFonts w:ascii="Times New Roman" w:hAnsi="Times New Roman" w:cs="Times New Roman"/>
          <w:noProof/>
          <w:sz w:val="24"/>
          <w:szCs w:val="24"/>
        </w:rPr>
        <w:t>n EU</w:t>
      </w:r>
      <w:r w:rsidRPr="002661A8">
        <w:rPr>
          <w:rFonts w:ascii="Times New Roman" w:hAnsi="Times New Roman" w:cs="Times New Roman"/>
          <w:noProof/>
          <w:sz w:val="24"/>
          <w:szCs w:val="24"/>
        </w:rPr>
        <w:t xml:space="preserve"> CCP, the EU adopted the CCP Recovery and Resolution Regulation </w:t>
      </w:r>
      <w:r w:rsidR="00645EEB" w:rsidRPr="002661A8">
        <w:rPr>
          <w:rFonts w:ascii="Times New Roman" w:hAnsi="Times New Roman" w:cs="Times New Roman"/>
          <w:noProof/>
          <w:sz w:val="24"/>
          <w:szCs w:val="24"/>
        </w:rPr>
        <w:t>i</w:t>
      </w:r>
      <w:r w:rsidRPr="002661A8">
        <w:rPr>
          <w:rFonts w:ascii="Times New Roman" w:hAnsi="Times New Roman" w:cs="Times New Roman"/>
          <w:noProof/>
          <w:sz w:val="24"/>
          <w:szCs w:val="24"/>
        </w:rPr>
        <w:t xml:space="preserve">n December 2020. </w:t>
      </w:r>
      <w:r w:rsidR="00715A26" w:rsidRPr="002661A8">
        <w:rPr>
          <w:rFonts w:ascii="Times New Roman" w:hAnsi="Times New Roman" w:cs="Times New Roman"/>
          <w:noProof/>
          <w:sz w:val="24"/>
          <w:szCs w:val="24"/>
        </w:rPr>
        <w:t xml:space="preserve">Its </w:t>
      </w:r>
      <w:r w:rsidRPr="002661A8">
        <w:rPr>
          <w:rFonts w:ascii="Times New Roman" w:hAnsi="Times New Roman" w:cs="Times New Roman"/>
          <w:noProof/>
          <w:sz w:val="24"/>
          <w:szCs w:val="24"/>
        </w:rPr>
        <w:t xml:space="preserve">aim is to ensure that </w:t>
      </w:r>
      <w:r w:rsidR="00F7351E" w:rsidRPr="002661A8">
        <w:rPr>
          <w:rFonts w:ascii="Times New Roman" w:hAnsi="Times New Roman" w:cs="Times New Roman"/>
          <w:noProof/>
          <w:sz w:val="24"/>
          <w:szCs w:val="24"/>
        </w:rPr>
        <w:t xml:space="preserve">EU </w:t>
      </w:r>
      <w:r w:rsidRPr="002661A8">
        <w:rPr>
          <w:rFonts w:ascii="Times New Roman" w:hAnsi="Times New Roman" w:cs="Times New Roman"/>
          <w:noProof/>
          <w:sz w:val="24"/>
          <w:szCs w:val="24"/>
        </w:rPr>
        <w:t>CCPs and national authorities have the means to act decisively in a crisis scenario</w:t>
      </w:r>
      <w:r w:rsidR="003313DA" w:rsidRPr="002661A8">
        <w:rPr>
          <w:rFonts w:ascii="Times New Roman" w:hAnsi="Times New Roman" w:cs="Times New Roman"/>
          <w:noProof/>
          <w:sz w:val="24"/>
          <w:szCs w:val="24"/>
        </w:rPr>
        <w:t>.</w:t>
      </w:r>
      <w:r w:rsidR="00B147BE" w:rsidRPr="002661A8">
        <w:rPr>
          <w:rStyle w:val="FootnoteReference"/>
          <w:rFonts w:ascii="Times New Roman" w:hAnsi="Times New Roman" w:cs="Times New Roman"/>
          <w:noProof/>
          <w:sz w:val="24"/>
          <w:szCs w:val="24"/>
        </w:rPr>
        <w:footnoteReference w:id="25"/>
      </w:r>
      <w:r w:rsidRPr="002661A8">
        <w:rPr>
          <w:rFonts w:ascii="Times New Roman" w:hAnsi="Times New Roman" w:cs="Times New Roman"/>
          <w:noProof/>
          <w:sz w:val="24"/>
          <w:szCs w:val="24"/>
        </w:rPr>
        <w:t xml:space="preserve"> The Regulation aims to preserve the critical functions of EU CCPs</w:t>
      </w:r>
      <w:r w:rsidR="007C5090" w:rsidRPr="002661A8">
        <w:rPr>
          <w:rFonts w:ascii="Times New Roman" w:hAnsi="Times New Roman" w:cs="Times New Roman"/>
          <w:noProof/>
          <w:sz w:val="24"/>
          <w:szCs w:val="24"/>
        </w:rPr>
        <w:t>,</w:t>
      </w:r>
      <w:r w:rsidRPr="002661A8">
        <w:rPr>
          <w:rFonts w:ascii="Times New Roman" w:hAnsi="Times New Roman" w:cs="Times New Roman"/>
          <w:noProof/>
          <w:sz w:val="24"/>
          <w:szCs w:val="24"/>
        </w:rPr>
        <w:t xml:space="preserve"> </w:t>
      </w:r>
      <w:r w:rsidR="007C5090" w:rsidRPr="002661A8">
        <w:rPr>
          <w:rFonts w:ascii="Times New Roman" w:hAnsi="Times New Roman" w:cs="Times New Roman"/>
          <w:noProof/>
          <w:sz w:val="24"/>
          <w:szCs w:val="24"/>
        </w:rPr>
        <w:t>ensuring</w:t>
      </w:r>
      <w:r w:rsidRPr="002661A8">
        <w:rPr>
          <w:rFonts w:ascii="Times New Roman" w:hAnsi="Times New Roman" w:cs="Times New Roman"/>
          <w:noProof/>
          <w:sz w:val="24"/>
          <w:szCs w:val="24"/>
        </w:rPr>
        <w:t xml:space="preserve"> financial stability and protect</w:t>
      </w:r>
      <w:r w:rsidR="005E43D3" w:rsidRPr="002661A8">
        <w:rPr>
          <w:rFonts w:ascii="Times New Roman" w:hAnsi="Times New Roman" w:cs="Times New Roman"/>
          <w:noProof/>
          <w:sz w:val="24"/>
          <w:szCs w:val="24"/>
        </w:rPr>
        <w:t>ing</w:t>
      </w:r>
      <w:r w:rsidRPr="002661A8">
        <w:rPr>
          <w:rFonts w:ascii="Times New Roman" w:hAnsi="Times New Roman" w:cs="Times New Roman"/>
          <w:noProof/>
          <w:sz w:val="24"/>
          <w:szCs w:val="24"/>
        </w:rPr>
        <w:t xml:space="preserve"> taxpayers.</w:t>
      </w:r>
      <w:r w:rsidR="00F95D74" w:rsidRPr="002661A8">
        <w:rPr>
          <w:rFonts w:ascii="Times New Roman" w:hAnsi="Times New Roman" w:cs="Times New Roman"/>
          <w:noProof/>
          <w:sz w:val="24"/>
          <w:szCs w:val="24"/>
        </w:rPr>
        <w:t xml:space="preserve"> </w:t>
      </w:r>
    </w:p>
    <w:p w14:paraId="5C864A3C" w14:textId="3A20D806" w:rsidR="009C614D" w:rsidRPr="002661A8" w:rsidRDefault="3FA542DF" w:rsidP="00ED5088">
      <w:pPr>
        <w:pStyle w:val="Heading1"/>
        <w:numPr>
          <w:ilvl w:val="1"/>
          <w:numId w:val="6"/>
        </w:numPr>
        <w:spacing w:before="0" w:after="120"/>
        <w:rPr>
          <w:smallCaps w:val="0"/>
          <w:noProof/>
        </w:rPr>
      </w:pPr>
      <w:bookmarkStart w:id="84" w:name="_Toc103337462"/>
      <w:bookmarkStart w:id="85" w:name="_Toc104309977"/>
      <w:bookmarkStart w:id="86" w:name="_Toc105656421"/>
      <w:bookmarkStart w:id="87" w:name="_Toc106827809"/>
      <w:bookmarkStart w:id="88" w:name="_Toc106981685"/>
      <w:bookmarkStart w:id="89" w:name="_Toc107493825"/>
      <w:bookmarkStart w:id="90" w:name="_Toc107497861"/>
      <w:bookmarkStart w:id="91" w:name="_Toc107503414"/>
      <w:bookmarkStart w:id="92" w:name="_Toc107504562"/>
      <w:bookmarkStart w:id="93" w:name="_Toc107505407"/>
      <w:bookmarkStart w:id="94" w:name="_Toc107838883"/>
      <w:bookmarkStart w:id="95" w:name="_Toc107846978"/>
      <w:bookmarkStart w:id="96" w:name="_Toc107849215"/>
      <w:bookmarkStart w:id="97" w:name="_Toc107853662"/>
      <w:bookmarkStart w:id="98" w:name="_Toc108539785"/>
      <w:bookmarkStart w:id="99" w:name="_Toc108539903"/>
      <w:bookmarkStart w:id="100" w:name="_Toc109057361"/>
      <w:bookmarkStart w:id="101" w:name="_Toc109120727"/>
      <w:bookmarkStart w:id="102" w:name="_Toc109122362"/>
      <w:bookmarkStart w:id="103" w:name="_Toc109133099"/>
      <w:bookmarkStart w:id="104" w:name="_Toc120291633"/>
      <w:r w:rsidRPr="002661A8">
        <w:rPr>
          <w:smallCaps w:val="0"/>
          <w:noProof/>
        </w:rPr>
        <w:t>Political context</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2705D4A2" w14:textId="06D83387" w:rsidR="008A1AA8" w:rsidRPr="002661A8" w:rsidRDefault="00DE26AB" w:rsidP="3FA542DF">
      <w:pPr>
        <w:spacing w:after="120" w:line="240" w:lineRule="auto"/>
        <w:jc w:val="both"/>
        <w:rPr>
          <w:rFonts w:ascii="Times New Roman" w:eastAsia="Times New Roman" w:hAnsi="Times New Roman" w:cs="Times New Roman"/>
          <w:noProof/>
          <w:sz w:val="24"/>
          <w:szCs w:val="24"/>
          <w:lang w:eastAsia="en-GB"/>
        </w:rPr>
      </w:pPr>
      <w:r w:rsidRPr="002661A8">
        <w:rPr>
          <w:rFonts w:ascii="Times New Roman" w:hAnsi="Times New Roman" w:cs="Times New Roman"/>
          <w:noProof/>
          <w:sz w:val="24"/>
          <w:szCs w:val="24"/>
        </w:rPr>
        <w:t>In the context of the CMU Action Plans</w:t>
      </w:r>
      <w:r w:rsidR="003313DA" w:rsidRPr="002661A8">
        <w:rPr>
          <w:rFonts w:ascii="Times New Roman" w:hAnsi="Times New Roman" w:cs="Times New Roman"/>
          <w:noProof/>
          <w:sz w:val="24"/>
          <w:szCs w:val="24"/>
        </w:rPr>
        <w:t>,</w:t>
      </w:r>
      <w:bookmarkStart w:id="105" w:name="_Ref120267698"/>
      <w:r w:rsidRPr="002661A8">
        <w:rPr>
          <w:rStyle w:val="FootnoteReference"/>
          <w:rFonts w:ascii="Times New Roman" w:hAnsi="Times New Roman" w:cs="Times New Roman"/>
          <w:noProof/>
          <w:sz w:val="24"/>
          <w:szCs w:val="24"/>
        </w:rPr>
        <w:footnoteReference w:id="26"/>
      </w:r>
      <w:bookmarkEnd w:id="105"/>
      <w:r w:rsidRPr="002661A8">
        <w:rPr>
          <w:rFonts w:ascii="Times New Roman" w:hAnsi="Times New Roman" w:cs="Times New Roman"/>
          <w:noProof/>
          <w:sz w:val="24"/>
          <w:szCs w:val="24"/>
        </w:rPr>
        <w:t xml:space="preserve"> </w:t>
      </w:r>
      <w:r w:rsidR="008A1AA8" w:rsidRPr="002661A8">
        <w:rPr>
          <w:rFonts w:ascii="Times New Roman" w:hAnsi="Times New Roman" w:cs="Times New Roman"/>
          <w:noProof/>
          <w:sz w:val="24"/>
          <w:szCs w:val="24"/>
        </w:rPr>
        <w:t>efficient and competitive post-trade markets, and clearing in particular, can contribute to creating deeper, more liquid</w:t>
      </w:r>
      <w:r w:rsidR="008A10BC">
        <w:rPr>
          <w:rFonts w:ascii="Times New Roman" w:hAnsi="Times New Roman" w:cs="Times New Roman"/>
          <w:noProof/>
          <w:sz w:val="24"/>
          <w:szCs w:val="24"/>
        </w:rPr>
        <w:t>,</w:t>
      </w:r>
      <w:r w:rsidR="008A1AA8" w:rsidRPr="002661A8">
        <w:rPr>
          <w:rFonts w:ascii="Times New Roman" w:hAnsi="Times New Roman" w:cs="Times New Roman"/>
          <w:noProof/>
          <w:sz w:val="24"/>
          <w:szCs w:val="24"/>
        </w:rPr>
        <w:t xml:space="preserve"> </w:t>
      </w:r>
      <w:r w:rsidR="001B298E" w:rsidRPr="002661A8">
        <w:rPr>
          <w:rFonts w:ascii="Times New Roman" w:hAnsi="Times New Roman" w:cs="Times New Roman"/>
          <w:noProof/>
          <w:sz w:val="24"/>
          <w:szCs w:val="24"/>
        </w:rPr>
        <w:t xml:space="preserve">EU </w:t>
      </w:r>
      <w:r w:rsidR="008A1AA8" w:rsidRPr="002661A8">
        <w:rPr>
          <w:rFonts w:ascii="Times New Roman" w:hAnsi="Times New Roman" w:cs="Times New Roman"/>
          <w:noProof/>
          <w:sz w:val="24"/>
          <w:szCs w:val="24"/>
        </w:rPr>
        <w:t xml:space="preserve">markets as post-trade infrastructures are the </w:t>
      </w:r>
      <w:r w:rsidR="001B298E" w:rsidRPr="002661A8">
        <w:rPr>
          <w:rFonts w:ascii="Times New Roman" w:hAnsi="Times New Roman" w:cs="Times New Roman"/>
          <w:noProof/>
          <w:sz w:val="24"/>
          <w:szCs w:val="24"/>
        </w:rPr>
        <w:t xml:space="preserve">foundation stones </w:t>
      </w:r>
      <w:r w:rsidR="008A1AA8" w:rsidRPr="002661A8">
        <w:rPr>
          <w:rFonts w:ascii="Times New Roman" w:hAnsi="Times New Roman" w:cs="Times New Roman"/>
          <w:noProof/>
          <w:sz w:val="24"/>
          <w:szCs w:val="24"/>
        </w:rPr>
        <w:t xml:space="preserve">of capital markets. A more centralised approach to supervision is </w:t>
      </w:r>
      <w:r w:rsidR="001B298E" w:rsidRPr="002661A8">
        <w:rPr>
          <w:rFonts w:ascii="Times New Roman" w:hAnsi="Times New Roman" w:cs="Times New Roman"/>
          <w:noProof/>
          <w:sz w:val="24"/>
          <w:szCs w:val="24"/>
        </w:rPr>
        <w:t>also</w:t>
      </w:r>
      <w:r w:rsidR="008A1AA8" w:rsidRPr="002661A8">
        <w:rPr>
          <w:rFonts w:ascii="Times New Roman" w:hAnsi="Times New Roman" w:cs="Times New Roman"/>
          <w:noProof/>
          <w:sz w:val="24"/>
          <w:szCs w:val="24"/>
        </w:rPr>
        <w:t xml:space="preserve"> </w:t>
      </w:r>
      <w:r w:rsidR="00E42017" w:rsidRPr="002661A8">
        <w:rPr>
          <w:rFonts w:ascii="Times New Roman" w:hAnsi="Times New Roman" w:cs="Times New Roman"/>
          <w:noProof/>
          <w:sz w:val="24"/>
          <w:szCs w:val="24"/>
        </w:rPr>
        <w:t>aimed for</w:t>
      </w:r>
      <w:r w:rsidR="008A1AA8" w:rsidRPr="002661A8">
        <w:rPr>
          <w:rFonts w:ascii="Times New Roman" w:hAnsi="Times New Roman" w:cs="Times New Roman"/>
          <w:noProof/>
          <w:sz w:val="24"/>
          <w:szCs w:val="24"/>
        </w:rPr>
        <w:t>, as it supports convergence and better management of cross-border risks</w:t>
      </w:r>
      <w:r w:rsidR="003313DA" w:rsidRPr="002661A8">
        <w:rPr>
          <w:rFonts w:ascii="Times New Roman" w:hAnsi="Times New Roman" w:cs="Times New Roman"/>
          <w:noProof/>
          <w:sz w:val="24"/>
          <w:szCs w:val="24"/>
        </w:rPr>
        <w:t>.</w:t>
      </w:r>
      <w:r w:rsidR="00B64FE6" w:rsidRPr="002661A8">
        <w:rPr>
          <w:rStyle w:val="FootnoteReference"/>
          <w:rFonts w:ascii="Times New Roman" w:hAnsi="Times New Roman" w:cs="Times New Roman"/>
          <w:noProof/>
          <w:sz w:val="24"/>
          <w:szCs w:val="24"/>
        </w:rPr>
        <w:footnoteReference w:id="27"/>
      </w:r>
      <w:r w:rsidR="008A1AA8" w:rsidRPr="002661A8">
        <w:rPr>
          <w:rFonts w:ascii="Times New Roman" w:hAnsi="Times New Roman" w:cs="Times New Roman"/>
          <w:noProof/>
          <w:sz w:val="24"/>
          <w:szCs w:val="24"/>
        </w:rPr>
        <w:t xml:space="preserve"> </w:t>
      </w:r>
      <w:r w:rsidRPr="002661A8">
        <w:rPr>
          <w:rFonts w:ascii="Times New Roman" w:hAnsi="Times New Roman" w:cs="Times New Roman"/>
          <w:noProof/>
          <w:sz w:val="24"/>
          <w:szCs w:val="24"/>
        </w:rPr>
        <w:t>Th</w:t>
      </w:r>
      <w:r w:rsidR="0090064F">
        <w:rPr>
          <w:rFonts w:ascii="Times New Roman" w:hAnsi="Times New Roman" w:cs="Times New Roman"/>
          <w:noProof/>
          <w:sz w:val="24"/>
          <w:szCs w:val="24"/>
        </w:rPr>
        <w:t xml:space="preserve">ose goals are </w:t>
      </w:r>
      <w:r w:rsidRPr="002661A8">
        <w:rPr>
          <w:rFonts w:ascii="Times New Roman" w:hAnsi="Times New Roman" w:cs="Times New Roman"/>
          <w:noProof/>
          <w:sz w:val="24"/>
          <w:szCs w:val="24"/>
        </w:rPr>
        <w:t>consistent with</w:t>
      </w:r>
      <w:r w:rsidR="008A1AA8" w:rsidRPr="002661A8">
        <w:rPr>
          <w:rFonts w:ascii="Times New Roman" w:hAnsi="Times New Roman" w:cs="Times New Roman"/>
          <w:noProof/>
          <w:sz w:val="24"/>
          <w:szCs w:val="24"/>
        </w:rPr>
        <w:t xml:space="preserve"> the EU’s </w:t>
      </w:r>
      <w:r w:rsidR="009826FB">
        <w:rPr>
          <w:rFonts w:ascii="Times New Roman" w:hAnsi="Times New Roman" w:cs="Times New Roman"/>
          <w:noProof/>
          <w:sz w:val="24"/>
          <w:szCs w:val="24"/>
        </w:rPr>
        <w:t xml:space="preserve">aim for </w:t>
      </w:r>
      <w:r w:rsidR="003975DC" w:rsidRPr="002661A8">
        <w:rPr>
          <w:rFonts w:ascii="Times New Roman" w:hAnsi="Times New Roman" w:cs="Times New Roman"/>
          <w:noProof/>
          <w:sz w:val="24"/>
          <w:szCs w:val="24"/>
        </w:rPr>
        <w:t xml:space="preserve">open </w:t>
      </w:r>
      <w:r w:rsidR="008A1AA8" w:rsidRPr="002661A8">
        <w:rPr>
          <w:rFonts w:ascii="Times New Roman" w:hAnsi="Times New Roman" w:cs="Times New Roman"/>
          <w:noProof/>
          <w:sz w:val="24"/>
          <w:szCs w:val="24"/>
        </w:rPr>
        <w:t>strategic autonomy</w:t>
      </w:r>
      <w:r w:rsidR="000D5DA2" w:rsidRPr="002661A8">
        <w:rPr>
          <w:rFonts w:ascii="Times New Roman" w:hAnsi="Times New Roman" w:cs="Times New Roman"/>
          <w:noProof/>
          <w:sz w:val="24"/>
          <w:szCs w:val="24"/>
        </w:rPr>
        <w:t xml:space="preserve"> and financial stability</w:t>
      </w:r>
      <w:r w:rsidR="008A1AA8" w:rsidRPr="002661A8">
        <w:rPr>
          <w:rFonts w:ascii="Times New Roman" w:hAnsi="Times New Roman" w:cs="Times New Roman"/>
          <w:noProof/>
          <w:sz w:val="24"/>
          <w:szCs w:val="24"/>
        </w:rPr>
        <w:t xml:space="preserve">, while remaining open to global financial markets. </w:t>
      </w:r>
      <w:r w:rsidR="008A1AA8" w:rsidRPr="002661A8" w:rsidDel="009826FB">
        <w:rPr>
          <w:rFonts w:ascii="Times New Roman" w:hAnsi="Times New Roman" w:cs="Times New Roman"/>
          <w:noProof/>
          <w:sz w:val="24"/>
          <w:szCs w:val="24"/>
        </w:rPr>
        <w:t>A</w:t>
      </w:r>
      <w:r w:rsidR="008A1AA8" w:rsidRPr="002661A8">
        <w:rPr>
          <w:rFonts w:ascii="Times New Roman" w:hAnsi="Times New Roman" w:cs="Times New Roman"/>
          <w:noProof/>
          <w:sz w:val="24"/>
          <w:szCs w:val="24"/>
        </w:rPr>
        <w:t>s stressed in the Communication “</w:t>
      </w:r>
      <w:r w:rsidR="008A1AA8" w:rsidRPr="002661A8">
        <w:rPr>
          <w:rFonts w:ascii="Times New Roman" w:hAnsi="Times New Roman" w:cs="Times New Roman"/>
          <w:b/>
          <w:noProof/>
          <w:sz w:val="24"/>
          <w:szCs w:val="24"/>
        </w:rPr>
        <w:t>The European economic and financial system: fostering openness, strength and resilience</w:t>
      </w:r>
      <w:r w:rsidR="008A1AA8" w:rsidRPr="002661A8">
        <w:rPr>
          <w:rFonts w:ascii="Times New Roman" w:hAnsi="Times New Roman" w:cs="Times New Roman"/>
          <w:noProof/>
          <w:sz w:val="24"/>
          <w:szCs w:val="24"/>
        </w:rPr>
        <w:t>”</w:t>
      </w:r>
      <w:r w:rsidR="000F7C8A" w:rsidRPr="002661A8">
        <w:rPr>
          <w:rStyle w:val="FootnoteReference"/>
          <w:rFonts w:ascii="Times New Roman" w:hAnsi="Times New Roman" w:cs="Times New Roman"/>
          <w:noProof/>
          <w:sz w:val="24"/>
          <w:szCs w:val="24"/>
        </w:rPr>
        <w:footnoteReference w:id="28"/>
      </w:r>
      <w:r w:rsidR="008A1AA8" w:rsidRPr="002661A8">
        <w:rPr>
          <w:rFonts w:ascii="Times New Roman" w:hAnsi="Times New Roman" w:cs="Times New Roman"/>
          <w:noProof/>
          <w:sz w:val="24"/>
          <w:szCs w:val="24"/>
        </w:rPr>
        <w:t xml:space="preserve">, </w:t>
      </w:r>
      <w:r w:rsidR="008A1AA8" w:rsidRPr="002661A8" w:rsidDel="009826FB">
        <w:rPr>
          <w:rFonts w:ascii="Times New Roman" w:hAnsi="Times New Roman" w:cs="Times New Roman"/>
          <w:noProof/>
          <w:sz w:val="24"/>
          <w:szCs w:val="24"/>
        </w:rPr>
        <w:t>t</w:t>
      </w:r>
      <w:r w:rsidR="008A1AA8" w:rsidRPr="002661A8">
        <w:rPr>
          <w:rFonts w:ascii="Times New Roman" w:hAnsi="Times New Roman" w:cs="Times New Roman"/>
          <w:noProof/>
          <w:sz w:val="24"/>
          <w:szCs w:val="24"/>
        </w:rPr>
        <w:t xml:space="preserve">he EU has a key interest in developing its </w:t>
      </w:r>
      <w:r w:rsidR="008A1AA8" w:rsidRPr="002661A8">
        <w:rPr>
          <w:rFonts w:ascii="Times New Roman" w:eastAsia="Times New Roman" w:hAnsi="Times New Roman" w:cs="Times New Roman"/>
          <w:noProof/>
          <w:sz w:val="24"/>
          <w:szCs w:val="24"/>
          <w:lang w:eastAsia="en-GB"/>
        </w:rPr>
        <w:t xml:space="preserve">financial market infrastructures </w:t>
      </w:r>
      <w:r w:rsidR="009826FB">
        <w:rPr>
          <w:rFonts w:ascii="Times New Roman" w:eastAsia="Times New Roman" w:hAnsi="Times New Roman" w:cs="Times New Roman"/>
          <w:noProof/>
          <w:sz w:val="24"/>
          <w:szCs w:val="24"/>
          <w:lang w:eastAsia="en-GB"/>
        </w:rPr>
        <w:t xml:space="preserve">to ensure financial stability and </w:t>
      </w:r>
      <w:r w:rsidR="008A1AA8" w:rsidRPr="002661A8">
        <w:rPr>
          <w:rFonts w:ascii="Times New Roman" w:eastAsia="Times New Roman" w:hAnsi="Times New Roman" w:cs="Times New Roman"/>
          <w:noProof/>
          <w:sz w:val="24"/>
          <w:szCs w:val="24"/>
          <w:lang w:eastAsia="en-GB"/>
        </w:rPr>
        <w:t xml:space="preserve">to avoid </w:t>
      </w:r>
      <w:r w:rsidR="00BF6BB9" w:rsidRPr="002661A8">
        <w:rPr>
          <w:rFonts w:ascii="Times New Roman" w:eastAsia="Times New Roman" w:hAnsi="Times New Roman" w:cs="Times New Roman"/>
          <w:noProof/>
          <w:sz w:val="24"/>
          <w:szCs w:val="24"/>
          <w:lang w:eastAsia="en-GB"/>
        </w:rPr>
        <w:t xml:space="preserve">excessive </w:t>
      </w:r>
      <w:r w:rsidR="008A1AA8" w:rsidRPr="002661A8">
        <w:rPr>
          <w:rFonts w:ascii="Times New Roman" w:eastAsia="Times New Roman" w:hAnsi="Times New Roman" w:cs="Times New Roman"/>
          <w:noProof/>
          <w:sz w:val="24"/>
          <w:szCs w:val="24"/>
          <w:lang w:eastAsia="en-GB"/>
        </w:rPr>
        <w:t>reliance on the provision of critical services from third</w:t>
      </w:r>
      <w:r w:rsidR="0034415A" w:rsidRPr="002661A8">
        <w:rPr>
          <w:rFonts w:ascii="Times New Roman" w:eastAsia="Times New Roman" w:hAnsi="Times New Roman" w:cs="Times New Roman"/>
          <w:noProof/>
          <w:sz w:val="24"/>
          <w:szCs w:val="24"/>
          <w:lang w:eastAsia="en-GB"/>
        </w:rPr>
        <w:t xml:space="preserve"> </w:t>
      </w:r>
      <w:r w:rsidR="008A1AA8" w:rsidRPr="002661A8">
        <w:rPr>
          <w:rFonts w:ascii="Times New Roman" w:eastAsia="Times New Roman" w:hAnsi="Times New Roman" w:cs="Times New Roman"/>
          <w:noProof/>
          <w:sz w:val="24"/>
          <w:szCs w:val="24"/>
          <w:lang w:eastAsia="en-GB"/>
        </w:rPr>
        <w:t>countr</w:t>
      </w:r>
      <w:r w:rsidR="0034415A" w:rsidRPr="002661A8">
        <w:rPr>
          <w:rFonts w:ascii="Times New Roman" w:eastAsia="Times New Roman" w:hAnsi="Times New Roman" w:cs="Times New Roman"/>
          <w:noProof/>
          <w:sz w:val="24"/>
          <w:szCs w:val="24"/>
          <w:lang w:eastAsia="en-GB"/>
        </w:rPr>
        <w:t>ies</w:t>
      </w:r>
      <w:r w:rsidR="008A1AA8" w:rsidRPr="002661A8">
        <w:rPr>
          <w:rFonts w:ascii="Times New Roman" w:eastAsia="Times New Roman" w:hAnsi="Times New Roman" w:cs="Times New Roman"/>
          <w:noProof/>
          <w:sz w:val="24"/>
          <w:szCs w:val="24"/>
          <w:lang w:eastAsia="en-GB"/>
        </w:rPr>
        <w:t>.</w:t>
      </w:r>
      <w:r w:rsidR="008A1AA8" w:rsidRPr="002661A8">
        <w:rPr>
          <w:rFonts w:ascii="Times New Roman" w:hAnsi="Times New Roman" w:cs="Times New Roman"/>
          <w:noProof/>
          <w:sz w:val="24"/>
          <w:szCs w:val="24"/>
        </w:rPr>
        <w:t xml:space="preserve"> </w:t>
      </w:r>
      <w:r w:rsidR="008A1AA8" w:rsidRPr="002661A8">
        <w:rPr>
          <w:rFonts w:ascii="Times New Roman" w:eastAsia="Times New Roman" w:hAnsi="Times New Roman" w:cs="Times New Roman"/>
          <w:noProof/>
          <w:sz w:val="24"/>
          <w:szCs w:val="24"/>
          <w:lang w:eastAsia="en-GB"/>
        </w:rPr>
        <w:t xml:space="preserve">The withdrawal of the </w:t>
      </w:r>
      <w:r w:rsidR="00E07688" w:rsidRPr="002661A8">
        <w:rPr>
          <w:rFonts w:ascii="Times New Roman" w:eastAsia="Times New Roman" w:hAnsi="Times New Roman" w:cs="Times New Roman"/>
          <w:noProof/>
          <w:sz w:val="24"/>
          <w:szCs w:val="24"/>
          <w:lang w:eastAsia="en-GB"/>
        </w:rPr>
        <w:t>UK</w:t>
      </w:r>
      <w:r w:rsidR="008A1AA8" w:rsidRPr="002661A8">
        <w:rPr>
          <w:rFonts w:ascii="Times New Roman" w:eastAsia="Times New Roman" w:hAnsi="Times New Roman" w:cs="Times New Roman"/>
          <w:noProof/>
          <w:sz w:val="24"/>
          <w:szCs w:val="24"/>
          <w:lang w:eastAsia="en-GB"/>
        </w:rPr>
        <w:t xml:space="preserve"> </w:t>
      </w:r>
      <w:r w:rsidR="008A1AA8" w:rsidRPr="002661A8">
        <w:rPr>
          <w:rFonts w:ascii="Times New Roman" w:hAnsi="Times New Roman" w:cs="Times New Roman"/>
          <w:noProof/>
          <w:sz w:val="24"/>
          <w:szCs w:val="24"/>
        </w:rPr>
        <w:t xml:space="preserve">from the </w:t>
      </w:r>
      <w:r w:rsidR="00E07688" w:rsidRPr="002661A8">
        <w:rPr>
          <w:rFonts w:ascii="Times New Roman" w:hAnsi="Times New Roman" w:cs="Times New Roman"/>
          <w:noProof/>
          <w:sz w:val="24"/>
          <w:szCs w:val="24"/>
        </w:rPr>
        <w:t>single</w:t>
      </w:r>
      <w:r w:rsidR="008A1AA8" w:rsidRPr="002661A8">
        <w:rPr>
          <w:rFonts w:ascii="Times New Roman" w:hAnsi="Times New Roman" w:cs="Times New Roman"/>
          <w:noProof/>
          <w:sz w:val="24"/>
          <w:szCs w:val="24"/>
        </w:rPr>
        <w:t xml:space="preserve"> market and </w:t>
      </w:r>
      <w:r w:rsidR="0034415A" w:rsidRPr="002661A8">
        <w:rPr>
          <w:rFonts w:ascii="Times New Roman" w:hAnsi="Times New Roman" w:cs="Times New Roman"/>
          <w:noProof/>
          <w:sz w:val="24"/>
          <w:szCs w:val="24"/>
        </w:rPr>
        <w:t xml:space="preserve">its </w:t>
      </w:r>
      <w:r w:rsidR="008A1AA8" w:rsidRPr="002661A8">
        <w:rPr>
          <w:rFonts w:ascii="Times New Roman" w:hAnsi="Times New Roman" w:cs="Times New Roman"/>
          <w:noProof/>
          <w:sz w:val="24"/>
          <w:szCs w:val="24"/>
        </w:rPr>
        <w:t xml:space="preserve">common </w:t>
      </w:r>
      <w:r w:rsidR="00E07688" w:rsidRPr="002661A8">
        <w:rPr>
          <w:rFonts w:ascii="Times New Roman" w:hAnsi="Times New Roman" w:cs="Times New Roman"/>
          <w:noProof/>
          <w:sz w:val="24"/>
          <w:szCs w:val="24"/>
        </w:rPr>
        <w:t>s</w:t>
      </w:r>
      <w:r w:rsidR="008A1AA8" w:rsidRPr="002661A8">
        <w:rPr>
          <w:rFonts w:ascii="Times New Roman" w:hAnsi="Times New Roman" w:cs="Times New Roman"/>
          <w:noProof/>
          <w:sz w:val="24"/>
          <w:szCs w:val="24"/>
        </w:rPr>
        <w:t>ystem of regulation, coordinated supervision and enforcement</w:t>
      </w:r>
      <w:r w:rsidR="003E0760" w:rsidRPr="002661A8">
        <w:rPr>
          <w:rFonts w:ascii="Times New Roman" w:hAnsi="Times New Roman" w:cs="Times New Roman"/>
          <w:noProof/>
          <w:sz w:val="24"/>
          <w:szCs w:val="24"/>
        </w:rPr>
        <w:t xml:space="preserve">, coupled with the significant amount of financial instruments in </w:t>
      </w:r>
      <w:r w:rsidR="00856B54" w:rsidRPr="002661A8">
        <w:rPr>
          <w:rFonts w:ascii="Times New Roman" w:hAnsi="Times New Roman" w:cs="Times New Roman"/>
          <w:noProof/>
          <w:sz w:val="24"/>
          <w:szCs w:val="24"/>
        </w:rPr>
        <w:t xml:space="preserve">EU </w:t>
      </w:r>
      <w:r w:rsidR="003E0760" w:rsidRPr="002661A8">
        <w:rPr>
          <w:rFonts w:ascii="Times New Roman" w:hAnsi="Times New Roman" w:cs="Times New Roman"/>
          <w:noProof/>
          <w:sz w:val="24"/>
          <w:szCs w:val="24"/>
        </w:rPr>
        <w:t xml:space="preserve">currencies cleared by UK CCPs, </w:t>
      </w:r>
      <w:r w:rsidR="008A1AA8" w:rsidRPr="002661A8">
        <w:rPr>
          <w:rFonts w:ascii="Times New Roman" w:hAnsi="Times New Roman" w:cs="Times New Roman"/>
          <w:noProof/>
          <w:sz w:val="24"/>
          <w:szCs w:val="24"/>
        </w:rPr>
        <w:t xml:space="preserve">create major challenges for </w:t>
      </w:r>
      <w:r w:rsidR="00856B54" w:rsidRPr="002661A8">
        <w:rPr>
          <w:rFonts w:ascii="Times New Roman" w:hAnsi="Times New Roman" w:cs="Times New Roman"/>
          <w:noProof/>
          <w:sz w:val="24"/>
          <w:szCs w:val="24"/>
        </w:rPr>
        <w:t xml:space="preserve">EU </w:t>
      </w:r>
      <w:r w:rsidR="008A1AA8" w:rsidRPr="002661A8">
        <w:rPr>
          <w:rFonts w:ascii="Times New Roman" w:hAnsi="Times New Roman" w:cs="Times New Roman"/>
          <w:noProof/>
          <w:sz w:val="24"/>
          <w:szCs w:val="24"/>
        </w:rPr>
        <w:t xml:space="preserve">and Member States’ authorities in managing financial stability, </w:t>
      </w:r>
      <w:r w:rsidR="003E0760" w:rsidRPr="002661A8">
        <w:rPr>
          <w:rFonts w:ascii="Times New Roman" w:hAnsi="Times New Roman" w:cs="Times New Roman"/>
          <w:noProof/>
          <w:sz w:val="24"/>
          <w:szCs w:val="24"/>
        </w:rPr>
        <w:t>particularly in times of stress.</w:t>
      </w:r>
    </w:p>
    <w:p w14:paraId="3DA2833D" w14:textId="46CFC441" w:rsidR="00613AB1" w:rsidRPr="002661A8" w:rsidRDefault="3FA542DF" w:rsidP="3FA542DF">
      <w:pPr>
        <w:spacing w:after="120" w:line="240" w:lineRule="auto"/>
        <w:jc w:val="both"/>
        <w:rPr>
          <w:rFonts w:ascii="Times New Roman" w:hAnsi="Times New Roman" w:cs="Times New Roman"/>
          <w:noProof/>
          <w:sz w:val="24"/>
          <w:szCs w:val="24"/>
        </w:rPr>
      </w:pPr>
      <w:r w:rsidRPr="002661A8">
        <w:rPr>
          <w:rFonts w:ascii="Times New Roman" w:eastAsia="Times New Roman" w:hAnsi="Times New Roman" w:cs="Times New Roman"/>
          <w:noProof/>
          <w:sz w:val="24"/>
          <w:szCs w:val="24"/>
          <w:lang w:eastAsia="en-GB"/>
        </w:rPr>
        <w:t>Th</w:t>
      </w:r>
      <w:r w:rsidR="00DE26AB" w:rsidRPr="002661A8">
        <w:rPr>
          <w:rFonts w:ascii="Times New Roman" w:eastAsia="Times New Roman" w:hAnsi="Times New Roman" w:cs="Times New Roman"/>
          <w:noProof/>
          <w:sz w:val="24"/>
          <w:szCs w:val="24"/>
          <w:lang w:eastAsia="en-GB"/>
        </w:rPr>
        <w:t>e</w:t>
      </w:r>
      <w:r w:rsidRPr="002661A8">
        <w:rPr>
          <w:rFonts w:ascii="Times New Roman" w:eastAsia="Times New Roman" w:hAnsi="Times New Roman" w:cs="Times New Roman"/>
          <w:noProof/>
          <w:sz w:val="24"/>
          <w:szCs w:val="24"/>
          <w:lang w:eastAsia="en-GB"/>
        </w:rPr>
        <w:t xml:space="preserve"> level of exposure of EU clearing participants to UK CCPs is why, from the start of the </w:t>
      </w:r>
      <w:r w:rsidR="007D488B" w:rsidRPr="002661A8">
        <w:rPr>
          <w:rFonts w:ascii="Times New Roman" w:eastAsia="Times New Roman" w:hAnsi="Times New Roman" w:cs="Times New Roman"/>
          <w:noProof/>
          <w:sz w:val="24"/>
          <w:szCs w:val="24"/>
          <w:lang w:eastAsia="en-GB"/>
        </w:rPr>
        <w:t>process of</w:t>
      </w:r>
      <w:r w:rsidRPr="002661A8">
        <w:rPr>
          <w:rFonts w:ascii="Times New Roman" w:eastAsia="Times New Roman" w:hAnsi="Times New Roman" w:cs="Times New Roman"/>
          <w:noProof/>
          <w:sz w:val="24"/>
          <w:szCs w:val="24"/>
          <w:lang w:eastAsia="en-GB"/>
        </w:rPr>
        <w:t xml:space="preserve"> </w:t>
      </w:r>
      <w:r w:rsidR="004C38D8" w:rsidRPr="002661A8">
        <w:rPr>
          <w:rFonts w:ascii="Times New Roman" w:eastAsia="Times New Roman" w:hAnsi="Times New Roman" w:cs="Times New Roman"/>
          <w:noProof/>
          <w:sz w:val="24"/>
          <w:szCs w:val="24"/>
          <w:lang w:eastAsia="en-GB"/>
        </w:rPr>
        <w:t xml:space="preserve">withdrawal of the </w:t>
      </w:r>
      <w:r w:rsidR="00E07688" w:rsidRPr="002661A8">
        <w:rPr>
          <w:rFonts w:ascii="Times New Roman" w:eastAsia="Times New Roman" w:hAnsi="Times New Roman" w:cs="Times New Roman"/>
          <w:noProof/>
          <w:sz w:val="24"/>
          <w:szCs w:val="24"/>
          <w:lang w:eastAsia="en-GB"/>
        </w:rPr>
        <w:t>UK</w:t>
      </w:r>
      <w:r w:rsidR="004C38D8" w:rsidRPr="002661A8">
        <w:rPr>
          <w:rFonts w:ascii="Times New Roman" w:eastAsia="Times New Roman" w:hAnsi="Times New Roman" w:cs="Times New Roman"/>
          <w:noProof/>
          <w:sz w:val="24"/>
          <w:szCs w:val="24"/>
          <w:lang w:eastAsia="en-GB"/>
        </w:rPr>
        <w:t xml:space="preserve"> from the </w:t>
      </w:r>
      <w:r w:rsidR="00856B54" w:rsidRPr="002661A8">
        <w:rPr>
          <w:rFonts w:ascii="Times New Roman" w:eastAsia="Times New Roman" w:hAnsi="Times New Roman" w:cs="Times New Roman"/>
          <w:noProof/>
          <w:sz w:val="24"/>
          <w:szCs w:val="24"/>
          <w:lang w:eastAsia="en-GB"/>
        </w:rPr>
        <w:t>EU</w:t>
      </w:r>
      <w:r w:rsidR="004C38D8" w:rsidRPr="002661A8">
        <w:rPr>
          <w:rFonts w:ascii="Times New Roman" w:eastAsia="Times New Roman" w:hAnsi="Times New Roman" w:cs="Times New Roman"/>
          <w:noProof/>
          <w:sz w:val="24"/>
          <w:szCs w:val="24"/>
          <w:lang w:eastAsia="en-GB"/>
        </w:rPr>
        <w:t xml:space="preserve">, </w:t>
      </w:r>
      <w:r w:rsidRPr="002661A8">
        <w:rPr>
          <w:rFonts w:ascii="Times New Roman" w:eastAsia="Times New Roman" w:hAnsi="Times New Roman" w:cs="Times New Roman"/>
          <w:noProof/>
          <w:sz w:val="24"/>
          <w:szCs w:val="24"/>
          <w:lang w:eastAsia="en-GB"/>
        </w:rPr>
        <w:t xml:space="preserve">central clearing has been </w:t>
      </w:r>
      <w:r w:rsidR="00E42017" w:rsidRPr="002661A8">
        <w:rPr>
          <w:rFonts w:ascii="Times New Roman" w:eastAsia="Times New Roman" w:hAnsi="Times New Roman" w:cs="Times New Roman"/>
          <w:noProof/>
          <w:sz w:val="24"/>
          <w:szCs w:val="24"/>
          <w:lang w:eastAsia="en-GB"/>
        </w:rPr>
        <w:t>seen</w:t>
      </w:r>
      <w:r w:rsidRPr="002661A8">
        <w:rPr>
          <w:rFonts w:ascii="Times New Roman" w:eastAsia="Times New Roman" w:hAnsi="Times New Roman" w:cs="Times New Roman"/>
          <w:noProof/>
          <w:sz w:val="24"/>
          <w:szCs w:val="24"/>
          <w:lang w:eastAsia="en-GB"/>
        </w:rPr>
        <w:t xml:space="preserve"> a sector where financial stability risks could be significant in the event of an abrupt disruption in access to such CCPs by EU participants. To address such risks</w:t>
      </w:r>
      <w:r w:rsidR="00B6566F" w:rsidRPr="002661A8">
        <w:rPr>
          <w:rFonts w:ascii="Times New Roman" w:eastAsia="Times New Roman" w:hAnsi="Times New Roman" w:cs="Times New Roman"/>
          <w:noProof/>
          <w:sz w:val="24"/>
          <w:szCs w:val="24"/>
          <w:lang w:eastAsia="en-GB"/>
        </w:rPr>
        <w:t xml:space="preserve"> in the short term</w:t>
      </w:r>
      <w:r w:rsidRPr="002661A8">
        <w:rPr>
          <w:rFonts w:ascii="Times New Roman" w:eastAsia="Times New Roman" w:hAnsi="Times New Roman" w:cs="Times New Roman"/>
          <w:noProof/>
          <w:sz w:val="24"/>
          <w:szCs w:val="24"/>
          <w:lang w:eastAsia="en-GB"/>
        </w:rPr>
        <w:t>,</w:t>
      </w:r>
      <w:r w:rsidRPr="002661A8" w:rsidDel="009826FB">
        <w:rPr>
          <w:rFonts w:ascii="Times New Roman" w:eastAsia="Times New Roman" w:hAnsi="Times New Roman" w:cs="Times New Roman"/>
          <w:noProof/>
          <w:sz w:val="24"/>
          <w:szCs w:val="24"/>
          <w:lang w:eastAsia="en-GB"/>
        </w:rPr>
        <w:t xml:space="preserve"> </w:t>
      </w:r>
      <w:r w:rsidRPr="002661A8">
        <w:rPr>
          <w:rFonts w:ascii="Times New Roman" w:eastAsia="Times New Roman" w:hAnsi="Times New Roman" w:cs="Times New Roman"/>
          <w:noProof/>
          <w:sz w:val="24"/>
          <w:szCs w:val="24"/>
          <w:lang w:eastAsia="en-GB"/>
        </w:rPr>
        <w:t>the Commission adopted</w:t>
      </w:r>
      <w:r w:rsidR="009826FB">
        <w:rPr>
          <w:rFonts w:ascii="Times New Roman" w:eastAsia="Times New Roman" w:hAnsi="Times New Roman" w:cs="Times New Roman"/>
          <w:noProof/>
          <w:sz w:val="24"/>
          <w:szCs w:val="24"/>
          <w:lang w:eastAsia="en-GB"/>
        </w:rPr>
        <w:t>,</w:t>
      </w:r>
      <w:r w:rsidRPr="002661A8">
        <w:rPr>
          <w:rFonts w:ascii="Times New Roman" w:eastAsia="Times New Roman" w:hAnsi="Times New Roman" w:cs="Times New Roman"/>
          <w:noProof/>
          <w:sz w:val="24"/>
          <w:szCs w:val="24"/>
          <w:lang w:eastAsia="en-GB"/>
        </w:rPr>
        <w:t xml:space="preserve"> </w:t>
      </w:r>
      <w:r w:rsidR="009826FB" w:rsidRPr="002661A8">
        <w:rPr>
          <w:rFonts w:ascii="Times New Roman" w:eastAsia="Times New Roman" w:hAnsi="Times New Roman" w:cs="Times New Roman"/>
          <w:noProof/>
          <w:sz w:val="24"/>
          <w:szCs w:val="24"/>
          <w:lang w:eastAsia="en-GB"/>
        </w:rPr>
        <w:t>in September 2020</w:t>
      </w:r>
      <w:r w:rsidR="009826FB">
        <w:rPr>
          <w:rFonts w:ascii="Times New Roman" w:eastAsia="Times New Roman" w:hAnsi="Times New Roman" w:cs="Times New Roman"/>
          <w:noProof/>
          <w:sz w:val="24"/>
          <w:szCs w:val="24"/>
          <w:lang w:eastAsia="en-GB"/>
        </w:rPr>
        <w:t xml:space="preserve">, </w:t>
      </w:r>
      <w:r w:rsidRPr="002661A8">
        <w:rPr>
          <w:rFonts w:ascii="Times New Roman" w:eastAsia="Times New Roman" w:hAnsi="Times New Roman" w:cs="Times New Roman"/>
          <w:noProof/>
          <w:sz w:val="24"/>
          <w:szCs w:val="24"/>
          <w:lang w:eastAsia="en-GB"/>
        </w:rPr>
        <w:t xml:space="preserve">a time-limited </w:t>
      </w:r>
      <w:r w:rsidRPr="002661A8">
        <w:rPr>
          <w:rFonts w:ascii="Times New Roman" w:eastAsia="Times New Roman" w:hAnsi="Times New Roman" w:cs="Times New Roman"/>
          <w:b/>
          <w:noProof/>
          <w:sz w:val="24"/>
          <w:szCs w:val="24"/>
          <w:lang w:eastAsia="en-GB"/>
        </w:rPr>
        <w:t>equivalence decision for UK CCPs</w:t>
      </w:r>
      <w:r w:rsidRPr="002661A8">
        <w:rPr>
          <w:rFonts w:ascii="Times New Roman" w:eastAsia="Times New Roman" w:hAnsi="Times New Roman" w:cs="Times New Roman"/>
          <w:noProof/>
          <w:sz w:val="24"/>
          <w:szCs w:val="24"/>
          <w:lang w:eastAsia="en-GB"/>
        </w:rPr>
        <w:t xml:space="preserve">. </w:t>
      </w:r>
      <w:r w:rsidR="00E42017" w:rsidRPr="002661A8">
        <w:rPr>
          <w:rFonts w:ascii="Times New Roman" w:hAnsi="Times New Roman" w:cs="Times New Roman"/>
          <w:noProof/>
          <w:sz w:val="24"/>
          <w:szCs w:val="24"/>
        </w:rPr>
        <w:t xml:space="preserve">In this, </w:t>
      </w:r>
      <w:r w:rsidRPr="002661A8">
        <w:rPr>
          <w:rFonts w:ascii="Times New Roman" w:hAnsi="Times New Roman" w:cs="Times New Roman"/>
          <w:noProof/>
          <w:sz w:val="24"/>
          <w:szCs w:val="24"/>
        </w:rPr>
        <w:t xml:space="preserve">market participants were urged to take action and reduce their </w:t>
      </w:r>
      <w:r w:rsidR="000C228C" w:rsidRPr="002661A8">
        <w:rPr>
          <w:rFonts w:ascii="Times New Roman" w:hAnsi="Times New Roman" w:cs="Times New Roman"/>
          <w:noProof/>
          <w:sz w:val="24"/>
          <w:szCs w:val="24"/>
        </w:rPr>
        <w:t>excessive</w:t>
      </w:r>
      <w:r w:rsidRPr="002661A8">
        <w:rPr>
          <w:rFonts w:ascii="Times New Roman" w:hAnsi="Times New Roman" w:cs="Times New Roman"/>
          <w:noProof/>
          <w:sz w:val="24"/>
          <w:szCs w:val="24"/>
        </w:rPr>
        <w:t xml:space="preserve"> exposures, in particular </w:t>
      </w:r>
      <w:r w:rsidR="00E818E4">
        <w:rPr>
          <w:rFonts w:ascii="Times New Roman" w:hAnsi="Times New Roman" w:cs="Times New Roman"/>
          <w:noProof/>
          <w:sz w:val="24"/>
          <w:szCs w:val="24"/>
        </w:rPr>
        <w:t xml:space="preserve">their </w:t>
      </w:r>
      <w:r w:rsidR="0068359D" w:rsidRPr="002661A8">
        <w:rPr>
          <w:rFonts w:ascii="Times New Roman" w:hAnsi="Times New Roman" w:cs="Times New Roman"/>
          <w:noProof/>
          <w:sz w:val="24"/>
          <w:szCs w:val="24"/>
        </w:rPr>
        <w:t>OTC</w:t>
      </w:r>
      <w:r w:rsidRPr="002661A8">
        <w:rPr>
          <w:rFonts w:ascii="Times New Roman" w:hAnsi="Times New Roman" w:cs="Times New Roman"/>
          <w:noProof/>
          <w:sz w:val="24"/>
          <w:szCs w:val="24"/>
        </w:rPr>
        <w:t xml:space="preserve"> derivative exposures denominated in euro and other </w:t>
      </w:r>
      <w:r w:rsidR="00856B54" w:rsidRPr="002661A8">
        <w:rPr>
          <w:rFonts w:ascii="Times New Roman" w:hAnsi="Times New Roman" w:cs="Times New Roman"/>
          <w:noProof/>
          <w:sz w:val="24"/>
          <w:szCs w:val="24"/>
        </w:rPr>
        <w:t xml:space="preserve">EU </w:t>
      </w:r>
      <w:r w:rsidRPr="002661A8">
        <w:rPr>
          <w:rFonts w:ascii="Times New Roman" w:hAnsi="Times New Roman" w:cs="Times New Roman"/>
          <w:noProof/>
          <w:sz w:val="24"/>
          <w:szCs w:val="24"/>
        </w:rPr>
        <w:t xml:space="preserve">currencies. </w:t>
      </w:r>
      <w:r w:rsidR="00613AB1" w:rsidRPr="002661A8">
        <w:rPr>
          <w:rFonts w:ascii="Times New Roman" w:hAnsi="Times New Roman" w:cs="Times New Roman"/>
          <w:noProof/>
          <w:sz w:val="24"/>
          <w:szCs w:val="24"/>
        </w:rPr>
        <w:t xml:space="preserve">ESMA was mandated to assess whether a </w:t>
      </w:r>
      <w:r w:rsidR="007D75F7" w:rsidRPr="002661A8">
        <w:rPr>
          <w:rFonts w:ascii="Times New Roman" w:hAnsi="Times New Roman" w:cs="Times New Roman"/>
          <w:noProof/>
          <w:sz w:val="24"/>
          <w:szCs w:val="24"/>
        </w:rPr>
        <w:t>Tier 2</w:t>
      </w:r>
      <w:r w:rsidR="00613AB1" w:rsidRPr="002661A8">
        <w:rPr>
          <w:rFonts w:ascii="Times New Roman" w:hAnsi="Times New Roman" w:cs="Times New Roman"/>
          <w:noProof/>
          <w:sz w:val="24"/>
          <w:szCs w:val="24"/>
        </w:rPr>
        <w:t xml:space="preserve"> CCP or some of its clearing services could be of such substantial systemic importance that that CCP should not be recognised to provide certain clearing services or activities. In December 2021, ESMA identified</w:t>
      </w:r>
      <w:r w:rsidR="00613AB1" w:rsidRPr="002661A8">
        <w:rPr>
          <w:rStyle w:val="FootnoteReference"/>
          <w:rFonts w:ascii="Times New Roman" w:hAnsi="Times New Roman" w:cs="Times New Roman"/>
          <w:noProof/>
          <w:sz w:val="24"/>
          <w:szCs w:val="24"/>
        </w:rPr>
        <w:footnoteReference w:id="29"/>
      </w:r>
      <w:r w:rsidR="00613AB1" w:rsidRPr="002661A8">
        <w:rPr>
          <w:rFonts w:ascii="Times New Roman" w:hAnsi="Times New Roman" w:cs="Times New Roman"/>
          <w:noProof/>
          <w:sz w:val="24"/>
          <w:szCs w:val="24"/>
        </w:rPr>
        <w:t xml:space="preserve"> three clearing services of substantial systemic importance for the </w:t>
      </w:r>
      <w:r w:rsidR="00856B54" w:rsidRPr="002661A8">
        <w:rPr>
          <w:rFonts w:ascii="Times New Roman" w:hAnsi="Times New Roman" w:cs="Times New Roman"/>
          <w:noProof/>
          <w:sz w:val="24"/>
          <w:szCs w:val="24"/>
        </w:rPr>
        <w:t xml:space="preserve">EU </w:t>
      </w:r>
      <w:r w:rsidR="00613AB1" w:rsidRPr="002661A8">
        <w:rPr>
          <w:rFonts w:ascii="Times New Roman" w:hAnsi="Times New Roman" w:cs="Times New Roman"/>
          <w:noProof/>
          <w:sz w:val="24"/>
          <w:szCs w:val="24"/>
        </w:rPr>
        <w:t>or one or more Member States, namely LCH Ltd SwapClear for euro and Polish zloty</w:t>
      </w:r>
      <w:r w:rsidR="009826FB">
        <w:rPr>
          <w:rFonts w:ascii="Times New Roman" w:hAnsi="Times New Roman" w:cs="Times New Roman"/>
          <w:noProof/>
          <w:sz w:val="24"/>
          <w:szCs w:val="24"/>
        </w:rPr>
        <w:t xml:space="preserve"> and</w:t>
      </w:r>
      <w:r w:rsidR="00613AB1" w:rsidRPr="002661A8">
        <w:rPr>
          <w:rFonts w:ascii="Times New Roman" w:hAnsi="Times New Roman" w:cs="Times New Roman"/>
          <w:noProof/>
          <w:sz w:val="24"/>
          <w:szCs w:val="24"/>
        </w:rPr>
        <w:t xml:space="preserve"> ICE Clear Europe </w:t>
      </w:r>
      <w:r w:rsidR="009826FB">
        <w:rPr>
          <w:rFonts w:ascii="Times New Roman" w:hAnsi="Times New Roman" w:cs="Times New Roman"/>
          <w:noProof/>
          <w:sz w:val="24"/>
          <w:szCs w:val="24"/>
        </w:rPr>
        <w:t xml:space="preserve">for </w:t>
      </w:r>
      <w:r w:rsidR="00613AB1" w:rsidRPr="002661A8">
        <w:rPr>
          <w:rFonts w:ascii="Times New Roman" w:hAnsi="Times New Roman" w:cs="Times New Roman"/>
          <w:noProof/>
          <w:sz w:val="24"/>
          <w:szCs w:val="24"/>
        </w:rPr>
        <w:t>CDS and STIR services for euro products. While the assessment concluded that</w:t>
      </w:r>
      <w:r w:rsidR="00E07688" w:rsidRPr="002661A8">
        <w:rPr>
          <w:rFonts w:ascii="Times New Roman" w:hAnsi="Times New Roman" w:cs="Times New Roman"/>
          <w:noProof/>
          <w:sz w:val="24"/>
          <w:szCs w:val="24"/>
        </w:rPr>
        <w:t>,</w:t>
      </w:r>
      <w:r w:rsidR="00613AB1" w:rsidRPr="002661A8">
        <w:rPr>
          <w:rFonts w:ascii="Times New Roman" w:hAnsi="Times New Roman" w:cs="Times New Roman"/>
          <w:noProof/>
          <w:sz w:val="24"/>
          <w:szCs w:val="24"/>
        </w:rPr>
        <w:t xml:space="preserve"> at </w:t>
      </w:r>
      <w:r w:rsidR="00683C25" w:rsidRPr="002661A8">
        <w:rPr>
          <w:rFonts w:ascii="Times New Roman" w:hAnsi="Times New Roman" w:cs="Times New Roman"/>
          <w:noProof/>
          <w:sz w:val="24"/>
          <w:szCs w:val="24"/>
        </w:rPr>
        <w:t>present</w:t>
      </w:r>
      <w:r w:rsidR="00E07688" w:rsidRPr="002661A8">
        <w:rPr>
          <w:rFonts w:ascii="Times New Roman" w:hAnsi="Times New Roman" w:cs="Times New Roman"/>
          <w:noProof/>
          <w:sz w:val="24"/>
          <w:szCs w:val="24"/>
        </w:rPr>
        <w:t>,</w:t>
      </w:r>
      <w:r w:rsidR="00613AB1" w:rsidRPr="002661A8">
        <w:rPr>
          <w:rFonts w:ascii="Times New Roman" w:hAnsi="Times New Roman" w:cs="Times New Roman"/>
          <w:noProof/>
          <w:sz w:val="24"/>
          <w:szCs w:val="24"/>
        </w:rPr>
        <w:t xml:space="preserve"> the costs of derecognising these services would outweigh the benefits, ESMA identified </w:t>
      </w:r>
      <w:r w:rsidR="00683C25" w:rsidRPr="002661A8">
        <w:rPr>
          <w:rFonts w:ascii="Times New Roman" w:hAnsi="Times New Roman" w:cs="Times New Roman"/>
          <w:noProof/>
          <w:sz w:val="24"/>
          <w:szCs w:val="24"/>
        </w:rPr>
        <w:t>several</w:t>
      </w:r>
      <w:r w:rsidR="00613AB1" w:rsidRPr="002661A8">
        <w:rPr>
          <w:rFonts w:ascii="Times New Roman" w:hAnsi="Times New Roman" w:cs="Times New Roman"/>
          <w:noProof/>
          <w:sz w:val="24"/>
          <w:szCs w:val="24"/>
        </w:rPr>
        <w:t xml:space="preserve"> measures to </w:t>
      </w:r>
      <w:r w:rsidR="00B97832" w:rsidRPr="002661A8">
        <w:rPr>
          <w:rFonts w:ascii="Times New Roman" w:hAnsi="Times New Roman" w:cs="Times New Roman"/>
          <w:noProof/>
          <w:sz w:val="24"/>
          <w:szCs w:val="24"/>
        </w:rPr>
        <w:t xml:space="preserve">possibly </w:t>
      </w:r>
      <w:r w:rsidR="00613AB1" w:rsidRPr="002661A8">
        <w:rPr>
          <w:rFonts w:ascii="Times New Roman" w:hAnsi="Times New Roman" w:cs="Times New Roman"/>
          <w:noProof/>
          <w:sz w:val="24"/>
          <w:szCs w:val="24"/>
        </w:rPr>
        <w:t xml:space="preserve">address the </w:t>
      </w:r>
      <w:r w:rsidR="00C647E7" w:rsidRPr="002661A8">
        <w:rPr>
          <w:rFonts w:ascii="Times New Roman" w:hAnsi="Times New Roman" w:cs="Times New Roman"/>
          <w:noProof/>
          <w:sz w:val="24"/>
          <w:szCs w:val="24"/>
        </w:rPr>
        <w:t>risks arising from the concentration</w:t>
      </w:r>
      <w:r w:rsidR="00613AB1" w:rsidRPr="002661A8">
        <w:rPr>
          <w:rFonts w:ascii="Times New Roman" w:hAnsi="Times New Roman" w:cs="Times New Roman"/>
          <w:noProof/>
          <w:sz w:val="24"/>
          <w:szCs w:val="24"/>
        </w:rPr>
        <w:t xml:space="preserve"> of certain clearing services of UK CCPs.</w:t>
      </w:r>
      <w:r w:rsidR="00013F6B" w:rsidRPr="002661A8">
        <w:rPr>
          <w:rFonts w:ascii="Times New Roman" w:hAnsi="Times New Roman" w:cs="Times New Roman"/>
          <w:noProof/>
          <w:sz w:val="24"/>
          <w:szCs w:val="24"/>
        </w:rPr>
        <w:t xml:space="preserve"> Among these, ESMA proposed to </w:t>
      </w:r>
      <w:r w:rsidR="0022652F" w:rsidRPr="002661A8">
        <w:rPr>
          <w:rFonts w:ascii="Times New Roman" w:hAnsi="Times New Roman" w:cs="Times New Roman"/>
          <w:noProof/>
          <w:sz w:val="24"/>
          <w:szCs w:val="24"/>
        </w:rPr>
        <w:t xml:space="preserve">consider </w:t>
      </w:r>
      <w:r w:rsidR="00013F6B" w:rsidRPr="002661A8">
        <w:rPr>
          <w:rFonts w:ascii="Times New Roman" w:hAnsi="Times New Roman" w:cs="Times New Roman"/>
          <w:noProof/>
          <w:sz w:val="24"/>
          <w:szCs w:val="24"/>
        </w:rPr>
        <w:t>adopt</w:t>
      </w:r>
      <w:r w:rsidR="0022652F" w:rsidRPr="002661A8">
        <w:rPr>
          <w:rFonts w:ascii="Times New Roman" w:hAnsi="Times New Roman" w:cs="Times New Roman"/>
          <w:noProof/>
          <w:sz w:val="24"/>
          <w:szCs w:val="24"/>
        </w:rPr>
        <w:t>ing</w:t>
      </w:r>
      <w:r w:rsidR="00013F6B" w:rsidRPr="002661A8">
        <w:rPr>
          <w:rFonts w:ascii="Times New Roman" w:hAnsi="Times New Roman" w:cs="Times New Roman"/>
          <w:noProof/>
          <w:sz w:val="24"/>
          <w:szCs w:val="24"/>
        </w:rPr>
        <w:t xml:space="preserve"> appropriate incentives for reducing </w:t>
      </w:r>
      <w:r w:rsidR="0022652F" w:rsidRPr="002661A8">
        <w:rPr>
          <w:rFonts w:ascii="Times New Roman" w:hAnsi="Times New Roman" w:cs="Times New Roman"/>
          <w:noProof/>
          <w:sz w:val="24"/>
          <w:szCs w:val="24"/>
        </w:rPr>
        <w:t>the size of EU’s exposures to Tier 2 CCPs, e.g. requirements for alternative clearing arrangements for clearing members or clients</w:t>
      </w:r>
      <w:r w:rsidR="00EC40AD" w:rsidRPr="002661A8">
        <w:rPr>
          <w:rFonts w:ascii="Times New Roman" w:hAnsi="Times New Roman" w:cs="Times New Roman"/>
          <w:noProof/>
          <w:sz w:val="24"/>
          <w:szCs w:val="24"/>
        </w:rPr>
        <w:t xml:space="preserve"> and </w:t>
      </w:r>
      <w:r w:rsidR="0022652F" w:rsidRPr="002661A8">
        <w:rPr>
          <w:rFonts w:ascii="Times New Roman" w:hAnsi="Times New Roman" w:cs="Times New Roman"/>
          <w:noProof/>
          <w:sz w:val="24"/>
          <w:szCs w:val="24"/>
        </w:rPr>
        <w:t>prudential requirements.</w:t>
      </w:r>
    </w:p>
    <w:p w14:paraId="178FF96E" w14:textId="63BB6FA3" w:rsidR="00613AB1" w:rsidRPr="002661A8" w:rsidRDefault="00E07688" w:rsidP="009F3588">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O</w:t>
      </w:r>
      <w:r w:rsidR="3FA542DF" w:rsidRPr="002661A8">
        <w:rPr>
          <w:rFonts w:ascii="Times New Roman" w:hAnsi="Times New Roman" w:cs="Times New Roman"/>
          <w:noProof/>
          <w:sz w:val="24"/>
          <w:szCs w:val="24"/>
        </w:rPr>
        <w:t>n 10 November 2021</w:t>
      </w:r>
      <w:r w:rsidRPr="002661A8">
        <w:rPr>
          <w:rFonts w:ascii="Times New Roman" w:hAnsi="Times New Roman" w:cs="Times New Roman"/>
          <w:noProof/>
          <w:sz w:val="24"/>
          <w:szCs w:val="24"/>
        </w:rPr>
        <w:t>,</w:t>
      </w:r>
      <w:r w:rsidR="3FA542DF" w:rsidRPr="002661A8">
        <w:rPr>
          <w:rFonts w:ascii="Times New Roman" w:hAnsi="Times New Roman" w:cs="Times New Roman"/>
          <w:noProof/>
          <w:sz w:val="24"/>
          <w:szCs w:val="24"/>
        </w:rPr>
        <w:t xml:space="preserve"> Commissioner McGuinness made a </w:t>
      </w:r>
      <w:r w:rsidR="3FA542DF" w:rsidRPr="002661A8">
        <w:rPr>
          <w:rFonts w:ascii="Times New Roman" w:hAnsi="Times New Roman" w:cs="Times New Roman"/>
          <w:b/>
          <w:noProof/>
          <w:sz w:val="24"/>
          <w:szCs w:val="24"/>
        </w:rPr>
        <w:t>Statement on the way forward for central clearing</w:t>
      </w:r>
      <w:r w:rsidR="00040E99" w:rsidRPr="002661A8">
        <w:rPr>
          <w:rStyle w:val="FootnoteReference"/>
          <w:rFonts w:ascii="Times New Roman" w:hAnsi="Times New Roman" w:cs="Times New Roman"/>
          <w:noProof/>
          <w:sz w:val="24"/>
          <w:szCs w:val="24"/>
        </w:rPr>
        <w:footnoteReference w:id="30"/>
      </w:r>
      <w:r w:rsidRPr="002661A8">
        <w:rPr>
          <w:rFonts w:ascii="Times New Roman" w:hAnsi="Times New Roman" w:cs="Times New Roman"/>
          <w:b/>
          <w:noProof/>
          <w:sz w:val="24"/>
          <w:szCs w:val="24"/>
        </w:rPr>
        <w:t xml:space="preserve">, </w:t>
      </w:r>
      <w:r w:rsidRPr="002661A8">
        <w:rPr>
          <w:rFonts w:ascii="Times New Roman" w:hAnsi="Times New Roman" w:cs="Times New Roman"/>
          <w:noProof/>
          <w:sz w:val="24"/>
          <w:szCs w:val="24"/>
        </w:rPr>
        <w:t>announcing</w:t>
      </w:r>
      <w:r w:rsidR="3FA542DF" w:rsidRPr="002661A8">
        <w:rPr>
          <w:rFonts w:ascii="Times New Roman" w:hAnsi="Times New Roman" w:cs="Times New Roman"/>
          <w:noProof/>
          <w:sz w:val="24"/>
          <w:szCs w:val="24"/>
        </w:rPr>
        <w:t xml:space="preserve"> an extension of the equivalence decision for UK CCPs, to avoid </w:t>
      </w:r>
      <w:r w:rsidR="00267A5E" w:rsidRPr="002661A8">
        <w:rPr>
          <w:rFonts w:ascii="Times New Roman" w:hAnsi="Times New Roman" w:cs="Times New Roman"/>
          <w:noProof/>
          <w:sz w:val="24"/>
          <w:szCs w:val="24"/>
        </w:rPr>
        <w:t xml:space="preserve">the </w:t>
      </w:r>
      <w:r w:rsidR="3FA542DF" w:rsidRPr="002661A8">
        <w:rPr>
          <w:rFonts w:ascii="Times New Roman" w:hAnsi="Times New Roman" w:cs="Times New Roman"/>
          <w:noProof/>
          <w:sz w:val="24"/>
          <w:szCs w:val="24"/>
        </w:rPr>
        <w:t>short-term financial stability risks for the EU</w:t>
      </w:r>
      <w:r w:rsidR="00267A5E" w:rsidRPr="002661A8">
        <w:rPr>
          <w:rFonts w:ascii="Times New Roman" w:hAnsi="Times New Roman" w:cs="Times New Roman"/>
          <w:noProof/>
          <w:sz w:val="24"/>
          <w:szCs w:val="24"/>
        </w:rPr>
        <w:t xml:space="preserve"> </w:t>
      </w:r>
      <w:r w:rsidR="008A10BC">
        <w:rPr>
          <w:rFonts w:ascii="Times New Roman" w:hAnsi="Times New Roman" w:cs="Times New Roman"/>
          <w:noProof/>
          <w:sz w:val="24"/>
          <w:szCs w:val="24"/>
        </w:rPr>
        <w:t xml:space="preserve">that </w:t>
      </w:r>
      <w:r w:rsidR="00267A5E" w:rsidRPr="002661A8">
        <w:rPr>
          <w:rFonts w:ascii="Times New Roman" w:hAnsi="Times New Roman" w:cs="Times New Roman"/>
          <w:noProof/>
          <w:sz w:val="24"/>
          <w:szCs w:val="24"/>
        </w:rPr>
        <w:t>an abrupt cut-off from UK CCPs would have put on the EU financial system</w:t>
      </w:r>
      <w:r w:rsidR="3FA542DF" w:rsidRPr="002661A8">
        <w:rPr>
          <w:rFonts w:ascii="Times New Roman" w:hAnsi="Times New Roman" w:cs="Times New Roman"/>
          <w:noProof/>
          <w:sz w:val="24"/>
          <w:szCs w:val="24"/>
        </w:rPr>
        <w:t>.</w:t>
      </w:r>
      <w:r w:rsidR="00013D08" w:rsidRPr="002661A8">
        <w:rPr>
          <w:rStyle w:val="FootnoteReference"/>
          <w:rFonts w:ascii="Times New Roman" w:hAnsi="Times New Roman" w:cs="Times New Roman"/>
          <w:noProof/>
          <w:sz w:val="24"/>
          <w:szCs w:val="24"/>
        </w:rPr>
        <w:footnoteReference w:id="31"/>
      </w:r>
      <w:r w:rsidR="3FA542DF" w:rsidRPr="002661A8">
        <w:rPr>
          <w:rFonts w:ascii="Times New Roman" w:hAnsi="Times New Roman" w:cs="Times New Roman"/>
          <w:noProof/>
          <w:sz w:val="24"/>
          <w:szCs w:val="24"/>
        </w:rPr>
        <w:t xml:space="preserve"> </w:t>
      </w:r>
      <w:r w:rsidR="002B5021" w:rsidRPr="002661A8">
        <w:rPr>
          <w:rFonts w:ascii="Times New Roman" w:hAnsi="Times New Roman" w:cs="Times New Roman"/>
          <w:noProof/>
          <w:sz w:val="24"/>
          <w:szCs w:val="24"/>
        </w:rPr>
        <w:t>I</w:t>
      </w:r>
      <w:r w:rsidR="00613AB1" w:rsidRPr="002661A8">
        <w:rPr>
          <w:rFonts w:ascii="Times New Roman" w:hAnsi="Times New Roman" w:cs="Times New Roman"/>
          <w:noProof/>
          <w:sz w:val="24"/>
          <w:szCs w:val="24"/>
        </w:rPr>
        <w:t xml:space="preserve">t </w:t>
      </w:r>
      <w:r w:rsidR="005A3E87" w:rsidRPr="002661A8">
        <w:rPr>
          <w:rFonts w:ascii="Times New Roman" w:hAnsi="Times New Roman" w:cs="Times New Roman"/>
          <w:noProof/>
          <w:sz w:val="24"/>
          <w:szCs w:val="24"/>
        </w:rPr>
        <w:t xml:space="preserve">was </w:t>
      </w:r>
      <w:r w:rsidR="002B5021" w:rsidRPr="002661A8">
        <w:rPr>
          <w:rFonts w:ascii="Times New Roman" w:hAnsi="Times New Roman" w:cs="Times New Roman"/>
          <w:noProof/>
          <w:sz w:val="24"/>
          <w:szCs w:val="24"/>
        </w:rPr>
        <w:t>also</w:t>
      </w:r>
      <w:r w:rsidR="005A3E87" w:rsidRPr="002661A8">
        <w:rPr>
          <w:rFonts w:ascii="Times New Roman" w:hAnsi="Times New Roman" w:cs="Times New Roman"/>
          <w:noProof/>
          <w:sz w:val="24"/>
          <w:szCs w:val="24"/>
        </w:rPr>
        <w:t xml:space="preserve"> </w:t>
      </w:r>
      <w:r w:rsidR="00613AB1" w:rsidRPr="002661A8">
        <w:rPr>
          <w:rFonts w:ascii="Times New Roman" w:hAnsi="Times New Roman" w:cs="Times New Roman"/>
          <w:noProof/>
          <w:sz w:val="24"/>
          <w:szCs w:val="24"/>
        </w:rPr>
        <w:t xml:space="preserve">acknowledged that time is needed to build clearing capacity in the EU, along with robust supervision, to reduce the EU’s </w:t>
      </w:r>
      <w:r w:rsidR="000C228C" w:rsidRPr="002661A8">
        <w:rPr>
          <w:rFonts w:ascii="Times New Roman" w:hAnsi="Times New Roman" w:cs="Times New Roman"/>
          <w:noProof/>
          <w:sz w:val="24"/>
          <w:szCs w:val="24"/>
        </w:rPr>
        <w:t xml:space="preserve">excessive </w:t>
      </w:r>
      <w:r w:rsidR="00613AB1" w:rsidRPr="002661A8">
        <w:rPr>
          <w:rFonts w:ascii="Times New Roman" w:hAnsi="Times New Roman" w:cs="Times New Roman"/>
          <w:noProof/>
          <w:sz w:val="24"/>
          <w:szCs w:val="24"/>
        </w:rPr>
        <w:t xml:space="preserve">exposures and financial stability risks from </w:t>
      </w:r>
      <w:r w:rsidR="005A3E87" w:rsidRPr="002661A8">
        <w:rPr>
          <w:rFonts w:ascii="Times New Roman" w:hAnsi="Times New Roman" w:cs="Times New Roman"/>
          <w:noProof/>
          <w:sz w:val="24"/>
          <w:szCs w:val="24"/>
        </w:rPr>
        <w:t>the</w:t>
      </w:r>
      <w:r w:rsidR="00613AB1" w:rsidRPr="002661A8">
        <w:rPr>
          <w:rFonts w:ascii="Times New Roman" w:hAnsi="Times New Roman" w:cs="Times New Roman"/>
          <w:noProof/>
          <w:sz w:val="24"/>
          <w:szCs w:val="24"/>
        </w:rPr>
        <w:t xml:space="preserve"> overreliance on UK CCPs, as well as manage risks in the EU. This review follows from this statement</w:t>
      </w:r>
      <w:r w:rsidR="00613AB1" w:rsidRPr="002661A8" w:rsidDel="00356B87">
        <w:rPr>
          <w:rFonts w:ascii="Times New Roman" w:hAnsi="Times New Roman" w:cs="Times New Roman"/>
          <w:noProof/>
          <w:sz w:val="24"/>
          <w:szCs w:val="24"/>
        </w:rPr>
        <w:t xml:space="preserve">, identifying the underlying issues, and considering how </w:t>
      </w:r>
      <w:r w:rsidR="002B5021" w:rsidRPr="002661A8" w:rsidDel="00356B87">
        <w:rPr>
          <w:rFonts w:ascii="Times New Roman" w:hAnsi="Times New Roman" w:cs="Times New Roman"/>
          <w:noProof/>
          <w:sz w:val="24"/>
          <w:szCs w:val="24"/>
        </w:rPr>
        <w:t>obstacles</w:t>
      </w:r>
      <w:r w:rsidR="00613AB1" w:rsidRPr="002661A8" w:rsidDel="00356B87">
        <w:rPr>
          <w:rFonts w:ascii="Times New Roman" w:hAnsi="Times New Roman" w:cs="Times New Roman"/>
          <w:noProof/>
          <w:sz w:val="24"/>
          <w:szCs w:val="24"/>
        </w:rPr>
        <w:t xml:space="preserve"> could be addressed</w:t>
      </w:r>
      <w:r w:rsidR="00613AB1" w:rsidRPr="002661A8">
        <w:rPr>
          <w:rFonts w:ascii="Times New Roman" w:hAnsi="Times New Roman" w:cs="Times New Roman"/>
          <w:noProof/>
          <w:sz w:val="24"/>
          <w:szCs w:val="24"/>
        </w:rPr>
        <w:t>.</w:t>
      </w:r>
    </w:p>
    <w:p w14:paraId="09BEBDBC" w14:textId="45D2F410" w:rsidR="008A1AA8" w:rsidRPr="002661A8" w:rsidRDefault="3FA542DF" w:rsidP="009F3588">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In conclusion, this initiative should be seen </w:t>
      </w:r>
      <w:r w:rsidR="00934309" w:rsidRPr="002661A8">
        <w:rPr>
          <w:rFonts w:ascii="Times New Roman" w:hAnsi="Times New Roman" w:cs="Times New Roman"/>
          <w:noProof/>
          <w:sz w:val="24"/>
          <w:szCs w:val="24"/>
        </w:rPr>
        <w:t>in</w:t>
      </w:r>
      <w:r w:rsidRPr="002661A8">
        <w:rPr>
          <w:rFonts w:ascii="Times New Roman" w:hAnsi="Times New Roman" w:cs="Times New Roman"/>
          <w:noProof/>
          <w:sz w:val="24"/>
          <w:szCs w:val="24"/>
        </w:rPr>
        <w:t xml:space="preserve"> the broader agenda to make EU capital markets more competitive, deeper and resilient, as well as build </w:t>
      </w:r>
      <w:r w:rsidR="00683C25" w:rsidRPr="002661A8">
        <w:rPr>
          <w:rFonts w:ascii="Times New Roman" w:hAnsi="Times New Roman" w:cs="Times New Roman"/>
          <w:noProof/>
          <w:sz w:val="24"/>
          <w:szCs w:val="24"/>
        </w:rPr>
        <w:t xml:space="preserve">robust </w:t>
      </w:r>
      <w:r w:rsidR="00934309" w:rsidRPr="002661A8">
        <w:rPr>
          <w:rFonts w:ascii="Times New Roman" w:hAnsi="Times New Roman" w:cs="Times New Roman"/>
          <w:noProof/>
          <w:sz w:val="24"/>
          <w:szCs w:val="24"/>
        </w:rPr>
        <w:t xml:space="preserve">EU </w:t>
      </w:r>
      <w:r w:rsidRPr="002661A8">
        <w:rPr>
          <w:rFonts w:ascii="Times New Roman" w:hAnsi="Times New Roman" w:cs="Times New Roman"/>
          <w:noProof/>
          <w:sz w:val="24"/>
          <w:szCs w:val="24"/>
        </w:rPr>
        <w:t xml:space="preserve">clearing capacity to </w:t>
      </w:r>
      <w:r w:rsidR="00267A5E" w:rsidRPr="002661A8">
        <w:rPr>
          <w:rFonts w:ascii="Times New Roman" w:hAnsi="Times New Roman" w:cs="Times New Roman"/>
          <w:noProof/>
          <w:sz w:val="24"/>
          <w:szCs w:val="24"/>
        </w:rPr>
        <w:t xml:space="preserve">enhance </w:t>
      </w:r>
      <w:r w:rsidRPr="002661A8">
        <w:rPr>
          <w:rFonts w:ascii="Times New Roman" w:hAnsi="Times New Roman" w:cs="Times New Roman"/>
          <w:noProof/>
          <w:sz w:val="24"/>
          <w:szCs w:val="24"/>
        </w:rPr>
        <w:t>financial stability</w:t>
      </w:r>
      <w:r w:rsidR="00267A5E" w:rsidRPr="002661A8">
        <w:rPr>
          <w:rFonts w:ascii="Times New Roman" w:hAnsi="Times New Roman" w:cs="Times New Roman"/>
          <w:noProof/>
          <w:sz w:val="24"/>
          <w:szCs w:val="24"/>
        </w:rPr>
        <w:t xml:space="preserve"> in the longer term by </w:t>
      </w:r>
      <w:r w:rsidR="00934309" w:rsidRPr="002661A8">
        <w:rPr>
          <w:rFonts w:ascii="Times New Roman" w:hAnsi="Times New Roman" w:cs="Times New Roman"/>
          <w:noProof/>
          <w:sz w:val="24"/>
          <w:szCs w:val="24"/>
        </w:rPr>
        <w:t xml:space="preserve">reducing </w:t>
      </w:r>
      <w:r w:rsidR="00267A5E" w:rsidRPr="002661A8">
        <w:rPr>
          <w:rFonts w:ascii="Times New Roman" w:hAnsi="Times New Roman" w:cs="Times New Roman"/>
          <w:noProof/>
          <w:sz w:val="24"/>
          <w:szCs w:val="24"/>
        </w:rPr>
        <w:t xml:space="preserve">the risk </w:t>
      </w:r>
      <w:r w:rsidR="00657A74" w:rsidRPr="002661A8">
        <w:rPr>
          <w:rFonts w:ascii="Times New Roman" w:hAnsi="Times New Roman" w:cs="Times New Roman"/>
          <w:noProof/>
          <w:sz w:val="24"/>
          <w:szCs w:val="24"/>
        </w:rPr>
        <w:t>posed by the excessive exposure</w:t>
      </w:r>
      <w:r w:rsidR="005358FF" w:rsidRPr="002661A8">
        <w:rPr>
          <w:rFonts w:ascii="Times New Roman" w:hAnsi="Times New Roman" w:cs="Times New Roman"/>
          <w:noProof/>
          <w:sz w:val="24"/>
          <w:szCs w:val="24"/>
        </w:rPr>
        <w:t>s</w:t>
      </w:r>
      <w:r w:rsidR="00657A74" w:rsidRPr="002661A8">
        <w:rPr>
          <w:rFonts w:ascii="Times New Roman" w:hAnsi="Times New Roman" w:cs="Times New Roman"/>
          <w:noProof/>
          <w:sz w:val="24"/>
          <w:szCs w:val="24"/>
        </w:rPr>
        <w:t xml:space="preserve"> towards UK CCPs and the uncertainty related to the protection of the EU interests in times of crisis</w:t>
      </w:r>
      <w:r w:rsidRPr="002661A8">
        <w:rPr>
          <w:rFonts w:ascii="Times New Roman" w:hAnsi="Times New Roman" w:cs="Times New Roman"/>
          <w:noProof/>
          <w:sz w:val="24"/>
          <w:szCs w:val="24"/>
        </w:rPr>
        <w:t>.</w:t>
      </w:r>
    </w:p>
    <w:p w14:paraId="5A3D029F" w14:textId="63C79226" w:rsidR="00023F32" w:rsidRPr="002661A8" w:rsidRDefault="3FA542DF" w:rsidP="00ED5088">
      <w:pPr>
        <w:pStyle w:val="Heading1"/>
        <w:numPr>
          <w:ilvl w:val="1"/>
          <w:numId w:val="6"/>
        </w:numPr>
        <w:spacing w:before="0" w:after="120"/>
        <w:rPr>
          <w:smallCaps w:val="0"/>
          <w:noProof/>
        </w:rPr>
      </w:pPr>
      <w:bookmarkStart w:id="106" w:name="_Toc107493826"/>
      <w:bookmarkStart w:id="107" w:name="_Toc107503415"/>
      <w:bookmarkStart w:id="108" w:name="_Toc107497862"/>
      <w:bookmarkStart w:id="109" w:name="_Toc107504563"/>
      <w:bookmarkStart w:id="110" w:name="_Toc107505408"/>
      <w:bookmarkStart w:id="111" w:name="_Toc107838884"/>
      <w:bookmarkStart w:id="112" w:name="_Toc107846979"/>
      <w:bookmarkStart w:id="113" w:name="_Toc107849216"/>
      <w:bookmarkStart w:id="114" w:name="_Toc107853663"/>
      <w:bookmarkStart w:id="115" w:name="_Toc108539786"/>
      <w:bookmarkStart w:id="116" w:name="_Toc108539904"/>
      <w:bookmarkStart w:id="117" w:name="_Toc109057362"/>
      <w:bookmarkStart w:id="118" w:name="_Toc109120728"/>
      <w:bookmarkStart w:id="119" w:name="_Toc109122363"/>
      <w:bookmarkStart w:id="120" w:name="_Toc109133100"/>
      <w:bookmarkStart w:id="121" w:name="_Toc120291634"/>
      <w:bookmarkStart w:id="122" w:name="_Toc103337463"/>
      <w:bookmarkStart w:id="123" w:name="_Toc105656422"/>
      <w:bookmarkStart w:id="124" w:name="_Toc106827810"/>
      <w:bookmarkStart w:id="125" w:name="_Toc106981686"/>
      <w:r w:rsidRPr="002661A8">
        <w:rPr>
          <w:smallCaps w:val="0"/>
          <w:noProof/>
        </w:rPr>
        <w:t>Consultative process</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0AC8DC4A" w14:textId="77777777" w:rsidR="006A4509" w:rsidRDefault="00023F32" w:rsidP="00705A61">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The Commission has engaged in </w:t>
      </w:r>
      <w:r w:rsidR="0091503A" w:rsidRPr="002661A8">
        <w:rPr>
          <w:rFonts w:ascii="Times New Roman" w:hAnsi="Times New Roman" w:cs="Times New Roman"/>
          <w:noProof/>
          <w:sz w:val="24"/>
          <w:szCs w:val="24"/>
        </w:rPr>
        <w:t>a</w:t>
      </w:r>
      <w:r w:rsidRPr="002661A8">
        <w:rPr>
          <w:rFonts w:ascii="Times New Roman" w:hAnsi="Times New Roman" w:cs="Times New Roman"/>
          <w:noProof/>
          <w:sz w:val="24"/>
          <w:szCs w:val="24"/>
        </w:rPr>
        <w:t xml:space="preserve"> broad consultation process in the preparation of this initiative, including a targeted consultation, a call for evidence, the establishment of </w:t>
      </w:r>
      <w:r w:rsidR="00006F9F" w:rsidRPr="002661A8">
        <w:rPr>
          <w:rFonts w:ascii="Times New Roman" w:hAnsi="Times New Roman" w:cs="Times New Roman"/>
          <w:noProof/>
          <w:sz w:val="24"/>
          <w:szCs w:val="24"/>
        </w:rPr>
        <w:t xml:space="preserve">a </w:t>
      </w:r>
      <w:r w:rsidRPr="002661A8">
        <w:rPr>
          <w:rFonts w:ascii="Times New Roman" w:hAnsi="Times New Roman" w:cs="Times New Roman"/>
          <w:noProof/>
          <w:sz w:val="24"/>
          <w:szCs w:val="24"/>
        </w:rPr>
        <w:t>Working Group on the opportunities and challenges of transferring derivatives from the UK to the EU</w:t>
      </w:r>
      <w:r w:rsidR="002B514F" w:rsidRPr="002661A8">
        <w:rPr>
          <w:rFonts w:ascii="Times New Roman" w:hAnsi="Times New Roman" w:cs="Times New Roman"/>
          <w:noProof/>
          <w:sz w:val="24"/>
          <w:szCs w:val="24"/>
        </w:rPr>
        <w:t xml:space="preserve"> as well as</w:t>
      </w:r>
      <w:r w:rsidRPr="002661A8">
        <w:rPr>
          <w:rFonts w:ascii="Times New Roman" w:hAnsi="Times New Roman" w:cs="Times New Roman"/>
          <w:noProof/>
          <w:sz w:val="24"/>
          <w:szCs w:val="24"/>
        </w:rPr>
        <w:t xml:space="preserve"> meetings with </w:t>
      </w:r>
      <w:r w:rsidR="00006F9F" w:rsidRPr="002661A8">
        <w:rPr>
          <w:rFonts w:ascii="Times New Roman" w:hAnsi="Times New Roman" w:cs="Times New Roman"/>
          <w:noProof/>
          <w:sz w:val="24"/>
          <w:szCs w:val="24"/>
        </w:rPr>
        <w:t>Member States</w:t>
      </w:r>
      <w:r w:rsidR="00AA718A" w:rsidRPr="002661A8">
        <w:rPr>
          <w:rFonts w:ascii="Times New Roman" w:hAnsi="Times New Roman" w:cs="Times New Roman"/>
          <w:noProof/>
          <w:sz w:val="24"/>
          <w:szCs w:val="24"/>
        </w:rPr>
        <w:t>,</w:t>
      </w:r>
      <w:r w:rsidRPr="002661A8" w:rsidDel="00006F9F">
        <w:rPr>
          <w:rFonts w:ascii="Times New Roman" w:hAnsi="Times New Roman" w:cs="Times New Roman"/>
          <w:noProof/>
          <w:sz w:val="24"/>
          <w:szCs w:val="24"/>
        </w:rPr>
        <w:t xml:space="preserve"> </w:t>
      </w:r>
      <w:r w:rsidR="00006F9F" w:rsidRPr="002661A8">
        <w:rPr>
          <w:rFonts w:ascii="Times New Roman" w:hAnsi="Times New Roman" w:cs="Times New Roman"/>
          <w:noProof/>
          <w:sz w:val="24"/>
          <w:szCs w:val="24"/>
        </w:rPr>
        <w:t xml:space="preserve">Members </w:t>
      </w:r>
      <w:r w:rsidRPr="002661A8">
        <w:rPr>
          <w:rFonts w:ascii="Times New Roman" w:hAnsi="Times New Roman" w:cs="Times New Roman"/>
          <w:noProof/>
          <w:sz w:val="24"/>
          <w:szCs w:val="24"/>
        </w:rPr>
        <w:t xml:space="preserve">of the </w:t>
      </w:r>
      <w:r w:rsidR="00AE024E" w:rsidRPr="002661A8">
        <w:rPr>
          <w:rFonts w:ascii="Times New Roman" w:hAnsi="Times New Roman" w:cs="Times New Roman"/>
          <w:noProof/>
          <w:sz w:val="24"/>
          <w:szCs w:val="24"/>
        </w:rPr>
        <w:t>European</w:t>
      </w:r>
      <w:r w:rsidR="00AA718A" w:rsidRPr="002661A8">
        <w:rPr>
          <w:rFonts w:ascii="Times New Roman" w:hAnsi="Times New Roman" w:cs="Times New Roman"/>
          <w:noProof/>
          <w:sz w:val="24"/>
          <w:szCs w:val="24"/>
        </w:rPr>
        <w:t xml:space="preserve"> </w:t>
      </w:r>
      <w:r w:rsidR="00006F9F" w:rsidRPr="002661A8">
        <w:rPr>
          <w:rFonts w:ascii="Times New Roman" w:hAnsi="Times New Roman" w:cs="Times New Roman"/>
          <w:noProof/>
          <w:sz w:val="24"/>
          <w:szCs w:val="24"/>
        </w:rPr>
        <w:t>P</w:t>
      </w:r>
      <w:r w:rsidR="00AA718A" w:rsidRPr="002661A8">
        <w:rPr>
          <w:rFonts w:ascii="Times New Roman" w:hAnsi="Times New Roman" w:cs="Times New Roman"/>
          <w:noProof/>
          <w:sz w:val="24"/>
          <w:szCs w:val="24"/>
        </w:rPr>
        <w:t>arliament</w:t>
      </w:r>
      <w:r w:rsidRPr="002661A8">
        <w:rPr>
          <w:rFonts w:ascii="Times New Roman" w:hAnsi="Times New Roman" w:cs="Times New Roman"/>
          <w:noProof/>
          <w:sz w:val="24"/>
          <w:szCs w:val="24"/>
        </w:rPr>
        <w:t xml:space="preserve"> and various stakeholders</w:t>
      </w:r>
      <w:r w:rsidR="00006F9F" w:rsidRPr="002661A8">
        <w:rPr>
          <w:rFonts w:ascii="Times New Roman" w:hAnsi="Times New Roman" w:cs="Times New Roman"/>
          <w:noProof/>
          <w:sz w:val="24"/>
          <w:szCs w:val="24"/>
        </w:rPr>
        <w:t>, e.g. CCPs, clearing members, investment funds, pension funds</w:t>
      </w:r>
      <w:r w:rsidRPr="002661A8">
        <w:rPr>
          <w:rFonts w:ascii="Times New Roman" w:hAnsi="Times New Roman" w:cs="Times New Roman"/>
          <w:noProof/>
          <w:sz w:val="24"/>
          <w:szCs w:val="24"/>
        </w:rPr>
        <w:t xml:space="preserve">. </w:t>
      </w:r>
      <w:r w:rsidR="00006F9F" w:rsidRPr="002661A8">
        <w:rPr>
          <w:rFonts w:ascii="Times New Roman" w:hAnsi="Times New Roman" w:cs="Times New Roman"/>
          <w:noProof/>
          <w:sz w:val="24"/>
          <w:szCs w:val="24"/>
        </w:rPr>
        <w:t xml:space="preserve">In </w:t>
      </w:r>
      <w:r w:rsidRPr="002661A8">
        <w:rPr>
          <w:rFonts w:ascii="Times New Roman" w:hAnsi="Times New Roman" w:cs="Times New Roman"/>
          <w:noProof/>
          <w:sz w:val="24"/>
          <w:szCs w:val="24"/>
        </w:rPr>
        <w:t xml:space="preserve">addition, the Commission </w:t>
      </w:r>
      <w:r w:rsidR="00E15DB4" w:rsidRPr="002661A8">
        <w:rPr>
          <w:rFonts w:ascii="Times New Roman" w:hAnsi="Times New Roman" w:cs="Times New Roman"/>
          <w:noProof/>
          <w:sz w:val="24"/>
          <w:szCs w:val="24"/>
        </w:rPr>
        <w:t>considered</w:t>
      </w:r>
      <w:r w:rsidRPr="002661A8">
        <w:rPr>
          <w:rFonts w:ascii="Times New Roman" w:hAnsi="Times New Roman" w:cs="Times New Roman"/>
          <w:noProof/>
          <w:sz w:val="24"/>
          <w:szCs w:val="24"/>
        </w:rPr>
        <w:t xml:space="preserve"> </w:t>
      </w:r>
      <w:r w:rsidR="0034415A" w:rsidRPr="002661A8">
        <w:rPr>
          <w:rFonts w:ascii="Times New Roman" w:hAnsi="Times New Roman" w:cs="Times New Roman"/>
          <w:noProof/>
          <w:sz w:val="24"/>
          <w:szCs w:val="24"/>
        </w:rPr>
        <w:t xml:space="preserve">the 2021 </w:t>
      </w:r>
      <w:r w:rsidR="00006F9F" w:rsidRPr="002661A8">
        <w:rPr>
          <w:rFonts w:ascii="Times New Roman" w:hAnsi="Times New Roman" w:cs="Times New Roman"/>
          <w:noProof/>
          <w:sz w:val="24"/>
          <w:szCs w:val="24"/>
        </w:rPr>
        <w:t xml:space="preserve">ESMA </w:t>
      </w:r>
      <w:r w:rsidR="00AA718A" w:rsidRPr="002661A8">
        <w:rPr>
          <w:rFonts w:ascii="Times New Roman" w:hAnsi="Times New Roman" w:cs="Times New Roman"/>
          <w:noProof/>
          <w:sz w:val="24"/>
          <w:szCs w:val="24"/>
        </w:rPr>
        <w:t>report</w:t>
      </w:r>
      <w:r w:rsidRPr="002661A8">
        <w:rPr>
          <w:rFonts w:ascii="Times New Roman" w:hAnsi="Times New Roman" w:cs="Times New Roman"/>
          <w:noProof/>
          <w:sz w:val="24"/>
          <w:szCs w:val="24"/>
        </w:rPr>
        <w:t xml:space="preserve"> </w:t>
      </w:r>
      <w:r w:rsidR="0034415A" w:rsidRPr="002661A8">
        <w:rPr>
          <w:rFonts w:ascii="Times New Roman" w:hAnsi="Times New Roman" w:cs="Times New Roman"/>
          <w:noProof/>
          <w:sz w:val="24"/>
          <w:szCs w:val="24"/>
        </w:rPr>
        <w:t>on UK CCPs</w:t>
      </w:r>
      <w:r w:rsidRPr="002661A8">
        <w:rPr>
          <w:rStyle w:val="FootnoteReference"/>
          <w:rFonts w:ascii="Times New Roman" w:hAnsi="Times New Roman" w:cs="Times New Roman"/>
          <w:smallCaps/>
          <w:noProof/>
          <w:sz w:val="24"/>
          <w:szCs w:val="24"/>
        </w:rPr>
        <w:footnoteReference w:id="32"/>
      </w:r>
      <w:r w:rsidRPr="002661A8">
        <w:rPr>
          <w:rFonts w:ascii="Times New Roman" w:hAnsi="Times New Roman" w:cs="Times New Roman"/>
          <w:smallCaps/>
          <w:noProof/>
          <w:sz w:val="24"/>
          <w:szCs w:val="24"/>
        </w:rPr>
        <w:t xml:space="preserve"> </w:t>
      </w:r>
      <w:r w:rsidRPr="002661A8">
        <w:rPr>
          <w:rFonts w:ascii="Times New Roman" w:hAnsi="Times New Roman" w:cs="Times New Roman"/>
          <w:noProof/>
          <w:sz w:val="24"/>
          <w:szCs w:val="24"/>
        </w:rPr>
        <w:t>and the ESRB’s</w:t>
      </w:r>
      <w:bookmarkEnd w:id="122"/>
      <w:bookmarkEnd w:id="123"/>
      <w:bookmarkEnd w:id="124"/>
      <w:bookmarkEnd w:id="125"/>
      <w:r w:rsidRPr="002661A8">
        <w:rPr>
          <w:rFonts w:ascii="Times New Roman" w:hAnsi="Times New Roman" w:cs="Times New Roman"/>
          <w:noProof/>
          <w:sz w:val="24"/>
          <w:szCs w:val="24"/>
        </w:rPr>
        <w:t xml:space="preserve"> response to ESMA’s consultation</w:t>
      </w:r>
      <w:bookmarkStart w:id="126" w:name="_Ref120290685"/>
      <w:r w:rsidRPr="002661A8">
        <w:rPr>
          <w:rStyle w:val="FootnoteReference"/>
          <w:rFonts w:ascii="Times New Roman" w:hAnsi="Times New Roman" w:cs="Times New Roman"/>
          <w:smallCaps/>
          <w:noProof/>
          <w:sz w:val="24"/>
          <w:szCs w:val="24"/>
        </w:rPr>
        <w:footnoteReference w:id="33"/>
      </w:r>
      <w:bookmarkEnd w:id="126"/>
      <w:r w:rsidR="0034415A" w:rsidRPr="002661A8">
        <w:rPr>
          <w:rFonts w:ascii="Times New Roman" w:hAnsi="Times New Roman" w:cs="Times New Roman"/>
          <w:smallCaps/>
          <w:noProof/>
          <w:sz w:val="24"/>
          <w:szCs w:val="24"/>
        </w:rPr>
        <w:t xml:space="preserve"> (</w:t>
      </w:r>
      <w:r w:rsidR="0034415A" w:rsidRPr="002661A8">
        <w:rPr>
          <w:rFonts w:ascii="Times New Roman" w:hAnsi="Times New Roman" w:cs="Times New Roman"/>
          <w:noProof/>
          <w:sz w:val="24"/>
          <w:szCs w:val="24"/>
        </w:rPr>
        <w:t>s</w:t>
      </w:r>
      <w:r w:rsidRPr="002661A8">
        <w:rPr>
          <w:rFonts w:ascii="Times New Roman" w:hAnsi="Times New Roman" w:cs="Times New Roman"/>
          <w:noProof/>
          <w:sz w:val="24"/>
          <w:szCs w:val="24"/>
        </w:rPr>
        <w:t xml:space="preserve">ee </w:t>
      </w:r>
      <w:hyperlink w:anchor="_Annex_2:_Stakeholder" w:history="1">
        <w:r w:rsidRPr="002661A8">
          <w:rPr>
            <w:rStyle w:val="Hyperlink"/>
            <w:rFonts w:ascii="Times New Roman" w:hAnsi="Times New Roman" w:cs="Times New Roman"/>
            <w:noProof/>
            <w:sz w:val="24"/>
            <w:szCs w:val="24"/>
          </w:rPr>
          <w:t>Annex 2</w:t>
        </w:r>
      </w:hyperlink>
      <w:r w:rsidR="0034415A" w:rsidRPr="002661A8">
        <w:rPr>
          <w:rFonts w:ascii="Times New Roman" w:hAnsi="Times New Roman" w:cs="Times New Roman"/>
          <w:noProof/>
          <w:sz w:val="24"/>
          <w:szCs w:val="24"/>
        </w:rPr>
        <w:t>)</w:t>
      </w:r>
      <w:r w:rsidRPr="002661A8">
        <w:rPr>
          <w:rFonts w:ascii="Times New Roman" w:hAnsi="Times New Roman" w:cs="Times New Roman"/>
          <w:noProof/>
          <w:sz w:val="24"/>
          <w:szCs w:val="24"/>
        </w:rPr>
        <w:t>.</w:t>
      </w:r>
      <w:r w:rsidR="007C3A38">
        <w:rPr>
          <w:rFonts w:ascii="Times New Roman" w:hAnsi="Times New Roman" w:cs="Times New Roman"/>
          <w:noProof/>
          <w:sz w:val="24"/>
          <w:szCs w:val="24"/>
        </w:rPr>
        <w:t xml:space="preserve"> </w:t>
      </w:r>
    </w:p>
    <w:p w14:paraId="0501BCD4" w14:textId="1FFEADC8" w:rsidR="001F0A03" w:rsidRPr="002661A8" w:rsidRDefault="0042345F" w:rsidP="009F3588">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IE"/>
        </w:rPr>
        <w:t>C</w:t>
      </w:r>
      <w:r w:rsidRPr="004F2951">
        <w:rPr>
          <w:rFonts w:ascii="Times New Roman" w:hAnsi="Times New Roman" w:cs="Times New Roman"/>
          <w:noProof/>
          <w:sz w:val="24"/>
          <w:szCs w:val="24"/>
          <w:lang w:val="en-IE"/>
        </w:rPr>
        <w:t>onsidering the relatively recent entry into force of EMIR 2.2 and the fact that some requirements do not apply yet,</w:t>
      </w:r>
      <w:r w:rsidRPr="004F2951">
        <w:rPr>
          <w:rStyle w:val="FootnoteReference"/>
          <w:rFonts w:ascii="Times New Roman" w:hAnsi="Times New Roman" w:cs="Times New Roman"/>
          <w:noProof/>
          <w:sz w:val="24"/>
          <w:szCs w:val="24"/>
          <w:lang w:val="en-IE"/>
        </w:rPr>
        <w:footnoteReference w:id="34"/>
      </w:r>
      <w:r w:rsidRPr="004F2951">
        <w:rPr>
          <w:rFonts w:ascii="Times New Roman" w:hAnsi="Times New Roman" w:cs="Times New Roman"/>
          <w:noProof/>
          <w:sz w:val="24"/>
          <w:szCs w:val="24"/>
          <w:lang w:val="en-IE"/>
        </w:rPr>
        <w:t xml:space="preserve"> </w:t>
      </w:r>
      <w:r w:rsidR="00336233">
        <w:rPr>
          <w:rFonts w:ascii="Times New Roman" w:hAnsi="Times New Roman" w:cs="Times New Roman"/>
          <w:noProof/>
          <w:sz w:val="24"/>
          <w:szCs w:val="24"/>
          <w:lang w:val="en-IE"/>
        </w:rPr>
        <w:t>it is</w:t>
      </w:r>
      <w:r w:rsidRPr="004F2951">
        <w:rPr>
          <w:rFonts w:ascii="Times New Roman" w:hAnsi="Times New Roman" w:cs="Times New Roman"/>
          <w:noProof/>
          <w:sz w:val="24"/>
          <w:szCs w:val="24"/>
          <w:lang w:val="en-IE"/>
        </w:rPr>
        <w:t xml:space="preserve"> not consider</w:t>
      </w:r>
      <w:r w:rsidR="00336233">
        <w:rPr>
          <w:rFonts w:ascii="Times New Roman" w:hAnsi="Times New Roman" w:cs="Times New Roman"/>
          <w:noProof/>
          <w:sz w:val="24"/>
          <w:szCs w:val="24"/>
          <w:lang w:val="en-IE"/>
        </w:rPr>
        <w:t>ed</w:t>
      </w:r>
      <w:r w:rsidRPr="004F2951">
        <w:rPr>
          <w:rFonts w:ascii="Times New Roman" w:hAnsi="Times New Roman" w:cs="Times New Roman"/>
          <w:noProof/>
          <w:sz w:val="24"/>
          <w:szCs w:val="24"/>
          <w:lang w:val="en-IE"/>
        </w:rPr>
        <w:t xml:space="preserve"> appropriate to prepare a full back-to-back evaluation of the entire framework.</w:t>
      </w:r>
      <w:r w:rsidRPr="0042345F">
        <w:rPr>
          <w:rFonts w:ascii="Times New Roman" w:hAnsi="Times New Roman" w:cs="Times New Roman"/>
          <w:noProof/>
          <w:sz w:val="24"/>
          <w:szCs w:val="24"/>
          <w:lang w:val="en-IE"/>
        </w:rPr>
        <w:t xml:space="preserve"> </w:t>
      </w:r>
      <w:r w:rsidR="00E61A16">
        <w:rPr>
          <w:rFonts w:ascii="Times New Roman" w:hAnsi="Times New Roman" w:cs="Times New Roman"/>
          <w:noProof/>
          <w:sz w:val="24"/>
          <w:szCs w:val="24"/>
          <w:lang w:val="en-IE"/>
        </w:rPr>
        <w:t>Key a</w:t>
      </w:r>
      <w:r w:rsidRPr="004F2951">
        <w:rPr>
          <w:rFonts w:ascii="Times New Roman" w:hAnsi="Times New Roman" w:cs="Times New Roman"/>
          <w:noProof/>
          <w:sz w:val="24"/>
          <w:szCs w:val="24"/>
          <w:lang w:val="en-IE"/>
        </w:rPr>
        <w:t xml:space="preserve">reas </w:t>
      </w:r>
      <w:r w:rsidR="00E61A16">
        <w:rPr>
          <w:rFonts w:ascii="Times New Roman" w:hAnsi="Times New Roman" w:cs="Times New Roman"/>
          <w:noProof/>
          <w:sz w:val="24"/>
          <w:szCs w:val="24"/>
          <w:lang w:val="en-IE"/>
        </w:rPr>
        <w:t xml:space="preserve">were identified </w:t>
      </w:r>
      <w:r w:rsidRPr="004F2951">
        <w:rPr>
          <w:rFonts w:ascii="Times New Roman" w:hAnsi="Times New Roman" w:cs="Times New Roman"/>
          <w:noProof/>
          <w:sz w:val="24"/>
          <w:szCs w:val="24"/>
          <w:lang w:val="en-IE"/>
        </w:rPr>
        <w:t>upfront based on stakeholder input and internal analysis</w:t>
      </w:r>
      <w:r w:rsidR="00E61A16">
        <w:rPr>
          <w:rFonts w:ascii="Times New Roman" w:hAnsi="Times New Roman" w:cs="Times New Roman"/>
          <w:noProof/>
          <w:sz w:val="24"/>
          <w:szCs w:val="24"/>
          <w:lang w:val="en-IE"/>
        </w:rPr>
        <w:t xml:space="preserve">. </w:t>
      </w:r>
      <w:r w:rsidR="007C3A38">
        <w:rPr>
          <w:rFonts w:ascii="Times New Roman" w:hAnsi="Times New Roman" w:cs="Times New Roman"/>
          <w:noProof/>
          <w:sz w:val="24"/>
          <w:szCs w:val="24"/>
        </w:rPr>
        <w:t xml:space="preserve">ESMA’s report provides a detailed assessment of </w:t>
      </w:r>
      <w:r w:rsidR="007C3A38" w:rsidRPr="007C3A38">
        <w:rPr>
          <w:rFonts w:ascii="Times New Roman" w:hAnsi="Times New Roman" w:cs="Times New Roman"/>
          <w:noProof/>
          <w:sz w:val="24"/>
          <w:szCs w:val="24"/>
        </w:rPr>
        <w:t>Tier 2</w:t>
      </w:r>
      <w:r w:rsidR="007C3A38">
        <w:rPr>
          <w:rFonts w:ascii="Times New Roman" w:hAnsi="Times New Roman" w:cs="Times New Roman"/>
          <w:noProof/>
          <w:sz w:val="24"/>
          <w:szCs w:val="24"/>
        </w:rPr>
        <w:t xml:space="preserve"> CCPs and an evaluation of the </w:t>
      </w:r>
      <w:r w:rsidR="00E61A16">
        <w:rPr>
          <w:rFonts w:ascii="Times New Roman" w:hAnsi="Times New Roman" w:cs="Times New Roman"/>
          <w:noProof/>
          <w:sz w:val="24"/>
          <w:szCs w:val="24"/>
        </w:rPr>
        <w:t>relevant provisions</w:t>
      </w:r>
      <w:r w:rsidR="007C3A38">
        <w:rPr>
          <w:rFonts w:ascii="Times New Roman" w:hAnsi="Times New Roman" w:cs="Times New Roman"/>
          <w:noProof/>
          <w:sz w:val="24"/>
          <w:szCs w:val="24"/>
        </w:rPr>
        <w:t xml:space="preserve">. </w:t>
      </w:r>
      <w:r w:rsidR="00705A61">
        <w:rPr>
          <w:rFonts w:ascii="Times New Roman" w:hAnsi="Times New Roman" w:cs="Times New Roman"/>
          <w:noProof/>
          <w:sz w:val="24"/>
          <w:szCs w:val="24"/>
        </w:rPr>
        <w:t xml:space="preserve">The identified shortcomings and conclusions drawn in </w:t>
      </w:r>
      <w:r w:rsidR="009A11D0">
        <w:rPr>
          <w:rFonts w:ascii="Times New Roman" w:hAnsi="Times New Roman" w:cs="Times New Roman"/>
          <w:noProof/>
          <w:sz w:val="24"/>
          <w:szCs w:val="24"/>
        </w:rPr>
        <w:t>that</w:t>
      </w:r>
      <w:r w:rsidR="00705A61">
        <w:rPr>
          <w:rFonts w:ascii="Times New Roman" w:hAnsi="Times New Roman" w:cs="Times New Roman"/>
          <w:noProof/>
          <w:sz w:val="24"/>
          <w:szCs w:val="24"/>
        </w:rPr>
        <w:t xml:space="preserve"> report serve</w:t>
      </w:r>
      <w:r>
        <w:rPr>
          <w:rFonts w:ascii="Times New Roman" w:hAnsi="Times New Roman" w:cs="Times New Roman"/>
          <w:noProof/>
          <w:sz w:val="24"/>
          <w:szCs w:val="24"/>
        </w:rPr>
        <w:t>d</w:t>
      </w:r>
      <w:r w:rsidR="00705A61">
        <w:rPr>
          <w:rFonts w:ascii="Times New Roman" w:hAnsi="Times New Roman" w:cs="Times New Roman"/>
          <w:noProof/>
          <w:sz w:val="24"/>
          <w:szCs w:val="24"/>
        </w:rPr>
        <w:t xml:space="preserve"> as </w:t>
      </w:r>
      <w:r w:rsidR="00EB4A84">
        <w:rPr>
          <w:rFonts w:ascii="Times New Roman" w:hAnsi="Times New Roman" w:cs="Times New Roman"/>
          <w:noProof/>
          <w:sz w:val="24"/>
          <w:szCs w:val="24"/>
        </w:rPr>
        <w:t xml:space="preserve">one of the main considerations </w:t>
      </w:r>
      <w:r w:rsidR="00705A61">
        <w:rPr>
          <w:rFonts w:ascii="Times New Roman" w:hAnsi="Times New Roman" w:cs="Times New Roman"/>
          <w:noProof/>
          <w:sz w:val="24"/>
          <w:szCs w:val="24"/>
        </w:rPr>
        <w:t xml:space="preserve">for the problem definition and </w:t>
      </w:r>
      <w:r w:rsidR="00B85BBC">
        <w:rPr>
          <w:rFonts w:ascii="Times New Roman" w:hAnsi="Times New Roman" w:cs="Times New Roman"/>
          <w:noProof/>
          <w:sz w:val="24"/>
          <w:szCs w:val="24"/>
        </w:rPr>
        <w:t xml:space="preserve">the </w:t>
      </w:r>
      <w:r w:rsidR="00705A61">
        <w:rPr>
          <w:rFonts w:ascii="Times New Roman" w:hAnsi="Times New Roman" w:cs="Times New Roman"/>
          <w:noProof/>
          <w:sz w:val="24"/>
          <w:szCs w:val="24"/>
        </w:rPr>
        <w:t xml:space="preserve">policy options presented in this impact assessment. Questions to evaluate the current framework were also </w:t>
      </w:r>
      <w:r w:rsidR="000C1E45">
        <w:rPr>
          <w:rFonts w:ascii="Times New Roman" w:hAnsi="Times New Roman" w:cs="Times New Roman"/>
          <w:noProof/>
          <w:sz w:val="24"/>
          <w:szCs w:val="24"/>
        </w:rPr>
        <w:t>put forward</w:t>
      </w:r>
      <w:r w:rsidR="00705A61">
        <w:rPr>
          <w:rFonts w:ascii="Times New Roman" w:hAnsi="Times New Roman" w:cs="Times New Roman"/>
          <w:noProof/>
          <w:sz w:val="24"/>
          <w:szCs w:val="24"/>
        </w:rPr>
        <w:t xml:space="preserve"> in </w:t>
      </w:r>
      <w:r w:rsidR="00C063F5">
        <w:rPr>
          <w:rFonts w:ascii="Times New Roman" w:hAnsi="Times New Roman" w:cs="Times New Roman"/>
          <w:noProof/>
          <w:sz w:val="24"/>
          <w:szCs w:val="24"/>
        </w:rPr>
        <w:t xml:space="preserve">other parts of the </w:t>
      </w:r>
      <w:r w:rsidR="00C063F5" w:rsidRPr="002661A8">
        <w:rPr>
          <w:rFonts w:ascii="Times New Roman" w:hAnsi="Times New Roman" w:cs="Times New Roman"/>
          <w:noProof/>
          <w:sz w:val="24"/>
          <w:szCs w:val="24"/>
        </w:rPr>
        <w:t>consultation process</w:t>
      </w:r>
      <w:r w:rsidR="00C063F5">
        <w:rPr>
          <w:rFonts w:ascii="Times New Roman" w:hAnsi="Times New Roman" w:cs="Times New Roman"/>
          <w:noProof/>
          <w:sz w:val="24"/>
          <w:szCs w:val="24"/>
        </w:rPr>
        <w:t xml:space="preserve">. </w:t>
      </w:r>
      <w:r w:rsidR="001F0A03">
        <w:rPr>
          <w:rFonts w:ascii="Times New Roman" w:hAnsi="Times New Roman" w:cs="Times New Roman"/>
          <w:noProof/>
          <w:sz w:val="24"/>
          <w:szCs w:val="24"/>
        </w:rPr>
        <w:t>Furthermore, an evaluation considering all aspects of EMIR, is intended to be introduced in the legislative proposal and</w:t>
      </w:r>
      <w:r w:rsidR="001F0A03" w:rsidRPr="001F0A03">
        <w:rPr>
          <w:rFonts w:ascii="Times New Roman" w:hAnsi="Times New Roman" w:cs="Times New Roman"/>
          <w:noProof/>
          <w:sz w:val="24"/>
          <w:szCs w:val="24"/>
        </w:rPr>
        <w:t xml:space="preserve"> should take place at least 5 years after application. The evaluation would seek to collect input from all relevant stakeholders, but particularly CCPs, clearing members and clients. Input would also be sought from ESMA as well as national authorities and central banks. Statistical data for the analysis would be sought primarily from ESMA and the ESRB</w:t>
      </w:r>
      <w:r w:rsidR="001F0A03">
        <w:rPr>
          <w:rFonts w:ascii="Times New Roman" w:hAnsi="Times New Roman" w:cs="Times New Roman"/>
          <w:noProof/>
          <w:sz w:val="24"/>
          <w:szCs w:val="24"/>
        </w:rPr>
        <w:t xml:space="preserve"> (please see chapter 9 of this impact assessment for further details).</w:t>
      </w:r>
    </w:p>
    <w:p w14:paraId="1360BC36" w14:textId="2B6BB3E3" w:rsidR="00800F15" w:rsidRPr="002661A8" w:rsidRDefault="00800F15" w:rsidP="00800F15">
      <w:pPr>
        <w:pStyle w:val="ListParagraph"/>
        <w:spacing w:after="120" w:line="240" w:lineRule="auto"/>
        <w:ind w:left="0"/>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During t</w:t>
      </w:r>
      <w:r w:rsidR="00C063F5">
        <w:rPr>
          <w:rFonts w:ascii="Times New Roman" w:hAnsi="Times New Roman" w:cs="Times New Roman"/>
          <w:noProof/>
          <w:sz w:val="24"/>
          <w:szCs w:val="24"/>
        </w:rPr>
        <w:t>he consultation</w:t>
      </w:r>
      <w:r w:rsidRPr="002661A8">
        <w:rPr>
          <w:rFonts w:ascii="Times New Roman" w:hAnsi="Times New Roman" w:cs="Times New Roman"/>
          <w:noProof/>
          <w:sz w:val="24"/>
          <w:szCs w:val="24"/>
        </w:rPr>
        <w:t xml:space="preserve"> process, data was repeatedly requested from all stakeholders, including in the targeted consultation. </w:t>
      </w:r>
      <w:r w:rsidR="007C3A38">
        <w:rPr>
          <w:rFonts w:ascii="Times New Roman" w:hAnsi="Times New Roman" w:cs="Times New Roman"/>
          <w:noProof/>
          <w:sz w:val="24"/>
          <w:szCs w:val="24"/>
        </w:rPr>
        <w:t>The available quantitative</w:t>
      </w:r>
      <w:r w:rsidR="007C3A38" w:rsidRPr="002661A8">
        <w:rPr>
          <w:rFonts w:ascii="Times New Roman" w:hAnsi="Times New Roman" w:cs="Times New Roman"/>
          <w:noProof/>
          <w:sz w:val="24"/>
          <w:szCs w:val="24"/>
        </w:rPr>
        <w:t xml:space="preserve"> </w:t>
      </w:r>
      <w:r w:rsidRPr="002661A8">
        <w:rPr>
          <w:rFonts w:ascii="Times New Roman" w:hAnsi="Times New Roman" w:cs="Times New Roman"/>
          <w:noProof/>
          <w:sz w:val="24"/>
          <w:szCs w:val="24"/>
        </w:rPr>
        <w:t xml:space="preserve">data </w:t>
      </w:r>
      <w:r w:rsidR="009A11D0">
        <w:rPr>
          <w:rFonts w:ascii="Times New Roman" w:hAnsi="Times New Roman" w:cs="Times New Roman"/>
          <w:noProof/>
          <w:sz w:val="24"/>
          <w:szCs w:val="24"/>
        </w:rPr>
        <w:t>is</w:t>
      </w:r>
      <w:r w:rsidRPr="002661A8">
        <w:rPr>
          <w:rFonts w:ascii="Times New Roman" w:hAnsi="Times New Roman" w:cs="Times New Roman"/>
          <w:noProof/>
          <w:sz w:val="24"/>
          <w:szCs w:val="24"/>
        </w:rPr>
        <w:t xml:space="preserve"> </w:t>
      </w:r>
      <w:r w:rsidR="005F791D" w:rsidRPr="002661A8">
        <w:rPr>
          <w:rFonts w:ascii="Times New Roman" w:hAnsi="Times New Roman" w:cs="Times New Roman"/>
          <w:noProof/>
          <w:sz w:val="24"/>
          <w:szCs w:val="24"/>
        </w:rPr>
        <w:t xml:space="preserve">however </w:t>
      </w:r>
      <w:r w:rsidRPr="002661A8">
        <w:rPr>
          <w:rFonts w:ascii="Times New Roman" w:hAnsi="Times New Roman" w:cs="Times New Roman"/>
          <w:noProof/>
          <w:sz w:val="24"/>
          <w:szCs w:val="24"/>
        </w:rPr>
        <w:t>limited for several reasons. First, while supervisors and other authorities may have access to quantitative information on market participants, the Commission does not have access to such data directly or indirectly (via NCAs or central banks). Second, despite the Commission’s efforts to obtain data</w:t>
      </w:r>
      <w:r w:rsidRPr="002661A8" w:rsidDel="005F791D">
        <w:rPr>
          <w:rFonts w:ascii="Times New Roman" w:hAnsi="Times New Roman" w:cs="Times New Roman"/>
          <w:noProof/>
          <w:sz w:val="24"/>
          <w:szCs w:val="24"/>
        </w:rPr>
        <w:t xml:space="preserve"> </w:t>
      </w:r>
      <w:r w:rsidRPr="002661A8">
        <w:rPr>
          <w:rFonts w:ascii="Times New Roman" w:hAnsi="Times New Roman" w:cs="Times New Roman"/>
          <w:noProof/>
          <w:sz w:val="24"/>
          <w:szCs w:val="24"/>
        </w:rPr>
        <w:t xml:space="preserve">through the targeted consultation or bilateral meetings, market participants seem hesitant to share </w:t>
      </w:r>
      <w:r w:rsidR="005F791D" w:rsidRPr="002661A8">
        <w:rPr>
          <w:rFonts w:ascii="Times New Roman" w:hAnsi="Times New Roman" w:cs="Times New Roman"/>
          <w:noProof/>
          <w:sz w:val="24"/>
          <w:szCs w:val="24"/>
        </w:rPr>
        <w:t xml:space="preserve">it </w:t>
      </w:r>
      <w:r w:rsidRPr="002661A8">
        <w:rPr>
          <w:rFonts w:ascii="Times New Roman" w:hAnsi="Times New Roman" w:cs="Times New Roman"/>
          <w:noProof/>
          <w:sz w:val="24"/>
          <w:szCs w:val="24"/>
        </w:rPr>
        <w:t>either due to confidentiality concerns (as they may contain business secrets) or because they lack an incentive to do so. This analysis is</w:t>
      </w:r>
      <w:r w:rsidRPr="002661A8" w:rsidDel="005F791D">
        <w:rPr>
          <w:rFonts w:ascii="Times New Roman" w:hAnsi="Times New Roman" w:cs="Times New Roman"/>
          <w:noProof/>
          <w:sz w:val="24"/>
          <w:szCs w:val="24"/>
        </w:rPr>
        <w:t xml:space="preserve"> </w:t>
      </w:r>
      <w:r w:rsidR="005F791D" w:rsidRPr="002661A8">
        <w:rPr>
          <w:rFonts w:ascii="Times New Roman" w:hAnsi="Times New Roman" w:cs="Times New Roman"/>
          <w:noProof/>
          <w:sz w:val="24"/>
          <w:szCs w:val="24"/>
        </w:rPr>
        <w:t xml:space="preserve">thus </w:t>
      </w:r>
      <w:r w:rsidRPr="002661A8">
        <w:rPr>
          <w:rFonts w:ascii="Times New Roman" w:hAnsi="Times New Roman" w:cs="Times New Roman"/>
          <w:noProof/>
          <w:sz w:val="24"/>
          <w:szCs w:val="24"/>
        </w:rPr>
        <w:t>built on practical experience of, amongst others, EU and third-country CCPs, EU and third-country banks, EU and third-country investment firms, EU and national authorities and central banks, and is primarily qualitative in nature. Quantification is provided where data was</w:t>
      </w:r>
      <w:r w:rsidRPr="002661A8" w:rsidDel="00B85BBC">
        <w:rPr>
          <w:rFonts w:ascii="Times New Roman" w:hAnsi="Times New Roman" w:cs="Times New Roman"/>
          <w:noProof/>
          <w:sz w:val="24"/>
          <w:szCs w:val="24"/>
        </w:rPr>
        <w:t xml:space="preserve"> </w:t>
      </w:r>
      <w:r w:rsidR="00B85BBC">
        <w:rPr>
          <w:rFonts w:ascii="Times New Roman" w:hAnsi="Times New Roman" w:cs="Times New Roman"/>
          <w:noProof/>
          <w:sz w:val="24"/>
          <w:szCs w:val="24"/>
        </w:rPr>
        <w:t>provided</w:t>
      </w:r>
      <w:r w:rsidR="00B85BBC" w:rsidRPr="002661A8">
        <w:rPr>
          <w:rFonts w:ascii="Times New Roman" w:hAnsi="Times New Roman" w:cs="Times New Roman"/>
          <w:noProof/>
          <w:sz w:val="24"/>
          <w:szCs w:val="24"/>
        </w:rPr>
        <w:t xml:space="preserve"> </w:t>
      </w:r>
      <w:r w:rsidRPr="002661A8">
        <w:rPr>
          <w:rFonts w:ascii="Times New Roman" w:hAnsi="Times New Roman" w:cs="Times New Roman"/>
          <w:noProof/>
          <w:sz w:val="24"/>
          <w:szCs w:val="24"/>
        </w:rPr>
        <w:t>to</w:t>
      </w:r>
      <w:r w:rsidR="00B85BBC">
        <w:rPr>
          <w:rFonts w:ascii="Times New Roman" w:hAnsi="Times New Roman" w:cs="Times New Roman"/>
          <w:noProof/>
          <w:sz w:val="24"/>
          <w:szCs w:val="24"/>
        </w:rPr>
        <w:t xml:space="preserve"> the</w:t>
      </w:r>
      <w:r w:rsidRPr="002661A8">
        <w:rPr>
          <w:rFonts w:ascii="Times New Roman" w:hAnsi="Times New Roman" w:cs="Times New Roman"/>
          <w:noProof/>
          <w:sz w:val="24"/>
          <w:szCs w:val="24"/>
        </w:rPr>
        <w:t xml:space="preserve"> Commission services.</w:t>
      </w:r>
    </w:p>
    <w:p w14:paraId="2B6AF755" w14:textId="571DAF80" w:rsidR="006B087E" w:rsidRPr="002661A8" w:rsidRDefault="3FA542DF" w:rsidP="00ED5088">
      <w:pPr>
        <w:pStyle w:val="Heading1"/>
        <w:numPr>
          <w:ilvl w:val="0"/>
          <w:numId w:val="6"/>
        </w:numPr>
        <w:spacing w:before="0" w:after="120"/>
        <w:rPr>
          <w:noProof/>
        </w:rPr>
      </w:pPr>
      <w:bookmarkStart w:id="127" w:name="_Problem_definition"/>
      <w:bookmarkStart w:id="128" w:name="_Toc103337464"/>
      <w:bookmarkStart w:id="129" w:name="_Toc104309978"/>
      <w:bookmarkStart w:id="130" w:name="_Toc105656423"/>
      <w:bookmarkStart w:id="131" w:name="_Toc106827811"/>
      <w:bookmarkStart w:id="132" w:name="_Toc106981687"/>
      <w:bookmarkStart w:id="133" w:name="_Toc107493827"/>
      <w:bookmarkStart w:id="134" w:name="_Toc107503416"/>
      <w:bookmarkStart w:id="135" w:name="_Toc107504564"/>
      <w:bookmarkStart w:id="136" w:name="_Toc107505409"/>
      <w:bookmarkStart w:id="137" w:name="_Toc107838885"/>
      <w:bookmarkStart w:id="138" w:name="_Toc107846980"/>
      <w:bookmarkStart w:id="139" w:name="_Toc107849217"/>
      <w:bookmarkStart w:id="140" w:name="_Toc107853664"/>
      <w:bookmarkStart w:id="141" w:name="_Toc108539787"/>
      <w:bookmarkStart w:id="142" w:name="_Toc108539905"/>
      <w:bookmarkStart w:id="143" w:name="_Toc109057363"/>
      <w:bookmarkStart w:id="144" w:name="_Toc109120729"/>
      <w:bookmarkStart w:id="145" w:name="_Toc109122364"/>
      <w:bookmarkStart w:id="146" w:name="_Toc109133101"/>
      <w:bookmarkStart w:id="147" w:name="_Toc120291635"/>
      <w:bookmarkStart w:id="148" w:name="_Toc107497863"/>
      <w:bookmarkEnd w:id="127"/>
      <w:r w:rsidRPr="002661A8">
        <w:rPr>
          <w:noProof/>
        </w:rPr>
        <w:t>Problem definition</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265E3FF2" w14:textId="357F4C82" w:rsidR="00F52D3E" w:rsidRPr="002661A8" w:rsidRDefault="3FA542DF" w:rsidP="00ED5088">
      <w:pPr>
        <w:pStyle w:val="Heading1"/>
        <w:numPr>
          <w:ilvl w:val="1"/>
          <w:numId w:val="6"/>
        </w:numPr>
        <w:spacing w:before="0" w:after="120"/>
        <w:rPr>
          <w:smallCaps w:val="0"/>
          <w:noProof/>
        </w:rPr>
      </w:pPr>
      <w:bookmarkStart w:id="149" w:name="_Toc103323320"/>
      <w:bookmarkStart w:id="150" w:name="_What_are_the"/>
      <w:bookmarkStart w:id="151" w:name="_Toc103337465"/>
      <w:bookmarkStart w:id="152" w:name="_Toc106827812"/>
      <w:bookmarkStart w:id="153" w:name="_Toc106981688"/>
      <w:bookmarkStart w:id="154" w:name="_Toc107493828"/>
      <w:bookmarkStart w:id="155" w:name="_Toc107497864"/>
      <w:bookmarkStart w:id="156" w:name="_Toc107503417"/>
      <w:bookmarkStart w:id="157" w:name="_Toc107504565"/>
      <w:bookmarkStart w:id="158" w:name="_Toc107505410"/>
      <w:bookmarkStart w:id="159" w:name="_Toc107838886"/>
      <w:bookmarkStart w:id="160" w:name="_Toc107846981"/>
      <w:bookmarkStart w:id="161" w:name="_Toc107849218"/>
      <w:bookmarkStart w:id="162" w:name="_Toc107853665"/>
      <w:bookmarkStart w:id="163" w:name="_Toc108539788"/>
      <w:bookmarkStart w:id="164" w:name="_Toc108539906"/>
      <w:bookmarkStart w:id="165" w:name="_Toc109057364"/>
      <w:bookmarkStart w:id="166" w:name="_Toc109120730"/>
      <w:bookmarkStart w:id="167" w:name="_Toc109122365"/>
      <w:bookmarkStart w:id="168" w:name="_Toc109133102"/>
      <w:bookmarkStart w:id="169" w:name="_Toc120291636"/>
      <w:bookmarkEnd w:id="148"/>
      <w:bookmarkEnd w:id="149"/>
      <w:bookmarkEnd w:id="150"/>
      <w:r w:rsidRPr="002661A8">
        <w:rPr>
          <w:smallCaps w:val="0"/>
          <w:noProof/>
        </w:rPr>
        <w:t>What are the problems?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7C0FBBF2" w14:textId="1EFC35C5" w:rsidR="002D3D14" w:rsidRDefault="00A93F4A" w:rsidP="0015647E">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I</w:t>
      </w:r>
      <w:r w:rsidR="00F52D3E" w:rsidRPr="002661A8">
        <w:rPr>
          <w:rFonts w:ascii="Times New Roman" w:hAnsi="Times New Roman" w:cs="Times New Roman"/>
          <w:noProof/>
          <w:sz w:val="24"/>
          <w:szCs w:val="24"/>
        </w:rPr>
        <w:t>nput received from EU and national authorities</w:t>
      </w:r>
      <w:r w:rsidR="003105BF" w:rsidRPr="002661A8">
        <w:rPr>
          <w:rFonts w:ascii="Times New Roman" w:hAnsi="Times New Roman" w:cs="Times New Roman"/>
          <w:noProof/>
          <w:sz w:val="24"/>
          <w:szCs w:val="24"/>
        </w:rPr>
        <w:t xml:space="preserve">, as well as </w:t>
      </w:r>
      <w:r w:rsidR="00F52D3E" w:rsidRPr="002661A8">
        <w:rPr>
          <w:rFonts w:ascii="Times New Roman" w:hAnsi="Times New Roman" w:cs="Times New Roman"/>
          <w:noProof/>
          <w:sz w:val="24"/>
          <w:szCs w:val="24"/>
        </w:rPr>
        <w:t>market participants</w:t>
      </w:r>
      <w:r w:rsidR="003105BF" w:rsidRPr="002661A8">
        <w:rPr>
          <w:rFonts w:ascii="Times New Roman" w:hAnsi="Times New Roman" w:cs="Times New Roman"/>
          <w:noProof/>
          <w:sz w:val="24"/>
          <w:szCs w:val="24"/>
        </w:rPr>
        <w:t>,</w:t>
      </w:r>
      <w:r w:rsidR="006B6222" w:rsidRPr="002661A8">
        <w:rPr>
          <w:rStyle w:val="FootnoteReference"/>
          <w:rFonts w:ascii="Times New Roman" w:hAnsi="Times New Roman" w:cs="Times New Roman"/>
          <w:noProof/>
          <w:sz w:val="24"/>
          <w:szCs w:val="24"/>
        </w:rPr>
        <w:footnoteReference w:id="35"/>
      </w:r>
      <w:r w:rsidR="00F52D3E" w:rsidRPr="002661A8">
        <w:rPr>
          <w:rFonts w:ascii="Times New Roman" w:hAnsi="Times New Roman" w:cs="Times New Roman"/>
          <w:noProof/>
          <w:sz w:val="24"/>
          <w:szCs w:val="24"/>
        </w:rPr>
        <w:t xml:space="preserve"> has shown </w:t>
      </w:r>
      <w:bookmarkStart w:id="170" w:name="_Hlk105490549"/>
      <w:r w:rsidR="00F52D3E" w:rsidRPr="002661A8">
        <w:rPr>
          <w:rFonts w:ascii="Times New Roman" w:hAnsi="Times New Roman" w:cs="Times New Roman"/>
          <w:noProof/>
          <w:sz w:val="24"/>
          <w:szCs w:val="24"/>
        </w:rPr>
        <w:t xml:space="preserve">that </w:t>
      </w:r>
      <w:r w:rsidR="00F52D3E" w:rsidRPr="002661A8">
        <w:rPr>
          <w:rFonts w:ascii="Times New Roman" w:hAnsi="Times New Roman" w:cs="Times New Roman"/>
          <w:b/>
          <w:noProof/>
          <w:sz w:val="24"/>
          <w:szCs w:val="24"/>
        </w:rPr>
        <w:t xml:space="preserve">risks to the EU’s financial stability remain due to </w:t>
      </w:r>
      <w:r w:rsidR="003105BF" w:rsidRPr="002661A8">
        <w:rPr>
          <w:rFonts w:ascii="Times New Roman" w:hAnsi="Times New Roman" w:cs="Times New Roman"/>
          <w:b/>
          <w:noProof/>
          <w:sz w:val="24"/>
          <w:szCs w:val="24"/>
        </w:rPr>
        <w:t>the</w:t>
      </w:r>
      <w:r w:rsidR="003105BF" w:rsidRPr="002661A8">
        <w:rPr>
          <w:rFonts w:ascii="Times New Roman" w:hAnsi="Times New Roman" w:cs="Times New Roman"/>
          <w:noProof/>
          <w:sz w:val="24"/>
          <w:szCs w:val="24"/>
        </w:rPr>
        <w:t xml:space="preserve"> </w:t>
      </w:r>
      <w:r w:rsidR="00F52D3E" w:rsidRPr="002661A8">
        <w:rPr>
          <w:rFonts w:ascii="Times New Roman" w:hAnsi="Times New Roman" w:cs="Times New Roman"/>
          <w:b/>
          <w:noProof/>
          <w:sz w:val="24"/>
          <w:szCs w:val="24"/>
        </w:rPr>
        <w:t xml:space="preserve">ongoing over-reliance on </w:t>
      </w:r>
      <w:r w:rsidR="007D75F7" w:rsidRPr="002661A8">
        <w:rPr>
          <w:rFonts w:ascii="Times New Roman" w:hAnsi="Times New Roman" w:cs="Times New Roman"/>
          <w:b/>
          <w:noProof/>
          <w:sz w:val="24"/>
          <w:szCs w:val="24"/>
        </w:rPr>
        <w:t>Tier 2</w:t>
      </w:r>
      <w:r w:rsidR="00F52D3E" w:rsidRPr="002661A8">
        <w:rPr>
          <w:rFonts w:ascii="Times New Roman" w:hAnsi="Times New Roman" w:cs="Times New Roman"/>
          <w:b/>
          <w:noProof/>
          <w:sz w:val="24"/>
          <w:szCs w:val="24"/>
        </w:rPr>
        <w:t xml:space="preserve"> CCPs</w:t>
      </w:r>
      <w:r w:rsidR="000D3A1B">
        <w:rPr>
          <w:rFonts w:ascii="Times New Roman" w:hAnsi="Times New Roman" w:cs="Times New Roman"/>
          <w:b/>
          <w:noProof/>
          <w:sz w:val="24"/>
          <w:szCs w:val="24"/>
        </w:rPr>
        <w:t xml:space="preserve">. In addition, there is a </w:t>
      </w:r>
      <w:r w:rsidR="00844101" w:rsidRPr="002661A8">
        <w:rPr>
          <w:rFonts w:ascii="Times New Roman" w:hAnsi="Times New Roman" w:cs="Times New Roman"/>
          <w:b/>
          <w:noProof/>
          <w:sz w:val="24"/>
          <w:szCs w:val="24"/>
        </w:rPr>
        <w:t>perceived lack of attractiveness of EU CCPs</w:t>
      </w:r>
      <w:r w:rsidR="00F52D3E" w:rsidRPr="002661A8">
        <w:rPr>
          <w:rFonts w:ascii="Times New Roman" w:hAnsi="Times New Roman" w:cs="Times New Roman"/>
          <w:b/>
          <w:noProof/>
          <w:sz w:val="24"/>
          <w:szCs w:val="24"/>
        </w:rPr>
        <w:t>.</w:t>
      </w:r>
      <w:r w:rsidR="00F52D3E" w:rsidRPr="002661A8">
        <w:rPr>
          <w:rFonts w:ascii="Times New Roman" w:hAnsi="Times New Roman" w:cs="Times New Roman"/>
          <w:noProof/>
          <w:sz w:val="24"/>
          <w:szCs w:val="24"/>
        </w:rPr>
        <w:t xml:space="preserve"> </w:t>
      </w:r>
      <w:r w:rsidR="002D3D14">
        <w:rPr>
          <w:rFonts w:ascii="Times New Roman" w:hAnsi="Times New Roman" w:cs="Times New Roman"/>
          <w:noProof/>
          <w:sz w:val="24"/>
          <w:szCs w:val="24"/>
        </w:rPr>
        <w:t>More specifically:</w:t>
      </w:r>
    </w:p>
    <w:p w14:paraId="3BE8CB60" w14:textId="65674FEE" w:rsidR="002D3D14" w:rsidRPr="002D3D14" w:rsidRDefault="002D3D14" w:rsidP="002D3D14">
      <w:pPr>
        <w:pStyle w:val="ListParagraph"/>
        <w:numPr>
          <w:ilvl w:val="0"/>
          <w:numId w:val="17"/>
        </w:numPr>
        <w:spacing w:after="120" w:line="240" w:lineRule="auto"/>
        <w:jc w:val="both"/>
        <w:rPr>
          <w:rFonts w:ascii="Times New Roman" w:hAnsi="Times New Roman" w:cs="Times New Roman"/>
          <w:noProof/>
          <w:sz w:val="24"/>
          <w:szCs w:val="24"/>
        </w:rPr>
      </w:pPr>
      <w:r w:rsidRPr="002D3D14">
        <w:rPr>
          <w:rFonts w:ascii="Times New Roman" w:hAnsi="Times New Roman" w:cs="Times New Roman"/>
          <w:noProof/>
          <w:sz w:val="24"/>
          <w:szCs w:val="24"/>
        </w:rPr>
        <w:t>Member States have called on the Commission to act, underlining that the “</w:t>
      </w:r>
      <w:r w:rsidRPr="002D3D14">
        <w:rPr>
          <w:rFonts w:ascii="Times New Roman" w:hAnsi="Times New Roman" w:cs="Times New Roman"/>
          <w:i/>
          <w:iCs/>
          <w:noProof/>
          <w:sz w:val="24"/>
          <w:szCs w:val="24"/>
        </w:rPr>
        <w:t>excessive reliance on third-country critical services providers could create financial stability risks in times of financial market disruption</w:t>
      </w:r>
      <w:r w:rsidRPr="002D3D14">
        <w:rPr>
          <w:rFonts w:ascii="Times New Roman" w:hAnsi="Times New Roman" w:cs="Times New Roman"/>
          <w:noProof/>
          <w:sz w:val="24"/>
          <w:szCs w:val="24"/>
        </w:rPr>
        <w:t xml:space="preserve">” and that </w:t>
      </w:r>
      <w:r w:rsidR="00B85BBC">
        <w:rPr>
          <w:rFonts w:ascii="Times New Roman" w:hAnsi="Times New Roman" w:cs="Times New Roman"/>
          <w:noProof/>
          <w:sz w:val="24"/>
          <w:szCs w:val="24"/>
        </w:rPr>
        <w:t>they</w:t>
      </w:r>
      <w:r w:rsidR="00B85BBC" w:rsidRPr="002D3D14">
        <w:rPr>
          <w:rFonts w:ascii="Times New Roman" w:hAnsi="Times New Roman" w:cs="Times New Roman"/>
          <w:noProof/>
          <w:sz w:val="24"/>
          <w:szCs w:val="24"/>
        </w:rPr>
        <w:t xml:space="preserve"> </w:t>
      </w:r>
      <w:r w:rsidRPr="002D3D14">
        <w:rPr>
          <w:rFonts w:ascii="Times New Roman" w:hAnsi="Times New Roman" w:cs="Times New Roman"/>
          <w:noProof/>
          <w:sz w:val="24"/>
          <w:szCs w:val="24"/>
        </w:rPr>
        <w:t>“</w:t>
      </w:r>
      <w:r w:rsidRPr="002D3D14">
        <w:rPr>
          <w:rFonts w:ascii="Times New Roman" w:hAnsi="Times New Roman" w:cs="Times New Roman"/>
          <w:i/>
          <w:iCs/>
          <w:noProof/>
          <w:sz w:val="24"/>
          <w:szCs w:val="24"/>
        </w:rPr>
        <w:t>supports current work from the Commission to assess and tackle such excessive reliance, e.g. on third-country central counterparties clearing derivatives</w:t>
      </w:r>
      <w:r w:rsidRPr="002D3D14">
        <w:rPr>
          <w:rFonts w:ascii="Times New Roman" w:hAnsi="Times New Roman" w:cs="Times New Roman"/>
          <w:noProof/>
          <w:sz w:val="24"/>
          <w:szCs w:val="24"/>
        </w:rPr>
        <w:t>”</w:t>
      </w:r>
      <w:r w:rsidRPr="002D3D14">
        <w:rPr>
          <w:rStyle w:val="FootnoteReference"/>
          <w:rFonts w:ascii="Times New Roman" w:hAnsi="Times New Roman" w:cs="Times New Roman"/>
          <w:noProof/>
          <w:sz w:val="24"/>
          <w:szCs w:val="24"/>
        </w:rPr>
        <w:footnoteReference w:id="36"/>
      </w:r>
      <w:r w:rsidRPr="002D3D14">
        <w:rPr>
          <w:rFonts w:ascii="Times New Roman" w:hAnsi="Times New Roman" w:cs="Times New Roman"/>
          <w:noProof/>
          <w:sz w:val="24"/>
          <w:szCs w:val="24"/>
        </w:rPr>
        <w:t>;</w:t>
      </w:r>
    </w:p>
    <w:p w14:paraId="03DB7DCA" w14:textId="6E778903" w:rsidR="002D3D14" w:rsidRPr="002D3D14" w:rsidRDefault="002D3D14" w:rsidP="002D3D14">
      <w:pPr>
        <w:pStyle w:val="ListParagraph"/>
        <w:numPr>
          <w:ilvl w:val="0"/>
          <w:numId w:val="17"/>
        </w:numPr>
        <w:spacing w:after="120" w:line="240" w:lineRule="auto"/>
        <w:jc w:val="both"/>
        <w:rPr>
          <w:rFonts w:ascii="Times New Roman" w:hAnsi="Times New Roman" w:cs="Times New Roman"/>
          <w:noProof/>
          <w:sz w:val="24"/>
          <w:szCs w:val="24"/>
        </w:rPr>
      </w:pPr>
      <w:r w:rsidRPr="002D3D14">
        <w:rPr>
          <w:rFonts w:ascii="Times New Roman" w:hAnsi="Times New Roman" w:cs="Times New Roman"/>
          <w:noProof/>
          <w:sz w:val="24"/>
          <w:szCs w:val="24"/>
        </w:rPr>
        <w:t>National CCP and market supervisors, who sit in the ESMA</w:t>
      </w:r>
      <w:r w:rsidR="0022474A">
        <w:rPr>
          <w:rFonts w:ascii="Times New Roman" w:hAnsi="Times New Roman" w:cs="Times New Roman"/>
          <w:noProof/>
          <w:sz w:val="24"/>
          <w:szCs w:val="24"/>
        </w:rPr>
        <w:t>’s</w:t>
      </w:r>
      <w:r w:rsidRPr="002D3D14">
        <w:rPr>
          <w:rFonts w:ascii="Times New Roman" w:hAnsi="Times New Roman" w:cs="Times New Roman"/>
          <w:noProof/>
          <w:sz w:val="24"/>
          <w:szCs w:val="24"/>
        </w:rPr>
        <w:t xml:space="preserve"> CCP </w:t>
      </w:r>
      <w:r w:rsidR="0022474A">
        <w:rPr>
          <w:rFonts w:ascii="Times New Roman" w:hAnsi="Times New Roman" w:cs="Times New Roman"/>
          <w:noProof/>
          <w:sz w:val="24"/>
          <w:szCs w:val="24"/>
        </w:rPr>
        <w:t>S</w:t>
      </w:r>
      <w:r w:rsidRPr="002D3D14">
        <w:rPr>
          <w:rFonts w:ascii="Times New Roman" w:hAnsi="Times New Roman" w:cs="Times New Roman"/>
          <w:noProof/>
          <w:sz w:val="24"/>
          <w:szCs w:val="24"/>
        </w:rPr>
        <w:t>upervisory Committee and Board of Supervisor</w:t>
      </w:r>
      <w:r w:rsidR="0022474A">
        <w:rPr>
          <w:rFonts w:ascii="Times New Roman" w:hAnsi="Times New Roman" w:cs="Times New Roman"/>
          <w:noProof/>
          <w:sz w:val="24"/>
          <w:szCs w:val="24"/>
        </w:rPr>
        <w:t>s</w:t>
      </w:r>
      <w:r w:rsidR="006C351C">
        <w:rPr>
          <w:rFonts w:ascii="Times New Roman" w:hAnsi="Times New Roman" w:cs="Times New Roman"/>
          <w:noProof/>
          <w:sz w:val="24"/>
          <w:szCs w:val="24"/>
        </w:rPr>
        <w:t>,</w:t>
      </w:r>
      <w:r w:rsidRPr="002D3D14">
        <w:rPr>
          <w:rFonts w:ascii="Times New Roman" w:hAnsi="Times New Roman" w:cs="Times New Roman"/>
          <w:noProof/>
          <w:sz w:val="24"/>
          <w:szCs w:val="24"/>
        </w:rPr>
        <w:t xml:space="preserve"> have expressed their concerns in </w:t>
      </w:r>
      <w:r w:rsidR="0022474A">
        <w:rPr>
          <w:rFonts w:ascii="Times New Roman" w:hAnsi="Times New Roman" w:cs="Times New Roman"/>
          <w:noProof/>
          <w:sz w:val="24"/>
          <w:szCs w:val="24"/>
        </w:rPr>
        <w:t>the ESMA 2021</w:t>
      </w:r>
      <w:r w:rsidR="0022474A" w:rsidRPr="002D3D14">
        <w:rPr>
          <w:rFonts w:ascii="Times New Roman" w:hAnsi="Times New Roman" w:cs="Times New Roman"/>
          <w:noProof/>
          <w:sz w:val="24"/>
          <w:szCs w:val="24"/>
        </w:rPr>
        <w:t xml:space="preserve"> </w:t>
      </w:r>
      <w:r w:rsidRPr="002D3D14">
        <w:rPr>
          <w:rFonts w:ascii="Times New Roman" w:hAnsi="Times New Roman" w:cs="Times New Roman"/>
          <w:noProof/>
          <w:sz w:val="24"/>
          <w:szCs w:val="24"/>
        </w:rPr>
        <w:t>report about the risks stemming from certain clearing services of substantial systemic importance</w:t>
      </w:r>
      <w:r w:rsidR="006C351C">
        <w:rPr>
          <w:rStyle w:val="FootnoteReference"/>
          <w:rFonts w:ascii="Times New Roman" w:hAnsi="Times New Roman" w:cs="Times New Roman"/>
          <w:noProof/>
          <w:sz w:val="24"/>
          <w:szCs w:val="24"/>
        </w:rPr>
        <w:footnoteReference w:id="37"/>
      </w:r>
      <w:r w:rsidR="00D11B6A">
        <w:rPr>
          <w:rFonts w:ascii="Times New Roman" w:hAnsi="Times New Roman" w:cs="Times New Roman"/>
          <w:noProof/>
          <w:sz w:val="24"/>
          <w:szCs w:val="24"/>
        </w:rPr>
        <w:t>.</w:t>
      </w:r>
      <w:r w:rsidRPr="002D3D14">
        <w:rPr>
          <w:rFonts w:ascii="Times New Roman" w:hAnsi="Times New Roman" w:cs="Times New Roman"/>
          <w:noProof/>
          <w:sz w:val="24"/>
          <w:szCs w:val="24"/>
        </w:rPr>
        <w:t xml:space="preserve"> </w:t>
      </w:r>
    </w:p>
    <w:p w14:paraId="491DCC3A" w14:textId="7D7E2FCE" w:rsidR="002D3D14" w:rsidRPr="002D3D14" w:rsidRDefault="002D3D14" w:rsidP="002D3D14">
      <w:pPr>
        <w:pStyle w:val="ListParagraph"/>
        <w:numPr>
          <w:ilvl w:val="0"/>
          <w:numId w:val="17"/>
        </w:numPr>
        <w:spacing w:after="120" w:line="240" w:lineRule="auto"/>
        <w:jc w:val="both"/>
        <w:rPr>
          <w:rFonts w:ascii="Times New Roman" w:hAnsi="Times New Roman" w:cs="Times New Roman"/>
          <w:noProof/>
          <w:sz w:val="24"/>
          <w:szCs w:val="24"/>
        </w:rPr>
      </w:pPr>
      <w:r w:rsidRPr="002D3D14">
        <w:rPr>
          <w:rFonts w:ascii="Times New Roman" w:hAnsi="Times New Roman" w:cs="Times New Roman"/>
          <w:noProof/>
          <w:sz w:val="24"/>
          <w:szCs w:val="24"/>
        </w:rPr>
        <w:t>National central banks, via the ESRB, have noted that the reduction in exposures to UK CCPs is essential to ensure financial stability</w:t>
      </w:r>
      <w:r w:rsidR="00FA77AD">
        <w:rPr>
          <w:rStyle w:val="FootnoteReference"/>
          <w:rFonts w:ascii="Times New Roman" w:hAnsi="Times New Roman" w:cs="Times New Roman"/>
          <w:noProof/>
          <w:sz w:val="24"/>
          <w:szCs w:val="24"/>
        </w:rPr>
        <w:footnoteReference w:id="38"/>
      </w:r>
      <w:r w:rsidR="00901C09">
        <w:rPr>
          <w:rFonts w:ascii="Times New Roman" w:hAnsi="Times New Roman" w:cs="Times New Roman"/>
          <w:noProof/>
          <w:sz w:val="24"/>
          <w:szCs w:val="24"/>
        </w:rPr>
        <w:t xml:space="preserve">; in addition, </w:t>
      </w:r>
      <w:r w:rsidR="00901C09" w:rsidRPr="00901C09">
        <w:rPr>
          <w:rFonts w:ascii="Times New Roman" w:hAnsi="Times New Roman" w:cs="Times New Roman"/>
          <w:noProof/>
          <w:sz w:val="24"/>
          <w:szCs w:val="24"/>
        </w:rPr>
        <w:t xml:space="preserve">national central banks were also consulted prior to the adoption of ESMA’s </w:t>
      </w:r>
      <w:r w:rsidR="0022474A">
        <w:rPr>
          <w:rFonts w:ascii="Times New Roman" w:hAnsi="Times New Roman" w:cs="Times New Roman"/>
          <w:noProof/>
          <w:sz w:val="24"/>
          <w:szCs w:val="24"/>
        </w:rPr>
        <w:t xml:space="preserve">2021 </w:t>
      </w:r>
      <w:r w:rsidR="00901C09" w:rsidRPr="00901C09">
        <w:rPr>
          <w:rFonts w:ascii="Times New Roman" w:hAnsi="Times New Roman" w:cs="Times New Roman"/>
          <w:noProof/>
          <w:sz w:val="24"/>
          <w:szCs w:val="24"/>
        </w:rPr>
        <w:t>report on UK CCP</w:t>
      </w:r>
      <w:r w:rsidR="00901C09">
        <w:rPr>
          <w:rFonts w:ascii="Times New Roman" w:hAnsi="Times New Roman" w:cs="Times New Roman"/>
          <w:noProof/>
          <w:sz w:val="24"/>
          <w:szCs w:val="24"/>
        </w:rPr>
        <w:t>s</w:t>
      </w:r>
      <w:r w:rsidR="00FD487B">
        <w:rPr>
          <w:rStyle w:val="FootnoteReference"/>
          <w:rFonts w:ascii="Times New Roman" w:hAnsi="Times New Roman" w:cs="Times New Roman"/>
          <w:noProof/>
          <w:sz w:val="24"/>
          <w:szCs w:val="24"/>
        </w:rPr>
        <w:footnoteReference w:id="39"/>
      </w:r>
      <w:r w:rsidR="00A41B64">
        <w:rPr>
          <w:rFonts w:ascii="Times New Roman" w:hAnsi="Times New Roman" w:cs="Times New Roman"/>
          <w:noProof/>
          <w:sz w:val="24"/>
          <w:szCs w:val="24"/>
        </w:rPr>
        <w:t>.</w:t>
      </w:r>
      <w:r w:rsidRPr="002D3D14">
        <w:rPr>
          <w:rFonts w:ascii="Times New Roman" w:hAnsi="Times New Roman" w:cs="Times New Roman"/>
          <w:noProof/>
          <w:sz w:val="24"/>
          <w:szCs w:val="24"/>
        </w:rPr>
        <w:t xml:space="preserve"> </w:t>
      </w:r>
    </w:p>
    <w:p w14:paraId="6F36707B" w14:textId="1F5F39D8" w:rsidR="00F52D3E" w:rsidRPr="002661A8" w:rsidRDefault="00F52D3E" w:rsidP="0015647E">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Extensive consultation</w:t>
      </w:r>
      <w:r w:rsidR="00321AFC" w:rsidRPr="002661A8">
        <w:rPr>
          <w:rFonts w:ascii="Times New Roman" w:hAnsi="Times New Roman" w:cs="Times New Roman"/>
          <w:noProof/>
          <w:sz w:val="24"/>
          <w:szCs w:val="24"/>
        </w:rPr>
        <w:t xml:space="preserve"> (see </w:t>
      </w:r>
      <w:hyperlink w:anchor="_Annex_2:_Stakeholder" w:history="1">
        <w:r w:rsidR="00DB0DE4" w:rsidRPr="002661A8">
          <w:rPr>
            <w:rStyle w:val="Hyperlink"/>
            <w:rFonts w:ascii="Times New Roman" w:hAnsi="Times New Roman" w:cs="Times New Roman"/>
            <w:noProof/>
            <w:sz w:val="24"/>
            <w:szCs w:val="24"/>
          </w:rPr>
          <w:t>Annex 2</w:t>
        </w:r>
      </w:hyperlink>
      <w:r w:rsidR="00321AFC" w:rsidRPr="002661A8">
        <w:rPr>
          <w:rFonts w:ascii="Times New Roman" w:hAnsi="Times New Roman" w:cs="Times New Roman"/>
          <w:noProof/>
          <w:sz w:val="24"/>
          <w:szCs w:val="24"/>
        </w:rPr>
        <w:t>)</w:t>
      </w:r>
      <w:r w:rsidR="006B31CF" w:rsidRPr="002661A8">
        <w:rPr>
          <w:rFonts w:ascii="Times New Roman" w:hAnsi="Times New Roman" w:cs="Times New Roman"/>
          <w:noProof/>
          <w:sz w:val="24"/>
          <w:szCs w:val="24"/>
        </w:rPr>
        <w:t xml:space="preserve"> </w:t>
      </w:r>
      <w:r w:rsidRPr="002661A8">
        <w:rPr>
          <w:rFonts w:ascii="Times New Roman" w:hAnsi="Times New Roman" w:cs="Times New Roman"/>
          <w:noProof/>
          <w:sz w:val="24"/>
          <w:szCs w:val="24"/>
        </w:rPr>
        <w:t xml:space="preserve">has </w:t>
      </w:r>
      <w:r w:rsidR="003105BF" w:rsidRPr="002661A8">
        <w:rPr>
          <w:rFonts w:ascii="Times New Roman" w:hAnsi="Times New Roman" w:cs="Times New Roman"/>
          <w:noProof/>
          <w:sz w:val="24"/>
          <w:szCs w:val="24"/>
        </w:rPr>
        <w:t>highlighted</w:t>
      </w:r>
      <w:r w:rsidRPr="002661A8">
        <w:rPr>
          <w:rFonts w:ascii="Times New Roman" w:hAnsi="Times New Roman" w:cs="Times New Roman"/>
          <w:noProof/>
          <w:sz w:val="24"/>
          <w:szCs w:val="24"/>
        </w:rPr>
        <w:t xml:space="preserve"> several </w:t>
      </w:r>
      <w:r w:rsidR="00A93F4A" w:rsidRPr="002661A8">
        <w:rPr>
          <w:rFonts w:ascii="Times New Roman" w:hAnsi="Times New Roman" w:cs="Times New Roman"/>
          <w:noProof/>
          <w:sz w:val="24"/>
          <w:szCs w:val="24"/>
        </w:rPr>
        <w:t>issues</w:t>
      </w:r>
      <w:r w:rsidRPr="002661A8">
        <w:rPr>
          <w:rFonts w:ascii="Times New Roman" w:hAnsi="Times New Roman" w:cs="Times New Roman"/>
          <w:noProof/>
          <w:sz w:val="24"/>
          <w:szCs w:val="24"/>
        </w:rPr>
        <w:t>: supply side issues; demand side issues</w:t>
      </w:r>
      <w:r w:rsidR="0015647E" w:rsidRPr="002661A8">
        <w:rPr>
          <w:rFonts w:ascii="Times New Roman" w:hAnsi="Times New Roman" w:cs="Times New Roman"/>
          <w:noProof/>
          <w:sz w:val="24"/>
          <w:szCs w:val="24"/>
        </w:rPr>
        <w:t xml:space="preserve">; </w:t>
      </w:r>
      <w:r w:rsidR="00AC0E34" w:rsidRPr="002661A8">
        <w:rPr>
          <w:rFonts w:ascii="Times New Roman" w:hAnsi="Times New Roman" w:cs="Times New Roman"/>
          <w:noProof/>
          <w:sz w:val="24"/>
          <w:szCs w:val="24"/>
        </w:rPr>
        <w:t xml:space="preserve">and </w:t>
      </w:r>
      <w:r w:rsidR="0015647E" w:rsidRPr="002661A8">
        <w:rPr>
          <w:rFonts w:ascii="Times New Roman" w:hAnsi="Times New Roman" w:cs="Times New Roman"/>
          <w:noProof/>
          <w:sz w:val="24"/>
          <w:szCs w:val="24"/>
        </w:rPr>
        <w:t>insufficient consideration of cross-border risks</w:t>
      </w:r>
      <w:r w:rsidRPr="002661A8">
        <w:rPr>
          <w:rFonts w:ascii="Times New Roman" w:hAnsi="Times New Roman" w:cs="Times New Roman"/>
          <w:noProof/>
          <w:sz w:val="24"/>
          <w:szCs w:val="24"/>
        </w:rPr>
        <w:t xml:space="preserve">. These </w:t>
      </w:r>
      <w:r w:rsidR="0015647E" w:rsidRPr="002661A8">
        <w:rPr>
          <w:rFonts w:ascii="Times New Roman" w:hAnsi="Times New Roman" w:cs="Times New Roman"/>
          <w:noProof/>
          <w:sz w:val="24"/>
          <w:szCs w:val="24"/>
        </w:rPr>
        <w:t xml:space="preserve">problems are driven by complex and </w:t>
      </w:r>
      <w:r w:rsidR="000D3A1B">
        <w:rPr>
          <w:rFonts w:ascii="Times New Roman" w:hAnsi="Times New Roman" w:cs="Times New Roman"/>
          <w:noProof/>
          <w:sz w:val="24"/>
          <w:szCs w:val="24"/>
        </w:rPr>
        <w:t xml:space="preserve">often </w:t>
      </w:r>
      <w:r w:rsidR="0015647E" w:rsidRPr="002661A8">
        <w:rPr>
          <w:rFonts w:ascii="Times New Roman" w:hAnsi="Times New Roman" w:cs="Times New Roman"/>
          <w:noProof/>
          <w:sz w:val="24"/>
          <w:szCs w:val="24"/>
        </w:rPr>
        <w:t>burdensome procedures, limited participation in EU CCPs/concentration in incumbent CCPs, the interconnectedness of the EU financial system</w:t>
      </w:r>
      <w:r w:rsidR="00DB3AFD" w:rsidRPr="002661A8">
        <w:rPr>
          <w:rFonts w:ascii="Times New Roman" w:hAnsi="Times New Roman" w:cs="Times New Roman"/>
          <w:noProof/>
          <w:sz w:val="24"/>
          <w:szCs w:val="24"/>
        </w:rPr>
        <w:t xml:space="preserve"> and an inefficient framework for supervisory cooperation</w:t>
      </w:r>
      <w:r w:rsidR="0015647E" w:rsidRPr="002661A8">
        <w:rPr>
          <w:rFonts w:ascii="Times New Roman" w:hAnsi="Times New Roman" w:cs="Times New Roman"/>
          <w:noProof/>
          <w:sz w:val="24"/>
          <w:szCs w:val="24"/>
        </w:rPr>
        <w:t>.</w:t>
      </w:r>
      <w:r w:rsidR="00554D0A" w:rsidRPr="002661A8">
        <w:rPr>
          <w:rFonts w:ascii="Times New Roman" w:hAnsi="Times New Roman" w:cs="Times New Roman"/>
          <w:noProof/>
          <w:sz w:val="24"/>
          <w:szCs w:val="24"/>
        </w:rPr>
        <w:t xml:space="preserve"> </w:t>
      </w:r>
      <w:bookmarkEnd w:id="170"/>
    </w:p>
    <w:p w14:paraId="6211B2D1" w14:textId="1E8B58C6" w:rsidR="008D4A9B" w:rsidRPr="002661A8" w:rsidRDefault="008D4A9B" w:rsidP="009F3588">
      <w:pPr>
        <w:keepNext/>
        <w:spacing w:after="120" w:line="240" w:lineRule="auto"/>
        <w:jc w:val="both"/>
        <w:rPr>
          <w:rFonts w:ascii="Times New Roman" w:hAnsi="Times New Roman" w:cs="Times New Roman"/>
          <w:noProof/>
          <w:sz w:val="24"/>
          <w:szCs w:val="24"/>
        </w:rPr>
      </w:pPr>
      <w:r w:rsidRPr="002661A8">
        <w:rPr>
          <w:rFonts w:ascii="Times New Roman" w:eastAsia="Times New Roman" w:hAnsi="Times New Roman" w:cs="Times New Roman"/>
          <w:b/>
          <w:noProof/>
          <w:sz w:val="24"/>
          <w:szCs w:val="24"/>
          <w:lang w:eastAsia="en-GB"/>
        </w:rPr>
        <w:t>Figure 1: Problem tree</w:t>
      </w:r>
    </w:p>
    <w:p w14:paraId="7C3BA763" w14:textId="0FCE295C" w:rsidR="00A35675" w:rsidRPr="002661A8" w:rsidRDefault="005F1598" w:rsidP="009F3588">
      <w:pPr>
        <w:pStyle w:val="Text2"/>
        <w:spacing w:after="120"/>
        <w:ind w:left="0"/>
        <w:jc w:val="center"/>
        <w:rPr>
          <w:noProof/>
        </w:rPr>
      </w:pPr>
      <w:r w:rsidRPr="002661A8">
        <w:rPr>
          <w:noProof/>
          <w:lang w:eastAsia="en-GB"/>
        </w:rPr>
        <w:drawing>
          <wp:inline distT="0" distB="0" distL="0" distR="0" wp14:anchorId="43125B29" wp14:editId="6C3326C7">
            <wp:extent cx="5309870" cy="2622550"/>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09870" cy="2622550"/>
                    </a:xfrm>
                    <a:prstGeom prst="rect">
                      <a:avLst/>
                    </a:prstGeom>
                  </pic:spPr>
                </pic:pic>
              </a:graphicData>
            </a:graphic>
          </wp:inline>
        </w:drawing>
      </w:r>
    </w:p>
    <w:p w14:paraId="3AFA4D48" w14:textId="0578FCBB" w:rsidR="009C614D" w:rsidRPr="002661A8" w:rsidRDefault="00BE4971" w:rsidP="00ED5088">
      <w:pPr>
        <w:pStyle w:val="Heading1"/>
        <w:numPr>
          <w:ilvl w:val="2"/>
          <w:numId w:val="6"/>
        </w:numPr>
        <w:spacing w:before="0" w:after="120"/>
        <w:rPr>
          <w:b w:val="0"/>
          <w:i/>
          <w:noProof/>
        </w:rPr>
      </w:pPr>
      <w:bookmarkStart w:id="171" w:name="_Supply_side_problems"/>
      <w:bookmarkStart w:id="172" w:name="_Toc106827813"/>
      <w:bookmarkStart w:id="173" w:name="_Toc106981689"/>
      <w:bookmarkStart w:id="174" w:name="_Toc107493829"/>
      <w:bookmarkStart w:id="175" w:name="_Toc107497865"/>
      <w:bookmarkStart w:id="176" w:name="_Toc107503418"/>
      <w:bookmarkStart w:id="177" w:name="_Toc107504566"/>
      <w:bookmarkStart w:id="178" w:name="_Toc107505411"/>
      <w:bookmarkStart w:id="179" w:name="_Toc107838887"/>
      <w:bookmarkStart w:id="180" w:name="_Toc107846982"/>
      <w:bookmarkStart w:id="181" w:name="_Toc107849219"/>
      <w:bookmarkStart w:id="182" w:name="_Toc107853666"/>
      <w:bookmarkStart w:id="183" w:name="_Toc108418475"/>
      <w:bookmarkStart w:id="184" w:name="_Toc108539567"/>
      <w:bookmarkStart w:id="185" w:name="_Toc108539789"/>
      <w:bookmarkStart w:id="186" w:name="_Toc108539907"/>
      <w:bookmarkStart w:id="187" w:name="_Toc108539986"/>
      <w:bookmarkStart w:id="188" w:name="_Toc109057365"/>
      <w:bookmarkStart w:id="189" w:name="_Toc109120731"/>
      <w:bookmarkStart w:id="190" w:name="_Toc109122366"/>
      <w:bookmarkStart w:id="191" w:name="_Toc109124079"/>
      <w:bookmarkStart w:id="192" w:name="_Toc109133103"/>
      <w:bookmarkStart w:id="193" w:name="_Toc109133279"/>
      <w:bookmarkStart w:id="194" w:name="_Toc120291637"/>
      <w:bookmarkEnd w:id="171"/>
      <w:r w:rsidRPr="002661A8">
        <w:rPr>
          <w:b w:val="0"/>
          <w:i/>
          <w:smallCaps w:val="0"/>
          <w:noProof/>
        </w:rPr>
        <w:t>Supply side problems</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46BCECE4" w14:textId="408EF006" w:rsidR="003504B0" w:rsidRPr="002661A8" w:rsidRDefault="004A55B6" w:rsidP="004A55B6">
      <w:pPr>
        <w:spacing w:after="120" w:line="240" w:lineRule="auto"/>
        <w:jc w:val="both"/>
        <w:rPr>
          <w:rFonts w:ascii="Times New Roman" w:eastAsia="Times New Roman" w:hAnsi="Times New Roman" w:cs="Times New Roman"/>
          <w:noProof/>
          <w:sz w:val="24"/>
          <w:szCs w:val="24"/>
          <w:lang w:eastAsia="en-GB"/>
        </w:rPr>
      </w:pPr>
      <w:r w:rsidRPr="002661A8">
        <w:rPr>
          <w:rFonts w:ascii="Times New Roman" w:eastAsia="Times New Roman" w:hAnsi="Times New Roman" w:cs="Times New Roman"/>
          <w:noProof/>
          <w:sz w:val="24"/>
          <w:szCs w:val="24"/>
          <w:lang w:eastAsia="en-GB"/>
        </w:rPr>
        <w:t>While the clearing offer for cash equity market, equity derivatives, bonds or euro-denominated repo meet</w:t>
      </w:r>
      <w:r w:rsidR="0079788F" w:rsidRPr="002661A8">
        <w:rPr>
          <w:rFonts w:ascii="Times New Roman" w:eastAsia="Times New Roman" w:hAnsi="Times New Roman" w:cs="Times New Roman"/>
          <w:noProof/>
          <w:sz w:val="24"/>
          <w:szCs w:val="24"/>
          <w:lang w:eastAsia="en-GB"/>
        </w:rPr>
        <w:t>s</w:t>
      </w:r>
      <w:r w:rsidRPr="002661A8">
        <w:rPr>
          <w:rFonts w:ascii="Times New Roman" w:eastAsia="Times New Roman" w:hAnsi="Times New Roman" w:cs="Times New Roman"/>
          <w:noProof/>
          <w:sz w:val="24"/>
          <w:szCs w:val="24"/>
          <w:lang w:eastAsia="en-GB"/>
        </w:rPr>
        <w:t xml:space="preserve"> market participants’ demand, the </w:t>
      </w:r>
      <w:r w:rsidRPr="002661A8">
        <w:rPr>
          <w:rFonts w:ascii="Times New Roman" w:eastAsia="Times New Roman" w:hAnsi="Times New Roman" w:cs="Times New Roman"/>
          <w:b/>
          <w:noProof/>
          <w:sz w:val="24"/>
          <w:szCs w:val="24"/>
          <w:lang w:eastAsia="en-GB"/>
        </w:rPr>
        <w:t xml:space="preserve">offer </w:t>
      </w:r>
      <w:r w:rsidR="00A41B64" w:rsidRPr="002661A8">
        <w:rPr>
          <w:rFonts w:ascii="Times New Roman" w:eastAsia="Times New Roman" w:hAnsi="Times New Roman" w:cs="Times New Roman"/>
          <w:b/>
          <w:noProof/>
          <w:sz w:val="24"/>
          <w:szCs w:val="24"/>
          <w:lang w:eastAsia="en-GB"/>
        </w:rPr>
        <w:t xml:space="preserve">by EU CCPs </w:t>
      </w:r>
      <w:r w:rsidRPr="002661A8">
        <w:rPr>
          <w:rFonts w:ascii="Times New Roman" w:eastAsia="Times New Roman" w:hAnsi="Times New Roman" w:cs="Times New Roman"/>
          <w:b/>
          <w:noProof/>
          <w:sz w:val="24"/>
          <w:szCs w:val="24"/>
          <w:lang w:eastAsia="en-GB"/>
        </w:rPr>
        <w:t xml:space="preserve">in </w:t>
      </w:r>
      <w:r w:rsidR="00E93A8B" w:rsidRPr="002661A8">
        <w:rPr>
          <w:rFonts w:ascii="Times New Roman" w:eastAsia="Times New Roman" w:hAnsi="Times New Roman" w:cs="Times New Roman"/>
          <w:b/>
          <w:noProof/>
          <w:sz w:val="24"/>
          <w:szCs w:val="24"/>
          <w:lang w:eastAsia="en-GB"/>
        </w:rPr>
        <w:t>some widely used asset classes</w:t>
      </w:r>
      <w:r w:rsidRPr="002661A8">
        <w:rPr>
          <w:rFonts w:ascii="Times New Roman" w:eastAsia="Times New Roman" w:hAnsi="Times New Roman" w:cs="Times New Roman"/>
          <w:b/>
          <w:noProof/>
          <w:sz w:val="24"/>
          <w:szCs w:val="24"/>
          <w:lang w:eastAsia="en-GB"/>
        </w:rPr>
        <w:t xml:space="preserve"> </w:t>
      </w:r>
      <w:r w:rsidR="003B6261" w:rsidRPr="002661A8">
        <w:rPr>
          <w:rFonts w:ascii="Times New Roman" w:eastAsia="Times New Roman" w:hAnsi="Times New Roman" w:cs="Times New Roman"/>
          <w:b/>
          <w:noProof/>
          <w:sz w:val="24"/>
          <w:szCs w:val="24"/>
          <w:lang w:eastAsia="en-GB"/>
        </w:rPr>
        <w:t>is not as broad as</w:t>
      </w:r>
      <w:r w:rsidRPr="002661A8">
        <w:rPr>
          <w:rFonts w:ascii="Times New Roman" w:eastAsia="Times New Roman" w:hAnsi="Times New Roman" w:cs="Times New Roman"/>
          <w:b/>
          <w:noProof/>
          <w:sz w:val="24"/>
          <w:szCs w:val="24"/>
          <w:lang w:eastAsia="en-GB"/>
        </w:rPr>
        <w:t xml:space="preserve"> the one available in </w:t>
      </w:r>
      <w:r w:rsidR="00336233">
        <w:rPr>
          <w:rFonts w:ascii="Times New Roman" w:eastAsia="Times New Roman" w:hAnsi="Times New Roman" w:cs="Times New Roman"/>
          <w:b/>
          <w:noProof/>
          <w:sz w:val="24"/>
          <w:szCs w:val="24"/>
          <w:lang w:eastAsia="en-GB"/>
        </w:rPr>
        <w:t xml:space="preserve">some </w:t>
      </w:r>
      <w:r w:rsidRPr="002661A8">
        <w:rPr>
          <w:rFonts w:ascii="Times New Roman" w:eastAsia="Times New Roman" w:hAnsi="Times New Roman" w:cs="Times New Roman"/>
          <w:b/>
          <w:noProof/>
          <w:sz w:val="24"/>
          <w:szCs w:val="24"/>
          <w:lang w:eastAsia="en-GB"/>
        </w:rPr>
        <w:t>third-country CCPs</w:t>
      </w:r>
      <w:r w:rsidRPr="002661A8">
        <w:rPr>
          <w:rFonts w:ascii="Times New Roman" w:eastAsia="Times New Roman" w:hAnsi="Times New Roman" w:cs="Times New Roman"/>
          <w:noProof/>
          <w:sz w:val="24"/>
          <w:szCs w:val="24"/>
          <w:lang w:eastAsia="en-GB"/>
        </w:rPr>
        <w:t>.</w:t>
      </w:r>
      <w:r w:rsidR="003504B0" w:rsidRPr="002661A8">
        <w:rPr>
          <w:rFonts w:ascii="Times New Roman" w:eastAsia="Times New Roman" w:hAnsi="Times New Roman" w:cs="Times New Roman"/>
          <w:noProof/>
          <w:sz w:val="24"/>
          <w:szCs w:val="24"/>
          <w:lang w:eastAsia="en-GB"/>
        </w:rPr>
        <w:t xml:space="preserve"> T</w:t>
      </w:r>
      <w:r w:rsidR="006F45C5" w:rsidRPr="002661A8">
        <w:rPr>
          <w:rFonts w:ascii="Times New Roman" w:eastAsia="Times New Roman" w:hAnsi="Times New Roman" w:cs="Times New Roman"/>
          <w:noProof/>
          <w:sz w:val="24"/>
          <w:szCs w:val="24"/>
          <w:lang w:eastAsia="en-GB"/>
        </w:rPr>
        <w:t>he difference</w:t>
      </w:r>
      <w:r w:rsidR="00D601F4" w:rsidRPr="002661A8">
        <w:rPr>
          <w:rFonts w:ascii="Times New Roman" w:eastAsia="Times New Roman" w:hAnsi="Times New Roman" w:cs="Times New Roman"/>
          <w:noProof/>
          <w:sz w:val="24"/>
          <w:szCs w:val="24"/>
          <w:lang w:eastAsia="en-GB"/>
        </w:rPr>
        <w:t xml:space="preserve"> </w:t>
      </w:r>
      <w:r w:rsidR="006F45C5" w:rsidRPr="002661A8">
        <w:rPr>
          <w:rFonts w:ascii="Times New Roman" w:eastAsia="Times New Roman" w:hAnsi="Times New Roman" w:cs="Times New Roman"/>
          <w:noProof/>
          <w:sz w:val="24"/>
          <w:szCs w:val="24"/>
          <w:lang w:eastAsia="en-GB"/>
        </w:rPr>
        <w:t xml:space="preserve">in the </w:t>
      </w:r>
      <w:r w:rsidR="005B6467" w:rsidRPr="002661A8">
        <w:rPr>
          <w:rFonts w:ascii="Times New Roman" w:eastAsia="Times New Roman" w:hAnsi="Times New Roman" w:cs="Times New Roman"/>
          <w:noProof/>
          <w:sz w:val="24"/>
          <w:szCs w:val="24"/>
          <w:lang w:eastAsia="en-GB"/>
        </w:rPr>
        <w:t>services provided by</w:t>
      </w:r>
      <w:r w:rsidR="006F45C5" w:rsidRPr="002661A8">
        <w:rPr>
          <w:rFonts w:ascii="Times New Roman" w:eastAsia="Times New Roman" w:hAnsi="Times New Roman" w:cs="Times New Roman"/>
          <w:noProof/>
          <w:sz w:val="24"/>
          <w:szCs w:val="24"/>
          <w:lang w:eastAsia="en-GB"/>
        </w:rPr>
        <w:t xml:space="preserve"> EU </w:t>
      </w:r>
      <w:r w:rsidR="005B6467" w:rsidRPr="002661A8">
        <w:rPr>
          <w:rFonts w:ascii="Times New Roman" w:eastAsia="Times New Roman" w:hAnsi="Times New Roman" w:cs="Times New Roman"/>
          <w:noProof/>
          <w:sz w:val="24"/>
          <w:szCs w:val="24"/>
          <w:lang w:eastAsia="en-GB"/>
        </w:rPr>
        <w:t xml:space="preserve">CCPs </w:t>
      </w:r>
      <w:r w:rsidR="006F45C5" w:rsidRPr="002661A8">
        <w:rPr>
          <w:rFonts w:ascii="Times New Roman" w:eastAsia="Times New Roman" w:hAnsi="Times New Roman" w:cs="Times New Roman"/>
          <w:noProof/>
          <w:sz w:val="24"/>
          <w:szCs w:val="24"/>
          <w:lang w:eastAsia="en-GB"/>
        </w:rPr>
        <w:t xml:space="preserve">and, </w:t>
      </w:r>
      <w:r w:rsidR="00AC0E34" w:rsidRPr="002661A8">
        <w:rPr>
          <w:rFonts w:ascii="Times New Roman" w:eastAsia="Times New Roman" w:hAnsi="Times New Roman" w:cs="Times New Roman"/>
          <w:noProof/>
          <w:sz w:val="24"/>
          <w:szCs w:val="24"/>
          <w:lang w:eastAsia="en-GB"/>
        </w:rPr>
        <w:t>e.g.</w:t>
      </w:r>
      <w:r w:rsidR="006F45C5" w:rsidRPr="002661A8">
        <w:rPr>
          <w:rFonts w:ascii="Times New Roman" w:eastAsia="Times New Roman" w:hAnsi="Times New Roman" w:cs="Times New Roman"/>
          <w:noProof/>
          <w:sz w:val="24"/>
          <w:szCs w:val="24"/>
          <w:lang w:eastAsia="en-GB"/>
        </w:rPr>
        <w:t xml:space="preserve"> </w:t>
      </w:r>
      <w:r w:rsidR="00D5196D" w:rsidRPr="002661A8">
        <w:rPr>
          <w:rFonts w:ascii="Times New Roman" w:eastAsia="Times New Roman" w:hAnsi="Times New Roman" w:cs="Times New Roman"/>
          <w:noProof/>
          <w:sz w:val="24"/>
          <w:szCs w:val="24"/>
          <w:lang w:eastAsia="en-GB"/>
        </w:rPr>
        <w:t>UK</w:t>
      </w:r>
      <w:r w:rsidR="005B6467" w:rsidRPr="002661A8">
        <w:rPr>
          <w:rFonts w:ascii="Times New Roman" w:eastAsia="Times New Roman" w:hAnsi="Times New Roman" w:cs="Times New Roman"/>
          <w:noProof/>
          <w:sz w:val="24"/>
          <w:szCs w:val="24"/>
          <w:lang w:eastAsia="en-GB"/>
        </w:rPr>
        <w:t xml:space="preserve"> CCPs,</w:t>
      </w:r>
      <w:r w:rsidR="006F45C5" w:rsidRPr="002661A8">
        <w:rPr>
          <w:rFonts w:ascii="Times New Roman" w:eastAsia="Times New Roman" w:hAnsi="Times New Roman" w:cs="Times New Roman"/>
          <w:noProof/>
          <w:sz w:val="24"/>
          <w:szCs w:val="24"/>
          <w:lang w:eastAsia="en-GB"/>
        </w:rPr>
        <w:t xml:space="preserve"> </w:t>
      </w:r>
      <w:r w:rsidR="00D601F4" w:rsidRPr="002661A8">
        <w:rPr>
          <w:rFonts w:ascii="Times New Roman" w:eastAsia="Times New Roman" w:hAnsi="Times New Roman" w:cs="Times New Roman"/>
          <w:noProof/>
          <w:sz w:val="24"/>
          <w:szCs w:val="24"/>
          <w:lang w:eastAsia="en-GB"/>
        </w:rPr>
        <w:t>can be seen in several classes of derivatives: interest rate derivatives, credit default swaps</w:t>
      </w:r>
      <w:r w:rsidR="00671085" w:rsidRPr="002661A8">
        <w:rPr>
          <w:rFonts w:ascii="Times New Roman" w:eastAsia="Times New Roman" w:hAnsi="Times New Roman" w:cs="Times New Roman"/>
          <w:noProof/>
          <w:sz w:val="24"/>
          <w:szCs w:val="24"/>
          <w:lang w:eastAsia="en-GB"/>
        </w:rPr>
        <w:t xml:space="preserve">, </w:t>
      </w:r>
      <w:r w:rsidR="00D5196D" w:rsidRPr="002661A8">
        <w:rPr>
          <w:rFonts w:ascii="Times New Roman" w:eastAsia="Times New Roman" w:hAnsi="Times New Roman" w:cs="Times New Roman"/>
          <w:noProof/>
          <w:sz w:val="24"/>
          <w:szCs w:val="24"/>
          <w:lang w:eastAsia="en-GB"/>
        </w:rPr>
        <w:t>short-term interest rate derivatives (</w:t>
      </w:r>
      <w:r w:rsidR="00671085" w:rsidRPr="002661A8">
        <w:rPr>
          <w:rFonts w:ascii="Times New Roman" w:eastAsia="Times New Roman" w:hAnsi="Times New Roman" w:cs="Times New Roman"/>
          <w:noProof/>
          <w:sz w:val="24"/>
          <w:szCs w:val="24"/>
          <w:lang w:eastAsia="en-GB"/>
        </w:rPr>
        <w:t>STIR</w:t>
      </w:r>
      <w:r w:rsidR="00671085" w:rsidRPr="002661A8">
        <w:rPr>
          <w:rFonts w:ascii="Times New Roman" w:hAnsi="Times New Roman" w:cs="Times New Roman"/>
          <w:noProof/>
          <w:sz w:val="24"/>
          <w:szCs w:val="24"/>
        </w:rPr>
        <w:t xml:space="preserve"> </w:t>
      </w:r>
      <w:r w:rsidR="00671085" w:rsidRPr="002661A8">
        <w:rPr>
          <w:rFonts w:ascii="Times New Roman" w:eastAsia="Times New Roman" w:hAnsi="Times New Roman" w:cs="Times New Roman"/>
          <w:noProof/>
          <w:sz w:val="24"/>
          <w:szCs w:val="24"/>
          <w:lang w:eastAsia="en-GB"/>
        </w:rPr>
        <w:t>futures</w:t>
      </w:r>
      <w:r w:rsidR="00D5196D" w:rsidRPr="002661A8">
        <w:rPr>
          <w:rFonts w:ascii="Times New Roman" w:eastAsia="Times New Roman" w:hAnsi="Times New Roman" w:cs="Times New Roman"/>
          <w:noProof/>
          <w:sz w:val="24"/>
          <w:szCs w:val="24"/>
          <w:lang w:eastAsia="en-GB"/>
        </w:rPr>
        <w:t>)</w:t>
      </w:r>
      <w:r w:rsidR="00D601F4" w:rsidRPr="002661A8">
        <w:rPr>
          <w:rFonts w:ascii="Times New Roman" w:eastAsia="Times New Roman" w:hAnsi="Times New Roman" w:cs="Times New Roman"/>
          <w:noProof/>
          <w:sz w:val="24"/>
          <w:szCs w:val="24"/>
          <w:lang w:eastAsia="en-GB"/>
        </w:rPr>
        <w:t xml:space="preserve"> and commodity derivatives</w:t>
      </w:r>
      <w:r w:rsidR="003B1458" w:rsidRPr="002661A8">
        <w:rPr>
          <w:rFonts w:ascii="Times New Roman" w:eastAsia="Times New Roman" w:hAnsi="Times New Roman" w:cs="Times New Roman"/>
          <w:noProof/>
          <w:sz w:val="24"/>
          <w:szCs w:val="24"/>
          <w:lang w:eastAsia="en-GB"/>
        </w:rPr>
        <w:t xml:space="preserve"> </w:t>
      </w:r>
      <w:r w:rsidR="007A5361" w:rsidRPr="002661A8">
        <w:rPr>
          <w:rFonts w:ascii="Times New Roman" w:eastAsia="Times New Roman" w:hAnsi="Times New Roman" w:cs="Times New Roman"/>
          <w:noProof/>
          <w:sz w:val="24"/>
          <w:szCs w:val="24"/>
          <w:lang w:eastAsia="en-GB"/>
        </w:rPr>
        <w:t>(see</w:t>
      </w:r>
      <w:r w:rsidR="003B1458" w:rsidRPr="002661A8">
        <w:rPr>
          <w:rFonts w:ascii="Times New Roman" w:eastAsia="Times New Roman" w:hAnsi="Times New Roman" w:cs="Times New Roman"/>
          <w:noProof/>
          <w:sz w:val="24"/>
          <w:szCs w:val="24"/>
          <w:lang w:eastAsia="en-GB"/>
        </w:rPr>
        <w:t xml:space="preserve"> </w:t>
      </w:r>
      <w:hyperlink w:anchor="_Annex_7:_Background" w:history="1">
        <w:r w:rsidR="003B1458" w:rsidRPr="002661A8">
          <w:rPr>
            <w:rStyle w:val="Hyperlink"/>
            <w:rFonts w:ascii="Times New Roman" w:eastAsia="Times New Roman" w:hAnsi="Times New Roman" w:cs="Times New Roman"/>
            <w:noProof/>
            <w:sz w:val="24"/>
            <w:szCs w:val="24"/>
            <w:lang w:eastAsia="en-GB"/>
          </w:rPr>
          <w:t xml:space="preserve">Annex </w:t>
        </w:r>
        <w:r w:rsidR="00892415" w:rsidRPr="002661A8">
          <w:rPr>
            <w:rStyle w:val="Hyperlink"/>
            <w:rFonts w:ascii="Times New Roman" w:eastAsia="Times New Roman" w:hAnsi="Times New Roman" w:cs="Times New Roman"/>
            <w:noProof/>
            <w:sz w:val="24"/>
            <w:szCs w:val="24"/>
            <w:lang w:eastAsia="en-GB"/>
          </w:rPr>
          <w:t>7</w:t>
        </w:r>
      </w:hyperlink>
      <w:r w:rsidR="007A5361" w:rsidRPr="002661A8">
        <w:rPr>
          <w:rFonts w:ascii="Times New Roman" w:eastAsia="Times New Roman" w:hAnsi="Times New Roman" w:cs="Times New Roman"/>
          <w:noProof/>
          <w:sz w:val="24"/>
          <w:szCs w:val="24"/>
          <w:lang w:eastAsia="en-GB"/>
        </w:rPr>
        <w:t>)</w:t>
      </w:r>
      <w:r w:rsidR="00D601F4" w:rsidRPr="002661A8">
        <w:rPr>
          <w:rFonts w:ascii="Times New Roman" w:eastAsia="Times New Roman" w:hAnsi="Times New Roman" w:cs="Times New Roman"/>
          <w:noProof/>
          <w:sz w:val="24"/>
          <w:szCs w:val="24"/>
          <w:lang w:eastAsia="en-GB"/>
        </w:rPr>
        <w:t>.</w:t>
      </w:r>
      <w:r w:rsidR="00AC0E34" w:rsidRPr="002661A8">
        <w:rPr>
          <w:rFonts w:ascii="Times New Roman" w:eastAsia="Times New Roman" w:hAnsi="Times New Roman" w:cs="Times New Roman"/>
          <w:noProof/>
          <w:sz w:val="24"/>
          <w:szCs w:val="24"/>
          <w:lang w:eastAsia="en-GB"/>
        </w:rPr>
        <w:t xml:space="preserve"> </w:t>
      </w:r>
    </w:p>
    <w:p w14:paraId="4025B8FA" w14:textId="30783A0B" w:rsidR="003D4578" w:rsidRPr="002661A8" w:rsidRDefault="004A55B6" w:rsidP="003D4578">
      <w:pPr>
        <w:spacing w:after="120" w:line="240" w:lineRule="auto"/>
        <w:jc w:val="both"/>
        <w:rPr>
          <w:rFonts w:ascii="Times New Roman" w:eastAsia="Times New Roman" w:hAnsi="Times New Roman" w:cs="Times New Roman"/>
          <w:noProof/>
          <w:sz w:val="24"/>
          <w:szCs w:val="24"/>
          <w:lang w:eastAsia="en-GB"/>
        </w:rPr>
      </w:pPr>
      <w:r w:rsidRPr="002661A8">
        <w:rPr>
          <w:rFonts w:ascii="Times New Roman" w:eastAsia="Times New Roman" w:hAnsi="Times New Roman" w:cs="Times New Roman"/>
          <w:noProof/>
          <w:sz w:val="24"/>
          <w:szCs w:val="24"/>
          <w:lang w:eastAsia="en-GB"/>
        </w:rPr>
        <w:t xml:space="preserve">EU CCPs are </w:t>
      </w:r>
      <w:r w:rsidRPr="002661A8">
        <w:rPr>
          <w:rFonts w:ascii="Times New Roman" w:eastAsia="Times New Roman" w:hAnsi="Times New Roman" w:cs="Times New Roman"/>
          <w:b/>
          <w:noProof/>
          <w:sz w:val="24"/>
          <w:szCs w:val="24"/>
          <w:lang w:eastAsia="en-GB"/>
        </w:rPr>
        <w:t xml:space="preserve">hesitant to expand their product offer for </w:t>
      </w:r>
      <w:r w:rsidR="009A2209" w:rsidRPr="002661A8">
        <w:rPr>
          <w:rFonts w:ascii="Times New Roman" w:eastAsia="Times New Roman" w:hAnsi="Times New Roman" w:cs="Times New Roman"/>
          <w:b/>
          <w:bCs/>
          <w:noProof/>
          <w:sz w:val="24"/>
          <w:szCs w:val="24"/>
          <w:lang w:eastAsia="en-GB"/>
        </w:rPr>
        <w:t>two</w:t>
      </w:r>
      <w:r w:rsidR="009A2209" w:rsidRPr="002661A8">
        <w:rPr>
          <w:rFonts w:ascii="Times New Roman" w:eastAsia="Times New Roman" w:hAnsi="Times New Roman" w:cs="Times New Roman"/>
          <w:b/>
          <w:noProof/>
          <w:sz w:val="24"/>
          <w:szCs w:val="24"/>
          <w:lang w:eastAsia="en-GB"/>
        </w:rPr>
        <w:t xml:space="preserve"> </w:t>
      </w:r>
      <w:r w:rsidRPr="002661A8">
        <w:rPr>
          <w:rFonts w:ascii="Times New Roman" w:eastAsia="Times New Roman" w:hAnsi="Times New Roman" w:cs="Times New Roman"/>
          <w:b/>
          <w:noProof/>
          <w:sz w:val="24"/>
          <w:szCs w:val="24"/>
          <w:lang w:eastAsia="en-GB"/>
        </w:rPr>
        <w:t>reasons</w:t>
      </w:r>
      <w:r w:rsidR="003504B0" w:rsidRPr="002661A8">
        <w:rPr>
          <w:rFonts w:ascii="Times New Roman" w:eastAsia="Times New Roman" w:hAnsi="Times New Roman" w:cs="Times New Roman"/>
          <w:noProof/>
          <w:sz w:val="24"/>
          <w:szCs w:val="24"/>
          <w:lang w:eastAsia="en-GB"/>
        </w:rPr>
        <w:t>.</w:t>
      </w:r>
      <w:r w:rsidR="00190D9B" w:rsidRPr="002661A8">
        <w:rPr>
          <w:rFonts w:ascii="Times New Roman" w:eastAsia="Times New Roman" w:hAnsi="Times New Roman" w:cs="Times New Roman"/>
          <w:noProof/>
          <w:sz w:val="24"/>
          <w:szCs w:val="24"/>
          <w:lang w:eastAsia="en-GB"/>
        </w:rPr>
        <w:t xml:space="preserve"> </w:t>
      </w:r>
      <w:r w:rsidR="008B1A75" w:rsidRPr="002661A8">
        <w:rPr>
          <w:rFonts w:ascii="Times New Roman" w:eastAsia="Times New Roman" w:hAnsi="Times New Roman" w:cs="Times New Roman"/>
          <w:noProof/>
          <w:sz w:val="24"/>
          <w:szCs w:val="24"/>
          <w:lang w:eastAsia="en-GB"/>
        </w:rPr>
        <w:t xml:space="preserve">First, </w:t>
      </w:r>
      <w:r w:rsidR="0061034B" w:rsidRPr="002661A8">
        <w:rPr>
          <w:rFonts w:ascii="Times New Roman" w:eastAsia="Times New Roman" w:hAnsi="Times New Roman" w:cs="Times New Roman"/>
          <w:noProof/>
          <w:sz w:val="24"/>
          <w:szCs w:val="24"/>
          <w:lang w:eastAsia="en-GB"/>
        </w:rPr>
        <w:t xml:space="preserve">market participants </w:t>
      </w:r>
      <w:r w:rsidR="008B1A75" w:rsidRPr="002661A8">
        <w:rPr>
          <w:rFonts w:ascii="Times New Roman" w:eastAsia="Times New Roman" w:hAnsi="Times New Roman" w:cs="Times New Roman"/>
          <w:b/>
          <w:bCs/>
          <w:noProof/>
          <w:sz w:val="24"/>
          <w:szCs w:val="24"/>
          <w:lang w:eastAsia="en-GB"/>
        </w:rPr>
        <w:t>tend</w:t>
      </w:r>
      <w:r w:rsidR="008B1A75" w:rsidRPr="002661A8" w:rsidDel="0061034B">
        <w:rPr>
          <w:rFonts w:ascii="Times New Roman" w:eastAsia="Times New Roman" w:hAnsi="Times New Roman" w:cs="Times New Roman"/>
          <w:b/>
          <w:bCs/>
          <w:noProof/>
          <w:sz w:val="24"/>
          <w:szCs w:val="24"/>
          <w:lang w:eastAsia="en-GB"/>
        </w:rPr>
        <w:t xml:space="preserve"> </w:t>
      </w:r>
      <w:r w:rsidR="008B1A75" w:rsidRPr="002661A8">
        <w:rPr>
          <w:rFonts w:ascii="Times New Roman" w:eastAsia="Times New Roman" w:hAnsi="Times New Roman" w:cs="Times New Roman"/>
          <w:b/>
          <w:bCs/>
          <w:noProof/>
          <w:sz w:val="24"/>
          <w:szCs w:val="24"/>
          <w:lang w:eastAsia="en-GB"/>
        </w:rPr>
        <w:t xml:space="preserve">to clear in incumbent CCPs. </w:t>
      </w:r>
      <w:r w:rsidR="008B1A75" w:rsidRPr="002661A8">
        <w:rPr>
          <w:rFonts w:ascii="Times New Roman" w:eastAsia="Times New Roman" w:hAnsi="Times New Roman" w:cs="Times New Roman"/>
          <w:noProof/>
          <w:sz w:val="24"/>
          <w:szCs w:val="24"/>
          <w:lang w:eastAsia="en-GB"/>
        </w:rPr>
        <w:t xml:space="preserve">EU CCPs may be hesitant to list additional products if market participants do not commit to using those services. Listing additional products </w:t>
      </w:r>
      <w:r w:rsidR="001508B7">
        <w:rPr>
          <w:rFonts w:ascii="Times New Roman" w:eastAsia="Times New Roman" w:hAnsi="Times New Roman" w:cs="Times New Roman"/>
          <w:noProof/>
          <w:sz w:val="24"/>
          <w:szCs w:val="24"/>
          <w:lang w:eastAsia="en-GB"/>
        </w:rPr>
        <w:t>requires</w:t>
      </w:r>
      <w:r w:rsidR="001508B7" w:rsidRPr="002661A8">
        <w:rPr>
          <w:rFonts w:ascii="Times New Roman" w:eastAsia="Times New Roman" w:hAnsi="Times New Roman" w:cs="Times New Roman"/>
          <w:noProof/>
          <w:sz w:val="24"/>
          <w:szCs w:val="24"/>
          <w:lang w:eastAsia="en-GB"/>
        </w:rPr>
        <w:t xml:space="preserve"> </w:t>
      </w:r>
      <w:r w:rsidR="008B1A75" w:rsidRPr="002661A8">
        <w:rPr>
          <w:rFonts w:ascii="Times New Roman" w:eastAsia="Times New Roman" w:hAnsi="Times New Roman" w:cs="Times New Roman"/>
          <w:noProof/>
          <w:sz w:val="24"/>
          <w:szCs w:val="24"/>
          <w:lang w:eastAsia="en-GB"/>
        </w:rPr>
        <w:t>IT</w:t>
      </w:r>
      <w:r w:rsidR="008B1A75" w:rsidRPr="002661A8" w:rsidDel="00F83FA9">
        <w:rPr>
          <w:rFonts w:ascii="Times New Roman" w:eastAsia="Times New Roman" w:hAnsi="Times New Roman" w:cs="Times New Roman"/>
          <w:noProof/>
          <w:sz w:val="24"/>
          <w:szCs w:val="24"/>
          <w:lang w:eastAsia="en-GB"/>
        </w:rPr>
        <w:t xml:space="preserve"> </w:t>
      </w:r>
      <w:r w:rsidR="008B1A75" w:rsidRPr="002661A8">
        <w:rPr>
          <w:rFonts w:ascii="Times New Roman" w:eastAsia="Times New Roman" w:hAnsi="Times New Roman" w:cs="Times New Roman"/>
          <w:noProof/>
          <w:sz w:val="24"/>
          <w:szCs w:val="24"/>
          <w:lang w:eastAsia="en-GB"/>
        </w:rPr>
        <w:t>investments, operational and human resources as well as drafting of methodologies, procedures and risk models. EU CCPs look for</w:t>
      </w:r>
      <w:r w:rsidR="007C4A5C" w:rsidRPr="002661A8">
        <w:rPr>
          <w:rFonts w:ascii="Times New Roman" w:eastAsia="Times New Roman" w:hAnsi="Times New Roman" w:cs="Times New Roman"/>
          <w:noProof/>
          <w:sz w:val="24"/>
          <w:szCs w:val="24"/>
          <w:lang w:eastAsia="en-GB"/>
        </w:rPr>
        <w:t xml:space="preserve"> </w:t>
      </w:r>
      <w:r w:rsidR="008A79AE" w:rsidRPr="002661A8">
        <w:rPr>
          <w:rFonts w:ascii="Times New Roman" w:eastAsia="Times New Roman" w:hAnsi="Times New Roman" w:cs="Times New Roman"/>
          <w:noProof/>
          <w:sz w:val="24"/>
          <w:szCs w:val="24"/>
          <w:lang w:eastAsia="en-GB"/>
        </w:rPr>
        <w:t>re</w:t>
      </w:r>
      <w:r w:rsidR="007C4A5C" w:rsidRPr="002661A8">
        <w:rPr>
          <w:rFonts w:ascii="Times New Roman" w:eastAsia="Times New Roman" w:hAnsi="Times New Roman" w:cs="Times New Roman"/>
          <w:noProof/>
          <w:sz w:val="24"/>
          <w:szCs w:val="24"/>
          <w:lang w:eastAsia="en-GB"/>
        </w:rPr>
        <w:t>assurance</w:t>
      </w:r>
      <w:r w:rsidR="008B1A75" w:rsidRPr="002661A8">
        <w:rPr>
          <w:rFonts w:ascii="Times New Roman" w:eastAsia="Times New Roman" w:hAnsi="Times New Roman" w:cs="Times New Roman"/>
          <w:noProof/>
          <w:sz w:val="24"/>
          <w:szCs w:val="24"/>
          <w:lang w:eastAsia="en-GB"/>
        </w:rPr>
        <w:t xml:space="preserve"> that these development costs will be covered by sufficient demand. But this may not materialise due to the advantage for incumbents in this field – market participants that already clear these products in incumbent CCPs do not have a clear incentive to shift away from them or split their clearing portfolios between several CCPs (See </w:t>
      </w:r>
      <w:hyperlink w:anchor="_Limited_participation_in" w:history="1">
        <w:r w:rsidR="008B1A75" w:rsidRPr="002661A8">
          <w:rPr>
            <w:rStyle w:val="Hyperlink"/>
            <w:rFonts w:ascii="Times New Roman" w:eastAsia="Times New Roman" w:hAnsi="Times New Roman" w:cs="Times New Roman"/>
            <w:noProof/>
            <w:sz w:val="24"/>
            <w:szCs w:val="24"/>
            <w:lang w:eastAsia="en-GB"/>
          </w:rPr>
          <w:t xml:space="preserve">Section </w:t>
        </w:r>
        <w:r w:rsidR="007C4A5C" w:rsidRPr="002661A8">
          <w:rPr>
            <w:rStyle w:val="Hyperlink"/>
            <w:rFonts w:ascii="Times New Roman" w:eastAsia="Times New Roman" w:hAnsi="Times New Roman" w:cs="Times New Roman"/>
            <w:noProof/>
            <w:sz w:val="24"/>
            <w:szCs w:val="24"/>
            <w:lang w:eastAsia="en-GB"/>
          </w:rPr>
          <w:t>3</w:t>
        </w:r>
        <w:r w:rsidR="008B1A75" w:rsidRPr="002661A8">
          <w:rPr>
            <w:rStyle w:val="Hyperlink"/>
            <w:rFonts w:ascii="Times New Roman" w:eastAsia="Times New Roman" w:hAnsi="Times New Roman" w:cs="Times New Roman"/>
            <w:noProof/>
            <w:sz w:val="24"/>
            <w:szCs w:val="24"/>
            <w:lang w:eastAsia="en-GB"/>
          </w:rPr>
          <w:t>.2.2</w:t>
        </w:r>
      </w:hyperlink>
      <w:r w:rsidR="008B1A75" w:rsidRPr="002661A8">
        <w:rPr>
          <w:rFonts w:ascii="Times New Roman" w:eastAsia="Times New Roman" w:hAnsi="Times New Roman" w:cs="Times New Roman"/>
          <w:noProof/>
          <w:sz w:val="24"/>
          <w:szCs w:val="24"/>
          <w:lang w:eastAsia="en-GB"/>
        </w:rPr>
        <w:t xml:space="preserve">). A CCP launching a product already </w:t>
      </w:r>
      <w:r w:rsidR="005D2985" w:rsidRPr="002661A8">
        <w:rPr>
          <w:rFonts w:ascii="Times New Roman" w:eastAsia="Times New Roman" w:hAnsi="Times New Roman" w:cs="Times New Roman"/>
          <w:noProof/>
          <w:sz w:val="24"/>
          <w:szCs w:val="24"/>
          <w:lang w:eastAsia="en-GB"/>
        </w:rPr>
        <w:t>available</w:t>
      </w:r>
      <w:r w:rsidR="008B1A75" w:rsidRPr="002661A8">
        <w:rPr>
          <w:rFonts w:ascii="Times New Roman" w:eastAsia="Times New Roman" w:hAnsi="Times New Roman" w:cs="Times New Roman"/>
          <w:noProof/>
          <w:sz w:val="24"/>
          <w:szCs w:val="24"/>
          <w:lang w:eastAsia="en-GB"/>
        </w:rPr>
        <w:t xml:space="preserve"> in another CCP must bring </w:t>
      </w:r>
      <w:r w:rsidR="005D2985" w:rsidRPr="002661A8">
        <w:rPr>
          <w:rFonts w:ascii="Times New Roman" w:eastAsia="Times New Roman" w:hAnsi="Times New Roman" w:cs="Times New Roman"/>
          <w:noProof/>
          <w:sz w:val="24"/>
          <w:szCs w:val="24"/>
          <w:lang w:eastAsia="en-GB"/>
        </w:rPr>
        <w:t xml:space="preserve">added </w:t>
      </w:r>
      <w:r w:rsidR="008B1A75" w:rsidRPr="002661A8">
        <w:rPr>
          <w:rFonts w:ascii="Times New Roman" w:eastAsia="Times New Roman" w:hAnsi="Times New Roman" w:cs="Times New Roman"/>
          <w:noProof/>
          <w:sz w:val="24"/>
          <w:szCs w:val="24"/>
          <w:lang w:eastAsia="en-GB"/>
        </w:rPr>
        <w:t>value for market participants to shift business to that CCP and break the economies of scale and netting efficiencies they benefit from in incumbent CCPs.</w:t>
      </w:r>
      <w:r w:rsidR="00190D9B" w:rsidRPr="002661A8">
        <w:rPr>
          <w:rFonts w:ascii="Times New Roman" w:eastAsia="Times New Roman" w:hAnsi="Times New Roman" w:cs="Times New Roman"/>
          <w:noProof/>
          <w:sz w:val="24"/>
          <w:szCs w:val="24"/>
          <w:lang w:eastAsia="en-GB"/>
        </w:rPr>
        <w:t xml:space="preserve"> </w:t>
      </w:r>
      <w:r w:rsidR="008B1A75" w:rsidRPr="002661A8">
        <w:rPr>
          <w:rFonts w:ascii="Times New Roman" w:eastAsia="Times New Roman" w:hAnsi="Times New Roman" w:cs="Times New Roman"/>
          <w:noProof/>
          <w:sz w:val="24"/>
          <w:szCs w:val="24"/>
          <w:lang w:eastAsia="en-GB"/>
        </w:rPr>
        <w:t>Second</w:t>
      </w:r>
      <w:r w:rsidRPr="002661A8">
        <w:rPr>
          <w:rFonts w:ascii="Times New Roman" w:eastAsia="Times New Roman" w:hAnsi="Times New Roman" w:cs="Times New Roman"/>
          <w:noProof/>
          <w:sz w:val="24"/>
          <w:szCs w:val="24"/>
          <w:lang w:eastAsia="en-GB"/>
        </w:rPr>
        <w:t>, the</w:t>
      </w:r>
      <w:r w:rsidRPr="002661A8">
        <w:rPr>
          <w:rFonts w:ascii="Times New Roman" w:eastAsia="Times New Roman" w:hAnsi="Times New Roman" w:cs="Times New Roman"/>
          <w:b/>
          <w:noProof/>
          <w:sz w:val="24"/>
          <w:szCs w:val="24"/>
          <w:lang w:eastAsia="en-GB"/>
        </w:rPr>
        <w:t xml:space="preserve"> </w:t>
      </w:r>
      <w:r w:rsidRPr="002661A8">
        <w:rPr>
          <w:rFonts w:ascii="Times New Roman" w:eastAsia="Times New Roman" w:hAnsi="Times New Roman" w:cs="Times New Roman"/>
          <w:noProof/>
          <w:sz w:val="24"/>
          <w:szCs w:val="24"/>
          <w:lang w:eastAsia="en-GB"/>
        </w:rPr>
        <w:t xml:space="preserve">regulatory </w:t>
      </w:r>
      <w:r w:rsidR="00D461B8" w:rsidRPr="002661A8">
        <w:rPr>
          <w:rFonts w:ascii="Times New Roman" w:eastAsia="Times New Roman" w:hAnsi="Times New Roman" w:cs="Times New Roman"/>
          <w:noProof/>
          <w:sz w:val="24"/>
          <w:szCs w:val="24"/>
          <w:lang w:eastAsia="en-GB"/>
        </w:rPr>
        <w:t xml:space="preserve">framework </w:t>
      </w:r>
      <w:r w:rsidRPr="002661A8">
        <w:rPr>
          <w:rFonts w:ascii="Times New Roman" w:eastAsia="Times New Roman" w:hAnsi="Times New Roman" w:cs="Times New Roman"/>
          <w:noProof/>
          <w:sz w:val="24"/>
          <w:szCs w:val="24"/>
          <w:lang w:eastAsia="en-GB"/>
        </w:rPr>
        <w:t xml:space="preserve">and </w:t>
      </w:r>
      <w:r w:rsidR="00D461B8" w:rsidRPr="002661A8">
        <w:rPr>
          <w:rFonts w:ascii="Times New Roman" w:eastAsia="Times New Roman" w:hAnsi="Times New Roman" w:cs="Times New Roman"/>
          <w:noProof/>
          <w:sz w:val="24"/>
          <w:szCs w:val="24"/>
          <w:lang w:eastAsia="en-GB"/>
        </w:rPr>
        <w:t xml:space="preserve">the </w:t>
      </w:r>
      <w:r w:rsidRPr="002661A8">
        <w:rPr>
          <w:rFonts w:ascii="Times New Roman" w:eastAsia="Times New Roman" w:hAnsi="Times New Roman" w:cs="Times New Roman"/>
          <w:noProof/>
          <w:sz w:val="24"/>
          <w:szCs w:val="24"/>
          <w:lang w:eastAsia="en-GB"/>
        </w:rPr>
        <w:t xml:space="preserve">supervisory </w:t>
      </w:r>
      <w:r w:rsidR="00D461B8" w:rsidRPr="002661A8">
        <w:rPr>
          <w:rFonts w:ascii="Times New Roman" w:eastAsia="Times New Roman" w:hAnsi="Times New Roman" w:cs="Times New Roman"/>
          <w:noProof/>
          <w:sz w:val="24"/>
          <w:szCs w:val="24"/>
          <w:lang w:eastAsia="en-GB"/>
        </w:rPr>
        <w:t>arrangements</w:t>
      </w:r>
      <w:r w:rsidR="00D461B8" w:rsidRPr="002661A8">
        <w:rPr>
          <w:rFonts w:ascii="Times New Roman" w:eastAsia="Times New Roman" w:hAnsi="Times New Roman" w:cs="Times New Roman"/>
          <w:b/>
          <w:noProof/>
          <w:sz w:val="24"/>
          <w:szCs w:val="24"/>
          <w:lang w:eastAsia="en-GB"/>
        </w:rPr>
        <w:t xml:space="preserve"> </w:t>
      </w:r>
      <w:r w:rsidR="005D2985" w:rsidRPr="002661A8">
        <w:rPr>
          <w:rFonts w:ascii="Times New Roman" w:eastAsia="Times New Roman" w:hAnsi="Times New Roman" w:cs="Times New Roman"/>
          <w:b/>
          <w:noProof/>
          <w:sz w:val="24"/>
          <w:szCs w:val="24"/>
          <w:lang w:eastAsia="en-GB"/>
        </w:rPr>
        <w:t>take too long</w:t>
      </w:r>
      <w:r w:rsidRPr="002661A8">
        <w:rPr>
          <w:rFonts w:ascii="Times New Roman" w:eastAsia="Times New Roman" w:hAnsi="Times New Roman" w:cs="Times New Roman"/>
          <w:b/>
          <w:noProof/>
          <w:sz w:val="24"/>
          <w:szCs w:val="24"/>
          <w:lang w:eastAsia="en-GB"/>
        </w:rPr>
        <w:t>,</w:t>
      </w:r>
      <w:r w:rsidR="005D2985" w:rsidRPr="002661A8">
        <w:rPr>
          <w:rFonts w:ascii="Times New Roman" w:eastAsia="Times New Roman" w:hAnsi="Times New Roman" w:cs="Times New Roman"/>
          <w:b/>
          <w:noProof/>
          <w:sz w:val="24"/>
          <w:szCs w:val="24"/>
          <w:lang w:eastAsia="en-GB"/>
        </w:rPr>
        <w:t xml:space="preserve"> are</w:t>
      </w:r>
      <w:r w:rsidRPr="002661A8">
        <w:rPr>
          <w:rFonts w:ascii="Times New Roman" w:eastAsia="Times New Roman" w:hAnsi="Times New Roman" w:cs="Times New Roman"/>
          <w:b/>
          <w:noProof/>
          <w:sz w:val="24"/>
          <w:szCs w:val="24"/>
          <w:lang w:eastAsia="en-GB"/>
        </w:rPr>
        <w:t xml:space="preserve"> compl</w:t>
      </w:r>
      <w:r w:rsidR="00113544" w:rsidRPr="002661A8">
        <w:rPr>
          <w:rFonts w:ascii="Times New Roman" w:eastAsia="Times New Roman" w:hAnsi="Times New Roman" w:cs="Times New Roman"/>
          <w:b/>
          <w:noProof/>
          <w:sz w:val="24"/>
          <w:szCs w:val="24"/>
          <w:lang w:eastAsia="en-GB"/>
        </w:rPr>
        <w:t>ex and uncertain in</w:t>
      </w:r>
      <w:r w:rsidR="001508B7">
        <w:rPr>
          <w:rFonts w:ascii="Times New Roman" w:eastAsia="Times New Roman" w:hAnsi="Times New Roman" w:cs="Times New Roman"/>
          <w:b/>
          <w:noProof/>
          <w:sz w:val="24"/>
          <w:szCs w:val="24"/>
          <w:lang w:eastAsia="en-GB"/>
        </w:rPr>
        <w:t xml:space="preserve"> their</w:t>
      </w:r>
      <w:r w:rsidR="00113544" w:rsidRPr="002661A8">
        <w:rPr>
          <w:rFonts w:ascii="Times New Roman" w:eastAsia="Times New Roman" w:hAnsi="Times New Roman" w:cs="Times New Roman"/>
          <w:b/>
          <w:noProof/>
          <w:sz w:val="24"/>
          <w:szCs w:val="24"/>
          <w:lang w:eastAsia="en-GB"/>
        </w:rPr>
        <w:t xml:space="preserve"> outcome</w:t>
      </w:r>
      <w:r w:rsidR="007D5E24" w:rsidRPr="002661A8">
        <w:rPr>
          <w:rFonts w:ascii="Times New Roman" w:eastAsia="Times New Roman" w:hAnsi="Times New Roman" w:cs="Times New Roman"/>
          <w:b/>
          <w:noProof/>
          <w:sz w:val="24"/>
          <w:szCs w:val="24"/>
          <w:lang w:eastAsia="en-GB"/>
        </w:rPr>
        <w:t xml:space="preserve"> for CCPs</w:t>
      </w:r>
      <w:r w:rsidRPr="002661A8">
        <w:rPr>
          <w:rFonts w:ascii="Times New Roman" w:eastAsia="Times New Roman" w:hAnsi="Times New Roman" w:cs="Times New Roman"/>
          <w:b/>
          <w:noProof/>
          <w:sz w:val="24"/>
          <w:szCs w:val="24"/>
          <w:lang w:eastAsia="en-GB"/>
        </w:rPr>
        <w:t xml:space="preserve"> to bring new products to the market</w:t>
      </w:r>
      <w:r w:rsidRPr="002661A8" w:rsidDel="00D461B8">
        <w:rPr>
          <w:rFonts w:ascii="Times New Roman" w:eastAsia="Times New Roman" w:hAnsi="Times New Roman" w:cs="Times New Roman"/>
          <w:noProof/>
          <w:sz w:val="24"/>
          <w:szCs w:val="24"/>
          <w:lang w:eastAsia="en-GB"/>
        </w:rPr>
        <w:t xml:space="preserve"> </w:t>
      </w:r>
      <w:r w:rsidR="007D5E24" w:rsidRPr="002661A8">
        <w:rPr>
          <w:rFonts w:ascii="Times New Roman" w:eastAsia="Times New Roman" w:hAnsi="Times New Roman" w:cs="Times New Roman"/>
          <w:noProof/>
          <w:sz w:val="24"/>
          <w:szCs w:val="24"/>
          <w:lang w:eastAsia="en-GB"/>
        </w:rPr>
        <w:t xml:space="preserve">or </w:t>
      </w:r>
      <w:r w:rsidR="007D5E24" w:rsidRPr="002661A8">
        <w:rPr>
          <w:rFonts w:ascii="Times New Roman" w:eastAsia="Times New Roman" w:hAnsi="Times New Roman" w:cs="Times New Roman"/>
          <w:b/>
          <w:noProof/>
          <w:sz w:val="24"/>
          <w:szCs w:val="24"/>
          <w:lang w:eastAsia="en-GB"/>
        </w:rPr>
        <w:t>adapt their models</w:t>
      </w:r>
      <w:r w:rsidR="007D5E24" w:rsidRPr="002661A8">
        <w:rPr>
          <w:rFonts w:ascii="Times New Roman" w:eastAsia="Times New Roman" w:hAnsi="Times New Roman" w:cs="Times New Roman"/>
          <w:noProof/>
          <w:sz w:val="24"/>
          <w:szCs w:val="24"/>
          <w:lang w:eastAsia="en-GB"/>
        </w:rPr>
        <w:t xml:space="preserve"> </w:t>
      </w:r>
      <w:r w:rsidR="009A2209" w:rsidRPr="002661A8">
        <w:rPr>
          <w:rFonts w:ascii="Times New Roman" w:eastAsia="Times New Roman" w:hAnsi="Times New Roman" w:cs="Times New Roman"/>
          <w:noProof/>
          <w:sz w:val="24"/>
          <w:szCs w:val="24"/>
          <w:lang w:eastAsia="en-GB"/>
        </w:rPr>
        <w:t>due</w:t>
      </w:r>
      <w:r w:rsidR="007D5E24" w:rsidRPr="002661A8">
        <w:rPr>
          <w:rFonts w:ascii="Times New Roman" w:eastAsia="Times New Roman" w:hAnsi="Times New Roman" w:cs="Times New Roman"/>
          <w:noProof/>
          <w:sz w:val="24"/>
          <w:szCs w:val="24"/>
          <w:lang w:eastAsia="en-GB"/>
        </w:rPr>
        <w:t xml:space="preserve"> to the procedures in Articles 15 and 49 of EMIR</w:t>
      </w:r>
      <w:r w:rsidR="00A41B64">
        <w:rPr>
          <w:rFonts w:ascii="Times New Roman" w:eastAsia="Times New Roman" w:hAnsi="Times New Roman" w:cs="Times New Roman"/>
          <w:noProof/>
          <w:sz w:val="24"/>
          <w:szCs w:val="24"/>
          <w:lang w:eastAsia="en-GB"/>
        </w:rPr>
        <w:t xml:space="preserve"> respectively</w:t>
      </w:r>
      <w:r w:rsidR="007D5E24" w:rsidRPr="002661A8">
        <w:rPr>
          <w:rFonts w:ascii="Times New Roman" w:eastAsia="Times New Roman" w:hAnsi="Times New Roman" w:cs="Times New Roman"/>
          <w:noProof/>
          <w:sz w:val="24"/>
          <w:szCs w:val="24"/>
          <w:lang w:eastAsia="en-GB"/>
        </w:rPr>
        <w:t xml:space="preserve">. </w:t>
      </w:r>
      <w:r w:rsidR="00A7299B">
        <w:rPr>
          <w:rFonts w:ascii="Times New Roman" w:eastAsia="Times New Roman" w:hAnsi="Times New Roman" w:cs="Times New Roman"/>
          <w:noProof/>
          <w:sz w:val="24"/>
          <w:szCs w:val="24"/>
          <w:lang w:eastAsia="en-GB"/>
        </w:rPr>
        <w:t>Eight</w:t>
      </w:r>
      <w:r w:rsidR="00746F74">
        <w:rPr>
          <w:rFonts w:ascii="Times New Roman" w:eastAsia="Times New Roman" w:hAnsi="Times New Roman" w:cs="Times New Roman"/>
          <w:noProof/>
          <w:sz w:val="24"/>
          <w:szCs w:val="24"/>
          <w:lang w:eastAsia="en-GB"/>
        </w:rPr>
        <w:t xml:space="preserve"> respondents</w:t>
      </w:r>
      <w:r w:rsidR="00C33C19">
        <w:rPr>
          <w:rFonts w:ascii="Times New Roman" w:eastAsia="Times New Roman" w:hAnsi="Times New Roman" w:cs="Times New Roman"/>
          <w:noProof/>
          <w:sz w:val="24"/>
          <w:szCs w:val="24"/>
          <w:lang w:eastAsia="en-GB"/>
        </w:rPr>
        <w:t xml:space="preserve"> to the targeted consultation</w:t>
      </w:r>
      <w:r w:rsidR="00746F74">
        <w:rPr>
          <w:rFonts w:ascii="Times New Roman" w:eastAsia="Times New Roman" w:hAnsi="Times New Roman" w:cs="Times New Roman"/>
          <w:noProof/>
          <w:sz w:val="24"/>
          <w:szCs w:val="24"/>
          <w:lang w:eastAsia="en-GB"/>
        </w:rPr>
        <w:t xml:space="preserve">, mainly CCPs, stressed their concerns regarding the complexity of the regulatory governance and its procedures. </w:t>
      </w:r>
      <w:r w:rsidR="00094281">
        <w:rPr>
          <w:rFonts w:ascii="Times New Roman" w:eastAsia="Times New Roman" w:hAnsi="Times New Roman" w:cs="Times New Roman"/>
          <w:noProof/>
          <w:sz w:val="24"/>
          <w:szCs w:val="24"/>
          <w:lang w:eastAsia="en-GB"/>
        </w:rPr>
        <w:t xml:space="preserve">Member </w:t>
      </w:r>
      <w:r w:rsidR="00AF56CE">
        <w:rPr>
          <w:rFonts w:ascii="Times New Roman" w:eastAsia="Times New Roman" w:hAnsi="Times New Roman" w:cs="Times New Roman"/>
          <w:noProof/>
          <w:sz w:val="24"/>
          <w:szCs w:val="24"/>
          <w:lang w:eastAsia="en-GB"/>
        </w:rPr>
        <w:t>S</w:t>
      </w:r>
      <w:r w:rsidR="00094281">
        <w:rPr>
          <w:rFonts w:ascii="Times New Roman" w:eastAsia="Times New Roman" w:hAnsi="Times New Roman" w:cs="Times New Roman"/>
          <w:noProof/>
          <w:sz w:val="24"/>
          <w:szCs w:val="24"/>
          <w:lang w:eastAsia="en-GB"/>
        </w:rPr>
        <w:t xml:space="preserve">tates </w:t>
      </w:r>
      <w:r w:rsidR="00AF56CE">
        <w:rPr>
          <w:rFonts w:ascii="Times New Roman" w:eastAsia="Times New Roman" w:hAnsi="Times New Roman" w:cs="Times New Roman"/>
          <w:noProof/>
          <w:sz w:val="24"/>
          <w:szCs w:val="24"/>
          <w:lang w:eastAsia="en-GB"/>
        </w:rPr>
        <w:t xml:space="preserve">generally </w:t>
      </w:r>
      <w:r w:rsidR="00094281">
        <w:rPr>
          <w:rFonts w:ascii="Times New Roman" w:eastAsia="Times New Roman" w:hAnsi="Times New Roman" w:cs="Times New Roman"/>
          <w:noProof/>
          <w:sz w:val="24"/>
          <w:szCs w:val="24"/>
          <w:lang w:eastAsia="en-GB"/>
        </w:rPr>
        <w:t>agree</w:t>
      </w:r>
      <w:r w:rsidR="001508B7">
        <w:rPr>
          <w:rFonts w:ascii="Times New Roman" w:eastAsia="Times New Roman" w:hAnsi="Times New Roman" w:cs="Times New Roman"/>
          <w:noProof/>
          <w:sz w:val="24"/>
          <w:szCs w:val="24"/>
          <w:lang w:eastAsia="en-GB"/>
        </w:rPr>
        <w:t>d</w:t>
      </w:r>
      <w:r w:rsidR="00094281">
        <w:rPr>
          <w:rFonts w:ascii="Times New Roman" w:eastAsia="Times New Roman" w:hAnsi="Times New Roman" w:cs="Times New Roman"/>
          <w:noProof/>
          <w:sz w:val="24"/>
          <w:szCs w:val="24"/>
          <w:lang w:eastAsia="en-GB"/>
        </w:rPr>
        <w:t xml:space="preserve"> with th</w:t>
      </w:r>
      <w:r w:rsidR="00746F74">
        <w:rPr>
          <w:rFonts w:ascii="Times New Roman" w:eastAsia="Times New Roman" w:hAnsi="Times New Roman" w:cs="Times New Roman"/>
          <w:noProof/>
          <w:sz w:val="24"/>
          <w:szCs w:val="24"/>
          <w:lang w:eastAsia="en-GB"/>
        </w:rPr>
        <w:t>e</w:t>
      </w:r>
      <w:r w:rsidR="00094281">
        <w:rPr>
          <w:rFonts w:ascii="Times New Roman" w:eastAsia="Times New Roman" w:hAnsi="Times New Roman" w:cs="Times New Roman"/>
          <w:noProof/>
          <w:sz w:val="24"/>
          <w:szCs w:val="24"/>
          <w:lang w:eastAsia="en-GB"/>
        </w:rPr>
        <w:t>s</w:t>
      </w:r>
      <w:r w:rsidR="00746F74">
        <w:rPr>
          <w:rFonts w:ascii="Times New Roman" w:eastAsia="Times New Roman" w:hAnsi="Times New Roman" w:cs="Times New Roman"/>
          <w:noProof/>
          <w:sz w:val="24"/>
          <w:szCs w:val="24"/>
          <w:lang w:eastAsia="en-GB"/>
        </w:rPr>
        <w:t>e</w:t>
      </w:r>
      <w:r w:rsidR="00094281">
        <w:rPr>
          <w:rFonts w:ascii="Times New Roman" w:eastAsia="Times New Roman" w:hAnsi="Times New Roman" w:cs="Times New Roman"/>
          <w:noProof/>
          <w:sz w:val="24"/>
          <w:szCs w:val="24"/>
          <w:lang w:eastAsia="en-GB"/>
        </w:rPr>
        <w:t xml:space="preserve"> observation</w:t>
      </w:r>
      <w:r w:rsidR="00746F74">
        <w:rPr>
          <w:rFonts w:ascii="Times New Roman" w:eastAsia="Times New Roman" w:hAnsi="Times New Roman" w:cs="Times New Roman"/>
          <w:noProof/>
          <w:sz w:val="24"/>
          <w:szCs w:val="24"/>
          <w:lang w:eastAsia="en-GB"/>
        </w:rPr>
        <w:t>s</w:t>
      </w:r>
      <w:r w:rsidR="00094281">
        <w:rPr>
          <w:rFonts w:ascii="Times New Roman" w:eastAsia="Times New Roman" w:hAnsi="Times New Roman" w:cs="Times New Roman"/>
          <w:noProof/>
          <w:sz w:val="24"/>
          <w:szCs w:val="24"/>
          <w:lang w:eastAsia="en-GB"/>
        </w:rPr>
        <w:t xml:space="preserve"> and underlined the lack of efficiency of these procedures, which, in addition,</w:t>
      </w:r>
      <w:r w:rsidR="00A74507" w:rsidRPr="002661A8" w:rsidDel="007D5E24">
        <w:rPr>
          <w:rFonts w:ascii="Times New Roman" w:eastAsia="Times New Roman" w:hAnsi="Times New Roman" w:cs="Times New Roman"/>
          <w:noProof/>
          <w:sz w:val="24"/>
          <w:szCs w:val="24"/>
          <w:lang w:eastAsia="en-GB"/>
        </w:rPr>
        <w:t xml:space="preserve"> </w:t>
      </w:r>
      <w:r w:rsidR="00A74507" w:rsidRPr="002661A8">
        <w:rPr>
          <w:rFonts w:ascii="Times New Roman" w:eastAsia="Times New Roman" w:hAnsi="Times New Roman" w:cs="Times New Roman"/>
          <w:noProof/>
          <w:sz w:val="24"/>
          <w:szCs w:val="24"/>
          <w:lang w:eastAsia="en-GB"/>
        </w:rPr>
        <w:t>increas</w:t>
      </w:r>
      <w:r w:rsidR="007D5E24" w:rsidRPr="002661A8">
        <w:rPr>
          <w:rFonts w:ascii="Times New Roman" w:eastAsia="Times New Roman" w:hAnsi="Times New Roman" w:cs="Times New Roman"/>
          <w:noProof/>
          <w:sz w:val="24"/>
          <w:szCs w:val="24"/>
          <w:lang w:eastAsia="en-GB"/>
        </w:rPr>
        <w:t xml:space="preserve">e costs for CCPs and all stakeholders involved in the clearing process </w:t>
      </w:r>
      <w:r w:rsidR="00D461B8" w:rsidRPr="002661A8">
        <w:rPr>
          <w:rFonts w:ascii="Times New Roman" w:eastAsia="Times New Roman" w:hAnsi="Times New Roman" w:cs="Times New Roman"/>
          <w:noProof/>
          <w:sz w:val="24"/>
          <w:szCs w:val="24"/>
          <w:lang w:eastAsia="en-GB"/>
        </w:rPr>
        <w:t xml:space="preserve">(see </w:t>
      </w:r>
      <w:hyperlink w:anchor="_Complex,_lengthy,_and" w:history="1">
        <w:r w:rsidR="00D461B8" w:rsidRPr="002661A8">
          <w:rPr>
            <w:rStyle w:val="Hyperlink"/>
            <w:rFonts w:ascii="Times New Roman" w:eastAsia="Times New Roman" w:hAnsi="Times New Roman" w:cs="Times New Roman"/>
            <w:noProof/>
            <w:sz w:val="24"/>
            <w:szCs w:val="24"/>
            <w:lang w:eastAsia="en-GB"/>
          </w:rPr>
          <w:t xml:space="preserve">Section </w:t>
        </w:r>
        <w:r w:rsidR="006C6967" w:rsidRPr="002661A8">
          <w:rPr>
            <w:rStyle w:val="Hyperlink"/>
            <w:rFonts w:ascii="Times New Roman" w:eastAsia="Times New Roman" w:hAnsi="Times New Roman" w:cs="Times New Roman"/>
            <w:noProof/>
            <w:sz w:val="24"/>
            <w:szCs w:val="24"/>
            <w:lang w:eastAsia="en-GB"/>
          </w:rPr>
          <w:t>3</w:t>
        </w:r>
        <w:r w:rsidR="00D461B8" w:rsidRPr="002661A8">
          <w:rPr>
            <w:rStyle w:val="Hyperlink"/>
            <w:rFonts w:ascii="Times New Roman" w:eastAsia="Times New Roman" w:hAnsi="Times New Roman" w:cs="Times New Roman"/>
            <w:noProof/>
            <w:sz w:val="24"/>
            <w:szCs w:val="24"/>
            <w:lang w:eastAsia="en-GB"/>
          </w:rPr>
          <w:t>.</w:t>
        </w:r>
        <w:r w:rsidR="003E4C97" w:rsidRPr="002661A8">
          <w:rPr>
            <w:rStyle w:val="Hyperlink"/>
            <w:rFonts w:ascii="Times New Roman" w:eastAsia="Times New Roman" w:hAnsi="Times New Roman" w:cs="Times New Roman"/>
            <w:noProof/>
            <w:sz w:val="24"/>
            <w:szCs w:val="24"/>
            <w:lang w:eastAsia="en-GB"/>
          </w:rPr>
          <w:t>2.1</w:t>
        </w:r>
      </w:hyperlink>
      <w:r w:rsidR="00D461B8" w:rsidRPr="002661A8">
        <w:rPr>
          <w:rFonts w:ascii="Times New Roman" w:eastAsia="Times New Roman" w:hAnsi="Times New Roman" w:cs="Times New Roman"/>
          <w:noProof/>
          <w:sz w:val="24"/>
          <w:szCs w:val="24"/>
          <w:lang w:eastAsia="en-GB"/>
        </w:rPr>
        <w:t>)</w:t>
      </w:r>
      <w:r w:rsidR="003D4578" w:rsidRPr="002661A8">
        <w:rPr>
          <w:rFonts w:ascii="Times New Roman" w:eastAsia="Times New Roman" w:hAnsi="Times New Roman" w:cs="Times New Roman"/>
          <w:noProof/>
          <w:sz w:val="24"/>
          <w:szCs w:val="24"/>
          <w:lang w:eastAsia="en-GB"/>
        </w:rPr>
        <w:t>.</w:t>
      </w:r>
    </w:p>
    <w:p w14:paraId="0D82EF09" w14:textId="56B01F2E" w:rsidR="0088294E" w:rsidRPr="002661A8" w:rsidRDefault="00164CBF" w:rsidP="00926AB1">
      <w:pPr>
        <w:spacing w:after="120" w:line="240" w:lineRule="auto"/>
        <w:jc w:val="both"/>
        <w:rPr>
          <w:rFonts w:ascii="Times New Roman" w:eastAsia="Times New Roman" w:hAnsi="Times New Roman" w:cs="Times New Roman"/>
          <w:noProof/>
          <w:sz w:val="24"/>
          <w:szCs w:val="24"/>
          <w:lang w:eastAsia="en-GB"/>
        </w:rPr>
      </w:pPr>
      <w:r w:rsidRPr="002661A8">
        <w:rPr>
          <w:rFonts w:ascii="Times New Roman" w:eastAsia="Times New Roman" w:hAnsi="Times New Roman" w:cs="Times New Roman"/>
          <w:noProof/>
          <w:sz w:val="24"/>
          <w:szCs w:val="24"/>
          <w:lang w:eastAsia="en-GB"/>
        </w:rPr>
        <w:t>Th</w:t>
      </w:r>
      <w:r w:rsidR="009A2209" w:rsidRPr="002661A8">
        <w:rPr>
          <w:rFonts w:ascii="Times New Roman" w:eastAsia="Times New Roman" w:hAnsi="Times New Roman" w:cs="Times New Roman"/>
          <w:noProof/>
          <w:sz w:val="24"/>
          <w:szCs w:val="24"/>
          <w:lang w:eastAsia="en-GB"/>
        </w:rPr>
        <w:t>is</w:t>
      </w:r>
      <w:r w:rsidRPr="002661A8" w:rsidDel="009A2209">
        <w:rPr>
          <w:rFonts w:ascii="Times New Roman" w:eastAsia="Times New Roman" w:hAnsi="Times New Roman" w:cs="Times New Roman"/>
          <w:noProof/>
          <w:sz w:val="24"/>
          <w:szCs w:val="24"/>
          <w:lang w:eastAsia="en-GB"/>
        </w:rPr>
        <w:t xml:space="preserve"> </w:t>
      </w:r>
      <w:r w:rsidR="003B315B">
        <w:rPr>
          <w:rFonts w:ascii="Times New Roman" w:eastAsia="Times New Roman" w:hAnsi="Times New Roman" w:cs="Times New Roman"/>
          <w:noProof/>
          <w:sz w:val="24"/>
          <w:szCs w:val="24"/>
          <w:lang w:eastAsia="en-GB"/>
        </w:rPr>
        <w:t>limits</w:t>
      </w:r>
      <w:r w:rsidRPr="002661A8">
        <w:rPr>
          <w:rFonts w:ascii="Times New Roman" w:eastAsia="Times New Roman" w:hAnsi="Times New Roman" w:cs="Times New Roman"/>
          <w:noProof/>
          <w:sz w:val="24"/>
          <w:szCs w:val="24"/>
          <w:lang w:eastAsia="en-GB"/>
        </w:rPr>
        <w:t xml:space="preserve"> EU </w:t>
      </w:r>
      <w:r w:rsidR="00FA44A1" w:rsidRPr="002661A8">
        <w:rPr>
          <w:rFonts w:ascii="Times New Roman" w:eastAsia="Times New Roman" w:hAnsi="Times New Roman" w:cs="Times New Roman"/>
          <w:noProof/>
          <w:sz w:val="24"/>
          <w:szCs w:val="24"/>
          <w:lang w:eastAsia="en-GB"/>
        </w:rPr>
        <w:t>CCP</w:t>
      </w:r>
      <w:r w:rsidRPr="002661A8">
        <w:rPr>
          <w:rFonts w:ascii="Times New Roman" w:eastAsia="Times New Roman" w:hAnsi="Times New Roman" w:cs="Times New Roman"/>
          <w:noProof/>
          <w:sz w:val="24"/>
          <w:szCs w:val="24"/>
          <w:lang w:eastAsia="en-GB"/>
        </w:rPr>
        <w:t>s</w:t>
      </w:r>
      <w:r w:rsidR="00FA44A1" w:rsidRPr="002661A8">
        <w:rPr>
          <w:rFonts w:ascii="Times New Roman" w:eastAsia="Times New Roman" w:hAnsi="Times New Roman" w:cs="Times New Roman"/>
          <w:noProof/>
          <w:sz w:val="24"/>
          <w:szCs w:val="24"/>
          <w:lang w:eastAsia="en-GB"/>
        </w:rPr>
        <w:t>’</w:t>
      </w:r>
      <w:r w:rsidRPr="002661A8">
        <w:rPr>
          <w:rFonts w:ascii="Times New Roman" w:eastAsia="Times New Roman" w:hAnsi="Times New Roman" w:cs="Times New Roman"/>
          <w:noProof/>
          <w:sz w:val="24"/>
          <w:szCs w:val="24"/>
          <w:lang w:eastAsia="en-GB"/>
        </w:rPr>
        <w:t xml:space="preserve"> ability to</w:t>
      </w:r>
      <w:r w:rsidR="002127B3" w:rsidRPr="002661A8" w:rsidDel="00073931">
        <w:rPr>
          <w:rFonts w:ascii="Times New Roman" w:eastAsia="Times New Roman" w:hAnsi="Times New Roman" w:cs="Times New Roman"/>
          <w:noProof/>
          <w:sz w:val="24"/>
          <w:szCs w:val="24"/>
          <w:lang w:eastAsia="en-GB"/>
        </w:rPr>
        <w:t xml:space="preserve"> </w:t>
      </w:r>
      <w:r w:rsidR="002127B3" w:rsidRPr="002661A8">
        <w:rPr>
          <w:rFonts w:ascii="Times New Roman" w:eastAsia="Times New Roman" w:hAnsi="Times New Roman" w:cs="Times New Roman"/>
          <w:noProof/>
          <w:sz w:val="24"/>
          <w:szCs w:val="24"/>
          <w:lang w:eastAsia="en-GB"/>
        </w:rPr>
        <w:t xml:space="preserve">bring new products </w:t>
      </w:r>
      <w:r w:rsidR="0088294E" w:rsidRPr="002661A8">
        <w:rPr>
          <w:rFonts w:ascii="Times New Roman" w:eastAsia="Times New Roman" w:hAnsi="Times New Roman" w:cs="Times New Roman"/>
          <w:noProof/>
          <w:sz w:val="24"/>
          <w:szCs w:val="24"/>
          <w:lang w:eastAsia="en-GB"/>
        </w:rPr>
        <w:t>and models</w:t>
      </w:r>
      <w:r w:rsidR="002127B3" w:rsidRPr="002661A8">
        <w:rPr>
          <w:rFonts w:ascii="Times New Roman" w:eastAsia="Times New Roman" w:hAnsi="Times New Roman" w:cs="Times New Roman"/>
          <w:noProof/>
          <w:sz w:val="24"/>
          <w:szCs w:val="24"/>
          <w:lang w:eastAsia="en-GB"/>
        </w:rPr>
        <w:t xml:space="preserve"> to market</w:t>
      </w:r>
      <w:r w:rsidR="00FA44A1" w:rsidRPr="002661A8">
        <w:rPr>
          <w:rFonts w:ascii="Times New Roman" w:eastAsia="Times New Roman" w:hAnsi="Times New Roman" w:cs="Times New Roman"/>
          <w:noProof/>
          <w:sz w:val="24"/>
          <w:szCs w:val="24"/>
          <w:lang w:eastAsia="en-GB"/>
        </w:rPr>
        <w:t xml:space="preserve">, which </w:t>
      </w:r>
      <w:r w:rsidRPr="002661A8">
        <w:rPr>
          <w:rFonts w:ascii="Times New Roman" w:eastAsia="Times New Roman" w:hAnsi="Times New Roman" w:cs="Times New Roman"/>
          <w:noProof/>
          <w:sz w:val="24"/>
          <w:szCs w:val="24"/>
          <w:lang w:eastAsia="en-GB"/>
        </w:rPr>
        <w:t xml:space="preserve">is </w:t>
      </w:r>
      <w:r w:rsidR="00190D9B" w:rsidRPr="002661A8">
        <w:rPr>
          <w:rFonts w:ascii="Times New Roman" w:eastAsia="Times New Roman" w:hAnsi="Times New Roman" w:cs="Times New Roman"/>
          <w:noProof/>
          <w:sz w:val="24"/>
          <w:szCs w:val="24"/>
          <w:lang w:eastAsia="en-GB"/>
        </w:rPr>
        <w:t>important</w:t>
      </w:r>
      <w:r w:rsidRPr="002661A8">
        <w:rPr>
          <w:rFonts w:ascii="Times New Roman" w:eastAsia="Times New Roman" w:hAnsi="Times New Roman" w:cs="Times New Roman"/>
          <w:noProof/>
          <w:sz w:val="24"/>
          <w:szCs w:val="24"/>
          <w:lang w:eastAsia="en-GB"/>
        </w:rPr>
        <w:t xml:space="preserve"> </w:t>
      </w:r>
      <w:r w:rsidR="00FA44A1" w:rsidRPr="002661A8">
        <w:rPr>
          <w:rFonts w:ascii="Times New Roman" w:eastAsia="Times New Roman" w:hAnsi="Times New Roman" w:cs="Times New Roman"/>
          <w:noProof/>
          <w:sz w:val="24"/>
          <w:szCs w:val="24"/>
          <w:lang w:eastAsia="en-GB"/>
        </w:rPr>
        <w:t>for</w:t>
      </w:r>
      <w:r w:rsidRPr="002661A8">
        <w:rPr>
          <w:rFonts w:ascii="Times New Roman" w:eastAsia="Times New Roman" w:hAnsi="Times New Roman" w:cs="Times New Roman"/>
          <w:noProof/>
          <w:sz w:val="24"/>
          <w:szCs w:val="24"/>
          <w:lang w:eastAsia="en-GB"/>
        </w:rPr>
        <w:t xml:space="preserve"> EU CCPs to compete internationally</w:t>
      </w:r>
      <w:r w:rsidR="009A2209" w:rsidRPr="002661A8">
        <w:rPr>
          <w:rFonts w:ascii="Times New Roman" w:eastAsia="Times New Roman" w:hAnsi="Times New Roman" w:cs="Times New Roman"/>
          <w:noProof/>
          <w:sz w:val="24"/>
          <w:szCs w:val="24"/>
          <w:lang w:eastAsia="en-GB"/>
        </w:rPr>
        <w:t>.</w:t>
      </w:r>
      <w:r w:rsidR="00A7299B" w:rsidRPr="002661A8">
        <w:rPr>
          <w:rStyle w:val="FootnoteReference"/>
          <w:rFonts w:ascii="Times New Roman" w:eastAsia="Times New Roman" w:hAnsi="Times New Roman" w:cs="Times New Roman"/>
          <w:noProof/>
          <w:sz w:val="24"/>
          <w:szCs w:val="24"/>
          <w:lang w:eastAsia="en-GB"/>
        </w:rPr>
        <w:footnoteReference w:id="40"/>
      </w:r>
      <w:r w:rsidRPr="002661A8">
        <w:rPr>
          <w:rFonts w:ascii="Times New Roman" w:eastAsia="Times New Roman" w:hAnsi="Times New Roman" w:cs="Times New Roman"/>
          <w:b/>
          <w:noProof/>
          <w:sz w:val="24"/>
          <w:szCs w:val="24"/>
          <w:lang w:eastAsia="en-GB"/>
        </w:rPr>
        <w:t xml:space="preserve"> </w:t>
      </w:r>
      <w:r w:rsidRPr="002661A8">
        <w:rPr>
          <w:rFonts w:ascii="Times New Roman" w:eastAsia="Times New Roman" w:hAnsi="Times New Roman" w:cs="Times New Roman"/>
          <w:noProof/>
          <w:sz w:val="24"/>
          <w:szCs w:val="24"/>
          <w:lang w:eastAsia="en-GB"/>
        </w:rPr>
        <w:t xml:space="preserve">For instance, if the time required for EU CCPs to </w:t>
      </w:r>
      <w:r w:rsidR="002127B3" w:rsidRPr="002661A8">
        <w:rPr>
          <w:rFonts w:ascii="Times New Roman" w:eastAsia="Times New Roman" w:hAnsi="Times New Roman" w:cs="Times New Roman"/>
          <w:noProof/>
          <w:sz w:val="24"/>
          <w:szCs w:val="24"/>
          <w:lang w:eastAsia="en-GB"/>
        </w:rPr>
        <w:t>obtain</w:t>
      </w:r>
      <w:r w:rsidRPr="002661A8">
        <w:rPr>
          <w:rFonts w:ascii="Times New Roman" w:eastAsia="Times New Roman" w:hAnsi="Times New Roman" w:cs="Times New Roman"/>
          <w:noProof/>
          <w:sz w:val="24"/>
          <w:szCs w:val="24"/>
          <w:lang w:eastAsia="en-GB"/>
        </w:rPr>
        <w:t xml:space="preserve"> the relevant </w:t>
      </w:r>
      <w:r w:rsidR="00FA6288" w:rsidRPr="002661A8">
        <w:rPr>
          <w:rFonts w:ascii="Times New Roman" w:eastAsia="Times New Roman" w:hAnsi="Times New Roman" w:cs="Times New Roman"/>
          <w:noProof/>
          <w:sz w:val="24"/>
          <w:szCs w:val="24"/>
          <w:lang w:eastAsia="en-GB"/>
        </w:rPr>
        <w:t>authorisation</w:t>
      </w:r>
      <w:r w:rsidRPr="002661A8">
        <w:rPr>
          <w:rFonts w:ascii="Times New Roman" w:eastAsia="Times New Roman" w:hAnsi="Times New Roman" w:cs="Times New Roman"/>
          <w:noProof/>
          <w:sz w:val="24"/>
          <w:szCs w:val="24"/>
          <w:lang w:eastAsia="en-GB"/>
        </w:rPr>
        <w:t xml:space="preserve"> to launch a new product is too long</w:t>
      </w:r>
      <w:r w:rsidR="007C4A5C" w:rsidRPr="002661A8">
        <w:rPr>
          <w:rFonts w:ascii="Times New Roman" w:eastAsia="Times New Roman" w:hAnsi="Times New Roman" w:cs="Times New Roman"/>
          <w:noProof/>
          <w:sz w:val="24"/>
          <w:szCs w:val="24"/>
          <w:lang w:eastAsia="en-GB"/>
        </w:rPr>
        <w:t xml:space="preserve"> and uncertain</w:t>
      </w:r>
      <w:r w:rsidRPr="002661A8">
        <w:rPr>
          <w:rFonts w:ascii="Times New Roman" w:eastAsia="Times New Roman" w:hAnsi="Times New Roman" w:cs="Times New Roman"/>
          <w:noProof/>
          <w:sz w:val="24"/>
          <w:szCs w:val="24"/>
          <w:lang w:eastAsia="en-GB"/>
        </w:rPr>
        <w:t>, market participants may start clearing elsewhere.</w:t>
      </w:r>
      <w:r w:rsidR="000C06CD" w:rsidRPr="002661A8" w:rsidDel="00A7299B">
        <w:rPr>
          <w:rStyle w:val="FootnoteReference"/>
          <w:rFonts w:ascii="Times New Roman" w:eastAsia="Times New Roman" w:hAnsi="Times New Roman" w:cs="Times New Roman"/>
          <w:noProof/>
          <w:sz w:val="24"/>
          <w:szCs w:val="24"/>
          <w:lang w:eastAsia="en-GB"/>
        </w:rPr>
        <w:footnoteReference w:id="41"/>
      </w:r>
      <w:r w:rsidR="000C06CD" w:rsidRPr="002661A8">
        <w:rPr>
          <w:rFonts w:ascii="Times New Roman" w:eastAsia="Times New Roman" w:hAnsi="Times New Roman" w:cs="Times New Roman"/>
          <w:noProof/>
          <w:sz w:val="24"/>
          <w:szCs w:val="24"/>
          <w:lang w:eastAsia="en-GB"/>
        </w:rPr>
        <w:t xml:space="preserve"> </w:t>
      </w:r>
      <w:r w:rsidRPr="002661A8">
        <w:rPr>
          <w:rFonts w:ascii="Times New Roman" w:eastAsia="Times New Roman" w:hAnsi="Times New Roman" w:cs="Times New Roman"/>
          <w:noProof/>
          <w:sz w:val="24"/>
          <w:szCs w:val="24"/>
          <w:lang w:eastAsia="en-GB"/>
        </w:rPr>
        <w:t xml:space="preserve">If </w:t>
      </w:r>
      <w:r w:rsidR="00BC27AE" w:rsidRPr="002661A8">
        <w:rPr>
          <w:rFonts w:ascii="Times New Roman" w:eastAsia="Times New Roman" w:hAnsi="Times New Roman" w:cs="Times New Roman"/>
          <w:noProof/>
          <w:sz w:val="24"/>
          <w:szCs w:val="24"/>
          <w:lang w:eastAsia="en-GB"/>
        </w:rPr>
        <w:t>clearing members then use a</w:t>
      </w:r>
      <w:r w:rsidRPr="002661A8">
        <w:rPr>
          <w:rFonts w:ascii="Times New Roman" w:eastAsia="Times New Roman" w:hAnsi="Times New Roman" w:cs="Times New Roman"/>
          <w:noProof/>
          <w:sz w:val="24"/>
          <w:szCs w:val="24"/>
          <w:lang w:eastAsia="en-GB"/>
        </w:rPr>
        <w:t xml:space="preserve"> recognised third-country CCP</w:t>
      </w:r>
      <w:r w:rsidR="00A7299B">
        <w:rPr>
          <w:rFonts w:ascii="Times New Roman" w:eastAsia="Times New Roman" w:hAnsi="Times New Roman" w:cs="Times New Roman"/>
          <w:noProof/>
          <w:sz w:val="24"/>
          <w:szCs w:val="24"/>
          <w:lang w:eastAsia="en-GB"/>
        </w:rPr>
        <w:t>,</w:t>
      </w:r>
      <w:r w:rsidRPr="002661A8">
        <w:rPr>
          <w:rFonts w:ascii="Times New Roman" w:eastAsia="Times New Roman" w:hAnsi="Times New Roman" w:cs="Times New Roman"/>
          <w:noProof/>
          <w:sz w:val="24"/>
          <w:szCs w:val="24"/>
          <w:lang w:eastAsia="en-GB"/>
        </w:rPr>
        <w:t xml:space="preserve"> </w:t>
      </w:r>
      <w:r w:rsidR="002351AE" w:rsidRPr="002661A8">
        <w:rPr>
          <w:rFonts w:ascii="Times New Roman" w:eastAsia="Times New Roman" w:hAnsi="Times New Roman" w:cs="Times New Roman"/>
          <w:noProof/>
          <w:sz w:val="24"/>
          <w:szCs w:val="24"/>
          <w:lang w:eastAsia="en-GB"/>
        </w:rPr>
        <w:t xml:space="preserve">in </w:t>
      </w:r>
      <w:r w:rsidRPr="002661A8">
        <w:rPr>
          <w:rFonts w:ascii="Times New Roman" w:eastAsia="Times New Roman" w:hAnsi="Times New Roman" w:cs="Times New Roman"/>
          <w:noProof/>
          <w:sz w:val="24"/>
          <w:szCs w:val="24"/>
          <w:lang w:eastAsia="en-GB"/>
        </w:rPr>
        <w:t xml:space="preserve">which </w:t>
      </w:r>
      <w:r w:rsidR="002351AE" w:rsidRPr="002661A8">
        <w:rPr>
          <w:rFonts w:ascii="Times New Roman" w:eastAsia="Times New Roman" w:hAnsi="Times New Roman" w:cs="Times New Roman"/>
          <w:noProof/>
          <w:sz w:val="24"/>
          <w:szCs w:val="24"/>
          <w:lang w:eastAsia="en-GB"/>
        </w:rPr>
        <w:t>they are</w:t>
      </w:r>
      <w:r w:rsidRPr="002661A8">
        <w:rPr>
          <w:rFonts w:ascii="Times New Roman" w:eastAsia="Times New Roman" w:hAnsi="Times New Roman" w:cs="Times New Roman"/>
          <w:noProof/>
          <w:sz w:val="24"/>
          <w:szCs w:val="24"/>
          <w:lang w:eastAsia="en-GB"/>
        </w:rPr>
        <w:t xml:space="preserve"> already clearing </w:t>
      </w:r>
      <w:r w:rsidR="002351AE" w:rsidRPr="002661A8">
        <w:rPr>
          <w:rFonts w:ascii="Times New Roman" w:eastAsia="Times New Roman" w:hAnsi="Times New Roman" w:cs="Times New Roman"/>
          <w:noProof/>
          <w:sz w:val="24"/>
          <w:szCs w:val="24"/>
          <w:lang w:eastAsia="en-GB"/>
        </w:rPr>
        <w:t>substantially,</w:t>
      </w:r>
      <w:r w:rsidRPr="002661A8">
        <w:rPr>
          <w:rFonts w:ascii="Times New Roman" w:eastAsia="Times New Roman" w:hAnsi="Times New Roman" w:cs="Times New Roman"/>
          <w:noProof/>
          <w:sz w:val="24"/>
          <w:szCs w:val="24"/>
          <w:lang w:eastAsia="en-GB"/>
        </w:rPr>
        <w:t xml:space="preserve"> this could exacerbate </w:t>
      </w:r>
      <w:r w:rsidR="0001606C" w:rsidRPr="002661A8">
        <w:rPr>
          <w:rFonts w:ascii="Times New Roman" w:eastAsia="Times New Roman" w:hAnsi="Times New Roman" w:cs="Times New Roman"/>
          <w:noProof/>
          <w:sz w:val="24"/>
          <w:szCs w:val="24"/>
          <w:lang w:eastAsia="en-GB"/>
        </w:rPr>
        <w:t xml:space="preserve">the </w:t>
      </w:r>
      <w:r w:rsidRPr="002661A8">
        <w:rPr>
          <w:rFonts w:ascii="Times New Roman" w:eastAsia="Times New Roman" w:hAnsi="Times New Roman" w:cs="Times New Roman"/>
          <w:noProof/>
          <w:sz w:val="24"/>
          <w:szCs w:val="24"/>
          <w:lang w:eastAsia="en-GB"/>
        </w:rPr>
        <w:t>over-reliance</w:t>
      </w:r>
      <w:r w:rsidR="0001606C" w:rsidRPr="002661A8">
        <w:rPr>
          <w:rFonts w:ascii="Times New Roman" w:eastAsia="Times New Roman" w:hAnsi="Times New Roman" w:cs="Times New Roman"/>
          <w:noProof/>
          <w:sz w:val="24"/>
          <w:szCs w:val="24"/>
          <w:lang w:eastAsia="en-GB"/>
        </w:rPr>
        <w:t xml:space="preserve"> o</w:t>
      </w:r>
      <w:r w:rsidR="00491C35" w:rsidRPr="002661A8">
        <w:rPr>
          <w:rFonts w:ascii="Times New Roman" w:eastAsia="Times New Roman" w:hAnsi="Times New Roman" w:cs="Times New Roman"/>
          <w:noProof/>
          <w:sz w:val="24"/>
          <w:szCs w:val="24"/>
          <w:lang w:eastAsia="en-GB"/>
        </w:rPr>
        <w:t>n</w:t>
      </w:r>
      <w:r w:rsidR="0001606C" w:rsidRPr="002661A8">
        <w:rPr>
          <w:rFonts w:ascii="Times New Roman" w:eastAsia="Times New Roman" w:hAnsi="Times New Roman" w:cs="Times New Roman"/>
          <w:noProof/>
          <w:sz w:val="24"/>
          <w:szCs w:val="24"/>
          <w:lang w:eastAsia="en-GB"/>
        </w:rPr>
        <w:t xml:space="preserve"> that CCP</w:t>
      </w:r>
      <w:r w:rsidR="002A0A92" w:rsidRPr="002661A8">
        <w:rPr>
          <w:rFonts w:ascii="Times New Roman" w:eastAsia="Times New Roman" w:hAnsi="Times New Roman" w:cs="Times New Roman"/>
          <w:noProof/>
          <w:sz w:val="24"/>
          <w:szCs w:val="24"/>
          <w:lang w:eastAsia="en-GB"/>
        </w:rPr>
        <w:t>,</w:t>
      </w:r>
      <w:r w:rsidR="0001606C" w:rsidRPr="002661A8">
        <w:rPr>
          <w:rFonts w:ascii="Times New Roman" w:eastAsia="Times New Roman" w:hAnsi="Times New Roman" w:cs="Times New Roman"/>
          <w:noProof/>
          <w:sz w:val="24"/>
          <w:szCs w:val="24"/>
          <w:lang w:eastAsia="en-GB"/>
        </w:rPr>
        <w:t xml:space="preserve"> in turn</w:t>
      </w:r>
      <w:r w:rsidR="002A0A92" w:rsidRPr="002661A8">
        <w:rPr>
          <w:rFonts w:ascii="Times New Roman" w:eastAsia="Times New Roman" w:hAnsi="Times New Roman" w:cs="Times New Roman"/>
          <w:noProof/>
          <w:sz w:val="24"/>
          <w:szCs w:val="24"/>
          <w:lang w:eastAsia="en-GB"/>
        </w:rPr>
        <w:t xml:space="preserve"> creating risks for the EU financial stability</w:t>
      </w:r>
      <w:r w:rsidR="007B378E" w:rsidRPr="002661A8">
        <w:rPr>
          <w:rFonts w:ascii="Times New Roman" w:eastAsia="Times New Roman" w:hAnsi="Times New Roman" w:cs="Times New Roman"/>
          <w:noProof/>
          <w:sz w:val="24"/>
          <w:szCs w:val="24"/>
          <w:lang w:eastAsia="en-GB"/>
        </w:rPr>
        <w:t xml:space="preserve"> (See </w:t>
      </w:r>
      <w:hyperlink w:anchor="_Insufficient_consideration_of" w:history="1">
        <w:r w:rsidR="007C4A5C" w:rsidRPr="002661A8">
          <w:rPr>
            <w:rStyle w:val="Hyperlink"/>
            <w:rFonts w:ascii="Times New Roman" w:eastAsia="Times New Roman" w:hAnsi="Times New Roman" w:cs="Times New Roman"/>
            <w:noProof/>
            <w:sz w:val="24"/>
            <w:szCs w:val="24"/>
            <w:lang w:eastAsia="en-GB"/>
          </w:rPr>
          <w:t>S</w:t>
        </w:r>
        <w:r w:rsidR="007B378E" w:rsidRPr="002661A8">
          <w:rPr>
            <w:rStyle w:val="Hyperlink"/>
            <w:rFonts w:ascii="Times New Roman" w:eastAsia="Times New Roman" w:hAnsi="Times New Roman" w:cs="Times New Roman"/>
            <w:noProof/>
            <w:sz w:val="24"/>
            <w:szCs w:val="24"/>
            <w:lang w:eastAsia="en-GB"/>
          </w:rPr>
          <w:t xml:space="preserve">ection </w:t>
        </w:r>
        <w:r w:rsidR="007C4A5C" w:rsidRPr="002661A8">
          <w:rPr>
            <w:rStyle w:val="Hyperlink"/>
            <w:rFonts w:ascii="Times New Roman" w:eastAsia="Times New Roman" w:hAnsi="Times New Roman" w:cs="Times New Roman"/>
            <w:noProof/>
            <w:sz w:val="24"/>
            <w:szCs w:val="24"/>
            <w:lang w:eastAsia="en-GB"/>
          </w:rPr>
          <w:t>3.1.3</w:t>
        </w:r>
      </w:hyperlink>
      <w:r w:rsidR="007B378E" w:rsidRPr="002661A8">
        <w:rPr>
          <w:rFonts w:ascii="Times New Roman" w:eastAsia="Times New Roman" w:hAnsi="Times New Roman" w:cs="Times New Roman"/>
          <w:noProof/>
          <w:sz w:val="24"/>
          <w:szCs w:val="24"/>
          <w:lang w:eastAsia="en-GB"/>
        </w:rPr>
        <w:t>)</w:t>
      </w:r>
      <w:r w:rsidRPr="002661A8">
        <w:rPr>
          <w:rFonts w:ascii="Times New Roman" w:eastAsia="Times New Roman" w:hAnsi="Times New Roman" w:cs="Times New Roman"/>
          <w:noProof/>
          <w:sz w:val="24"/>
          <w:szCs w:val="24"/>
          <w:lang w:eastAsia="en-GB"/>
        </w:rPr>
        <w:t xml:space="preserve">. </w:t>
      </w:r>
      <w:r w:rsidR="001508B7">
        <w:rPr>
          <w:rFonts w:ascii="Times New Roman" w:eastAsia="Times New Roman" w:hAnsi="Times New Roman" w:cs="Times New Roman"/>
          <w:noProof/>
          <w:sz w:val="24"/>
          <w:szCs w:val="24"/>
          <w:lang w:eastAsia="en-GB"/>
        </w:rPr>
        <w:t>A</w:t>
      </w:r>
      <w:r w:rsidR="001508B7" w:rsidRPr="002661A8">
        <w:rPr>
          <w:rFonts w:ascii="Times New Roman" w:eastAsia="Times New Roman" w:hAnsi="Times New Roman" w:cs="Times New Roman"/>
          <w:noProof/>
          <w:sz w:val="24"/>
          <w:szCs w:val="24"/>
          <w:lang w:eastAsia="en-GB"/>
        </w:rPr>
        <w:t xml:space="preserve"> CCP’s ability to adapt its models in a reactive and predictable way is</w:t>
      </w:r>
      <w:r w:rsidR="001508B7">
        <w:rPr>
          <w:rFonts w:ascii="Times New Roman" w:eastAsia="Times New Roman" w:hAnsi="Times New Roman" w:cs="Times New Roman"/>
          <w:noProof/>
          <w:sz w:val="24"/>
          <w:szCs w:val="24"/>
          <w:lang w:eastAsia="en-GB"/>
        </w:rPr>
        <w:t xml:space="preserve"> also</w:t>
      </w:r>
      <w:r w:rsidR="001508B7" w:rsidRPr="002661A8">
        <w:rPr>
          <w:rFonts w:ascii="Times New Roman" w:eastAsia="Times New Roman" w:hAnsi="Times New Roman" w:cs="Times New Roman"/>
          <w:noProof/>
          <w:sz w:val="24"/>
          <w:szCs w:val="24"/>
          <w:lang w:eastAsia="en-GB"/>
        </w:rPr>
        <w:t xml:space="preserve"> key for market participants when assessing a CCP’s performance and its attractiveness.</w:t>
      </w:r>
      <w:r w:rsidR="001508B7" w:rsidRPr="002661A8" w:rsidDel="00A7299B">
        <w:rPr>
          <w:rStyle w:val="FootnoteReference"/>
          <w:rFonts w:ascii="Times New Roman" w:eastAsia="Times New Roman" w:hAnsi="Times New Roman" w:cs="Times New Roman"/>
          <w:noProof/>
          <w:sz w:val="24"/>
          <w:szCs w:val="24"/>
          <w:lang w:eastAsia="en-GB"/>
        </w:rPr>
        <w:footnoteReference w:id="42"/>
      </w:r>
      <w:r w:rsidR="00A41B64">
        <w:rPr>
          <w:rFonts w:ascii="Times New Roman" w:eastAsia="Times New Roman" w:hAnsi="Times New Roman" w:cs="Times New Roman"/>
          <w:noProof/>
          <w:sz w:val="24"/>
          <w:szCs w:val="24"/>
          <w:lang w:eastAsia="en-GB"/>
        </w:rPr>
        <w:t xml:space="preserve"> </w:t>
      </w:r>
      <w:r w:rsidR="00BA2048">
        <w:rPr>
          <w:rFonts w:ascii="Times New Roman" w:eastAsia="Times New Roman" w:hAnsi="Times New Roman" w:cs="Times New Roman"/>
          <w:noProof/>
          <w:sz w:val="24"/>
          <w:szCs w:val="24"/>
          <w:lang w:eastAsia="en-GB"/>
        </w:rPr>
        <w:t>T</w:t>
      </w:r>
      <w:r w:rsidR="0088294E" w:rsidRPr="002661A8">
        <w:rPr>
          <w:rFonts w:ascii="Times New Roman" w:eastAsia="Times New Roman" w:hAnsi="Times New Roman" w:cs="Times New Roman"/>
          <w:noProof/>
          <w:sz w:val="24"/>
          <w:szCs w:val="24"/>
          <w:lang w:eastAsia="en-GB"/>
        </w:rPr>
        <w:t xml:space="preserve">his leads to a circular problem where CCPs are reluctant to expand their services without the commitment of the demand side, while the market is reluctant to commit to other CCPs due to </w:t>
      </w:r>
      <w:r w:rsidR="001337D7">
        <w:rPr>
          <w:rFonts w:ascii="Times New Roman" w:eastAsia="Times New Roman" w:hAnsi="Times New Roman" w:cs="Times New Roman"/>
          <w:noProof/>
          <w:sz w:val="24"/>
          <w:szCs w:val="24"/>
          <w:lang w:eastAsia="en-GB"/>
        </w:rPr>
        <w:t xml:space="preserve">less netting efficiencies, reduced possibility for margin optimisation and </w:t>
      </w:r>
      <w:r w:rsidR="0088294E" w:rsidRPr="002661A8">
        <w:rPr>
          <w:rFonts w:ascii="Times New Roman" w:eastAsia="Times New Roman" w:hAnsi="Times New Roman" w:cs="Times New Roman"/>
          <w:noProof/>
          <w:sz w:val="24"/>
          <w:szCs w:val="24"/>
          <w:lang w:eastAsia="en-GB"/>
        </w:rPr>
        <w:t xml:space="preserve">the uncertainty in the time to market of different CCP’s services. </w:t>
      </w:r>
    </w:p>
    <w:p w14:paraId="0D81D4B2" w14:textId="5E5F9081" w:rsidR="00293C2E" w:rsidRPr="002661A8" w:rsidRDefault="00BE4971" w:rsidP="00ED5088">
      <w:pPr>
        <w:pStyle w:val="Heading1"/>
        <w:numPr>
          <w:ilvl w:val="2"/>
          <w:numId w:val="6"/>
        </w:numPr>
        <w:spacing w:before="0" w:after="120"/>
        <w:rPr>
          <w:b w:val="0"/>
          <w:i/>
          <w:noProof/>
        </w:rPr>
      </w:pPr>
      <w:bookmarkStart w:id="195" w:name="_Demand_side_problems"/>
      <w:bookmarkStart w:id="196" w:name="_Toc106827814"/>
      <w:bookmarkStart w:id="197" w:name="_Toc106981690"/>
      <w:bookmarkStart w:id="198" w:name="_Toc107493830"/>
      <w:bookmarkStart w:id="199" w:name="_Toc107497866"/>
      <w:bookmarkStart w:id="200" w:name="_Toc107503419"/>
      <w:bookmarkStart w:id="201" w:name="_Toc107504567"/>
      <w:bookmarkStart w:id="202" w:name="_Toc107505412"/>
      <w:bookmarkStart w:id="203" w:name="_Toc107838888"/>
      <w:bookmarkStart w:id="204" w:name="_Toc107846983"/>
      <w:bookmarkStart w:id="205" w:name="_Toc107849220"/>
      <w:bookmarkStart w:id="206" w:name="_Toc107853667"/>
      <w:bookmarkStart w:id="207" w:name="_Toc108418476"/>
      <w:bookmarkStart w:id="208" w:name="_Toc108539568"/>
      <w:bookmarkStart w:id="209" w:name="_Toc108539790"/>
      <w:bookmarkStart w:id="210" w:name="_Toc108539908"/>
      <w:bookmarkStart w:id="211" w:name="_Toc108539987"/>
      <w:bookmarkStart w:id="212" w:name="_Toc109057366"/>
      <w:bookmarkStart w:id="213" w:name="_Toc109120732"/>
      <w:bookmarkStart w:id="214" w:name="_Toc109122367"/>
      <w:bookmarkStart w:id="215" w:name="_Toc109124080"/>
      <w:bookmarkStart w:id="216" w:name="_Toc109133104"/>
      <w:bookmarkStart w:id="217" w:name="_Toc109133280"/>
      <w:bookmarkStart w:id="218" w:name="_Toc120291638"/>
      <w:bookmarkEnd w:id="195"/>
      <w:r w:rsidRPr="002661A8">
        <w:rPr>
          <w:b w:val="0"/>
          <w:i/>
          <w:smallCaps w:val="0"/>
          <w:noProof/>
        </w:rPr>
        <w:t>Demand side problems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50B08D16" w14:textId="1401EEC5" w:rsidR="00D41449" w:rsidRPr="002661A8" w:rsidRDefault="00F705E6">
      <w:pPr>
        <w:spacing w:after="120" w:line="240" w:lineRule="auto"/>
        <w:jc w:val="both"/>
        <w:rPr>
          <w:rFonts w:ascii="Times New Roman" w:hAnsi="Times New Roman" w:cs="Times New Roman"/>
          <w:noProof/>
          <w:sz w:val="24"/>
          <w:szCs w:val="24"/>
        </w:rPr>
      </w:pPr>
      <w:hyperlink w:anchor="_Supply_side_problems" w:history="1">
        <w:r w:rsidR="0083377E" w:rsidRPr="002661A8">
          <w:rPr>
            <w:rStyle w:val="Hyperlink"/>
            <w:rFonts w:ascii="Times New Roman" w:hAnsi="Times New Roman" w:cs="Times New Roman"/>
            <w:noProof/>
            <w:sz w:val="24"/>
            <w:szCs w:val="24"/>
          </w:rPr>
          <w:t>S</w:t>
        </w:r>
        <w:r w:rsidR="00D41449" w:rsidRPr="002661A8">
          <w:rPr>
            <w:rStyle w:val="Hyperlink"/>
            <w:rFonts w:ascii="Times New Roman" w:hAnsi="Times New Roman" w:cs="Times New Roman"/>
            <w:noProof/>
            <w:sz w:val="24"/>
            <w:szCs w:val="24"/>
          </w:rPr>
          <w:t xml:space="preserve">ection </w:t>
        </w:r>
        <w:r w:rsidR="0083377E" w:rsidRPr="002661A8">
          <w:rPr>
            <w:rStyle w:val="Hyperlink"/>
            <w:rFonts w:ascii="Times New Roman" w:hAnsi="Times New Roman" w:cs="Times New Roman"/>
            <w:noProof/>
            <w:sz w:val="24"/>
            <w:szCs w:val="24"/>
          </w:rPr>
          <w:t>3.1.1</w:t>
        </w:r>
      </w:hyperlink>
      <w:r w:rsidR="0083377E" w:rsidRPr="002661A8">
        <w:rPr>
          <w:rFonts w:ascii="Times New Roman" w:hAnsi="Times New Roman" w:cs="Times New Roman"/>
          <w:noProof/>
          <w:sz w:val="24"/>
          <w:szCs w:val="24"/>
        </w:rPr>
        <w:t xml:space="preserve"> </w:t>
      </w:r>
      <w:r w:rsidR="003577FA" w:rsidRPr="002661A8">
        <w:rPr>
          <w:rFonts w:ascii="Times New Roman" w:hAnsi="Times New Roman" w:cs="Times New Roman"/>
          <w:noProof/>
          <w:sz w:val="24"/>
          <w:szCs w:val="24"/>
        </w:rPr>
        <w:t xml:space="preserve">shows </w:t>
      </w:r>
      <w:r w:rsidR="008D4A9B" w:rsidRPr="002661A8">
        <w:rPr>
          <w:rFonts w:ascii="Times New Roman" w:hAnsi="Times New Roman" w:cs="Times New Roman"/>
          <w:noProof/>
          <w:sz w:val="24"/>
          <w:szCs w:val="24"/>
        </w:rPr>
        <w:t>the connection between the supply and demand side issues</w:t>
      </w:r>
      <w:r w:rsidR="00D41449" w:rsidRPr="002661A8">
        <w:rPr>
          <w:rFonts w:ascii="Times New Roman" w:hAnsi="Times New Roman" w:cs="Times New Roman"/>
          <w:noProof/>
          <w:sz w:val="24"/>
          <w:szCs w:val="24"/>
        </w:rPr>
        <w:t xml:space="preserve">. </w:t>
      </w:r>
      <w:r w:rsidR="0083377E" w:rsidRPr="002661A8">
        <w:rPr>
          <w:rFonts w:ascii="Times New Roman" w:hAnsi="Times New Roman" w:cs="Times New Roman"/>
          <w:noProof/>
          <w:sz w:val="24"/>
          <w:szCs w:val="24"/>
        </w:rPr>
        <w:t>T</w:t>
      </w:r>
      <w:r w:rsidR="00D41449" w:rsidRPr="002661A8">
        <w:rPr>
          <w:rFonts w:ascii="Times New Roman" w:hAnsi="Times New Roman" w:cs="Times New Roman"/>
          <w:noProof/>
          <w:sz w:val="24"/>
          <w:szCs w:val="24"/>
        </w:rPr>
        <w:t xml:space="preserve">he lack of demand from clearing members and clients is </w:t>
      </w:r>
      <w:r w:rsidR="0083377E" w:rsidRPr="002661A8">
        <w:rPr>
          <w:rFonts w:ascii="Times New Roman" w:hAnsi="Times New Roman" w:cs="Times New Roman"/>
          <w:noProof/>
          <w:sz w:val="24"/>
          <w:szCs w:val="24"/>
        </w:rPr>
        <w:t xml:space="preserve">however </w:t>
      </w:r>
      <w:r w:rsidR="00D41449" w:rsidRPr="002661A8">
        <w:rPr>
          <w:rFonts w:ascii="Times New Roman" w:hAnsi="Times New Roman" w:cs="Times New Roman"/>
          <w:noProof/>
          <w:sz w:val="24"/>
          <w:szCs w:val="24"/>
        </w:rPr>
        <w:t xml:space="preserve">compounded by </w:t>
      </w:r>
      <w:r w:rsidR="0083377E" w:rsidRPr="002661A8">
        <w:rPr>
          <w:rFonts w:ascii="Times New Roman" w:hAnsi="Times New Roman" w:cs="Times New Roman"/>
          <w:noProof/>
          <w:sz w:val="24"/>
          <w:szCs w:val="24"/>
        </w:rPr>
        <w:t>several</w:t>
      </w:r>
      <w:r w:rsidR="00D41449" w:rsidRPr="002661A8">
        <w:rPr>
          <w:rFonts w:ascii="Times New Roman" w:hAnsi="Times New Roman" w:cs="Times New Roman"/>
          <w:noProof/>
          <w:sz w:val="24"/>
          <w:szCs w:val="24"/>
        </w:rPr>
        <w:t xml:space="preserve"> factors: network effects of continuing to clear at incumbent CCPs and insufficient liquidity in EU CCPs.</w:t>
      </w:r>
    </w:p>
    <w:p w14:paraId="5A74D1B1" w14:textId="76E5A9B7" w:rsidR="00671085" w:rsidRPr="002661A8" w:rsidRDefault="00D41449">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First, </w:t>
      </w:r>
      <w:r w:rsidR="00FE5DF3" w:rsidRPr="002661A8">
        <w:rPr>
          <w:rFonts w:ascii="Times New Roman" w:hAnsi="Times New Roman" w:cs="Times New Roman"/>
          <w:noProof/>
          <w:sz w:val="24"/>
          <w:szCs w:val="24"/>
        </w:rPr>
        <w:t xml:space="preserve">clearing, by nature, favours concentration by providing </w:t>
      </w:r>
      <w:r w:rsidR="00FE5DF3" w:rsidRPr="002661A8">
        <w:rPr>
          <w:rFonts w:ascii="Times New Roman" w:hAnsi="Times New Roman" w:cs="Times New Roman"/>
          <w:b/>
          <w:noProof/>
          <w:sz w:val="24"/>
          <w:szCs w:val="24"/>
        </w:rPr>
        <w:t xml:space="preserve">economies of scale and </w:t>
      </w:r>
      <w:r w:rsidR="00974F73" w:rsidRPr="002661A8">
        <w:rPr>
          <w:rFonts w:ascii="Times New Roman" w:hAnsi="Times New Roman" w:cs="Times New Roman"/>
          <w:b/>
          <w:noProof/>
          <w:sz w:val="24"/>
          <w:szCs w:val="24"/>
        </w:rPr>
        <w:t>netting benefits</w:t>
      </w:r>
      <w:r w:rsidR="00EE1950" w:rsidRPr="002661A8">
        <w:rPr>
          <w:rFonts w:ascii="Times New Roman" w:hAnsi="Times New Roman" w:cs="Times New Roman"/>
          <w:b/>
          <w:noProof/>
          <w:sz w:val="24"/>
          <w:szCs w:val="24"/>
        </w:rPr>
        <w:t xml:space="preserve"> </w:t>
      </w:r>
      <w:r w:rsidR="00EE1950" w:rsidRPr="002661A8">
        <w:rPr>
          <w:rFonts w:ascii="Times New Roman" w:hAnsi="Times New Roman" w:cs="Times New Roman"/>
          <w:noProof/>
          <w:sz w:val="24"/>
          <w:szCs w:val="24"/>
        </w:rPr>
        <w:t xml:space="preserve">(see </w:t>
      </w:r>
      <w:hyperlink w:anchor="_Economic_context" w:history="1">
        <w:r w:rsidR="00EE1950" w:rsidRPr="002661A8">
          <w:rPr>
            <w:rStyle w:val="Hyperlink"/>
            <w:rFonts w:ascii="Times New Roman" w:hAnsi="Times New Roman" w:cs="Times New Roman"/>
            <w:noProof/>
            <w:sz w:val="24"/>
            <w:szCs w:val="24"/>
          </w:rPr>
          <w:t>Section 2.1</w:t>
        </w:r>
      </w:hyperlink>
      <w:r w:rsidR="00EE1950" w:rsidRPr="002661A8">
        <w:rPr>
          <w:rFonts w:ascii="Times New Roman" w:hAnsi="Times New Roman" w:cs="Times New Roman"/>
          <w:noProof/>
          <w:sz w:val="24"/>
          <w:szCs w:val="24"/>
        </w:rPr>
        <w:t>)</w:t>
      </w:r>
      <w:r w:rsidR="00FE5DF3" w:rsidRPr="002661A8">
        <w:rPr>
          <w:rFonts w:ascii="Times New Roman" w:hAnsi="Times New Roman" w:cs="Times New Roman"/>
          <w:noProof/>
          <w:sz w:val="24"/>
          <w:szCs w:val="24"/>
        </w:rPr>
        <w:t xml:space="preserve">. Those are obtained by </w:t>
      </w:r>
      <w:r w:rsidR="00FF45A7" w:rsidRPr="002661A8">
        <w:rPr>
          <w:rFonts w:ascii="Times New Roman" w:hAnsi="Times New Roman" w:cs="Times New Roman"/>
          <w:noProof/>
          <w:sz w:val="24"/>
          <w:szCs w:val="24"/>
        </w:rPr>
        <w:t xml:space="preserve">bundling together </w:t>
      </w:r>
      <w:r w:rsidR="002519D4" w:rsidRPr="002661A8">
        <w:rPr>
          <w:rFonts w:ascii="Times New Roman" w:hAnsi="Times New Roman" w:cs="Times New Roman"/>
          <w:noProof/>
          <w:sz w:val="24"/>
          <w:szCs w:val="24"/>
        </w:rPr>
        <w:t>correlated</w:t>
      </w:r>
      <w:r w:rsidR="00FE5DF3" w:rsidRPr="002661A8">
        <w:rPr>
          <w:rFonts w:ascii="Times New Roman" w:hAnsi="Times New Roman" w:cs="Times New Roman"/>
          <w:noProof/>
          <w:sz w:val="24"/>
          <w:szCs w:val="24"/>
        </w:rPr>
        <w:t xml:space="preserve"> transactions and applying portfolio margining techniques. Such techniques allow market participant</w:t>
      </w:r>
      <w:r w:rsidR="002519D4" w:rsidRPr="002661A8">
        <w:rPr>
          <w:rFonts w:ascii="Times New Roman" w:hAnsi="Times New Roman" w:cs="Times New Roman"/>
          <w:noProof/>
          <w:sz w:val="24"/>
          <w:szCs w:val="24"/>
        </w:rPr>
        <w:t>s</w:t>
      </w:r>
      <w:r w:rsidR="00FE5DF3" w:rsidRPr="002661A8">
        <w:rPr>
          <w:rFonts w:ascii="Times New Roman" w:hAnsi="Times New Roman" w:cs="Times New Roman"/>
          <w:noProof/>
          <w:sz w:val="24"/>
          <w:szCs w:val="24"/>
        </w:rPr>
        <w:t xml:space="preserve"> to offset their risks and benefit from up to 80% reduction in the collateral required by the CCP for a given portfolio.</w:t>
      </w:r>
      <w:r w:rsidR="006E664D" w:rsidRPr="002661A8">
        <w:rPr>
          <w:rStyle w:val="FootnoteReference"/>
          <w:rFonts w:ascii="Times New Roman" w:hAnsi="Times New Roman" w:cs="Times New Roman"/>
          <w:noProof/>
          <w:sz w:val="24"/>
          <w:szCs w:val="24"/>
        </w:rPr>
        <w:footnoteReference w:id="43"/>
      </w:r>
      <w:r w:rsidR="006E664D" w:rsidRPr="002661A8">
        <w:rPr>
          <w:rFonts w:ascii="Times New Roman" w:hAnsi="Times New Roman" w:cs="Times New Roman"/>
          <w:noProof/>
          <w:sz w:val="24"/>
          <w:szCs w:val="24"/>
        </w:rPr>
        <w:t xml:space="preserve"> </w:t>
      </w:r>
      <w:r w:rsidR="00FE5DF3" w:rsidRPr="002661A8">
        <w:rPr>
          <w:rFonts w:ascii="Times New Roman" w:hAnsi="Times New Roman" w:cs="Times New Roman"/>
          <w:noProof/>
          <w:sz w:val="24"/>
          <w:szCs w:val="24"/>
        </w:rPr>
        <w:t>Additionally</w:t>
      </w:r>
      <w:r w:rsidR="00FA6288" w:rsidRPr="002661A8">
        <w:rPr>
          <w:rFonts w:ascii="Times New Roman" w:hAnsi="Times New Roman" w:cs="Times New Roman"/>
          <w:noProof/>
          <w:sz w:val="24"/>
          <w:szCs w:val="24"/>
        </w:rPr>
        <w:t>,</w:t>
      </w:r>
      <w:r w:rsidR="00FE5DF3" w:rsidRPr="002661A8">
        <w:rPr>
          <w:rFonts w:ascii="Times New Roman" w:hAnsi="Times New Roman" w:cs="Times New Roman"/>
          <w:noProof/>
          <w:sz w:val="24"/>
          <w:szCs w:val="24"/>
        </w:rPr>
        <w:t xml:space="preserve"> clearing members and CCPs favour </w:t>
      </w:r>
      <w:r w:rsidR="002F7965" w:rsidRPr="002661A8">
        <w:rPr>
          <w:rFonts w:ascii="Times New Roman" w:hAnsi="Times New Roman" w:cs="Times New Roman"/>
          <w:noProof/>
          <w:sz w:val="24"/>
          <w:szCs w:val="24"/>
        </w:rPr>
        <w:t>clearing</w:t>
      </w:r>
      <w:r w:rsidR="00FE5DF3" w:rsidRPr="002661A8">
        <w:rPr>
          <w:rFonts w:ascii="Times New Roman" w:hAnsi="Times New Roman" w:cs="Times New Roman"/>
          <w:noProof/>
          <w:sz w:val="24"/>
          <w:szCs w:val="24"/>
        </w:rPr>
        <w:t xml:space="preserve"> </w:t>
      </w:r>
      <w:r w:rsidR="009D5C7B" w:rsidRPr="002661A8">
        <w:rPr>
          <w:rFonts w:ascii="Times New Roman" w:hAnsi="Times New Roman" w:cs="Times New Roman"/>
          <w:noProof/>
          <w:sz w:val="24"/>
          <w:szCs w:val="24"/>
        </w:rPr>
        <w:t>for</w:t>
      </w:r>
      <w:r w:rsidR="00FE5DF3" w:rsidRPr="002661A8">
        <w:rPr>
          <w:rFonts w:ascii="Times New Roman" w:hAnsi="Times New Roman" w:cs="Times New Roman"/>
          <w:noProof/>
          <w:sz w:val="24"/>
          <w:szCs w:val="24"/>
        </w:rPr>
        <w:t xml:space="preserve"> a wide range of </w:t>
      </w:r>
      <w:r w:rsidR="002F7965" w:rsidRPr="002661A8">
        <w:rPr>
          <w:rFonts w:ascii="Times New Roman" w:hAnsi="Times New Roman" w:cs="Times New Roman"/>
          <w:noProof/>
          <w:sz w:val="24"/>
          <w:szCs w:val="24"/>
        </w:rPr>
        <w:t>clients in various transaction types</w:t>
      </w:r>
      <w:r w:rsidR="001B0B76" w:rsidRPr="002661A8">
        <w:rPr>
          <w:rStyle w:val="FootnoteReference"/>
          <w:rFonts w:ascii="Times New Roman" w:hAnsi="Times New Roman" w:cs="Times New Roman"/>
          <w:noProof/>
          <w:sz w:val="24"/>
          <w:szCs w:val="24"/>
        </w:rPr>
        <w:footnoteReference w:id="44"/>
      </w:r>
      <w:r w:rsidR="002F7965" w:rsidRPr="002661A8" w:rsidDel="00B420F3">
        <w:rPr>
          <w:rFonts w:ascii="Times New Roman" w:hAnsi="Times New Roman" w:cs="Times New Roman"/>
          <w:noProof/>
          <w:sz w:val="24"/>
          <w:szCs w:val="24"/>
        </w:rPr>
        <w:t xml:space="preserve"> </w:t>
      </w:r>
      <w:r w:rsidR="00B420F3" w:rsidRPr="002661A8">
        <w:rPr>
          <w:rFonts w:ascii="Times New Roman" w:hAnsi="Times New Roman" w:cs="Times New Roman"/>
          <w:noProof/>
          <w:sz w:val="24"/>
          <w:szCs w:val="24"/>
        </w:rPr>
        <w:t>to diversify away risk</w:t>
      </w:r>
      <w:r w:rsidR="002F7965" w:rsidRPr="002661A8">
        <w:rPr>
          <w:rFonts w:ascii="Times New Roman" w:hAnsi="Times New Roman" w:cs="Times New Roman"/>
          <w:noProof/>
          <w:sz w:val="24"/>
          <w:szCs w:val="24"/>
        </w:rPr>
        <w:t xml:space="preserve">. </w:t>
      </w:r>
      <w:r w:rsidR="00B420F3" w:rsidRPr="002661A8">
        <w:rPr>
          <w:rFonts w:ascii="Times New Roman" w:hAnsi="Times New Roman" w:cs="Times New Roman"/>
          <w:noProof/>
          <w:sz w:val="24"/>
          <w:szCs w:val="24"/>
        </w:rPr>
        <w:t>With more diverse clients,</w:t>
      </w:r>
      <w:r w:rsidR="002F7965" w:rsidRPr="002661A8">
        <w:rPr>
          <w:rFonts w:ascii="Times New Roman" w:hAnsi="Times New Roman" w:cs="Times New Roman"/>
          <w:noProof/>
          <w:sz w:val="24"/>
          <w:szCs w:val="24"/>
        </w:rPr>
        <w:t xml:space="preserve"> CCP</w:t>
      </w:r>
      <w:r w:rsidR="00B420F3" w:rsidRPr="002661A8">
        <w:rPr>
          <w:rFonts w:ascii="Times New Roman" w:hAnsi="Times New Roman" w:cs="Times New Roman"/>
          <w:noProof/>
          <w:sz w:val="24"/>
          <w:szCs w:val="24"/>
        </w:rPr>
        <w:t>s can more easily face a potential</w:t>
      </w:r>
      <w:r w:rsidR="002F7965" w:rsidRPr="002661A8">
        <w:rPr>
          <w:rFonts w:ascii="Times New Roman" w:hAnsi="Times New Roman" w:cs="Times New Roman"/>
          <w:noProof/>
          <w:sz w:val="24"/>
          <w:szCs w:val="24"/>
        </w:rPr>
        <w:t xml:space="preserve"> default of a client or a clearing member: the CCP </w:t>
      </w:r>
      <w:r w:rsidR="0083377E" w:rsidRPr="002661A8">
        <w:rPr>
          <w:rFonts w:ascii="Times New Roman" w:hAnsi="Times New Roman" w:cs="Times New Roman"/>
          <w:noProof/>
          <w:sz w:val="24"/>
          <w:szCs w:val="24"/>
        </w:rPr>
        <w:t>could</w:t>
      </w:r>
      <w:r w:rsidR="002F7965" w:rsidRPr="002661A8">
        <w:rPr>
          <w:rFonts w:ascii="Times New Roman" w:hAnsi="Times New Roman" w:cs="Times New Roman"/>
          <w:noProof/>
          <w:sz w:val="24"/>
          <w:szCs w:val="24"/>
        </w:rPr>
        <w:t xml:space="preserve"> </w:t>
      </w:r>
      <w:r w:rsidR="006E664D" w:rsidRPr="002661A8">
        <w:rPr>
          <w:rFonts w:ascii="Times New Roman" w:hAnsi="Times New Roman" w:cs="Times New Roman"/>
          <w:noProof/>
          <w:sz w:val="24"/>
          <w:szCs w:val="24"/>
        </w:rPr>
        <w:t xml:space="preserve">transfer </w:t>
      </w:r>
      <w:r w:rsidR="002F7965" w:rsidRPr="002661A8">
        <w:rPr>
          <w:rFonts w:ascii="Times New Roman" w:hAnsi="Times New Roman" w:cs="Times New Roman"/>
          <w:noProof/>
          <w:sz w:val="24"/>
          <w:szCs w:val="24"/>
        </w:rPr>
        <w:t xml:space="preserve">the positions or sell them in auctions faster and at a lower cost, lowering the risk that the financial resources of </w:t>
      </w:r>
      <w:r w:rsidR="006E664D" w:rsidRPr="002661A8">
        <w:rPr>
          <w:rFonts w:ascii="Times New Roman" w:hAnsi="Times New Roman" w:cs="Times New Roman"/>
          <w:noProof/>
          <w:sz w:val="24"/>
          <w:szCs w:val="24"/>
        </w:rPr>
        <w:t xml:space="preserve">other </w:t>
      </w:r>
      <w:r w:rsidR="002F7965" w:rsidRPr="002661A8">
        <w:rPr>
          <w:rFonts w:ascii="Times New Roman" w:hAnsi="Times New Roman" w:cs="Times New Roman"/>
          <w:noProof/>
          <w:sz w:val="24"/>
          <w:szCs w:val="24"/>
        </w:rPr>
        <w:t xml:space="preserve">clearing members are </w:t>
      </w:r>
      <w:r w:rsidR="006E664D" w:rsidRPr="002661A8">
        <w:rPr>
          <w:rFonts w:ascii="Times New Roman" w:hAnsi="Times New Roman" w:cs="Times New Roman"/>
          <w:noProof/>
          <w:sz w:val="24"/>
          <w:szCs w:val="24"/>
        </w:rPr>
        <w:t>needed</w:t>
      </w:r>
      <w:r w:rsidR="002F7965" w:rsidRPr="002661A8">
        <w:rPr>
          <w:rFonts w:ascii="Times New Roman" w:hAnsi="Times New Roman" w:cs="Times New Roman"/>
          <w:noProof/>
          <w:sz w:val="24"/>
          <w:szCs w:val="24"/>
        </w:rPr>
        <w:t>.</w:t>
      </w:r>
      <w:r w:rsidR="001C3F4A" w:rsidRPr="002661A8">
        <w:rPr>
          <w:rFonts w:ascii="Times New Roman" w:hAnsi="Times New Roman" w:cs="Times New Roman"/>
          <w:noProof/>
          <w:sz w:val="24"/>
          <w:szCs w:val="24"/>
        </w:rPr>
        <w:t xml:space="preserve"> </w:t>
      </w:r>
      <w:r w:rsidR="00FF45A7" w:rsidRPr="002661A8">
        <w:rPr>
          <w:rFonts w:ascii="Times New Roman" w:hAnsi="Times New Roman" w:cs="Times New Roman"/>
          <w:noProof/>
          <w:sz w:val="24"/>
          <w:szCs w:val="24"/>
        </w:rPr>
        <w:t>Market participants thus prefer</w:t>
      </w:r>
      <w:r w:rsidR="001C694F" w:rsidRPr="002661A8">
        <w:rPr>
          <w:rFonts w:ascii="Times New Roman" w:hAnsi="Times New Roman" w:cs="Times New Roman"/>
          <w:noProof/>
          <w:sz w:val="24"/>
          <w:szCs w:val="24"/>
        </w:rPr>
        <w:t xml:space="preserve"> to</w:t>
      </w:r>
      <w:r w:rsidR="002F7965" w:rsidRPr="002661A8">
        <w:rPr>
          <w:rFonts w:ascii="Times New Roman" w:hAnsi="Times New Roman" w:cs="Times New Roman"/>
          <w:noProof/>
          <w:sz w:val="24"/>
          <w:szCs w:val="24"/>
        </w:rPr>
        <w:t xml:space="preserve"> clear in a CCP where </w:t>
      </w:r>
      <w:r w:rsidR="00FF45A7" w:rsidRPr="002661A8">
        <w:rPr>
          <w:rFonts w:ascii="Times New Roman" w:hAnsi="Times New Roman" w:cs="Times New Roman"/>
          <w:noProof/>
          <w:sz w:val="24"/>
          <w:szCs w:val="24"/>
        </w:rPr>
        <w:t xml:space="preserve">a variety of </w:t>
      </w:r>
      <w:r w:rsidR="002F7965" w:rsidRPr="002661A8">
        <w:rPr>
          <w:rFonts w:ascii="Times New Roman" w:hAnsi="Times New Roman" w:cs="Times New Roman"/>
          <w:noProof/>
          <w:sz w:val="24"/>
          <w:szCs w:val="24"/>
        </w:rPr>
        <w:t>interests are met.</w:t>
      </w:r>
      <w:r w:rsidR="0083377E" w:rsidRPr="002661A8">
        <w:rPr>
          <w:rFonts w:ascii="Times New Roman" w:hAnsi="Times New Roman" w:cs="Times New Roman"/>
          <w:noProof/>
          <w:sz w:val="24"/>
          <w:szCs w:val="24"/>
        </w:rPr>
        <w:t xml:space="preserve"> </w:t>
      </w:r>
      <w:r w:rsidR="00E36E82" w:rsidRPr="002661A8">
        <w:rPr>
          <w:rFonts w:ascii="Times New Roman" w:hAnsi="Times New Roman" w:cs="Times New Roman"/>
          <w:noProof/>
          <w:sz w:val="24"/>
          <w:szCs w:val="24"/>
        </w:rPr>
        <w:t>To</w:t>
      </w:r>
      <w:r w:rsidR="002F7965" w:rsidRPr="002661A8">
        <w:rPr>
          <w:rFonts w:ascii="Times New Roman" w:hAnsi="Times New Roman" w:cs="Times New Roman"/>
          <w:noProof/>
          <w:sz w:val="24"/>
          <w:szCs w:val="24"/>
        </w:rPr>
        <w:t xml:space="preserve"> compete </w:t>
      </w:r>
      <w:r w:rsidR="002519D4" w:rsidRPr="002661A8">
        <w:rPr>
          <w:rFonts w:ascii="Times New Roman" w:hAnsi="Times New Roman" w:cs="Times New Roman"/>
          <w:noProof/>
          <w:sz w:val="24"/>
          <w:szCs w:val="24"/>
        </w:rPr>
        <w:t>with</w:t>
      </w:r>
      <w:r w:rsidR="002F7965" w:rsidRPr="002661A8">
        <w:rPr>
          <w:rFonts w:ascii="Times New Roman" w:hAnsi="Times New Roman" w:cs="Times New Roman"/>
          <w:noProof/>
          <w:sz w:val="24"/>
          <w:szCs w:val="24"/>
        </w:rPr>
        <w:t xml:space="preserve"> a</w:t>
      </w:r>
      <w:r w:rsidR="002519D4" w:rsidRPr="002661A8">
        <w:rPr>
          <w:rFonts w:ascii="Times New Roman" w:hAnsi="Times New Roman" w:cs="Times New Roman"/>
          <w:noProof/>
          <w:sz w:val="24"/>
          <w:szCs w:val="24"/>
        </w:rPr>
        <w:t>n</w:t>
      </w:r>
      <w:r w:rsidR="002F7965" w:rsidRPr="002661A8">
        <w:rPr>
          <w:rFonts w:ascii="Times New Roman" w:hAnsi="Times New Roman" w:cs="Times New Roman"/>
          <w:noProof/>
          <w:sz w:val="24"/>
          <w:szCs w:val="24"/>
        </w:rPr>
        <w:t xml:space="preserve"> incumbent CCP, a competitor </w:t>
      </w:r>
      <w:r w:rsidR="0083377E" w:rsidRPr="002661A8">
        <w:rPr>
          <w:rFonts w:ascii="Times New Roman" w:hAnsi="Times New Roman" w:cs="Times New Roman"/>
          <w:noProof/>
          <w:sz w:val="24"/>
          <w:szCs w:val="24"/>
        </w:rPr>
        <w:t>must</w:t>
      </w:r>
      <w:r w:rsidR="002F7965" w:rsidRPr="002661A8">
        <w:rPr>
          <w:rFonts w:ascii="Times New Roman" w:hAnsi="Times New Roman" w:cs="Times New Roman"/>
          <w:noProof/>
          <w:sz w:val="24"/>
          <w:szCs w:val="24"/>
        </w:rPr>
        <w:t xml:space="preserve"> attract flows of different natures and not just specific, targeted profiles.</w:t>
      </w:r>
      <w:r w:rsidR="0052010D" w:rsidRPr="002661A8">
        <w:rPr>
          <w:rFonts w:ascii="Times New Roman" w:hAnsi="Times New Roman" w:cs="Times New Roman"/>
          <w:noProof/>
          <w:sz w:val="24"/>
          <w:szCs w:val="24"/>
        </w:rPr>
        <w:t xml:space="preserve"> Market participants </w:t>
      </w:r>
      <w:r w:rsidR="00DF6EEE" w:rsidRPr="002661A8">
        <w:rPr>
          <w:rFonts w:ascii="Times New Roman" w:hAnsi="Times New Roman" w:cs="Times New Roman"/>
          <w:noProof/>
          <w:sz w:val="24"/>
          <w:szCs w:val="24"/>
        </w:rPr>
        <w:t>seek reassurance</w:t>
      </w:r>
      <w:r w:rsidR="0052010D" w:rsidRPr="002661A8">
        <w:rPr>
          <w:rFonts w:ascii="Times New Roman" w:hAnsi="Times New Roman" w:cs="Times New Roman"/>
          <w:noProof/>
          <w:sz w:val="24"/>
          <w:szCs w:val="24"/>
        </w:rPr>
        <w:t xml:space="preserve"> that the risk taken in redirecting some of their clearing flows to another CCP is offset by an opposite interest in that CCP and that the risk profile in the incumbent CCP remains the same.</w:t>
      </w:r>
      <w:r w:rsidR="002519D4" w:rsidRPr="002661A8">
        <w:rPr>
          <w:rFonts w:ascii="Times New Roman" w:hAnsi="Times New Roman" w:cs="Times New Roman"/>
          <w:noProof/>
          <w:sz w:val="24"/>
          <w:szCs w:val="24"/>
        </w:rPr>
        <w:t xml:space="preserve"> </w:t>
      </w:r>
      <w:r w:rsidR="001C3F4A" w:rsidRPr="002661A8">
        <w:rPr>
          <w:rFonts w:ascii="Times New Roman" w:eastAsia="Times New Roman" w:hAnsi="Times New Roman" w:cs="Times New Roman"/>
          <w:noProof/>
          <w:sz w:val="24"/>
          <w:szCs w:val="24"/>
          <w:lang w:eastAsia="en-GB"/>
        </w:rPr>
        <w:t xml:space="preserve">Some CCPs would however </w:t>
      </w:r>
      <w:r w:rsidR="007B378E" w:rsidRPr="002661A8">
        <w:rPr>
          <w:rFonts w:ascii="Times New Roman" w:eastAsia="Times New Roman" w:hAnsi="Times New Roman" w:cs="Times New Roman"/>
          <w:noProof/>
          <w:sz w:val="24"/>
          <w:szCs w:val="24"/>
          <w:lang w:eastAsia="en-GB"/>
        </w:rPr>
        <w:t>state</w:t>
      </w:r>
      <w:r w:rsidR="007B378E" w:rsidRPr="002661A8" w:rsidDel="001C3F4A">
        <w:rPr>
          <w:rFonts w:ascii="Times New Roman" w:eastAsia="Times New Roman" w:hAnsi="Times New Roman" w:cs="Times New Roman"/>
          <w:noProof/>
          <w:sz w:val="24"/>
          <w:szCs w:val="24"/>
          <w:lang w:eastAsia="en-GB"/>
        </w:rPr>
        <w:t xml:space="preserve"> </w:t>
      </w:r>
      <w:r w:rsidR="00671085" w:rsidRPr="002661A8">
        <w:rPr>
          <w:rFonts w:ascii="Times New Roman" w:eastAsia="Times New Roman" w:hAnsi="Times New Roman" w:cs="Times New Roman"/>
          <w:noProof/>
          <w:sz w:val="24"/>
          <w:szCs w:val="24"/>
          <w:lang w:eastAsia="en-GB"/>
        </w:rPr>
        <w:t>that a vast majority of clients</w:t>
      </w:r>
      <w:r w:rsidR="001C3F4A" w:rsidRPr="002661A8">
        <w:rPr>
          <w:rFonts w:ascii="Times New Roman" w:eastAsia="Times New Roman" w:hAnsi="Times New Roman" w:cs="Times New Roman"/>
          <w:noProof/>
          <w:sz w:val="24"/>
          <w:szCs w:val="24"/>
          <w:lang w:eastAsia="en-GB"/>
        </w:rPr>
        <w:t>, in particular pension funds and institutional investors,</w:t>
      </w:r>
      <w:r w:rsidR="00671085" w:rsidRPr="002661A8">
        <w:rPr>
          <w:rFonts w:ascii="Times New Roman" w:eastAsia="Times New Roman" w:hAnsi="Times New Roman" w:cs="Times New Roman"/>
          <w:noProof/>
          <w:sz w:val="24"/>
          <w:szCs w:val="24"/>
          <w:lang w:eastAsia="en-GB"/>
        </w:rPr>
        <w:t xml:space="preserve"> do not operate in a wide range of currencies and do not in practice benefit from </w:t>
      </w:r>
      <w:r w:rsidR="001C3F4A" w:rsidRPr="002661A8">
        <w:rPr>
          <w:rFonts w:ascii="Times New Roman" w:eastAsia="Times New Roman" w:hAnsi="Times New Roman" w:cs="Times New Roman"/>
          <w:noProof/>
          <w:sz w:val="24"/>
          <w:szCs w:val="24"/>
          <w:lang w:eastAsia="en-GB"/>
        </w:rPr>
        <w:t xml:space="preserve">complex </w:t>
      </w:r>
      <w:r w:rsidR="00671085" w:rsidRPr="002661A8">
        <w:rPr>
          <w:rFonts w:ascii="Times New Roman" w:eastAsia="Times New Roman" w:hAnsi="Times New Roman" w:cs="Times New Roman"/>
          <w:noProof/>
          <w:sz w:val="24"/>
          <w:szCs w:val="24"/>
          <w:lang w:eastAsia="en-GB"/>
        </w:rPr>
        <w:t>correlations</w:t>
      </w:r>
      <w:r w:rsidR="001C3F4A" w:rsidRPr="002661A8">
        <w:rPr>
          <w:rFonts w:ascii="Times New Roman" w:eastAsia="Times New Roman" w:hAnsi="Times New Roman" w:cs="Times New Roman"/>
          <w:noProof/>
          <w:sz w:val="24"/>
          <w:szCs w:val="24"/>
          <w:lang w:eastAsia="en-GB"/>
        </w:rPr>
        <w:t xml:space="preserve"> but would rather benefit from</w:t>
      </w:r>
      <w:r w:rsidR="00671085" w:rsidRPr="002661A8">
        <w:rPr>
          <w:rFonts w:ascii="Times New Roman" w:eastAsia="Times New Roman" w:hAnsi="Times New Roman" w:cs="Times New Roman"/>
          <w:noProof/>
          <w:sz w:val="24"/>
          <w:szCs w:val="24"/>
          <w:lang w:eastAsia="en-GB"/>
        </w:rPr>
        <w:t xml:space="preserve"> a mono-currency cross-product approach to portfolio margining.</w:t>
      </w:r>
      <w:r w:rsidR="002519D4" w:rsidRPr="002661A8">
        <w:rPr>
          <w:rStyle w:val="FootnoteReference"/>
          <w:rFonts w:ascii="Times New Roman" w:eastAsia="Times New Roman" w:hAnsi="Times New Roman" w:cs="Times New Roman"/>
          <w:noProof/>
          <w:sz w:val="24"/>
          <w:szCs w:val="24"/>
          <w:lang w:eastAsia="en-GB"/>
        </w:rPr>
        <w:footnoteReference w:id="45"/>
      </w:r>
    </w:p>
    <w:p w14:paraId="4FC0F2F0" w14:textId="3ECC93B7" w:rsidR="0020650A" w:rsidRPr="002661A8" w:rsidRDefault="001337D7" w:rsidP="00524D81">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Second, a</w:t>
      </w:r>
      <w:r w:rsidR="00746F74">
        <w:rPr>
          <w:rFonts w:ascii="Times New Roman" w:hAnsi="Times New Roman" w:cs="Times New Roman"/>
          <w:noProof/>
          <w:sz w:val="24"/>
          <w:szCs w:val="24"/>
        </w:rPr>
        <w:t xml:space="preserve">s </w:t>
      </w:r>
      <w:r w:rsidR="003B68F3">
        <w:rPr>
          <w:rFonts w:ascii="Times New Roman" w:hAnsi="Times New Roman" w:cs="Times New Roman"/>
          <w:noProof/>
          <w:sz w:val="24"/>
          <w:szCs w:val="24"/>
        </w:rPr>
        <w:t>highlighted</w:t>
      </w:r>
      <w:r w:rsidR="00746F74">
        <w:rPr>
          <w:rFonts w:ascii="Times New Roman" w:hAnsi="Times New Roman" w:cs="Times New Roman"/>
          <w:noProof/>
          <w:sz w:val="24"/>
          <w:szCs w:val="24"/>
        </w:rPr>
        <w:t xml:space="preserve"> by 62% of the respondents</w:t>
      </w:r>
      <w:r w:rsidR="00112955">
        <w:rPr>
          <w:rFonts w:ascii="Times New Roman" w:hAnsi="Times New Roman" w:cs="Times New Roman"/>
          <w:noProof/>
          <w:sz w:val="24"/>
          <w:szCs w:val="24"/>
        </w:rPr>
        <w:t xml:space="preserve"> to the targeted consultation</w:t>
      </w:r>
      <w:r w:rsidR="00746F74">
        <w:rPr>
          <w:rFonts w:ascii="Times New Roman" w:hAnsi="Times New Roman" w:cs="Times New Roman"/>
          <w:noProof/>
          <w:sz w:val="24"/>
          <w:szCs w:val="24"/>
        </w:rPr>
        <w:t xml:space="preserve">, </w:t>
      </w:r>
      <w:r w:rsidR="001D2C55" w:rsidRPr="002661A8">
        <w:rPr>
          <w:rFonts w:ascii="Times New Roman" w:hAnsi="Times New Roman" w:cs="Times New Roman"/>
          <w:noProof/>
          <w:sz w:val="24"/>
          <w:szCs w:val="24"/>
        </w:rPr>
        <w:t xml:space="preserve">is </w:t>
      </w:r>
      <w:r>
        <w:rPr>
          <w:rFonts w:ascii="Times New Roman" w:hAnsi="Times New Roman" w:cs="Times New Roman"/>
          <w:noProof/>
          <w:sz w:val="24"/>
          <w:szCs w:val="24"/>
        </w:rPr>
        <w:t xml:space="preserve">the </w:t>
      </w:r>
      <w:r w:rsidR="001D2C55" w:rsidRPr="002661A8">
        <w:rPr>
          <w:rFonts w:ascii="Times New Roman" w:hAnsi="Times New Roman" w:cs="Times New Roman"/>
          <w:b/>
          <w:noProof/>
          <w:sz w:val="24"/>
          <w:szCs w:val="24"/>
        </w:rPr>
        <w:t>insufficient liquidity</w:t>
      </w:r>
      <w:r w:rsidR="001D2C55" w:rsidRPr="002661A8">
        <w:rPr>
          <w:rFonts w:ascii="Times New Roman" w:hAnsi="Times New Roman" w:cs="Times New Roman"/>
          <w:noProof/>
          <w:sz w:val="24"/>
          <w:szCs w:val="24"/>
        </w:rPr>
        <w:t xml:space="preserve"> at EU CCPs. Liquidity is linked to the number of </w:t>
      </w:r>
      <w:r w:rsidR="00AD776B">
        <w:rPr>
          <w:rFonts w:ascii="Times New Roman" w:hAnsi="Times New Roman" w:cs="Times New Roman"/>
          <w:noProof/>
          <w:sz w:val="24"/>
          <w:szCs w:val="24"/>
        </w:rPr>
        <w:t xml:space="preserve">clearing members and clients of a </w:t>
      </w:r>
      <w:r w:rsidR="001D2C55" w:rsidRPr="002661A8">
        <w:rPr>
          <w:rFonts w:ascii="Times New Roman" w:hAnsi="Times New Roman" w:cs="Times New Roman"/>
          <w:noProof/>
          <w:sz w:val="24"/>
          <w:szCs w:val="24"/>
        </w:rPr>
        <w:t>CCP</w:t>
      </w:r>
      <w:r w:rsidR="006461A3" w:rsidRPr="002661A8" w:rsidDel="00AD776B">
        <w:rPr>
          <w:rFonts w:ascii="Times New Roman" w:hAnsi="Times New Roman" w:cs="Times New Roman"/>
          <w:noProof/>
          <w:sz w:val="24"/>
          <w:szCs w:val="24"/>
        </w:rPr>
        <w:t xml:space="preserve"> </w:t>
      </w:r>
      <w:r w:rsidR="001D2C55" w:rsidRPr="002661A8">
        <w:rPr>
          <w:rFonts w:ascii="Times New Roman" w:hAnsi="Times New Roman" w:cs="Times New Roman"/>
          <w:noProof/>
          <w:sz w:val="24"/>
          <w:szCs w:val="24"/>
        </w:rPr>
        <w:t xml:space="preserve">and the variety and size of their interests/positions, as there has to be a balance between payers and receivers. </w:t>
      </w:r>
      <w:r w:rsidR="0020650A" w:rsidRPr="002661A8">
        <w:rPr>
          <w:rFonts w:ascii="Times New Roman" w:hAnsi="Times New Roman" w:cs="Times New Roman"/>
          <w:noProof/>
          <w:sz w:val="24"/>
          <w:szCs w:val="24"/>
        </w:rPr>
        <w:t>CCP</w:t>
      </w:r>
      <w:r>
        <w:rPr>
          <w:rFonts w:ascii="Times New Roman" w:hAnsi="Times New Roman" w:cs="Times New Roman"/>
          <w:noProof/>
          <w:sz w:val="24"/>
          <w:szCs w:val="24"/>
        </w:rPr>
        <w:t>’s</w:t>
      </w:r>
      <w:r w:rsidR="0020650A" w:rsidRPr="002661A8">
        <w:rPr>
          <w:rFonts w:ascii="Times New Roman" w:hAnsi="Times New Roman" w:cs="Times New Roman"/>
          <w:noProof/>
          <w:sz w:val="24"/>
          <w:szCs w:val="24"/>
        </w:rPr>
        <w:t xml:space="preserve"> </w:t>
      </w:r>
      <w:r w:rsidR="007C76A7" w:rsidRPr="002661A8">
        <w:rPr>
          <w:rFonts w:ascii="Times New Roman" w:hAnsi="Times New Roman" w:cs="Times New Roman"/>
          <w:noProof/>
          <w:sz w:val="24"/>
          <w:szCs w:val="24"/>
        </w:rPr>
        <w:t>liquidity</w:t>
      </w:r>
      <w:r w:rsidR="0020650A" w:rsidRPr="002661A8">
        <w:rPr>
          <w:rFonts w:ascii="Times New Roman" w:hAnsi="Times New Roman" w:cs="Times New Roman"/>
          <w:noProof/>
          <w:sz w:val="24"/>
          <w:szCs w:val="24"/>
        </w:rPr>
        <w:t xml:space="preserve"> is an important factor </w:t>
      </w:r>
      <w:r>
        <w:rPr>
          <w:rFonts w:ascii="Times New Roman" w:hAnsi="Times New Roman" w:cs="Times New Roman"/>
          <w:noProof/>
          <w:sz w:val="24"/>
          <w:szCs w:val="24"/>
        </w:rPr>
        <w:t xml:space="preserve">for </w:t>
      </w:r>
      <w:r w:rsidRPr="002661A8">
        <w:rPr>
          <w:rFonts w:ascii="Times New Roman" w:hAnsi="Times New Roman" w:cs="Times New Roman"/>
          <w:noProof/>
          <w:sz w:val="24"/>
          <w:szCs w:val="24"/>
        </w:rPr>
        <w:t xml:space="preserve">market participants </w:t>
      </w:r>
      <w:r w:rsidR="0020650A" w:rsidRPr="002661A8">
        <w:rPr>
          <w:rFonts w:ascii="Times New Roman" w:hAnsi="Times New Roman" w:cs="Times New Roman"/>
          <w:noProof/>
          <w:sz w:val="24"/>
          <w:szCs w:val="24"/>
        </w:rPr>
        <w:t xml:space="preserve">in determining where to clear </w:t>
      </w:r>
      <w:r>
        <w:rPr>
          <w:rFonts w:ascii="Times New Roman" w:hAnsi="Times New Roman" w:cs="Times New Roman"/>
          <w:noProof/>
          <w:sz w:val="24"/>
          <w:szCs w:val="24"/>
        </w:rPr>
        <w:t xml:space="preserve">as </w:t>
      </w:r>
      <w:r w:rsidR="0020650A" w:rsidRPr="002661A8">
        <w:rPr>
          <w:rFonts w:ascii="Times New Roman" w:hAnsi="Times New Roman" w:cs="Times New Roman"/>
          <w:noProof/>
          <w:sz w:val="24"/>
          <w:szCs w:val="24"/>
        </w:rPr>
        <w:t xml:space="preserve">in a liquid CCP it is easier to close positions without incurring significant losses, and easier to enter into contracts. </w:t>
      </w:r>
      <w:r w:rsidR="007C76A7" w:rsidRPr="002661A8">
        <w:rPr>
          <w:rFonts w:ascii="Times New Roman" w:hAnsi="Times New Roman" w:cs="Times New Roman"/>
          <w:noProof/>
          <w:sz w:val="24"/>
          <w:szCs w:val="24"/>
        </w:rPr>
        <w:t>Linked</w:t>
      </w:r>
      <w:r w:rsidR="0020650A" w:rsidRPr="002661A8">
        <w:rPr>
          <w:rFonts w:ascii="Times New Roman" w:hAnsi="Times New Roman" w:cs="Times New Roman"/>
          <w:noProof/>
          <w:sz w:val="24"/>
          <w:szCs w:val="24"/>
        </w:rPr>
        <w:t xml:space="preserve"> to that, in a liquid CCP there are better opportunities to successfully auction out positions of a defaulting clearing member and general</w:t>
      </w:r>
      <w:r w:rsidR="007C76A7" w:rsidRPr="002661A8">
        <w:rPr>
          <w:rFonts w:ascii="Times New Roman" w:hAnsi="Times New Roman" w:cs="Times New Roman"/>
          <w:noProof/>
          <w:sz w:val="24"/>
          <w:szCs w:val="24"/>
        </w:rPr>
        <w:t>ly</w:t>
      </w:r>
      <w:r w:rsidR="0020650A" w:rsidRPr="002661A8">
        <w:rPr>
          <w:rFonts w:ascii="Times New Roman" w:hAnsi="Times New Roman" w:cs="Times New Roman"/>
          <w:noProof/>
          <w:sz w:val="24"/>
          <w:szCs w:val="24"/>
        </w:rPr>
        <w:t xml:space="preserve"> to distribute losses across clearing members</w:t>
      </w:r>
      <w:r w:rsidR="00580267" w:rsidRPr="002661A8">
        <w:rPr>
          <w:rFonts w:ascii="Times New Roman" w:hAnsi="Times New Roman" w:cs="Times New Roman"/>
          <w:noProof/>
          <w:sz w:val="24"/>
          <w:szCs w:val="24"/>
        </w:rPr>
        <w:t xml:space="preserve"> </w:t>
      </w:r>
      <w:r w:rsidR="007C76A7" w:rsidRPr="002661A8">
        <w:rPr>
          <w:rFonts w:ascii="Times New Roman" w:hAnsi="Times New Roman" w:cs="Times New Roman"/>
          <w:noProof/>
          <w:sz w:val="24"/>
          <w:szCs w:val="24"/>
        </w:rPr>
        <w:t>if</w:t>
      </w:r>
      <w:r w:rsidR="00580267" w:rsidRPr="002661A8">
        <w:rPr>
          <w:rFonts w:ascii="Times New Roman" w:hAnsi="Times New Roman" w:cs="Times New Roman"/>
          <w:noProof/>
          <w:sz w:val="24"/>
          <w:szCs w:val="24"/>
        </w:rPr>
        <w:t xml:space="preserve"> need</w:t>
      </w:r>
      <w:r w:rsidR="007C76A7" w:rsidRPr="002661A8">
        <w:rPr>
          <w:rFonts w:ascii="Times New Roman" w:hAnsi="Times New Roman" w:cs="Times New Roman"/>
          <w:noProof/>
          <w:sz w:val="24"/>
          <w:szCs w:val="24"/>
        </w:rPr>
        <w:t>ed</w:t>
      </w:r>
      <w:r w:rsidR="00C7726F" w:rsidRPr="002661A8">
        <w:rPr>
          <w:rFonts w:ascii="Times New Roman" w:hAnsi="Times New Roman" w:cs="Times New Roman"/>
          <w:noProof/>
          <w:sz w:val="24"/>
          <w:szCs w:val="24"/>
        </w:rPr>
        <w:t xml:space="preserve">, reducing the size of the loss </w:t>
      </w:r>
      <w:r w:rsidR="007C76A7" w:rsidRPr="002661A8">
        <w:rPr>
          <w:rFonts w:ascii="Times New Roman" w:hAnsi="Times New Roman" w:cs="Times New Roman"/>
          <w:noProof/>
          <w:sz w:val="24"/>
          <w:szCs w:val="24"/>
        </w:rPr>
        <w:t>for</w:t>
      </w:r>
      <w:r w:rsidR="00C7726F" w:rsidRPr="002661A8">
        <w:rPr>
          <w:rFonts w:ascii="Times New Roman" w:hAnsi="Times New Roman" w:cs="Times New Roman"/>
          <w:noProof/>
          <w:sz w:val="24"/>
          <w:szCs w:val="24"/>
        </w:rPr>
        <w:t xml:space="preserve"> them</w:t>
      </w:r>
      <w:r w:rsidR="0020650A" w:rsidRPr="002661A8">
        <w:rPr>
          <w:rFonts w:ascii="Times New Roman" w:hAnsi="Times New Roman" w:cs="Times New Roman"/>
          <w:noProof/>
          <w:sz w:val="24"/>
          <w:szCs w:val="24"/>
        </w:rPr>
        <w:t xml:space="preserve">. As such, the lower perceived liquidity at EU CCPs is a factor which drives the market to </w:t>
      </w:r>
      <w:r w:rsidR="0098094A" w:rsidRPr="002661A8">
        <w:rPr>
          <w:rFonts w:ascii="Times New Roman" w:hAnsi="Times New Roman" w:cs="Times New Roman"/>
          <w:noProof/>
          <w:sz w:val="24"/>
          <w:szCs w:val="24"/>
        </w:rPr>
        <w:t xml:space="preserve">some </w:t>
      </w:r>
      <w:r w:rsidR="0020650A" w:rsidRPr="002661A8">
        <w:rPr>
          <w:rFonts w:ascii="Times New Roman" w:hAnsi="Times New Roman" w:cs="Times New Roman"/>
          <w:noProof/>
          <w:sz w:val="24"/>
          <w:szCs w:val="24"/>
        </w:rPr>
        <w:t xml:space="preserve">other </w:t>
      </w:r>
      <w:r w:rsidR="004A7877" w:rsidRPr="002661A8">
        <w:rPr>
          <w:rFonts w:ascii="Times New Roman" w:hAnsi="Times New Roman" w:cs="Times New Roman"/>
          <w:noProof/>
          <w:sz w:val="24"/>
          <w:szCs w:val="24"/>
        </w:rPr>
        <w:t xml:space="preserve">recognised third-country </w:t>
      </w:r>
      <w:r w:rsidR="0020650A" w:rsidRPr="002661A8">
        <w:rPr>
          <w:rFonts w:ascii="Times New Roman" w:hAnsi="Times New Roman" w:cs="Times New Roman"/>
          <w:noProof/>
          <w:sz w:val="24"/>
          <w:szCs w:val="24"/>
        </w:rPr>
        <w:t xml:space="preserve">CCPs, where liquidity is perceived as greater. This </w:t>
      </w:r>
      <w:r w:rsidR="00397D01">
        <w:rPr>
          <w:rFonts w:ascii="Times New Roman" w:hAnsi="Times New Roman" w:cs="Times New Roman"/>
          <w:noProof/>
          <w:sz w:val="24"/>
          <w:szCs w:val="24"/>
        </w:rPr>
        <w:t xml:space="preserve">results in </w:t>
      </w:r>
      <w:r w:rsidR="0020650A" w:rsidRPr="002661A8">
        <w:rPr>
          <w:rFonts w:ascii="Times New Roman" w:hAnsi="Times New Roman" w:cs="Times New Roman"/>
          <w:noProof/>
          <w:sz w:val="24"/>
          <w:szCs w:val="24"/>
        </w:rPr>
        <w:t>dependencies and over-reliance on</w:t>
      </w:r>
      <w:r w:rsidR="00F03620" w:rsidRPr="002661A8">
        <w:rPr>
          <w:rFonts w:ascii="Times New Roman" w:hAnsi="Times New Roman" w:cs="Times New Roman"/>
          <w:noProof/>
          <w:sz w:val="24"/>
          <w:szCs w:val="24"/>
        </w:rPr>
        <w:t xml:space="preserve"> some</w:t>
      </w:r>
      <w:r w:rsidR="0020650A" w:rsidRPr="002661A8">
        <w:rPr>
          <w:rFonts w:ascii="Times New Roman" w:hAnsi="Times New Roman" w:cs="Times New Roman"/>
          <w:noProof/>
          <w:sz w:val="24"/>
          <w:szCs w:val="24"/>
        </w:rPr>
        <w:t xml:space="preserve"> third-country CCPs</w:t>
      </w:r>
      <w:r w:rsidR="00397D01">
        <w:rPr>
          <w:rFonts w:ascii="Times New Roman" w:hAnsi="Times New Roman" w:cs="Times New Roman"/>
          <w:noProof/>
          <w:sz w:val="24"/>
          <w:szCs w:val="24"/>
        </w:rPr>
        <w:t xml:space="preserve"> to the financial stability within the EU</w:t>
      </w:r>
      <w:r w:rsidR="00E74F52" w:rsidRPr="002661A8">
        <w:rPr>
          <w:rFonts w:ascii="Times New Roman" w:hAnsi="Times New Roman" w:cs="Times New Roman"/>
          <w:noProof/>
          <w:sz w:val="24"/>
          <w:szCs w:val="24"/>
        </w:rPr>
        <w:t>.</w:t>
      </w:r>
    </w:p>
    <w:p w14:paraId="19A0A71F" w14:textId="0E7D5BB5" w:rsidR="006C111C" w:rsidRPr="002661A8" w:rsidRDefault="00291240">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Insufficient </w:t>
      </w:r>
      <w:r w:rsidR="001D2C55" w:rsidRPr="002661A8">
        <w:rPr>
          <w:rFonts w:ascii="Times New Roman" w:hAnsi="Times New Roman" w:cs="Times New Roman"/>
          <w:noProof/>
          <w:sz w:val="24"/>
          <w:szCs w:val="24"/>
        </w:rPr>
        <w:t xml:space="preserve">liquidity is linked to </w:t>
      </w:r>
      <w:r w:rsidR="002B0493" w:rsidRPr="002661A8">
        <w:rPr>
          <w:rFonts w:ascii="Times New Roman" w:hAnsi="Times New Roman" w:cs="Times New Roman"/>
          <w:noProof/>
          <w:sz w:val="24"/>
          <w:szCs w:val="24"/>
        </w:rPr>
        <w:t>two main issues</w:t>
      </w:r>
      <w:r w:rsidR="00461547" w:rsidRPr="002661A8">
        <w:rPr>
          <w:rFonts w:ascii="Times New Roman" w:hAnsi="Times New Roman" w:cs="Times New Roman"/>
          <w:noProof/>
          <w:sz w:val="24"/>
          <w:szCs w:val="24"/>
        </w:rPr>
        <w:t xml:space="preserve">. </w:t>
      </w:r>
      <w:r w:rsidR="0020650A" w:rsidRPr="002661A8" w:rsidDel="007C4A5C">
        <w:rPr>
          <w:rFonts w:ascii="Times New Roman" w:hAnsi="Times New Roman" w:cs="Times New Roman"/>
          <w:noProof/>
          <w:sz w:val="24"/>
          <w:szCs w:val="24"/>
        </w:rPr>
        <w:t>F</w:t>
      </w:r>
      <w:r w:rsidR="0020650A" w:rsidRPr="002661A8">
        <w:rPr>
          <w:rFonts w:ascii="Times New Roman" w:hAnsi="Times New Roman" w:cs="Times New Roman"/>
          <w:noProof/>
          <w:sz w:val="24"/>
          <w:szCs w:val="24"/>
        </w:rPr>
        <w:t xml:space="preserve">irst, </w:t>
      </w:r>
      <w:r w:rsidR="0020650A" w:rsidRPr="002661A8">
        <w:rPr>
          <w:rFonts w:ascii="Times New Roman" w:hAnsi="Times New Roman" w:cs="Times New Roman"/>
          <w:b/>
          <w:noProof/>
          <w:sz w:val="24"/>
          <w:szCs w:val="24"/>
        </w:rPr>
        <w:t xml:space="preserve">participation in EU CCPs is </w:t>
      </w:r>
      <w:r w:rsidR="00C7726F" w:rsidRPr="002661A8">
        <w:rPr>
          <w:rFonts w:ascii="Times New Roman" w:hAnsi="Times New Roman" w:cs="Times New Roman"/>
          <w:b/>
          <w:noProof/>
          <w:sz w:val="24"/>
          <w:szCs w:val="24"/>
        </w:rPr>
        <w:t xml:space="preserve">more </w:t>
      </w:r>
      <w:r w:rsidR="0020650A" w:rsidRPr="002661A8">
        <w:rPr>
          <w:rFonts w:ascii="Times New Roman" w:hAnsi="Times New Roman" w:cs="Times New Roman"/>
          <w:b/>
          <w:noProof/>
          <w:sz w:val="24"/>
          <w:szCs w:val="24"/>
        </w:rPr>
        <w:t>limited</w:t>
      </w:r>
      <w:r w:rsidR="0020650A" w:rsidRPr="002661A8">
        <w:rPr>
          <w:rFonts w:ascii="Times New Roman" w:hAnsi="Times New Roman" w:cs="Times New Roman"/>
          <w:noProof/>
          <w:sz w:val="24"/>
          <w:szCs w:val="24"/>
        </w:rPr>
        <w:t xml:space="preserve"> </w:t>
      </w:r>
      <w:r w:rsidR="00C7726F" w:rsidRPr="002661A8">
        <w:rPr>
          <w:rFonts w:ascii="Times New Roman" w:hAnsi="Times New Roman" w:cs="Times New Roman"/>
          <w:noProof/>
          <w:sz w:val="24"/>
          <w:szCs w:val="24"/>
        </w:rPr>
        <w:t>than at</w:t>
      </w:r>
      <w:r w:rsidR="0020650A" w:rsidRPr="002661A8">
        <w:rPr>
          <w:rFonts w:ascii="Times New Roman" w:hAnsi="Times New Roman" w:cs="Times New Roman"/>
          <w:noProof/>
          <w:sz w:val="24"/>
          <w:szCs w:val="24"/>
        </w:rPr>
        <w:t xml:space="preserve"> </w:t>
      </w:r>
      <w:r w:rsidR="0098094A" w:rsidRPr="002661A8">
        <w:rPr>
          <w:rFonts w:ascii="Times New Roman" w:hAnsi="Times New Roman" w:cs="Times New Roman"/>
          <w:noProof/>
          <w:sz w:val="24"/>
          <w:szCs w:val="24"/>
        </w:rPr>
        <w:t>incumbent third-country CCPs</w:t>
      </w:r>
      <w:r w:rsidR="0020650A" w:rsidRPr="002661A8">
        <w:rPr>
          <w:rFonts w:ascii="Times New Roman" w:hAnsi="Times New Roman" w:cs="Times New Roman"/>
          <w:noProof/>
          <w:sz w:val="24"/>
          <w:szCs w:val="24"/>
        </w:rPr>
        <w:t>.</w:t>
      </w:r>
      <w:r w:rsidR="00C7726F" w:rsidRPr="002661A8">
        <w:rPr>
          <w:rFonts w:ascii="Times New Roman" w:hAnsi="Times New Roman" w:cs="Times New Roman"/>
          <w:noProof/>
          <w:sz w:val="24"/>
          <w:szCs w:val="24"/>
        </w:rPr>
        <w:t xml:space="preserve"> With a limited participation, liquidity tends to be lower, or is perceived</w:t>
      </w:r>
      <w:r w:rsidR="000F1A36" w:rsidRPr="002661A8">
        <w:rPr>
          <w:rStyle w:val="FootnoteReference"/>
          <w:rFonts w:ascii="Times New Roman" w:hAnsi="Times New Roman" w:cs="Times New Roman"/>
          <w:noProof/>
          <w:sz w:val="24"/>
          <w:szCs w:val="24"/>
        </w:rPr>
        <w:footnoteReference w:id="46"/>
      </w:r>
      <w:r w:rsidR="00C7726F" w:rsidRPr="002661A8">
        <w:rPr>
          <w:rFonts w:ascii="Times New Roman" w:hAnsi="Times New Roman" w:cs="Times New Roman"/>
          <w:noProof/>
          <w:sz w:val="24"/>
          <w:szCs w:val="24"/>
        </w:rPr>
        <w:t xml:space="preserve"> as such.</w:t>
      </w:r>
      <w:r w:rsidR="0020650A" w:rsidRPr="002661A8">
        <w:rPr>
          <w:rFonts w:ascii="Times New Roman" w:hAnsi="Times New Roman" w:cs="Times New Roman"/>
          <w:noProof/>
          <w:sz w:val="24"/>
          <w:szCs w:val="24"/>
        </w:rPr>
        <w:t xml:space="preserve"> </w:t>
      </w:r>
      <w:r w:rsidR="00397D01">
        <w:rPr>
          <w:rFonts w:ascii="Times New Roman" w:hAnsi="Times New Roman" w:cs="Times New Roman"/>
          <w:noProof/>
          <w:sz w:val="24"/>
          <w:szCs w:val="24"/>
        </w:rPr>
        <w:t xml:space="preserve">Second, </w:t>
      </w:r>
      <w:r w:rsidR="001D2C55" w:rsidRPr="002661A8">
        <w:rPr>
          <w:rFonts w:ascii="Times New Roman" w:hAnsi="Times New Roman" w:cs="Times New Roman"/>
          <w:noProof/>
          <w:sz w:val="24"/>
          <w:szCs w:val="24"/>
        </w:rPr>
        <w:t>EU CCPs do not offer a</w:t>
      </w:r>
      <w:r w:rsidR="009367D4" w:rsidRPr="002661A8">
        <w:rPr>
          <w:rFonts w:ascii="Times New Roman" w:hAnsi="Times New Roman" w:cs="Times New Roman"/>
          <w:noProof/>
          <w:sz w:val="24"/>
          <w:szCs w:val="24"/>
        </w:rPr>
        <w:t>s broad a</w:t>
      </w:r>
      <w:r w:rsidR="001D2C55" w:rsidRPr="002661A8">
        <w:rPr>
          <w:rFonts w:ascii="Times New Roman" w:hAnsi="Times New Roman" w:cs="Times New Roman"/>
          <w:noProof/>
          <w:sz w:val="24"/>
          <w:szCs w:val="24"/>
        </w:rPr>
        <w:t xml:space="preserve"> range of products/currencies as </w:t>
      </w:r>
      <w:r w:rsidR="007C067C">
        <w:rPr>
          <w:rFonts w:ascii="Times New Roman" w:hAnsi="Times New Roman" w:cs="Times New Roman"/>
          <w:noProof/>
          <w:sz w:val="24"/>
          <w:szCs w:val="24"/>
        </w:rPr>
        <w:t xml:space="preserve">some third-country </w:t>
      </w:r>
      <w:r w:rsidR="001D2C55" w:rsidRPr="002661A8">
        <w:rPr>
          <w:rFonts w:ascii="Times New Roman" w:hAnsi="Times New Roman" w:cs="Times New Roman"/>
          <w:noProof/>
          <w:sz w:val="24"/>
          <w:szCs w:val="24"/>
        </w:rPr>
        <w:t>CCPs</w:t>
      </w:r>
      <w:r w:rsidR="0020650A" w:rsidRPr="002661A8">
        <w:rPr>
          <w:rFonts w:ascii="Times New Roman" w:hAnsi="Times New Roman" w:cs="Times New Roman"/>
          <w:noProof/>
          <w:sz w:val="24"/>
          <w:szCs w:val="24"/>
        </w:rPr>
        <w:t xml:space="preserve"> </w:t>
      </w:r>
      <w:r w:rsidR="009367D4" w:rsidRPr="002661A8">
        <w:rPr>
          <w:rFonts w:ascii="Times New Roman" w:hAnsi="Times New Roman" w:cs="Times New Roman"/>
          <w:noProof/>
          <w:sz w:val="24"/>
          <w:szCs w:val="24"/>
        </w:rPr>
        <w:t xml:space="preserve">and offer less netting opportunities </w:t>
      </w:r>
      <w:r w:rsidR="0020650A" w:rsidRPr="002661A8">
        <w:rPr>
          <w:rFonts w:ascii="Times New Roman" w:hAnsi="Times New Roman" w:cs="Times New Roman"/>
          <w:noProof/>
          <w:sz w:val="24"/>
          <w:szCs w:val="24"/>
        </w:rPr>
        <w:t xml:space="preserve">(see </w:t>
      </w:r>
      <w:hyperlink w:anchor="_Annex_7:_Background" w:history="1">
        <w:r w:rsidR="0098094A" w:rsidRPr="002661A8">
          <w:rPr>
            <w:rStyle w:val="Hyperlink"/>
            <w:rFonts w:ascii="Times New Roman" w:hAnsi="Times New Roman" w:cs="Times New Roman"/>
            <w:noProof/>
            <w:sz w:val="24"/>
            <w:szCs w:val="24"/>
          </w:rPr>
          <w:t xml:space="preserve">Annex </w:t>
        </w:r>
        <w:r w:rsidR="00F84481" w:rsidRPr="002661A8">
          <w:rPr>
            <w:rStyle w:val="Hyperlink"/>
            <w:rFonts w:ascii="Times New Roman" w:hAnsi="Times New Roman" w:cs="Times New Roman"/>
            <w:noProof/>
            <w:sz w:val="24"/>
            <w:szCs w:val="24"/>
          </w:rPr>
          <w:t>7</w:t>
        </w:r>
      </w:hyperlink>
      <w:r w:rsidR="0020650A" w:rsidRPr="002661A8">
        <w:rPr>
          <w:rFonts w:ascii="Times New Roman" w:hAnsi="Times New Roman" w:cs="Times New Roman"/>
          <w:noProof/>
          <w:sz w:val="24"/>
          <w:szCs w:val="24"/>
        </w:rPr>
        <w:t>)</w:t>
      </w:r>
      <w:r w:rsidRPr="002661A8">
        <w:rPr>
          <w:rFonts w:ascii="Times New Roman" w:hAnsi="Times New Roman" w:cs="Times New Roman"/>
          <w:noProof/>
          <w:sz w:val="24"/>
          <w:szCs w:val="24"/>
        </w:rPr>
        <w:t>. A</w:t>
      </w:r>
      <w:r w:rsidR="0020650A" w:rsidRPr="002661A8">
        <w:rPr>
          <w:rFonts w:ascii="Times New Roman" w:hAnsi="Times New Roman" w:cs="Times New Roman"/>
          <w:noProof/>
          <w:sz w:val="24"/>
          <w:szCs w:val="24"/>
        </w:rPr>
        <w:t xml:space="preserve">s such, </w:t>
      </w:r>
      <w:r w:rsidR="009367D4" w:rsidRPr="002661A8">
        <w:rPr>
          <w:rFonts w:ascii="Times New Roman" w:hAnsi="Times New Roman" w:cs="Times New Roman"/>
          <w:noProof/>
          <w:sz w:val="24"/>
          <w:szCs w:val="24"/>
        </w:rPr>
        <w:t>they</w:t>
      </w:r>
      <w:r w:rsidR="0020650A" w:rsidRPr="002661A8">
        <w:rPr>
          <w:rFonts w:ascii="Times New Roman" w:hAnsi="Times New Roman" w:cs="Times New Roman"/>
          <w:noProof/>
          <w:sz w:val="24"/>
          <w:szCs w:val="24"/>
        </w:rPr>
        <w:t xml:space="preserve"> are </w:t>
      </w:r>
      <w:r w:rsidR="009367D4" w:rsidRPr="002661A8">
        <w:rPr>
          <w:rFonts w:ascii="Times New Roman" w:hAnsi="Times New Roman" w:cs="Times New Roman"/>
          <w:noProof/>
          <w:sz w:val="24"/>
          <w:szCs w:val="24"/>
        </w:rPr>
        <w:t xml:space="preserve">seen as </w:t>
      </w:r>
      <w:r w:rsidR="006461A3" w:rsidRPr="002661A8">
        <w:rPr>
          <w:rFonts w:ascii="Times New Roman" w:hAnsi="Times New Roman" w:cs="Times New Roman"/>
          <w:noProof/>
          <w:sz w:val="24"/>
          <w:szCs w:val="24"/>
        </w:rPr>
        <w:t>less attractive to market participants</w:t>
      </w:r>
      <w:r w:rsidR="001D2C55" w:rsidRPr="002661A8">
        <w:rPr>
          <w:rFonts w:ascii="Times New Roman" w:hAnsi="Times New Roman" w:cs="Times New Roman"/>
          <w:noProof/>
          <w:sz w:val="24"/>
          <w:szCs w:val="24"/>
        </w:rPr>
        <w:t>.</w:t>
      </w:r>
      <w:r w:rsidR="009367D4" w:rsidRPr="002661A8">
        <w:rPr>
          <w:rFonts w:ascii="Times New Roman" w:hAnsi="Times New Roman" w:cs="Times New Roman"/>
          <w:noProof/>
          <w:sz w:val="24"/>
          <w:szCs w:val="24"/>
        </w:rPr>
        <w:t xml:space="preserve"> </w:t>
      </w:r>
      <w:r w:rsidR="00BA2048">
        <w:rPr>
          <w:rFonts w:ascii="Times New Roman" w:hAnsi="Times New Roman" w:cs="Times New Roman"/>
          <w:noProof/>
          <w:sz w:val="24"/>
          <w:szCs w:val="24"/>
        </w:rPr>
        <w:t>As such,</w:t>
      </w:r>
      <w:r w:rsidR="00397D01">
        <w:rPr>
          <w:rFonts w:ascii="Times New Roman" w:hAnsi="Times New Roman" w:cs="Times New Roman"/>
          <w:noProof/>
          <w:sz w:val="24"/>
          <w:szCs w:val="24"/>
        </w:rPr>
        <w:t xml:space="preserve"> </w:t>
      </w:r>
      <w:r w:rsidR="0020650A" w:rsidRPr="002661A8">
        <w:rPr>
          <w:rFonts w:ascii="Times New Roman" w:hAnsi="Times New Roman" w:cs="Times New Roman"/>
          <w:noProof/>
          <w:sz w:val="24"/>
          <w:szCs w:val="24"/>
        </w:rPr>
        <w:t xml:space="preserve">, </w:t>
      </w:r>
      <w:r w:rsidR="00851822" w:rsidRPr="002661A8">
        <w:rPr>
          <w:rFonts w:ascii="Times New Roman" w:hAnsi="Times New Roman" w:cs="Times New Roman"/>
          <w:noProof/>
          <w:sz w:val="24"/>
          <w:szCs w:val="24"/>
        </w:rPr>
        <w:t>there is a tendency towards</w:t>
      </w:r>
      <w:r w:rsidR="001D2C55" w:rsidRPr="002661A8">
        <w:rPr>
          <w:rFonts w:ascii="Times New Roman" w:hAnsi="Times New Roman" w:cs="Times New Roman"/>
          <w:noProof/>
          <w:sz w:val="24"/>
          <w:szCs w:val="24"/>
        </w:rPr>
        <w:t xml:space="preserve"> </w:t>
      </w:r>
      <w:r w:rsidR="001D2C55" w:rsidRPr="002661A8">
        <w:rPr>
          <w:rFonts w:ascii="Times New Roman" w:hAnsi="Times New Roman" w:cs="Times New Roman"/>
          <w:b/>
          <w:noProof/>
          <w:sz w:val="24"/>
          <w:szCs w:val="24"/>
        </w:rPr>
        <w:t>concentration in third-country incumbent CCPs</w:t>
      </w:r>
      <w:r w:rsidR="00851822" w:rsidRPr="002661A8">
        <w:rPr>
          <w:rFonts w:ascii="Times New Roman" w:hAnsi="Times New Roman" w:cs="Times New Roman"/>
          <w:noProof/>
          <w:sz w:val="24"/>
          <w:szCs w:val="24"/>
        </w:rPr>
        <w:t>. This is linked</w:t>
      </w:r>
      <w:r w:rsidR="005A3374" w:rsidRPr="002661A8">
        <w:rPr>
          <w:rFonts w:ascii="Times New Roman" w:hAnsi="Times New Roman" w:cs="Times New Roman"/>
          <w:noProof/>
          <w:sz w:val="24"/>
          <w:szCs w:val="24"/>
        </w:rPr>
        <w:t xml:space="preserve"> to: </w:t>
      </w:r>
      <w:r w:rsidR="00851822" w:rsidRPr="002661A8">
        <w:rPr>
          <w:rFonts w:ascii="Times New Roman" w:hAnsi="Times New Roman" w:cs="Times New Roman"/>
          <w:noProof/>
          <w:sz w:val="24"/>
          <w:szCs w:val="24"/>
        </w:rPr>
        <w:t xml:space="preserve">strong </w:t>
      </w:r>
      <w:r w:rsidR="001D2C55" w:rsidRPr="002661A8">
        <w:rPr>
          <w:rFonts w:ascii="Times New Roman" w:hAnsi="Times New Roman" w:cs="Times New Roman"/>
          <w:noProof/>
          <w:sz w:val="24"/>
          <w:szCs w:val="24"/>
        </w:rPr>
        <w:t xml:space="preserve">economies of scale and scope </w:t>
      </w:r>
      <w:r w:rsidR="00851822" w:rsidRPr="002661A8">
        <w:rPr>
          <w:rFonts w:ascii="Times New Roman" w:hAnsi="Times New Roman" w:cs="Times New Roman"/>
          <w:noProof/>
          <w:sz w:val="24"/>
          <w:szCs w:val="24"/>
        </w:rPr>
        <w:t>which characterise the clearing business,</w:t>
      </w:r>
      <w:r w:rsidR="00131C06" w:rsidRPr="002661A8">
        <w:rPr>
          <w:rFonts w:ascii="Times New Roman" w:hAnsi="Times New Roman" w:cs="Times New Roman"/>
          <w:noProof/>
          <w:sz w:val="24"/>
          <w:szCs w:val="24"/>
        </w:rPr>
        <w:t xml:space="preserve"> </w:t>
      </w:r>
      <w:r w:rsidR="002C67A5" w:rsidRPr="002661A8">
        <w:rPr>
          <w:rFonts w:ascii="Times New Roman" w:hAnsi="Times New Roman" w:cs="Times New Roman"/>
          <w:noProof/>
          <w:sz w:val="24"/>
          <w:szCs w:val="24"/>
        </w:rPr>
        <w:t>cost co</w:t>
      </w:r>
      <w:r w:rsidR="00BB4781" w:rsidRPr="002661A8">
        <w:rPr>
          <w:rFonts w:ascii="Times New Roman" w:hAnsi="Times New Roman" w:cs="Times New Roman"/>
          <w:noProof/>
          <w:sz w:val="24"/>
          <w:szCs w:val="24"/>
        </w:rPr>
        <w:t>n</w:t>
      </w:r>
      <w:r w:rsidR="002C67A5" w:rsidRPr="002661A8">
        <w:rPr>
          <w:rFonts w:ascii="Times New Roman" w:hAnsi="Times New Roman" w:cs="Times New Roman"/>
          <w:noProof/>
          <w:sz w:val="24"/>
          <w:szCs w:val="24"/>
        </w:rPr>
        <w:t>siderations</w:t>
      </w:r>
      <w:r w:rsidR="00135B2A" w:rsidRPr="002661A8">
        <w:rPr>
          <w:rFonts w:ascii="Times New Roman" w:hAnsi="Times New Roman" w:cs="Times New Roman"/>
          <w:noProof/>
          <w:sz w:val="24"/>
          <w:szCs w:val="24"/>
        </w:rPr>
        <w:t xml:space="preserve"> (i.e. the price </w:t>
      </w:r>
      <w:r w:rsidR="000535BF" w:rsidRPr="002661A8">
        <w:rPr>
          <w:rFonts w:ascii="Times New Roman" w:hAnsi="Times New Roman" w:cs="Times New Roman"/>
          <w:noProof/>
          <w:sz w:val="24"/>
          <w:szCs w:val="24"/>
        </w:rPr>
        <w:t>paid for clearing the same product at</w:t>
      </w:r>
      <w:r w:rsidR="00135B2A" w:rsidRPr="002661A8">
        <w:rPr>
          <w:rFonts w:ascii="Times New Roman" w:hAnsi="Times New Roman" w:cs="Times New Roman"/>
          <w:noProof/>
          <w:sz w:val="24"/>
          <w:szCs w:val="24"/>
        </w:rPr>
        <w:t xml:space="preserve"> a CCP relative to another one, so called “basis”)</w:t>
      </w:r>
      <w:r w:rsidR="005A3374" w:rsidRPr="002661A8">
        <w:rPr>
          <w:rFonts w:ascii="Times New Roman" w:hAnsi="Times New Roman" w:cs="Times New Roman"/>
          <w:noProof/>
          <w:sz w:val="24"/>
          <w:szCs w:val="24"/>
        </w:rPr>
        <w:t>; and</w:t>
      </w:r>
      <w:r w:rsidR="00874FEE" w:rsidRPr="002661A8">
        <w:rPr>
          <w:rFonts w:ascii="Times New Roman" w:hAnsi="Times New Roman" w:cs="Times New Roman"/>
          <w:noProof/>
          <w:sz w:val="24"/>
          <w:szCs w:val="24"/>
        </w:rPr>
        <w:t xml:space="preserve"> a perception that </w:t>
      </w:r>
      <w:r w:rsidR="005A3374" w:rsidRPr="002661A8">
        <w:rPr>
          <w:rFonts w:ascii="Times New Roman" w:hAnsi="Times New Roman" w:cs="Times New Roman"/>
          <w:noProof/>
          <w:sz w:val="24"/>
          <w:szCs w:val="24"/>
        </w:rPr>
        <w:t>certain third-country CCPs</w:t>
      </w:r>
      <w:r w:rsidR="00E24B88" w:rsidRPr="002661A8">
        <w:rPr>
          <w:rFonts w:ascii="Times New Roman" w:hAnsi="Times New Roman" w:cs="Times New Roman"/>
          <w:noProof/>
          <w:sz w:val="24"/>
          <w:szCs w:val="24"/>
        </w:rPr>
        <w:t>, e.g.</w:t>
      </w:r>
      <w:r w:rsidR="00874FEE" w:rsidRPr="002661A8">
        <w:rPr>
          <w:rFonts w:ascii="Times New Roman" w:hAnsi="Times New Roman" w:cs="Times New Roman"/>
          <w:noProof/>
          <w:sz w:val="24"/>
          <w:szCs w:val="24"/>
        </w:rPr>
        <w:t xml:space="preserve"> LCH Ltd</w:t>
      </w:r>
      <w:r w:rsidR="005A3374" w:rsidRPr="002661A8">
        <w:rPr>
          <w:rFonts w:ascii="Times New Roman" w:hAnsi="Times New Roman" w:cs="Times New Roman"/>
          <w:noProof/>
          <w:sz w:val="24"/>
          <w:szCs w:val="24"/>
        </w:rPr>
        <w:t>, are operationally more efficient</w:t>
      </w:r>
      <w:r w:rsidR="00DA0C7F" w:rsidRPr="002661A8">
        <w:rPr>
          <w:rFonts w:ascii="Times New Roman" w:hAnsi="Times New Roman" w:cs="Times New Roman"/>
          <w:noProof/>
          <w:sz w:val="24"/>
          <w:szCs w:val="24"/>
        </w:rPr>
        <w:t>.</w:t>
      </w:r>
      <w:r w:rsidR="00743956" w:rsidRPr="002661A8">
        <w:rPr>
          <w:rStyle w:val="FootnoteReference"/>
          <w:rFonts w:ascii="Times New Roman" w:hAnsi="Times New Roman" w:cs="Times New Roman"/>
          <w:noProof/>
          <w:sz w:val="24"/>
          <w:szCs w:val="24"/>
        </w:rPr>
        <w:footnoteReference w:id="47"/>
      </w:r>
      <w:r w:rsidR="005A3374" w:rsidRPr="002661A8">
        <w:rPr>
          <w:rFonts w:ascii="Times New Roman" w:hAnsi="Times New Roman" w:cs="Times New Roman"/>
          <w:noProof/>
          <w:sz w:val="24"/>
          <w:szCs w:val="24"/>
        </w:rPr>
        <w:t xml:space="preserve"> Persistent concentration of clearing at incumbent third-country CCPs mechanically contributes to lower liquidity in EU CCPs, as market participants continue choosing the same third-country CCPs.</w:t>
      </w:r>
      <w:r w:rsidR="009367D4" w:rsidRPr="002661A8">
        <w:rPr>
          <w:rFonts w:ascii="Times New Roman" w:hAnsi="Times New Roman" w:cs="Times New Roman"/>
          <w:noProof/>
          <w:sz w:val="24"/>
          <w:szCs w:val="24"/>
        </w:rPr>
        <w:t xml:space="preserve"> These effects are described in more detail in </w:t>
      </w:r>
      <w:hyperlink w:anchor="_Limited_participation_in" w:history="1">
        <w:r w:rsidR="009367D4" w:rsidRPr="002661A8">
          <w:rPr>
            <w:rStyle w:val="Hyperlink"/>
            <w:rFonts w:ascii="Times New Roman" w:hAnsi="Times New Roman" w:cs="Times New Roman"/>
            <w:noProof/>
            <w:sz w:val="24"/>
            <w:szCs w:val="24"/>
          </w:rPr>
          <w:t xml:space="preserve">Section </w:t>
        </w:r>
        <w:r w:rsidR="007C4A5C" w:rsidRPr="002661A8">
          <w:rPr>
            <w:rStyle w:val="Hyperlink"/>
            <w:rFonts w:ascii="Times New Roman" w:hAnsi="Times New Roman" w:cs="Times New Roman"/>
            <w:noProof/>
            <w:sz w:val="24"/>
            <w:szCs w:val="24"/>
          </w:rPr>
          <w:t>3.2.2</w:t>
        </w:r>
      </w:hyperlink>
      <w:r w:rsidR="009367D4" w:rsidRPr="002661A8">
        <w:rPr>
          <w:rFonts w:ascii="Times New Roman" w:hAnsi="Times New Roman" w:cs="Times New Roman"/>
          <w:noProof/>
          <w:sz w:val="24"/>
          <w:szCs w:val="24"/>
        </w:rPr>
        <w:t>.</w:t>
      </w:r>
    </w:p>
    <w:p w14:paraId="286622A4" w14:textId="3C2AF59F" w:rsidR="001D2C55" w:rsidRPr="002661A8" w:rsidRDefault="00BB4781" w:rsidP="00ED5088">
      <w:pPr>
        <w:pStyle w:val="Heading1"/>
        <w:numPr>
          <w:ilvl w:val="2"/>
          <w:numId w:val="6"/>
        </w:numPr>
        <w:spacing w:before="0" w:after="120"/>
        <w:rPr>
          <w:b w:val="0"/>
          <w:i/>
          <w:noProof/>
        </w:rPr>
      </w:pPr>
      <w:bookmarkStart w:id="219" w:name="_Insufficient_consideration_of"/>
      <w:bookmarkStart w:id="220" w:name="_Toc103337468"/>
      <w:bookmarkStart w:id="221" w:name="_Toc106827815"/>
      <w:bookmarkStart w:id="222" w:name="_Toc106981691"/>
      <w:bookmarkStart w:id="223" w:name="_Toc107493831"/>
      <w:bookmarkStart w:id="224" w:name="_Toc107497867"/>
      <w:bookmarkStart w:id="225" w:name="_Toc107503420"/>
      <w:bookmarkStart w:id="226" w:name="_Toc107504568"/>
      <w:bookmarkStart w:id="227" w:name="_Toc107505413"/>
      <w:bookmarkStart w:id="228" w:name="_Toc107838889"/>
      <w:bookmarkStart w:id="229" w:name="_Toc107846984"/>
      <w:bookmarkStart w:id="230" w:name="_Toc107849221"/>
      <w:bookmarkStart w:id="231" w:name="_Toc107853668"/>
      <w:bookmarkStart w:id="232" w:name="_Toc108418477"/>
      <w:bookmarkStart w:id="233" w:name="_Toc108539569"/>
      <w:bookmarkStart w:id="234" w:name="_Toc108539791"/>
      <w:bookmarkStart w:id="235" w:name="_Toc108539909"/>
      <w:bookmarkStart w:id="236" w:name="_Toc109057367"/>
      <w:bookmarkStart w:id="237" w:name="_Toc109120733"/>
      <w:bookmarkStart w:id="238" w:name="_Toc109122368"/>
      <w:bookmarkStart w:id="239" w:name="_Toc109124081"/>
      <w:bookmarkStart w:id="240" w:name="_Toc109133105"/>
      <w:bookmarkStart w:id="241" w:name="_Toc109133281"/>
      <w:bookmarkStart w:id="242" w:name="_Toc120291639"/>
      <w:bookmarkEnd w:id="219"/>
      <w:r w:rsidRPr="002661A8">
        <w:rPr>
          <w:b w:val="0"/>
          <w:i/>
          <w:smallCaps w:val="0"/>
          <w:noProof/>
        </w:rPr>
        <w:t>Insufficient consideration of cross-border risks</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2738CD36" w14:textId="40DFF4F8" w:rsidR="00993E47" w:rsidRPr="002661A8" w:rsidRDefault="00993E47" w:rsidP="009F3588">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One of the main</w:t>
      </w:r>
      <w:r w:rsidRPr="002661A8" w:rsidDel="005176B8">
        <w:rPr>
          <w:rFonts w:ascii="Times New Roman" w:hAnsi="Times New Roman" w:cs="Times New Roman"/>
          <w:noProof/>
          <w:sz w:val="24"/>
          <w:szCs w:val="24"/>
        </w:rPr>
        <w:t xml:space="preserve"> </w:t>
      </w:r>
      <w:r w:rsidR="005176B8" w:rsidRPr="002661A8">
        <w:rPr>
          <w:rFonts w:ascii="Times New Roman" w:hAnsi="Times New Roman" w:cs="Times New Roman"/>
          <w:noProof/>
          <w:sz w:val="24"/>
          <w:szCs w:val="24"/>
        </w:rPr>
        <w:t>aims</w:t>
      </w:r>
      <w:r w:rsidRPr="002661A8">
        <w:rPr>
          <w:rFonts w:ascii="Times New Roman" w:hAnsi="Times New Roman" w:cs="Times New Roman"/>
          <w:noProof/>
          <w:sz w:val="24"/>
          <w:szCs w:val="24"/>
        </w:rPr>
        <w:t xml:space="preserve"> of EMIR since its adoption is the mitigation of risks arising from the operation of CCPs in the EU. </w:t>
      </w:r>
      <w:r w:rsidR="00F84479" w:rsidRPr="002661A8">
        <w:rPr>
          <w:rFonts w:ascii="Times New Roman" w:hAnsi="Times New Roman" w:cs="Times New Roman"/>
          <w:noProof/>
          <w:sz w:val="24"/>
          <w:szCs w:val="24"/>
        </w:rPr>
        <w:t>EMIR 2.2 f</w:t>
      </w:r>
      <w:r w:rsidR="00407851" w:rsidRPr="002661A8">
        <w:rPr>
          <w:rFonts w:ascii="Times New Roman" w:hAnsi="Times New Roman" w:cs="Times New Roman"/>
          <w:noProof/>
          <w:sz w:val="24"/>
          <w:szCs w:val="24"/>
        </w:rPr>
        <w:t xml:space="preserve">urther developed </w:t>
      </w:r>
      <w:r w:rsidR="00431CD2" w:rsidRPr="002661A8">
        <w:rPr>
          <w:rFonts w:ascii="Times New Roman" w:hAnsi="Times New Roman" w:cs="Times New Roman"/>
          <w:noProof/>
          <w:sz w:val="24"/>
          <w:szCs w:val="24"/>
        </w:rPr>
        <w:t xml:space="preserve">this </w:t>
      </w:r>
      <w:r w:rsidR="00407851" w:rsidRPr="002661A8">
        <w:rPr>
          <w:rFonts w:ascii="Times New Roman" w:hAnsi="Times New Roman" w:cs="Times New Roman"/>
          <w:noProof/>
          <w:sz w:val="24"/>
          <w:szCs w:val="24"/>
        </w:rPr>
        <w:t>framework</w:t>
      </w:r>
      <w:r w:rsidR="00B21EC1" w:rsidRPr="002661A8">
        <w:rPr>
          <w:rFonts w:ascii="Times New Roman" w:hAnsi="Times New Roman" w:cs="Times New Roman"/>
          <w:noProof/>
          <w:sz w:val="24"/>
          <w:szCs w:val="24"/>
        </w:rPr>
        <w:t xml:space="preserve"> </w:t>
      </w:r>
      <w:r w:rsidR="00407851" w:rsidRPr="002661A8">
        <w:rPr>
          <w:rFonts w:ascii="Times New Roman" w:hAnsi="Times New Roman" w:cs="Times New Roman"/>
          <w:noProof/>
          <w:sz w:val="24"/>
          <w:szCs w:val="24"/>
        </w:rPr>
        <w:t xml:space="preserve">to </w:t>
      </w:r>
      <w:r w:rsidR="00F84479" w:rsidRPr="002661A8">
        <w:rPr>
          <w:rFonts w:ascii="Times New Roman" w:hAnsi="Times New Roman" w:cs="Times New Roman"/>
          <w:noProof/>
          <w:sz w:val="24"/>
          <w:szCs w:val="24"/>
        </w:rPr>
        <w:t>mitigate the</w:t>
      </w:r>
      <w:r w:rsidRPr="002661A8">
        <w:rPr>
          <w:rFonts w:ascii="Times New Roman" w:hAnsi="Times New Roman" w:cs="Times New Roman"/>
          <w:noProof/>
          <w:sz w:val="24"/>
          <w:szCs w:val="24"/>
        </w:rPr>
        <w:t xml:space="preserve"> risks </w:t>
      </w:r>
      <w:r w:rsidR="00431CD2" w:rsidRPr="002661A8">
        <w:rPr>
          <w:rFonts w:ascii="Times New Roman" w:hAnsi="Times New Roman" w:cs="Times New Roman"/>
          <w:noProof/>
          <w:sz w:val="24"/>
          <w:szCs w:val="24"/>
        </w:rPr>
        <w:t xml:space="preserve">resulting </w:t>
      </w:r>
      <w:r w:rsidRPr="002661A8">
        <w:rPr>
          <w:rFonts w:ascii="Times New Roman" w:hAnsi="Times New Roman" w:cs="Times New Roman"/>
          <w:noProof/>
          <w:sz w:val="24"/>
          <w:szCs w:val="24"/>
        </w:rPr>
        <w:t xml:space="preserve">from </w:t>
      </w:r>
      <w:r w:rsidR="00431CD2" w:rsidRPr="002661A8">
        <w:rPr>
          <w:rFonts w:ascii="Times New Roman" w:hAnsi="Times New Roman" w:cs="Times New Roman"/>
          <w:noProof/>
          <w:sz w:val="24"/>
          <w:szCs w:val="24"/>
        </w:rPr>
        <w:t xml:space="preserve">exposures to </w:t>
      </w:r>
      <w:r w:rsidRPr="002661A8">
        <w:rPr>
          <w:rFonts w:ascii="Times New Roman" w:hAnsi="Times New Roman" w:cs="Times New Roman"/>
          <w:noProof/>
          <w:sz w:val="24"/>
          <w:szCs w:val="24"/>
        </w:rPr>
        <w:t>third-country CCPs</w:t>
      </w:r>
      <w:r w:rsidR="00431CD2" w:rsidRPr="002661A8">
        <w:rPr>
          <w:rFonts w:ascii="Times New Roman" w:hAnsi="Times New Roman" w:cs="Times New Roman"/>
          <w:noProof/>
          <w:sz w:val="24"/>
          <w:szCs w:val="24"/>
        </w:rPr>
        <w:t xml:space="preserve">, </w:t>
      </w:r>
      <w:r w:rsidR="0064259B" w:rsidRPr="002661A8">
        <w:rPr>
          <w:rFonts w:ascii="Times New Roman" w:hAnsi="Times New Roman" w:cs="Times New Roman"/>
          <w:noProof/>
          <w:sz w:val="24"/>
          <w:szCs w:val="24"/>
        </w:rPr>
        <w:t>especially</w:t>
      </w:r>
      <w:r w:rsidR="00431CD2" w:rsidRPr="002661A8">
        <w:rPr>
          <w:rFonts w:ascii="Times New Roman" w:hAnsi="Times New Roman" w:cs="Times New Roman"/>
          <w:noProof/>
          <w:sz w:val="24"/>
          <w:szCs w:val="24"/>
        </w:rPr>
        <w:t xml:space="preserve"> those which are highly interconnected with the EU financial system</w:t>
      </w:r>
      <w:r w:rsidR="00F84479" w:rsidRPr="002661A8">
        <w:rPr>
          <w:rFonts w:ascii="Times New Roman" w:hAnsi="Times New Roman" w:cs="Times New Roman"/>
          <w:noProof/>
          <w:sz w:val="24"/>
          <w:szCs w:val="24"/>
        </w:rPr>
        <w:t>. However</w:t>
      </w:r>
      <w:r w:rsidRPr="002661A8" w:rsidDel="00F84479">
        <w:rPr>
          <w:rFonts w:ascii="Times New Roman" w:hAnsi="Times New Roman" w:cs="Times New Roman"/>
          <w:noProof/>
          <w:sz w:val="24"/>
          <w:szCs w:val="24"/>
        </w:rPr>
        <w:t>,</w:t>
      </w:r>
      <w:r w:rsidRPr="002661A8">
        <w:rPr>
          <w:rFonts w:ascii="Times New Roman" w:hAnsi="Times New Roman" w:cs="Times New Roman"/>
          <w:noProof/>
          <w:sz w:val="24"/>
          <w:szCs w:val="24"/>
        </w:rPr>
        <w:t xml:space="preserve"> the supervisory architecture still fails to </w:t>
      </w:r>
      <w:r w:rsidR="00431CD2" w:rsidRPr="002661A8">
        <w:rPr>
          <w:rFonts w:ascii="Times New Roman" w:hAnsi="Times New Roman" w:cs="Times New Roman"/>
          <w:noProof/>
          <w:sz w:val="24"/>
          <w:szCs w:val="24"/>
        </w:rPr>
        <w:t>give due</w:t>
      </w:r>
      <w:r w:rsidRPr="002661A8">
        <w:rPr>
          <w:rFonts w:ascii="Times New Roman" w:hAnsi="Times New Roman" w:cs="Times New Roman"/>
          <w:noProof/>
          <w:sz w:val="24"/>
          <w:szCs w:val="24"/>
        </w:rPr>
        <w:t xml:space="preserve"> consideration </w:t>
      </w:r>
      <w:r w:rsidR="00431CD2" w:rsidRPr="002661A8">
        <w:rPr>
          <w:rFonts w:ascii="Times New Roman" w:hAnsi="Times New Roman" w:cs="Times New Roman"/>
          <w:noProof/>
          <w:sz w:val="24"/>
          <w:szCs w:val="24"/>
        </w:rPr>
        <w:t xml:space="preserve">to these </w:t>
      </w:r>
      <w:r w:rsidRPr="002661A8">
        <w:rPr>
          <w:rFonts w:ascii="Times New Roman" w:hAnsi="Times New Roman" w:cs="Times New Roman"/>
          <w:noProof/>
          <w:sz w:val="24"/>
          <w:szCs w:val="24"/>
        </w:rPr>
        <w:t xml:space="preserve">cross-border risks </w:t>
      </w:r>
      <w:r w:rsidR="00431CD2" w:rsidRPr="002661A8">
        <w:rPr>
          <w:rFonts w:ascii="Times New Roman" w:hAnsi="Times New Roman" w:cs="Times New Roman"/>
          <w:noProof/>
          <w:sz w:val="24"/>
          <w:szCs w:val="24"/>
        </w:rPr>
        <w:t>and their implications for the financial stability of the EU</w:t>
      </w:r>
      <w:r w:rsidRPr="002661A8">
        <w:rPr>
          <w:rFonts w:ascii="Times New Roman" w:hAnsi="Times New Roman" w:cs="Times New Roman"/>
          <w:noProof/>
          <w:sz w:val="24"/>
          <w:szCs w:val="24"/>
        </w:rPr>
        <w:t xml:space="preserve"> for three main reasons: concentration of clearing in incumbent third-country CCPs</w:t>
      </w:r>
      <w:r w:rsidR="006A74C1" w:rsidRPr="002661A8">
        <w:rPr>
          <w:rFonts w:ascii="Times New Roman" w:hAnsi="Times New Roman" w:cs="Times New Roman"/>
          <w:noProof/>
          <w:sz w:val="24"/>
          <w:szCs w:val="24"/>
        </w:rPr>
        <w:t>;</w:t>
      </w:r>
      <w:r w:rsidRPr="002661A8">
        <w:rPr>
          <w:rFonts w:ascii="Times New Roman" w:hAnsi="Times New Roman" w:cs="Times New Roman"/>
          <w:noProof/>
          <w:sz w:val="24"/>
          <w:szCs w:val="24"/>
        </w:rPr>
        <w:t xml:space="preserve"> </w:t>
      </w:r>
      <w:r w:rsidR="006A74C1" w:rsidRPr="002661A8">
        <w:rPr>
          <w:rFonts w:ascii="Times New Roman" w:hAnsi="Times New Roman" w:cs="Times New Roman"/>
          <w:noProof/>
          <w:sz w:val="24"/>
          <w:szCs w:val="24"/>
        </w:rPr>
        <w:t>interconnectedness of the EU financial system;</w:t>
      </w:r>
      <w:r w:rsidRPr="002661A8">
        <w:rPr>
          <w:rFonts w:ascii="Times New Roman" w:hAnsi="Times New Roman" w:cs="Times New Roman"/>
          <w:noProof/>
          <w:sz w:val="24"/>
          <w:szCs w:val="24"/>
        </w:rPr>
        <w:t xml:space="preserve"> and </w:t>
      </w:r>
      <w:r w:rsidR="006A74C1" w:rsidRPr="002661A8">
        <w:rPr>
          <w:rFonts w:ascii="Times New Roman" w:hAnsi="Times New Roman" w:cs="Times New Roman"/>
          <w:noProof/>
          <w:sz w:val="24"/>
          <w:szCs w:val="24"/>
        </w:rPr>
        <w:t>inefficient cooperation between national authorities</w:t>
      </w:r>
      <w:r w:rsidRPr="002661A8">
        <w:rPr>
          <w:rFonts w:ascii="Times New Roman" w:hAnsi="Times New Roman" w:cs="Times New Roman"/>
          <w:noProof/>
          <w:sz w:val="24"/>
          <w:szCs w:val="24"/>
        </w:rPr>
        <w:t>.</w:t>
      </w:r>
    </w:p>
    <w:p w14:paraId="5F5C98C0" w14:textId="2CABDB03" w:rsidR="00801F29" w:rsidRDefault="00993E47" w:rsidP="009F3588">
      <w:pPr>
        <w:spacing w:after="120" w:line="240" w:lineRule="auto"/>
        <w:jc w:val="both"/>
        <w:rPr>
          <w:rFonts w:ascii="Times New Roman" w:eastAsia="Calibri" w:hAnsi="Times New Roman" w:cs="Times New Roman"/>
          <w:noProof/>
          <w:sz w:val="24"/>
          <w:szCs w:val="24"/>
        </w:rPr>
      </w:pPr>
      <w:r w:rsidRPr="002661A8">
        <w:rPr>
          <w:rFonts w:ascii="Times New Roman" w:hAnsi="Times New Roman" w:cs="Times New Roman"/>
          <w:noProof/>
          <w:sz w:val="24"/>
          <w:szCs w:val="24"/>
        </w:rPr>
        <w:t>First</w:t>
      </w:r>
      <w:r w:rsidRPr="002661A8">
        <w:rPr>
          <w:rFonts w:ascii="Times New Roman" w:hAnsi="Times New Roman" w:cs="Times New Roman"/>
          <w:i/>
          <w:noProof/>
          <w:sz w:val="24"/>
          <w:szCs w:val="24"/>
        </w:rPr>
        <w:t xml:space="preserve">, </w:t>
      </w:r>
      <w:r w:rsidRPr="002661A8">
        <w:rPr>
          <w:rFonts w:ascii="Times New Roman" w:hAnsi="Times New Roman" w:cs="Times New Roman"/>
          <w:b/>
          <w:noProof/>
          <w:sz w:val="24"/>
          <w:szCs w:val="24"/>
        </w:rPr>
        <w:t>clearing is highly concentrated</w:t>
      </w:r>
      <w:r w:rsidR="00431CD2" w:rsidRPr="002661A8">
        <w:rPr>
          <w:rFonts w:ascii="Times New Roman" w:hAnsi="Times New Roman" w:cs="Times New Roman"/>
          <w:b/>
          <w:noProof/>
          <w:sz w:val="24"/>
          <w:szCs w:val="24"/>
        </w:rPr>
        <w:t xml:space="preserve"> in a limited number of clearing service providers globally</w:t>
      </w:r>
      <w:r w:rsidR="00B82755" w:rsidRPr="002661A8">
        <w:rPr>
          <w:rFonts w:ascii="Times New Roman" w:hAnsi="Times New Roman" w:cs="Times New Roman"/>
          <w:b/>
          <w:noProof/>
          <w:sz w:val="24"/>
          <w:szCs w:val="24"/>
        </w:rPr>
        <w:t xml:space="preserve"> </w:t>
      </w:r>
      <w:r w:rsidR="00B82755" w:rsidRPr="002661A8">
        <w:rPr>
          <w:rFonts w:ascii="Times New Roman" w:hAnsi="Times New Roman" w:cs="Times New Roman"/>
          <w:noProof/>
          <w:sz w:val="24"/>
          <w:szCs w:val="24"/>
        </w:rPr>
        <w:t>(see</w:t>
      </w:r>
      <w:r w:rsidR="00B82755" w:rsidRPr="002661A8">
        <w:rPr>
          <w:rFonts w:ascii="Times New Roman" w:hAnsi="Times New Roman" w:cs="Times New Roman"/>
          <w:b/>
          <w:noProof/>
          <w:sz w:val="24"/>
          <w:szCs w:val="24"/>
        </w:rPr>
        <w:t xml:space="preserve"> </w:t>
      </w:r>
      <w:hyperlink w:anchor="_Economic_context" w:history="1">
        <w:r w:rsidR="00B82755" w:rsidRPr="002661A8">
          <w:rPr>
            <w:rStyle w:val="Hyperlink"/>
            <w:rFonts w:ascii="Times New Roman" w:hAnsi="Times New Roman" w:cs="Times New Roman"/>
            <w:noProof/>
            <w:sz w:val="24"/>
            <w:szCs w:val="24"/>
          </w:rPr>
          <w:t>Section 2.1</w:t>
        </w:r>
      </w:hyperlink>
      <w:r w:rsidR="00B82755" w:rsidRPr="002661A8">
        <w:rPr>
          <w:rFonts w:ascii="Times New Roman" w:hAnsi="Times New Roman" w:cs="Times New Roman"/>
          <w:noProof/>
          <w:sz w:val="24"/>
          <w:szCs w:val="24"/>
        </w:rPr>
        <w:t>)</w:t>
      </w:r>
      <w:r w:rsidR="00407851" w:rsidRPr="002661A8">
        <w:rPr>
          <w:rFonts w:ascii="Times New Roman" w:hAnsi="Times New Roman" w:cs="Times New Roman"/>
          <w:noProof/>
          <w:sz w:val="24"/>
          <w:szCs w:val="24"/>
        </w:rPr>
        <w:t xml:space="preserve">. </w:t>
      </w:r>
      <w:r w:rsidR="0007273A">
        <w:rPr>
          <w:rFonts w:ascii="Times New Roman" w:hAnsi="Times New Roman" w:cs="Times New Roman"/>
          <w:noProof/>
          <w:sz w:val="24"/>
          <w:szCs w:val="24"/>
        </w:rPr>
        <w:t>W</w:t>
      </w:r>
      <w:r w:rsidR="00407851" w:rsidRPr="002661A8">
        <w:rPr>
          <w:rFonts w:ascii="Times New Roman" w:hAnsi="Times New Roman" w:cs="Times New Roman"/>
          <w:noProof/>
          <w:sz w:val="24"/>
          <w:szCs w:val="24"/>
        </w:rPr>
        <w:t xml:space="preserve">hen there is significant concentration </w:t>
      </w:r>
      <w:r w:rsidR="0007273A">
        <w:rPr>
          <w:rFonts w:ascii="Times New Roman" w:hAnsi="Times New Roman" w:cs="Times New Roman"/>
          <w:noProof/>
          <w:sz w:val="24"/>
          <w:szCs w:val="24"/>
        </w:rPr>
        <w:t xml:space="preserve">of clearing </w:t>
      </w:r>
      <w:r w:rsidRPr="002661A8">
        <w:rPr>
          <w:rFonts w:ascii="Times New Roman" w:hAnsi="Times New Roman" w:cs="Times New Roman"/>
          <w:noProof/>
          <w:sz w:val="24"/>
          <w:szCs w:val="24"/>
        </w:rPr>
        <w:t>in CCPs outside the EU</w:t>
      </w:r>
      <w:r w:rsidR="002E5514" w:rsidRPr="002661A8">
        <w:rPr>
          <w:rFonts w:ascii="Times New Roman" w:hAnsi="Times New Roman" w:cs="Times New Roman"/>
          <w:noProof/>
          <w:sz w:val="24"/>
          <w:szCs w:val="24"/>
        </w:rPr>
        <w:t xml:space="preserve"> </w:t>
      </w:r>
      <w:r w:rsidR="0007273A">
        <w:rPr>
          <w:rFonts w:ascii="Times New Roman" w:hAnsi="Times New Roman" w:cs="Times New Roman"/>
          <w:noProof/>
          <w:sz w:val="24"/>
          <w:szCs w:val="24"/>
        </w:rPr>
        <w:t>t</w:t>
      </w:r>
      <w:r w:rsidR="0007273A" w:rsidRPr="002661A8">
        <w:rPr>
          <w:rFonts w:ascii="Times New Roman" w:hAnsi="Times New Roman" w:cs="Times New Roman"/>
          <w:noProof/>
          <w:sz w:val="24"/>
          <w:szCs w:val="24"/>
        </w:rPr>
        <w:t xml:space="preserve">his raises concerns </w:t>
      </w:r>
      <w:r w:rsidR="002E5514" w:rsidRPr="002661A8">
        <w:rPr>
          <w:rFonts w:ascii="Times New Roman" w:hAnsi="Times New Roman" w:cs="Times New Roman"/>
          <w:noProof/>
          <w:sz w:val="24"/>
          <w:szCs w:val="24"/>
        </w:rPr>
        <w:t xml:space="preserve">as </w:t>
      </w:r>
      <w:r w:rsidR="009367D4" w:rsidRPr="002661A8">
        <w:rPr>
          <w:rFonts w:ascii="Times New Roman" w:hAnsi="Times New Roman" w:cs="Times New Roman"/>
          <w:noProof/>
          <w:sz w:val="24"/>
          <w:szCs w:val="24"/>
        </w:rPr>
        <w:t>they</w:t>
      </w:r>
      <w:r w:rsidR="00953129" w:rsidRPr="002661A8">
        <w:rPr>
          <w:rFonts w:ascii="Times New Roman" w:hAnsi="Times New Roman" w:cs="Times New Roman"/>
          <w:noProof/>
          <w:sz w:val="24"/>
          <w:szCs w:val="24"/>
        </w:rPr>
        <w:t>,</w:t>
      </w:r>
      <w:r w:rsidR="002E5514" w:rsidRPr="002661A8">
        <w:rPr>
          <w:rFonts w:ascii="Times New Roman" w:hAnsi="Times New Roman" w:cs="Times New Roman"/>
          <w:noProof/>
          <w:sz w:val="24"/>
          <w:szCs w:val="24"/>
        </w:rPr>
        <w:t xml:space="preserve"> and the large financial stability risk they mitigate for the EU</w:t>
      </w:r>
      <w:r w:rsidR="00953129" w:rsidRPr="002661A8">
        <w:rPr>
          <w:rFonts w:ascii="Times New Roman" w:hAnsi="Times New Roman" w:cs="Times New Roman"/>
          <w:noProof/>
          <w:sz w:val="24"/>
          <w:szCs w:val="24"/>
        </w:rPr>
        <w:t>,</w:t>
      </w:r>
      <w:r w:rsidR="002E5514" w:rsidRPr="002661A8">
        <w:rPr>
          <w:rFonts w:ascii="Times New Roman" w:hAnsi="Times New Roman" w:cs="Times New Roman"/>
          <w:noProof/>
          <w:sz w:val="24"/>
          <w:szCs w:val="24"/>
        </w:rPr>
        <w:t xml:space="preserve"> are mainly supervised by </w:t>
      </w:r>
      <w:r w:rsidR="0098651C" w:rsidRPr="002661A8">
        <w:rPr>
          <w:rFonts w:ascii="Times New Roman" w:hAnsi="Times New Roman" w:cs="Times New Roman"/>
          <w:noProof/>
          <w:sz w:val="24"/>
          <w:szCs w:val="24"/>
        </w:rPr>
        <w:t xml:space="preserve">third-country </w:t>
      </w:r>
      <w:r w:rsidR="002E5514" w:rsidRPr="002661A8">
        <w:rPr>
          <w:rFonts w:ascii="Times New Roman" w:hAnsi="Times New Roman" w:cs="Times New Roman"/>
          <w:noProof/>
          <w:sz w:val="24"/>
          <w:szCs w:val="24"/>
        </w:rPr>
        <w:t>authorities which in times of crisis are likely to have divergent interests</w:t>
      </w:r>
      <w:r w:rsidR="00431CD2" w:rsidRPr="002661A8">
        <w:rPr>
          <w:rFonts w:ascii="Times New Roman" w:hAnsi="Times New Roman" w:cs="Times New Roman"/>
          <w:noProof/>
          <w:sz w:val="24"/>
          <w:szCs w:val="24"/>
        </w:rPr>
        <w:t xml:space="preserve"> to </w:t>
      </w:r>
      <w:r w:rsidR="004A42E8" w:rsidRPr="002661A8">
        <w:rPr>
          <w:rFonts w:ascii="Times New Roman" w:hAnsi="Times New Roman" w:cs="Times New Roman"/>
          <w:noProof/>
          <w:sz w:val="24"/>
          <w:szCs w:val="24"/>
        </w:rPr>
        <w:t>those of the EU</w:t>
      </w:r>
      <w:r w:rsidRPr="002661A8">
        <w:rPr>
          <w:rFonts w:ascii="Times New Roman" w:hAnsi="Times New Roman" w:cs="Times New Roman"/>
          <w:noProof/>
          <w:sz w:val="24"/>
          <w:szCs w:val="24"/>
        </w:rPr>
        <w:t xml:space="preserve">. </w:t>
      </w:r>
      <w:r w:rsidR="000D49F9" w:rsidRPr="002661A8">
        <w:rPr>
          <w:rFonts w:ascii="Times New Roman" w:hAnsi="Times New Roman" w:cs="Times New Roman"/>
          <w:noProof/>
          <w:sz w:val="24"/>
          <w:szCs w:val="24"/>
        </w:rPr>
        <w:t>F</w:t>
      </w:r>
      <w:r w:rsidRPr="002661A8">
        <w:rPr>
          <w:rFonts w:ascii="Times New Roman" w:hAnsi="Times New Roman" w:cs="Times New Roman"/>
          <w:noProof/>
          <w:sz w:val="24"/>
          <w:szCs w:val="24"/>
        </w:rPr>
        <w:t xml:space="preserve">or some asset classes, there is only a small number of EU CCPs offering </w:t>
      </w:r>
      <w:r w:rsidR="0007273A">
        <w:rPr>
          <w:rFonts w:ascii="Times New Roman" w:hAnsi="Times New Roman" w:cs="Times New Roman"/>
          <w:noProof/>
          <w:sz w:val="24"/>
          <w:szCs w:val="24"/>
        </w:rPr>
        <w:t xml:space="preserve">certain </w:t>
      </w:r>
      <w:r w:rsidRPr="002661A8">
        <w:rPr>
          <w:rFonts w:ascii="Times New Roman" w:hAnsi="Times New Roman" w:cs="Times New Roman"/>
          <w:noProof/>
          <w:sz w:val="24"/>
          <w:szCs w:val="24"/>
        </w:rPr>
        <w:t xml:space="preserve">services (e.g. only one EU CCP clears credit derivatives and only </w:t>
      </w:r>
      <w:r w:rsidR="00431CD2" w:rsidRPr="002661A8">
        <w:rPr>
          <w:rFonts w:ascii="Times New Roman" w:hAnsi="Times New Roman" w:cs="Times New Roman"/>
          <w:noProof/>
          <w:sz w:val="24"/>
          <w:szCs w:val="24"/>
        </w:rPr>
        <w:t xml:space="preserve">one </w:t>
      </w:r>
      <w:r w:rsidRPr="002661A8">
        <w:rPr>
          <w:rFonts w:ascii="Times New Roman" w:hAnsi="Times New Roman" w:cs="Times New Roman"/>
          <w:noProof/>
          <w:sz w:val="24"/>
          <w:szCs w:val="24"/>
        </w:rPr>
        <w:t>EU CCP clear</w:t>
      </w:r>
      <w:r w:rsidR="00431CD2" w:rsidRPr="002661A8">
        <w:rPr>
          <w:rFonts w:ascii="Times New Roman" w:hAnsi="Times New Roman" w:cs="Times New Roman"/>
          <w:noProof/>
          <w:sz w:val="24"/>
          <w:szCs w:val="24"/>
        </w:rPr>
        <w:t>s</w:t>
      </w:r>
      <w:r w:rsidRPr="002661A8">
        <w:rPr>
          <w:rFonts w:ascii="Times New Roman" w:hAnsi="Times New Roman" w:cs="Times New Roman"/>
          <w:noProof/>
          <w:sz w:val="24"/>
          <w:szCs w:val="24"/>
        </w:rPr>
        <w:t xml:space="preserve"> inflation-rate derivatives</w:t>
      </w:r>
      <w:r w:rsidR="00194C43" w:rsidRPr="002661A8">
        <w:rPr>
          <w:rFonts w:ascii="Times New Roman" w:hAnsi="Times New Roman" w:cs="Times New Roman"/>
          <w:noProof/>
          <w:sz w:val="24"/>
          <w:szCs w:val="24"/>
        </w:rPr>
        <w:t>)</w:t>
      </w:r>
      <w:r w:rsidR="000D49F9" w:rsidRPr="002661A8">
        <w:rPr>
          <w:rFonts w:ascii="Times New Roman" w:hAnsi="Times New Roman" w:cs="Times New Roman"/>
          <w:noProof/>
          <w:sz w:val="24"/>
          <w:szCs w:val="24"/>
        </w:rPr>
        <w:t>. A</w:t>
      </w:r>
      <w:r w:rsidR="00194C43" w:rsidRPr="002661A8">
        <w:rPr>
          <w:rFonts w:ascii="Times New Roman" w:hAnsi="Times New Roman" w:cs="Times New Roman"/>
          <w:noProof/>
          <w:sz w:val="24"/>
          <w:szCs w:val="24"/>
        </w:rPr>
        <w:t xml:space="preserve">dditionally, </w:t>
      </w:r>
      <w:r w:rsidR="002A7A96" w:rsidRPr="002661A8">
        <w:rPr>
          <w:rFonts w:ascii="Times New Roman" w:hAnsi="Times New Roman" w:cs="Times New Roman"/>
          <w:noProof/>
          <w:sz w:val="24"/>
          <w:szCs w:val="24"/>
        </w:rPr>
        <w:t>as</w:t>
      </w:r>
      <w:r w:rsidR="002A7A96" w:rsidRPr="002661A8" w:rsidDel="003577FA">
        <w:rPr>
          <w:rFonts w:ascii="Times New Roman" w:hAnsi="Times New Roman" w:cs="Times New Roman"/>
          <w:noProof/>
          <w:sz w:val="24"/>
          <w:szCs w:val="24"/>
        </w:rPr>
        <w:t xml:space="preserve"> </w:t>
      </w:r>
      <w:r w:rsidR="003577FA" w:rsidRPr="002661A8">
        <w:rPr>
          <w:rFonts w:ascii="Times New Roman" w:hAnsi="Times New Roman" w:cs="Times New Roman"/>
          <w:noProof/>
          <w:sz w:val="24"/>
          <w:szCs w:val="24"/>
        </w:rPr>
        <w:t>shown</w:t>
      </w:r>
      <w:r w:rsidR="002A7A96" w:rsidRPr="002661A8">
        <w:rPr>
          <w:rFonts w:ascii="Times New Roman" w:hAnsi="Times New Roman" w:cs="Times New Roman"/>
          <w:noProof/>
          <w:sz w:val="24"/>
          <w:szCs w:val="24"/>
        </w:rPr>
        <w:t xml:space="preserve"> in </w:t>
      </w:r>
      <w:hyperlink w:anchor="_Annex_7:_Background" w:history="1">
        <w:r w:rsidR="000031BD" w:rsidRPr="002661A8">
          <w:rPr>
            <w:rStyle w:val="Hyperlink"/>
            <w:rFonts w:ascii="Times New Roman" w:hAnsi="Times New Roman" w:cs="Times New Roman"/>
            <w:noProof/>
            <w:sz w:val="24"/>
            <w:szCs w:val="24"/>
          </w:rPr>
          <w:t xml:space="preserve">Annex </w:t>
        </w:r>
        <w:r w:rsidR="00B21EC1" w:rsidRPr="002661A8">
          <w:rPr>
            <w:rStyle w:val="Hyperlink"/>
            <w:rFonts w:ascii="Times New Roman" w:hAnsi="Times New Roman" w:cs="Times New Roman"/>
            <w:noProof/>
            <w:sz w:val="24"/>
            <w:szCs w:val="24"/>
          </w:rPr>
          <w:t>7</w:t>
        </w:r>
      </w:hyperlink>
      <w:r w:rsidR="000D49F9" w:rsidRPr="002661A8">
        <w:rPr>
          <w:rFonts w:ascii="Times New Roman" w:hAnsi="Times New Roman" w:cs="Times New Roman"/>
          <w:noProof/>
          <w:sz w:val="24"/>
          <w:szCs w:val="24"/>
        </w:rPr>
        <w:t>,</w:t>
      </w:r>
      <w:r w:rsidR="002A7A96" w:rsidRPr="002661A8">
        <w:rPr>
          <w:rFonts w:ascii="Times New Roman" w:hAnsi="Times New Roman" w:cs="Times New Roman"/>
          <w:noProof/>
          <w:sz w:val="24"/>
          <w:szCs w:val="24"/>
        </w:rPr>
        <w:t xml:space="preserve"> </w:t>
      </w:r>
      <w:r w:rsidRPr="002661A8">
        <w:rPr>
          <w:rFonts w:ascii="Times New Roman" w:hAnsi="Times New Roman" w:cs="Times New Roman"/>
          <w:noProof/>
          <w:sz w:val="24"/>
          <w:szCs w:val="24"/>
        </w:rPr>
        <w:t>for some third-country CCPs’ clearing offer there is no substitute</w:t>
      </w:r>
      <w:r w:rsidR="0007273A">
        <w:rPr>
          <w:rFonts w:ascii="Times New Roman" w:hAnsi="Times New Roman" w:cs="Times New Roman"/>
          <w:noProof/>
          <w:sz w:val="24"/>
          <w:szCs w:val="24"/>
        </w:rPr>
        <w:t>,</w:t>
      </w:r>
      <w:r w:rsidRPr="002661A8">
        <w:rPr>
          <w:rFonts w:ascii="Times New Roman" w:hAnsi="Times New Roman" w:cs="Times New Roman"/>
          <w:noProof/>
          <w:sz w:val="24"/>
          <w:szCs w:val="24"/>
        </w:rPr>
        <w:t xml:space="preserve"> not only in the EU but globally</w:t>
      </w:r>
      <w:r w:rsidR="00683C25" w:rsidRPr="002661A8">
        <w:rPr>
          <w:rFonts w:ascii="Times New Roman" w:hAnsi="Times New Roman" w:cs="Times New Roman"/>
          <w:noProof/>
          <w:sz w:val="24"/>
          <w:szCs w:val="24"/>
        </w:rPr>
        <w:t xml:space="preserve">, </w:t>
      </w:r>
      <w:r w:rsidRPr="002661A8">
        <w:rPr>
          <w:rFonts w:ascii="Times New Roman" w:hAnsi="Times New Roman" w:cs="Times New Roman"/>
          <w:noProof/>
          <w:sz w:val="24"/>
          <w:szCs w:val="24"/>
        </w:rPr>
        <w:t xml:space="preserve">e.g. LME Ltd in the UK is the only </w:t>
      </w:r>
      <w:r w:rsidR="000D1410" w:rsidRPr="002661A8">
        <w:rPr>
          <w:rFonts w:ascii="Times New Roman" w:hAnsi="Times New Roman" w:cs="Times New Roman"/>
          <w:noProof/>
          <w:sz w:val="24"/>
          <w:szCs w:val="24"/>
        </w:rPr>
        <w:t>recognised</w:t>
      </w:r>
      <w:r w:rsidRPr="002661A8">
        <w:rPr>
          <w:rFonts w:ascii="Times New Roman" w:hAnsi="Times New Roman" w:cs="Times New Roman"/>
          <w:noProof/>
          <w:sz w:val="24"/>
          <w:szCs w:val="24"/>
        </w:rPr>
        <w:t xml:space="preserve"> CCP clear</w:t>
      </w:r>
      <w:r w:rsidR="000031BD" w:rsidRPr="002661A8">
        <w:rPr>
          <w:rFonts w:ascii="Times New Roman" w:hAnsi="Times New Roman" w:cs="Times New Roman"/>
          <w:noProof/>
          <w:sz w:val="24"/>
          <w:szCs w:val="24"/>
        </w:rPr>
        <w:t>ing</w:t>
      </w:r>
      <w:r w:rsidRPr="002661A8">
        <w:rPr>
          <w:rFonts w:ascii="Times New Roman" w:hAnsi="Times New Roman" w:cs="Times New Roman"/>
          <w:noProof/>
          <w:sz w:val="24"/>
          <w:szCs w:val="24"/>
        </w:rPr>
        <w:t xml:space="preserve"> </w:t>
      </w:r>
      <w:r w:rsidR="001A25C6" w:rsidRPr="002661A8">
        <w:rPr>
          <w:rFonts w:ascii="Times New Roman" w:hAnsi="Times New Roman" w:cs="Times New Roman"/>
          <w:noProof/>
          <w:sz w:val="24"/>
          <w:szCs w:val="24"/>
        </w:rPr>
        <w:t xml:space="preserve">certain </w:t>
      </w:r>
      <w:r w:rsidRPr="002661A8">
        <w:rPr>
          <w:rFonts w:ascii="Times New Roman" w:hAnsi="Times New Roman" w:cs="Times New Roman"/>
          <w:noProof/>
          <w:sz w:val="24"/>
          <w:szCs w:val="24"/>
        </w:rPr>
        <w:t xml:space="preserve">commodity derivatives which are vital for non-financial entities. This </w:t>
      </w:r>
      <w:r w:rsidR="0007273A">
        <w:rPr>
          <w:rFonts w:ascii="Times New Roman" w:hAnsi="Times New Roman" w:cs="Times New Roman"/>
          <w:noProof/>
          <w:sz w:val="24"/>
          <w:szCs w:val="24"/>
        </w:rPr>
        <w:t>concentration</w:t>
      </w:r>
      <w:r w:rsidR="005619D2">
        <w:rPr>
          <w:rFonts w:ascii="Times New Roman" w:hAnsi="Times New Roman" w:cs="Times New Roman"/>
          <w:noProof/>
          <w:sz w:val="24"/>
          <w:szCs w:val="24"/>
        </w:rPr>
        <w:t>,</w:t>
      </w:r>
      <w:r w:rsidR="0007273A">
        <w:rPr>
          <w:rFonts w:ascii="Times New Roman" w:hAnsi="Times New Roman" w:cs="Times New Roman"/>
          <w:noProof/>
          <w:sz w:val="24"/>
          <w:szCs w:val="24"/>
        </w:rPr>
        <w:t xml:space="preserve"> </w:t>
      </w:r>
      <w:r w:rsidR="000D1410" w:rsidRPr="002661A8">
        <w:rPr>
          <w:rFonts w:ascii="Times New Roman" w:hAnsi="Times New Roman" w:cs="Times New Roman"/>
          <w:noProof/>
          <w:sz w:val="24"/>
          <w:szCs w:val="24"/>
        </w:rPr>
        <w:t>where</w:t>
      </w:r>
      <w:r w:rsidRPr="002661A8">
        <w:rPr>
          <w:rFonts w:ascii="Times New Roman" w:hAnsi="Times New Roman" w:cs="Times New Roman"/>
          <w:noProof/>
          <w:sz w:val="24"/>
          <w:szCs w:val="24"/>
        </w:rPr>
        <w:t xml:space="preserve"> a significant proportion of clearing activities of importance </w:t>
      </w:r>
      <w:r w:rsidR="0007273A">
        <w:rPr>
          <w:rFonts w:ascii="Times New Roman" w:hAnsi="Times New Roman" w:cs="Times New Roman"/>
          <w:noProof/>
          <w:sz w:val="24"/>
          <w:szCs w:val="24"/>
        </w:rPr>
        <w:t>to</w:t>
      </w:r>
      <w:r w:rsidRPr="002661A8">
        <w:rPr>
          <w:rFonts w:ascii="Times New Roman" w:hAnsi="Times New Roman" w:cs="Times New Roman"/>
          <w:noProof/>
          <w:sz w:val="24"/>
          <w:szCs w:val="24"/>
        </w:rPr>
        <w:t xml:space="preserve"> the EU</w:t>
      </w:r>
      <w:r w:rsidR="0007273A">
        <w:rPr>
          <w:rFonts w:ascii="Times New Roman" w:hAnsi="Times New Roman" w:cs="Times New Roman"/>
          <w:noProof/>
          <w:sz w:val="24"/>
          <w:szCs w:val="24"/>
        </w:rPr>
        <w:t>’s</w:t>
      </w:r>
      <w:r w:rsidRPr="002661A8">
        <w:rPr>
          <w:rFonts w:ascii="Times New Roman" w:hAnsi="Times New Roman" w:cs="Times New Roman"/>
          <w:noProof/>
          <w:sz w:val="24"/>
          <w:szCs w:val="24"/>
        </w:rPr>
        <w:t xml:space="preserve"> financial stability takes place in third-country CCPs</w:t>
      </w:r>
      <w:r w:rsidR="005619D2">
        <w:rPr>
          <w:rFonts w:ascii="Times New Roman" w:hAnsi="Times New Roman" w:cs="Times New Roman"/>
          <w:noProof/>
          <w:sz w:val="24"/>
          <w:szCs w:val="24"/>
        </w:rPr>
        <w:t xml:space="preserve"> thereby</w:t>
      </w:r>
      <w:r w:rsidR="00CC3A6F" w:rsidRPr="002661A8">
        <w:rPr>
          <w:rFonts w:ascii="Times New Roman" w:hAnsi="Times New Roman" w:cs="Times New Roman"/>
          <w:noProof/>
          <w:sz w:val="24"/>
          <w:szCs w:val="24"/>
        </w:rPr>
        <w:t xml:space="preserve"> </w:t>
      </w:r>
      <w:r w:rsidR="000D1410" w:rsidRPr="002661A8">
        <w:rPr>
          <w:rFonts w:ascii="Times New Roman" w:hAnsi="Times New Roman" w:cs="Times New Roman"/>
          <w:noProof/>
          <w:sz w:val="24"/>
          <w:szCs w:val="24"/>
        </w:rPr>
        <w:t>creating dependencies for EU market participants</w:t>
      </w:r>
      <w:r w:rsidR="00DB6F1C" w:rsidRPr="002661A8">
        <w:rPr>
          <w:rFonts w:ascii="Times New Roman" w:hAnsi="Times New Roman" w:cs="Times New Roman"/>
          <w:noProof/>
          <w:sz w:val="24"/>
          <w:szCs w:val="24"/>
        </w:rPr>
        <w:t xml:space="preserve"> (e.g. </w:t>
      </w:r>
      <w:r w:rsidR="000D1410" w:rsidRPr="002661A8">
        <w:rPr>
          <w:rFonts w:ascii="Times New Roman" w:hAnsi="Times New Roman" w:cs="Times New Roman"/>
          <w:noProof/>
          <w:sz w:val="24"/>
          <w:szCs w:val="24"/>
        </w:rPr>
        <w:t>banks, non-bank financial entities, and non-financial entities</w:t>
      </w:r>
      <w:r w:rsidR="00DB6F1C" w:rsidRPr="002661A8">
        <w:rPr>
          <w:rFonts w:ascii="Times New Roman" w:hAnsi="Times New Roman" w:cs="Times New Roman"/>
          <w:noProof/>
          <w:sz w:val="24"/>
          <w:szCs w:val="24"/>
        </w:rPr>
        <w:t>)</w:t>
      </w:r>
      <w:r w:rsidR="005619D2">
        <w:rPr>
          <w:rFonts w:ascii="Times New Roman" w:hAnsi="Times New Roman" w:cs="Times New Roman"/>
          <w:noProof/>
          <w:sz w:val="24"/>
          <w:szCs w:val="24"/>
        </w:rPr>
        <w:t xml:space="preserve"> </w:t>
      </w:r>
      <w:r w:rsidR="005619D2" w:rsidRPr="002661A8">
        <w:rPr>
          <w:rFonts w:ascii="Times New Roman" w:hAnsi="Times New Roman" w:cs="Times New Roman"/>
          <w:noProof/>
          <w:sz w:val="24"/>
          <w:szCs w:val="24"/>
        </w:rPr>
        <w:t>raises concerns</w:t>
      </w:r>
      <w:r w:rsidRPr="002661A8">
        <w:rPr>
          <w:rFonts w:ascii="Times New Roman" w:hAnsi="Times New Roman" w:cs="Times New Roman"/>
          <w:noProof/>
          <w:sz w:val="24"/>
          <w:szCs w:val="24"/>
        </w:rPr>
        <w:t>.</w:t>
      </w:r>
      <w:r w:rsidR="000D49F9" w:rsidRPr="002661A8">
        <w:rPr>
          <w:rStyle w:val="FootnoteReference"/>
          <w:rFonts w:ascii="Times New Roman" w:hAnsi="Times New Roman" w:cs="Times New Roman"/>
          <w:noProof/>
          <w:sz w:val="24"/>
          <w:szCs w:val="24"/>
        </w:rPr>
        <w:footnoteReference w:id="48"/>
      </w:r>
      <w:r w:rsidR="00CC3A6F" w:rsidRPr="002661A8">
        <w:rPr>
          <w:rFonts w:ascii="Times New Roman" w:eastAsia="Calibri" w:hAnsi="Times New Roman" w:cs="Times New Roman"/>
          <w:noProof/>
          <w:sz w:val="24"/>
          <w:szCs w:val="24"/>
        </w:rPr>
        <w:t xml:space="preserve"> </w:t>
      </w:r>
    </w:p>
    <w:p w14:paraId="71E5018E" w14:textId="6B4BC767" w:rsidR="0032711C" w:rsidRDefault="00801F29" w:rsidP="009F3588">
      <w:pPr>
        <w:spacing w:after="120" w:line="240" w:lineRule="auto"/>
        <w:jc w:val="both"/>
        <w:rPr>
          <w:rFonts w:ascii="Times New Roman" w:hAnsi="Times New Roman" w:cs="Times New Roman"/>
          <w:noProof/>
          <w:sz w:val="24"/>
          <w:szCs w:val="24"/>
        </w:rPr>
      </w:pPr>
      <w:r w:rsidRPr="0032711C">
        <w:rPr>
          <w:rFonts w:ascii="Times New Roman" w:hAnsi="Times New Roman" w:cs="Times New Roman"/>
          <w:noProof/>
          <w:sz w:val="24"/>
          <w:szCs w:val="24"/>
        </w:rPr>
        <w:t xml:space="preserve">Financial market infrastructures present potential risks (hence their </w:t>
      </w:r>
      <w:r w:rsidR="0022474A">
        <w:rPr>
          <w:rFonts w:ascii="Times New Roman" w:hAnsi="Times New Roman" w:cs="Times New Roman"/>
          <w:noProof/>
          <w:sz w:val="24"/>
          <w:szCs w:val="24"/>
        </w:rPr>
        <w:t>r</w:t>
      </w:r>
      <w:r w:rsidRPr="0032711C">
        <w:rPr>
          <w:rFonts w:ascii="Times New Roman" w:hAnsi="Times New Roman" w:cs="Times New Roman"/>
          <w:noProof/>
          <w:sz w:val="24"/>
          <w:szCs w:val="24"/>
        </w:rPr>
        <w:t xml:space="preserve">egulation under EMIR), but those risks are potentially compounded if they are outside the EU. </w:t>
      </w:r>
      <w:r w:rsidR="000D1410" w:rsidRPr="002661A8">
        <w:rPr>
          <w:rFonts w:ascii="Times New Roman" w:hAnsi="Times New Roman" w:cs="Times New Roman"/>
          <w:noProof/>
          <w:sz w:val="24"/>
          <w:szCs w:val="24"/>
        </w:rPr>
        <w:t xml:space="preserve">A default or disruption at a non-EU CCP or clearing service with a dominant market share can have substantial destabilising effects on clearing members, their clients or on other financial market infrastructures due to the size of the exposures of EU clearing members and clients, the interconnections with the rest of the financial system, and the lack of alternative clearing services. </w:t>
      </w:r>
      <w:r w:rsidR="00DB6F1C" w:rsidRPr="002661A8">
        <w:rPr>
          <w:rFonts w:ascii="Times New Roman" w:hAnsi="Times New Roman" w:cs="Times New Roman"/>
          <w:noProof/>
          <w:sz w:val="24"/>
          <w:szCs w:val="24"/>
        </w:rPr>
        <w:t>This</w:t>
      </w:r>
      <w:r w:rsidR="00CC3A6F" w:rsidRPr="002661A8">
        <w:rPr>
          <w:rFonts w:ascii="Times New Roman" w:hAnsi="Times New Roman" w:cs="Times New Roman"/>
          <w:noProof/>
          <w:sz w:val="24"/>
          <w:szCs w:val="24"/>
        </w:rPr>
        <w:t xml:space="preserve"> can be a source of </w:t>
      </w:r>
      <w:r w:rsidR="000D1410" w:rsidRPr="002661A8">
        <w:rPr>
          <w:rFonts w:ascii="Times New Roman" w:hAnsi="Times New Roman" w:cs="Times New Roman"/>
          <w:noProof/>
          <w:sz w:val="24"/>
          <w:szCs w:val="24"/>
        </w:rPr>
        <w:t xml:space="preserve">substantial </w:t>
      </w:r>
      <w:r w:rsidR="00CC3A6F" w:rsidRPr="002661A8">
        <w:rPr>
          <w:rFonts w:ascii="Times New Roman" w:hAnsi="Times New Roman" w:cs="Times New Roman"/>
          <w:noProof/>
          <w:sz w:val="24"/>
          <w:szCs w:val="24"/>
        </w:rPr>
        <w:t>financial stability risks for the EU</w:t>
      </w:r>
      <w:r w:rsidR="00FC4CDA" w:rsidRPr="002661A8">
        <w:rPr>
          <w:rFonts w:ascii="Times New Roman" w:hAnsi="Times New Roman" w:cs="Times New Roman"/>
          <w:noProof/>
          <w:sz w:val="24"/>
          <w:szCs w:val="24"/>
        </w:rPr>
        <w:t xml:space="preserve"> </w:t>
      </w:r>
      <w:r w:rsidR="000D1410" w:rsidRPr="002661A8">
        <w:rPr>
          <w:rFonts w:ascii="Times New Roman" w:hAnsi="Times New Roman" w:cs="Times New Roman"/>
          <w:noProof/>
          <w:sz w:val="24"/>
          <w:szCs w:val="24"/>
        </w:rPr>
        <w:t>or its Member States</w:t>
      </w:r>
      <w:r w:rsidR="00CC3A6F" w:rsidRPr="002661A8">
        <w:rPr>
          <w:rFonts w:ascii="Times New Roman" w:hAnsi="Times New Roman" w:cs="Times New Roman"/>
          <w:noProof/>
          <w:sz w:val="24"/>
          <w:szCs w:val="24"/>
        </w:rPr>
        <w:t>.</w:t>
      </w:r>
      <w:r w:rsidR="00993E47" w:rsidRPr="002661A8">
        <w:rPr>
          <w:rFonts w:ascii="Times New Roman" w:hAnsi="Times New Roman" w:cs="Times New Roman"/>
          <w:noProof/>
          <w:sz w:val="24"/>
          <w:szCs w:val="24"/>
        </w:rPr>
        <w:t xml:space="preserve"> </w:t>
      </w:r>
    </w:p>
    <w:p w14:paraId="46CCA56C" w14:textId="635F2B1C" w:rsidR="008E1ADE" w:rsidRDefault="00801F29" w:rsidP="009F3588">
      <w:pPr>
        <w:spacing w:after="120" w:line="240" w:lineRule="auto"/>
        <w:jc w:val="both"/>
        <w:rPr>
          <w:rFonts w:ascii="Times New Roman" w:hAnsi="Times New Roman" w:cs="Times New Roman"/>
          <w:noProof/>
          <w:sz w:val="24"/>
          <w:szCs w:val="24"/>
        </w:rPr>
      </w:pPr>
      <w:r w:rsidRPr="0032711C">
        <w:rPr>
          <w:rFonts w:ascii="Times New Roman" w:hAnsi="Times New Roman" w:cs="Times New Roman"/>
          <w:noProof/>
          <w:sz w:val="24"/>
          <w:szCs w:val="24"/>
        </w:rPr>
        <w:t xml:space="preserve">For this reason, the Commission, in 2017 came forward with its </w:t>
      </w:r>
      <w:r w:rsidR="0022474A">
        <w:rPr>
          <w:rFonts w:ascii="Times New Roman" w:hAnsi="Times New Roman" w:cs="Times New Roman"/>
          <w:noProof/>
          <w:sz w:val="24"/>
          <w:szCs w:val="24"/>
        </w:rPr>
        <w:t>EMIR 2.2</w:t>
      </w:r>
      <w:r w:rsidRPr="0032711C">
        <w:rPr>
          <w:rFonts w:ascii="Times New Roman" w:hAnsi="Times New Roman" w:cs="Times New Roman"/>
          <w:noProof/>
          <w:sz w:val="24"/>
          <w:szCs w:val="24"/>
        </w:rPr>
        <w:t xml:space="preserve"> proposal to mitigate those risks. </w:t>
      </w:r>
      <w:r w:rsidR="005F3D46" w:rsidRPr="0032711C">
        <w:rPr>
          <w:rFonts w:ascii="Times New Roman" w:hAnsi="Times New Roman" w:cs="Times New Roman"/>
          <w:noProof/>
          <w:sz w:val="24"/>
          <w:szCs w:val="24"/>
        </w:rPr>
        <w:t xml:space="preserve">Two UK CCPs, LCH Ltd and ICE Clear Europe, were ultimately identified by ESMA as Tier 2 CCPs, implying a higher degree of systemic importance. </w:t>
      </w:r>
      <w:r w:rsidR="000D1410" w:rsidRPr="002661A8">
        <w:rPr>
          <w:rFonts w:ascii="Times New Roman" w:hAnsi="Times New Roman" w:cs="Times New Roman"/>
          <w:noProof/>
          <w:sz w:val="24"/>
          <w:szCs w:val="24"/>
        </w:rPr>
        <w:t>T</w:t>
      </w:r>
      <w:r w:rsidR="002A7A96" w:rsidRPr="002661A8">
        <w:rPr>
          <w:rFonts w:ascii="Times New Roman" w:hAnsi="Times New Roman" w:cs="Times New Roman"/>
          <w:noProof/>
          <w:sz w:val="24"/>
          <w:szCs w:val="24"/>
        </w:rPr>
        <w:t xml:space="preserve">he UK </w:t>
      </w:r>
      <w:r w:rsidR="000D1410" w:rsidRPr="002661A8">
        <w:rPr>
          <w:rFonts w:ascii="Times New Roman" w:hAnsi="Times New Roman" w:cs="Times New Roman"/>
          <w:noProof/>
          <w:sz w:val="24"/>
          <w:szCs w:val="24"/>
        </w:rPr>
        <w:t>in particular</w:t>
      </w:r>
      <w:r w:rsidR="002A7A96" w:rsidRPr="002661A8">
        <w:rPr>
          <w:rFonts w:ascii="Times New Roman" w:hAnsi="Times New Roman" w:cs="Times New Roman"/>
          <w:noProof/>
          <w:sz w:val="24"/>
          <w:szCs w:val="24"/>
        </w:rPr>
        <w:t xml:space="preserve"> </w:t>
      </w:r>
      <w:r w:rsidR="00021177">
        <w:rPr>
          <w:rFonts w:ascii="Times New Roman" w:hAnsi="Times New Roman" w:cs="Times New Roman"/>
          <w:noProof/>
          <w:sz w:val="24"/>
          <w:szCs w:val="24"/>
        </w:rPr>
        <w:t>grew</w:t>
      </w:r>
      <w:r w:rsidR="002A7A96" w:rsidRPr="002661A8">
        <w:rPr>
          <w:rFonts w:ascii="Times New Roman" w:hAnsi="Times New Roman" w:cs="Times New Roman"/>
          <w:noProof/>
          <w:sz w:val="24"/>
          <w:szCs w:val="24"/>
        </w:rPr>
        <w:t xml:space="preserve"> as an important clearing hub </w:t>
      </w:r>
      <w:r w:rsidR="002A7A96" w:rsidRPr="002661A8" w:rsidDel="00021177">
        <w:rPr>
          <w:rFonts w:ascii="Times New Roman" w:hAnsi="Times New Roman" w:cs="Times New Roman"/>
          <w:noProof/>
          <w:sz w:val="24"/>
          <w:szCs w:val="24"/>
        </w:rPr>
        <w:t>over the y</w:t>
      </w:r>
      <w:r w:rsidR="00E74F52" w:rsidRPr="002661A8" w:rsidDel="00021177">
        <w:rPr>
          <w:rFonts w:ascii="Times New Roman" w:hAnsi="Times New Roman" w:cs="Times New Roman"/>
          <w:noProof/>
          <w:sz w:val="24"/>
          <w:szCs w:val="24"/>
        </w:rPr>
        <w:t>ears</w:t>
      </w:r>
      <w:r w:rsidR="00E74F52" w:rsidRPr="002661A8">
        <w:rPr>
          <w:rFonts w:ascii="Times New Roman" w:hAnsi="Times New Roman" w:cs="Times New Roman"/>
          <w:noProof/>
          <w:sz w:val="24"/>
          <w:szCs w:val="24"/>
        </w:rPr>
        <w:t xml:space="preserve"> and UK</w:t>
      </w:r>
      <w:r w:rsidR="002A7A96" w:rsidRPr="002661A8">
        <w:rPr>
          <w:rFonts w:ascii="Times New Roman" w:hAnsi="Times New Roman" w:cs="Times New Roman"/>
          <w:noProof/>
          <w:sz w:val="24"/>
          <w:szCs w:val="24"/>
        </w:rPr>
        <w:t xml:space="preserve"> CCPs </w:t>
      </w:r>
      <w:r w:rsidR="000D1410" w:rsidRPr="002661A8">
        <w:rPr>
          <w:rFonts w:ascii="Times New Roman" w:hAnsi="Times New Roman" w:cs="Times New Roman"/>
          <w:noProof/>
          <w:sz w:val="24"/>
          <w:szCs w:val="24"/>
        </w:rPr>
        <w:t>have created such dependencies</w:t>
      </w:r>
      <w:r w:rsidR="002A7A96" w:rsidRPr="002661A8">
        <w:rPr>
          <w:rFonts w:ascii="Times New Roman" w:hAnsi="Times New Roman" w:cs="Times New Roman"/>
          <w:noProof/>
          <w:sz w:val="24"/>
          <w:szCs w:val="24"/>
        </w:rPr>
        <w:t xml:space="preserve"> for EU market participants. </w:t>
      </w:r>
      <w:r w:rsidR="005619D2">
        <w:rPr>
          <w:rFonts w:ascii="Times New Roman" w:hAnsi="Times New Roman" w:cs="Times New Roman"/>
          <w:noProof/>
          <w:sz w:val="24"/>
          <w:szCs w:val="24"/>
        </w:rPr>
        <w:t>Even if</w:t>
      </w:r>
      <w:r w:rsidR="00993E47" w:rsidRPr="002661A8">
        <w:rPr>
          <w:rFonts w:ascii="Times New Roman" w:hAnsi="Times New Roman" w:cs="Times New Roman"/>
          <w:noProof/>
          <w:sz w:val="24"/>
          <w:szCs w:val="24"/>
        </w:rPr>
        <w:t xml:space="preserve"> EMIR 2.2 aimed at addressing these concerns by </w:t>
      </w:r>
      <w:r w:rsidR="00EA162D">
        <w:rPr>
          <w:rFonts w:ascii="Times New Roman" w:hAnsi="Times New Roman" w:cs="Times New Roman"/>
          <w:noProof/>
          <w:sz w:val="24"/>
          <w:szCs w:val="24"/>
        </w:rPr>
        <w:t xml:space="preserve">requiring them to comply with the relevant EMIR requirements and </w:t>
      </w:r>
      <w:r w:rsidR="00993E47" w:rsidRPr="002661A8">
        <w:rPr>
          <w:rFonts w:ascii="Times New Roman" w:hAnsi="Times New Roman" w:cs="Times New Roman"/>
          <w:noProof/>
          <w:sz w:val="24"/>
          <w:szCs w:val="24"/>
        </w:rPr>
        <w:t xml:space="preserve">granting direct supervisory powers to ESMA over </w:t>
      </w:r>
      <w:r w:rsidR="007870B5" w:rsidRPr="002661A8" w:rsidDel="00B21EC1">
        <w:rPr>
          <w:rFonts w:ascii="Times New Roman" w:hAnsi="Times New Roman" w:cs="Times New Roman"/>
          <w:noProof/>
          <w:sz w:val="24"/>
          <w:szCs w:val="24"/>
        </w:rPr>
        <w:t>Tier 2 CCPs</w:t>
      </w:r>
      <w:r w:rsidR="00993E47" w:rsidRPr="002661A8">
        <w:rPr>
          <w:rFonts w:ascii="Times New Roman" w:hAnsi="Times New Roman" w:cs="Times New Roman"/>
          <w:noProof/>
          <w:sz w:val="24"/>
          <w:szCs w:val="24"/>
        </w:rPr>
        <w:t xml:space="preserve">, those CCPs </w:t>
      </w:r>
      <w:r w:rsidR="00E74F52" w:rsidRPr="002661A8">
        <w:rPr>
          <w:rFonts w:ascii="Times New Roman" w:hAnsi="Times New Roman" w:cs="Times New Roman"/>
          <w:noProof/>
          <w:sz w:val="24"/>
          <w:szCs w:val="24"/>
        </w:rPr>
        <w:t>remain</w:t>
      </w:r>
      <w:r w:rsidR="00993E47" w:rsidRPr="002661A8">
        <w:rPr>
          <w:rFonts w:ascii="Times New Roman" w:hAnsi="Times New Roman" w:cs="Times New Roman"/>
          <w:noProof/>
          <w:sz w:val="24"/>
          <w:szCs w:val="24"/>
        </w:rPr>
        <w:t>, at least primarily, supervised by third-country authorities that are no</w:t>
      </w:r>
      <w:r w:rsidR="005B3714" w:rsidRPr="002661A8">
        <w:rPr>
          <w:rFonts w:ascii="Times New Roman" w:hAnsi="Times New Roman" w:cs="Times New Roman"/>
          <w:noProof/>
          <w:sz w:val="24"/>
          <w:szCs w:val="24"/>
        </w:rPr>
        <w:t>t</w:t>
      </w:r>
      <w:r w:rsidR="00993E47" w:rsidRPr="002661A8">
        <w:rPr>
          <w:rFonts w:ascii="Times New Roman" w:hAnsi="Times New Roman" w:cs="Times New Roman"/>
          <w:noProof/>
          <w:sz w:val="24"/>
          <w:szCs w:val="24"/>
        </w:rPr>
        <w:t xml:space="preserve"> </w:t>
      </w:r>
      <w:r w:rsidR="00BE1829" w:rsidRPr="002661A8">
        <w:rPr>
          <w:rFonts w:ascii="Times New Roman" w:hAnsi="Times New Roman" w:cs="Times New Roman"/>
          <w:noProof/>
          <w:sz w:val="24"/>
          <w:szCs w:val="24"/>
        </w:rPr>
        <w:t xml:space="preserve">part of the regulatory, supervisory and enforcement framework which characterises the internal market </w:t>
      </w:r>
      <w:r w:rsidR="005B3714" w:rsidRPr="002661A8">
        <w:rPr>
          <w:rFonts w:ascii="Times New Roman" w:hAnsi="Times New Roman" w:cs="Times New Roman"/>
          <w:noProof/>
          <w:sz w:val="24"/>
          <w:szCs w:val="24"/>
        </w:rPr>
        <w:t xml:space="preserve">nor </w:t>
      </w:r>
      <w:r w:rsidR="00693E64" w:rsidRPr="002661A8">
        <w:rPr>
          <w:rFonts w:ascii="Times New Roman" w:hAnsi="Times New Roman" w:cs="Times New Roman"/>
          <w:noProof/>
          <w:sz w:val="24"/>
          <w:szCs w:val="24"/>
        </w:rPr>
        <w:t>are</w:t>
      </w:r>
      <w:r w:rsidR="005B3714" w:rsidRPr="002661A8">
        <w:rPr>
          <w:rFonts w:ascii="Times New Roman" w:hAnsi="Times New Roman" w:cs="Times New Roman"/>
          <w:noProof/>
          <w:sz w:val="24"/>
          <w:szCs w:val="24"/>
        </w:rPr>
        <w:t xml:space="preserve"> </w:t>
      </w:r>
      <w:r w:rsidR="005619D2">
        <w:rPr>
          <w:rFonts w:ascii="Times New Roman" w:hAnsi="Times New Roman" w:cs="Times New Roman"/>
          <w:noProof/>
          <w:sz w:val="24"/>
          <w:szCs w:val="24"/>
        </w:rPr>
        <w:t xml:space="preserve">they </w:t>
      </w:r>
      <w:r w:rsidR="00993E47" w:rsidRPr="002661A8" w:rsidDel="00BE1829">
        <w:rPr>
          <w:rFonts w:ascii="Times New Roman" w:hAnsi="Times New Roman" w:cs="Times New Roman"/>
          <w:noProof/>
          <w:sz w:val="24"/>
          <w:szCs w:val="24"/>
        </w:rPr>
        <w:t>bound by the duty of sincere cooperation</w:t>
      </w:r>
      <w:r w:rsidR="00A84D2F" w:rsidRPr="002661A8">
        <w:rPr>
          <w:rFonts w:ascii="Times New Roman" w:hAnsi="Times New Roman" w:cs="Times New Roman"/>
          <w:noProof/>
          <w:sz w:val="24"/>
          <w:szCs w:val="24"/>
        </w:rPr>
        <w:t xml:space="preserve"> </w:t>
      </w:r>
      <w:r w:rsidR="00993E47" w:rsidRPr="002661A8" w:rsidDel="00BE1829">
        <w:rPr>
          <w:rFonts w:ascii="Times New Roman" w:hAnsi="Times New Roman" w:cs="Times New Roman"/>
          <w:noProof/>
          <w:sz w:val="24"/>
          <w:szCs w:val="24"/>
        </w:rPr>
        <w:t xml:space="preserve">to which EU and Member State authorities are subject </w:t>
      </w:r>
      <w:r w:rsidR="00DD0A3C">
        <w:rPr>
          <w:rFonts w:ascii="Times New Roman" w:hAnsi="Times New Roman" w:cs="Times New Roman"/>
          <w:noProof/>
          <w:sz w:val="24"/>
          <w:szCs w:val="24"/>
        </w:rPr>
        <w:t xml:space="preserve">to </w:t>
      </w:r>
      <w:r w:rsidR="000031BD" w:rsidRPr="002661A8">
        <w:rPr>
          <w:rFonts w:ascii="Times New Roman" w:hAnsi="Times New Roman" w:cs="Times New Roman"/>
          <w:noProof/>
          <w:sz w:val="24"/>
          <w:szCs w:val="24"/>
        </w:rPr>
        <w:t>under</w:t>
      </w:r>
      <w:r w:rsidR="00993E47" w:rsidRPr="002661A8" w:rsidDel="00BE1829">
        <w:rPr>
          <w:rFonts w:ascii="Times New Roman" w:hAnsi="Times New Roman" w:cs="Times New Roman"/>
          <w:noProof/>
          <w:sz w:val="24"/>
          <w:szCs w:val="24"/>
        </w:rPr>
        <w:t xml:space="preserve"> </w:t>
      </w:r>
      <w:r w:rsidR="00993E47" w:rsidRPr="002661A8" w:rsidDel="007870B5">
        <w:rPr>
          <w:rFonts w:ascii="Times New Roman" w:hAnsi="Times New Roman" w:cs="Times New Roman"/>
          <w:noProof/>
          <w:sz w:val="24"/>
          <w:szCs w:val="24"/>
        </w:rPr>
        <w:t xml:space="preserve">Article 4(3) </w:t>
      </w:r>
      <w:r w:rsidR="004A7877" w:rsidRPr="002661A8" w:rsidDel="007870B5">
        <w:rPr>
          <w:rFonts w:ascii="Times New Roman" w:hAnsi="Times New Roman" w:cs="Times New Roman"/>
          <w:noProof/>
          <w:sz w:val="24"/>
          <w:szCs w:val="24"/>
        </w:rPr>
        <w:t>of the Treaty on European Union</w:t>
      </w:r>
      <w:r w:rsidR="00993E47" w:rsidRPr="002661A8">
        <w:rPr>
          <w:rFonts w:ascii="Times New Roman" w:hAnsi="Times New Roman" w:cs="Times New Roman"/>
          <w:noProof/>
          <w:sz w:val="24"/>
          <w:szCs w:val="24"/>
        </w:rPr>
        <w:t xml:space="preserve">. The importance of UK CCPs </w:t>
      </w:r>
      <w:r w:rsidR="00E74F52" w:rsidRPr="002661A8">
        <w:rPr>
          <w:rFonts w:ascii="Times New Roman" w:hAnsi="Times New Roman" w:cs="Times New Roman"/>
          <w:noProof/>
          <w:sz w:val="24"/>
          <w:szCs w:val="24"/>
        </w:rPr>
        <w:t>to</w:t>
      </w:r>
      <w:r w:rsidR="00993E47" w:rsidRPr="002661A8">
        <w:rPr>
          <w:rFonts w:ascii="Times New Roman" w:hAnsi="Times New Roman" w:cs="Times New Roman"/>
          <w:noProof/>
          <w:sz w:val="24"/>
          <w:szCs w:val="24"/>
        </w:rPr>
        <w:t xml:space="preserve"> EU financial stability was highlighted by ESMA in December 2021; </w:t>
      </w:r>
      <w:r w:rsidR="005619D2">
        <w:rPr>
          <w:rFonts w:ascii="Times New Roman" w:hAnsi="Times New Roman" w:cs="Times New Roman"/>
          <w:noProof/>
          <w:sz w:val="24"/>
          <w:szCs w:val="24"/>
        </w:rPr>
        <w:t xml:space="preserve">where </w:t>
      </w:r>
      <w:r w:rsidR="00993E47" w:rsidRPr="002661A8">
        <w:rPr>
          <w:rFonts w:ascii="Times New Roman" w:hAnsi="Times New Roman" w:cs="Times New Roman"/>
          <w:noProof/>
          <w:sz w:val="24"/>
          <w:szCs w:val="24"/>
        </w:rPr>
        <w:t xml:space="preserve">ESMA concluded that </w:t>
      </w:r>
      <w:r w:rsidR="000D1410" w:rsidRPr="002661A8">
        <w:rPr>
          <w:rFonts w:ascii="Times New Roman" w:hAnsi="Times New Roman" w:cs="Times New Roman"/>
          <w:noProof/>
          <w:sz w:val="24"/>
          <w:szCs w:val="24"/>
        </w:rPr>
        <w:t xml:space="preserve">the continued recognition of three </w:t>
      </w:r>
      <w:r w:rsidR="00993E47" w:rsidRPr="002661A8">
        <w:rPr>
          <w:rFonts w:ascii="Times New Roman" w:hAnsi="Times New Roman" w:cs="Times New Roman"/>
          <w:noProof/>
          <w:sz w:val="24"/>
          <w:szCs w:val="24"/>
        </w:rPr>
        <w:t xml:space="preserve">clearing services offered by </w:t>
      </w:r>
      <w:r w:rsidR="00336233">
        <w:rPr>
          <w:rFonts w:ascii="Times New Roman" w:hAnsi="Times New Roman" w:cs="Times New Roman"/>
          <w:noProof/>
          <w:sz w:val="24"/>
          <w:szCs w:val="24"/>
        </w:rPr>
        <w:t xml:space="preserve">two </w:t>
      </w:r>
      <w:r w:rsidR="00993E47" w:rsidRPr="002661A8">
        <w:rPr>
          <w:rFonts w:ascii="Times New Roman" w:hAnsi="Times New Roman" w:cs="Times New Roman"/>
          <w:noProof/>
          <w:sz w:val="24"/>
          <w:szCs w:val="24"/>
        </w:rPr>
        <w:t xml:space="preserve">UK CCPs </w:t>
      </w:r>
      <w:r w:rsidR="000D1410" w:rsidRPr="002661A8">
        <w:rPr>
          <w:rFonts w:ascii="Times New Roman" w:hAnsi="Times New Roman" w:cs="Times New Roman"/>
          <w:noProof/>
          <w:sz w:val="24"/>
          <w:szCs w:val="24"/>
        </w:rPr>
        <w:t>poses</w:t>
      </w:r>
      <w:r w:rsidR="00993E47" w:rsidRPr="002661A8">
        <w:rPr>
          <w:rFonts w:ascii="Times New Roman" w:hAnsi="Times New Roman" w:cs="Times New Roman"/>
          <w:noProof/>
          <w:sz w:val="24"/>
          <w:szCs w:val="24"/>
        </w:rPr>
        <w:t xml:space="preserve"> substantial systemic </w:t>
      </w:r>
      <w:r w:rsidR="000D1410" w:rsidRPr="002661A8">
        <w:rPr>
          <w:rFonts w:ascii="Times New Roman" w:hAnsi="Times New Roman" w:cs="Times New Roman"/>
          <w:noProof/>
          <w:sz w:val="24"/>
          <w:szCs w:val="24"/>
        </w:rPr>
        <w:t>risks to the</w:t>
      </w:r>
      <w:r w:rsidR="00993E47" w:rsidRPr="002661A8">
        <w:rPr>
          <w:rFonts w:ascii="Times New Roman" w:hAnsi="Times New Roman" w:cs="Times New Roman"/>
          <w:noProof/>
          <w:sz w:val="24"/>
          <w:szCs w:val="24"/>
        </w:rPr>
        <w:t xml:space="preserve"> EU</w:t>
      </w:r>
      <w:r w:rsidR="0022164F" w:rsidRPr="002661A8">
        <w:rPr>
          <w:rFonts w:ascii="Times New Roman" w:hAnsi="Times New Roman" w:cs="Times New Roman"/>
          <w:noProof/>
          <w:sz w:val="24"/>
          <w:szCs w:val="24"/>
        </w:rPr>
        <w:t>’s</w:t>
      </w:r>
      <w:r w:rsidR="00993E47" w:rsidRPr="002661A8">
        <w:rPr>
          <w:rFonts w:ascii="Times New Roman" w:hAnsi="Times New Roman" w:cs="Times New Roman"/>
          <w:noProof/>
          <w:sz w:val="24"/>
          <w:szCs w:val="24"/>
        </w:rPr>
        <w:t xml:space="preserve"> financial stability that </w:t>
      </w:r>
      <w:r w:rsidR="000D1410" w:rsidRPr="002661A8">
        <w:rPr>
          <w:rFonts w:ascii="Times New Roman" w:hAnsi="Times New Roman" w:cs="Times New Roman"/>
          <w:noProof/>
          <w:sz w:val="24"/>
          <w:szCs w:val="24"/>
        </w:rPr>
        <w:t xml:space="preserve">are </w:t>
      </w:r>
      <w:r w:rsidR="00993E47" w:rsidRPr="002661A8">
        <w:rPr>
          <w:rFonts w:ascii="Times New Roman" w:hAnsi="Times New Roman" w:cs="Times New Roman"/>
          <w:noProof/>
          <w:sz w:val="24"/>
          <w:szCs w:val="24"/>
        </w:rPr>
        <w:t xml:space="preserve">not </w:t>
      </w:r>
      <w:r w:rsidR="000D1410" w:rsidRPr="002661A8">
        <w:rPr>
          <w:rFonts w:ascii="Times New Roman" w:hAnsi="Times New Roman" w:cs="Times New Roman"/>
          <w:noProof/>
          <w:sz w:val="24"/>
          <w:szCs w:val="24"/>
        </w:rPr>
        <w:t xml:space="preserve">fully </w:t>
      </w:r>
      <w:r w:rsidR="00993E47" w:rsidRPr="002661A8">
        <w:rPr>
          <w:rFonts w:ascii="Times New Roman" w:hAnsi="Times New Roman" w:cs="Times New Roman"/>
          <w:noProof/>
          <w:sz w:val="24"/>
          <w:szCs w:val="24"/>
        </w:rPr>
        <w:t>mitigated under EMIR.</w:t>
      </w:r>
      <w:r w:rsidR="00993E47" w:rsidRPr="002661A8">
        <w:rPr>
          <w:rStyle w:val="FootnoteReference"/>
          <w:rFonts w:ascii="Times New Roman" w:hAnsi="Times New Roman" w:cs="Times New Roman"/>
          <w:noProof/>
          <w:sz w:val="24"/>
          <w:szCs w:val="24"/>
        </w:rPr>
        <w:footnoteReference w:id="49"/>
      </w:r>
    </w:p>
    <w:p w14:paraId="1F9F98D1" w14:textId="054A24EE" w:rsidR="005A61D0" w:rsidRDefault="008E1ADE" w:rsidP="005A61D0">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Where </w:t>
      </w:r>
      <w:r w:rsidRPr="0032711C">
        <w:rPr>
          <w:rFonts w:ascii="Times New Roman" w:hAnsi="Times New Roman" w:cs="Times New Roman"/>
          <w:noProof/>
          <w:sz w:val="24"/>
          <w:szCs w:val="24"/>
        </w:rPr>
        <w:t xml:space="preserve">a CCP or some of its clearing services are </w:t>
      </w:r>
      <w:r>
        <w:rPr>
          <w:rFonts w:ascii="Times New Roman" w:hAnsi="Times New Roman" w:cs="Times New Roman"/>
          <w:noProof/>
          <w:sz w:val="24"/>
          <w:szCs w:val="24"/>
        </w:rPr>
        <w:t xml:space="preserve">considered to be </w:t>
      </w:r>
      <w:r w:rsidRPr="0032711C">
        <w:rPr>
          <w:rFonts w:ascii="Times New Roman" w:hAnsi="Times New Roman" w:cs="Times New Roman"/>
          <w:noProof/>
          <w:sz w:val="24"/>
          <w:szCs w:val="24"/>
        </w:rPr>
        <w:t xml:space="preserve">of a substantial systemic importance </w:t>
      </w:r>
      <w:r>
        <w:rPr>
          <w:rFonts w:ascii="Times New Roman" w:hAnsi="Times New Roman" w:cs="Times New Roman"/>
          <w:noProof/>
          <w:sz w:val="24"/>
          <w:szCs w:val="24"/>
        </w:rPr>
        <w:t xml:space="preserve">this </w:t>
      </w:r>
      <w:r w:rsidRPr="0032711C">
        <w:rPr>
          <w:rFonts w:ascii="Times New Roman" w:hAnsi="Times New Roman" w:cs="Times New Roman"/>
          <w:noProof/>
          <w:sz w:val="24"/>
          <w:szCs w:val="24"/>
        </w:rPr>
        <w:t xml:space="preserve">can imply </w:t>
      </w:r>
      <w:r w:rsidR="00DA1B01">
        <w:rPr>
          <w:rFonts w:ascii="Times New Roman" w:hAnsi="Times New Roman" w:cs="Times New Roman"/>
          <w:noProof/>
          <w:sz w:val="24"/>
          <w:szCs w:val="24"/>
        </w:rPr>
        <w:t xml:space="preserve">greater </w:t>
      </w:r>
      <w:r w:rsidRPr="0032711C">
        <w:rPr>
          <w:rFonts w:ascii="Times New Roman" w:hAnsi="Times New Roman" w:cs="Times New Roman"/>
          <w:noProof/>
          <w:sz w:val="24"/>
          <w:szCs w:val="24"/>
        </w:rPr>
        <w:t>financial stability risks per se</w:t>
      </w:r>
      <w:r w:rsidR="00880422">
        <w:rPr>
          <w:rFonts w:ascii="Times New Roman" w:hAnsi="Times New Roman" w:cs="Times New Roman"/>
          <w:noProof/>
          <w:sz w:val="24"/>
          <w:szCs w:val="24"/>
        </w:rPr>
        <w:t xml:space="preserve">; e.g. </w:t>
      </w:r>
      <w:r>
        <w:rPr>
          <w:rFonts w:ascii="Times New Roman" w:hAnsi="Times New Roman" w:cs="Times New Roman"/>
          <w:noProof/>
          <w:sz w:val="24"/>
          <w:szCs w:val="24"/>
        </w:rPr>
        <w:t xml:space="preserve">where there are </w:t>
      </w:r>
      <w:r w:rsidRPr="0032711C">
        <w:rPr>
          <w:rFonts w:ascii="Times New Roman" w:hAnsi="Times New Roman" w:cs="Times New Roman"/>
          <w:noProof/>
          <w:sz w:val="24"/>
          <w:szCs w:val="24"/>
        </w:rPr>
        <w:t xml:space="preserve">changes in the eligible collateral, margins or haircuts </w:t>
      </w:r>
      <w:r>
        <w:rPr>
          <w:rFonts w:ascii="Times New Roman" w:hAnsi="Times New Roman" w:cs="Times New Roman"/>
          <w:noProof/>
          <w:sz w:val="24"/>
          <w:szCs w:val="24"/>
        </w:rPr>
        <w:t xml:space="preserve">this </w:t>
      </w:r>
      <w:r w:rsidRPr="0032711C">
        <w:rPr>
          <w:rFonts w:ascii="Times New Roman" w:hAnsi="Times New Roman" w:cs="Times New Roman"/>
          <w:noProof/>
          <w:sz w:val="24"/>
          <w:szCs w:val="24"/>
        </w:rPr>
        <w:t>may create feedback loops that negatively impact sovereign bond markets, and more broadly financial stability. In its report</w:t>
      </w:r>
      <w:r w:rsidR="00A475C1" w:rsidRPr="002661A8">
        <w:rPr>
          <w:rStyle w:val="FootnoteReference"/>
          <w:rFonts w:ascii="Times New Roman" w:hAnsi="Times New Roman" w:cs="Times New Roman"/>
          <w:noProof/>
          <w:sz w:val="24"/>
          <w:szCs w:val="24"/>
        </w:rPr>
        <w:footnoteReference w:id="50"/>
      </w:r>
      <w:r w:rsidRPr="0032711C">
        <w:rPr>
          <w:rFonts w:ascii="Times New Roman" w:hAnsi="Times New Roman" w:cs="Times New Roman"/>
          <w:noProof/>
          <w:sz w:val="24"/>
          <w:szCs w:val="24"/>
        </w:rPr>
        <w:t>, ESMA outlines various scenarios in which the EU financial stability may be impacted due to events affecting a Tier 2 CCP. The report highlights that such scenarios may be relevant for EU CCPs as well, however “</w:t>
      </w:r>
      <w:r w:rsidRPr="00880422">
        <w:rPr>
          <w:rFonts w:ascii="Times New Roman" w:hAnsi="Times New Roman" w:cs="Times New Roman"/>
          <w:i/>
          <w:iCs/>
          <w:noProof/>
          <w:sz w:val="24"/>
          <w:szCs w:val="24"/>
        </w:rPr>
        <w:t>the EU regulatory regime provides stronger mitigating factors to address the risks posed by EU CCPs</w:t>
      </w:r>
      <w:r w:rsidRPr="0032711C">
        <w:rPr>
          <w:rFonts w:ascii="Times New Roman" w:hAnsi="Times New Roman" w:cs="Times New Roman"/>
          <w:noProof/>
          <w:sz w:val="24"/>
          <w:szCs w:val="24"/>
        </w:rPr>
        <w:t xml:space="preserve">”. Indeed, </w:t>
      </w:r>
      <w:r w:rsidR="00880422">
        <w:rPr>
          <w:rFonts w:ascii="Times New Roman" w:hAnsi="Times New Roman" w:cs="Times New Roman"/>
          <w:noProof/>
          <w:sz w:val="24"/>
          <w:szCs w:val="24"/>
        </w:rPr>
        <w:t>EU CCPs are under a</w:t>
      </w:r>
      <w:r w:rsidRPr="0032711C">
        <w:rPr>
          <w:rFonts w:ascii="Times New Roman" w:hAnsi="Times New Roman" w:cs="Times New Roman"/>
          <w:noProof/>
          <w:sz w:val="24"/>
          <w:szCs w:val="24"/>
        </w:rPr>
        <w:t xml:space="preserve"> common regulat</w:t>
      </w:r>
      <w:r w:rsidR="00880422">
        <w:rPr>
          <w:rFonts w:ascii="Times New Roman" w:hAnsi="Times New Roman" w:cs="Times New Roman"/>
          <w:noProof/>
          <w:sz w:val="24"/>
          <w:szCs w:val="24"/>
        </w:rPr>
        <w:t>ory framework</w:t>
      </w:r>
      <w:r w:rsidRPr="0032711C">
        <w:rPr>
          <w:rFonts w:ascii="Times New Roman" w:hAnsi="Times New Roman" w:cs="Times New Roman"/>
          <w:noProof/>
          <w:sz w:val="24"/>
          <w:szCs w:val="24"/>
        </w:rPr>
        <w:t xml:space="preserve">, coordinated supervision and </w:t>
      </w:r>
      <w:r w:rsidR="00880422">
        <w:rPr>
          <w:rFonts w:ascii="Times New Roman" w:hAnsi="Times New Roman" w:cs="Times New Roman"/>
          <w:noProof/>
          <w:sz w:val="24"/>
          <w:szCs w:val="24"/>
        </w:rPr>
        <w:t xml:space="preserve">the </w:t>
      </w:r>
      <w:r w:rsidRPr="0032711C">
        <w:rPr>
          <w:rFonts w:ascii="Times New Roman" w:hAnsi="Times New Roman" w:cs="Times New Roman"/>
          <w:noProof/>
          <w:sz w:val="24"/>
          <w:szCs w:val="24"/>
        </w:rPr>
        <w:t>enforcement framework of the single market</w:t>
      </w:r>
      <w:r w:rsidR="00880422">
        <w:rPr>
          <w:rFonts w:ascii="Times New Roman" w:hAnsi="Times New Roman" w:cs="Times New Roman"/>
          <w:noProof/>
          <w:sz w:val="24"/>
          <w:szCs w:val="24"/>
        </w:rPr>
        <w:t xml:space="preserve"> and Court of Justice</w:t>
      </w:r>
      <w:r w:rsidR="0022474A">
        <w:rPr>
          <w:rFonts w:ascii="Times New Roman" w:hAnsi="Times New Roman" w:cs="Times New Roman"/>
          <w:noProof/>
          <w:sz w:val="24"/>
          <w:szCs w:val="24"/>
        </w:rPr>
        <w:t xml:space="preserve"> of the EU</w:t>
      </w:r>
      <w:r w:rsidRPr="0032711C">
        <w:rPr>
          <w:rFonts w:ascii="Times New Roman" w:hAnsi="Times New Roman" w:cs="Times New Roman"/>
          <w:noProof/>
          <w:sz w:val="24"/>
          <w:szCs w:val="24"/>
        </w:rPr>
        <w:t>. This</w:t>
      </w:r>
      <w:r w:rsidRPr="0032711C" w:rsidDel="007823B1">
        <w:rPr>
          <w:rFonts w:ascii="Times New Roman" w:hAnsi="Times New Roman" w:cs="Times New Roman"/>
          <w:noProof/>
          <w:sz w:val="24"/>
          <w:szCs w:val="24"/>
        </w:rPr>
        <w:t xml:space="preserve"> </w:t>
      </w:r>
      <w:r w:rsidR="007823B1">
        <w:rPr>
          <w:rFonts w:ascii="Times New Roman" w:hAnsi="Times New Roman" w:cs="Times New Roman"/>
          <w:noProof/>
          <w:sz w:val="24"/>
          <w:szCs w:val="24"/>
        </w:rPr>
        <w:t>entails</w:t>
      </w:r>
      <w:r w:rsidR="007823B1" w:rsidRPr="0032711C">
        <w:rPr>
          <w:rFonts w:ascii="Times New Roman" w:hAnsi="Times New Roman" w:cs="Times New Roman"/>
          <w:noProof/>
          <w:sz w:val="24"/>
          <w:szCs w:val="24"/>
        </w:rPr>
        <w:t xml:space="preserve"> </w:t>
      </w:r>
      <w:r w:rsidRPr="0032711C">
        <w:rPr>
          <w:rFonts w:ascii="Times New Roman" w:hAnsi="Times New Roman" w:cs="Times New Roman"/>
          <w:noProof/>
          <w:sz w:val="24"/>
          <w:szCs w:val="24"/>
        </w:rPr>
        <w:t>coordination among authorities</w:t>
      </w:r>
      <w:r w:rsidR="00DA1B01">
        <w:rPr>
          <w:rFonts w:ascii="Times New Roman" w:hAnsi="Times New Roman" w:cs="Times New Roman"/>
          <w:noProof/>
          <w:sz w:val="24"/>
          <w:szCs w:val="24"/>
        </w:rPr>
        <w:t>, including</w:t>
      </w:r>
      <w:r w:rsidRPr="0032711C">
        <w:rPr>
          <w:rFonts w:ascii="Times New Roman" w:hAnsi="Times New Roman" w:cs="Times New Roman"/>
          <w:noProof/>
          <w:sz w:val="24"/>
          <w:szCs w:val="24"/>
        </w:rPr>
        <w:t xml:space="preserve"> in case of market stress or crises. Authorities within the EU are expected to take EU financial stability concerns into account to a greater extent than third-country ones and are subject to the duty of sincere cooperation enshrined in the Treaty on European Union. </w:t>
      </w:r>
      <w:r w:rsidR="00880422">
        <w:rPr>
          <w:rFonts w:ascii="Times New Roman" w:hAnsi="Times New Roman" w:cs="Times New Roman"/>
          <w:noProof/>
          <w:sz w:val="24"/>
          <w:szCs w:val="24"/>
        </w:rPr>
        <w:t>A</w:t>
      </w:r>
      <w:r>
        <w:rPr>
          <w:rFonts w:ascii="Times New Roman" w:hAnsi="Times New Roman" w:cs="Times New Roman"/>
          <w:noProof/>
          <w:sz w:val="24"/>
          <w:szCs w:val="24"/>
        </w:rPr>
        <w:t xml:space="preserve">s </w:t>
      </w:r>
      <w:r w:rsidR="007823B1">
        <w:rPr>
          <w:rFonts w:ascii="Times New Roman" w:hAnsi="Times New Roman" w:cs="Times New Roman"/>
          <w:noProof/>
          <w:sz w:val="24"/>
          <w:szCs w:val="24"/>
        </w:rPr>
        <w:t xml:space="preserve">Tier 2 </w:t>
      </w:r>
      <w:r>
        <w:rPr>
          <w:rFonts w:ascii="Times New Roman" w:hAnsi="Times New Roman" w:cs="Times New Roman"/>
          <w:noProof/>
          <w:sz w:val="24"/>
          <w:szCs w:val="24"/>
        </w:rPr>
        <w:t xml:space="preserve">CCPs are systemically important financial market infrastructures it is not sufficient to </w:t>
      </w:r>
      <w:r w:rsidR="00880422">
        <w:rPr>
          <w:rFonts w:ascii="Times New Roman" w:hAnsi="Times New Roman" w:cs="Times New Roman"/>
          <w:noProof/>
          <w:sz w:val="24"/>
          <w:szCs w:val="24"/>
        </w:rPr>
        <w:t xml:space="preserve">just </w:t>
      </w:r>
      <w:r>
        <w:rPr>
          <w:rFonts w:ascii="Times New Roman" w:hAnsi="Times New Roman" w:cs="Times New Roman"/>
          <w:noProof/>
          <w:sz w:val="24"/>
          <w:szCs w:val="24"/>
        </w:rPr>
        <w:t>comply with certain requirements under a regulation, such as EMIR (or to comply with equivalent requirements) to</w:t>
      </w:r>
      <w:r w:rsidR="00880422">
        <w:rPr>
          <w:rFonts w:ascii="Times New Roman" w:hAnsi="Times New Roman" w:cs="Times New Roman"/>
          <w:noProof/>
          <w:sz w:val="24"/>
          <w:szCs w:val="24"/>
        </w:rPr>
        <w:t xml:space="preserve"> fully</w:t>
      </w:r>
      <w:r>
        <w:rPr>
          <w:rFonts w:ascii="Times New Roman" w:hAnsi="Times New Roman" w:cs="Times New Roman"/>
          <w:noProof/>
          <w:sz w:val="24"/>
          <w:szCs w:val="24"/>
        </w:rPr>
        <w:t xml:space="preserve"> mitigate </w:t>
      </w:r>
      <w:r w:rsidR="00880422">
        <w:rPr>
          <w:rFonts w:ascii="Times New Roman" w:hAnsi="Times New Roman" w:cs="Times New Roman"/>
          <w:noProof/>
          <w:sz w:val="24"/>
          <w:szCs w:val="24"/>
        </w:rPr>
        <w:t xml:space="preserve">the </w:t>
      </w:r>
      <w:r>
        <w:rPr>
          <w:rFonts w:ascii="Times New Roman" w:hAnsi="Times New Roman" w:cs="Times New Roman"/>
          <w:noProof/>
          <w:sz w:val="24"/>
          <w:szCs w:val="24"/>
        </w:rPr>
        <w:t>effects of market stress or crisis</w:t>
      </w:r>
      <w:r w:rsidR="00880422">
        <w:rPr>
          <w:rFonts w:ascii="Times New Roman" w:hAnsi="Times New Roman" w:cs="Times New Roman"/>
          <w:noProof/>
          <w:sz w:val="24"/>
          <w:szCs w:val="24"/>
        </w:rPr>
        <w:t>. Rather</w:t>
      </w:r>
      <w:r w:rsidR="007823B1">
        <w:rPr>
          <w:rFonts w:ascii="Times New Roman" w:hAnsi="Times New Roman" w:cs="Times New Roman"/>
          <w:noProof/>
          <w:sz w:val="24"/>
          <w:szCs w:val="24"/>
        </w:rPr>
        <w:t>,</w:t>
      </w:r>
      <w:r w:rsidR="00880422">
        <w:rPr>
          <w:rFonts w:ascii="Times New Roman" w:hAnsi="Times New Roman" w:cs="Times New Roman"/>
          <w:noProof/>
          <w:sz w:val="24"/>
          <w:szCs w:val="24"/>
        </w:rPr>
        <w:t xml:space="preserve"> </w:t>
      </w:r>
      <w:r w:rsidR="005A61D0">
        <w:rPr>
          <w:rFonts w:ascii="Times New Roman" w:hAnsi="Times New Roman" w:cs="Times New Roman"/>
          <w:noProof/>
          <w:sz w:val="24"/>
          <w:szCs w:val="24"/>
        </w:rPr>
        <w:t xml:space="preserve">tools </w:t>
      </w:r>
      <w:r w:rsidR="00880422">
        <w:rPr>
          <w:rFonts w:ascii="Times New Roman" w:hAnsi="Times New Roman" w:cs="Times New Roman"/>
          <w:noProof/>
          <w:sz w:val="24"/>
          <w:szCs w:val="24"/>
        </w:rPr>
        <w:t xml:space="preserve">are needed </w:t>
      </w:r>
      <w:r w:rsidR="005A61D0">
        <w:rPr>
          <w:rFonts w:ascii="Times New Roman" w:hAnsi="Times New Roman" w:cs="Times New Roman"/>
          <w:noProof/>
          <w:sz w:val="24"/>
          <w:szCs w:val="24"/>
        </w:rPr>
        <w:t xml:space="preserve">to </w:t>
      </w:r>
      <w:r>
        <w:rPr>
          <w:rFonts w:ascii="Times New Roman" w:hAnsi="Times New Roman" w:cs="Times New Roman"/>
          <w:noProof/>
          <w:sz w:val="24"/>
          <w:szCs w:val="24"/>
        </w:rPr>
        <w:t xml:space="preserve">manage such market stress or crisis in the best possible way to </w:t>
      </w:r>
      <w:r w:rsidR="007823B1">
        <w:rPr>
          <w:rFonts w:ascii="Times New Roman" w:hAnsi="Times New Roman" w:cs="Times New Roman"/>
          <w:noProof/>
          <w:sz w:val="24"/>
          <w:szCs w:val="24"/>
        </w:rPr>
        <w:t>prevent it</w:t>
      </w:r>
      <w:r>
        <w:rPr>
          <w:rFonts w:ascii="Times New Roman" w:hAnsi="Times New Roman" w:cs="Times New Roman"/>
          <w:noProof/>
          <w:sz w:val="24"/>
          <w:szCs w:val="24"/>
        </w:rPr>
        <w:t xml:space="preserve"> from spreading through the system. Where a CCP </w:t>
      </w:r>
      <w:r w:rsidR="00EB16EF">
        <w:rPr>
          <w:rFonts w:ascii="Times New Roman" w:hAnsi="Times New Roman" w:cs="Times New Roman"/>
          <w:noProof/>
          <w:sz w:val="24"/>
          <w:szCs w:val="24"/>
        </w:rPr>
        <w:t>is</w:t>
      </w:r>
      <w:r w:rsidR="00EB16EF" w:rsidRPr="00801F29">
        <w:rPr>
          <w:rFonts w:ascii="Times New Roman" w:hAnsi="Times New Roman" w:cs="Times New Roman"/>
          <w:noProof/>
          <w:sz w:val="24"/>
          <w:szCs w:val="24"/>
        </w:rPr>
        <w:t xml:space="preserve"> </w:t>
      </w:r>
      <w:r w:rsidRPr="00801F29">
        <w:rPr>
          <w:rFonts w:ascii="Times New Roman" w:hAnsi="Times New Roman" w:cs="Times New Roman"/>
          <w:noProof/>
          <w:sz w:val="24"/>
          <w:szCs w:val="24"/>
        </w:rPr>
        <w:t xml:space="preserve">(or some of its clearing services are) of a substantial systemic importance </w:t>
      </w:r>
      <w:r>
        <w:rPr>
          <w:rFonts w:ascii="Times New Roman" w:hAnsi="Times New Roman" w:cs="Times New Roman"/>
          <w:noProof/>
          <w:sz w:val="24"/>
          <w:szCs w:val="24"/>
        </w:rPr>
        <w:t>this becomes even more important</w:t>
      </w:r>
      <w:r w:rsidR="00880422">
        <w:rPr>
          <w:rFonts w:ascii="Times New Roman" w:hAnsi="Times New Roman" w:cs="Times New Roman"/>
          <w:noProof/>
          <w:sz w:val="24"/>
          <w:szCs w:val="24"/>
        </w:rPr>
        <w:t xml:space="preserve"> as well as difficult</w:t>
      </w:r>
      <w:r>
        <w:rPr>
          <w:rFonts w:ascii="Times New Roman" w:hAnsi="Times New Roman" w:cs="Times New Roman"/>
          <w:noProof/>
          <w:sz w:val="24"/>
          <w:szCs w:val="24"/>
        </w:rPr>
        <w:t>.</w:t>
      </w:r>
      <w:r w:rsidR="00A475C1" w:rsidRPr="002661A8">
        <w:rPr>
          <w:rStyle w:val="FootnoteReference"/>
          <w:rFonts w:ascii="Times New Roman" w:hAnsi="Times New Roman" w:cs="Times New Roman"/>
          <w:noProof/>
          <w:sz w:val="24"/>
          <w:szCs w:val="24"/>
        </w:rPr>
        <w:footnoteReference w:id="51"/>
      </w:r>
    </w:p>
    <w:p w14:paraId="26BEE4D7" w14:textId="4066995E" w:rsidR="008E1ADE" w:rsidRPr="0032711C" w:rsidRDefault="005A61D0" w:rsidP="008E1ADE">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To mitigate the</w:t>
      </w:r>
      <w:r w:rsidR="008E1ADE">
        <w:rPr>
          <w:rFonts w:ascii="Times New Roman" w:hAnsi="Times New Roman" w:cs="Times New Roman"/>
          <w:noProof/>
          <w:sz w:val="24"/>
          <w:szCs w:val="24"/>
        </w:rPr>
        <w:t xml:space="preserve"> </w:t>
      </w:r>
      <w:r w:rsidR="00112955">
        <w:rPr>
          <w:rFonts w:ascii="Times New Roman" w:hAnsi="Times New Roman" w:cs="Times New Roman"/>
          <w:noProof/>
          <w:sz w:val="24"/>
          <w:szCs w:val="24"/>
        </w:rPr>
        <w:t xml:space="preserve">potentially negative </w:t>
      </w:r>
      <w:r w:rsidR="008E1ADE">
        <w:rPr>
          <w:rFonts w:ascii="Times New Roman" w:hAnsi="Times New Roman" w:cs="Times New Roman"/>
          <w:noProof/>
          <w:sz w:val="24"/>
          <w:szCs w:val="24"/>
        </w:rPr>
        <w:t xml:space="preserve">effects in the </w:t>
      </w:r>
      <w:r w:rsidR="0022474A">
        <w:rPr>
          <w:rFonts w:ascii="Times New Roman" w:hAnsi="Times New Roman" w:cs="Times New Roman"/>
          <w:noProof/>
          <w:sz w:val="24"/>
          <w:szCs w:val="24"/>
        </w:rPr>
        <w:t xml:space="preserve">EU </w:t>
      </w:r>
      <w:r w:rsidR="008E1ADE">
        <w:rPr>
          <w:rFonts w:ascii="Times New Roman" w:hAnsi="Times New Roman" w:cs="Times New Roman"/>
          <w:noProof/>
          <w:sz w:val="24"/>
          <w:szCs w:val="24"/>
        </w:rPr>
        <w:t>and its Member States</w:t>
      </w:r>
      <w:r w:rsidR="00112955">
        <w:rPr>
          <w:rFonts w:ascii="Times New Roman" w:hAnsi="Times New Roman" w:cs="Times New Roman"/>
          <w:noProof/>
          <w:sz w:val="24"/>
          <w:szCs w:val="24"/>
        </w:rPr>
        <w:t>,</w:t>
      </w:r>
      <w:r w:rsidR="008E1ADE">
        <w:rPr>
          <w:rFonts w:ascii="Times New Roman" w:hAnsi="Times New Roman" w:cs="Times New Roman"/>
          <w:noProof/>
          <w:sz w:val="24"/>
          <w:szCs w:val="24"/>
        </w:rPr>
        <w:t xml:space="preserve"> </w:t>
      </w:r>
      <w:r w:rsidR="008E1ADE" w:rsidDel="007823B1">
        <w:rPr>
          <w:rFonts w:ascii="Times New Roman" w:hAnsi="Times New Roman" w:cs="Times New Roman"/>
          <w:noProof/>
          <w:sz w:val="24"/>
          <w:szCs w:val="24"/>
        </w:rPr>
        <w:t xml:space="preserve">a more balanced risk </w:t>
      </w:r>
      <w:r w:rsidR="00DA1B01" w:rsidDel="007823B1">
        <w:rPr>
          <w:rFonts w:ascii="Times New Roman" w:hAnsi="Times New Roman" w:cs="Times New Roman"/>
          <w:noProof/>
          <w:sz w:val="24"/>
          <w:szCs w:val="24"/>
        </w:rPr>
        <w:t>is needed</w:t>
      </w:r>
      <w:r w:rsidR="008E1ADE" w:rsidDel="007823B1">
        <w:rPr>
          <w:rFonts w:ascii="Times New Roman" w:hAnsi="Times New Roman" w:cs="Times New Roman"/>
          <w:noProof/>
          <w:sz w:val="24"/>
          <w:szCs w:val="24"/>
        </w:rPr>
        <w:t xml:space="preserve">, </w:t>
      </w:r>
      <w:r w:rsidR="008E1ADE">
        <w:rPr>
          <w:rFonts w:ascii="Times New Roman" w:hAnsi="Times New Roman" w:cs="Times New Roman"/>
          <w:noProof/>
          <w:sz w:val="24"/>
          <w:szCs w:val="24"/>
        </w:rPr>
        <w:t xml:space="preserve">to ensure clearing is less concentrated in </w:t>
      </w:r>
      <w:r w:rsidR="00DA1B01">
        <w:rPr>
          <w:rFonts w:ascii="Times New Roman" w:hAnsi="Times New Roman" w:cs="Times New Roman"/>
          <w:noProof/>
          <w:sz w:val="24"/>
          <w:szCs w:val="24"/>
        </w:rPr>
        <w:t xml:space="preserve">a </w:t>
      </w:r>
      <w:r w:rsidR="008E1ADE">
        <w:rPr>
          <w:rFonts w:ascii="Times New Roman" w:hAnsi="Times New Roman" w:cs="Times New Roman"/>
          <w:noProof/>
          <w:sz w:val="24"/>
          <w:szCs w:val="24"/>
        </w:rPr>
        <w:t xml:space="preserve">few </w:t>
      </w:r>
      <w:r w:rsidR="007823B1">
        <w:rPr>
          <w:rFonts w:ascii="Times New Roman" w:hAnsi="Times New Roman" w:cs="Times New Roman"/>
          <w:noProof/>
          <w:sz w:val="24"/>
          <w:szCs w:val="24"/>
        </w:rPr>
        <w:t xml:space="preserve">non-EU </w:t>
      </w:r>
      <w:r w:rsidR="008E1ADE">
        <w:rPr>
          <w:rFonts w:ascii="Times New Roman" w:hAnsi="Times New Roman" w:cs="Times New Roman"/>
          <w:noProof/>
          <w:sz w:val="24"/>
          <w:szCs w:val="24"/>
        </w:rPr>
        <w:t>CCPs</w:t>
      </w:r>
      <w:r w:rsidR="007874B0">
        <w:rPr>
          <w:rFonts w:ascii="Times New Roman" w:hAnsi="Times New Roman" w:cs="Times New Roman"/>
          <w:noProof/>
          <w:sz w:val="24"/>
          <w:szCs w:val="24"/>
        </w:rPr>
        <w:t>.</w:t>
      </w:r>
      <w:r w:rsidR="008E1ADE" w:rsidDel="007823B1">
        <w:rPr>
          <w:rFonts w:ascii="Times New Roman" w:hAnsi="Times New Roman" w:cs="Times New Roman"/>
          <w:noProof/>
          <w:sz w:val="24"/>
          <w:szCs w:val="24"/>
        </w:rPr>
        <w:t xml:space="preserve"> </w:t>
      </w:r>
      <w:r w:rsidR="007874B0">
        <w:rPr>
          <w:rFonts w:ascii="Times New Roman" w:hAnsi="Times New Roman" w:cs="Times New Roman"/>
          <w:noProof/>
          <w:sz w:val="24"/>
          <w:szCs w:val="24"/>
        </w:rPr>
        <w:t>C</w:t>
      </w:r>
      <w:r w:rsidR="008E1ADE">
        <w:rPr>
          <w:rFonts w:ascii="Times New Roman" w:hAnsi="Times New Roman" w:cs="Times New Roman"/>
          <w:noProof/>
          <w:sz w:val="24"/>
          <w:szCs w:val="24"/>
        </w:rPr>
        <w:t xml:space="preserve">ooperation </w:t>
      </w:r>
      <w:r w:rsidR="007874B0">
        <w:rPr>
          <w:rFonts w:ascii="Times New Roman" w:hAnsi="Times New Roman" w:cs="Times New Roman"/>
          <w:noProof/>
          <w:sz w:val="24"/>
          <w:szCs w:val="24"/>
        </w:rPr>
        <w:t>c</w:t>
      </w:r>
      <w:r w:rsidR="008E1ADE">
        <w:rPr>
          <w:rFonts w:ascii="Times New Roman" w:hAnsi="Times New Roman" w:cs="Times New Roman"/>
          <w:noProof/>
          <w:sz w:val="24"/>
          <w:szCs w:val="24"/>
        </w:rPr>
        <w:t>ould only mitigate risks where the non-EU CCP is not considered a substantially systemic CCP</w:t>
      </w:r>
      <w:r w:rsidR="007823B1">
        <w:rPr>
          <w:rFonts w:ascii="Times New Roman" w:hAnsi="Times New Roman" w:cs="Times New Roman"/>
          <w:noProof/>
          <w:sz w:val="24"/>
          <w:szCs w:val="24"/>
        </w:rPr>
        <w:t>;</w:t>
      </w:r>
      <w:r w:rsidR="008E1ADE" w:rsidDel="007823B1">
        <w:rPr>
          <w:rFonts w:ascii="Times New Roman" w:hAnsi="Times New Roman" w:cs="Times New Roman"/>
          <w:noProof/>
          <w:sz w:val="24"/>
          <w:szCs w:val="24"/>
        </w:rPr>
        <w:t xml:space="preserve"> </w:t>
      </w:r>
      <w:r w:rsidR="007874B0">
        <w:rPr>
          <w:rFonts w:ascii="Times New Roman" w:hAnsi="Times New Roman" w:cs="Times New Roman"/>
          <w:noProof/>
          <w:sz w:val="24"/>
          <w:szCs w:val="24"/>
        </w:rPr>
        <w:t>where it is</w:t>
      </w:r>
      <w:r w:rsidR="007823B1">
        <w:rPr>
          <w:rFonts w:ascii="Times New Roman" w:hAnsi="Times New Roman" w:cs="Times New Roman"/>
          <w:noProof/>
          <w:sz w:val="24"/>
          <w:szCs w:val="24"/>
        </w:rPr>
        <w:t xml:space="preserve">, </w:t>
      </w:r>
      <w:r w:rsidR="008E1ADE">
        <w:rPr>
          <w:rFonts w:ascii="Times New Roman" w:hAnsi="Times New Roman" w:cs="Times New Roman"/>
          <w:noProof/>
          <w:sz w:val="24"/>
          <w:szCs w:val="24"/>
        </w:rPr>
        <w:t xml:space="preserve">cooperation cannot mitigate the effects of decisions taken in a crisis </w:t>
      </w:r>
      <w:r w:rsidR="007823B1">
        <w:rPr>
          <w:rFonts w:ascii="Times New Roman" w:hAnsi="Times New Roman" w:cs="Times New Roman"/>
          <w:noProof/>
          <w:sz w:val="24"/>
          <w:szCs w:val="24"/>
        </w:rPr>
        <w:t xml:space="preserve">scenario </w:t>
      </w:r>
      <w:r w:rsidR="008E1ADE">
        <w:rPr>
          <w:rFonts w:ascii="Times New Roman" w:hAnsi="Times New Roman" w:cs="Times New Roman"/>
          <w:noProof/>
          <w:sz w:val="24"/>
          <w:szCs w:val="24"/>
        </w:rPr>
        <w:t xml:space="preserve">as </w:t>
      </w:r>
      <w:r w:rsidR="007823B1">
        <w:rPr>
          <w:rFonts w:ascii="Times New Roman" w:hAnsi="Times New Roman" w:cs="Times New Roman"/>
          <w:noProof/>
          <w:sz w:val="24"/>
          <w:szCs w:val="24"/>
        </w:rPr>
        <w:t xml:space="preserve">such </w:t>
      </w:r>
      <w:r w:rsidR="008E1ADE">
        <w:rPr>
          <w:rFonts w:ascii="Times New Roman" w:hAnsi="Times New Roman" w:cs="Times New Roman"/>
          <w:noProof/>
          <w:sz w:val="24"/>
          <w:szCs w:val="24"/>
        </w:rPr>
        <w:t xml:space="preserve">decisions </w:t>
      </w:r>
      <w:r w:rsidR="007874B0">
        <w:rPr>
          <w:rFonts w:ascii="Times New Roman" w:hAnsi="Times New Roman" w:cs="Times New Roman"/>
          <w:noProof/>
          <w:sz w:val="24"/>
          <w:szCs w:val="24"/>
        </w:rPr>
        <w:t>will</w:t>
      </w:r>
      <w:r w:rsidR="00240397">
        <w:rPr>
          <w:rFonts w:ascii="Times New Roman" w:hAnsi="Times New Roman" w:cs="Times New Roman"/>
          <w:noProof/>
          <w:sz w:val="24"/>
          <w:szCs w:val="24"/>
        </w:rPr>
        <w:t xml:space="preserve"> likely primarily</w:t>
      </w:r>
      <w:r w:rsidR="007874B0">
        <w:rPr>
          <w:rFonts w:ascii="Times New Roman" w:hAnsi="Times New Roman" w:cs="Times New Roman"/>
          <w:noProof/>
          <w:sz w:val="24"/>
          <w:szCs w:val="24"/>
        </w:rPr>
        <w:t xml:space="preserve"> </w:t>
      </w:r>
      <w:r w:rsidR="007823B1">
        <w:rPr>
          <w:rFonts w:ascii="Times New Roman" w:hAnsi="Times New Roman" w:cs="Times New Roman"/>
          <w:noProof/>
          <w:sz w:val="24"/>
          <w:szCs w:val="24"/>
        </w:rPr>
        <w:t>have</w:t>
      </w:r>
      <w:r w:rsidR="008E1ADE">
        <w:rPr>
          <w:rFonts w:ascii="Times New Roman" w:hAnsi="Times New Roman" w:cs="Times New Roman"/>
          <w:noProof/>
          <w:sz w:val="24"/>
          <w:szCs w:val="24"/>
        </w:rPr>
        <w:t xml:space="preserve"> the national financial market in mind</w:t>
      </w:r>
      <w:r w:rsidR="007874B0">
        <w:rPr>
          <w:rFonts w:ascii="Times New Roman" w:hAnsi="Times New Roman" w:cs="Times New Roman"/>
          <w:noProof/>
          <w:sz w:val="24"/>
          <w:szCs w:val="24"/>
        </w:rPr>
        <w:t>,</w:t>
      </w:r>
      <w:r w:rsidR="008E1ADE" w:rsidDel="007874B0">
        <w:rPr>
          <w:rFonts w:ascii="Times New Roman" w:hAnsi="Times New Roman" w:cs="Times New Roman"/>
          <w:noProof/>
          <w:sz w:val="24"/>
          <w:szCs w:val="24"/>
        </w:rPr>
        <w:t xml:space="preserve"> </w:t>
      </w:r>
      <w:r w:rsidR="007823B1">
        <w:rPr>
          <w:rFonts w:ascii="Times New Roman" w:hAnsi="Times New Roman" w:cs="Times New Roman"/>
          <w:noProof/>
          <w:sz w:val="24"/>
          <w:szCs w:val="24"/>
        </w:rPr>
        <w:t xml:space="preserve">even though they </w:t>
      </w:r>
      <w:r w:rsidR="00240397">
        <w:rPr>
          <w:rFonts w:ascii="Times New Roman" w:hAnsi="Times New Roman" w:cs="Times New Roman"/>
          <w:noProof/>
          <w:sz w:val="24"/>
          <w:szCs w:val="24"/>
        </w:rPr>
        <w:t>can</w:t>
      </w:r>
      <w:r w:rsidR="008E1ADE">
        <w:rPr>
          <w:rFonts w:ascii="Times New Roman" w:hAnsi="Times New Roman" w:cs="Times New Roman"/>
          <w:noProof/>
          <w:sz w:val="24"/>
          <w:szCs w:val="24"/>
        </w:rPr>
        <w:t xml:space="preserve"> have a material impact on the </w:t>
      </w:r>
      <w:r w:rsidR="007823B1">
        <w:rPr>
          <w:rFonts w:ascii="Times New Roman" w:hAnsi="Times New Roman" w:cs="Times New Roman"/>
          <w:noProof/>
          <w:sz w:val="24"/>
          <w:szCs w:val="24"/>
        </w:rPr>
        <w:t>EU</w:t>
      </w:r>
      <w:r w:rsidR="008E1ADE" w:rsidDel="007823B1">
        <w:rPr>
          <w:rFonts w:ascii="Times New Roman" w:hAnsi="Times New Roman" w:cs="Times New Roman"/>
          <w:noProof/>
          <w:sz w:val="24"/>
          <w:szCs w:val="24"/>
        </w:rPr>
        <w:t xml:space="preserve"> </w:t>
      </w:r>
      <w:r w:rsidR="007823B1">
        <w:rPr>
          <w:rFonts w:ascii="Times New Roman" w:hAnsi="Times New Roman" w:cs="Times New Roman"/>
          <w:noProof/>
          <w:sz w:val="24"/>
          <w:szCs w:val="24"/>
        </w:rPr>
        <w:t xml:space="preserve">or </w:t>
      </w:r>
      <w:r w:rsidR="008E1ADE">
        <w:rPr>
          <w:rFonts w:ascii="Times New Roman" w:hAnsi="Times New Roman" w:cs="Times New Roman"/>
          <w:noProof/>
          <w:sz w:val="24"/>
          <w:szCs w:val="24"/>
        </w:rPr>
        <w:t xml:space="preserve">some or all of its Member States. </w:t>
      </w:r>
      <w:r w:rsidR="00240397" w:rsidRPr="0032711C">
        <w:rPr>
          <w:rFonts w:ascii="Times New Roman" w:hAnsi="Times New Roman" w:cs="Times New Roman"/>
          <w:noProof/>
          <w:sz w:val="24"/>
          <w:szCs w:val="24"/>
        </w:rPr>
        <w:t xml:space="preserve">In the current framework, in case of </w:t>
      </w:r>
      <w:r w:rsidR="00240397">
        <w:rPr>
          <w:rFonts w:ascii="Times New Roman" w:hAnsi="Times New Roman" w:cs="Times New Roman"/>
          <w:noProof/>
          <w:sz w:val="24"/>
          <w:szCs w:val="24"/>
        </w:rPr>
        <w:t xml:space="preserve">financial </w:t>
      </w:r>
      <w:r w:rsidR="00240397" w:rsidRPr="0032711C">
        <w:rPr>
          <w:rFonts w:ascii="Times New Roman" w:hAnsi="Times New Roman" w:cs="Times New Roman"/>
          <w:noProof/>
          <w:sz w:val="24"/>
          <w:szCs w:val="24"/>
        </w:rPr>
        <w:t>crisis at a UK CCP, no EU body or authority would be in the driving seat for decisions that can have significant impacts on EU firms.</w:t>
      </w:r>
    </w:p>
    <w:p w14:paraId="045DDAC9" w14:textId="06F65805" w:rsidR="008E1ADE" w:rsidRPr="0032711C" w:rsidRDefault="008E1ADE" w:rsidP="008E1ADE">
      <w:pPr>
        <w:spacing w:after="120" w:line="240" w:lineRule="auto"/>
        <w:jc w:val="both"/>
        <w:rPr>
          <w:rFonts w:ascii="Times New Roman" w:hAnsi="Times New Roman" w:cs="Times New Roman"/>
          <w:noProof/>
          <w:sz w:val="24"/>
          <w:szCs w:val="24"/>
        </w:rPr>
      </w:pPr>
      <w:r w:rsidRPr="0032711C">
        <w:rPr>
          <w:rFonts w:ascii="Times New Roman" w:hAnsi="Times New Roman" w:cs="Times New Roman"/>
          <w:noProof/>
          <w:sz w:val="24"/>
          <w:szCs w:val="24"/>
        </w:rPr>
        <w:t xml:space="preserve">To conclude, the main issue with the Tier 2 UK CCPs is therefore that they are financial market infrastructures </w:t>
      </w:r>
      <w:r w:rsidR="001E6378">
        <w:rPr>
          <w:rFonts w:ascii="Times New Roman" w:hAnsi="Times New Roman" w:cs="Times New Roman"/>
          <w:noProof/>
          <w:sz w:val="24"/>
          <w:szCs w:val="24"/>
        </w:rPr>
        <w:t>offering services of</w:t>
      </w:r>
      <w:r w:rsidRPr="0032711C">
        <w:rPr>
          <w:rFonts w:ascii="Times New Roman" w:hAnsi="Times New Roman" w:cs="Times New Roman"/>
          <w:noProof/>
          <w:sz w:val="24"/>
          <w:szCs w:val="24"/>
        </w:rPr>
        <w:t xml:space="preserve"> substantial systemic importance, thus presenting substantial potential risks to the EU. Since the UK </w:t>
      </w:r>
      <w:r w:rsidRPr="0032711C" w:rsidDel="00240397">
        <w:rPr>
          <w:rFonts w:ascii="Times New Roman" w:hAnsi="Times New Roman" w:cs="Times New Roman"/>
          <w:noProof/>
          <w:sz w:val="24"/>
          <w:szCs w:val="24"/>
        </w:rPr>
        <w:t>w</w:t>
      </w:r>
      <w:r w:rsidRPr="0032711C">
        <w:rPr>
          <w:rFonts w:ascii="Times New Roman" w:hAnsi="Times New Roman" w:cs="Times New Roman"/>
          <w:noProof/>
          <w:sz w:val="24"/>
          <w:szCs w:val="24"/>
        </w:rPr>
        <w:t>ithdrawal from the EU, they are also outside the EU common framework, increasing their systemic importance even further</w:t>
      </w:r>
      <w:r>
        <w:rPr>
          <w:rFonts w:ascii="Times New Roman" w:hAnsi="Times New Roman" w:cs="Times New Roman"/>
          <w:noProof/>
          <w:sz w:val="24"/>
          <w:szCs w:val="24"/>
        </w:rPr>
        <w:t xml:space="preserve"> as not part of the cooperation framework within the Union</w:t>
      </w:r>
      <w:r w:rsidRPr="0032711C">
        <w:rPr>
          <w:rFonts w:ascii="Times New Roman" w:hAnsi="Times New Roman" w:cs="Times New Roman"/>
          <w:noProof/>
          <w:sz w:val="24"/>
          <w:szCs w:val="24"/>
        </w:rPr>
        <w:t xml:space="preserve">. While EMIR </w:t>
      </w:r>
      <w:r>
        <w:rPr>
          <w:rFonts w:ascii="Times New Roman" w:hAnsi="Times New Roman" w:cs="Times New Roman"/>
          <w:noProof/>
          <w:sz w:val="24"/>
          <w:szCs w:val="24"/>
        </w:rPr>
        <w:t xml:space="preserve">requires Tier 2 CCPs to comply with certain provisions of EMIR and </w:t>
      </w:r>
      <w:r w:rsidRPr="0032711C">
        <w:rPr>
          <w:rFonts w:ascii="Times New Roman" w:hAnsi="Times New Roman" w:cs="Times New Roman"/>
          <w:noProof/>
          <w:sz w:val="24"/>
          <w:szCs w:val="24"/>
        </w:rPr>
        <w:t>provides ESMA with supervisory powers over Tier 2 CCPs, the actual possibility for ESMA to induce change or enforce corrective actions relies on the cooperation of third-count</w:t>
      </w:r>
      <w:r w:rsidR="000F49AA">
        <w:rPr>
          <w:rFonts w:ascii="Times New Roman" w:hAnsi="Times New Roman" w:cs="Times New Roman"/>
          <w:noProof/>
          <w:sz w:val="24"/>
          <w:szCs w:val="24"/>
        </w:rPr>
        <w:t xml:space="preserve">ry authorities. </w:t>
      </w:r>
      <w:r>
        <w:rPr>
          <w:rFonts w:ascii="Times New Roman" w:hAnsi="Times New Roman" w:cs="Times New Roman"/>
          <w:noProof/>
          <w:sz w:val="24"/>
          <w:szCs w:val="24"/>
        </w:rPr>
        <w:t>In addition, s</w:t>
      </w:r>
      <w:r w:rsidRPr="0032711C">
        <w:rPr>
          <w:rFonts w:ascii="Times New Roman" w:hAnsi="Times New Roman" w:cs="Times New Roman"/>
          <w:noProof/>
          <w:sz w:val="24"/>
          <w:szCs w:val="24"/>
        </w:rPr>
        <w:t xml:space="preserve">upervisors also have more direct access to information over entities located in their jurisdiction. </w:t>
      </w:r>
    </w:p>
    <w:p w14:paraId="2AF4ECB6" w14:textId="21F85677" w:rsidR="008E1ADE" w:rsidRDefault="008E1ADE" w:rsidP="008E1ADE">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situation within the EU derives from very specific circumstances where </w:t>
      </w:r>
      <w:r w:rsidR="001E6378">
        <w:rPr>
          <w:rFonts w:ascii="Times New Roman" w:hAnsi="Times New Roman" w:cs="Times New Roman"/>
          <w:noProof/>
          <w:sz w:val="24"/>
          <w:szCs w:val="24"/>
        </w:rPr>
        <w:t xml:space="preserve">the </w:t>
      </w:r>
      <w:r>
        <w:rPr>
          <w:rFonts w:ascii="Times New Roman" w:hAnsi="Times New Roman" w:cs="Times New Roman"/>
          <w:noProof/>
          <w:sz w:val="24"/>
          <w:szCs w:val="24"/>
        </w:rPr>
        <w:t xml:space="preserve">UK </w:t>
      </w:r>
      <w:r w:rsidR="007B6315">
        <w:rPr>
          <w:rFonts w:ascii="Times New Roman" w:hAnsi="Times New Roman" w:cs="Times New Roman"/>
          <w:noProof/>
          <w:sz w:val="24"/>
          <w:szCs w:val="24"/>
        </w:rPr>
        <w:t xml:space="preserve">had established itself as a clearing-hub for the EU before </w:t>
      </w:r>
      <w:r w:rsidR="00C353FB">
        <w:rPr>
          <w:rFonts w:ascii="Times New Roman" w:hAnsi="Times New Roman" w:cs="Times New Roman"/>
          <w:noProof/>
          <w:sz w:val="24"/>
          <w:szCs w:val="24"/>
        </w:rPr>
        <w:t>the UK’s withdrawal from the EU. The UK</w:t>
      </w:r>
      <w:r w:rsidR="007B6315">
        <w:rPr>
          <w:rFonts w:ascii="Times New Roman" w:hAnsi="Times New Roman" w:cs="Times New Roman"/>
          <w:noProof/>
          <w:sz w:val="24"/>
          <w:szCs w:val="24"/>
        </w:rPr>
        <w:t xml:space="preserve"> used to be part of the EU</w:t>
      </w:r>
      <w:r w:rsidR="00C353FB">
        <w:rPr>
          <w:rFonts w:ascii="Times New Roman" w:hAnsi="Times New Roman" w:cs="Times New Roman"/>
          <w:noProof/>
          <w:sz w:val="24"/>
          <w:szCs w:val="24"/>
        </w:rPr>
        <w:t xml:space="preserve"> legal and</w:t>
      </w:r>
      <w:r w:rsidR="007B6315">
        <w:rPr>
          <w:rFonts w:ascii="Times New Roman" w:hAnsi="Times New Roman" w:cs="Times New Roman"/>
          <w:noProof/>
          <w:sz w:val="24"/>
          <w:szCs w:val="24"/>
        </w:rPr>
        <w:t xml:space="preserve"> cooperation framework, but since </w:t>
      </w:r>
      <w:r w:rsidR="00C353FB">
        <w:rPr>
          <w:rFonts w:ascii="Times New Roman" w:hAnsi="Times New Roman" w:cs="Times New Roman"/>
          <w:noProof/>
          <w:sz w:val="24"/>
          <w:szCs w:val="24"/>
        </w:rPr>
        <w:t xml:space="preserve">its withdrawal from </w:t>
      </w:r>
      <w:r>
        <w:rPr>
          <w:rFonts w:ascii="Times New Roman" w:hAnsi="Times New Roman" w:cs="Times New Roman"/>
          <w:noProof/>
          <w:sz w:val="24"/>
          <w:szCs w:val="24"/>
        </w:rPr>
        <w:t xml:space="preserve">the </w:t>
      </w:r>
      <w:r w:rsidR="001E6378">
        <w:rPr>
          <w:rFonts w:ascii="Times New Roman" w:hAnsi="Times New Roman" w:cs="Times New Roman"/>
          <w:noProof/>
          <w:sz w:val="24"/>
          <w:szCs w:val="24"/>
        </w:rPr>
        <w:t>EU</w:t>
      </w:r>
      <w:r w:rsidR="00C353FB">
        <w:rPr>
          <w:rFonts w:ascii="Times New Roman" w:hAnsi="Times New Roman" w:cs="Times New Roman"/>
          <w:noProof/>
          <w:sz w:val="24"/>
          <w:szCs w:val="24"/>
        </w:rPr>
        <w:t>, this is no longer the case</w:t>
      </w:r>
      <w:r>
        <w:rPr>
          <w:rFonts w:ascii="Times New Roman" w:hAnsi="Times New Roman" w:cs="Times New Roman"/>
          <w:noProof/>
          <w:sz w:val="24"/>
          <w:szCs w:val="24"/>
        </w:rPr>
        <w:t xml:space="preserve">. With </w:t>
      </w:r>
      <w:r w:rsidR="00C353FB">
        <w:rPr>
          <w:rFonts w:ascii="Times New Roman" w:hAnsi="Times New Roman" w:cs="Times New Roman"/>
          <w:noProof/>
          <w:sz w:val="24"/>
          <w:szCs w:val="24"/>
        </w:rPr>
        <w:t xml:space="preserve">the UK’s withdrawal from the EU, </w:t>
      </w:r>
      <w:r>
        <w:rPr>
          <w:rFonts w:ascii="Times New Roman" w:hAnsi="Times New Roman" w:cs="Times New Roman"/>
          <w:noProof/>
          <w:sz w:val="24"/>
          <w:szCs w:val="24"/>
        </w:rPr>
        <w:t xml:space="preserve">the fundamental position of UK has changed, and where any decision before Brexit would have been </w:t>
      </w:r>
      <w:r w:rsidR="007B6315">
        <w:rPr>
          <w:rFonts w:ascii="Times New Roman" w:hAnsi="Times New Roman" w:cs="Times New Roman"/>
          <w:noProof/>
          <w:sz w:val="24"/>
          <w:szCs w:val="24"/>
        </w:rPr>
        <w:t xml:space="preserve">made </w:t>
      </w:r>
      <w:r w:rsidR="001E6378">
        <w:rPr>
          <w:rFonts w:ascii="Times New Roman" w:hAnsi="Times New Roman" w:cs="Times New Roman"/>
          <w:noProof/>
          <w:sz w:val="24"/>
          <w:szCs w:val="24"/>
        </w:rPr>
        <w:t xml:space="preserve">taking into account also </w:t>
      </w:r>
      <w:r>
        <w:rPr>
          <w:rFonts w:ascii="Times New Roman" w:hAnsi="Times New Roman" w:cs="Times New Roman"/>
          <w:noProof/>
          <w:sz w:val="24"/>
          <w:szCs w:val="24"/>
        </w:rPr>
        <w:t>the interest</w:t>
      </w:r>
      <w:r w:rsidR="001E6378">
        <w:rPr>
          <w:rFonts w:ascii="Times New Roman" w:hAnsi="Times New Roman" w:cs="Times New Roman"/>
          <w:noProof/>
          <w:sz w:val="24"/>
          <w:szCs w:val="24"/>
        </w:rPr>
        <w:t>s</w:t>
      </w:r>
      <w:r>
        <w:rPr>
          <w:rFonts w:ascii="Times New Roman" w:hAnsi="Times New Roman" w:cs="Times New Roman"/>
          <w:noProof/>
          <w:sz w:val="24"/>
          <w:szCs w:val="24"/>
        </w:rPr>
        <w:t xml:space="preserve"> of the </w:t>
      </w:r>
      <w:r w:rsidR="001E6378">
        <w:rPr>
          <w:rFonts w:ascii="Times New Roman" w:hAnsi="Times New Roman" w:cs="Times New Roman"/>
          <w:noProof/>
          <w:sz w:val="24"/>
          <w:szCs w:val="24"/>
        </w:rPr>
        <w:t>EU</w:t>
      </w:r>
      <w:r>
        <w:rPr>
          <w:rFonts w:ascii="Times New Roman" w:hAnsi="Times New Roman" w:cs="Times New Roman"/>
          <w:noProof/>
          <w:sz w:val="24"/>
          <w:szCs w:val="24"/>
        </w:rPr>
        <w:t xml:space="preserve">, this </w:t>
      </w:r>
      <w:r w:rsidR="00E87FFA" w:rsidRPr="00E87FFA">
        <w:rPr>
          <w:rFonts w:ascii="Times New Roman" w:hAnsi="Times New Roman" w:cs="Times New Roman"/>
          <w:noProof/>
          <w:sz w:val="24"/>
          <w:szCs w:val="24"/>
        </w:rPr>
        <w:t>will not necessarily be the case</w:t>
      </w:r>
      <w:r w:rsidR="00B31E47">
        <w:rPr>
          <w:rFonts w:ascii="Times New Roman" w:hAnsi="Times New Roman" w:cs="Times New Roman"/>
          <w:noProof/>
          <w:sz w:val="24"/>
          <w:szCs w:val="24"/>
        </w:rPr>
        <w:t xml:space="preserve"> any more</w:t>
      </w:r>
      <w:r>
        <w:rPr>
          <w:rFonts w:ascii="Times New Roman" w:hAnsi="Times New Roman" w:cs="Times New Roman"/>
          <w:noProof/>
          <w:sz w:val="24"/>
          <w:szCs w:val="24"/>
        </w:rPr>
        <w:t xml:space="preserve">. It is therefore not possible to compare the situation between </w:t>
      </w:r>
      <w:r w:rsidR="001E6378">
        <w:rPr>
          <w:rFonts w:ascii="Times New Roman" w:hAnsi="Times New Roman" w:cs="Times New Roman"/>
          <w:noProof/>
          <w:sz w:val="24"/>
          <w:szCs w:val="24"/>
        </w:rPr>
        <w:t xml:space="preserve">the </w:t>
      </w:r>
      <w:r>
        <w:rPr>
          <w:rFonts w:ascii="Times New Roman" w:hAnsi="Times New Roman" w:cs="Times New Roman"/>
          <w:noProof/>
          <w:sz w:val="24"/>
          <w:szCs w:val="24"/>
        </w:rPr>
        <w:t xml:space="preserve">UK and the </w:t>
      </w:r>
      <w:r w:rsidR="001E6378">
        <w:rPr>
          <w:rFonts w:ascii="Times New Roman" w:hAnsi="Times New Roman" w:cs="Times New Roman"/>
          <w:noProof/>
          <w:sz w:val="24"/>
          <w:szCs w:val="24"/>
        </w:rPr>
        <w:t>EU</w:t>
      </w:r>
      <w:r>
        <w:rPr>
          <w:rFonts w:ascii="Times New Roman" w:hAnsi="Times New Roman" w:cs="Times New Roman"/>
          <w:noProof/>
          <w:sz w:val="24"/>
          <w:szCs w:val="24"/>
        </w:rPr>
        <w:t xml:space="preserve"> </w:t>
      </w:r>
      <w:r w:rsidR="008227B8">
        <w:rPr>
          <w:rFonts w:ascii="Times New Roman" w:hAnsi="Times New Roman" w:cs="Times New Roman"/>
          <w:noProof/>
          <w:sz w:val="24"/>
          <w:szCs w:val="24"/>
        </w:rPr>
        <w:t>globally.</w:t>
      </w:r>
    </w:p>
    <w:p w14:paraId="4C098AC2" w14:textId="470DA315" w:rsidR="007C76A7" w:rsidRPr="002661A8" w:rsidRDefault="006A74C1" w:rsidP="007C76A7">
      <w:pPr>
        <w:spacing w:line="240" w:lineRule="auto"/>
        <w:jc w:val="both"/>
        <w:rPr>
          <w:rFonts w:ascii="Times New Roman" w:eastAsia="Times New Roman" w:hAnsi="Times New Roman" w:cs="Times New Roman"/>
          <w:noProof/>
          <w:sz w:val="24"/>
          <w:szCs w:val="24"/>
          <w:lang w:eastAsia="en-GB"/>
        </w:rPr>
      </w:pPr>
      <w:r w:rsidRPr="002661A8">
        <w:rPr>
          <w:rFonts w:ascii="Times New Roman" w:hAnsi="Times New Roman" w:cs="Times New Roman"/>
          <w:noProof/>
          <w:sz w:val="24"/>
          <w:szCs w:val="24"/>
        </w:rPr>
        <w:t>Second</w:t>
      </w:r>
      <w:r w:rsidR="00993E47" w:rsidRPr="002661A8">
        <w:rPr>
          <w:rFonts w:ascii="Times New Roman" w:hAnsi="Times New Roman" w:cs="Times New Roman"/>
          <w:noProof/>
          <w:sz w:val="24"/>
          <w:szCs w:val="24"/>
        </w:rPr>
        <w:t xml:space="preserve">, </w:t>
      </w:r>
      <w:r w:rsidR="007C3E7C" w:rsidRPr="002661A8">
        <w:rPr>
          <w:rFonts w:ascii="Times New Roman" w:hAnsi="Times New Roman" w:cs="Times New Roman"/>
          <w:b/>
          <w:noProof/>
          <w:sz w:val="24"/>
          <w:szCs w:val="24"/>
        </w:rPr>
        <w:t xml:space="preserve">the EU financial system is </w:t>
      </w:r>
      <w:r w:rsidR="00F41E66" w:rsidRPr="002661A8">
        <w:rPr>
          <w:rFonts w:ascii="Times New Roman" w:hAnsi="Times New Roman" w:cs="Times New Roman"/>
          <w:b/>
          <w:noProof/>
          <w:sz w:val="24"/>
          <w:szCs w:val="24"/>
        </w:rPr>
        <w:t>largely</w:t>
      </w:r>
      <w:r w:rsidR="007C3E7C" w:rsidRPr="002661A8">
        <w:rPr>
          <w:rFonts w:ascii="Times New Roman" w:hAnsi="Times New Roman" w:cs="Times New Roman"/>
          <w:b/>
          <w:noProof/>
          <w:sz w:val="24"/>
          <w:szCs w:val="24"/>
        </w:rPr>
        <w:t xml:space="preserve"> interconnected</w:t>
      </w:r>
      <w:r w:rsidR="007C3E7C" w:rsidRPr="002661A8">
        <w:rPr>
          <w:rFonts w:ascii="Times New Roman" w:hAnsi="Times New Roman" w:cs="Times New Roman"/>
          <w:noProof/>
          <w:sz w:val="24"/>
          <w:szCs w:val="24"/>
        </w:rPr>
        <w:t xml:space="preserve">, </w:t>
      </w:r>
      <w:r w:rsidR="000F67D2" w:rsidRPr="002661A8">
        <w:rPr>
          <w:rFonts w:ascii="Times New Roman" w:hAnsi="Times New Roman" w:cs="Times New Roman"/>
          <w:noProof/>
          <w:sz w:val="24"/>
          <w:szCs w:val="24"/>
        </w:rPr>
        <w:t xml:space="preserve">which </w:t>
      </w:r>
      <w:r w:rsidRPr="002661A8">
        <w:rPr>
          <w:rFonts w:ascii="Times New Roman" w:hAnsi="Times New Roman" w:cs="Times New Roman"/>
          <w:noProof/>
          <w:sz w:val="24"/>
          <w:szCs w:val="24"/>
        </w:rPr>
        <w:t xml:space="preserve">may lead to </w:t>
      </w:r>
      <w:r w:rsidR="000F67D2" w:rsidRPr="002661A8">
        <w:rPr>
          <w:rFonts w:ascii="Times New Roman" w:hAnsi="Times New Roman" w:cs="Times New Roman"/>
          <w:b/>
          <w:noProof/>
          <w:sz w:val="24"/>
          <w:szCs w:val="24"/>
        </w:rPr>
        <w:t>cross-border risks</w:t>
      </w:r>
      <w:r w:rsidR="000D1410" w:rsidRPr="002661A8">
        <w:rPr>
          <w:rFonts w:ascii="Times New Roman" w:hAnsi="Times New Roman" w:cs="Times New Roman"/>
          <w:b/>
          <w:noProof/>
          <w:sz w:val="24"/>
          <w:szCs w:val="24"/>
        </w:rPr>
        <w:t xml:space="preserve"> across Member States</w:t>
      </w:r>
      <w:r w:rsidR="007C3E7C" w:rsidRPr="002661A8">
        <w:rPr>
          <w:rFonts w:ascii="Times New Roman" w:hAnsi="Times New Roman" w:cs="Times New Roman"/>
          <w:noProof/>
          <w:sz w:val="24"/>
          <w:szCs w:val="24"/>
        </w:rPr>
        <w:t xml:space="preserve">. </w:t>
      </w:r>
      <w:r w:rsidR="00D85750" w:rsidRPr="002661A8">
        <w:rPr>
          <w:rFonts w:ascii="Times New Roman" w:hAnsi="Times New Roman" w:cs="Times New Roman"/>
          <w:noProof/>
          <w:sz w:val="24"/>
          <w:szCs w:val="24"/>
        </w:rPr>
        <w:t>A</w:t>
      </w:r>
      <w:r w:rsidR="007C3E7C" w:rsidRPr="002661A8">
        <w:rPr>
          <w:rFonts w:ascii="Times New Roman" w:eastAsia="Times New Roman" w:hAnsi="Times New Roman" w:cs="Times New Roman"/>
          <w:noProof/>
          <w:sz w:val="24"/>
          <w:szCs w:val="24"/>
          <w:lang w:eastAsia="en-GB"/>
        </w:rPr>
        <w:t>nalyses show that derivat</w:t>
      </w:r>
      <w:r w:rsidR="00125762" w:rsidRPr="002661A8">
        <w:rPr>
          <w:rFonts w:ascii="Times New Roman" w:eastAsia="Times New Roman" w:hAnsi="Times New Roman" w:cs="Times New Roman"/>
          <w:noProof/>
          <w:sz w:val="24"/>
          <w:szCs w:val="24"/>
          <w:lang w:eastAsia="en-GB"/>
        </w:rPr>
        <w:t>iv</w:t>
      </w:r>
      <w:r w:rsidR="007C3E7C" w:rsidRPr="002661A8">
        <w:rPr>
          <w:rFonts w:ascii="Times New Roman" w:eastAsia="Times New Roman" w:hAnsi="Times New Roman" w:cs="Times New Roman"/>
          <w:noProof/>
          <w:sz w:val="24"/>
          <w:szCs w:val="24"/>
          <w:lang w:eastAsia="en-GB"/>
        </w:rPr>
        <w:t xml:space="preserve">es and repo exposures </w:t>
      </w:r>
      <w:r w:rsidR="000D1410" w:rsidRPr="002661A8">
        <w:rPr>
          <w:rFonts w:ascii="Times New Roman" w:eastAsia="Times New Roman" w:hAnsi="Times New Roman" w:cs="Times New Roman"/>
          <w:noProof/>
          <w:sz w:val="24"/>
          <w:szCs w:val="24"/>
          <w:lang w:eastAsia="en-GB"/>
        </w:rPr>
        <w:t xml:space="preserve">for Eurex Clearing and LCH SA </w:t>
      </w:r>
      <w:r w:rsidR="009367D4" w:rsidRPr="002661A8">
        <w:rPr>
          <w:rFonts w:ascii="Times New Roman" w:eastAsia="Times New Roman" w:hAnsi="Times New Roman" w:cs="Times New Roman"/>
          <w:noProof/>
          <w:sz w:val="24"/>
          <w:szCs w:val="24"/>
          <w:lang w:eastAsia="en-GB"/>
        </w:rPr>
        <w:t>regarding</w:t>
      </w:r>
      <w:r w:rsidR="007C3E7C" w:rsidRPr="002661A8">
        <w:rPr>
          <w:rFonts w:ascii="Times New Roman" w:eastAsia="Times New Roman" w:hAnsi="Times New Roman" w:cs="Times New Roman"/>
          <w:noProof/>
          <w:sz w:val="24"/>
          <w:szCs w:val="24"/>
          <w:lang w:eastAsia="en-GB"/>
        </w:rPr>
        <w:t xml:space="preserve"> clearing members domiciled in the Euro area</w:t>
      </w:r>
      <w:r w:rsidR="009367D4" w:rsidRPr="002661A8">
        <w:rPr>
          <w:rFonts w:ascii="Times New Roman" w:eastAsia="Times New Roman" w:hAnsi="Times New Roman" w:cs="Times New Roman"/>
          <w:noProof/>
          <w:sz w:val="24"/>
          <w:szCs w:val="24"/>
          <w:lang w:eastAsia="en-GB"/>
        </w:rPr>
        <w:t>,</w:t>
      </w:r>
      <w:r w:rsidR="007C3E7C" w:rsidRPr="002661A8">
        <w:rPr>
          <w:rFonts w:ascii="Times New Roman" w:eastAsia="Times New Roman" w:hAnsi="Times New Roman" w:cs="Times New Roman"/>
          <w:noProof/>
          <w:sz w:val="24"/>
          <w:szCs w:val="24"/>
          <w:lang w:eastAsia="en-GB"/>
        </w:rPr>
        <w:t xml:space="preserve"> but not </w:t>
      </w:r>
      <w:r w:rsidR="00B21EC1" w:rsidRPr="002661A8">
        <w:rPr>
          <w:rFonts w:ascii="Times New Roman" w:eastAsia="Times New Roman" w:hAnsi="Times New Roman" w:cs="Times New Roman"/>
          <w:noProof/>
          <w:sz w:val="24"/>
          <w:szCs w:val="24"/>
          <w:lang w:eastAsia="en-GB"/>
        </w:rPr>
        <w:t xml:space="preserve">the </w:t>
      </w:r>
      <w:r w:rsidR="007C3E7C" w:rsidRPr="002661A8">
        <w:rPr>
          <w:rFonts w:ascii="Times New Roman" w:eastAsia="Times New Roman" w:hAnsi="Times New Roman" w:cs="Times New Roman"/>
          <w:noProof/>
          <w:sz w:val="24"/>
          <w:szCs w:val="24"/>
          <w:lang w:eastAsia="en-GB"/>
        </w:rPr>
        <w:t>CCP’s home jurisdiction</w:t>
      </w:r>
      <w:r w:rsidR="009367D4" w:rsidRPr="002661A8">
        <w:rPr>
          <w:rFonts w:ascii="Times New Roman" w:eastAsia="Times New Roman" w:hAnsi="Times New Roman" w:cs="Times New Roman"/>
          <w:noProof/>
          <w:sz w:val="24"/>
          <w:szCs w:val="24"/>
          <w:lang w:eastAsia="en-GB"/>
        </w:rPr>
        <w:t>,</w:t>
      </w:r>
      <w:r w:rsidR="007C3E7C" w:rsidRPr="002661A8">
        <w:rPr>
          <w:rFonts w:ascii="Times New Roman" w:eastAsia="Times New Roman" w:hAnsi="Times New Roman" w:cs="Times New Roman"/>
          <w:noProof/>
          <w:sz w:val="24"/>
          <w:szCs w:val="24"/>
          <w:lang w:eastAsia="en-GB"/>
        </w:rPr>
        <w:t xml:space="preserve"> are comparable to </w:t>
      </w:r>
      <w:r w:rsidR="009367D4" w:rsidRPr="002661A8">
        <w:rPr>
          <w:rFonts w:ascii="Times New Roman" w:eastAsia="Times New Roman" w:hAnsi="Times New Roman" w:cs="Times New Roman"/>
          <w:noProof/>
          <w:sz w:val="24"/>
          <w:szCs w:val="24"/>
          <w:lang w:eastAsia="en-GB"/>
        </w:rPr>
        <w:t>those</w:t>
      </w:r>
      <w:r w:rsidR="007C3E7C" w:rsidRPr="002661A8">
        <w:rPr>
          <w:rFonts w:ascii="Times New Roman" w:eastAsia="Times New Roman" w:hAnsi="Times New Roman" w:cs="Times New Roman"/>
          <w:noProof/>
          <w:sz w:val="24"/>
          <w:szCs w:val="24"/>
          <w:lang w:eastAsia="en-GB"/>
        </w:rPr>
        <w:t xml:space="preserve"> of clearing members</w:t>
      </w:r>
      <w:r w:rsidR="000D1410" w:rsidRPr="002661A8">
        <w:rPr>
          <w:rFonts w:ascii="Times New Roman" w:eastAsia="Times New Roman" w:hAnsi="Times New Roman" w:cs="Times New Roman"/>
          <w:noProof/>
          <w:sz w:val="24"/>
          <w:szCs w:val="24"/>
          <w:lang w:eastAsia="en-GB"/>
        </w:rPr>
        <w:t xml:space="preserve"> established in the same Member State as those CCPs</w:t>
      </w:r>
      <w:r w:rsidR="007C3E7C" w:rsidRPr="002661A8">
        <w:rPr>
          <w:rFonts w:ascii="Times New Roman" w:eastAsia="Times New Roman" w:hAnsi="Times New Roman" w:cs="Times New Roman"/>
          <w:noProof/>
          <w:sz w:val="24"/>
          <w:szCs w:val="24"/>
          <w:lang w:eastAsia="en-GB"/>
        </w:rPr>
        <w:t>.</w:t>
      </w:r>
      <w:r w:rsidR="002F2F1A" w:rsidRPr="002661A8">
        <w:rPr>
          <w:rStyle w:val="FootnoteReference"/>
          <w:rFonts w:ascii="Times New Roman" w:eastAsia="Times New Roman" w:hAnsi="Times New Roman" w:cs="Times New Roman"/>
          <w:noProof/>
          <w:sz w:val="24"/>
          <w:szCs w:val="24"/>
          <w:lang w:eastAsia="en-GB"/>
        </w:rPr>
        <w:footnoteReference w:id="52"/>
      </w:r>
      <w:r w:rsidR="00CF4B80" w:rsidRPr="002661A8">
        <w:rPr>
          <w:rFonts w:ascii="Times New Roman" w:eastAsia="Times New Roman" w:hAnsi="Times New Roman" w:cs="Times New Roman"/>
          <w:noProof/>
          <w:sz w:val="24"/>
          <w:szCs w:val="24"/>
          <w:lang w:eastAsia="en-GB"/>
        </w:rPr>
        <w:t xml:space="preserve"> </w:t>
      </w:r>
      <w:r w:rsidR="000D1410" w:rsidRPr="002661A8">
        <w:rPr>
          <w:rFonts w:ascii="Times New Roman" w:eastAsia="Times New Roman" w:hAnsi="Times New Roman" w:cs="Times New Roman"/>
          <w:noProof/>
          <w:sz w:val="24"/>
          <w:szCs w:val="24"/>
          <w:lang w:eastAsia="en-GB"/>
        </w:rPr>
        <w:t xml:space="preserve">CCP links to trading venues established in other Member States also lead to the development of intra-EU exposures and risks. </w:t>
      </w:r>
      <w:r w:rsidR="00CF4B80" w:rsidRPr="002661A8">
        <w:rPr>
          <w:rFonts w:ascii="Times New Roman" w:eastAsia="Times New Roman" w:hAnsi="Times New Roman" w:cs="Times New Roman"/>
          <w:noProof/>
          <w:sz w:val="24"/>
          <w:szCs w:val="24"/>
          <w:lang w:eastAsia="en-GB"/>
        </w:rPr>
        <w:t>This means that decisions taken by</w:t>
      </w:r>
      <w:r w:rsidR="000D1410" w:rsidRPr="002661A8">
        <w:rPr>
          <w:rFonts w:ascii="Times New Roman" w:eastAsia="Times New Roman" w:hAnsi="Times New Roman" w:cs="Times New Roman"/>
          <w:noProof/>
          <w:sz w:val="24"/>
          <w:szCs w:val="24"/>
          <w:lang w:eastAsia="en-GB"/>
        </w:rPr>
        <w:t xml:space="preserve"> a few</w:t>
      </w:r>
      <w:r w:rsidR="00CF4B80" w:rsidRPr="002661A8">
        <w:rPr>
          <w:rFonts w:ascii="Times New Roman" w:eastAsia="Times New Roman" w:hAnsi="Times New Roman" w:cs="Times New Roman"/>
          <w:noProof/>
          <w:sz w:val="24"/>
          <w:szCs w:val="24"/>
          <w:lang w:eastAsia="en-GB"/>
        </w:rPr>
        <w:t xml:space="preserve"> national CCP supervisors have an impact which is at least equal</w:t>
      </w:r>
      <w:r w:rsidR="000D1410" w:rsidRPr="002661A8">
        <w:rPr>
          <w:rFonts w:ascii="Times New Roman" w:eastAsia="Times New Roman" w:hAnsi="Times New Roman" w:cs="Times New Roman"/>
          <w:noProof/>
          <w:sz w:val="24"/>
          <w:szCs w:val="24"/>
          <w:lang w:eastAsia="en-GB"/>
        </w:rPr>
        <w:t xml:space="preserve"> over entities established</w:t>
      </w:r>
      <w:r w:rsidR="00CF4B80" w:rsidRPr="002661A8">
        <w:rPr>
          <w:rFonts w:ascii="Times New Roman" w:eastAsia="Times New Roman" w:hAnsi="Times New Roman" w:cs="Times New Roman"/>
          <w:noProof/>
          <w:sz w:val="24"/>
          <w:szCs w:val="24"/>
          <w:lang w:eastAsia="en-GB"/>
        </w:rPr>
        <w:t xml:space="preserve"> in their Member State</w:t>
      </w:r>
      <w:r w:rsidR="000D1410" w:rsidRPr="002661A8">
        <w:rPr>
          <w:rFonts w:ascii="Times New Roman" w:eastAsia="Times New Roman" w:hAnsi="Times New Roman" w:cs="Times New Roman"/>
          <w:noProof/>
          <w:sz w:val="24"/>
          <w:szCs w:val="24"/>
          <w:lang w:eastAsia="en-GB"/>
        </w:rPr>
        <w:t xml:space="preserve"> and at times even larger on entities (clearing members, clients, institutional investors, etc.)</w:t>
      </w:r>
      <w:r w:rsidR="00CF4B80" w:rsidRPr="002661A8">
        <w:rPr>
          <w:rFonts w:ascii="Times New Roman" w:eastAsia="Times New Roman" w:hAnsi="Times New Roman" w:cs="Times New Roman"/>
          <w:noProof/>
          <w:sz w:val="24"/>
          <w:szCs w:val="24"/>
          <w:lang w:eastAsia="en-GB"/>
        </w:rPr>
        <w:t xml:space="preserve"> throughout the EU</w:t>
      </w:r>
      <w:r w:rsidR="000D1410" w:rsidRPr="002661A8">
        <w:rPr>
          <w:rFonts w:ascii="Times New Roman" w:eastAsia="Times New Roman" w:hAnsi="Times New Roman" w:cs="Times New Roman"/>
          <w:noProof/>
          <w:sz w:val="24"/>
          <w:szCs w:val="24"/>
          <w:lang w:eastAsia="en-GB"/>
        </w:rPr>
        <w:t>, thereby also possibly impacting the stability of other Member States and the EU at large</w:t>
      </w:r>
      <w:r w:rsidR="00CF4B80" w:rsidRPr="002661A8">
        <w:rPr>
          <w:rFonts w:ascii="Times New Roman" w:eastAsia="Times New Roman" w:hAnsi="Times New Roman" w:cs="Times New Roman"/>
          <w:noProof/>
          <w:sz w:val="24"/>
          <w:szCs w:val="24"/>
          <w:lang w:eastAsia="en-GB"/>
        </w:rPr>
        <w:t>.</w:t>
      </w:r>
      <w:r w:rsidR="005D1012" w:rsidRPr="002661A8">
        <w:rPr>
          <w:rFonts w:ascii="Times New Roman" w:eastAsia="Times New Roman" w:hAnsi="Times New Roman" w:cs="Times New Roman"/>
          <w:noProof/>
          <w:sz w:val="24"/>
          <w:szCs w:val="24"/>
          <w:lang w:eastAsia="en-GB"/>
        </w:rPr>
        <w:t xml:space="preserve"> Furthermore, it is important to note that under the recently introduced CCP RR Regulation the loss allocation tools in recovery and resolution plans mostly rely on additional resources provided by clearing members and have made the probability of public bailouts more remote.</w:t>
      </w:r>
      <w:r w:rsidR="007C76A7" w:rsidRPr="002661A8">
        <w:rPr>
          <w:rFonts w:ascii="Times New Roman" w:eastAsia="Times New Roman" w:hAnsi="Times New Roman" w:cs="Times New Roman"/>
          <w:noProof/>
          <w:sz w:val="24"/>
          <w:szCs w:val="24"/>
          <w:lang w:eastAsia="en-GB"/>
        </w:rPr>
        <w:t xml:space="preserve"> </w:t>
      </w:r>
    </w:p>
    <w:p w14:paraId="17716759" w14:textId="56E2D190" w:rsidR="006B7138" w:rsidRPr="002661A8" w:rsidRDefault="007C76A7" w:rsidP="007C76A7">
      <w:pPr>
        <w:spacing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T</w:t>
      </w:r>
      <w:r w:rsidR="005D1012" w:rsidRPr="002661A8">
        <w:rPr>
          <w:rFonts w:ascii="Times New Roman" w:hAnsi="Times New Roman" w:cs="Times New Roman"/>
          <w:noProof/>
          <w:sz w:val="24"/>
          <w:szCs w:val="24"/>
        </w:rPr>
        <w:t xml:space="preserve">he EU-wide systemic risk impact of EU CCPs is expected to further </w:t>
      </w:r>
      <w:r w:rsidR="00C43394" w:rsidRPr="002661A8">
        <w:rPr>
          <w:rFonts w:ascii="Times New Roman" w:hAnsi="Times New Roman" w:cs="Times New Roman"/>
          <w:noProof/>
          <w:sz w:val="24"/>
          <w:szCs w:val="24"/>
        </w:rPr>
        <w:t>rise</w:t>
      </w:r>
      <w:r w:rsidR="005D1012" w:rsidRPr="002661A8">
        <w:rPr>
          <w:rFonts w:ascii="Times New Roman" w:hAnsi="Times New Roman" w:cs="Times New Roman"/>
          <w:noProof/>
          <w:sz w:val="24"/>
          <w:szCs w:val="24"/>
        </w:rPr>
        <w:t xml:space="preserve">. </w:t>
      </w:r>
      <w:r w:rsidR="00993E47" w:rsidRPr="002661A8">
        <w:rPr>
          <w:rFonts w:ascii="Times New Roman" w:hAnsi="Times New Roman" w:cs="Times New Roman"/>
          <w:noProof/>
          <w:sz w:val="24"/>
          <w:szCs w:val="24"/>
        </w:rPr>
        <w:t>The current initiative to improve the attractiveness and capacity of EU CCPs is expected to result in additional flow</w:t>
      </w:r>
      <w:r w:rsidR="007B378E" w:rsidRPr="002661A8">
        <w:rPr>
          <w:rFonts w:ascii="Times New Roman" w:hAnsi="Times New Roman" w:cs="Times New Roman"/>
          <w:noProof/>
          <w:sz w:val="24"/>
          <w:szCs w:val="24"/>
        </w:rPr>
        <w:t>s</w:t>
      </w:r>
      <w:r w:rsidR="00993E47" w:rsidRPr="002661A8">
        <w:rPr>
          <w:rFonts w:ascii="Times New Roman" w:hAnsi="Times New Roman" w:cs="Times New Roman"/>
          <w:noProof/>
          <w:sz w:val="24"/>
          <w:szCs w:val="24"/>
        </w:rPr>
        <w:t xml:space="preserve"> of clearing activity into the EU and </w:t>
      </w:r>
      <w:r w:rsidR="004D34D8" w:rsidRPr="002661A8">
        <w:rPr>
          <w:rFonts w:ascii="Times New Roman" w:hAnsi="Times New Roman" w:cs="Times New Roman"/>
          <w:noProof/>
          <w:sz w:val="24"/>
          <w:szCs w:val="24"/>
        </w:rPr>
        <w:t>in</w:t>
      </w:r>
      <w:r w:rsidR="005D1012" w:rsidRPr="002661A8">
        <w:rPr>
          <w:rFonts w:ascii="Times New Roman" w:hAnsi="Times New Roman" w:cs="Times New Roman"/>
          <w:noProof/>
          <w:sz w:val="24"/>
          <w:szCs w:val="24"/>
        </w:rPr>
        <w:t>to</w:t>
      </w:r>
      <w:r w:rsidR="004D34D8" w:rsidRPr="002661A8">
        <w:rPr>
          <w:rFonts w:ascii="Times New Roman" w:hAnsi="Times New Roman" w:cs="Times New Roman"/>
          <w:noProof/>
          <w:sz w:val="24"/>
          <w:szCs w:val="24"/>
        </w:rPr>
        <w:t xml:space="preserve"> </w:t>
      </w:r>
      <w:r w:rsidR="006B7138" w:rsidRPr="002661A8">
        <w:rPr>
          <w:rFonts w:ascii="Times New Roman" w:hAnsi="Times New Roman" w:cs="Times New Roman"/>
          <w:noProof/>
          <w:sz w:val="24"/>
          <w:szCs w:val="24"/>
        </w:rPr>
        <w:t xml:space="preserve">a limited number of </w:t>
      </w:r>
      <w:r w:rsidR="004D34D8" w:rsidRPr="002661A8">
        <w:rPr>
          <w:rFonts w:ascii="Times New Roman" w:hAnsi="Times New Roman" w:cs="Times New Roman"/>
          <w:noProof/>
          <w:sz w:val="24"/>
          <w:szCs w:val="24"/>
        </w:rPr>
        <w:t>EU CCPs</w:t>
      </w:r>
      <w:r w:rsidR="006B7138" w:rsidRPr="002661A8">
        <w:rPr>
          <w:rFonts w:ascii="Times New Roman" w:hAnsi="Times New Roman" w:cs="Times New Roman"/>
          <w:noProof/>
          <w:sz w:val="24"/>
          <w:szCs w:val="24"/>
        </w:rPr>
        <w:t xml:space="preserve"> that have the capacity to accommodate such increased flow.</w:t>
      </w:r>
      <w:r w:rsidR="004D0B6C" w:rsidRPr="002661A8">
        <w:rPr>
          <w:rStyle w:val="FootnoteReference"/>
          <w:rFonts w:ascii="Times New Roman" w:hAnsi="Times New Roman" w:cs="Times New Roman"/>
          <w:noProof/>
          <w:sz w:val="24"/>
          <w:szCs w:val="24"/>
        </w:rPr>
        <w:footnoteReference w:id="53"/>
      </w:r>
      <w:r w:rsidR="006B7138" w:rsidRPr="002661A8">
        <w:rPr>
          <w:rFonts w:ascii="Times New Roman" w:hAnsi="Times New Roman" w:cs="Times New Roman"/>
          <w:noProof/>
          <w:sz w:val="24"/>
          <w:szCs w:val="24"/>
        </w:rPr>
        <w:t xml:space="preserve"> This in turn w</w:t>
      </w:r>
      <w:r w:rsidR="00DE01A6" w:rsidRPr="002661A8">
        <w:rPr>
          <w:rFonts w:ascii="Times New Roman" w:hAnsi="Times New Roman" w:cs="Times New Roman"/>
          <w:noProof/>
          <w:sz w:val="24"/>
          <w:szCs w:val="24"/>
        </w:rPr>
        <w:t>ou</w:t>
      </w:r>
      <w:r w:rsidR="003B5263" w:rsidRPr="002661A8">
        <w:rPr>
          <w:rFonts w:ascii="Times New Roman" w:hAnsi="Times New Roman" w:cs="Times New Roman"/>
          <w:noProof/>
          <w:sz w:val="24"/>
          <w:szCs w:val="24"/>
        </w:rPr>
        <w:t>ld</w:t>
      </w:r>
      <w:r w:rsidR="006B7138" w:rsidRPr="002661A8">
        <w:rPr>
          <w:rFonts w:ascii="Times New Roman" w:hAnsi="Times New Roman" w:cs="Times New Roman"/>
          <w:noProof/>
          <w:sz w:val="24"/>
          <w:szCs w:val="24"/>
        </w:rPr>
        <w:t xml:space="preserve"> lead to </w:t>
      </w:r>
      <w:r w:rsidR="00C43394" w:rsidRPr="002661A8">
        <w:rPr>
          <w:rFonts w:ascii="Times New Roman" w:hAnsi="Times New Roman" w:cs="Times New Roman"/>
          <w:noProof/>
          <w:sz w:val="24"/>
          <w:szCs w:val="24"/>
        </w:rPr>
        <w:t>more</w:t>
      </w:r>
      <w:r w:rsidR="006B7138" w:rsidRPr="002661A8">
        <w:rPr>
          <w:rFonts w:ascii="Times New Roman" w:hAnsi="Times New Roman" w:cs="Times New Roman"/>
          <w:noProof/>
          <w:sz w:val="24"/>
          <w:szCs w:val="24"/>
        </w:rPr>
        <w:t xml:space="preserve"> cross-border activity in the EU as clearing members and clients from throughout the EU will be using progressively </w:t>
      </w:r>
      <w:r w:rsidR="0022164F" w:rsidRPr="002661A8">
        <w:rPr>
          <w:rFonts w:ascii="Times New Roman" w:hAnsi="Times New Roman" w:cs="Times New Roman"/>
          <w:noProof/>
          <w:sz w:val="24"/>
          <w:szCs w:val="24"/>
        </w:rPr>
        <w:t>a finite</w:t>
      </w:r>
      <w:r w:rsidR="006A74C1" w:rsidRPr="002661A8">
        <w:rPr>
          <w:rFonts w:ascii="Times New Roman" w:hAnsi="Times New Roman" w:cs="Times New Roman"/>
          <w:noProof/>
          <w:sz w:val="24"/>
          <w:szCs w:val="24"/>
        </w:rPr>
        <w:t xml:space="preserve"> </w:t>
      </w:r>
      <w:r w:rsidR="006B7138" w:rsidRPr="002661A8">
        <w:rPr>
          <w:rFonts w:ascii="Times New Roman" w:hAnsi="Times New Roman" w:cs="Times New Roman"/>
          <w:noProof/>
          <w:sz w:val="24"/>
          <w:szCs w:val="24"/>
        </w:rPr>
        <w:t xml:space="preserve">number of EU CCPs. </w:t>
      </w:r>
      <w:r w:rsidR="00907ED0" w:rsidRPr="002661A8">
        <w:rPr>
          <w:rFonts w:ascii="Times New Roman" w:hAnsi="Times New Roman" w:cs="Times New Roman"/>
          <w:noProof/>
          <w:sz w:val="24"/>
          <w:szCs w:val="24"/>
        </w:rPr>
        <w:t>As such</w:t>
      </w:r>
      <w:r w:rsidR="00E25234" w:rsidRPr="002661A8">
        <w:rPr>
          <w:rFonts w:ascii="Times New Roman" w:hAnsi="Times New Roman" w:cs="Times New Roman"/>
          <w:noProof/>
          <w:sz w:val="24"/>
          <w:szCs w:val="24"/>
        </w:rPr>
        <w:t xml:space="preserve">, </w:t>
      </w:r>
      <w:r w:rsidR="006B7138" w:rsidRPr="002661A8">
        <w:rPr>
          <w:rFonts w:ascii="Times New Roman" w:hAnsi="Times New Roman" w:cs="Times New Roman"/>
          <w:noProof/>
          <w:sz w:val="24"/>
          <w:szCs w:val="24"/>
        </w:rPr>
        <w:t>CCPs in individual Member States will become increasingly relevant for the EU financial system as a whole</w:t>
      </w:r>
      <w:r w:rsidR="005F791D" w:rsidRPr="002661A8">
        <w:rPr>
          <w:rFonts w:ascii="Times New Roman" w:hAnsi="Times New Roman" w:cs="Times New Roman"/>
          <w:noProof/>
          <w:sz w:val="24"/>
          <w:szCs w:val="24"/>
        </w:rPr>
        <w:t>.</w:t>
      </w:r>
      <w:r w:rsidR="006B7138" w:rsidRPr="002661A8">
        <w:rPr>
          <w:rFonts w:ascii="Times New Roman" w:hAnsi="Times New Roman" w:cs="Times New Roman"/>
          <w:noProof/>
          <w:sz w:val="24"/>
          <w:szCs w:val="24"/>
        </w:rPr>
        <w:t xml:space="preserve"> EU authorities and </w:t>
      </w:r>
      <w:r w:rsidR="006462F0" w:rsidRPr="002661A8">
        <w:rPr>
          <w:rFonts w:ascii="Times New Roman" w:hAnsi="Times New Roman" w:cs="Times New Roman"/>
          <w:noProof/>
          <w:sz w:val="24"/>
          <w:szCs w:val="24"/>
        </w:rPr>
        <w:t>NCAs</w:t>
      </w:r>
      <w:r w:rsidR="006B7138" w:rsidRPr="002661A8">
        <w:rPr>
          <w:rFonts w:ascii="Times New Roman" w:hAnsi="Times New Roman" w:cs="Times New Roman"/>
          <w:noProof/>
          <w:sz w:val="24"/>
          <w:szCs w:val="24"/>
        </w:rPr>
        <w:t xml:space="preserve"> across the EU </w:t>
      </w:r>
      <w:r w:rsidR="005F791D" w:rsidRPr="002661A8">
        <w:rPr>
          <w:rFonts w:ascii="Times New Roman" w:hAnsi="Times New Roman" w:cs="Times New Roman"/>
          <w:noProof/>
          <w:sz w:val="24"/>
          <w:szCs w:val="24"/>
        </w:rPr>
        <w:t xml:space="preserve">thus </w:t>
      </w:r>
      <w:r w:rsidR="006B7138" w:rsidRPr="002661A8">
        <w:rPr>
          <w:rFonts w:ascii="Times New Roman" w:hAnsi="Times New Roman" w:cs="Times New Roman"/>
          <w:noProof/>
          <w:sz w:val="24"/>
          <w:szCs w:val="24"/>
        </w:rPr>
        <w:t xml:space="preserve">need an overview of their activities </w:t>
      </w:r>
      <w:r w:rsidR="00E25234" w:rsidRPr="002661A8">
        <w:rPr>
          <w:rFonts w:ascii="Times New Roman" w:hAnsi="Times New Roman" w:cs="Times New Roman"/>
          <w:noProof/>
          <w:sz w:val="24"/>
          <w:szCs w:val="24"/>
        </w:rPr>
        <w:t>as the</w:t>
      </w:r>
      <w:r w:rsidR="006B7138" w:rsidRPr="002661A8">
        <w:rPr>
          <w:rFonts w:ascii="Times New Roman" w:hAnsi="Times New Roman" w:cs="Times New Roman"/>
          <w:noProof/>
          <w:sz w:val="24"/>
          <w:szCs w:val="24"/>
        </w:rPr>
        <w:t xml:space="preserve"> potential financial distress of those CCPs </w:t>
      </w:r>
      <w:r w:rsidR="00693E64" w:rsidRPr="002661A8">
        <w:rPr>
          <w:rFonts w:ascii="Times New Roman" w:hAnsi="Times New Roman" w:cs="Times New Roman"/>
          <w:noProof/>
          <w:sz w:val="24"/>
          <w:szCs w:val="24"/>
        </w:rPr>
        <w:t>could</w:t>
      </w:r>
      <w:r w:rsidR="00E25234" w:rsidRPr="002661A8">
        <w:rPr>
          <w:rFonts w:ascii="Times New Roman" w:hAnsi="Times New Roman" w:cs="Times New Roman"/>
          <w:noProof/>
          <w:sz w:val="24"/>
          <w:szCs w:val="24"/>
        </w:rPr>
        <w:t xml:space="preserve"> have a significant impact on</w:t>
      </w:r>
      <w:r w:rsidR="006B7138" w:rsidRPr="002661A8">
        <w:rPr>
          <w:rFonts w:ascii="Times New Roman" w:hAnsi="Times New Roman" w:cs="Times New Roman"/>
          <w:noProof/>
          <w:sz w:val="24"/>
          <w:szCs w:val="24"/>
        </w:rPr>
        <w:t xml:space="preserve"> clearing members and clients located in other </w:t>
      </w:r>
      <w:r w:rsidR="005D1012" w:rsidRPr="002661A8">
        <w:rPr>
          <w:rFonts w:ascii="Times New Roman" w:hAnsi="Times New Roman" w:cs="Times New Roman"/>
          <w:noProof/>
          <w:sz w:val="24"/>
          <w:szCs w:val="24"/>
        </w:rPr>
        <w:t>Member States</w:t>
      </w:r>
      <w:r w:rsidR="006B7138" w:rsidRPr="002661A8">
        <w:rPr>
          <w:rFonts w:ascii="Times New Roman" w:hAnsi="Times New Roman" w:cs="Times New Roman"/>
          <w:noProof/>
          <w:sz w:val="24"/>
          <w:szCs w:val="24"/>
        </w:rPr>
        <w:t>.</w:t>
      </w:r>
    </w:p>
    <w:p w14:paraId="60E24D4F" w14:textId="7136265B" w:rsidR="006A74C1" w:rsidRPr="002661A8" w:rsidRDefault="006A74C1" w:rsidP="009F3588">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Finally, </w:t>
      </w:r>
      <w:r w:rsidRPr="002661A8">
        <w:rPr>
          <w:rFonts w:ascii="Times New Roman" w:hAnsi="Times New Roman" w:cs="Times New Roman"/>
          <w:b/>
          <w:noProof/>
          <w:sz w:val="24"/>
          <w:szCs w:val="24"/>
        </w:rPr>
        <w:t xml:space="preserve">the framework for supervisory cooperation amongst </w:t>
      </w:r>
      <w:r w:rsidR="006462F0" w:rsidRPr="002661A8">
        <w:rPr>
          <w:rFonts w:ascii="Times New Roman" w:hAnsi="Times New Roman" w:cs="Times New Roman"/>
          <w:b/>
          <w:noProof/>
          <w:sz w:val="24"/>
          <w:szCs w:val="24"/>
        </w:rPr>
        <w:t>NCAs</w:t>
      </w:r>
      <w:r w:rsidRPr="002661A8">
        <w:rPr>
          <w:rFonts w:ascii="Times New Roman" w:hAnsi="Times New Roman" w:cs="Times New Roman"/>
          <w:b/>
          <w:noProof/>
          <w:sz w:val="24"/>
          <w:szCs w:val="24"/>
        </w:rPr>
        <w:t xml:space="preserve"> for EU CCPs </w:t>
      </w:r>
      <w:r w:rsidR="00E939E1" w:rsidRPr="002661A8">
        <w:rPr>
          <w:rFonts w:ascii="Times New Roman" w:hAnsi="Times New Roman" w:cs="Times New Roman"/>
          <w:b/>
          <w:noProof/>
          <w:sz w:val="24"/>
          <w:szCs w:val="24"/>
        </w:rPr>
        <w:t xml:space="preserve">is </w:t>
      </w:r>
      <w:r w:rsidRPr="002661A8">
        <w:rPr>
          <w:rFonts w:ascii="Times New Roman" w:hAnsi="Times New Roman" w:cs="Times New Roman"/>
          <w:b/>
          <w:noProof/>
          <w:sz w:val="24"/>
          <w:szCs w:val="24"/>
        </w:rPr>
        <w:t xml:space="preserve">inefficient and inadequate </w:t>
      </w:r>
      <w:r w:rsidRPr="002661A8">
        <w:rPr>
          <w:rFonts w:ascii="Times New Roman" w:hAnsi="Times New Roman" w:cs="Times New Roman"/>
          <w:noProof/>
          <w:sz w:val="24"/>
          <w:szCs w:val="24"/>
        </w:rPr>
        <w:t>leading to insufficient consideration of cross-border risks in the EU. EMIR requires national CCP supervisors to consult colleges and ESMA only in specific cases (</w:t>
      </w:r>
      <w:r w:rsidR="00B249D1" w:rsidRPr="002661A8">
        <w:rPr>
          <w:rFonts w:ascii="Times New Roman" w:hAnsi="Times New Roman" w:cs="Times New Roman"/>
          <w:noProof/>
          <w:sz w:val="24"/>
          <w:szCs w:val="24"/>
        </w:rPr>
        <w:t xml:space="preserve">see Table 3 in Annex 5 and </w:t>
      </w:r>
      <w:hyperlink w:anchor="_Inefficient_framework_for" w:history="1">
        <w:r w:rsidR="00B249D1" w:rsidRPr="002661A8">
          <w:rPr>
            <w:rStyle w:val="Hyperlink"/>
            <w:rFonts w:ascii="Times New Roman" w:hAnsi="Times New Roman" w:cs="Times New Roman"/>
            <w:noProof/>
            <w:sz w:val="24"/>
            <w:szCs w:val="24"/>
          </w:rPr>
          <w:t>Section 3.2.4</w:t>
        </w:r>
      </w:hyperlink>
      <w:r w:rsidRPr="002661A8">
        <w:rPr>
          <w:rFonts w:ascii="Times New Roman" w:hAnsi="Times New Roman" w:cs="Times New Roman"/>
          <w:noProof/>
          <w:sz w:val="24"/>
          <w:szCs w:val="24"/>
        </w:rPr>
        <w:t>), primarily on the authorisation stage (</w:t>
      </w:r>
      <w:r w:rsidR="00C66924" w:rsidRPr="002661A8">
        <w:rPr>
          <w:rFonts w:ascii="Times New Roman" w:hAnsi="Times New Roman" w:cs="Times New Roman"/>
          <w:noProof/>
          <w:sz w:val="24"/>
          <w:szCs w:val="24"/>
        </w:rPr>
        <w:t>nb.</w:t>
      </w:r>
      <w:r w:rsidRPr="002661A8">
        <w:rPr>
          <w:rFonts w:ascii="Times New Roman" w:hAnsi="Times New Roman" w:cs="Times New Roman"/>
          <w:noProof/>
          <w:sz w:val="24"/>
          <w:szCs w:val="24"/>
        </w:rPr>
        <w:t xml:space="preserve"> all EU CCPs are authorised and new market entrants are rare) or when the </w:t>
      </w:r>
      <w:r w:rsidR="006462F0" w:rsidRPr="002661A8">
        <w:rPr>
          <w:rFonts w:ascii="Times New Roman" w:hAnsi="Times New Roman" w:cs="Times New Roman"/>
          <w:noProof/>
          <w:sz w:val="24"/>
          <w:szCs w:val="24"/>
        </w:rPr>
        <w:t>NCA</w:t>
      </w:r>
      <w:r w:rsidRPr="002661A8">
        <w:rPr>
          <w:rFonts w:ascii="Times New Roman" w:hAnsi="Times New Roman" w:cs="Times New Roman"/>
          <w:noProof/>
          <w:sz w:val="24"/>
          <w:szCs w:val="24"/>
        </w:rPr>
        <w:t xml:space="preserve"> considers that a significant change in the CCP’s operations has taken place (e.g. extension of activities or services</w:t>
      </w:r>
      <w:r w:rsidR="00845CBE" w:rsidRPr="002661A8">
        <w:rPr>
          <w:rFonts w:ascii="Times New Roman" w:hAnsi="Times New Roman" w:cs="Times New Roman"/>
          <w:noProof/>
          <w:sz w:val="24"/>
          <w:szCs w:val="24"/>
        </w:rPr>
        <w:t xml:space="preserve"> or</w:t>
      </w:r>
      <w:r w:rsidRPr="002661A8">
        <w:rPr>
          <w:rFonts w:ascii="Times New Roman" w:hAnsi="Times New Roman" w:cs="Times New Roman"/>
          <w:noProof/>
          <w:sz w:val="24"/>
          <w:szCs w:val="24"/>
        </w:rPr>
        <w:t xml:space="preserve"> </w:t>
      </w:r>
      <w:r w:rsidR="00845CBE" w:rsidRPr="002661A8">
        <w:rPr>
          <w:rFonts w:ascii="Times New Roman" w:hAnsi="Times New Roman" w:cs="Times New Roman"/>
          <w:noProof/>
          <w:sz w:val="24"/>
          <w:szCs w:val="24"/>
        </w:rPr>
        <w:t>significant change in risk</w:t>
      </w:r>
      <w:r w:rsidRPr="002661A8">
        <w:rPr>
          <w:rFonts w:ascii="Times New Roman" w:hAnsi="Times New Roman" w:cs="Times New Roman"/>
          <w:noProof/>
          <w:sz w:val="24"/>
          <w:szCs w:val="24"/>
        </w:rPr>
        <w:t xml:space="preserve"> models</w:t>
      </w:r>
      <w:r w:rsidR="00845CBE" w:rsidRPr="002661A8">
        <w:rPr>
          <w:rFonts w:ascii="Times New Roman" w:hAnsi="Times New Roman" w:cs="Times New Roman"/>
          <w:noProof/>
          <w:sz w:val="24"/>
          <w:szCs w:val="24"/>
        </w:rPr>
        <w:t xml:space="preserve"> or parameters</w:t>
      </w:r>
      <w:r w:rsidRPr="002661A8">
        <w:rPr>
          <w:rFonts w:ascii="Times New Roman" w:hAnsi="Times New Roman" w:cs="Times New Roman"/>
          <w:noProof/>
          <w:sz w:val="24"/>
          <w:szCs w:val="24"/>
        </w:rPr>
        <w:t>). This means that despite the interconnectedness of the EU financial system and the impact that the decisions of a CCP’s supervisor can have throughout the EU, as discussed later in this section, ESMA and other national supervisors are only partially involved in the ongoing activities of EU CCPs (e.g. the annual review and evaluation of each CCPs’ arrangements, strategies, processes and mechanisms to comply with EMIR as well as the evaluation of the risks, including at least financial and operational risks, it is exposed to)</w:t>
      </w:r>
      <w:r w:rsidR="00B41661" w:rsidRPr="002661A8">
        <w:rPr>
          <w:rFonts w:ascii="Times New Roman" w:hAnsi="Times New Roman" w:cs="Times New Roman"/>
          <w:noProof/>
          <w:sz w:val="24"/>
          <w:szCs w:val="24"/>
        </w:rPr>
        <w:t>.</w:t>
      </w:r>
      <w:r w:rsidRPr="002661A8">
        <w:rPr>
          <w:rStyle w:val="FootnoteReference"/>
          <w:rFonts w:ascii="Times New Roman" w:hAnsi="Times New Roman" w:cs="Times New Roman"/>
          <w:noProof/>
          <w:sz w:val="24"/>
          <w:szCs w:val="24"/>
        </w:rPr>
        <w:footnoteReference w:id="54"/>
      </w:r>
      <w:r w:rsidRPr="002661A8" w:rsidDel="007972C5">
        <w:rPr>
          <w:rFonts w:ascii="Times New Roman" w:hAnsi="Times New Roman" w:cs="Times New Roman"/>
          <w:noProof/>
          <w:sz w:val="24"/>
          <w:szCs w:val="24"/>
        </w:rPr>
        <w:t xml:space="preserve"> </w:t>
      </w:r>
      <w:r w:rsidR="00E17E28" w:rsidRPr="002661A8">
        <w:rPr>
          <w:rFonts w:ascii="Times New Roman" w:hAnsi="Times New Roman" w:cs="Times New Roman"/>
          <w:noProof/>
          <w:sz w:val="24"/>
          <w:szCs w:val="24"/>
        </w:rPr>
        <w:t>D</w:t>
      </w:r>
      <w:r w:rsidRPr="002661A8">
        <w:rPr>
          <w:rFonts w:ascii="Times New Roman" w:hAnsi="Times New Roman" w:cs="Times New Roman"/>
          <w:noProof/>
          <w:sz w:val="24"/>
          <w:szCs w:val="24"/>
        </w:rPr>
        <w:t xml:space="preserve">ivergent supervisory practices across the EU (e.g. </w:t>
      </w:r>
      <w:r w:rsidR="006462F0" w:rsidRPr="002661A8">
        <w:rPr>
          <w:rFonts w:ascii="Times New Roman" w:hAnsi="Times New Roman" w:cs="Times New Roman"/>
          <w:noProof/>
          <w:sz w:val="24"/>
          <w:szCs w:val="24"/>
        </w:rPr>
        <w:t>NCAs</w:t>
      </w:r>
      <w:r w:rsidRPr="002661A8">
        <w:rPr>
          <w:rFonts w:ascii="Times New Roman" w:hAnsi="Times New Roman" w:cs="Times New Roman"/>
          <w:noProof/>
          <w:sz w:val="24"/>
          <w:szCs w:val="24"/>
        </w:rPr>
        <w:t>’ different approaches when a CCP should apply for an extension of its authorisation or for a model validation</w:t>
      </w:r>
      <w:r w:rsidR="00C25B94" w:rsidRPr="002661A8">
        <w:rPr>
          <w:rStyle w:val="FootnoteReference"/>
          <w:rFonts w:ascii="Times New Roman" w:hAnsi="Times New Roman" w:cs="Times New Roman"/>
          <w:noProof/>
          <w:sz w:val="24"/>
          <w:szCs w:val="24"/>
        </w:rPr>
        <w:footnoteReference w:id="55"/>
      </w:r>
      <w:r w:rsidR="4B858022" w:rsidRPr="002661A8">
        <w:rPr>
          <w:rFonts w:ascii="Times New Roman" w:hAnsi="Times New Roman" w:cs="Times New Roman"/>
          <w:noProof/>
          <w:sz w:val="24"/>
          <w:szCs w:val="24"/>
        </w:rPr>
        <w:t xml:space="preserve"> and, thus</w:t>
      </w:r>
      <w:r w:rsidRPr="002661A8">
        <w:rPr>
          <w:rFonts w:ascii="Times New Roman" w:hAnsi="Times New Roman" w:cs="Times New Roman"/>
          <w:noProof/>
          <w:sz w:val="24"/>
          <w:szCs w:val="24"/>
        </w:rPr>
        <w:t xml:space="preserve">, </w:t>
      </w:r>
      <w:r w:rsidR="57BB242C" w:rsidRPr="002661A8">
        <w:rPr>
          <w:rFonts w:ascii="Times New Roman" w:hAnsi="Times New Roman" w:cs="Times New Roman"/>
          <w:noProof/>
          <w:sz w:val="24"/>
          <w:szCs w:val="24"/>
        </w:rPr>
        <w:t>differences</w:t>
      </w:r>
      <w:r w:rsidRPr="002661A8">
        <w:rPr>
          <w:rFonts w:ascii="Times New Roman" w:hAnsi="Times New Roman" w:cs="Times New Roman"/>
          <w:noProof/>
          <w:sz w:val="24"/>
          <w:szCs w:val="24"/>
        </w:rPr>
        <w:t xml:space="preserve"> when the college and ESMA are consulted) creat</w:t>
      </w:r>
      <w:r w:rsidR="04B44F4B" w:rsidRPr="002661A8">
        <w:rPr>
          <w:rFonts w:ascii="Times New Roman" w:hAnsi="Times New Roman" w:cs="Times New Roman"/>
          <w:noProof/>
          <w:sz w:val="24"/>
          <w:szCs w:val="24"/>
        </w:rPr>
        <w:t>e</w:t>
      </w:r>
      <w:r w:rsidRPr="002661A8">
        <w:rPr>
          <w:rFonts w:ascii="Times New Roman" w:hAnsi="Times New Roman" w:cs="Times New Roman"/>
          <w:noProof/>
          <w:sz w:val="24"/>
          <w:szCs w:val="24"/>
        </w:rPr>
        <w:t xml:space="preserve"> an unlevel playing field leading to risks of regulatory and supervisory arbitrage for CCPs and indirectly for their clearing members and clients. </w:t>
      </w:r>
    </w:p>
    <w:p w14:paraId="64BCC659" w14:textId="704E1706" w:rsidR="006A74C1" w:rsidRPr="002661A8" w:rsidRDefault="006A74C1" w:rsidP="009F3588">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For example</w:t>
      </w:r>
      <w:r w:rsidRPr="002661A8" w:rsidDel="007F7715">
        <w:rPr>
          <w:rFonts w:ascii="Times New Roman" w:hAnsi="Times New Roman" w:cs="Times New Roman"/>
          <w:noProof/>
          <w:sz w:val="24"/>
          <w:szCs w:val="24"/>
        </w:rPr>
        <w:t xml:space="preserve">, </w:t>
      </w:r>
      <w:r w:rsidRPr="002661A8">
        <w:rPr>
          <w:rFonts w:ascii="Times New Roman" w:hAnsi="Times New Roman" w:cs="Times New Roman"/>
          <w:noProof/>
          <w:sz w:val="24"/>
          <w:szCs w:val="24"/>
        </w:rPr>
        <w:t>there are 14 EU CCPs</w:t>
      </w:r>
      <w:r w:rsidR="007C3B2C" w:rsidRPr="002661A8">
        <w:rPr>
          <w:rFonts w:ascii="Times New Roman" w:hAnsi="Times New Roman" w:cs="Times New Roman"/>
          <w:noProof/>
          <w:sz w:val="24"/>
          <w:szCs w:val="24"/>
        </w:rPr>
        <w:t xml:space="preserve"> (see Annex </w:t>
      </w:r>
      <w:r w:rsidR="00B8422A" w:rsidRPr="002661A8">
        <w:rPr>
          <w:rFonts w:ascii="Times New Roman" w:hAnsi="Times New Roman" w:cs="Times New Roman"/>
          <w:noProof/>
          <w:sz w:val="24"/>
          <w:szCs w:val="24"/>
        </w:rPr>
        <w:t>5</w:t>
      </w:r>
      <w:r w:rsidR="007C3B2C" w:rsidRPr="002661A8">
        <w:rPr>
          <w:rFonts w:ascii="Times New Roman" w:hAnsi="Times New Roman" w:cs="Times New Roman"/>
          <w:noProof/>
          <w:sz w:val="24"/>
          <w:szCs w:val="24"/>
        </w:rPr>
        <w:t>)</w:t>
      </w:r>
      <w:r w:rsidR="00E939E1" w:rsidRPr="002661A8">
        <w:rPr>
          <w:rFonts w:ascii="Times New Roman" w:hAnsi="Times New Roman" w:cs="Times New Roman"/>
          <w:noProof/>
          <w:sz w:val="24"/>
          <w:szCs w:val="24"/>
        </w:rPr>
        <w:t>; i</w:t>
      </w:r>
      <w:r w:rsidRPr="002661A8">
        <w:rPr>
          <w:rFonts w:ascii="Times New Roman" w:hAnsi="Times New Roman" w:cs="Times New Roman"/>
          <w:noProof/>
          <w:sz w:val="24"/>
          <w:szCs w:val="24"/>
        </w:rPr>
        <w:t xml:space="preserve">n 2021 ESMA was only </w:t>
      </w:r>
      <w:r w:rsidR="00D17B66" w:rsidRPr="002661A8">
        <w:rPr>
          <w:rFonts w:ascii="Times New Roman" w:hAnsi="Times New Roman" w:cs="Times New Roman"/>
          <w:noProof/>
          <w:sz w:val="24"/>
          <w:szCs w:val="24"/>
        </w:rPr>
        <w:t>asked</w:t>
      </w:r>
      <w:r w:rsidRPr="002661A8">
        <w:rPr>
          <w:rFonts w:ascii="Times New Roman" w:hAnsi="Times New Roman" w:cs="Times New Roman"/>
          <w:noProof/>
          <w:sz w:val="24"/>
          <w:szCs w:val="24"/>
        </w:rPr>
        <w:t xml:space="preserve"> six times to issue an opinion on </w:t>
      </w:r>
      <w:r w:rsidR="006462F0" w:rsidRPr="002661A8">
        <w:rPr>
          <w:rFonts w:ascii="Times New Roman" w:hAnsi="Times New Roman" w:cs="Times New Roman"/>
          <w:noProof/>
          <w:sz w:val="24"/>
          <w:szCs w:val="24"/>
        </w:rPr>
        <w:t>NCAs</w:t>
      </w:r>
      <w:r w:rsidRPr="002661A8">
        <w:rPr>
          <w:rFonts w:ascii="Times New Roman" w:hAnsi="Times New Roman" w:cs="Times New Roman"/>
          <w:noProof/>
          <w:sz w:val="24"/>
          <w:szCs w:val="24"/>
        </w:rPr>
        <w:t>’ draft decisions</w:t>
      </w:r>
      <w:r w:rsidR="00C25B94" w:rsidRPr="002661A8">
        <w:rPr>
          <w:rFonts w:ascii="Times New Roman" w:hAnsi="Times New Roman" w:cs="Times New Roman"/>
          <w:noProof/>
          <w:sz w:val="24"/>
          <w:szCs w:val="24"/>
        </w:rPr>
        <w:t xml:space="preserve"> and no</w:t>
      </w:r>
      <w:r w:rsidR="00E939E1" w:rsidRPr="002661A8">
        <w:rPr>
          <w:rFonts w:ascii="Times New Roman" w:hAnsi="Times New Roman" w:cs="Times New Roman"/>
          <w:noProof/>
          <w:sz w:val="24"/>
          <w:szCs w:val="24"/>
        </w:rPr>
        <w:t>ne</w:t>
      </w:r>
      <w:r w:rsidR="00C25B94" w:rsidRPr="002661A8">
        <w:rPr>
          <w:rFonts w:ascii="Times New Roman" w:hAnsi="Times New Roman" w:cs="Times New Roman"/>
          <w:noProof/>
          <w:sz w:val="24"/>
          <w:szCs w:val="24"/>
        </w:rPr>
        <w:t xml:space="preserve"> submitted decisions for ESMA’s opinion voluntarily</w:t>
      </w:r>
      <w:r w:rsidR="00E939E1" w:rsidRPr="002661A8">
        <w:rPr>
          <w:rFonts w:ascii="Times New Roman" w:hAnsi="Times New Roman" w:cs="Times New Roman"/>
          <w:noProof/>
          <w:sz w:val="24"/>
          <w:szCs w:val="24"/>
        </w:rPr>
        <w:t>.</w:t>
      </w:r>
      <w:r w:rsidRPr="002661A8">
        <w:rPr>
          <w:rStyle w:val="FootnoteReference"/>
          <w:rFonts w:ascii="Times New Roman" w:hAnsi="Times New Roman" w:cs="Times New Roman"/>
          <w:noProof/>
          <w:sz w:val="24"/>
          <w:szCs w:val="24"/>
        </w:rPr>
        <w:footnoteReference w:id="56"/>
      </w:r>
      <w:r w:rsidRPr="002661A8">
        <w:rPr>
          <w:rFonts w:ascii="Times New Roman" w:hAnsi="Times New Roman" w:cs="Times New Roman"/>
          <w:noProof/>
          <w:sz w:val="24"/>
          <w:szCs w:val="24"/>
        </w:rPr>
        <w:t xml:space="preserve"> </w:t>
      </w:r>
      <w:r w:rsidR="00E17E28" w:rsidRPr="002661A8">
        <w:rPr>
          <w:rFonts w:ascii="Times New Roman" w:hAnsi="Times New Roman" w:cs="Times New Roman"/>
          <w:noProof/>
          <w:sz w:val="24"/>
          <w:szCs w:val="24"/>
        </w:rPr>
        <w:t>Moreover</w:t>
      </w:r>
      <w:r w:rsidRPr="002661A8">
        <w:rPr>
          <w:rFonts w:ascii="Times New Roman" w:hAnsi="Times New Roman" w:cs="Times New Roman"/>
          <w:noProof/>
          <w:sz w:val="24"/>
          <w:szCs w:val="24"/>
        </w:rPr>
        <w:t xml:space="preserve">, three out of these six </w:t>
      </w:r>
      <w:r w:rsidR="00C25B94" w:rsidRPr="002661A8">
        <w:rPr>
          <w:rFonts w:ascii="Times New Roman" w:hAnsi="Times New Roman" w:cs="Times New Roman"/>
          <w:noProof/>
          <w:sz w:val="24"/>
          <w:szCs w:val="24"/>
        </w:rPr>
        <w:t>cases</w:t>
      </w:r>
      <w:r w:rsidRPr="002661A8">
        <w:rPr>
          <w:rFonts w:ascii="Times New Roman" w:hAnsi="Times New Roman" w:cs="Times New Roman"/>
          <w:noProof/>
          <w:sz w:val="24"/>
          <w:szCs w:val="24"/>
        </w:rPr>
        <w:t xml:space="preserve"> included recommendations to the </w:t>
      </w:r>
      <w:r w:rsidR="006462F0" w:rsidRPr="002661A8">
        <w:rPr>
          <w:rFonts w:ascii="Times New Roman" w:hAnsi="Times New Roman" w:cs="Times New Roman"/>
          <w:noProof/>
          <w:sz w:val="24"/>
          <w:szCs w:val="24"/>
        </w:rPr>
        <w:t>NCAs</w:t>
      </w:r>
      <w:r w:rsidRPr="002661A8">
        <w:rPr>
          <w:rFonts w:ascii="Times New Roman" w:hAnsi="Times New Roman" w:cs="Times New Roman"/>
          <w:noProof/>
          <w:sz w:val="24"/>
          <w:szCs w:val="24"/>
        </w:rPr>
        <w:t xml:space="preserve"> for implementation by the CCP either immediately or in a certain timeframe. ESMA</w:t>
      </w:r>
      <w:r w:rsidR="00021177">
        <w:rPr>
          <w:rFonts w:ascii="Times New Roman" w:hAnsi="Times New Roman" w:cs="Times New Roman"/>
          <w:noProof/>
          <w:sz w:val="24"/>
          <w:szCs w:val="24"/>
        </w:rPr>
        <w:t>,</w:t>
      </w:r>
      <w:r w:rsidRPr="002661A8">
        <w:rPr>
          <w:rFonts w:ascii="Times New Roman" w:hAnsi="Times New Roman" w:cs="Times New Roman"/>
          <w:noProof/>
          <w:sz w:val="24"/>
          <w:szCs w:val="24"/>
        </w:rPr>
        <w:t xml:space="preserve"> however</w:t>
      </w:r>
      <w:r w:rsidR="00021177">
        <w:rPr>
          <w:rFonts w:ascii="Times New Roman" w:hAnsi="Times New Roman" w:cs="Times New Roman"/>
          <w:noProof/>
          <w:sz w:val="24"/>
          <w:szCs w:val="24"/>
        </w:rPr>
        <w:t>,</w:t>
      </w:r>
      <w:r w:rsidRPr="002661A8">
        <w:rPr>
          <w:rFonts w:ascii="Times New Roman" w:hAnsi="Times New Roman" w:cs="Times New Roman"/>
          <w:noProof/>
          <w:sz w:val="24"/>
          <w:szCs w:val="24"/>
        </w:rPr>
        <w:t xml:space="preserve"> has no means of knowing</w:t>
      </w:r>
      <w:r w:rsidR="00A34A37" w:rsidRPr="002661A8">
        <w:rPr>
          <w:rFonts w:ascii="Times New Roman" w:hAnsi="Times New Roman" w:cs="Times New Roman"/>
          <w:noProof/>
          <w:sz w:val="24"/>
          <w:szCs w:val="24"/>
        </w:rPr>
        <w:t xml:space="preserve"> or ensuring</w:t>
      </w:r>
      <w:r w:rsidRPr="002661A8">
        <w:rPr>
          <w:rFonts w:ascii="Times New Roman" w:hAnsi="Times New Roman" w:cs="Times New Roman"/>
          <w:noProof/>
          <w:sz w:val="24"/>
          <w:szCs w:val="24"/>
        </w:rPr>
        <w:t xml:space="preserve"> </w:t>
      </w:r>
      <w:r w:rsidR="0037526A" w:rsidRPr="002661A8">
        <w:rPr>
          <w:rFonts w:ascii="Times New Roman" w:hAnsi="Times New Roman" w:cs="Times New Roman"/>
          <w:noProof/>
          <w:sz w:val="24"/>
          <w:szCs w:val="24"/>
        </w:rPr>
        <w:t xml:space="preserve">whether </w:t>
      </w:r>
      <w:r w:rsidRPr="002661A8">
        <w:rPr>
          <w:rFonts w:ascii="Times New Roman" w:hAnsi="Times New Roman" w:cs="Times New Roman"/>
          <w:noProof/>
          <w:sz w:val="24"/>
          <w:szCs w:val="24"/>
        </w:rPr>
        <w:t>these are followed</w:t>
      </w:r>
      <w:r w:rsidR="000B7F3A" w:rsidRPr="002661A8">
        <w:rPr>
          <w:rStyle w:val="FootnoteReference"/>
          <w:rFonts w:ascii="Times New Roman" w:hAnsi="Times New Roman" w:cs="Times New Roman"/>
          <w:noProof/>
          <w:sz w:val="24"/>
          <w:szCs w:val="24"/>
        </w:rPr>
        <w:footnoteReference w:id="57"/>
      </w:r>
      <w:r w:rsidRPr="002661A8">
        <w:rPr>
          <w:rFonts w:ascii="Times New Roman" w:hAnsi="Times New Roman" w:cs="Times New Roman"/>
          <w:noProof/>
          <w:sz w:val="24"/>
          <w:szCs w:val="24"/>
        </w:rPr>
        <w:t xml:space="preserve"> </w:t>
      </w:r>
      <w:r w:rsidR="00A34A37" w:rsidRPr="002661A8">
        <w:rPr>
          <w:rFonts w:ascii="Times New Roman" w:hAnsi="Times New Roman" w:cs="Times New Roman"/>
          <w:noProof/>
          <w:sz w:val="24"/>
          <w:szCs w:val="24"/>
        </w:rPr>
        <w:t xml:space="preserve">(beyond voluntary feedback by the </w:t>
      </w:r>
      <w:r w:rsidR="006462F0" w:rsidRPr="002661A8">
        <w:rPr>
          <w:rFonts w:ascii="Times New Roman" w:hAnsi="Times New Roman" w:cs="Times New Roman"/>
          <w:noProof/>
          <w:sz w:val="24"/>
          <w:szCs w:val="24"/>
        </w:rPr>
        <w:t>NCA</w:t>
      </w:r>
      <w:r w:rsidR="00A34A37" w:rsidRPr="002661A8">
        <w:rPr>
          <w:rFonts w:ascii="Times New Roman" w:hAnsi="Times New Roman" w:cs="Times New Roman"/>
          <w:noProof/>
          <w:sz w:val="24"/>
          <w:szCs w:val="24"/>
        </w:rPr>
        <w:t xml:space="preserve">) </w:t>
      </w:r>
      <w:r w:rsidRPr="002661A8">
        <w:rPr>
          <w:rFonts w:ascii="Times New Roman" w:hAnsi="Times New Roman" w:cs="Times New Roman"/>
          <w:noProof/>
          <w:sz w:val="24"/>
          <w:szCs w:val="24"/>
        </w:rPr>
        <w:t>or of informing interested parties that its recommendations have not been applied</w:t>
      </w:r>
      <w:r w:rsidR="00A34A37" w:rsidRPr="002661A8">
        <w:rPr>
          <w:rFonts w:ascii="Times New Roman" w:hAnsi="Times New Roman" w:cs="Times New Roman"/>
          <w:noProof/>
          <w:sz w:val="24"/>
          <w:szCs w:val="24"/>
        </w:rPr>
        <w:t xml:space="preserve">, </w:t>
      </w:r>
      <w:r w:rsidR="00A34A37" w:rsidRPr="002661A8">
        <w:rPr>
          <w:rFonts w:ascii="Times New Roman" w:eastAsia="Calibri" w:hAnsi="Times New Roman" w:cs="Times New Roman"/>
          <w:noProof/>
          <w:sz w:val="24"/>
          <w:szCs w:val="24"/>
        </w:rPr>
        <w:t>thereby limiting supervisory convergence in the EU.</w:t>
      </w:r>
      <w:r w:rsidRPr="002661A8">
        <w:rPr>
          <w:rFonts w:ascii="Times New Roman" w:hAnsi="Times New Roman" w:cs="Times New Roman"/>
          <w:noProof/>
          <w:sz w:val="24"/>
          <w:szCs w:val="24"/>
        </w:rPr>
        <w:t xml:space="preserve"> </w:t>
      </w:r>
      <w:r w:rsidR="00A34A37" w:rsidRPr="002661A8">
        <w:rPr>
          <w:rFonts w:ascii="Times New Roman" w:eastAsia="Calibri" w:hAnsi="Times New Roman" w:cs="Times New Roman"/>
          <w:noProof/>
          <w:sz w:val="24"/>
          <w:szCs w:val="24"/>
        </w:rPr>
        <w:t xml:space="preserve">While the diversity of the college membership is an asset as it is representative of the clearing ecosystem, </w:t>
      </w:r>
      <w:r w:rsidR="00A34A37" w:rsidRPr="002661A8">
        <w:rPr>
          <w:rFonts w:ascii="Times New Roman" w:hAnsi="Times New Roman" w:cs="Times New Roman"/>
          <w:noProof/>
          <w:sz w:val="24"/>
          <w:szCs w:val="24"/>
        </w:rPr>
        <w:t>certain stakeholders noted that colleges have limited added value as the</w:t>
      </w:r>
      <w:r w:rsidR="00F9462F" w:rsidRPr="002661A8">
        <w:rPr>
          <w:rFonts w:ascii="Times New Roman" w:hAnsi="Times New Roman" w:cs="Times New Roman"/>
          <w:noProof/>
          <w:sz w:val="24"/>
          <w:szCs w:val="24"/>
        </w:rPr>
        <w:t>y</w:t>
      </w:r>
      <w:r w:rsidR="00A34A37" w:rsidRPr="002661A8" w:rsidDel="00F9462F">
        <w:rPr>
          <w:rFonts w:ascii="Times New Roman" w:hAnsi="Times New Roman" w:cs="Times New Roman"/>
          <w:noProof/>
          <w:sz w:val="24"/>
          <w:szCs w:val="24"/>
        </w:rPr>
        <w:t xml:space="preserve"> </w:t>
      </w:r>
      <w:r w:rsidR="00A34A37" w:rsidRPr="002661A8">
        <w:rPr>
          <w:rFonts w:ascii="Times New Roman" w:hAnsi="Times New Roman" w:cs="Times New Roman"/>
          <w:noProof/>
          <w:sz w:val="24"/>
          <w:szCs w:val="24"/>
        </w:rPr>
        <w:t xml:space="preserve">in principle agree with the assessment of </w:t>
      </w:r>
      <w:r w:rsidR="006462F0" w:rsidRPr="002661A8">
        <w:rPr>
          <w:rFonts w:ascii="Times New Roman" w:hAnsi="Times New Roman" w:cs="Times New Roman"/>
          <w:noProof/>
          <w:sz w:val="24"/>
          <w:szCs w:val="24"/>
        </w:rPr>
        <w:t>NCAs</w:t>
      </w:r>
      <w:r w:rsidR="00A34A37" w:rsidRPr="002661A8">
        <w:rPr>
          <w:rFonts w:ascii="Times New Roman" w:hAnsi="Times New Roman" w:cs="Times New Roman"/>
          <w:noProof/>
          <w:sz w:val="24"/>
          <w:szCs w:val="24"/>
        </w:rPr>
        <w:t xml:space="preserve"> – at times even deciding not to agree with the recommendations proposed by ESMA</w:t>
      </w:r>
      <w:r w:rsidR="00B41661" w:rsidRPr="002661A8">
        <w:rPr>
          <w:rFonts w:ascii="Times New Roman" w:hAnsi="Times New Roman" w:cs="Times New Roman"/>
          <w:noProof/>
          <w:sz w:val="24"/>
          <w:szCs w:val="24"/>
        </w:rPr>
        <w:t>.</w:t>
      </w:r>
      <w:r w:rsidR="00A34A37" w:rsidRPr="002661A8">
        <w:rPr>
          <w:rStyle w:val="FootnoteReference"/>
          <w:rFonts w:ascii="Times New Roman" w:hAnsi="Times New Roman" w:cs="Times New Roman"/>
          <w:noProof/>
          <w:sz w:val="24"/>
          <w:szCs w:val="24"/>
        </w:rPr>
        <w:footnoteReference w:id="58"/>
      </w:r>
      <w:r w:rsidR="00A34A37" w:rsidRPr="002661A8">
        <w:rPr>
          <w:rFonts w:ascii="Times New Roman" w:hAnsi="Times New Roman" w:cs="Times New Roman"/>
          <w:noProof/>
          <w:sz w:val="24"/>
          <w:szCs w:val="24"/>
        </w:rPr>
        <w:t xml:space="preserve"> </w:t>
      </w:r>
      <w:r w:rsidRPr="002661A8">
        <w:rPr>
          <w:rFonts w:ascii="Times New Roman" w:hAnsi="Times New Roman" w:cs="Times New Roman"/>
          <w:noProof/>
          <w:sz w:val="24"/>
          <w:szCs w:val="24"/>
        </w:rPr>
        <w:t xml:space="preserve">Since the entry into force of EMIR 2.2, in principle only </w:t>
      </w:r>
      <w:r w:rsidR="0037526A" w:rsidRPr="002661A8">
        <w:rPr>
          <w:rFonts w:ascii="Times New Roman" w:hAnsi="Times New Roman" w:cs="Times New Roman"/>
          <w:noProof/>
          <w:sz w:val="24"/>
          <w:szCs w:val="24"/>
        </w:rPr>
        <w:t>one</w:t>
      </w:r>
      <w:r w:rsidRPr="002661A8">
        <w:rPr>
          <w:rFonts w:ascii="Times New Roman" w:hAnsi="Times New Roman" w:cs="Times New Roman"/>
          <w:noProof/>
          <w:sz w:val="24"/>
          <w:szCs w:val="24"/>
        </w:rPr>
        <w:t xml:space="preserve"> college meeting per CCP</w:t>
      </w:r>
      <w:r w:rsidRPr="002661A8" w:rsidDel="00357C83">
        <w:rPr>
          <w:rFonts w:ascii="Times New Roman" w:hAnsi="Times New Roman" w:cs="Times New Roman"/>
          <w:noProof/>
          <w:sz w:val="24"/>
          <w:szCs w:val="24"/>
        </w:rPr>
        <w:t xml:space="preserve"> </w:t>
      </w:r>
      <w:r w:rsidR="00F24159" w:rsidRPr="002661A8">
        <w:rPr>
          <w:rFonts w:ascii="Times New Roman" w:hAnsi="Times New Roman" w:cs="Times New Roman"/>
          <w:noProof/>
          <w:sz w:val="24"/>
          <w:szCs w:val="24"/>
        </w:rPr>
        <w:t xml:space="preserve">has been </w:t>
      </w:r>
      <w:r w:rsidRPr="002661A8">
        <w:rPr>
          <w:rFonts w:ascii="Times New Roman" w:hAnsi="Times New Roman" w:cs="Times New Roman"/>
          <w:noProof/>
          <w:sz w:val="24"/>
          <w:szCs w:val="24"/>
        </w:rPr>
        <w:t xml:space="preserve">held per year and for a limited number of CCPs, no college meeting </w:t>
      </w:r>
      <w:r w:rsidR="00F24159" w:rsidRPr="002661A8">
        <w:rPr>
          <w:rFonts w:ascii="Times New Roman" w:hAnsi="Times New Roman" w:cs="Times New Roman"/>
          <w:noProof/>
          <w:sz w:val="24"/>
          <w:szCs w:val="24"/>
        </w:rPr>
        <w:t xml:space="preserve">has been </w:t>
      </w:r>
      <w:r w:rsidRPr="002661A8">
        <w:rPr>
          <w:rFonts w:ascii="Times New Roman" w:hAnsi="Times New Roman" w:cs="Times New Roman"/>
          <w:noProof/>
          <w:sz w:val="24"/>
          <w:szCs w:val="24"/>
        </w:rPr>
        <w:t>held in a given year</w:t>
      </w:r>
      <w:r w:rsidR="00B41661" w:rsidRPr="002661A8">
        <w:rPr>
          <w:rFonts w:ascii="Times New Roman" w:hAnsi="Times New Roman" w:cs="Times New Roman"/>
          <w:noProof/>
          <w:sz w:val="24"/>
          <w:szCs w:val="24"/>
        </w:rPr>
        <w:t>.</w:t>
      </w:r>
      <w:r w:rsidRPr="002661A8">
        <w:rPr>
          <w:rStyle w:val="FootnoteReference"/>
          <w:rFonts w:ascii="Times New Roman" w:hAnsi="Times New Roman" w:cs="Times New Roman"/>
          <w:noProof/>
          <w:sz w:val="24"/>
          <w:szCs w:val="24"/>
        </w:rPr>
        <w:footnoteReference w:id="59"/>
      </w:r>
      <w:r w:rsidRPr="002661A8" w:rsidDel="003803BB">
        <w:rPr>
          <w:rFonts w:ascii="Times New Roman" w:hAnsi="Times New Roman" w:cs="Times New Roman"/>
          <w:noProof/>
          <w:sz w:val="24"/>
          <w:szCs w:val="24"/>
        </w:rPr>
        <w:t xml:space="preserve"> </w:t>
      </w:r>
      <w:r w:rsidRPr="002661A8">
        <w:rPr>
          <w:rFonts w:ascii="Times New Roman" w:hAnsi="Times New Roman" w:cs="Times New Roman"/>
          <w:noProof/>
          <w:sz w:val="24"/>
          <w:szCs w:val="24"/>
        </w:rPr>
        <w:t xml:space="preserve">ESMA has also observed some heterogeneity in the degree </w:t>
      </w:r>
      <w:r w:rsidR="00782B02" w:rsidRPr="002661A8">
        <w:rPr>
          <w:rFonts w:ascii="Times New Roman" w:hAnsi="Times New Roman" w:cs="Times New Roman"/>
          <w:noProof/>
          <w:sz w:val="24"/>
          <w:szCs w:val="24"/>
        </w:rPr>
        <w:t>of participation of</w:t>
      </w:r>
      <w:r w:rsidRPr="002661A8">
        <w:rPr>
          <w:rFonts w:ascii="Times New Roman" w:hAnsi="Times New Roman" w:cs="Times New Roman"/>
          <w:noProof/>
          <w:sz w:val="24"/>
          <w:szCs w:val="24"/>
        </w:rPr>
        <w:t xml:space="preserve"> different college members</w:t>
      </w:r>
      <w:r w:rsidRPr="002661A8">
        <w:rPr>
          <w:rStyle w:val="FootnoteReference"/>
          <w:rFonts w:ascii="Times New Roman" w:hAnsi="Times New Roman" w:cs="Times New Roman"/>
          <w:noProof/>
          <w:sz w:val="24"/>
          <w:szCs w:val="24"/>
        </w:rPr>
        <w:footnoteReference w:id="60"/>
      </w:r>
      <w:r w:rsidRPr="002661A8">
        <w:rPr>
          <w:rFonts w:ascii="Times New Roman" w:hAnsi="Times New Roman" w:cs="Times New Roman"/>
          <w:noProof/>
          <w:sz w:val="24"/>
          <w:szCs w:val="24"/>
        </w:rPr>
        <w:t>.</w:t>
      </w:r>
    </w:p>
    <w:p w14:paraId="3912230B" w14:textId="762F7949" w:rsidR="006A74C1" w:rsidRPr="002661A8" w:rsidRDefault="006A74C1" w:rsidP="009F3588">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The involvement of central banks of issue in the supervision of EU CCPs is also limited (i.e. in colleges and as non-voting members of the CCP Supervisory Committee when the latter discusses EU market developments and stress tests), despite the importance of CCPs for the conduct of monetary policy and the functioning of payment systems.</w:t>
      </w:r>
    </w:p>
    <w:p w14:paraId="07D72741" w14:textId="6ABB0193" w:rsidR="006A74C1" w:rsidRPr="002661A8" w:rsidRDefault="006A74C1" w:rsidP="009F3588">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The length of procedures for exten</w:t>
      </w:r>
      <w:r w:rsidR="00415E8A" w:rsidRPr="002661A8">
        <w:rPr>
          <w:rFonts w:ascii="Times New Roman" w:hAnsi="Times New Roman" w:cs="Times New Roman"/>
          <w:noProof/>
          <w:sz w:val="24"/>
          <w:szCs w:val="24"/>
        </w:rPr>
        <w:t>ding</w:t>
      </w:r>
      <w:r w:rsidRPr="002661A8">
        <w:rPr>
          <w:rFonts w:ascii="Times New Roman" w:hAnsi="Times New Roman" w:cs="Times New Roman"/>
          <w:noProof/>
          <w:sz w:val="24"/>
          <w:szCs w:val="24"/>
        </w:rPr>
        <w:t xml:space="preserve"> services or activities</w:t>
      </w:r>
      <w:r w:rsidR="00415E8A" w:rsidRPr="002661A8">
        <w:rPr>
          <w:rFonts w:ascii="Times New Roman" w:hAnsi="Times New Roman" w:cs="Times New Roman"/>
          <w:noProof/>
          <w:sz w:val="24"/>
          <w:szCs w:val="24"/>
        </w:rPr>
        <w:t>, as well as</w:t>
      </w:r>
      <w:r w:rsidRPr="002661A8">
        <w:rPr>
          <w:rFonts w:ascii="Times New Roman" w:hAnsi="Times New Roman" w:cs="Times New Roman"/>
          <w:noProof/>
          <w:sz w:val="24"/>
          <w:szCs w:val="24"/>
        </w:rPr>
        <w:t xml:space="preserve"> changes to a CCP’s models also raises financial stability concerns (see also </w:t>
      </w:r>
      <w:hyperlink w:anchor="_Supply_side_problems" w:history="1">
        <w:r w:rsidRPr="002661A8">
          <w:rPr>
            <w:rStyle w:val="Hyperlink"/>
            <w:rFonts w:ascii="Times New Roman" w:hAnsi="Times New Roman" w:cs="Times New Roman"/>
            <w:noProof/>
            <w:sz w:val="24"/>
            <w:szCs w:val="24"/>
          </w:rPr>
          <w:t xml:space="preserve">Section </w:t>
        </w:r>
        <w:r w:rsidR="00F9462F" w:rsidRPr="002661A8">
          <w:rPr>
            <w:rStyle w:val="Hyperlink"/>
            <w:rFonts w:ascii="Times New Roman" w:hAnsi="Times New Roman" w:cs="Times New Roman"/>
            <w:noProof/>
            <w:sz w:val="24"/>
            <w:szCs w:val="24"/>
          </w:rPr>
          <w:t>3</w:t>
        </w:r>
        <w:r w:rsidRPr="002661A8">
          <w:rPr>
            <w:rStyle w:val="Hyperlink"/>
            <w:rFonts w:ascii="Times New Roman" w:hAnsi="Times New Roman" w:cs="Times New Roman"/>
            <w:noProof/>
            <w:sz w:val="24"/>
            <w:szCs w:val="24"/>
          </w:rPr>
          <w:t>.1.1</w:t>
        </w:r>
      </w:hyperlink>
      <w:r w:rsidRPr="002661A8">
        <w:rPr>
          <w:rFonts w:ascii="Times New Roman" w:hAnsi="Times New Roman" w:cs="Times New Roman"/>
          <w:noProof/>
          <w:sz w:val="24"/>
          <w:szCs w:val="24"/>
        </w:rPr>
        <w:t xml:space="preserve">). Many changes on risk parameters and methodologies should be approved swiftly by </w:t>
      </w:r>
      <w:r w:rsidR="006462F0" w:rsidRPr="002661A8">
        <w:rPr>
          <w:rFonts w:ascii="Times New Roman" w:hAnsi="Times New Roman" w:cs="Times New Roman"/>
          <w:noProof/>
          <w:sz w:val="24"/>
          <w:szCs w:val="24"/>
        </w:rPr>
        <w:t>NCAs</w:t>
      </w:r>
      <w:r w:rsidR="00F9462F" w:rsidRPr="002661A8">
        <w:rPr>
          <w:rFonts w:ascii="Times New Roman" w:hAnsi="Times New Roman" w:cs="Times New Roman"/>
          <w:noProof/>
          <w:sz w:val="24"/>
          <w:szCs w:val="24"/>
        </w:rPr>
        <w:t xml:space="preserve"> </w:t>
      </w:r>
      <w:r w:rsidR="00236B86" w:rsidRPr="002661A8">
        <w:rPr>
          <w:rFonts w:ascii="Times New Roman" w:hAnsi="Times New Roman" w:cs="Times New Roman"/>
          <w:noProof/>
          <w:sz w:val="24"/>
          <w:szCs w:val="24"/>
        </w:rPr>
        <w:t>and ESMA</w:t>
      </w:r>
      <w:r w:rsidRPr="002661A8">
        <w:rPr>
          <w:rFonts w:ascii="Times New Roman" w:hAnsi="Times New Roman" w:cs="Times New Roman"/>
          <w:noProof/>
          <w:sz w:val="24"/>
          <w:szCs w:val="24"/>
        </w:rPr>
        <w:t xml:space="preserve"> to increase CCPs</w:t>
      </w:r>
      <w:r w:rsidR="00021177">
        <w:rPr>
          <w:rFonts w:ascii="Times New Roman" w:hAnsi="Times New Roman" w:cs="Times New Roman"/>
          <w:noProof/>
          <w:sz w:val="24"/>
          <w:szCs w:val="24"/>
        </w:rPr>
        <w:t>’</w:t>
      </w:r>
      <w:r w:rsidRPr="002661A8">
        <w:rPr>
          <w:rFonts w:ascii="Times New Roman" w:hAnsi="Times New Roman" w:cs="Times New Roman"/>
          <w:noProof/>
          <w:sz w:val="24"/>
          <w:szCs w:val="24"/>
        </w:rPr>
        <w:t xml:space="preserve"> resilience. However, the way Article 49 of EMIR is applied may lead to a</w:t>
      </w:r>
      <w:r w:rsidR="00C43394" w:rsidRPr="002661A8">
        <w:rPr>
          <w:rFonts w:ascii="Times New Roman" w:hAnsi="Times New Roman" w:cs="Times New Roman"/>
          <w:noProof/>
          <w:sz w:val="24"/>
          <w:szCs w:val="24"/>
        </w:rPr>
        <w:t xml:space="preserve"> rise</w:t>
      </w:r>
      <w:r w:rsidRPr="002661A8">
        <w:rPr>
          <w:rFonts w:ascii="Times New Roman" w:hAnsi="Times New Roman" w:cs="Times New Roman"/>
          <w:noProof/>
          <w:sz w:val="24"/>
          <w:szCs w:val="24"/>
        </w:rPr>
        <w:t xml:space="preserve"> in the risks that CCPs face if the proposed changes are not applied in time</w:t>
      </w:r>
      <w:r w:rsidR="00FE7899" w:rsidRPr="002661A8">
        <w:rPr>
          <w:rFonts w:ascii="Times New Roman" w:hAnsi="Times New Roman" w:cs="Times New Roman"/>
          <w:noProof/>
          <w:sz w:val="24"/>
          <w:szCs w:val="24"/>
        </w:rPr>
        <w:t xml:space="preserve"> (see </w:t>
      </w:r>
      <w:hyperlink w:anchor="_Complex,_lengthy,_and" w:history="1">
        <w:r w:rsidR="00FE7899" w:rsidRPr="002661A8">
          <w:rPr>
            <w:rStyle w:val="Hyperlink"/>
            <w:rFonts w:ascii="Times New Roman" w:hAnsi="Times New Roman" w:cs="Times New Roman"/>
            <w:noProof/>
            <w:sz w:val="24"/>
            <w:szCs w:val="24"/>
          </w:rPr>
          <w:t>Section 3.2.1</w:t>
        </w:r>
      </w:hyperlink>
      <w:r w:rsidR="00FE7899" w:rsidRPr="002661A8">
        <w:rPr>
          <w:rFonts w:ascii="Times New Roman" w:hAnsi="Times New Roman" w:cs="Times New Roman"/>
          <w:noProof/>
          <w:sz w:val="24"/>
          <w:szCs w:val="24"/>
        </w:rPr>
        <w:t>)</w:t>
      </w:r>
      <w:r w:rsidRPr="002661A8">
        <w:rPr>
          <w:rFonts w:ascii="Times New Roman" w:hAnsi="Times New Roman" w:cs="Times New Roman"/>
          <w:noProof/>
          <w:sz w:val="24"/>
          <w:szCs w:val="24"/>
        </w:rPr>
        <w:t xml:space="preserve">. For example, during a market stress period in 2022, one CCP noted </w:t>
      </w:r>
      <w:r w:rsidR="00F9462F" w:rsidRPr="002661A8">
        <w:rPr>
          <w:rFonts w:ascii="Times New Roman" w:hAnsi="Times New Roman" w:cs="Times New Roman"/>
          <w:noProof/>
          <w:sz w:val="24"/>
          <w:szCs w:val="24"/>
        </w:rPr>
        <w:t xml:space="preserve">that, </w:t>
      </w:r>
      <w:r w:rsidRPr="002661A8">
        <w:rPr>
          <w:rFonts w:ascii="Times New Roman" w:hAnsi="Times New Roman" w:cs="Times New Roman"/>
          <w:noProof/>
          <w:sz w:val="24"/>
          <w:szCs w:val="24"/>
        </w:rPr>
        <w:t xml:space="preserve">based on their back-testing procedure, </w:t>
      </w:r>
      <w:r w:rsidR="00236B86" w:rsidRPr="002661A8">
        <w:rPr>
          <w:rFonts w:ascii="Times New Roman" w:hAnsi="Times New Roman" w:cs="Times New Roman"/>
          <w:noProof/>
          <w:sz w:val="24"/>
          <w:szCs w:val="24"/>
        </w:rPr>
        <w:t>the</w:t>
      </w:r>
      <w:r w:rsidRPr="002661A8">
        <w:rPr>
          <w:rFonts w:ascii="Times New Roman" w:hAnsi="Times New Roman" w:cs="Times New Roman"/>
          <w:noProof/>
          <w:sz w:val="24"/>
          <w:szCs w:val="24"/>
        </w:rPr>
        <w:t xml:space="preserve"> margins</w:t>
      </w:r>
      <w:r w:rsidR="00236B86" w:rsidRPr="002661A8">
        <w:rPr>
          <w:rFonts w:ascii="Times New Roman" w:hAnsi="Times New Roman" w:cs="Times New Roman"/>
          <w:noProof/>
          <w:sz w:val="24"/>
          <w:szCs w:val="24"/>
        </w:rPr>
        <w:t xml:space="preserve"> requested</w:t>
      </w:r>
      <w:r w:rsidRPr="002661A8">
        <w:rPr>
          <w:rFonts w:ascii="Times New Roman" w:hAnsi="Times New Roman" w:cs="Times New Roman"/>
          <w:noProof/>
          <w:sz w:val="24"/>
          <w:szCs w:val="24"/>
        </w:rPr>
        <w:t xml:space="preserve"> in one of their products were </w:t>
      </w:r>
      <w:r w:rsidR="00236B86" w:rsidRPr="002661A8">
        <w:rPr>
          <w:rFonts w:ascii="Times New Roman" w:hAnsi="Times New Roman" w:cs="Times New Roman"/>
          <w:noProof/>
          <w:sz w:val="24"/>
          <w:szCs w:val="24"/>
        </w:rPr>
        <w:t>insufficient</w:t>
      </w:r>
      <w:r w:rsidRPr="002661A8">
        <w:rPr>
          <w:rFonts w:ascii="Times New Roman" w:hAnsi="Times New Roman" w:cs="Times New Roman"/>
          <w:noProof/>
          <w:sz w:val="24"/>
          <w:szCs w:val="24"/>
        </w:rPr>
        <w:t xml:space="preserve"> and decided to change the model inputs.</w:t>
      </w:r>
      <w:r w:rsidRPr="002661A8">
        <w:rPr>
          <w:rStyle w:val="FootnoteReference"/>
          <w:rFonts w:ascii="Times New Roman" w:hAnsi="Times New Roman" w:cs="Times New Roman"/>
          <w:noProof/>
          <w:sz w:val="24"/>
          <w:szCs w:val="24"/>
        </w:rPr>
        <w:footnoteReference w:id="61"/>
      </w:r>
      <w:r w:rsidRPr="002661A8">
        <w:rPr>
          <w:rFonts w:ascii="Times New Roman" w:hAnsi="Times New Roman" w:cs="Times New Roman"/>
          <w:noProof/>
          <w:sz w:val="24"/>
          <w:szCs w:val="24"/>
        </w:rPr>
        <w:t xml:space="preserve"> Even though the </w:t>
      </w:r>
      <w:r w:rsidR="00E86D04" w:rsidRPr="002661A8">
        <w:rPr>
          <w:rFonts w:ascii="Times New Roman" w:hAnsi="Times New Roman" w:cs="Times New Roman"/>
          <w:noProof/>
          <w:sz w:val="24"/>
          <w:szCs w:val="24"/>
        </w:rPr>
        <w:t>Article 49(1e)</w:t>
      </w:r>
      <w:r w:rsidRPr="002661A8">
        <w:rPr>
          <w:rFonts w:ascii="Times New Roman" w:hAnsi="Times New Roman" w:cs="Times New Roman"/>
          <w:noProof/>
          <w:sz w:val="24"/>
          <w:szCs w:val="24"/>
        </w:rPr>
        <w:t xml:space="preserve"> </w:t>
      </w:r>
      <w:r w:rsidR="401499C2" w:rsidRPr="002661A8">
        <w:rPr>
          <w:rFonts w:ascii="Times New Roman" w:hAnsi="Times New Roman" w:cs="Times New Roman"/>
          <w:noProof/>
          <w:sz w:val="24"/>
          <w:szCs w:val="24"/>
        </w:rPr>
        <w:t>of EMIR</w:t>
      </w:r>
      <w:r w:rsidRPr="002661A8">
        <w:rPr>
          <w:rFonts w:ascii="Times New Roman" w:hAnsi="Times New Roman" w:cs="Times New Roman"/>
          <w:noProof/>
          <w:sz w:val="24"/>
          <w:szCs w:val="24"/>
        </w:rPr>
        <w:t xml:space="preserve"> </w:t>
      </w:r>
      <w:r w:rsidR="00C43394" w:rsidRPr="002661A8">
        <w:rPr>
          <w:rFonts w:ascii="Times New Roman" w:hAnsi="Times New Roman" w:cs="Times New Roman"/>
          <w:noProof/>
          <w:sz w:val="24"/>
          <w:szCs w:val="24"/>
        </w:rPr>
        <w:t xml:space="preserve">procedure </w:t>
      </w:r>
      <w:r w:rsidRPr="002661A8">
        <w:rPr>
          <w:rFonts w:ascii="Times New Roman" w:hAnsi="Times New Roman" w:cs="Times New Roman"/>
          <w:noProof/>
          <w:sz w:val="24"/>
          <w:szCs w:val="24"/>
        </w:rPr>
        <w:t>was applied</w:t>
      </w:r>
      <w:r w:rsidR="00F9462F" w:rsidRPr="002661A8">
        <w:rPr>
          <w:rFonts w:ascii="Times New Roman" w:hAnsi="Times New Roman" w:cs="Times New Roman"/>
          <w:noProof/>
          <w:sz w:val="24"/>
          <w:szCs w:val="24"/>
        </w:rPr>
        <w:t xml:space="preserve"> (provisional validation – see </w:t>
      </w:r>
      <w:hyperlink w:anchor="_Complex,_lengthy,_and" w:history="1">
        <w:r w:rsidR="00F9462F" w:rsidRPr="002661A8">
          <w:rPr>
            <w:rStyle w:val="Hyperlink"/>
            <w:rFonts w:ascii="Times New Roman" w:hAnsi="Times New Roman" w:cs="Times New Roman"/>
            <w:noProof/>
            <w:sz w:val="24"/>
            <w:szCs w:val="24"/>
          </w:rPr>
          <w:t>Section 3.2.1</w:t>
        </w:r>
      </w:hyperlink>
      <w:r w:rsidR="00F9462F" w:rsidRPr="002661A8">
        <w:rPr>
          <w:rFonts w:ascii="Times New Roman" w:hAnsi="Times New Roman" w:cs="Times New Roman"/>
          <w:noProof/>
          <w:sz w:val="24"/>
          <w:szCs w:val="24"/>
        </w:rPr>
        <w:t>)</w:t>
      </w:r>
      <w:r w:rsidRPr="002661A8">
        <w:rPr>
          <w:rFonts w:ascii="Times New Roman" w:hAnsi="Times New Roman" w:cs="Times New Roman"/>
          <w:noProof/>
          <w:sz w:val="24"/>
          <w:szCs w:val="24"/>
        </w:rPr>
        <w:t>, it still took four weeks from the moment the CCP informed the authorities of the change to its approval. A default during those four weeks would have put the market unnecessarily at risk due to a known issue.</w:t>
      </w:r>
    </w:p>
    <w:p w14:paraId="3B096EEC" w14:textId="3B16ED03" w:rsidR="006B087E" w:rsidRPr="002661A8" w:rsidRDefault="3FA542DF" w:rsidP="00ED5088">
      <w:pPr>
        <w:pStyle w:val="Heading1"/>
        <w:numPr>
          <w:ilvl w:val="1"/>
          <w:numId w:val="6"/>
        </w:numPr>
        <w:spacing w:before="0" w:after="120"/>
        <w:rPr>
          <w:smallCaps w:val="0"/>
          <w:noProof/>
        </w:rPr>
      </w:pPr>
      <w:bookmarkStart w:id="243" w:name="_Toc103337469"/>
      <w:bookmarkStart w:id="244" w:name="_Toc106827816"/>
      <w:bookmarkStart w:id="245" w:name="_Toc106981692"/>
      <w:bookmarkStart w:id="246" w:name="_Toc107493832"/>
      <w:bookmarkStart w:id="247" w:name="_Toc107497868"/>
      <w:bookmarkStart w:id="248" w:name="_Toc107503421"/>
      <w:bookmarkStart w:id="249" w:name="_Toc107504569"/>
      <w:bookmarkStart w:id="250" w:name="_Toc107505414"/>
      <w:bookmarkStart w:id="251" w:name="_Toc107838890"/>
      <w:bookmarkStart w:id="252" w:name="_Toc107846985"/>
      <w:bookmarkStart w:id="253" w:name="_Toc107849222"/>
      <w:bookmarkStart w:id="254" w:name="_Toc107853669"/>
      <w:bookmarkStart w:id="255" w:name="_Toc108539792"/>
      <w:bookmarkStart w:id="256" w:name="_Toc108539910"/>
      <w:bookmarkStart w:id="257" w:name="_Toc109057368"/>
      <w:bookmarkStart w:id="258" w:name="_Toc109120734"/>
      <w:bookmarkStart w:id="259" w:name="_Toc109122369"/>
      <w:bookmarkStart w:id="260" w:name="_Toc109133106"/>
      <w:bookmarkStart w:id="261" w:name="_Toc120291640"/>
      <w:r w:rsidRPr="002661A8">
        <w:rPr>
          <w:smallCaps w:val="0"/>
          <w:noProof/>
        </w:rPr>
        <w:t>What are the problem drivers?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6A6EBBD3" w14:textId="0DEFF761" w:rsidR="009C614D" w:rsidRPr="002661A8" w:rsidRDefault="3FA542DF" w:rsidP="00ED5088">
      <w:pPr>
        <w:pStyle w:val="Heading1"/>
        <w:numPr>
          <w:ilvl w:val="2"/>
          <w:numId w:val="6"/>
        </w:numPr>
        <w:spacing w:before="0" w:after="120"/>
        <w:rPr>
          <w:b w:val="0"/>
          <w:i/>
          <w:smallCaps w:val="0"/>
          <w:noProof/>
        </w:rPr>
      </w:pPr>
      <w:bookmarkStart w:id="262" w:name="_Toc103337470"/>
      <w:bookmarkStart w:id="263" w:name="_Toc106981693"/>
      <w:bookmarkStart w:id="264" w:name="_Toc107493833"/>
      <w:bookmarkStart w:id="265" w:name="_Toc107497869"/>
      <w:bookmarkStart w:id="266" w:name="_Toc107503422"/>
      <w:bookmarkStart w:id="267" w:name="_Toc107504570"/>
      <w:bookmarkStart w:id="268" w:name="_Toc107505415"/>
      <w:bookmarkStart w:id="269" w:name="_Toc107838891"/>
      <w:bookmarkStart w:id="270" w:name="_Toc107846986"/>
      <w:bookmarkStart w:id="271" w:name="_Toc107849223"/>
      <w:bookmarkStart w:id="272" w:name="_Toc107853670"/>
      <w:bookmarkStart w:id="273" w:name="_Toc108418479"/>
      <w:bookmarkStart w:id="274" w:name="_Toc108539571"/>
      <w:bookmarkStart w:id="275" w:name="_Toc108539793"/>
      <w:bookmarkStart w:id="276" w:name="_Toc108539911"/>
      <w:bookmarkStart w:id="277" w:name="_Toc108539990"/>
      <w:bookmarkStart w:id="278" w:name="_Toc109057369"/>
      <w:bookmarkStart w:id="279" w:name="_Toc109120735"/>
      <w:bookmarkStart w:id="280" w:name="_Toc109122370"/>
      <w:bookmarkStart w:id="281" w:name="_Toc109124083"/>
      <w:bookmarkStart w:id="282" w:name="_Toc109133107"/>
      <w:bookmarkStart w:id="283" w:name="_Toc109133283"/>
      <w:bookmarkStart w:id="284" w:name="_Toc120291641"/>
      <w:bookmarkStart w:id="285" w:name="_Toc106827817"/>
      <w:r w:rsidRPr="002661A8">
        <w:rPr>
          <w:b w:val="0"/>
          <w:i/>
          <w:smallCaps w:val="0"/>
          <w:noProof/>
        </w:rPr>
        <w:t>Complex, lengthy, and burdensom</w:t>
      </w:r>
      <w:r w:rsidR="00337C16" w:rsidRPr="002661A8">
        <w:rPr>
          <w:b w:val="0"/>
          <w:i/>
          <w:smallCaps w:val="0"/>
          <w:noProof/>
        </w:rPr>
        <w:t>e procedures</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00337C16" w:rsidRPr="002661A8">
        <w:rPr>
          <w:b w:val="0"/>
          <w:i/>
          <w:smallCaps w:val="0"/>
          <w:noProof/>
        </w:rPr>
        <w:t xml:space="preserve"> </w:t>
      </w:r>
      <w:bookmarkEnd w:id="285"/>
    </w:p>
    <w:p w14:paraId="0C3AF764" w14:textId="13B10BF3" w:rsidR="00F71897" w:rsidRPr="002661A8" w:rsidRDefault="0088370F" w:rsidP="00D93424">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When a</w:t>
      </w:r>
      <w:r w:rsidR="009018FA">
        <w:rPr>
          <w:rFonts w:ascii="Times New Roman" w:eastAsia="Times New Roman" w:hAnsi="Times New Roman" w:cs="Times New Roman"/>
          <w:noProof/>
          <w:sz w:val="24"/>
          <w:szCs w:val="24"/>
          <w:lang w:eastAsia="en-GB"/>
        </w:rPr>
        <w:t>n</w:t>
      </w:r>
      <w:r>
        <w:rPr>
          <w:rFonts w:ascii="Times New Roman" w:eastAsia="Times New Roman" w:hAnsi="Times New Roman" w:cs="Times New Roman"/>
          <w:noProof/>
          <w:sz w:val="24"/>
          <w:szCs w:val="24"/>
          <w:lang w:eastAsia="en-GB"/>
        </w:rPr>
        <w:t xml:space="preserve"> </w:t>
      </w:r>
      <w:r w:rsidR="001172E2" w:rsidRPr="002661A8">
        <w:rPr>
          <w:rFonts w:ascii="Times New Roman" w:eastAsia="Times New Roman" w:hAnsi="Times New Roman" w:cs="Times New Roman"/>
          <w:noProof/>
          <w:sz w:val="24"/>
          <w:szCs w:val="24"/>
          <w:lang w:eastAsia="en-GB"/>
        </w:rPr>
        <w:t>EU CCP wishes</w:t>
      </w:r>
      <w:r w:rsidR="00F71897" w:rsidRPr="002661A8">
        <w:rPr>
          <w:rFonts w:ascii="Times New Roman" w:eastAsia="Times New Roman" w:hAnsi="Times New Roman" w:cs="Times New Roman"/>
          <w:noProof/>
          <w:sz w:val="24"/>
          <w:szCs w:val="24"/>
          <w:lang w:eastAsia="en-GB"/>
        </w:rPr>
        <w:t xml:space="preserve"> to </w:t>
      </w:r>
      <w:r w:rsidR="00F71897" w:rsidRPr="002661A8">
        <w:rPr>
          <w:rFonts w:ascii="Times New Roman" w:eastAsia="Times New Roman" w:hAnsi="Times New Roman" w:cs="Times New Roman"/>
          <w:b/>
          <w:noProof/>
          <w:sz w:val="24"/>
          <w:szCs w:val="24"/>
          <w:lang w:eastAsia="en-GB"/>
        </w:rPr>
        <w:t>extend the activities and services</w:t>
      </w:r>
      <w:r w:rsidR="00F71897" w:rsidRPr="002661A8">
        <w:rPr>
          <w:rFonts w:ascii="Times New Roman" w:eastAsia="Times New Roman" w:hAnsi="Times New Roman" w:cs="Times New Roman"/>
          <w:noProof/>
          <w:sz w:val="24"/>
          <w:szCs w:val="24"/>
          <w:lang w:eastAsia="en-GB"/>
        </w:rPr>
        <w:t xml:space="preserve"> </w:t>
      </w:r>
      <w:r w:rsidR="001172E2" w:rsidRPr="002661A8">
        <w:rPr>
          <w:rFonts w:ascii="Times New Roman" w:eastAsia="Times New Roman" w:hAnsi="Times New Roman" w:cs="Times New Roman"/>
          <w:noProof/>
          <w:sz w:val="24"/>
          <w:szCs w:val="24"/>
          <w:lang w:eastAsia="en-GB"/>
        </w:rPr>
        <w:t>it</w:t>
      </w:r>
      <w:r w:rsidR="00F71897" w:rsidRPr="002661A8">
        <w:rPr>
          <w:rFonts w:ascii="Times New Roman" w:eastAsia="Times New Roman" w:hAnsi="Times New Roman" w:cs="Times New Roman"/>
          <w:noProof/>
          <w:sz w:val="24"/>
          <w:szCs w:val="24"/>
          <w:lang w:eastAsia="en-GB"/>
        </w:rPr>
        <w:t xml:space="preserve"> offer</w:t>
      </w:r>
      <w:r w:rsidR="001172E2" w:rsidRPr="002661A8">
        <w:rPr>
          <w:rFonts w:ascii="Times New Roman" w:eastAsia="Times New Roman" w:hAnsi="Times New Roman" w:cs="Times New Roman"/>
          <w:noProof/>
          <w:sz w:val="24"/>
          <w:szCs w:val="24"/>
          <w:lang w:eastAsia="en-GB"/>
        </w:rPr>
        <w:t>s (Article 15 of EMIR</w:t>
      </w:r>
      <w:r w:rsidR="001172E2" w:rsidRPr="002661A8">
        <w:rPr>
          <w:rStyle w:val="FootnoteReference"/>
          <w:rFonts w:ascii="Times New Roman" w:eastAsia="Times New Roman" w:hAnsi="Times New Roman" w:cs="Times New Roman"/>
          <w:noProof/>
          <w:sz w:val="24"/>
          <w:szCs w:val="24"/>
          <w:lang w:eastAsia="en-GB"/>
        </w:rPr>
        <w:footnoteReference w:id="62"/>
      </w:r>
      <w:r w:rsidR="001172E2" w:rsidRPr="002661A8">
        <w:rPr>
          <w:rFonts w:ascii="Times New Roman" w:eastAsia="Times New Roman" w:hAnsi="Times New Roman" w:cs="Times New Roman"/>
          <w:noProof/>
          <w:sz w:val="24"/>
          <w:szCs w:val="24"/>
          <w:lang w:eastAsia="en-GB"/>
        </w:rPr>
        <w:t>)</w:t>
      </w:r>
      <w:r w:rsidR="00F71897" w:rsidRPr="002661A8">
        <w:rPr>
          <w:rFonts w:ascii="Times New Roman" w:eastAsia="Times New Roman" w:hAnsi="Times New Roman" w:cs="Times New Roman"/>
          <w:noProof/>
          <w:sz w:val="24"/>
          <w:szCs w:val="24"/>
          <w:lang w:eastAsia="en-GB"/>
        </w:rPr>
        <w:t>, and</w:t>
      </w:r>
      <w:r w:rsidR="00731BB6">
        <w:rPr>
          <w:rFonts w:ascii="Times New Roman" w:eastAsia="Times New Roman" w:hAnsi="Times New Roman" w:cs="Times New Roman"/>
          <w:noProof/>
          <w:sz w:val="24"/>
          <w:szCs w:val="24"/>
          <w:lang w:eastAsia="en-GB"/>
        </w:rPr>
        <w:t>/or</w:t>
      </w:r>
      <w:r w:rsidR="001172E2" w:rsidRPr="002661A8">
        <w:rPr>
          <w:rFonts w:ascii="Times New Roman" w:eastAsia="Times New Roman" w:hAnsi="Times New Roman" w:cs="Times New Roman"/>
          <w:noProof/>
          <w:sz w:val="24"/>
          <w:szCs w:val="24"/>
          <w:lang w:eastAsia="en-GB"/>
        </w:rPr>
        <w:t xml:space="preserve"> </w:t>
      </w:r>
      <w:r w:rsidR="00F71897" w:rsidRPr="002661A8">
        <w:rPr>
          <w:rFonts w:ascii="Times New Roman" w:eastAsia="Times New Roman" w:hAnsi="Times New Roman" w:cs="Times New Roman"/>
          <w:noProof/>
          <w:sz w:val="24"/>
          <w:szCs w:val="24"/>
          <w:lang w:eastAsia="en-GB"/>
        </w:rPr>
        <w:t xml:space="preserve">to </w:t>
      </w:r>
      <w:r w:rsidR="005D2F86" w:rsidRPr="002661A8">
        <w:rPr>
          <w:rFonts w:ascii="Times New Roman" w:eastAsia="Times New Roman" w:hAnsi="Times New Roman" w:cs="Times New Roman"/>
          <w:b/>
          <w:noProof/>
          <w:sz w:val="24"/>
          <w:szCs w:val="24"/>
          <w:lang w:eastAsia="en-GB"/>
        </w:rPr>
        <w:t>make</w:t>
      </w:r>
      <w:r w:rsidR="00F71897" w:rsidRPr="002661A8">
        <w:rPr>
          <w:rFonts w:ascii="Times New Roman" w:eastAsia="Times New Roman" w:hAnsi="Times New Roman" w:cs="Times New Roman"/>
          <w:b/>
          <w:noProof/>
          <w:sz w:val="24"/>
          <w:szCs w:val="24"/>
          <w:lang w:eastAsia="en-GB"/>
        </w:rPr>
        <w:t xml:space="preserve"> significant changes to its risk models and model parameters</w:t>
      </w:r>
      <w:r w:rsidR="00973121" w:rsidRPr="002661A8">
        <w:rPr>
          <w:rFonts w:ascii="Times New Roman" w:eastAsia="Times New Roman" w:hAnsi="Times New Roman" w:cs="Times New Roman"/>
          <w:b/>
          <w:noProof/>
          <w:sz w:val="24"/>
          <w:szCs w:val="24"/>
          <w:lang w:eastAsia="en-GB"/>
        </w:rPr>
        <w:t xml:space="preserve"> </w:t>
      </w:r>
      <w:r w:rsidR="001172E2" w:rsidRPr="002661A8">
        <w:rPr>
          <w:rFonts w:ascii="Times New Roman" w:eastAsia="Times New Roman" w:hAnsi="Times New Roman" w:cs="Times New Roman"/>
          <w:noProof/>
          <w:sz w:val="24"/>
          <w:szCs w:val="24"/>
          <w:lang w:eastAsia="en-GB"/>
        </w:rPr>
        <w:t>(Article</w:t>
      </w:r>
      <w:r w:rsidR="00973121" w:rsidRPr="002661A8">
        <w:rPr>
          <w:rFonts w:ascii="Times New Roman" w:eastAsia="Times New Roman" w:hAnsi="Times New Roman" w:cs="Times New Roman"/>
          <w:noProof/>
          <w:sz w:val="24"/>
          <w:szCs w:val="24"/>
          <w:lang w:eastAsia="en-GB"/>
        </w:rPr>
        <w:t xml:space="preserve"> 49 of EMIR)</w:t>
      </w:r>
      <w:r>
        <w:rPr>
          <w:rFonts w:ascii="Times New Roman" w:eastAsia="Times New Roman" w:hAnsi="Times New Roman" w:cs="Times New Roman"/>
          <w:noProof/>
          <w:sz w:val="24"/>
          <w:szCs w:val="24"/>
          <w:lang w:eastAsia="en-GB"/>
        </w:rPr>
        <w:t xml:space="preserve"> </w:t>
      </w:r>
      <w:r w:rsidR="00BA2048">
        <w:rPr>
          <w:rFonts w:ascii="Times New Roman" w:eastAsia="Times New Roman" w:hAnsi="Times New Roman" w:cs="Times New Roman"/>
          <w:noProof/>
          <w:sz w:val="24"/>
          <w:szCs w:val="24"/>
          <w:lang w:eastAsia="en-GB"/>
        </w:rPr>
        <w:t>that</w:t>
      </w:r>
      <w:r>
        <w:rPr>
          <w:rFonts w:ascii="Times New Roman" w:eastAsia="Times New Roman" w:hAnsi="Times New Roman" w:cs="Times New Roman"/>
          <w:noProof/>
          <w:sz w:val="24"/>
          <w:szCs w:val="24"/>
          <w:lang w:eastAsia="en-GB"/>
        </w:rPr>
        <w:t xml:space="preserve"> CCP often </w:t>
      </w:r>
      <w:r w:rsidRPr="002661A8">
        <w:rPr>
          <w:rFonts w:ascii="Times New Roman" w:eastAsia="Times New Roman" w:hAnsi="Times New Roman" w:cs="Times New Roman"/>
          <w:noProof/>
          <w:sz w:val="24"/>
          <w:szCs w:val="24"/>
          <w:lang w:eastAsia="en-GB"/>
        </w:rPr>
        <w:t>face</w:t>
      </w:r>
      <w:r w:rsidR="009018FA">
        <w:rPr>
          <w:rFonts w:ascii="Times New Roman" w:eastAsia="Times New Roman" w:hAnsi="Times New Roman" w:cs="Times New Roman"/>
          <w:noProof/>
          <w:sz w:val="24"/>
          <w:szCs w:val="24"/>
          <w:lang w:eastAsia="en-GB"/>
        </w:rPr>
        <w:t>s</w:t>
      </w:r>
      <w:r w:rsidRPr="002661A8">
        <w:rPr>
          <w:rFonts w:ascii="Times New Roman" w:eastAsia="Times New Roman" w:hAnsi="Times New Roman" w:cs="Times New Roman"/>
          <w:noProof/>
          <w:sz w:val="24"/>
          <w:szCs w:val="24"/>
          <w:lang w:eastAsia="en-GB"/>
        </w:rPr>
        <w:t xml:space="preserve"> complex, lengthy and burdensome procedures interacting with their supervisors and the other bodies involved in their supervision under EMIR</w:t>
      </w:r>
      <w:r w:rsidRPr="0088370F">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t xml:space="preserve">due to how </w:t>
      </w:r>
      <w:r w:rsidR="00BA2048">
        <w:rPr>
          <w:rFonts w:ascii="Times New Roman" w:eastAsia="Times New Roman" w:hAnsi="Times New Roman" w:cs="Times New Roman"/>
          <w:noProof/>
          <w:sz w:val="24"/>
          <w:szCs w:val="24"/>
          <w:lang w:eastAsia="en-GB"/>
        </w:rPr>
        <w:t>the</w:t>
      </w:r>
      <w:r>
        <w:rPr>
          <w:rFonts w:ascii="Times New Roman" w:eastAsia="Times New Roman" w:hAnsi="Times New Roman" w:cs="Times New Roman"/>
          <w:noProof/>
          <w:sz w:val="24"/>
          <w:szCs w:val="24"/>
          <w:lang w:eastAsia="en-GB"/>
        </w:rPr>
        <w:t xml:space="preserve"> processes are structured</w:t>
      </w:r>
      <w:r w:rsidR="00F71897" w:rsidRPr="002661A8">
        <w:rPr>
          <w:rFonts w:ascii="Times New Roman" w:eastAsia="Times New Roman" w:hAnsi="Times New Roman" w:cs="Times New Roman"/>
          <w:noProof/>
          <w:sz w:val="24"/>
          <w:szCs w:val="24"/>
          <w:lang w:eastAsia="en-GB"/>
        </w:rPr>
        <w:t>.</w:t>
      </w:r>
      <w:r w:rsidR="00F71897" w:rsidRPr="002661A8">
        <w:rPr>
          <w:rFonts w:ascii="Times New Roman" w:eastAsia="Times New Roman" w:hAnsi="Times New Roman" w:cs="Times New Roman"/>
          <w:b/>
          <w:noProof/>
          <w:sz w:val="24"/>
          <w:szCs w:val="24"/>
          <w:lang w:eastAsia="en-GB"/>
        </w:rPr>
        <w:t xml:space="preserve"> </w:t>
      </w:r>
      <w:r w:rsidR="00F71897" w:rsidRPr="002661A8">
        <w:rPr>
          <w:rFonts w:ascii="Times New Roman" w:eastAsia="Times New Roman" w:hAnsi="Times New Roman" w:cs="Times New Roman"/>
          <w:noProof/>
          <w:sz w:val="24"/>
          <w:szCs w:val="24"/>
          <w:lang w:eastAsia="en-GB"/>
        </w:rPr>
        <w:t>This affects the ability of EU CCPs to compete</w:t>
      </w:r>
      <w:r w:rsidR="007E49F7" w:rsidRPr="002661A8">
        <w:rPr>
          <w:rFonts w:ascii="Times New Roman" w:eastAsia="Times New Roman" w:hAnsi="Times New Roman" w:cs="Times New Roman"/>
          <w:noProof/>
          <w:sz w:val="24"/>
          <w:szCs w:val="24"/>
          <w:lang w:eastAsia="en-GB"/>
        </w:rPr>
        <w:t xml:space="preserve">, </w:t>
      </w:r>
      <w:r w:rsidR="007E49F7" w:rsidRPr="002661A8">
        <w:rPr>
          <w:rFonts w:ascii="Times New Roman" w:eastAsia="Times New Roman" w:hAnsi="Times New Roman" w:cs="Times New Roman"/>
          <w:b/>
          <w:noProof/>
          <w:sz w:val="24"/>
          <w:szCs w:val="24"/>
          <w:lang w:eastAsia="en-GB"/>
        </w:rPr>
        <w:t>limiting their attractiveness</w:t>
      </w:r>
      <w:r w:rsidR="007E49F7" w:rsidRPr="002661A8">
        <w:rPr>
          <w:rFonts w:ascii="Times New Roman" w:eastAsia="Times New Roman" w:hAnsi="Times New Roman" w:cs="Times New Roman"/>
          <w:noProof/>
          <w:sz w:val="24"/>
          <w:szCs w:val="24"/>
          <w:lang w:eastAsia="en-GB"/>
        </w:rPr>
        <w:t>,</w:t>
      </w:r>
      <w:r w:rsidR="00F71897" w:rsidRPr="002661A8">
        <w:rPr>
          <w:rFonts w:ascii="Times New Roman" w:eastAsia="Times New Roman" w:hAnsi="Times New Roman" w:cs="Times New Roman"/>
          <w:noProof/>
          <w:sz w:val="24"/>
          <w:szCs w:val="24"/>
          <w:lang w:eastAsia="en-GB"/>
        </w:rPr>
        <w:t xml:space="preserve"> and is a source of </w:t>
      </w:r>
      <w:r w:rsidR="00F71897" w:rsidRPr="002661A8">
        <w:rPr>
          <w:rFonts w:ascii="Times New Roman" w:eastAsia="Times New Roman" w:hAnsi="Times New Roman" w:cs="Times New Roman"/>
          <w:b/>
          <w:noProof/>
          <w:sz w:val="24"/>
          <w:szCs w:val="24"/>
          <w:lang w:eastAsia="en-GB"/>
        </w:rPr>
        <w:t xml:space="preserve">excessive compliance costs </w:t>
      </w:r>
      <w:r w:rsidR="00F71897" w:rsidRPr="002661A8">
        <w:rPr>
          <w:rFonts w:ascii="Times New Roman" w:eastAsia="Times New Roman" w:hAnsi="Times New Roman" w:cs="Times New Roman"/>
          <w:noProof/>
          <w:sz w:val="24"/>
          <w:szCs w:val="24"/>
          <w:lang w:eastAsia="en-GB"/>
        </w:rPr>
        <w:t xml:space="preserve">for them (see </w:t>
      </w:r>
      <w:hyperlink w:anchor="_Supply_side_problems" w:history="1">
        <w:r w:rsidR="00F9462F" w:rsidRPr="002661A8">
          <w:rPr>
            <w:rStyle w:val="Hyperlink"/>
            <w:rFonts w:ascii="Times New Roman" w:eastAsia="Times New Roman" w:hAnsi="Times New Roman" w:cs="Times New Roman"/>
            <w:noProof/>
            <w:sz w:val="24"/>
            <w:szCs w:val="24"/>
            <w:lang w:eastAsia="en-GB"/>
          </w:rPr>
          <w:t>S</w:t>
        </w:r>
        <w:r w:rsidR="00F71897" w:rsidRPr="002661A8">
          <w:rPr>
            <w:rStyle w:val="Hyperlink"/>
            <w:rFonts w:ascii="Times New Roman" w:eastAsia="Times New Roman" w:hAnsi="Times New Roman" w:cs="Times New Roman"/>
            <w:noProof/>
            <w:sz w:val="24"/>
            <w:szCs w:val="24"/>
            <w:lang w:eastAsia="en-GB"/>
          </w:rPr>
          <w:t xml:space="preserve">ection </w:t>
        </w:r>
        <w:r w:rsidR="00F9462F" w:rsidRPr="002661A8">
          <w:rPr>
            <w:rStyle w:val="Hyperlink"/>
            <w:rFonts w:ascii="Times New Roman" w:eastAsia="Times New Roman" w:hAnsi="Times New Roman" w:cs="Times New Roman"/>
            <w:noProof/>
            <w:sz w:val="24"/>
            <w:szCs w:val="24"/>
            <w:lang w:eastAsia="en-GB"/>
          </w:rPr>
          <w:t>3</w:t>
        </w:r>
        <w:r w:rsidR="00F71897" w:rsidRPr="002661A8">
          <w:rPr>
            <w:rStyle w:val="Hyperlink"/>
            <w:rFonts w:ascii="Times New Roman" w:eastAsia="Times New Roman" w:hAnsi="Times New Roman" w:cs="Times New Roman"/>
            <w:noProof/>
            <w:sz w:val="24"/>
            <w:szCs w:val="24"/>
            <w:lang w:eastAsia="en-GB"/>
          </w:rPr>
          <w:t>.</w:t>
        </w:r>
        <w:r w:rsidR="00973121" w:rsidRPr="002661A8">
          <w:rPr>
            <w:rStyle w:val="Hyperlink"/>
            <w:rFonts w:ascii="Times New Roman" w:eastAsia="Times New Roman" w:hAnsi="Times New Roman" w:cs="Times New Roman"/>
            <w:noProof/>
            <w:sz w:val="24"/>
            <w:szCs w:val="24"/>
            <w:lang w:eastAsia="en-GB"/>
          </w:rPr>
          <w:t>1</w:t>
        </w:r>
        <w:r w:rsidR="00F71897" w:rsidRPr="002661A8">
          <w:rPr>
            <w:rStyle w:val="Hyperlink"/>
            <w:rFonts w:ascii="Times New Roman" w:eastAsia="Times New Roman" w:hAnsi="Times New Roman" w:cs="Times New Roman"/>
            <w:noProof/>
            <w:sz w:val="24"/>
            <w:szCs w:val="24"/>
            <w:lang w:eastAsia="en-GB"/>
          </w:rPr>
          <w:t>.1</w:t>
        </w:r>
      </w:hyperlink>
      <w:r w:rsidR="00F71897" w:rsidRPr="002661A8">
        <w:rPr>
          <w:rFonts w:ascii="Times New Roman" w:eastAsia="Times New Roman" w:hAnsi="Times New Roman" w:cs="Times New Roman"/>
          <w:noProof/>
          <w:sz w:val="24"/>
          <w:szCs w:val="24"/>
          <w:lang w:eastAsia="en-GB"/>
        </w:rPr>
        <w:t>)</w:t>
      </w:r>
      <w:r w:rsidR="00162DD6">
        <w:rPr>
          <w:rFonts w:ascii="Times New Roman" w:eastAsia="Times New Roman" w:hAnsi="Times New Roman" w:cs="Times New Roman"/>
          <w:noProof/>
          <w:sz w:val="24"/>
          <w:szCs w:val="24"/>
          <w:lang w:eastAsia="en-GB"/>
        </w:rPr>
        <w:t xml:space="preserve"> and is </w:t>
      </w:r>
      <w:r w:rsidR="00EC411C">
        <w:rPr>
          <w:rFonts w:ascii="Times New Roman" w:eastAsia="Times New Roman" w:hAnsi="Times New Roman" w:cs="Times New Roman"/>
          <w:noProof/>
          <w:sz w:val="24"/>
          <w:szCs w:val="24"/>
          <w:lang w:eastAsia="en-GB"/>
        </w:rPr>
        <w:t>the result of both</w:t>
      </w:r>
      <w:r w:rsidR="00021177">
        <w:rPr>
          <w:rFonts w:ascii="Times New Roman" w:eastAsia="Times New Roman" w:hAnsi="Times New Roman" w:cs="Times New Roman"/>
          <w:noProof/>
          <w:sz w:val="24"/>
          <w:szCs w:val="24"/>
          <w:lang w:eastAsia="en-GB"/>
        </w:rPr>
        <w:t xml:space="preserve"> the relevant EMIR provisions themselves as well as</w:t>
      </w:r>
      <w:r w:rsidR="00EC411C">
        <w:rPr>
          <w:rFonts w:ascii="Times New Roman" w:eastAsia="Times New Roman" w:hAnsi="Times New Roman" w:cs="Times New Roman"/>
          <w:noProof/>
          <w:sz w:val="24"/>
          <w:szCs w:val="24"/>
          <w:lang w:eastAsia="en-GB"/>
        </w:rPr>
        <w:t xml:space="preserve"> how</w:t>
      </w:r>
      <w:r w:rsidR="00021177">
        <w:rPr>
          <w:rFonts w:ascii="Times New Roman" w:eastAsia="Times New Roman" w:hAnsi="Times New Roman" w:cs="Times New Roman"/>
          <w:noProof/>
          <w:sz w:val="24"/>
          <w:szCs w:val="24"/>
          <w:lang w:eastAsia="en-GB"/>
        </w:rPr>
        <w:t xml:space="preserve"> they are </w:t>
      </w:r>
      <w:r w:rsidR="00EC411C">
        <w:rPr>
          <w:rFonts w:ascii="Times New Roman" w:eastAsia="Times New Roman" w:hAnsi="Times New Roman" w:cs="Times New Roman"/>
          <w:noProof/>
          <w:sz w:val="24"/>
          <w:szCs w:val="24"/>
          <w:lang w:eastAsia="en-GB"/>
        </w:rPr>
        <w:t>applied by national authorities and ESMA</w:t>
      </w:r>
      <w:r w:rsidR="00BA2048">
        <w:rPr>
          <w:rFonts w:ascii="Times New Roman" w:eastAsia="Times New Roman" w:hAnsi="Times New Roman" w:cs="Times New Roman"/>
          <w:noProof/>
          <w:sz w:val="24"/>
          <w:szCs w:val="24"/>
          <w:lang w:eastAsia="en-GB"/>
        </w:rPr>
        <w:t>.</w:t>
      </w:r>
      <w:r w:rsidR="00EC411C">
        <w:rPr>
          <w:rFonts w:ascii="Times New Roman" w:eastAsia="Times New Roman" w:hAnsi="Times New Roman" w:cs="Times New Roman"/>
          <w:noProof/>
          <w:sz w:val="24"/>
          <w:szCs w:val="24"/>
          <w:lang w:eastAsia="en-GB"/>
        </w:rPr>
        <w:t xml:space="preserve"> </w:t>
      </w:r>
    </w:p>
    <w:p w14:paraId="25C8DA02" w14:textId="444167E2" w:rsidR="00162DD6" w:rsidRDefault="00C12BB4" w:rsidP="0022164F">
      <w:pPr>
        <w:spacing w:after="120" w:line="240" w:lineRule="auto"/>
        <w:jc w:val="both"/>
        <w:rPr>
          <w:rFonts w:ascii="Times New Roman" w:eastAsia="Times New Roman" w:hAnsi="Times New Roman" w:cs="Times New Roman"/>
          <w:noProof/>
          <w:sz w:val="24"/>
          <w:szCs w:val="24"/>
          <w:lang w:eastAsia="en-GB"/>
        </w:rPr>
      </w:pPr>
      <w:r w:rsidRPr="00C12BB4">
        <w:rPr>
          <w:rFonts w:ascii="Times New Roman" w:eastAsia="Times New Roman" w:hAnsi="Times New Roman" w:cs="Times New Roman"/>
          <w:noProof/>
          <w:sz w:val="24"/>
          <w:szCs w:val="24"/>
          <w:lang w:eastAsia="en-GB"/>
        </w:rPr>
        <w:t xml:space="preserve">The vast majority of stakeholders </w:t>
      </w:r>
      <w:r>
        <w:rPr>
          <w:rFonts w:ascii="Times New Roman" w:eastAsia="Times New Roman" w:hAnsi="Times New Roman" w:cs="Times New Roman"/>
          <w:noProof/>
          <w:sz w:val="24"/>
          <w:szCs w:val="24"/>
          <w:lang w:eastAsia="en-GB"/>
        </w:rPr>
        <w:t xml:space="preserve">responding to the targeted consultation </w:t>
      </w:r>
      <w:r w:rsidRPr="00C12BB4">
        <w:rPr>
          <w:rFonts w:ascii="Times New Roman" w:eastAsia="Times New Roman" w:hAnsi="Times New Roman" w:cs="Times New Roman"/>
          <w:noProof/>
          <w:sz w:val="24"/>
          <w:szCs w:val="24"/>
          <w:lang w:eastAsia="en-GB"/>
        </w:rPr>
        <w:t>(90%, i.e. 20 out of 22 respondents</w:t>
      </w:r>
      <w:r w:rsidR="007B6315">
        <w:rPr>
          <w:rFonts w:ascii="Times New Roman" w:eastAsia="Times New Roman" w:hAnsi="Times New Roman" w:cs="Times New Roman"/>
          <w:noProof/>
          <w:sz w:val="24"/>
          <w:szCs w:val="24"/>
          <w:lang w:eastAsia="en-GB"/>
        </w:rPr>
        <w:t xml:space="preserve"> to that section</w:t>
      </w:r>
      <w:r w:rsidRPr="00C12BB4">
        <w:rPr>
          <w:rFonts w:ascii="Times New Roman" w:eastAsia="Times New Roman" w:hAnsi="Times New Roman" w:cs="Times New Roman"/>
          <w:noProof/>
          <w:sz w:val="24"/>
          <w:szCs w:val="24"/>
          <w:lang w:eastAsia="en-GB"/>
        </w:rPr>
        <w:t xml:space="preserve">) </w:t>
      </w:r>
      <w:r w:rsidR="00DD1DA7">
        <w:rPr>
          <w:rFonts w:ascii="Times New Roman" w:eastAsia="Times New Roman" w:hAnsi="Times New Roman" w:cs="Times New Roman"/>
          <w:noProof/>
          <w:sz w:val="24"/>
          <w:szCs w:val="24"/>
          <w:lang w:eastAsia="en-GB"/>
        </w:rPr>
        <w:t>supported</w:t>
      </w:r>
      <w:r w:rsidRPr="00C12BB4">
        <w:rPr>
          <w:rFonts w:ascii="Times New Roman" w:eastAsia="Times New Roman" w:hAnsi="Times New Roman" w:cs="Times New Roman"/>
          <w:noProof/>
          <w:sz w:val="24"/>
          <w:szCs w:val="24"/>
          <w:lang w:eastAsia="en-GB"/>
        </w:rPr>
        <w:t xml:space="preserve"> the idea of improving the ability of EU CCPs to be competitive by expanding their offer and speeding up the approval process for new products. Respondents (mainly CCPs, but also two business associations, a central bank and a national supervisory authority of a Member State) highlighted that in particular the long EMIR approval process to launch new products had negative consequences on EU CCPs’ competitiveness. They considered the existing governance as well as the requested documentation too complex and pointed to a lack of clear timelines. Three public authorities agreed that there is room for a faster approval process for certain initiatives. Other respondents, notably banks, agreed that it is crucial that EU CCPs are able to increase their offer to make it comparable to the offer of non-EU CCPs.</w:t>
      </w:r>
      <w:r w:rsidR="00F4160A">
        <w:rPr>
          <w:rStyle w:val="FootnoteReference"/>
          <w:rFonts w:ascii="Times New Roman" w:eastAsia="Times New Roman" w:hAnsi="Times New Roman" w:cs="Times New Roman"/>
          <w:noProof/>
          <w:sz w:val="24"/>
          <w:szCs w:val="24"/>
          <w:lang w:eastAsia="en-GB"/>
        </w:rPr>
        <w:footnoteReference w:id="63"/>
      </w:r>
      <w:r>
        <w:rPr>
          <w:rFonts w:ascii="Times New Roman" w:eastAsia="Times New Roman" w:hAnsi="Times New Roman" w:cs="Times New Roman"/>
          <w:noProof/>
          <w:sz w:val="24"/>
          <w:szCs w:val="24"/>
          <w:lang w:eastAsia="en-GB"/>
        </w:rPr>
        <w:t xml:space="preserve"> </w:t>
      </w:r>
      <w:r w:rsidR="007D5E24" w:rsidRPr="002661A8">
        <w:rPr>
          <w:rFonts w:ascii="Times New Roman" w:eastAsia="Times New Roman" w:hAnsi="Times New Roman" w:cs="Times New Roman"/>
          <w:noProof/>
          <w:sz w:val="24"/>
          <w:szCs w:val="24"/>
          <w:lang w:eastAsia="en-GB"/>
        </w:rPr>
        <w:t xml:space="preserve">ESMA also </w:t>
      </w:r>
      <w:r w:rsidR="00E939E1" w:rsidRPr="002661A8">
        <w:rPr>
          <w:rFonts w:ascii="Times New Roman" w:eastAsia="Times New Roman" w:hAnsi="Times New Roman" w:cs="Times New Roman"/>
          <w:noProof/>
          <w:sz w:val="24"/>
          <w:szCs w:val="24"/>
          <w:lang w:eastAsia="en-GB"/>
        </w:rPr>
        <w:t xml:space="preserve">notes </w:t>
      </w:r>
      <w:r w:rsidR="007D5E24" w:rsidRPr="002661A8">
        <w:rPr>
          <w:rFonts w:ascii="Times New Roman" w:eastAsia="Times New Roman" w:hAnsi="Times New Roman" w:cs="Times New Roman"/>
          <w:noProof/>
          <w:sz w:val="24"/>
          <w:szCs w:val="24"/>
          <w:lang w:eastAsia="en-GB"/>
        </w:rPr>
        <w:t xml:space="preserve">that improvements in the framework </w:t>
      </w:r>
      <w:r w:rsidR="00E939E1" w:rsidRPr="002661A8">
        <w:rPr>
          <w:rFonts w:ascii="Times New Roman" w:eastAsia="Times New Roman" w:hAnsi="Times New Roman" w:cs="Times New Roman"/>
          <w:noProof/>
          <w:sz w:val="24"/>
          <w:szCs w:val="24"/>
          <w:lang w:eastAsia="en-GB"/>
        </w:rPr>
        <w:t>are</w:t>
      </w:r>
      <w:r w:rsidR="007D5E24" w:rsidRPr="002661A8">
        <w:rPr>
          <w:rFonts w:ascii="Times New Roman" w:eastAsia="Times New Roman" w:hAnsi="Times New Roman" w:cs="Times New Roman"/>
          <w:noProof/>
          <w:sz w:val="24"/>
          <w:szCs w:val="24"/>
          <w:lang w:eastAsia="en-GB"/>
        </w:rPr>
        <w:t xml:space="preserve"> desirable.</w:t>
      </w:r>
      <w:r w:rsidR="007D5E24" w:rsidRPr="002661A8">
        <w:rPr>
          <w:rStyle w:val="FootnoteReference"/>
          <w:rFonts w:ascii="Times New Roman" w:eastAsia="Times New Roman" w:hAnsi="Times New Roman" w:cs="Times New Roman"/>
          <w:noProof/>
          <w:sz w:val="24"/>
          <w:szCs w:val="24"/>
          <w:lang w:eastAsia="en-GB"/>
        </w:rPr>
        <w:footnoteReference w:id="64"/>
      </w:r>
      <w:r w:rsidR="007D5E24" w:rsidRPr="002661A8">
        <w:rPr>
          <w:rFonts w:ascii="Times New Roman" w:eastAsia="Times New Roman" w:hAnsi="Times New Roman" w:cs="Times New Roman"/>
          <w:noProof/>
          <w:sz w:val="24"/>
          <w:szCs w:val="24"/>
          <w:lang w:eastAsia="en-GB"/>
        </w:rPr>
        <w:t xml:space="preserve"> </w:t>
      </w:r>
      <w:r w:rsidR="00E54B7C">
        <w:rPr>
          <w:rFonts w:ascii="Times New Roman" w:eastAsia="Times New Roman" w:hAnsi="Times New Roman" w:cs="Times New Roman"/>
          <w:noProof/>
          <w:sz w:val="24"/>
          <w:szCs w:val="24"/>
          <w:lang w:eastAsia="en-GB"/>
        </w:rPr>
        <w:t xml:space="preserve">In the meeting with </w:t>
      </w:r>
      <w:r w:rsidR="00E54B7C" w:rsidRPr="00E54B7C">
        <w:rPr>
          <w:rFonts w:ascii="Times New Roman" w:eastAsia="Times New Roman" w:hAnsi="Times New Roman" w:cs="Times New Roman"/>
          <w:noProof/>
          <w:sz w:val="24"/>
          <w:szCs w:val="24"/>
          <w:lang w:eastAsia="en-GB"/>
        </w:rPr>
        <w:t xml:space="preserve">Member States </w:t>
      </w:r>
      <w:r w:rsidR="00E54B7C">
        <w:rPr>
          <w:rFonts w:ascii="Times New Roman" w:eastAsia="Times New Roman" w:hAnsi="Times New Roman" w:cs="Times New Roman"/>
          <w:noProof/>
          <w:sz w:val="24"/>
          <w:szCs w:val="24"/>
          <w:lang w:eastAsia="en-GB"/>
        </w:rPr>
        <w:t xml:space="preserve">on 16 June 2022, Member States </w:t>
      </w:r>
      <w:r w:rsidR="00E54B7C" w:rsidRPr="00E54B7C">
        <w:rPr>
          <w:rFonts w:ascii="Times New Roman" w:eastAsia="Times New Roman" w:hAnsi="Times New Roman" w:cs="Times New Roman"/>
          <w:noProof/>
          <w:sz w:val="24"/>
          <w:szCs w:val="24"/>
          <w:lang w:eastAsia="en-GB"/>
        </w:rPr>
        <w:t xml:space="preserve">agreed </w:t>
      </w:r>
      <w:r w:rsidR="00E54B7C">
        <w:rPr>
          <w:rFonts w:ascii="Times New Roman" w:eastAsia="Times New Roman" w:hAnsi="Times New Roman" w:cs="Times New Roman"/>
          <w:noProof/>
          <w:sz w:val="24"/>
          <w:szCs w:val="24"/>
          <w:lang w:eastAsia="en-GB"/>
        </w:rPr>
        <w:t xml:space="preserve">in general </w:t>
      </w:r>
      <w:r w:rsidR="00E54B7C" w:rsidRPr="00E54B7C">
        <w:rPr>
          <w:rFonts w:ascii="Times New Roman" w:eastAsia="Times New Roman" w:hAnsi="Times New Roman" w:cs="Times New Roman"/>
          <w:noProof/>
          <w:sz w:val="24"/>
          <w:szCs w:val="24"/>
          <w:lang w:eastAsia="en-GB"/>
        </w:rPr>
        <w:t>that procedures under Article 15 and 49 EMIR should be more efficient and the processes improved</w:t>
      </w:r>
      <w:r w:rsidR="00167AC4">
        <w:rPr>
          <w:rStyle w:val="FootnoteReference"/>
          <w:rFonts w:ascii="Times New Roman" w:eastAsia="Times New Roman" w:hAnsi="Times New Roman" w:cs="Times New Roman"/>
          <w:noProof/>
          <w:sz w:val="24"/>
          <w:szCs w:val="24"/>
          <w:lang w:eastAsia="en-GB"/>
        </w:rPr>
        <w:footnoteReference w:id="65"/>
      </w:r>
      <w:r w:rsidR="00E54B7C" w:rsidRPr="00E54B7C">
        <w:rPr>
          <w:rFonts w:ascii="Times New Roman" w:eastAsia="Times New Roman" w:hAnsi="Times New Roman" w:cs="Times New Roman"/>
          <w:noProof/>
          <w:sz w:val="24"/>
          <w:szCs w:val="24"/>
          <w:lang w:eastAsia="en-GB"/>
        </w:rPr>
        <w:t xml:space="preserve">. </w:t>
      </w:r>
    </w:p>
    <w:p w14:paraId="6DA1814E" w14:textId="1C3B2C4F" w:rsidR="00F71897" w:rsidRPr="002661A8" w:rsidRDefault="00E939E1" w:rsidP="0022164F">
      <w:pPr>
        <w:spacing w:after="120" w:line="240" w:lineRule="auto"/>
        <w:jc w:val="both"/>
        <w:rPr>
          <w:rFonts w:ascii="Times New Roman" w:eastAsia="Times New Roman" w:hAnsi="Times New Roman" w:cs="Times New Roman"/>
          <w:noProof/>
          <w:sz w:val="24"/>
          <w:szCs w:val="24"/>
          <w:lang w:eastAsia="en-GB"/>
        </w:rPr>
      </w:pPr>
      <w:r w:rsidRPr="002661A8">
        <w:rPr>
          <w:rFonts w:ascii="Times New Roman" w:eastAsia="Times New Roman" w:hAnsi="Times New Roman" w:cs="Times New Roman"/>
          <w:noProof/>
          <w:sz w:val="24"/>
          <w:szCs w:val="24"/>
          <w:lang w:eastAsia="en-GB"/>
        </w:rPr>
        <w:t>T</w:t>
      </w:r>
      <w:r w:rsidR="00D67C07" w:rsidRPr="002661A8">
        <w:rPr>
          <w:rFonts w:ascii="Times New Roman" w:eastAsia="Times New Roman" w:hAnsi="Times New Roman" w:cs="Times New Roman"/>
          <w:noProof/>
          <w:sz w:val="24"/>
          <w:szCs w:val="24"/>
          <w:lang w:eastAsia="en-GB"/>
        </w:rPr>
        <w:t>he current approval times for an extension of services or activities by EU CCPs are concern</w:t>
      </w:r>
      <w:r w:rsidRPr="002661A8">
        <w:rPr>
          <w:rFonts w:ascii="Times New Roman" w:eastAsia="Times New Roman" w:hAnsi="Times New Roman" w:cs="Times New Roman"/>
          <w:noProof/>
          <w:sz w:val="24"/>
          <w:szCs w:val="24"/>
          <w:lang w:eastAsia="en-GB"/>
        </w:rPr>
        <w:t>ing</w:t>
      </w:r>
      <w:r w:rsidR="00D67C07" w:rsidRPr="002661A8">
        <w:rPr>
          <w:rFonts w:ascii="Times New Roman" w:eastAsia="Times New Roman" w:hAnsi="Times New Roman" w:cs="Times New Roman"/>
          <w:noProof/>
          <w:sz w:val="24"/>
          <w:szCs w:val="24"/>
          <w:lang w:eastAsia="en-GB"/>
        </w:rPr>
        <w:t xml:space="preserve"> as they significantly </w:t>
      </w:r>
      <w:r w:rsidRPr="002661A8">
        <w:rPr>
          <w:rFonts w:ascii="Times New Roman" w:eastAsia="Times New Roman" w:hAnsi="Times New Roman" w:cs="Times New Roman"/>
          <w:noProof/>
          <w:sz w:val="24"/>
          <w:szCs w:val="24"/>
          <w:lang w:eastAsia="en-GB"/>
        </w:rPr>
        <w:t>lengthen</w:t>
      </w:r>
      <w:r w:rsidR="00D67C07" w:rsidRPr="002661A8">
        <w:rPr>
          <w:rFonts w:ascii="Times New Roman" w:eastAsia="Times New Roman" w:hAnsi="Times New Roman" w:cs="Times New Roman"/>
          <w:noProof/>
          <w:sz w:val="24"/>
          <w:szCs w:val="24"/>
          <w:lang w:eastAsia="en-GB"/>
        </w:rPr>
        <w:t xml:space="preserve"> time-to-market</w:t>
      </w:r>
      <w:r w:rsidR="00BF5F48" w:rsidRPr="002661A8">
        <w:rPr>
          <w:rFonts w:ascii="Times New Roman" w:eastAsia="Times New Roman" w:hAnsi="Times New Roman" w:cs="Times New Roman"/>
          <w:noProof/>
          <w:sz w:val="24"/>
          <w:szCs w:val="24"/>
          <w:lang w:eastAsia="en-GB"/>
        </w:rPr>
        <w:t>,</w:t>
      </w:r>
      <w:r w:rsidR="00D67C07" w:rsidRPr="002661A8">
        <w:rPr>
          <w:rFonts w:ascii="Times New Roman" w:eastAsia="Times New Roman" w:hAnsi="Times New Roman" w:cs="Times New Roman"/>
          <w:noProof/>
          <w:sz w:val="24"/>
          <w:szCs w:val="24"/>
          <w:lang w:eastAsia="en-GB"/>
        </w:rPr>
        <w:t xml:space="preserve"> especially as EU CCPs are looking to expand their clearing offer to compete. </w:t>
      </w:r>
      <w:r w:rsidR="00F71897" w:rsidRPr="002661A8">
        <w:rPr>
          <w:rFonts w:ascii="Times New Roman" w:eastAsia="Times New Roman" w:hAnsi="Times New Roman" w:cs="Times New Roman"/>
          <w:noProof/>
          <w:sz w:val="24"/>
          <w:szCs w:val="24"/>
          <w:lang w:eastAsia="en-GB"/>
        </w:rPr>
        <w:t xml:space="preserve">For example, </w:t>
      </w:r>
      <w:r w:rsidR="00DD1DA7">
        <w:rPr>
          <w:rFonts w:ascii="Times New Roman" w:eastAsia="Times New Roman" w:hAnsi="Times New Roman" w:cs="Times New Roman"/>
          <w:noProof/>
          <w:sz w:val="24"/>
          <w:szCs w:val="24"/>
          <w:lang w:eastAsia="en-GB"/>
        </w:rPr>
        <w:t>the procedures for a CCP to extend their services are set out in Article 15 of EMIR, however these procedures are only triggered once the application has been declared complete. It is understood from stakeholders, that the time taken for an application to be declared complete makes up the largest part of the process. S</w:t>
      </w:r>
      <w:r w:rsidR="00E17E28" w:rsidRPr="002661A8">
        <w:rPr>
          <w:rFonts w:ascii="Times New Roman" w:eastAsia="Times New Roman" w:hAnsi="Times New Roman" w:cs="Times New Roman"/>
          <w:noProof/>
          <w:sz w:val="24"/>
          <w:szCs w:val="24"/>
          <w:lang w:eastAsia="en-GB"/>
        </w:rPr>
        <w:t>ometimes it</w:t>
      </w:r>
      <w:r w:rsidR="00F71897" w:rsidRPr="002661A8">
        <w:rPr>
          <w:rFonts w:ascii="Times New Roman" w:eastAsia="Times New Roman" w:hAnsi="Times New Roman" w:cs="Times New Roman"/>
          <w:noProof/>
          <w:sz w:val="24"/>
          <w:szCs w:val="24"/>
          <w:lang w:eastAsia="en-GB"/>
        </w:rPr>
        <w:t xml:space="preserve"> take</w:t>
      </w:r>
      <w:r w:rsidR="00E17E28" w:rsidRPr="002661A8">
        <w:rPr>
          <w:rFonts w:ascii="Times New Roman" w:eastAsia="Times New Roman" w:hAnsi="Times New Roman" w:cs="Times New Roman"/>
          <w:noProof/>
          <w:sz w:val="24"/>
          <w:szCs w:val="24"/>
          <w:lang w:eastAsia="en-GB"/>
        </w:rPr>
        <w:t>s</w:t>
      </w:r>
      <w:r w:rsidR="00F71897" w:rsidRPr="002661A8">
        <w:rPr>
          <w:rFonts w:ascii="Times New Roman" w:eastAsia="Times New Roman" w:hAnsi="Times New Roman" w:cs="Times New Roman"/>
          <w:noProof/>
          <w:sz w:val="24"/>
          <w:szCs w:val="24"/>
          <w:lang w:eastAsia="en-GB"/>
        </w:rPr>
        <w:t xml:space="preserve"> several months to get the approvals </w:t>
      </w:r>
      <w:r w:rsidR="00F71897" w:rsidRPr="002661A8">
        <w:rPr>
          <w:rFonts w:ascii="Times New Roman" w:eastAsia="Times New Roman" w:hAnsi="Times New Roman" w:cs="Times New Roman"/>
          <w:b/>
          <w:noProof/>
          <w:sz w:val="24"/>
          <w:szCs w:val="24"/>
          <w:lang w:eastAsia="en-GB"/>
        </w:rPr>
        <w:t>for launching a service or activity</w:t>
      </w:r>
      <w:r w:rsidR="00F71897" w:rsidRPr="002661A8">
        <w:rPr>
          <w:rStyle w:val="FootnoteReference"/>
          <w:rFonts w:ascii="Times New Roman" w:eastAsia="Times New Roman" w:hAnsi="Times New Roman" w:cs="Times New Roman"/>
          <w:noProof/>
          <w:sz w:val="24"/>
          <w:szCs w:val="24"/>
          <w:lang w:eastAsia="en-GB"/>
        </w:rPr>
        <w:footnoteReference w:id="66"/>
      </w:r>
      <w:r w:rsidR="00F71897" w:rsidRPr="002661A8">
        <w:rPr>
          <w:rFonts w:ascii="Times New Roman" w:eastAsia="Times New Roman" w:hAnsi="Times New Roman" w:cs="Times New Roman"/>
          <w:noProof/>
          <w:sz w:val="24"/>
          <w:szCs w:val="24"/>
          <w:lang w:eastAsia="en-GB"/>
        </w:rPr>
        <w:t xml:space="preserve"> </w:t>
      </w:r>
      <w:r w:rsidR="001172E2" w:rsidRPr="002661A8">
        <w:rPr>
          <w:rFonts w:ascii="Times New Roman" w:eastAsia="Times New Roman" w:hAnsi="Times New Roman" w:cs="Times New Roman"/>
          <w:noProof/>
          <w:sz w:val="24"/>
          <w:szCs w:val="24"/>
          <w:lang w:eastAsia="en-GB"/>
        </w:rPr>
        <w:t>(</w:t>
      </w:r>
      <w:r w:rsidR="00F71897" w:rsidRPr="002661A8">
        <w:rPr>
          <w:rFonts w:ascii="Times New Roman" w:eastAsia="Times New Roman" w:hAnsi="Times New Roman" w:cs="Times New Roman"/>
          <w:noProof/>
          <w:sz w:val="24"/>
          <w:szCs w:val="24"/>
          <w:lang w:eastAsia="en-GB"/>
        </w:rPr>
        <w:t>on average, 8.5 months since EMIR 2.2 was adopted, with timeframes ranging from 3 to 15 months after an application has been declared complete</w:t>
      </w:r>
      <w:r w:rsidR="00F71897" w:rsidRPr="002661A8">
        <w:rPr>
          <w:rStyle w:val="FootnoteReference"/>
          <w:rFonts w:ascii="Times New Roman" w:eastAsia="Times New Roman" w:hAnsi="Times New Roman" w:cs="Times New Roman"/>
          <w:noProof/>
          <w:sz w:val="24"/>
          <w:szCs w:val="24"/>
          <w:lang w:eastAsia="en-GB"/>
        </w:rPr>
        <w:footnoteReference w:id="67"/>
      </w:r>
      <w:r w:rsidR="001172E2" w:rsidRPr="002661A8">
        <w:rPr>
          <w:rFonts w:ascii="Times New Roman" w:eastAsia="Times New Roman" w:hAnsi="Times New Roman" w:cs="Times New Roman"/>
          <w:noProof/>
          <w:sz w:val="24"/>
          <w:szCs w:val="24"/>
          <w:lang w:eastAsia="en-GB"/>
        </w:rPr>
        <w:t xml:space="preserve">). </w:t>
      </w:r>
      <w:r w:rsidR="00973121" w:rsidRPr="002661A8">
        <w:rPr>
          <w:rFonts w:ascii="Times New Roman" w:eastAsia="Times New Roman" w:hAnsi="Times New Roman" w:cs="Times New Roman"/>
          <w:noProof/>
          <w:sz w:val="24"/>
          <w:szCs w:val="24"/>
          <w:lang w:eastAsia="en-GB"/>
        </w:rPr>
        <w:t>O</w:t>
      </w:r>
      <w:r w:rsidR="00F71897" w:rsidRPr="002661A8">
        <w:rPr>
          <w:rFonts w:ascii="Times New Roman" w:eastAsia="Times New Roman" w:hAnsi="Times New Roman" w:cs="Times New Roman"/>
          <w:noProof/>
          <w:sz w:val="24"/>
          <w:szCs w:val="24"/>
          <w:lang w:eastAsia="en-GB"/>
        </w:rPr>
        <w:t>ne CCP noted that the process from submission of the first application took more than 2 years.</w:t>
      </w:r>
      <w:r w:rsidR="007D5E24" w:rsidRPr="002661A8">
        <w:rPr>
          <w:rStyle w:val="FootnoteReference"/>
          <w:rFonts w:ascii="Times New Roman" w:eastAsia="Times New Roman" w:hAnsi="Times New Roman" w:cs="Times New Roman"/>
          <w:noProof/>
          <w:sz w:val="24"/>
          <w:szCs w:val="24"/>
          <w:lang w:eastAsia="en-GB"/>
        </w:rPr>
        <w:footnoteReference w:id="68"/>
      </w:r>
      <w:r w:rsidR="00F71897" w:rsidRPr="002661A8">
        <w:rPr>
          <w:rFonts w:ascii="Times New Roman" w:eastAsia="Times New Roman" w:hAnsi="Times New Roman" w:cs="Times New Roman"/>
          <w:noProof/>
          <w:sz w:val="24"/>
          <w:szCs w:val="24"/>
          <w:lang w:eastAsia="en-GB"/>
        </w:rPr>
        <w:t xml:space="preserve"> Reportedly, such delays </w:t>
      </w:r>
      <w:r w:rsidR="00D67C07" w:rsidRPr="002661A8">
        <w:rPr>
          <w:rFonts w:ascii="Times New Roman" w:eastAsia="Times New Roman" w:hAnsi="Times New Roman" w:cs="Times New Roman"/>
          <w:noProof/>
          <w:sz w:val="24"/>
          <w:szCs w:val="24"/>
          <w:lang w:eastAsia="en-GB"/>
        </w:rPr>
        <w:t>are</w:t>
      </w:r>
      <w:r w:rsidR="00F71897" w:rsidRPr="002661A8">
        <w:rPr>
          <w:rFonts w:ascii="Times New Roman" w:eastAsia="Times New Roman" w:hAnsi="Times New Roman" w:cs="Times New Roman"/>
          <w:noProof/>
          <w:sz w:val="24"/>
          <w:szCs w:val="24"/>
          <w:lang w:eastAsia="en-GB"/>
        </w:rPr>
        <w:t xml:space="preserve"> </w:t>
      </w:r>
      <w:r w:rsidR="001172E2" w:rsidRPr="002661A8">
        <w:rPr>
          <w:rFonts w:ascii="Times New Roman" w:eastAsia="Times New Roman" w:hAnsi="Times New Roman" w:cs="Times New Roman"/>
          <w:noProof/>
          <w:sz w:val="24"/>
          <w:szCs w:val="24"/>
          <w:lang w:eastAsia="en-GB"/>
        </w:rPr>
        <w:t xml:space="preserve">due </w:t>
      </w:r>
      <w:r w:rsidR="00F71897" w:rsidRPr="002661A8">
        <w:rPr>
          <w:rFonts w:ascii="Times New Roman" w:eastAsia="Times New Roman" w:hAnsi="Times New Roman" w:cs="Times New Roman"/>
          <w:noProof/>
          <w:sz w:val="24"/>
          <w:szCs w:val="24"/>
          <w:lang w:eastAsia="en-GB"/>
        </w:rPr>
        <w:t xml:space="preserve">to lengthy interactions with the </w:t>
      </w:r>
      <w:r w:rsidR="006462F0" w:rsidRPr="00D80CFC">
        <w:rPr>
          <w:rFonts w:ascii="Times New Roman" w:eastAsia="Times New Roman" w:hAnsi="Times New Roman" w:cs="Times New Roman"/>
          <w:noProof/>
          <w:sz w:val="24"/>
          <w:szCs w:val="24"/>
          <w:lang w:eastAsia="en-GB"/>
        </w:rPr>
        <w:t>NCA</w:t>
      </w:r>
      <w:r w:rsidR="00891E4F" w:rsidRPr="00D80CFC">
        <w:rPr>
          <w:rFonts w:ascii="Times New Roman" w:eastAsia="Times New Roman" w:hAnsi="Times New Roman" w:cs="Times New Roman"/>
          <w:noProof/>
          <w:sz w:val="24"/>
          <w:szCs w:val="24"/>
          <w:lang w:eastAsia="en-GB"/>
        </w:rPr>
        <w:t xml:space="preserve"> </w:t>
      </w:r>
      <w:r w:rsidR="00F71897" w:rsidRPr="00D80CFC">
        <w:rPr>
          <w:rFonts w:ascii="Times New Roman" w:eastAsia="Times New Roman" w:hAnsi="Times New Roman" w:cs="Times New Roman"/>
          <w:noProof/>
          <w:sz w:val="24"/>
          <w:szCs w:val="24"/>
          <w:lang w:eastAsia="en-GB"/>
        </w:rPr>
        <w:t xml:space="preserve">when </w:t>
      </w:r>
      <w:r w:rsidR="001172E2" w:rsidRPr="00D80CFC">
        <w:rPr>
          <w:rFonts w:ascii="Times New Roman" w:eastAsia="Times New Roman" w:hAnsi="Times New Roman" w:cs="Times New Roman"/>
          <w:noProof/>
          <w:sz w:val="24"/>
          <w:szCs w:val="24"/>
          <w:lang w:eastAsia="en-GB"/>
        </w:rPr>
        <w:t>the latter assesse</w:t>
      </w:r>
      <w:r w:rsidR="00D67C07" w:rsidRPr="00D80CFC">
        <w:rPr>
          <w:rFonts w:ascii="Times New Roman" w:eastAsia="Times New Roman" w:hAnsi="Times New Roman" w:cs="Times New Roman"/>
          <w:noProof/>
          <w:sz w:val="24"/>
          <w:szCs w:val="24"/>
          <w:lang w:eastAsia="en-GB"/>
        </w:rPr>
        <w:t>s</w:t>
      </w:r>
      <w:r w:rsidR="00F71897" w:rsidRPr="00D80CFC">
        <w:rPr>
          <w:rFonts w:ascii="Times New Roman" w:eastAsia="Times New Roman" w:hAnsi="Times New Roman" w:cs="Times New Roman"/>
          <w:noProof/>
          <w:sz w:val="24"/>
          <w:szCs w:val="24"/>
          <w:lang w:eastAsia="en-GB"/>
        </w:rPr>
        <w:t xml:space="preserve"> </w:t>
      </w:r>
      <w:r w:rsidRPr="00D80CFC">
        <w:rPr>
          <w:rFonts w:ascii="Times New Roman" w:eastAsia="Times New Roman" w:hAnsi="Times New Roman" w:cs="Times New Roman"/>
          <w:noProof/>
          <w:sz w:val="24"/>
          <w:szCs w:val="24"/>
          <w:lang w:eastAsia="en-GB"/>
        </w:rPr>
        <w:t xml:space="preserve">if </w:t>
      </w:r>
      <w:r w:rsidR="00F71897" w:rsidRPr="00D80CFC">
        <w:rPr>
          <w:rFonts w:ascii="Times New Roman" w:eastAsia="Times New Roman" w:hAnsi="Times New Roman" w:cs="Times New Roman"/>
          <w:noProof/>
          <w:sz w:val="24"/>
          <w:szCs w:val="24"/>
          <w:lang w:eastAsia="en-GB"/>
        </w:rPr>
        <w:t xml:space="preserve">a new initiative </w:t>
      </w:r>
      <w:r w:rsidR="00D67C07" w:rsidRPr="00D80CFC">
        <w:rPr>
          <w:rFonts w:ascii="Times New Roman" w:eastAsia="Times New Roman" w:hAnsi="Times New Roman" w:cs="Times New Roman"/>
          <w:noProof/>
          <w:sz w:val="24"/>
          <w:szCs w:val="24"/>
          <w:lang w:eastAsia="en-GB"/>
        </w:rPr>
        <w:t xml:space="preserve">is </w:t>
      </w:r>
      <w:r w:rsidR="00F71897" w:rsidRPr="00D80CFC">
        <w:rPr>
          <w:rFonts w:ascii="Times New Roman" w:eastAsia="Times New Roman" w:hAnsi="Times New Roman" w:cs="Times New Roman"/>
          <w:noProof/>
          <w:sz w:val="24"/>
          <w:szCs w:val="24"/>
          <w:lang w:eastAsia="en-GB"/>
        </w:rPr>
        <w:t>an “extension of authorisation” or not</w:t>
      </w:r>
      <w:r w:rsidR="00D67C07" w:rsidRPr="00D80CFC">
        <w:rPr>
          <w:rFonts w:ascii="Times New Roman" w:eastAsia="Times New Roman" w:hAnsi="Times New Roman" w:cs="Times New Roman"/>
          <w:noProof/>
          <w:sz w:val="24"/>
          <w:szCs w:val="24"/>
          <w:lang w:eastAsia="en-GB"/>
        </w:rPr>
        <w:t>,</w:t>
      </w:r>
      <w:r w:rsidR="00F71897" w:rsidRPr="00D80CFC">
        <w:rPr>
          <w:rFonts w:ascii="Times New Roman" w:eastAsia="Times New Roman" w:hAnsi="Times New Roman" w:cs="Times New Roman"/>
          <w:noProof/>
          <w:sz w:val="24"/>
          <w:szCs w:val="24"/>
          <w:lang w:eastAsia="en-GB"/>
        </w:rPr>
        <w:t xml:space="preserve"> and when the authority assess</w:t>
      </w:r>
      <w:r w:rsidR="00D67C07" w:rsidRPr="00D80CFC">
        <w:rPr>
          <w:rFonts w:ascii="Times New Roman" w:eastAsia="Times New Roman" w:hAnsi="Times New Roman" w:cs="Times New Roman"/>
          <w:noProof/>
          <w:sz w:val="24"/>
          <w:szCs w:val="24"/>
          <w:lang w:eastAsia="en-GB"/>
        </w:rPr>
        <w:t>es</w:t>
      </w:r>
      <w:r w:rsidR="00F71897" w:rsidRPr="00D80CFC">
        <w:rPr>
          <w:rFonts w:ascii="Times New Roman" w:eastAsia="Times New Roman" w:hAnsi="Times New Roman" w:cs="Times New Roman"/>
          <w:noProof/>
          <w:sz w:val="24"/>
          <w:szCs w:val="24"/>
          <w:lang w:eastAsia="en-GB"/>
        </w:rPr>
        <w:t xml:space="preserve"> the </w:t>
      </w:r>
      <w:r w:rsidR="001172E2" w:rsidRPr="00D80CFC">
        <w:rPr>
          <w:rFonts w:ascii="Times New Roman" w:eastAsia="Times New Roman" w:hAnsi="Times New Roman" w:cs="Times New Roman"/>
          <w:noProof/>
          <w:sz w:val="24"/>
          <w:szCs w:val="24"/>
          <w:lang w:eastAsia="en-GB"/>
        </w:rPr>
        <w:t xml:space="preserve">CCP’s </w:t>
      </w:r>
      <w:r w:rsidR="00F71897" w:rsidRPr="00D80CFC">
        <w:rPr>
          <w:rFonts w:ascii="Times New Roman" w:eastAsia="Times New Roman" w:hAnsi="Times New Roman" w:cs="Times New Roman"/>
          <w:noProof/>
          <w:sz w:val="24"/>
          <w:szCs w:val="24"/>
          <w:lang w:eastAsia="en-GB"/>
        </w:rPr>
        <w:t>application</w:t>
      </w:r>
      <w:r w:rsidR="00F71897" w:rsidRPr="00D80CFC">
        <w:rPr>
          <w:rStyle w:val="FootnoteReference"/>
          <w:rFonts w:ascii="Times New Roman" w:eastAsia="Times New Roman" w:hAnsi="Times New Roman" w:cs="Times New Roman"/>
          <w:noProof/>
          <w:sz w:val="24"/>
          <w:szCs w:val="24"/>
          <w:lang w:eastAsia="en-GB"/>
        </w:rPr>
        <w:footnoteReference w:id="69"/>
      </w:r>
      <w:r w:rsidR="00F71897" w:rsidRPr="00D80CFC">
        <w:rPr>
          <w:rFonts w:ascii="Times New Roman" w:eastAsia="Times New Roman" w:hAnsi="Times New Roman" w:cs="Times New Roman"/>
          <w:noProof/>
          <w:sz w:val="24"/>
          <w:szCs w:val="24"/>
          <w:lang w:eastAsia="en-GB"/>
        </w:rPr>
        <w:t xml:space="preserve"> </w:t>
      </w:r>
      <w:r w:rsidR="00D67C07" w:rsidRPr="00D80CFC">
        <w:rPr>
          <w:rFonts w:ascii="Times New Roman" w:eastAsia="Times New Roman" w:hAnsi="Times New Roman" w:cs="Times New Roman"/>
          <w:noProof/>
          <w:sz w:val="24"/>
          <w:szCs w:val="24"/>
          <w:lang w:eastAsia="en-GB"/>
        </w:rPr>
        <w:t xml:space="preserve">to </w:t>
      </w:r>
      <w:r w:rsidR="00F71897" w:rsidRPr="00D80CFC">
        <w:rPr>
          <w:rFonts w:ascii="Times New Roman" w:eastAsia="Times New Roman" w:hAnsi="Times New Roman" w:cs="Times New Roman"/>
          <w:noProof/>
          <w:sz w:val="24"/>
          <w:szCs w:val="24"/>
          <w:lang w:eastAsia="en-GB"/>
        </w:rPr>
        <w:t>determine its completeness</w:t>
      </w:r>
      <w:r w:rsidR="00973121" w:rsidRPr="00D80CFC">
        <w:rPr>
          <w:rFonts w:ascii="Times New Roman" w:eastAsia="Times New Roman" w:hAnsi="Times New Roman" w:cs="Times New Roman"/>
          <w:noProof/>
          <w:sz w:val="24"/>
          <w:szCs w:val="24"/>
          <w:lang w:eastAsia="en-GB"/>
        </w:rPr>
        <w:t>.</w:t>
      </w:r>
      <w:r w:rsidR="00F71897" w:rsidRPr="00D80CFC">
        <w:rPr>
          <w:rStyle w:val="FootnoteReference"/>
          <w:rFonts w:ascii="Times New Roman" w:eastAsia="Times New Roman" w:hAnsi="Times New Roman" w:cs="Times New Roman"/>
          <w:noProof/>
          <w:sz w:val="24"/>
          <w:szCs w:val="24"/>
          <w:lang w:eastAsia="en-GB"/>
        </w:rPr>
        <w:footnoteReference w:id="70"/>
      </w:r>
      <w:r w:rsidR="00F71897" w:rsidRPr="00D80CFC">
        <w:rPr>
          <w:rFonts w:ascii="Times New Roman" w:eastAsia="Times New Roman" w:hAnsi="Times New Roman" w:cs="Times New Roman"/>
          <w:noProof/>
          <w:sz w:val="24"/>
          <w:szCs w:val="24"/>
          <w:lang w:eastAsia="en-GB"/>
        </w:rPr>
        <w:t xml:space="preserve"> </w:t>
      </w:r>
      <w:r w:rsidR="00D67C07" w:rsidRPr="00D80CFC">
        <w:rPr>
          <w:rFonts w:ascii="Times New Roman" w:eastAsia="Times New Roman" w:hAnsi="Times New Roman" w:cs="Times New Roman"/>
          <w:noProof/>
          <w:sz w:val="24"/>
          <w:szCs w:val="24"/>
          <w:lang w:eastAsia="en-GB"/>
        </w:rPr>
        <w:t>In practice</w:t>
      </w:r>
      <w:r w:rsidR="00D10434" w:rsidRPr="00D80CFC">
        <w:rPr>
          <w:rFonts w:ascii="Times New Roman" w:eastAsia="Times New Roman" w:hAnsi="Times New Roman" w:cs="Times New Roman"/>
          <w:noProof/>
          <w:sz w:val="24"/>
          <w:szCs w:val="24"/>
          <w:lang w:eastAsia="en-GB"/>
        </w:rPr>
        <w:t xml:space="preserve">, </w:t>
      </w:r>
      <w:r w:rsidR="00D67C07" w:rsidRPr="00D80CFC">
        <w:rPr>
          <w:rFonts w:ascii="Times New Roman" w:eastAsia="Times New Roman" w:hAnsi="Times New Roman" w:cs="Times New Roman"/>
          <w:noProof/>
          <w:sz w:val="24"/>
          <w:szCs w:val="24"/>
          <w:lang w:eastAsia="en-GB"/>
        </w:rPr>
        <w:t>an</w:t>
      </w:r>
      <w:r w:rsidR="00F71897" w:rsidRPr="00D80CFC">
        <w:rPr>
          <w:rFonts w:ascii="Times New Roman" w:eastAsia="Times New Roman" w:hAnsi="Times New Roman" w:cs="Times New Roman"/>
          <w:noProof/>
          <w:sz w:val="24"/>
          <w:szCs w:val="24"/>
          <w:lang w:eastAsia="en-GB"/>
        </w:rPr>
        <w:t xml:space="preserve"> </w:t>
      </w:r>
      <w:r w:rsidR="00746C05" w:rsidRPr="00D80CFC">
        <w:rPr>
          <w:rFonts w:ascii="Times New Roman" w:eastAsia="Times New Roman" w:hAnsi="Times New Roman" w:cs="Times New Roman"/>
          <w:noProof/>
          <w:sz w:val="24"/>
          <w:szCs w:val="24"/>
          <w:lang w:eastAsia="en-GB"/>
        </w:rPr>
        <w:t>NCA</w:t>
      </w:r>
      <w:r w:rsidR="00891E4F" w:rsidRPr="00D80CFC">
        <w:rPr>
          <w:rFonts w:ascii="Times New Roman" w:eastAsia="Times New Roman" w:hAnsi="Times New Roman" w:cs="Times New Roman"/>
          <w:noProof/>
          <w:sz w:val="24"/>
          <w:szCs w:val="24"/>
          <w:lang w:eastAsia="en-GB"/>
        </w:rPr>
        <w:t xml:space="preserve"> </w:t>
      </w:r>
      <w:r w:rsidR="00F71897" w:rsidRPr="00D80CFC">
        <w:rPr>
          <w:rFonts w:ascii="Times New Roman" w:eastAsia="Times New Roman" w:hAnsi="Times New Roman" w:cs="Times New Roman"/>
          <w:noProof/>
          <w:sz w:val="24"/>
          <w:szCs w:val="24"/>
          <w:lang w:eastAsia="en-GB"/>
        </w:rPr>
        <w:t xml:space="preserve">can ask </w:t>
      </w:r>
      <w:r w:rsidR="00D67C07" w:rsidRPr="00D80CFC">
        <w:rPr>
          <w:rFonts w:ascii="Times New Roman" w:eastAsia="Times New Roman" w:hAnsi="Times New Roman" w:cs="Times New Roman"/>
          <w:noProof/>
          <w:sz w:val="24"/>
          <w:szCs w:val="24"/>
          <w:lang w:eastAsia="en-GB"/>
        </w:rPr>
        <w:t>the CCP</w:t>
      </w:r>
      <w:r w:rsidR="00F71897" w:rsidRPr="00D80CFC">
        <w:rPr>
          <w:rFonts w:ascii="Times New Roman" w:eastAsia="Times New Roman" w:hAnsi="Times New Roman" w:cs="Times New Roman"/>
          <w:noProof/>
          <w:sz w:val="24"/>
          <w:szCs w:val="24"/>
          <w:lang w:eastAsia="en-GB"/>
        </w:rPr>
        <w:t xml:space="preserve"> </w:t>
      </w:r>
      <w:r w:rsidR="00D67C07" w:rsidRPr="00D80CFC">
        <w:rPr>
          <w:rFonts w:ascii="Times New Roman" w:eastAsia="Times New Roman" w:hAnsi="Times New Roman" w:cs="Times New Roman"/>
          <w:noProof/>
          <w:sz w:val="24"/>
          <w:szCs w:val="24"/>
          <w:lang w:eastAsia="en-GB"/>
        </w:rPr>
        <w:t xml:space="preserve">for </w:t>
      </w:r>
      <w:r w:rsidR="00F71897" w:rsidRPr="00D80CFC">
        <w:rPr>
          <w:rFonts w:ascii="Times New Roman" w:eastAsia="Times New Roman" w:hAnsi="Times New Roman" w:cs="Times New Roman"/>
          <w:noProof/>
          <w:sz w:val="24"/>
          <w:szCs w:val="24"/>
          <w:lang w:eastAsia="en-GB"/>
        </w:rPr>
        <w:t xml:space="preserve">additional information without an ultimate deadline </w:t>
      </w:r>
      <w:r w:rsidR="001172E2" w:rsidRPr="00D80CFC">
        <w:rPr>
          <w:rFonts w:ascii="Times New Roman" w:eastAsia="Times New Roman" w:hAnsi="Times New Roman" w:cs="Times New Roman"/>
          <w:noProof/>
          <w:sz w:val="24"/>
          <w:szCs w:val="24"/>
          <w:lang w:eastAsia="en-GB"/>
        </w:rPr>
        <w:t xml:space="preserve">which </w:t>
      </w:r>
      <w:r w:rsidR="00D67C07" w:rsidRPr="00D80CFC">
        <w:rPr>
          <w:rFonts w:ascii="Times New Roman" w:eastAsia="Times New Roman" w:hAnsi="Times New Roman" w:cs="Times New Roman"/>
          <w:noProof/>
          <w:sz w:val="24"/>
          <w:szCs w:val="24"/>
          <w:lang w:eastAsia="en-GB"/>
        </w:rPr>
        <w:t xml:space="preserve">can lead to indefinite </w:t>
      </w:r>
      <w:r w:rsidR="00F71897" w:rsidRPr="00D80CFC">
        <w:rPr>
          <w:rFonts w:ascii="Times New Roman" w:eastAsia="Times New Roman" w:hAnsi="Times New Roman" w:cs="Times New Roman"/>
          <w:noProof/>
          <w:sz w:val="24"/>
          <w:szCs w:val="24"/>
          <w:lang w:eastAsia="en-GB"/>
        </w:rPr>
        <w:t>delays</w:t>
      </w:r>
      <w:r w:rsidR="00D67C07" w:rsidRPr="00D80CFC">
        <w:rPr>
          <w:rFonts w:ascii="Times New Roman" w:eastAsia="Times New Roman" w:hAnsi="Times New Roman" w:cs="Times New Roman"/>
          <w:noProof/>
          <w:sz w:val="24"/>
          <w:szCs w:val="24"/>
          <w:lang w:eastAsia="en-GB"/>
        </w:rPr>
        <w:t xml:space="preserve"> for the review of the application</w:t>
      </w:r>
      <w:r w:rsidR="00926AB1" w:rsidRPr="00D80CFC">
        <w:rPr>
          <w:rStyle w:val="FootnoteReference"/>
          <w:rFonts w:ascii="Times New Roman" w:eastAsia="Times New Roman" w:hAnsi="Times New Roman" w:cs="Times New Roman"/>
          <w:noProof/>
          <w:sz w:val="24"/>
          <w:szCs w:val="24"/>
          <w:lang w:eastAsia="en-GB"/>
        </w:rPr>
        <w:footnoteReference w:id="71"/>
      </w:r>
      <w:r w:rsidR="00226A52" w:rsidRPr="00D80CFC">
        <w:rPr>
          <w:rFonts w:ascii="Times New Roman" w:eastAsia="Times New Roman" w:hAnsi="Times New Roman" w:cs="Times New Roman"/>
          <w:noProof/>
          <w:sz w:val="24"/>
          <w:szCs w:val="24"/>
          <w:lang w:eastAsia="en-GB"/>
        </w:rPr>
        <w:t>.</w:t>
      </w:r>
      <w:r w:rsidR="00F71897" w:rsidRPr="00D80CFC" w:rsidDel="00A06220">
        <w:rPr>
          <w:rFonts w:ascii="Times New Roman" w:eastAsia="Times New Roman" w:hAnsi="Times New Roman" w:cs="Times New Roman"/>
          <w:noProof/>
          <w:sz w:val="24"/>
          <w:szCs w:val="24"/>
          <w:lang w:eastAsia="en-GB"/>
        </w:rPr>
        <w:t xml:space="preserve"> </w:t>
      </w:r>
      <w:r w:rsidR="00A06220" w:rsidRPr="00D80CFC">
        <w:rPr>
          <w:rFonts w:ascii="Times New Roman" w:eastAsia="Times New Roman" w:hAnsi="Times New Roman" w:cs="Times New Roman"/>
          <w:noProof/>
          <w:sz w:val="24"/>
          <w:szCs w:val="24"/>
          <w:lang w:eastAsia="en-GB"/>
        </w:rPr>
        <w:t xml:space="preserve">CCPs </w:t>
      </w:r>
      <w:r w:rsidR="00D67C07" w:rsidRPr="00D80CFC">
        <w:rPr>
          <w:rFonts w:ascii="Times New Roman" w:eastAsia="Times New Roman" w:hAnsi="Times New Roman" w:cs="Times New Roman"/>
          <w:noProof/>
          <w:sz w:val="24"/>
          <w:szCs w:val="24"/>
          <w:lang w:eastAsia="en-GB"/>
        </w:rPr>
        <w:t xml:space="preserve">have </w:t>
      </w:r>
      <w:r w:rsidR="00F71897" w:rsidRPr="00D80CFC">
        <w:rPr>
          <w:rFonts w:ascii="Times New Roman" w:eastAsia="Times New Roman" w:hAnsi="Times New Roman" w:cs="Times New Roman"/>
          <w:noProof/>
          <w:sz w:val="24"/>
          <w:szCs w:val="24"/>
          <w:lang w:eastAsia="en-GB"/>
        </w:rPr>
        <w:t>ask</w:t>
      </w:r>
      <w:r w:rsidR="00D67C07" w:rsidRPr="00D80CFC">
        <w:rPr>
          <w:rFonts w:ascii="Times New Roman" w:eastAsia="Times New Roman" w:hAnsi="Times New Roman" w:cs="Times New Roman"/>
          <w:noProof/>
          <w:sz w:val="24"/>
          <w:szCs w:val="24"/>
          <w:lang w:eastAsia="en-GB"/>
        </w:rPr>
        <w:t>ed</w:t>
      </w:r>
      <w:r w:rsidR="00F71897" w:rsidRPr="00D80CFC">
        <w:rPr>
          <w:rFonts w:ascii="Times New Roman" w:eastAsia="Times New Roman" w:hAnsi="Times New Roman" w:cs="Times New Roman"/>
          <w:noProof/>
          <w:sz w:val="24"/>
          <w:szCs w:val="24"/>
          <w:lang w:eastAsia="en-GB"/>
        </w:rPr>
        <w:t xml:space="preserve"> for more clarity from the beginning </w:t>
      </w:r>
      <w:r w:rsidR="00C82FAE" w:rsidRPr="00D80CFC">
        <w:rPr>
          <w:rFonts w:ascii="Times New Roman" w:eastAsia="Times New Roman" w:hAnsi="Times New Roman" w:cs="Times New Roman"/>
          <w:noProof/>
          <w:sz w:val="24"/>
          <w:szCs w:val="24"/>
          <w:lang w:eastAsia="en-GB"/>
        </w:rPr>
        <w:t>on</w:t>
      </w:r>
      <w:r w:rsidR="00F71897" w:rsidRPr="00D80CFC">
        <w:rPr>
          <w:rFonts w:ascii="Times New Roman" w:eastAsia="Times New Roman" w:hAnsi="Times New Roman" w:cs="Times New Roman"/>
          <w:noProof/>
          <w:sz w:val="24"/>
          <w:szCs w:val="24"/>
          <w:lang w:eastAsia="en-GB"/>
        </w:rPr>
        <w:t xml:space="preserve"> what documents/information are exactly expected</w:t>
      </w:r>
      <w:r w:rsidR="00D67C07" w:rsidRPr="00D80CFC">
        <w:rPr>
          <w:rFonts w:ascii="Times New Roman" w:eastAsia="Times New Roman" w:hAnsi="Times New Roman" w:cs="Times New Roman"/>
          <w:noProof/>
          <w:sz w:val="24"/>
          <w:szCs w:val="24"/>
          <w:lang w:eastAsia="en-GB"/>
        </w:rPr>
        <w:t>,</w:t>
      </w:r>
      <w:r w:rsidR="004615C8" w:rsidRPr="00D80CFC">
        <w:rPr>
          <w:rStyle w:val="FootnoteReference"/>
          <w:rFonts w:ascii="Times New Roman" w:eastAsia="Times New Roman" w:hAnsi="Times New Roman" w:cs="Times New Roman"/>
          <w:noProof/>
          <w:sz w:val="24"/>
          <w:szCs w:val="24"/>
          <w:lang w:eastAsia="en-GB"/>
        </w:rPr>
        <w:footnoteReference w:id="72"/>
      </w:r>
      <w:r w:rsidR="00F71897" w:rsidRPr="00D80CFC">
        <w:rPr>
          <w:rFonts w:ascii="Times New Roman" w:eastAsia="Times New Roman" w:hAnsi="Times New Roman" w:cs="Times New Roman"/>
          <w:noProof/>
          <w:sz w:val="24"/>
          <w:szCs w:val="24"/>
          <w:lang w:eastAsia="en-GB"/>
        </w:rPr>
        <w:t xml:space="preserve"> </w:t>
      </w:r>
      <w:r w:rsidR="00D67C07" w:rsidRPr="00D80CFC">
        <w:rPr>
          <w:rFonts w:ascii="Times New Roman" w:eastAsia="Times New Roman" w:hAnsi="Times New Roman" w:cs="Times New Roman"/>
          <w:noProof/>
          <w:sz w:val="24"/>
          <w:szCs w:val="24"/>
          <w:lang w:eastAsia="en-GB"/>
        </w:rPr>
        <w:t>while other</w:t>
      </w:r>
      <w:r w:rsidR="007D5E24" w:rsidRPr="00D80CFC">
        <w:rPr>
          <w:rFonts w:ascii="Times New Roman" w:eastAsia="Times New Roman" w:hAnsi="Times New Roman" w:cs="Times New Roman"/>
          <w:noProof/>
          <w:sz w:val="24"/>
          <w:szCs w:val="24"/>
          <w:lang w:eastAsia="en-GB"/>
        </w:rPr>
        <w:t xml:space="preserve"> stakeholders </w:t>
      </w:r>
      <w:r w:rsidR="00D67C07" w:rsidRPr="00D80CFC">
        <w:rPr>
          <w:rFonts w:ascii="Times New Roman" w:eastAsia="Times New Roman" w:hAnsi="Times New Roman" w:cs="Times New Roman"/>
          <w:noProof/>
          <w:sz w:val="24"/>
          <w:szCs w:val="24"/>
          <w:lang w:eastAsia="en-GB"/>
        </w:rPr>
        <w:t xml:space="preserve">believe the observed delays are due to overly complex supervisory </w:t>
      </w:r>
      <w:r w:rsidR="007D5E24" w:rsidRPr="00D80CFC">
        <w:rPr>
          <w:rFonts w:ascii="Times New Roman" w:eastAsia="Times New Roman" w:hAnsi="Times New Roman" w:cs="Times New Roman"/>
          <w:noProof/>
          <w:sz w:val="24"/>
          <w:szCs w:val="24"/>
          <w:lang w:eastAsia="en-GB"/>
        </w:rPr>
        <w:t>process</w:t>
      </w:r>
      <w:r w:rsidR="00D67C07" w:rsidRPr="00D80CFC">
        <w:rPr>
          <w:rFonts w:ascii="Times New Roman" w:eastAsia="Times New Roman" w:hAnsi="Times New Roman" w:cs="Times New Roman"/>
          <w:noProof/>
          <w:sz w:val="24"/>
          <w:szCs w:val="24"/>
          <w:lang w:eastAsia="en-GB"/>
        </w:rPr>
        <w:t>es</w:t>
      </w:r>
      <w:r w:rsidR="007D5E24" w:rsidRPr="00D80CFC">
        <w:rPr>
          <w:rFonts w:ascii="Times New Roman" w:eastAsia="Times New Roman" w:hAnsi="Times New Roman" w:cs="Times New Roman"/>
          <w:noProof/>
          <w:sz w:val="24"/>
          <w:szCs w:val="24"/>
          <w:lang w:eastAsia="en-GB"/>
        </w:rPr>
        <w:t xml:space="preserve"> and inefficient interaction</w:t>
      </w:r>
      <w:r w:rsidR="00D67C07" w:rsidRPr="00D80CFC">
        <w:rPr>
          <w:rFonts w:ascii="Times New Roman" w:eastAsia="Times New Roman" w:hAnsi="Times New Roman" w:cs="Times New Roman"/>
          <w:noProof/>
          <w:sz w:val="24"/>
          <w:szCs w:val="24"/>
          <w:lang w:eastAsia="en-GB"/>
        </w:rPr>
        <w:t>s</w:t>
      </w:r>
      <w:r w:rsidR="007D5E24" w:rsidRPr="00D80CFC">
        <w:rPr>
          <w:rFonts w:ascii="Times New Roman" w:eastAsia="Times New Roman" w:hAnsi="Times New Roman" w:cs="Times New Roman"/>
          <w:noProof/>
          <w:sz w:val="24"/>
          <w:szCs w:val="24"/>
          <w:lang w:eastAsia="en-GB"/>
        </w:rPr>
        <w:t xml:space="preserve"> between national supervisors, colleges and ESMA.</w:t>
      </w:r>
      <w:r w:rsidR="007D5E24" w:rsidRPr="00D80CFC">
        <w:rPr>
          <w:rStyle w:val="FootnoteReference"/>
          <w:rFonts w:ascii="Times New Roman" w:eastAsia="Times New Roman" w:hAnsi="Times New Roman" w:cs="Times New Roman"/>
          <w:noProof/>
          <w:sz w:val="24"/>
          <w:szCs w:val="24"/>
          <w:lang w:eastAsia="en-GB"/>
        </w:rPr>
        <w:footnoteReference w:id="73"/>
      </w:r>
      <w:r w:rsidR="0098651C" w:rsidRPr="002661A8">
        <w:rPr>
          <w:rFonts w:ascii="Times New Roman" w:eastAsia="Times New Roman" w:hAnsi="Times New Roman" w:cs="Times New Roman"/>
          <w:noProof/>
          <w:sz w:val="24"/>
          <w:szCs w:val="24"/>
          <w:lang w:eastAsia="en-GB"/>
        </w:rPr>
        <w:t xml:space="preserve"> </w:t>
      </w:r>
    </w:p>
    <w:p w14:paraId="54454201" w14:textId="69527BAA" w:rsidR="001E1F2A" w:rsidRDefault="00F71897" w:rsidP="00D93424">
      <w:pPr>
        <w:spacing w:after="120" w:line="240" w:lineRule="auto"/>
        <w:jc w:val="both"/>
        <w:rPr>
          <w:rFonts w:ascii="Times New Roman" w:eastAsia="Times New Roman" w:hAnsi="Times New Roman" w:cs="Times New Roman"/>
          <w:noProof/>
          <w:sz w:val="24"/>
          <w:szCs w:val="24"/>
          <w:lang w:eastAsia="en-GB"/>
        </w:rPr>
      </w:pPr>
      <w:r w:rsidRPr="002661A8">
        <w:rPr>
          <w:rFonts w:ascii="Times New Roman" w:eastAsia="Times New Roman" w:hAnsi="Times New Roman" w:cs="Times New Roman"/>
          <w:noProof/>
          <w:sz w:val="24"/>
          <w:szCs w:val="24"/>
          <w:lang w:eastAsia="en-GB"/>
        </w:rPr>
        <w:t xml:space="preserve">Similar concerns </w:t>
      </w:r>
      <w:r w:rsidR="00E17E28" w:rsidRPr="002661A8">
        <w:rPr>
          <w:rFonts w:ascii="Times New Roman" w:eastAsia="Times New Roman" w:hAnsi="Times New Roman" w:cs="Times New Roman"/>
          <w:noProof/>
          <w:sz w:val="24"/>
          <w:szCs w:val="24"/>
          <w:lang w:eastAsia="en-GB"/>
        </w:rPr>
        <w:t>were</w:t>
      </w:r>
      <w:r w:rsidRPr="002661A8">
        <w:rPr>
          <w:rFonts w:ascii="Times New Roman" w:eastAsia="Times New Roman" w:hAnsi="Times New Roman" w:cs="Times New Roman"/>
          <w:noProof/>
          <w:sz w:val="24"/>
          <w:szCs w:val="24"/>
          <w:lang w:eastAsia="en-GB"/>
        </w:rPr>
        <w:t xml:space="preserve"> raised by market participants </w:t>
      </w:r>
      <w:r w:rsidR="00415E8A" w:rsidRPr="002661A8">
        <w:rPr>
          <w:rFonts w:ascii="Times New Roman" w:eastAsia="Times New Roman" w:hAnsi="Times New Roman" w:cs="Times New Roman"/>
          <w:noProof/>
          <w:sz w:val="24"/>
          <w:szCs w:val="24"/>
          <w:lang w:eastAsia="en-GB"/>
        </w:rPr>
        <w:t>on</w:t>
      </w:r>
      <w:r w:rsidRPr="002661A8">
        <w:rPr>
          <w:rFonts w:ascii="Times New Roman" w:eastAsia="Times New Roman" w:hAnsi="Times New Roman" w:cs="Times New Roman"/>
          <w:noProof/>
          <w:sz w:val="24"/>
          <w:szCs w:val="24"/>
          <w:lang w:eastAsia="en-GB"/>
        </w:rPr>
        <w:t xml:space="preserve"> the length and complexity of procedures </w:t>
      </w:r>
      <w:r w:rsidR="00415E8A" w:rsidRPr="002661A8">
        <w:rPr>
          <w:rFonts w:ascii="Times New Roman" w:eastAsia="Times New Roman" w:hAnsi="Times New Roman" w:cs="Times New Roman"/>
          <w:noProof/>
          <w:sz w:val="24"/>
          <w:szCs w:val="24"/>
          <w:lang w:eastAsia="en-GB"/>
        </w:rPr>
        <w:t>for</w:t>
      </w:r>
      <w:r w:rsidRPr="002661A8">
        <w:rPr>
          <w:rFonts w:ascii="Times New Roman" w:eastAsia="Times New Roman" w:hAnsi="Times New Roman" w:cs="Times New Roman"/>
          <w:noProof/>
          <w:sz w:val="24"/>
          <w:szCs w:val="24"/>
          <w:lang w:eastAsia="en-GB"/>
        </w:rPr>
        <w:t xml:space="preserve"> validati</w:t>
      </w:r>
      <w:r w:rsidR="00415E8A" w:rsidRPr="002661A8">
        <w:rPr>
          <w:rFonts w:ascii="Times New Roman" w:eastAsia="Times New Roman" w:hAnsi="Times New Roman" w:cs="Times New Roman"/>
          <w:noProof/>
          <w:sz w:val="24"/>
          <w:szCs w:val="24"/>
          <w:lang w:eastAsia="en-GB"/>
        </w:rPr>
        <w:t>ng</w:t>
      </w:r>
      <w:r w:rsidRPr="002661A8">
        <w:rPr>
          <w:rFonts w:ascii="Times New Roman" w:eastAsia="Times New Roman" w:hAnsi="Times New Roman" w:cs="Times New Roman"/>
          <w:noProof/>
          <w:sz w:val="24"/>
          <w:szCs w:val="24"/>
          <w:lang w:eastAsia="en-GB"/>
        </w:rPr>
        <w:t xml:space="preserve"> </w:t>
      </w:r>
      <w:r w:rsidRPr="002661A8">
        <w:rPr>
          <w:rFonts w:ascii="Times New Roman" w:eastAsia="Times New Roman" w:hAnsi="Times New Roman" w:cs="Times New Roman"/>
          <w:b/>
          <w:noProof/>
          <w:sz w:val="24"/>
          <w:szCs w:val="24"/>
          <w:lang w:eastAsia="en-GB"/>
        </w:rPr>
        <w:t>significant changes to CCPs’ risk models and model parameters</w:t>
      </w:r>
      <w:r w:rsidRPr="002661A8">
        <w:rPr>
          <w:rFonts w:ascii="Times New Roman" w:eastAsia="Times New Roman" w:hAnsi="Times New Roman" w:cs="Times New Roman"/>
          <w:noProof/>
          <w:sz w:val="24"/>
          <w:szCs w:val="24"/>
          <w:lang w:eastAsia="en-GB"/>
        </w:rPr>
        <w:t xml:space="preserve"> under Article 49 of EMIR.</w:t>
      </w:r>
      <w:r w:rsidR="003A4DCA" w:rsidRPr="002661A8">
        <w:rPr>
          <w:rStyle w:val="FootnoteReference"/>
          <w:rFonts w:ascii="Times New Roman" w:eastAsia="Times New Roman" w:hAnsi="Times New Roman" w:cs="Times New Roman"/>
          <w:noProof/>
          <w:sz w:val="24"/>
          <w:szCs w:val="24"/>
          <w:lang w:eastAsia="en-GB"/>
        </w:rPr>
        <w:footnoteReference w:id="74"/>
      </w:r>
      <w:r w:rsidRPr="002661A8">
        <w:rPr>
          <w:rFonts w:ascii="Times New Roman" w:eastAsia="Times New Roman" w:hAnsi="Times New Roman" w:cs="Times New Roman"/>
          <w:noProof/>
          <w:sz w:val="24"/>
          <w:szCs w:val="24"/>
          <w:lang w:eastAsia="en-GB"/>
        </w:rPr>
        <w:t xml:space="preserve"> </w:t>
      </w:r>
      <w:r w:rsidR="00DD1DA7">
        <w:rPr>
          <w:rFonts w:ascii="Times New Roman" w:eastAsia="Times New Roman" w:hAnsi="Times New Roman" w:cs="Times New Roman"/>
          <w:noProof/>
          <w:sz w:val="24"/>
          <w:szCs w:val="24"/>
          <w:lang w:eastAsia="en-GB"/>
        </w:rPr>
        <w:t xml:space="preserve">EMIR 2.2 amended the process to try to simplify the procedure. In the event, the end result is multiple consecutive procedures, lengthening the time taken to obtain model approval significantly. </w:t>
      </w:r>
      <w:r w:rsidRPr="002661A8">
        <w:rPr>
          <w:rFonts w:ascii="Times New Roman" w:eastAsia="Times New Roman" w:hAnsi="Times New Roman" w:cs="Times New Roman"/>
          <w:noProof/>
          <w:sz w:val="24"/>
          <w:szCs w:val="24"/>
          <w:lang w:eastAsia="en-GB"/>
        </w:rPr>
        <w:t>This procedure</w:t>
      </w:r>
      <w:r w:rsidRPr="002661A8" w:rsidDel="001172E2">
        <w:rPr>
          <w:rFonts w:ascii="Times New Roman" w:eastAsia="Times New Roman" w:hAnsi="Times New Roman" w:cs="Times New Roman"/>
          <w:noProof/>
          <w:sz w:val="24"/>
          <w:szCs w:val="24"/>
          <w:lang w:eastAsia="en-GB"/>
        </w:rPr>
        <w:t xml:space="preserve"> </w:t>
      </w:r>
      <w:r w:rsidR="001172E2" w:rsidRPr="002661A8">
        <w:rPr>
          <w:rFonts w:ascii="Times New Roman" w:eastAsia="Times New Roman" w:hAnsi="Times New Roman" w:cs="Times New Roman"/>
          <w:noProof/>
          <w:sz w:val="24"/>
          <w:szCs w:val="24"/>
          <w:lang w:eastAsia="en-GB"/>
        </w:rPr>
        <w:t xml:space="preserve">requires </w:t>
      </w:r>
      <w:r w:rsidRPr="002661A8">
        <w:rPr>
          <w:rFonts w:ascii="Times New Roman" w:eastAsia="Times New Roman" w:hAnsi="Times New Roman" w:cs="Times New Roman"/>
          <w:noProof/>
          <w:sz w:val="24"/>
          <w:szCs w:val="24"/>
          <w:lang w:eastAsia="en-GB"/>
        </w:rPr>
        <w:t xml:space="preserve">validations by the </w:t>
      </w:r>
      <w:r w:rsidR="00746C05" w:rsidRPr="002661A8">
        <w:rPr>
          <w:rFonts w:ascii="Times New Roman" w:eastAsia="Times New Roman" w:hAnsi="Times New Roman" w:cs="Times New Roman"/>
          <w:noProof/>
          <w:sz w:val="24"/>
          <w:szCs w:val="24"/>
          <w:lang w:eastAsia="en-GB"/>
        </w:rPr>
        <w:t>NCA</w:t>
      </w:r>
      <w:r w:rsidRPr="002661A8">
        <w:rPr>
          <w:rFonts w:ascii="Times New Roman" w:eastAsia="Times New Roman" w:hAnsi="Times New Roman" w:cs="Times New Roman"/>
          <w:noProof/>
          <w:sz w:val="24"/>
          <w:szCs w:val="24"/>
          <w:lang w:eastAsia="en-GB"/>
        </w:rPr>
        <w:t>, ESMA and an independent party, as well as an opinion of the college.</w:t>
      </w:r>
      <w:r w:rsidRPr="002661A8">
        <w:rPr>
          <w:rStyle w:val="FootnoteReference"/>
          <w:rFonts w:ascii="Times New Roman" w:eastAsia="Times New Roman" w:hAnsi="Times New Roman" w:cs="Times New Roman"/>
          <w:noProof/>
          <w:sz w:val="24"/>
          <w:szCs w:val="24"/>
          <w:lang w:eastAsia="en-GB"/>
        </w:rPr>
        <w:footnoteReference w:id="75"/>
      </w:r>
      <w:r w:rsidRPr="002661A8">
        <w:rPr>
          <w:rFonts w:ascii="Times New Roman" w:eastAsia="Times New Roman" w:hAnsi="Times New Roman" w:cs="Times New Roman"/>
          <w:noProof/>
          <w:sz w:val="24"/>
          <w:szCs w:val="24"/>
          <w:lang w:eastAsia="en-GB"/>
        </w:rPr>
        <w:t xml:space="preserve"> As </w:t>
      </w:r>
      <w:r w:rsidR="008F4889" w:rsidRPr="002661A8">
        <w:rPr>
          <w:rFonts w:ascii="Times New Roman" w:eastAsia="Times New Roman" w:hAnsi="Times New Roman" w:cs="Times New Roman"/>
          <w:noProof/>
          <w:sz w:val="24"/>
          <w:szCs w:val="24"/>
          <w:lang w:eastAsia="en-GB"/>
        </w:rPr>
        <w:t>such</w:t>
      </w:r>
      <w:r w:rsidRPr="002661A8">
        <w:rPr>
          <w:rFonts w:ascii="Times New Roman" w:eastAsia="Times New Roman" w:hAnsi="Times New Roman" w:cs="Times New Roman"/>
          <w:noProof/>
          <w:sz w:val="24"/>
          <w:szCs w:val="24"/>
          <w:lang w:eastAsia="en-GB"/>
        </w:rPr>
        <w:t xml:space="preserve">, it may take from several months </w:t>
      </w:r>
      <w:r w:rsidR="00A06220" w:rsidRPr="002661A8">
        <w:rPr>
          <w:rFonts w:ascii="Times New Roman" w:eastAsia="Times New Roman" w:hAnsi="Times New Roman" w:cs="Times New Roman"/>
          <w:noProof/>
          <w:sz w:val="24"/>
          <w:szCs w:val="24"/>
          <w:lang w:eastAsia="en-GB"/>
        </w:rPr>
        <w:t>up to 2.5 years</w:t>
      </w:r>
      <w:r w:rsidR="00A06220" w:rsidRPr="002661A8">
        <w:rPr>
          <w:rStyle w:val="FootnoteReference"/>
          <w:rFonts w:ascii="Times New Roman" w:eastAsia="Times New Roman" w:hAnsi="Times New Roman" w:cs="Times New Roman"/>
          <w:noProof/>
          <w:sz w:val="24"/>
          <w:szCs w:val="24"/>
          <w:lang w:eastAsia="en-GB"/>
        </w:rPr>
        <w:footnoteReference w:id="76"/>
      </w:r>
      <w:r w:rsidRPr="002661A8">
        <w:rPr>
          <w:rFonts w:ascii="Times New Roman" w:eastAsia="Times New Roman" w:hAnsi="Times New Roman" w:cs="Times New Roman"/>
          <w:noProof/>
          <w:sz w:val="24"/>
          <w:szCs w:val="24"/>
          <w:lang w:eastAsia="en-GB"/>
        </w:rPr>
        <w:t xml:space="preserve"> (7.1 months on average since EMIR 2.2 was adopted) to obtain such validations</w:t>
      </w:r>
      <w:r w:rsidR="00EB5F76" w:rsidRPr="002661A8">
        <w:rPr>
          <w:rFonts w:ascii="Times New Roman" w:eastAsia="Times New Roman" w:hAnsi="Times New Roman" w:cs="Times New Roman"/>
          <w:noProof/>
          <w:sz w:val="24"/>
          <w:szCs w:val="24"/>
          <w:lang w:eastAsia="en-GB"/>
        </w:rPr>
        <w:t>. This leads</w:t>
      </w:r>
      <w:r w:rsidR="00A06220" w:rsidRPr="002661A8">
        <w:rPr>
          <w:rFonts w:ascii="Times New Roman" w:eastAsia="Times New Roman" w:hAnsi="Times New Roman" w:cs="Times New Roman"/>
          <w:noProof/>
          <w:sz w:val="24"/>
          <w:szCs w:val="24"/>
          <w:lang w:eastAsia="en-GB"/>
        </w:rPr>
        <w:t xml:space="preserve"> to high compliance costs and</w:t>
      </w:r>
      <w:r w:rsidR="00EB5F76" w:rsidRPr="002661A8">
        <w:rPr>
          <w:rFonts w:ascii="Times New Roman" w:eastAsia="Times New Roman" w:hAnsi="Times New Roman" w:cs="Times New Roman"/>
          <w:noProof/>
          <w:sz w:val="24"/>
          <w:szCs w:val="24"/>
          <w:lang w:eastAsia="en-GB"/>
        </w:rPr>
        <w:t xml:space="preserve"> to potentially even higher opportunity costs</w:t>
      </w:r>
      <w:r w:rsidR="00F454BF">
        <w:rPr>
          <w:rFonts w:ascii="Times New Roman" w:eastAsia="Times New Roman" w:hAnsi="Times New Roman" w:cs="Times New Roman"/>
          <w:noProof/>
          <w:sz w:val="24"/>
          <w:szCs w:val="24"/>
          <w:lang w:eastAsia="en-GB"/>
        </w:rPr>
        <w:t xml:space="preserve"> due to lost revenues because products cannot be offered on time</w:t>
      </w:r>
      <w:r w:rsidR="00EB5F76" w:rsidRPr="002661A8">
        <w:rPr>
          <w:rFonts w:ascii="Times New Roman" w:eastAsia="Times New Roman" w:hAnsi="Times New Roman" w:cs="Times New Roman"/>
          <w:noProof/>
          <w:sz w:val="24"/>
          <w:szCs w:val="24"/>
          <w:lang w:eastAsia="en-GB"/>
        </w:rPr>
        <w:t xml:space="preserve"> and impacts on </w:t>
      </w:r>
      <w:r w:rsidR="00D67C07" w:rsidRPr="002661A8">
        <w:rPr>
          <w:rFonts w:ascii="Times New Roman" w:eastAsia="Times New Roman" w:hAnsi="Times New Roman" w:cs="Times New Roman"/>
          <w:noProof/>
          <w:sz w:val="24"/>
          <w:szCs w:val="24"/>
          <w:lang w:eastAsia="en-GB"/>
        </w:rPr>
        <w:t xml:space="preserve">the resilience </w:t>
      </w:r>
      <w:r w:rsidR="00EB5F76" w:rsidRPr="002661A8">
        <w:rPr>
          <w:rFonts w:ascii="Times New Roman" w:eastAsia="Times New Roman" w:hAnsi="Times New Roman" w:cs="Times New Roman"/>
          <w:noProof/>
          <w:sz w:val="24"/>
          <w:szCs w:val="24"/>
          <w:lang w:eastAsia="en-GB"/>
        </w:rPr>
        <w:t xml:space="preserve">of EU CCPs due to </w:t>
      </w:r>
      <w:r w:rsidR="00987DB4">
        <w:rPr>
          <w:rFonts w:ascii="Times New Roman" w:eastAsia="Times New Roman" w:hAnsi="Times New Roman" w:cs="Times New Roman"/>
          <w:noProof/>
          <w:sz w:val="24"/>
          <w:szCs w:val="24"/>
          <w:lang w:eastAsia="en-GB"/>
        </w:rPr>
        <w:t xml:space="preserve">the </w:t>
      </w:r>
      <w:r w:rsidR="00EB5F76" w:rsidRPr="002661A8">
        <w:rPr>
          <w:rFonts w:ascii="Times New Roman" w:eastAsia="Times New Roman" w:hAnsi="Times New Roman" w:cs="Times New Roman"/>
          <w:noProof/>
          <w:sz w:val="24"/>
          <w:szCs w:val="24"/>
          <w:lang w:eastAsia="en-GB"/>
        </w:rPr>
        <w:t xml:space="preserve">significant time needed to bring new </w:t>
      </w:r>
      <w:r w:rsidR="00987DB4">
        <w:rPr>
          <w:rFonts w:ascii="Times New Roman" w:eastAsia="Times New Roman" w:hAnsi="Times New Roman" w:cs="Times New Roman"/>
          <w:noProof/>
          <w:sz w:val="24"/>
          <w:szCs w:val="24"/>
          <w:lang w:eastAsia="en-GB"/>
        </w:rPr>
        <w:t xml:space="preserve">products </w:t>
      </w:r>
      <w:r w:rsidR="00D67C07" w:rsidRPr="002661A8">
        <w:rPr>
          <w:rFonts w:ascii="Times New Roman" w:eastAsia="Times New Roman" w:hAnsi="Times New Roman" w:cs="Times New Roman"/>
          <w:noProof/>
          <w:sz w:val="24"/>
          <w:szCs w:val="24"/>
          <w:lang w:eastAsia="en-GB"/>
        </w:rPr>
        <w:t>to clearing participants</w:t>
      </w:r>
      <w:r w:rsidR="00987DB4" w:rsidRPr="00987DB4">
        <w:rPr>
          <w:rFonts w:ascii="Times New Roman" w:eastAsia="Times New Roman" w:hAnsi="Times New Roman" w:cs="Times New Roman"/>
          <w:noProof/>
          <w:sz w:val="24"/>
          <w:szCs w:val="24"/>
          <w:lang w:eastAsia="en-GB"/>
        </w:rPr>
        <w:t xml:space="preserve"> </w:t>
      </w:r>
      <w:r w:rsidR="00987DB4">
        <w:rPr>
          <w:rFonts w:ascii="Times New Roman" w:eastAsia="Times New Roman" w:hAnsi="Times New Roman" w:cs="Times New Roman"/>
          <w:noProof/>
          <w:sz w:val="24"/>
          <w:szCs w:val="24"/>
          <w:lang w:eastAsia="en-GB"/>
        </w:rPr>
        <w:t xml:space="preserve">and to adopt new or amended </w:t>
      </w:r>
      <w:r w:rsidR="00987DB4" w:rsidRPr="002661A8">
        <w:rPr>
          <w:rFonts w:ascii="Times New Roman" w:eastAsia="Times New Roman" w:hAnsi="Times New Roman" w:cs="Times New Roman"/>
          <w:noProof/>
          <w:sz w:val="24"/>
          <w:szCs w:val="24"/>
          <w:lang w:eastAsia="en-GB"/>
        </w:rPr>
        <w:t>risk models</w:t>
      </w:r>
      <w:r w:rsidR="00A06220" w:rsidRPr="002661A8">
        <w:rPr>
          <w:rFonts w:ascii="Times New Roman" w:eastAsia="Times New Roman" w:hAnsi="Times New Roman" w:cs="Times New Roman"/>
          <w:noProof/>
          <w:sz w:val="24"/>
          <w:szCs w:val="24"/>
          <w:lang w:eastAsia="en-GB"/>
        </w:rPr>
        <w:t xml:space="preserve">. </w:t>
      </w:r>
      <w:r w:rsidR="001E1F2A">
        <w:rPr>
          <w:rFonts w:ascii="Times New Roman" w:eastAsia="Times New Roman" w:hAnsi="Times New Roman" w:cs="Times New Roman"/>
          <w:noProof/>
          <w:sz w:val="24"/>
          <w:szCs w:val="24"/>
          <w:lang w:eastAsia="en-GB"/>
        </w:rPr>
        <w:t>As noted, t</w:t>
      </w:r>
      <w:r w:rsidR="00A06220" w:rsidRPr="002661A8">
        <w:rPr>
          <w:rFonts w:ascii="Times New Roman" w:eastAsia="Times New Roman" w:hAnsi="Times New Roman" w:cs="Times New Roman"/>
          <w:noProof/>
          <w:sz w:val="24"/>
          <w:szCs w:val="24"/>
          <w:lang w:eastAsia="en-GB"/>
        </w:rPr>
        <w:t xml:space="preserve">hese problems </w:t>
      </w:r>
      <w:r w:rsidR="001E1F2A">
        <w:rPr>
          <w:rFonts w:ascii="Times New Roman" w:eastAsia="Times New Roman" w:hAnsi="Times New Roman" w:cs="Times New Roman"/>
          <w:noProof/>
          <w:sz w:val="24"/>
          <w:szCs w:val="24"/>
          <w:lang w:eastAsia="en-GB"/>
        </w:rPr>
        <w:t xml:space="preserve">derive from different identified issues, including that </w:t>
      </w:r>
      <w:r w:rsidR="00A06220" w:rsidRPr="002661A8">
        <w:rPr>
          <w:rFonts w:ascii="Times New Roman" w:eastAsia="Times New Roman" w:hAnsi="Times New Roman" w:cs="Times New Roman"/>
          <w:noProof/>
          <w:sz w:val="24"/>
          <w:szCs w:val="24"/>
          <w:lang w:eastAsia="en-GB"/>
        </w:rPr>
        <w:t xml:space="preserve">a CCP may be asked to submit documents several times and the respective procedures </w:t>
      </w:r>
      <w:r w:rsidR="0091300F" w:rsidRPr="002661A8">
        <w:rPr>
          <w:rFonts w:ascii="Times New Roman" w:eastAsia="Times New Roman" w:hAnsi="Times New Roman" w:cs="Times New Roman"/>
          <w:noProof/>
          <w:sz w:val="24"/>
          <w:szCs w:val="24"/>
          <w:lang w:eastAsia="en-GB"/>
        </w:rPr>
        <w:t xml:space="preserve">vary based on which </w:t>
      </w:r>
      <w:r w:rsidR="00A06220" w:rsidRPr="002661A8">
        <w:rPr>
          <w:rFonts w:ascii="Times New Roman" w:eastAsia="Times New Roman" w:hAnsi="Times New Roman" w:cs="Times New Roman"/>
          <w:noProof/>
          <w:sz w:val="24"/>
          <w:szCs w:val="24"/>
          <w:lang w:eastAsia="en-GB"/>
        </w:rPr>
        <w:t xml:space="preserve">authorities </w:t>
      </w:r>
      <w:r w:rsidR="0091300F" w:rsidRPr="002661A8">
        <w:rPr>
          <w:rFonts w:ascii="Times New Roman" w:eastAsia="Times New Roman" w:hAnsi="Times New Roman" w:cs="Times New Roman"/>
          <w:noProof/>
          <w:sz w:val="24"/>
          <w:szCs w:val="24"/>
          <w:lang w:eastAsia="en-GB"/>
        </w:rPr>
        <w:t xml:space="preserve">are </w:t>
      </w:r>
      <w:r w:rsidR="00A06220" w:rsidRPr="002661A8">
        <w:rPr>
          <w:rFonts w:ascii="Times New Roman" w:eastAsia="Times New Roman" w:hAnsi="Times New Roman" w:cs="Times New Roman"/>
          <w:noProof/>
          <w:sz w:val="24"/>
          <w:szCs w:val="24"/>
          <w:lang w:eastAsia="en-GB"/>
        </w:rPr>
        <w:t xml:space="preserve">involved, but also </w:t>
      </w:r>
      <w:r w:rsidR="0091300F" w:rsidRPr="002661A8">
        <w:rPr>
          <w:rFonts w:ascii="Times New Roman" w:eastAsia="Times New Roman" w:hAnsi="Times New Roman" w:cs="Times New Roman"/>
          <w:noProof/>
          <w:sz w:val="24"/>
          <w:szCs w:val="24"/>
          <w:lang w:eastAsia="en-GB"/>
        </w:rPr>
        <w:t>due to</w:t>
      </w:r>
      <w:r w:rsidR="00A06220" w:rsidRPr="002661A8">
        <w:rPr>
          <w:rFonts w:ascii="Times New Roman" w:eastAsia="Times New Roman" w:hAnsi="Times New Roman" w:cs="Times New Roman"/>
          <w:noProof/>
          <w:sz w:val="24"/>
          <w:szCs w:val="24"/>
          <w:lang w:eastAsia="en-GB"/>
        </w:rPr>
        <w:t xml:space="preserve"> uncertainty </w:t>
      </w:r>
      <w:r w:rsidR="0091300F" w:rsidRPr="002661A8">
        <w:rPr>
          <w:rFonts w:ascii="Times New Roman" w:eastAsia="Times New Roman" w:hAnsi="Times New Roman" w:cs="Times New Roman"/>
          <w:noProof/>
          <w:sz w:val="24"/>
          <w:szCs w:val="24"/>
          <w:lang w:eastAsia="en-GB"/>
        </w:rPr>
        <w:t>on</w:t>
      </w:r>
      <w:r w:rsidR="00A06220" w:rsidRPr="002661A8">
        <w:rPr>
          <w:rFonts w:ascii="Times New Roman" w:eastAsia="Times New Roman" w:hAnsi="Times New Roman" w:cs="Times New Roman"/>
          <w:noProof/>
          <w:sz w:val="24"/>
          <w:szCs w:val="24"/>
          <w:lang w:eastAsia="en-GB"/>
        </w:rPr>
        <w:t xml:space="preserve"> certain aspects of the validation process: e.g. stakeholders perceive a lack of clarity </w:t>
      </w:r>
      <w:r w:rsidR="0091300F" w:rsidRPr="002661A8">
        <w:rPr>
          <w:rFonts w:ascii="Times New Roman" w:eastAsia="Times New Roman" w:hAnsi="Times New Roman" w:cs="Times New Roman"/>
          <w:noProof/>
          <w:sz w:val="24"/>
          <w:szCs w:val="24"/>
          <w:lang w:eastAsia="en-GB"/>
        </w:rPr>
        <w:t>on what</w:t>
      </w:r>
      <w:r w:rsidR="00A06220" w:rsidRPr="002661A8">
        <w:rPr>
          <w:rFonts w:ascii="Times New Roman" w:eastAsia="Times New Roman" w:hAnsi="Times New Roman" w:cs="Times New Roman"/>
          <w:noProof/>
          <w:sz w:val="24"/>
          <w:szCs w:val="24"/>
          <w:lang w:eastAsia="en-GB"/>
        </w:rPr>
        <w:t xml:space="preserve"> documentation </w:t>
      </w:r>
      <w:r w:rsidR="001E1F2A">
        <w:rPr>
          <w:rFonts w:ascii="Times New Roman" w:eastAsia="Times New Roman" w:hAnsi="Times New Roman" w:cs="Times New Roman"/>
          <w:noProof/>
          <w:sz w:val="24"/>
          <w:szCs w:val="24"/>
          <w:lang w:eastAsia="en-GB"/>
        </w:rPr>
        <w:t xml:space="preserve">that </w:t>
      </w:r>
      <w:r w:rsidR="0091300F" w:rsidRPr="002661A8">
        <w:rPr>
          <w:rFonts w:ascii="Times New Roman" w:eastAsia="Times New Roman" w:hAnsi="Times New Roman" w:cs="Times New Roman"/>
          <w:noProof/>
          <w:sz w:val="24"/>
          <w:szCs w:val="24"/>
          <w:lang w:eastAsia="en-GB"/>
        </w:rPr>
        <w:t xml:space="preserve">has </w:t>
      </w:r>
      <w:r w:rsidR="00A06220" w:rsidRPr="002661A8">
        <w:rPr>
          <w:rFonts w:ascii="Times New Roman" w:eastAsia="Times New Roman" w:hAnsi="Times New Roman" w:cs="Times New Roman"/>
          <w:noProof/>
          <w:sz w:val="24"/>
          <w:szCs w:val="24"/>
          <w:lang w:eastAsia="en-GB"/>
        </w:rPr>
        <w:t>to be provided when apply</w:t>
      </w:r>
      <w:r w:rsidR="00336233">
        <w:rPr>
          <w:rFonts w:ascii="Times New Roman" w:eastAsia="Times New Roman" w:hAnsi="Times New Roman" w:cs="Times New Roman"/>
          <w:noProof/>
          <w:sz w:val="24"/>
          <w:szCs w:val="24"/>
          <w:lang w:eastAsia="en-GB"/>
        </w:rPr>
        <w:t>ing</w:t>
      </w:r>
      <w:r w:rsidR="001E1F2A">
        <w:rPr>
          <w:rFonts w:ascii="Times New Roman" w:eastAsia="Times New Roman" w:hAnsi="Times New Roman" w:cs="Times New Roman"/>
          <w:noProof/>
          <w:sz w:val="24"/>
          <w:szCs w:val="24"/>
          <w:lang w:eastAsia="en-GB"/>
        </w:rPr>
        <w:t xml:space="preserve"> for a new approval or validation</w:t>
      </w:r>
      <w:r w:rsidR="00A06220" w:rsidRPr="002661A8">
        <w:rPr>
          <w:rFonts w:ascii="Times New Roman" w:eastAsia="Times New Roman" w:hAnsi="Times New Roman" w:cs="Times New Roman"/>
          <w:noProof/>
          <w:sz w:val="24"/>
          <w:szCs w:val="24"/>
          <w:lang w:eastAsia="en-GB"/>
        </w:rPr>
        <w:t>.</w:t>
      </w:r>
      <w:r w:rsidR="00A06220" w:rsidRPr="002661A8">
        <w:rPr>
          <w:rStyle w:val="FootnoteReference"/>
          <w:rFonts w:ascii="Times New Roman" w:eastAsia="Times New Roman" w:hAnsi="Times New Roman" w:cs="Times New Roman"/>
          <w:noProof/>
          <w:sz w:val="24"/>
          <w:szCs w:val="24"/>
          <w:lang w:eastAsia="en-GB"/>
        </w:rPr>
        <w:footnoteReference w:id="77"/>
      </w:r>
      <w:r w:rsidR="00A06220" w:rsidRPr="002661A8">
        <w:rPr>
          <w:rFonts w:ascii="Times New Roman" w:eastAsia="Times New Roman" w:hAnsi="Times New Roman" w:cs="Times New Roman"/>
          <w:noProof/>
          <w:sz w:val="24"/>
          <w:szCs w:val="24"/>
          <w:lang w:eastAsia="en-GB"/>
        </w:rPr>
        <w:t xml:space="preserve"> In addition, stakeholders </w:t>
      </w:r>
      <w:r w:rsidR="001172E2" w:rsidRPr="002661A8">
        <w:rPr>
          <w:rFonts w:ascii="Times New Roman" w:eastAsia="Times New Roman" w:hAnsi="Times New Roman" w:cs="Times New Roman"/>
          <w:noProof/>
          <w:sz w:val="24"/>
          <w:szCs w:val="24"/>
          <w:lang w:eastAsia="en-GB"/>
        </w:rPr>
        <w:t>noted</w:t>
      </w:r>
      <w:r w:rsidR="00A06220" w:rsidRPr="002661A8">
        <w:rPr>
          <w:rFonts w:ascii="Times New Roman" w:eastAsia="Times New Roman" w:hAnsi="Times New Roman" w:cs="Times New Roman"/>
          <w:noProof/>
          <w:sz w:val="24"/>
          <w:szCs w:val="24"/>
          <w:lang w:eastAsia="en-GB"/>
        </w:rPr>
        <w:t xml:space="preserve"> that </w:t>
      </w:r>
      <w:r w:rsidR="001D23E3" w:rsidRPr="002661A8">
        <w:rPr>
          <w:rFonts w:ascii="Times New Roman" w:eastAsia="Times New Roman" w:hAnsi="Times New Roman" w:cs="Times New Roman"/>
          <w:noProof/>
          <w:sz w:val="24"/>
          <w:szCs w:val="24"/>
          <w:lang w:eastAsia="en-GB"/>
        </w:rPr>
        <w:t>even a</w:t>
      </w:r>
      <w:r w:rsidR="00A06220" w:rsidRPr="002661A8">
        <w:rPr>
          <w:rFonts w:ascii="Times New Roman" w:eastAsia="Times New Roman" w:hAnsi="Times New Roman" w:cs="Times New Roman"/>
          <w:noProof/>
          <w:sz w:val="24"/>
          <w:szCs w:val="24"/>
          <w:lang w:eastAsia="en-GB"/>
        </w:rPr>
        <w:t xml:space="preserve"> decision </w:t>
      </w:r>
      <w:r w:rsidR="00CD44B5" w:rsidRPr="002661A8">
        <w:rPr>
          <w:rFonts w:ascii="Times New Roman" w:eastAsia="Times New Roman" w:hAnsi="Times New Roman" w:cs="Times New Roman"/>
          <w:noProof/>
          <w:sz w:val="24"/>
          <w:szCs w:val="24"/>
          <w:lang w:eastAsia="en-GB"/>
        </w:rPr>
        <w:t xml:space="preserve">whether </w:t>
      </w:r>
      <w:r w:rsidR="00A06220" w:rsidRPr="002661A8">
        <w:rPr>
          <w:rFonts w:ascii="Times New Roman" w:eastAsia="Times New Roman" w:hAnsi="Times New Roman" w:cs="Times New Roman"/>
          <w:noProof/>
          <w:sz w:val="24"/>
          <w:szCs w:val="24"/>
          <w:lang w:eastAsia="en-GB"/>
        </w:rPr>
        <w:t>a change is material or not (and hence should be subject to the procedure of Article 49 of EMIR) may take weeks.</w:t>
      </w:r>
      <w:r w:rsidR="00A06220" w:rsidRPr="002661A8">
        <w:rPr>
          <w:rStyle w:val="FootnoteReference"/>
          <w:rFonts w:ascii="Times New Roman" w:eastAsia="Times New Roman" w:hAnsi="Times New Roman" w:cs="Times New Roman"/>
          <w:noProof/>
          <w:sz w:val="24"/>
          <w:szCs w:val="24"/>
          <w:lang w:eastAsia="en-GB"/>
        </w:rPr>
        <w:footnoteReference w:id="78"/>
      </w:r>
      <w:r w:rsidR="00A06220" w:rsidRPr="002661A8">
        <w:rPr>
          <w:rFonts w:ascii="Times New Roman" w:eastAsia="Times New Roman" w:hAnsi="Times New Roman" w:cs="Times New Roman"/>
          <w:noProof/>
          <w:sz w:val="24"/>
          <w:szCs w:val="24"/>
          <w:lang w:eastAsia="en-GB"/>
        </w:rPr>
        <w:t xml:space="preserve"> </w:t>
      </w:r>
    </w:p>
    <w:p w14:paraId="67EA8A17" w14:textId="7858F5C0" w:rsidR="00F71897" w:rsidRPr="002661A8" w:rsidRDefault="00F71897" w:rsidP="00D93424">
      <w:pPr>
        <w:spacing w:after="120" w:line="240" w:lineRule="auto"/>
        <w:jc w:val="both"/>
        <w:rPr>
          <w:rFonts w:ascii="Times New Roman" w:eastAsia="Times New Roman" w:hAnsi="Times New Roman" w:cs="Times New Roman"/>
          <w:noProof/>
          <w:sz w:val="24"/>
          <w:szCs w:val="24"/>
          <w:lang w:eastAsia="en-GB"/>
        </w:rPr>
      </w:pPr>
      <w:r w:rsidRPr="002661A8">
        <w:rPr>
          <w:rFonts w:ascii="Times New Roman" w:eastAsia="Times New Roman" w:hAnsi="Times New Roman" w:cs="Times New Roman"/>
          <w:noProof/>
          <w:sz w:val="24"/>
          <w:szCs w:val="24"/>
          <w:lang w:eastAsia="en-GB"/>
        </w:rPr>
        <w:t>To ensure timely management of its risks and avoid procyclical behaviour,</w:t>
      </w:r>
      <w:r w:rsidRPr="002661A8">
        <w:rPr>
          <w:rStyle w:val="FootnoteReference"/>
          <w:rFonts w:ascii="Times New Roman" w:eastAsia="Times New Roman" w:hAnsi="Times New Roman" w:cs="Times New Roman"/>
          <w:noProof/>
          <w:sz w:val="24"/>
          <w:szCs w:val="24"/>
          <w:lang w:eastAsia="en-GB"/>
        </w:rPr>
        <w:footnoteReference w:id="79"/>
      </w:r>
      <w:r w:rsidRPr="002661A8">
        <w:rPr>
          <w:rFonts w:ascii="Times New Roman" w:eastAsia="Times New Roman" w:hAnsi="Times New Roman" w:cs="Times New Roman"/>
          <w:noProof/>
          <w:sz w:val="24"/>
          <w:szCs w:val="24"/>
          <w:lang w:eastAsia="en-GB"/>
        </w:rPr>
        <w:t xml:space="preserve"> it is important for a CCP to quickly adapt, </w:t>
      </w:r>
      <w:r w:rsidR="001172E2" w:rsidRPr="002661A8">
        <w:rPr>
          <w:rFonts w:ascii="Times New Roman" w:eastAsia="Times New Roman" w:hAnsi="Times New Roman" w:cs="Times New Roman"/>
          <w:noProof/>
          <w:sz w:val="24"/>
          <w:szCs w:val="24"/>
          <w:lang w:eastAsia="en-GB"/>
        </w:rPr>
        <w:t>e.g.</w:t>
      </w:r>
      <w:r w:rsidRPr="002661A8">
        <w:rPr>
          <w:rFonts w:ascii="Times New Roman" w:eastAsia="Times New Roman" w:hAnsi="Times New Roman" w:cs="Times New Roman"/>
          <w:noProof/>
          <w:sz w:val="24"/>
          <w:szCs w:val="24"/>
          <w:lang w:eastAsia="en-GB"/>
        </w:rPr>
        <w:t xml:space="preserve"> the models according to which it seizes its default fund, to adjust its models for margin calculation to changes in market volatility or in reaction to the tests performed on the models themselves. For example, in times of stress</w:t>
      </w:r>
      <w:r w:rsidR="001D23E3" w:rsidRPr="002661A8">
        <w:rPr>
          <w:rFonts w:ascii="Times New Roman" w:eastAsia="Times New Roman" w:hAnsi="Times New Roman" w:cs="Times New Roman"/>
          <w:noProof/>
          <w:sz w:val="24"/>
          <w:szCs w:val="24"/>
          <w:lang w:eastAsia="en-GB"/>
        </w:rPr>
        <w:t>,</w:t>
      </w:r>
      <w:r w:rsidRPr="002661A8">
        <w:rPr>
          <w:rFonts w:ascii="Times New Roman" w:eastAsia="Times New Roman" w:hAnsi="Times New Roman" w:cs="Times New Roman"/>
          <w:noProof/>
          <w:sz w:val="24"/>
          <w:szCs w:val="24"/>
          <w:lang w:eastAsia="en-GB"/>
        </w:rPr>
        <w:t xml:space="preserve"> CCPs may need to adjust model parameters quickly, so that such parameters actually reflect market dynamics that are important for a proper calculation of margins and thus for risk management.</w:t>
      </w:r>
      <w:r w:rsidR="00E45667">
        <w:rPr>
          <w:rFonts w:ascii="Times New Roman" w:eastAsia="Times New Roman" w:hAnsi="Times New Roman" w:cs="Times New Roman"/>
          <w:noProof/>
          <w:sz w:val="24"/>
          <w:szCs w:val="24"/>
          <w:lang w:eastAsia="en-GB"/>
        </w:rPr>
        <w:t xml:space="preserve"> </w:t>
      </w:r>
    </w:p>
    <w:p w14:paraId="59370247" w14:textId="19139FD8" w:rsidR="00183433" w:rsidRPr="002661A8" w:rsidRDefault="00F71897" w:rsidP="00D93424">
      <w:pPr>
        <w:spacing w:after="120" w:line="240" w:lineRule="auto"/>
        <w:jc w:val="both"/>
        <w:rPr>
          <w:rFonts w:ascii="Times New Roman" w:eastAsia="Times New Roman" w:hAnsi="Times New Roman" w:cs="Times New Roman"/>
          <w:noProof/>
          <w:sz w:val="24"/>
          <w:szCs w:val="24"/>
          <w:lang w:eastAsia="en-GB"/>
        </w:rPr>
      </w:pPr>
      <w:r w:rsidRPr="002661A8">
        <w:rPr>
          <w:rFonts w:ascii="Times New Roman" w:eastAsia="Times New Roman" w:hAnsi="Times New Roman" w:cs="Times New Roman"/>
          <w:noProof/>
          <w:sz w:val="24"/>
          <w:szCs w:val="24"/>
          <w:lang w:eastAsia="en-GB"/>
        </w:rPr>
        <w:t xml:space="preserve">EMIR </w:t>
      </w:r>
      <w:r w:rsidR="00336233">
        <w:rPr>
          <w:rFonts w:ascii="Times New Roman" w:eastAsia="Times New Roman" w:hAnsi="Times New Roman" w:cs="Times New Roman"/>
          <w:noProof/>
          <w:sz w:val="24"/>
          <w:szCs w:val="24"/>
          <w:lang w:eastAsia="en-GB"/>
        </w:rPr>
        <w:t>has</w:t>
      </w:r>
      <w:r w:rsidRPr="002661A8">
        <w:rPr>
          <w:rFonts w:ascii="Times New Roman" w:eastAsia="Times New Roman" w:hAnsi="Times New Roman" w:cs="Times New Roman"/>
          <w:noProof/>
          <w:sz w:val="24"/>
          <w:szCs w:val="24"/>
          <w:lang w:eastAsia="en-GB"/>
        </w:rPr>
        <w:t xml:space="preserve"> a “</w:t>
      </w:r>
      <w:r w:rsidR="00DB6F1C" w:rsidRPr="002661A8">
        <w:rPr>
          <w:rFonts w:ascii="Times New Roman" w:eastAsia="Times New Roman" w:hAnsi="Times New Roman" w:cs="Times New Roman"/>
          <w:noProof/>
          <w:sz w:val="24"/>
          <w:szCs w:val="24"/>
          <w:lang w:eastAsia="en-GB"/>
        </w:rPr>
        <w:t>faster</w:t>
      </w:r>
      <w:r w:rsidRPr="002661A8">
        <w:rPr>
          <w:rFonts w:ascii="Times New Roman" w:eastAsia="Times New Roman" w:hAnsi="Times New Roman" w:cs="Times New Roman"/>
          <w:noProof/>
          <w:sz w:val="24"/>
          <w:szCs w:val="24"/>
          <w:lang w:eastAsia="en-GB"/>
        </w:rPr>
        <w:t>” procedure (i.e. a</w:t>
      </w:r>
      <w:r w:rsidR="00891E4F" w:rsidRPr="002661A8">
        <w:rPr>
          <w:rFonts w:ascii="Times New Roman" w:eastAsia="Times New Roman" w:hAnsi="Times New Roman" w:cs="Times New Roman"/>
          <w:noProof/>
          <w:sz w:val="24"/>
          <w:szCs w:val="24"/>
          <w:lang w:eastAsia="en-GB"/>
        </w:rPr>
        <w:t xml:space="preserve"> provisional</w:t>
      </w:r>
      <w:r w:rsidRPr="002661A8" w:rsidDel="00891E4F">
        <w:rPr>
          <w:rFonts w:ascii="Times New Roman" w:eastAsia="Times New Roman" w:hAnsi="Times New Roman" w:cs="Times New Roman"/>
          <w:noProof/>
          <w:sz w:val="24"/>
          <w:szCs w:val="24"/>
          <w:lang w:eastAsia="en-GB"/>
        </w:rPr>
        <w:t xml:space="preserve"> </w:t>
      </w:r>
      <w:r w:rsidRPr="002661A8">
        <w:rPr>
          <w:rFonts w:ascii="Times New Roman" w:eastAsia="Times New Roman" w:hAnsi="Times New Roman" w:cs="Times New Roman"/>
          <w:noProof/>
          <w:sz w:val="24"/>
          <w:szCs w:val="24"/>
          <w:lang w:eastAsia="en-GB"/>
        </w:rPr>
        <w:t>validation</w:t>
      </w:r>
      <w:r w:rsidR="00973121" w:rsidRPr="002661A8">
        <w:rPr>
          <w:rFonts w:ascii="Times New Roman" w:eastAsia="Times New Roman" w:hAnsi="Times New Roman" w:cs="Times New Roman"/>
          <w:noProof/>
          <w:sz w:val="24"/>
          <w:szCs w:val="24"/>
          <w:lang w:eastAsia="en-GB"/>
        </w:rPr>
        <w:t xml:space="preserve"> procedur</w:t>
      </w:r>
      <w:r w:rsidR="00A06220" w:rsidRPr="002661A8">
        <w:rPr>
          <w:rFonts w:ascii="Times New Roman" w:eastAsia="Times New Roman" w:hAnsi="Times New Roman" w:cs="Times New Roman"/>
          <w:noProof/>
          <w:sz w:val="24"/>
          <w:szCs w:val="24"/>
          <w:lang w:eastAsia="en-GB"/>
        </w:rPr>
        <w:t>e</w:t>
      </w:r>
      <w:r w:rsidRPr="002661A8">
        <w:rPr>
          <w:rFonts w:ascii="Times New Roman" w:eastAsia="Times New Roman" w:hAnsi="Times New Roman" w:cs="Times New Roman"/>
          <w:noProof/>
          <w:sz w:val="24"/>
          <w:szCs w:val="24"/>
          <w:lang w:eastAsia="en-GB"/>
        </w:rPr>
        <w:t xml:space="preserve">) </w:t>
      </w:r>
      <w:r w:rsidR="004576DA" w:rsidRPr="002661A8">
        <w:rPr>
          <w:rFonts w:ascii="Times New Roman" w:eastAsia="Times New Roman" w:hAnsi="Times New Roman" w:cs="Times New Roman"/>
          <w:noProof/>
          <w:sz w:val="24"/>
          <w:szCs w:val="24"/>
          <w:lang w:eastAsia="en-GB"/>
        </w:rPr>
        <w:t xml:space="preserve">for changes to risk models and parameters </w:t>
      </w:r>
      <w:r w:rsidRPr="002661A8">
        <w:rPr>
          <w:rFonts w:ascii="Times New Roman" w:eastAsia="Times New Roman" w:hAnsi="Times New Roman" w:cs="Times New Roman"/>
          <w:noProof/>
          <w:sz w:val="24"/>
          <w:szCs w:val="24"/>
          <w:lang w:eastAsia="en-GB"/>
        </w:rPr>
        <w:t>where justified</w:t>
      </w:r>
      <w:r w:rsidR="00BF5F48" w:rsidRPr="002661A8">
        <w:rPr>
          <w:rFonts w:ascii="Times New Roman" w:eastAsia="Times New Roman" w:hAnsi="Times New Roman" w:cs="Times New Roman"/>
          <w:noProof/>
          <w:sz w:val="24"/>
          <w:szCs w:val="24"/>
          <w:lang w:eastAsia="en-GB"/>
        </w:rPr>
        <w:t xml:space="preserve"> (Article 49(1e) of EMIR).</w:t>
      </w:r>
      <w:r w:rsidRPr="002661A8">
        <w:rPr>
          <w:rFonts w:ascii="Times New Roman" w:eastAsia="Times New Roman" w:hAnsi="Times New Roman" w:cs="Times New Roman"/>
          <w:noProof/>
          <w:sz w:val="24"/>
          <w:szCs w:val="24"/>
          <w:lang w:eastAsia="en-GB"/>
        </w:rPr>
        <w:t xml:space="preserve"> </w:t>
      </w:r>
      <w:r w:rsidR="00215E83">
        <w:rPr>
          <w:rFonts w:ascii="Times New Roman" w:eastAsia="Times New Roman" w:hAnsi="Times New Roman" w:cs="Times New Roman"/>
          <w:noProof/>
          <w:sz w:val="24"/>
          <w:szCs w:val="24"/>
          <w:lang w:eastAsia="en-GB"/>
        </w:rPr>
        <w:t>As its scope is, however, considered</w:t>
      </w:r>
      <w:r w:rsidRPr="002661A8" w:rsidDel="00215E83">
        <w:rPr>
          <w:rFonts w:ascii="Times New Roman" w:eastAsia="Times New Roman" w:hAnsi="Times New Roman" w:cs="Times New Roman"/>
          <w:noProof/>
          <w:sz w:val="24"/>
          <w:szCs w:val="24"/>
          <w:lang w:eastAsia="en-GB"/>
        </w:rPr>
        <w:t xml:space="preserve"> </w:t>
      </w:r>
      <w:r w:rsidRPr="002661A8">
        <w:rPr>
          <w:rFonts w:ascii="Times New Roman" w:eastAsia="Times New Roman" w:hAnsi="Times New Roman" w:cs="Times New Roman"/>
          <w:noProof/>
          <w:sz w:val="24"/>
          <w:szCs w:val="24"/>
          <w:lang w:eastAsia="en-GB"/>
        </w:rPr>
        <w:t>unclear and limited</w:t>
      </w:r>
      <w:r w:rsidR="00DB6F1C" w:rsidRPr="002661A8">
        <w:rPr>
          <w:rFonts w:ascii="Times New Roman" w:eastAsia="Times New Roman" w:hAnsi="Times New Roman" w:cs="Times New Roman"/>
          <w:noProof/>
          <w:sz w:val="24"/>
          <w:szCs w:val="24"/>
          <w:lang w:eastAsia="en-GB"/>
        </w:rPr>
        <w:t>, it</w:t>
      </w:r>
      <w:r w:rsidRPr="002661A8" w:rsidDel="00DB6F1C">
        <w:rPr>
          <w:rFonts w:ascii="Times New Roman" w:eastAsia="Times New Roman" w:hAnsi="Times New Roman" w:cs="Times New Roman"/>
          <w:noProof/>
          <w:sz w:val="24"/>
          <w:szCs w:val="24"/>
          <w:lang w:eastAsia="en-GB"/>
        </w:rPr>
        <w:t xml:space="preserve"> </w:t>
      </w:r>
      <w:r w:rsidR="00592BF2" w:rsidRPr="002661A8">
        <w:rPr>
          <w:rFonts w:ascii="Times New Roman" w:eastAsia="Times New Roman" w:hAnsi="Times New Roman" w:cs="Times New Roman"/>
          <w:noProof/>
          <w:sz w:val="24"/>
          <w:szCs w:val="24"/>
          <w:lang w:eastAsia="en-GB"/>
        </w:rPr>
        <w:t xml:space="preserve">has not been used </w:t>
      </w:r>
      <w:r w:rsidR="00DB6F1C" w:rsidRPr="002661A8">
        <w:rPr>
          <w:rFonts w:ascii="Times New Roman" w:eastAsia="Times New Roman" w:hAnsi="Times New Roman" w:cs="Times New Roman"/>
          <w:noProof/>
          <w:sz w:val="24"/>
          <w:szCs w:val="24"/>
          <w:lang w:eastAsia="en-GB"/>
        </w:rPr>
        <w:t xml:space="preserve">much </w:t>
      </w:r>
      <w:r w:rsidR="00592BF2" w:rsidRPr="002661A8">
        <w:rPr>
          <w:rFonts w:ascii="Times New Roman" w:eastAsia="Times New Roman" w:hAnsi="Times New Roman" w:cs="Times New Roman"/>
          <w:noProof/>
          <w:sz w:val="24"/>
          <w:szCs w:val="24"/>
          <w:lang w:eastAsia="en-GB"/>
        </w:rPr>
        <w:t xml:space="preserve">in practice </w:t>
      </w:r>
      <w:r w:rsidRPr="002661A8">
        <w:rPr>
          <w:rFonts w:ascii="Times New Roman" w:eastAsia="Times New Roman" w:hAnsi="Times New Roman" w:cs="Times New Roman"/>
          <w:noProof/>
          <w:sz w:val="24"/>
          <w:szCs w:val="24"/>
          <w:lang w:eastAsia="en-GB"/>
        </w:rPr>
        <w:t xml:space="preserve">(e.g. </w:t>
      </w:r>
      <w:r w:rsidR="00746C05" w:rsidRPr="002661A8">
        <w:rPr>
          <w:rFonts w:ascii="Times New Roman" w:eastAsia="Times New Roman" w:hAnsi="Times New Roman" w:cs="Times New Roman"/>
          <w:noProof/>
          <w:sz w:val="24"/>
          <w:szCs w:val="24"/>
          <w:lang w:eastAsia="en-GB"/>
        </w:rPr>
        <w:t>NCAs</w:t>
      </w:r>
      <w:r w:rsidRPr="002661A8">
        <w:rPr>
          <w:rFonts w:ascii="Times New Roman" w:eastAsia="Times New Roman" w:hAnsi="Times New Roman" w:cs="Times New Roman"/>
          <w:noProof/>
          <w:sz w:val="24"/>
          <w:szCs w:val="24"/>
          <w:lang w:eastAsia="en-GB"/>
        </w:rPr>
        <w:t xml:space="preserve"> are unsure or </w:t>
      </w:r>
      <w:r w:rsidR="00DB6F1C" w:rsidRPr="002661A8">
        <w:rPr>
          <w:rFonts w:ascii="Times New Roman" w:eastAsia="Times New Roman" w:hAnsi="Times New Roman" w:cs="Times New Roman"/>
          <w:noProof/>
          <w:sz w:val="24"/>
          <w:szCs w:val="24"/>
          <w:lang w:eastAsia="en-GB"/>
        </w:rPr>
        <w:t xml:space="preserve">reluctant </w:t>
      </w:r>
      <w:r w:rsidRPr="002661A8">
        <w:rPr>
          <w:rFonts w:ascii="Times New Roman" w:eastAsia="Times New Roman" w:hAnsi="Times New Roman" w:cs="Times New Roman"/>
          <w:noProof/>
          <w:sz w:val="24"/>
          <w:szCs w:val="24"/>
          <w:lang w:eastAsia="en-GB"/>
        </w:rPr>
        <w:t>to approve changes).</w:t>
      </w:r>
      <w:r w:rsidR="00771E01" w:rsidRPr="002661A8">
        <w:rPr>
          <w:rStyle w:val="FootnoteReference"/>
          <w:rFonts w:ascii="Times New Roman" w:eastAsia="Times New Roman" w:hAnsi="Times New Roman" w:cs="Times New Roman"/>
          <w:noProof/>
          <w:sz w:val="24"/>
          <w:szCs w:val="24"/>
          <w:lang w:eastAsia="en-GB"/>
        </w:rPr>
        <w:footnoteReference w:id="80"/>
      </w:r>
      <w:r w:rsidRPr="002661A8">
        <w:rPr>
          <w:rFonts w:ascii="Times New Roman" w:eastAsia="Times New Roman" w:hAnsi="Times New Roman" w:cs="Times New Roman"/>
          <w:noProof/>
          <w:sz w:val="24"/>
          <w:szCs w:val="24"/>
          <w:lang w:eastAsia="en-GB"/>
        </w:rPr>
        <w:t xml:space="preserve"> Moreover,</w:t>
      </w:r>
      <w:r w:rsidRPr="002661A8" w:rsidDel="004576DA">
        <w:rPr>
          <w:rFonts w:ascii="Times New Roman" w:eastAsia="Times New Roman" w:hAnsi="Times New Roman" w:cs="Times New Roman"/>
          <w:noProof/>
          <w:sz w:val="24"/>
          <w:szCs w:val="24"/>
          <w:lang w:eastAsia="en-GB"/>
        </w:rPr>
        <w:t xml:space="preserve"> </w:t>
      </w:r>
      <w:r w:rsidRPr="002661A8">
        <w:rPr>
          <w:rFonts w:ascii="Times New Roman" w:eastAsia="Times New Roman" w:hAnsi="Times New Roman" w:cs="Times New Roman"/>
          <w:noProof/>
          <w:sz w:val="24"/>
          <w:szCs w:val="24"/>
          <w:lang w:eastAsia="en-GB"/>
        </w:rPr>
        <w:t>market participants</w:t>
      </w:r>
      <w:r w:rsidR="004576DA" w:rsidRPr="002661A8">
        <w:rPr>
          <w:rFonts w:ascii="Times New Roman" w:eastAsia="Times New Roman" w:hAnsi="Times New Roman" w:cs="Times New Roman"/>
          <w:noProof/>
          <w:sz w:val="24"/>
          <w:szCs w:val="24"/>
          <w:lang w:eastAsia="en-GB"/>
        </w:rPr>
        <w:t xml:space="preserve"> noted that</w:t>
      </w:r>
      <w:r w:rsidRPr="002661A8">
        <w:rPr>
          <w:rFonts w:ascii="Times New Roman" w:eastAsia="Times New Roman" w:hAnsi="Times New Roman" w:cs="Times New Roman"/>
          <w:noProof/>
          <w:sz w:val="24"/>
          <w:szCs w:val="24"/>
          <w:lang w:eastAsia="en-GB"/>
        </w:rPr>
        <w:t xml:space="preserve"> this process does not </w:t>
      </w:r>
      <w:r w:rsidR="00DB6F1C" w:rsidRPr="002661A8">
        <w:rPr>
          <w:rFonts w:ascii="Times New Roman" w:eastAsia="Times New Roman" w:hAnsi="Times New Roman" w:cs="Times New Roman"/>
          <w:noProof/>
          <w:sz w:val="24"/>
          <w:szCs w:val="24"/>
          <w:lang w:eastAsia="en-GB"/>
        </w:rPr>
        <w:t xml:space="preserve">reduce </w:t>
      </w:r>
      <w:r w:rsidRPr="002661A8">
        <w:rPr>
          <w:rFonts w:ascii="Times New Roman" w:eastAsia="Times New Roman" w:hAnsi="Times New Roman" w:cs="Times New Roman"/>
          <w:noProof/>
          <w:sz w:val="24"/>
          <w:szCs w:val="24"/>
          <w:lang w:eastAsia="en-GB"/>
        </w:rPr>
        <w:t>the</w:t>
      </w:r>
      <w:r w:rsidRPr="002661A8" w:rsidDel="00DB6F1C">
        <w:rPr>
          <w:rFonts w:ascii="Times New Roman" w:eastAsia="Times New Roman" w:hAnsi="Times New Roman" w:cs="Times New Roman"/>
          <w:noProof/>
          <w:sz w:val="24"/>
          <w:szCs w:val="24"/>
          <w:lang w:eastAsia="en-GB"/>
        </w:rPr>
        <w:t xml:space="preserve"> </w:t>
      </w:r>
      <w:r w:rsidRPr="002661A8">
        <w:rPr>
          <w:rFonts w:ascii="Times New Roman" w:eastAsia="Times New Roman" w:hAnsi="Times New Roman" w:cs="Times New Roman"/>
          <w:noProof/>
          <w:sz w:val="24"/>
          <w:szCs w:val="24"/>
          <w:lang w:eastAsia="en-GB"/>
        </w:rPr>
        <w:t xml:space="preserve">burden for small and incremental improvements to CCPs’ risk management capabilities, including </w:t>
      </w:r>
      <w:r w:rsidR="00215E83">
        <w:rPr>
          <w:rFonts w:ascii="Times New Roman" w:eastAsia="Times New Roman" w:hAnsi="Times New Roman" w:cs="Times New Roman"/>
          <w:noProof/>
          <w:sz w:val="24"/>
          <w:szCs w:val="24"/>
          <w:lang w:eastAsia="en-GB"/>
        </w:rPr>
        <w:t>under</w:t>
      </w:r>
      <w:r w:rsidRPr="002661A8">
        <w:rPr>
          <w:rFonts w:ascii="Times New Roman" w:eastAsia="Times New Roman" w:hAnsi="Times New Roman" w:cs="Times New Roman"/>
          <w:noProof/>
          <w:sz w:val="24"/>
          <w:szCs w:val="24"/>
          <w:lang w:eastAsia="en-GB"/>
        </w:rPr>
        <w:t xml:space="preserve"> the proposed </w:t>
      </w:r>
      <w:r w:rsidR="00891E4F" w:rsidRPr="002661A8">
        <w:rPr>
          <w:rFonts w:ascii="Times New Roman" w:eastAsia="Times New Roman" w:hAnsi="Times New Roman" w:cs="Times New Roman"/>
          <w:noProof/>
          <w:sz w:val="24"/>
          <w:szCs w:val="24"/>
          <w:lang w:eastAsia="en-GB"/>
        </w:rPr>
        <w:t>regulatory technical standards</w:t>
      </w:r>
      <w:r w:rsidRPr="002661A8">
        <w:rPr>
          <w:rFonts w:ascii="Times New Roman" w:eastAsia="Times New Roman" w:hAnsi="Times New Roman" w:cs="Times New Roman"/>
          <w:noProof/>
          <w:sz w:val="24"/>
          <w:szCs w:val="24"/>
          <w:lang w:eastAsia="en-GB"/>
        </w:rPr>
        <w:t>.</w:t>
      </w:r>
      <w:r w:rsidRPr="002661A8">
        <w:rPr>
          <w:rStyle w:val="FootnoteReference"/>
          <w:rFonts w:ascii="Times New Roman" w:eastAsia="Times New Roman" w:hAnsi="Times New Roman" w:cs="Times New Roman"/>
          <w:noProof/>
          <w:sz w:val="24"/>
          <w:szCs w:val="24"/>
          <w:lang w:eastAsia="en-GB"/>
        </w:rPr>
        <w:footnoteReference w:id="81"/>
      </w:r>
      <w:r w:rsidRPr="002661A8">
        <w:rPr>
          <w:rFonts w:ascii="Times New Roman" w:eastAsia="Times New Roman" w:hAnsi="Times New Roman" w:cs="Times New Roman"/>
          <w:noProof/>
          <w:sz w:val="24"/>
          <w:szCs w:val="24"/>
          <w:lang w:eastAsia="en-GB"/>
        </w:rPr>
        <w:t xml:space="preserve"> </w:t>
      </w:r>
      <w:r w:rsidR="00832C3D" w:rsidRPr="002661A8">
        <w:rPr>
          <w:rFonts w:ascii="Times New Roman" w:eastAsia="Times New Roman" w:hAnsi="Times New Roman" w:cs="Times New Roman"/>
          <w:noProof/>
          <w:sz w:val="24"/>
          <w:szCs w:val="24"/>
          <w:lang w:eastAsia="en-GB"/>
        </w:rPr>
        <w:t>Market participants say</w:t>
      </w:r>
      <w:r w:rsidR="004576DA" w:rsidRPr="002661A8">
        <w:rPr>
          <w:rFonts w:ascii="Times New Roman" w:eastAsia="Times New Roman" w:hAnsi="Times New Roman" w:cs="Times New Roman"/>
          <w:noProof/>
          <w:sz w:val="24"/>
          <w:szCs w:val="24"/>
          <w:lang w:eastAsia="en-GB"/>
        </w:rPr>
        <w:t>,</w:t>
      </w:r>
      <w:r w:rsidR="00832C3D" w:rsidRPr="002661A8">
        <w:rPr>
          <w:rFonts w:ascii="Times New Roman" w:eastAsia="Times New Roman" w:hAnsi="Times New Roman" w:cs="Times New Roman"/>
          <w:noProof/>
          <w:sz w:val="24"/>
          <w:szCs w:val="24"/>
          <w:lang w:eastAsia="en-GB"/>
        </w:rPr>
        <w:t xml:space="preserve"> i</w:t>
      </w:r>
      <w:r w:rsidRPr="002661A8">
        <w:rPr>
          <w:rFonts w:ascii="Times New Roman" w:eastAsia="Times New Roman" w:hAnsi="Times New Roman" w:cs="Times New Roman"/>
          <w:noProof/>
          <w:sz w:val="24"/>
          <w:szCs w:val="24"/>
          <w:lang w:eastAsia="en-GB"/>
        </w:rPr>
        <w:t xml:space="preserve">n essence, that </w:t>
      </w:r>
      <w:r w:rsidR="00B41661" w:rsidRPr="002661A8">
        <w:rPr>
          <w:rFonts w:ascii="Times New Roman" w:eastAsia="Times New Roman" w:hAnsi="Times New Roman" w:cs="Times New Roman"/>
          <w:noProof/>
          <w:sz w:val="24"/>
          <w:szCs w:val="24"/>
          <w:lang w:eastAsia="en-GB"/>
        </w:rPr>
        <w:t>that</w:t>
      </w:r>
      <w:r w:rsidRPr="002661A8">
        <w:rPr>
          <w:rFonts w:ascii="Times New Roman" w:eastAsia="Times New Roman" w:hAnsi="Times New Roman" w:cs="Times New Roman"/>
          <w:noProof/>
          <w:sz w:val="24"/>
          <w:szCs w:val="24"/>
          <w:lang w:eastAsia="en-GB"/>
        </w:rPr>
        <w:t xml:space="preserve"> procedure is used as an emergency measure but not to facilitate or expedite the overall validation process.</w:t>
      </w:r>
      <w:r w:rsidR="000D5F22" w:rsidRPr="002661A8">
        <w:rPr>
          <w:rStyle w:val="FootnoteReference"/>
          <w:rFonts w:ascii="Times New Roman" w:eastAsia="Times New Roman" w:hAnsi="Times New Roman" w:cs="Times New Roman"/>
          <w:noProof/>
          <w:sz w:val="24"/>
          <w:szCs w:val="24"/>
          <w:lang w:eastAsia="en-GB"/>
        </w:rPr>
        <w:footnoteReference w:id="82"/>
      </w:r>
      <w:r w:rsidRPr="002661A8">
        <w:rPr>
          <w:rFonts w:ascii="Times New Roman" w:eastAsia="Times New Roman" w:hAnsi="Times New Roman" w:cs="Times New Roman"/>
          <w:noProof/>
          <w:sz w:val="24"/>
          <w:szCs w:val="24"/>
          <w:lang w:eastAsia="en-GB"/>
        </w:rPr>
        <w:t xml:space="preserve"> </w:t>
      </w:r>
      <w:r w:rsidR="00D67C07" w:rsidRPr="002661A8">
        <w:rPr>
          <w:rFonts w:ascii="Times New Roman" w:eastAsia="Times New Roman" w:hAnsi="Times New Roman" w:cs="Times New Roman"/>
          <w:noProof/>
          <w:sz w:val="24"/>
          <w:szCs w:val="24"/>
          <w:lang w:eastAsia="en-GB"/>
        </w:rPr>
        <w:t xml:space="preserve">Finally, even for cases where </w:t>
      </w:r>
      <w:r w:rsidR="00215E83">
        <w:rPr>
          <w:rFonts w:ascii="Times New Roman" w:eastAsia="Times New Roman" w:hAnsi="Times New Roman" w:cs="Times New Roman"/>
          <w:noProof/>
          <w:sz w:val="24"/>
          <w:szCs w:val="24"/>
          <w:lang w:eastAsia="en-GB"/>
        </w:rPr>
        <w:t>provisional</w:t>
      </w:r>
      <w:r w:rsidR="00215E83" w:rsidRPr="002661A8">
        <w:rPr>
          <w:rFonts w:ascii="Times New Roman" w:eastAsia="Times New Roman" w:hAnsi="Times New Roman" w:cs="Times New Roman"/>
          <w:noProof/>
          <w:sz w:val="24"/>
          <w:szCs w:val="24"/>
          <w:lang w:eastAsia="en-GB"/>
        </w:rPr>
        <w:t xml:space="preserve"> </w:t>
      </w:r>
      <w:r w:rsidR="00D67C07" w:rsidRPr="002661A8">
        <w:rPr>
          <w:rFonts w:ascii="Times New Roman" w:eastAsia="Times New Roman" w:hAnsi="Times New Roman" w:cs="Times New Roman"/>
          <w:noProof/>
          <w:sz w:val="24"/>
          <w:szCs w:val="24"/>
          <w:lang w:eastAsia="en-GB"/>
        </w:rPr>
        <w:t>validations have been agreed, the lack of deadlines and process for the subsequent validation of the model changes poses concerns of level playing field across CCPs and potential regulatory arbitrage.</w:t>
      </w:r>
    </w:p>
    <w:p w14:paraId="26389E17" w14:textId="2623C498" w:rsidR="00146315" w:rsidRDefault="000173E9" w:rsidP="00934309">
      <w:pPr>
        <w:spacing w:after="120" w:line="240" w:lineRule="auto"/>
        <w:jc w:val="both"/>
        <w:rPr>
          <w:rFonts w:ascii="Times New Roman" w:eastAsia="Times New Roman" w:hAnsi="Times New Roman" w:cs="Times New Roman"/>
          <w:noProof/>
          <w:sz w:val="24"/>
          <w:szCs w:val="24"/>
          <w:lang w:eastAsia="en-GB"/>
        </w:rPr>
      </w:pPr>
      <w:r w:rsidRPr="002661A8">
        <w:rPr>
          <w:rFonts w:ascii="Times New Roman" w:eastAsia="Times New Roman" w:hAnsi="Times New Roman" w:cs="Times New Roman"/>
          <w:noProof/>
          <w:sz w:val="24"/>
          <w:szCs w:val="24"/>
          <w:lang w:eastAsia="en-GB"/>
        </w:rPr>
        <w:t>The</w:t>
      </w:r>
      <w:r w:rsidRPr="002661A8" w:rsidDel="00901791">
        <w:rPr>
          <w:rFonts w:ascii="Times New Roman" w:eastAsia="Times New Roman" w:hAnsi="Times New Roman" w:cs="Times New Roman"/>
          <w:noProof/>
          <w:sz w:val="24"/>
          <w:szCs w:val="24"/>
          <w:lang w:eastAsia="en-GB"/>
        </w:rPr>
        <w:t xml:space="preserve"> </w:t>
      </w:r>
      <w:r w:rsidRPr="002661A8">
        <w:rPr>
          <w:rFonts w:ascii="Times New Roman" w:eastAsia="Times New Roman" w:hAnsi="Times New Roman" w:cs="Times New Roman"/>
          <w:noProof/>
          <w:sz w:val="24"/>
          <w:szCs w:val="24"/>
          <w:lang w:eastAsia="en-GB"/>
        </w:rPr>
        <w:t>burdensome and lengthy procedures required for CCPs to extend their services or activities (Article 15 of EMIR) and for model validations (Article 49 of EMIR) also</w:t>
      </w:r>
      <w:r w:rsidR="00DA6763">
        <w:rPr>
          <w:rFonts w:ascii="Times New Roman" w:eastAsia="Times New Roman" w:hAnsi="Times New Roman" w:cs="Times New Roman"/>
          <w:noProof/>
          <w:sz w:val="24"/>
          <w:szCs w:val="24"/>
          <w:lang w:eastAsia="en-GB"/>
        </w:rPr>
        <w:t>, as indicated above,</w:t>
      </w:r>
      <w:r w:rsidRPr="002661A8">
        <w:rPr>
          <w:rFonts w:ascii="Times New Roman" w:eastAsia="Times New Roman" w:hAnsi="Times New Roman" w:cs="Times New Roman"/>
          <w:noProof/>
          <w:sz w:val="24"/>
          <w:szCs w:val="24"/>
          <w:lang w:eastAsia="en-GB"/>
        </w:rPr>
        <w:t xml:space="preserve"> lead to </w:t>
      </w:r>
      <w:r w:rsidRPr="002661A8">
        <w:rPr>
          <w:rFonts w:ascii="Times New Roman" w:eastAsia="Times New Roman" w:hAnsi="Times New Roman" w:cs="Times New Roman"/>
          <w:b/>
          <w:noProof/>
          <w:sz w:val="24"/>
          <w:szCs w:val="24"/>
          <w:lang w:eastAsia="en-GB"/>
        </w:rPr>
        <w:t>compliance costs</w:t>
      </w:r>
      <w:r w:rsidRPr="002661A8">
        <w:rPr>
          <w:rFonts w:ascii="Times New Roman" w:eastAsia="Times New Roman" w:hAnsi="Times New Roman" w:cs="Times New Roman"/>
          <w:noProof/>
          <w:sz w:val="24"/>
          <w:szCs w:val="24"/>
          <w:lang w:eastAsia="en-GB"/>
        </w:rPr>
        <w:t xml:space="preserve"> </w:t>
      </w:r>
      <w:r w:rsidR="00FE77E5" w:rsidRPr="002661A8">
        <w:rPr>
          <w:rFonts w:ascii="Times New Roman" w:eastAsia="Times New Roman" w:hAnsi="Times New Roman" w:cs="Times New Roman"/>
          <w:noProof/>
          <w:sz w:val="24"/>
          <w:szCs w:val="24"/>
          <w:lang w:eastAsia="en-GB"/>
        </w:rPr>
        <w:t>arising from</w:t>
      </w:r>
      <w:r w:rsidRPr="002661A8">
        <w:rPr>
          <w:rFonts w:ascii="Times New Roman" w:eastAsia="Times New Roman" w:hAnsi="Times New Roman" w:cs="Times New Roman"/>
          <w:noProof/>
          <w:sz w:val="24"/>
          <w:szCs w:val="24"/>
          <w:lang w:eastAsia="en-GB"/>
        </w:rPr>
        <w:t xml:space="preserve">, amongst others the need to </w:t>
      </w:r>
      <w:r w:rsidR="000D5F22" w:rsidRPr="002661A8">
        <w:rPr>
          <w:rFonts w:ascii="Times New Roman" w:eastAsia="Times New Roman" w:hAnsi="Times New Roman" w:cs="Times New Roman"/>
          <w:noProof/>
          <w:sz w:val="24"/>
          <w:szCs w:val="24"/>
          <w:lang w:eastAsia="en-GB"/>
        </w:rPr>
        <w:t>get</w:t>
      </w:r>
      <w:r w:rsidRPr="002661A8">
        <w:rPr>
          <w:rFonts w:ascii="Times New Roman" w:eastAsia="Times New Roman" w:hAnsi="Times New Roman" w:cs="Times New Roman"/>
          <w:noProof/>
          <w:sz w:val="24"/>
          <w:szCs w:val="24"/>
          <w:lang w:eastAsia="en-GB"/>
        </w:rPr>
        <w:t xml:space="preserve"> external legal advice, engage consultants and use significant internal resources</w:t>
      </w:r>
      <w:r w:rsidR="00891E4F" w:rsidRPr="002661A8">
        <w:rPr>
          <w:rFonts w:ascii="Times New Roman" w:eastAsia="Times New Roman" w:hAnsi="Times New Roman" w:cs="Times New Roman"/>
          <w:noProof/>
          <w:sz w:val="24"/>
          <w:szCs w:val="24"/>
          <w:lang w:eastAsia="en-GB"/>
        </w:rPr>
        <w:t>, e.g.:</w:t>
      </w:r>
      <w:r w:rsidR="004576DA" w:rsidRPr="002661A8">
        <w:rPr>
          <w:rStyle w:val="FootnoteReference"/>
          <w:rFonts w:ascii="Times New Roman" w:eastAsia="Times New Roman" w:hAnsi="Times New Roman" w:cs="Times New Roman"/>
          <w:noProof/>
          <w:sz w:val="24"/>
          <w:szCs w:val="24"/>
          <w:lang w:eastAsia="en-GB"/>
        </w:rPr>
        <w:footnoteReference w:id="83"/>
      </w:r>
      <w:r w:rsidR="00A010C4" w:rsidRPr="002661A8">
        <w:rPr>
          <w:rFonts w:ascii="Times New Roman" w:eastAsia="Times New Roman" w:hAnsi="Times New Roman" w:cs="Times New Roman"/>
          <w:noProof/>
          <w:sz w:val="24"/>
          <w:szCs w:val="24"/>
          <w:lang w:eastAsia="en-GB"/>
        </w:rPr>
        <w:t xml:space="preserve"> </w:t>
      </w:r>
      <w:r w:rsidR="00A010C4" w:rsidRPr="002661A8">
        <w:rPr>
          <w:rFonts w:ascii="Times New Roman" w:eastAsia="Times New Roman" w:hAnsi="Times New Roman" w:cs="Times New Roman"/>
          <w:bCs/>
          <w:noProof/>
          <w:sz w:val="24"/>
          <w:szCs w:val="24"/>
          <w:lang w:eastAsia="en-GB"/>
        </w:rPr>
        <w:t>(a)</w:t>
      </w:r>
      <w:r w:rsidR="00A010C4" w:rsidRPr="002661A8">
        <w:rPr>
          <w:b/>
          <w:bCs/>
          <w:noProof/>
        </w:rPr>
        <w:t xml:space="preserve"> </w:t>
      </w:r>
      <w:r w:rsidR="00A010C4" w:rsidRPr="002661A8">
        <w:rPr>
          <w:rFonts w:ascii="Times New Roman" w:hAnsi="Times New Roman" w:cs="Times New Roman"/>
          <w:b/>
          <w:bCs/>
          <w:noProof/>
          <w:sz w:val="24"/>
          <w:szCs w:val="24"/>
        </w:rPr>
        <w:t>l</w:t>
      </w:r>
      <w:r w:rsidR="00FB51B8" w:rsidRPr="002661A8">
        <w:rPr>
          <w:rFonts w:ascii="Times New Roman" w:hAnsi="Times New Roman" w:cs="Times New Roman"/>
          <w:b/>
          <w:bCs/>
          <w:noProof/>
          <w:sz w:val="24"/>
          <w:szCs w:val="24"/>
        </w:rPr>
        <w:t xml:space="preserve">egal counsel fees: </w:t>
      </w:r>
      <w:r w:rsidR="00B41661" w:rsidRPr="002661A8">
        <w:rPr>
          <w:rFonts w:ascii="Times New Roman" w:hAnsi="Times New Roman" w:cs="Times New Roman"/>
          <w:bCs/>
          <w:noProof/>
          <w:sz w:val="24"/>
          <w:szCs w:val="24"/>
        </w:rPr>
        <w:t>from</w:t>
      </w:r>
      <w:r w:rsidR="00B41661" w:rsidRPr="002661A8">
        <w:rPr>
          <w:rFonts w:ascii="Times New Roman" w:hAnsi="Times New Roman" w:cs="Times New Roman"/>
          <w:b/>
          <w:bCs/>
          <w:noProof/>
          <w:sz w:val="24"/>
          <w:szCs w:val="24"/>
        </w:rPr>
        <w:t xml:space="preserve"> </w:t>
      </w:r>
      <w:r w:rsidR="00FB51B8" w:rsidRPr="002661A8">
        <w:rPr>
          <w:rFonts w:ascii="Times New Roman" w:hAnsi="Times New Roman" w:cs="Times New Roman"/>
          <w:bCs/>
          <w:noProof/>
          <w:sz w:val="24"/>
          <w:szCs w:val="24"/>
        </w:rPr>
        <w:t>EUR</w:t>
      </w:r>
      <w:r w:rsidR="00F84481" w:rsidRPr="002661A8">
        <w:rPr>
          <w:noProof/>
        </w:rPr>
        <w:t> </w:t>
      </w:r>
      <w:r w:rsidR="00901791" w:rsidRPr="002661A8">
        <w:rPr>
          <w:rFonts w:ascii="Times New Roman" w:eastAsia="Times New Roman" w:hAnsi="Times New Roman" w:cs="Times New Roman"/>
          <w:noProof/>
          <w:sz w:val="24"/>
          <w:szCs w:val="24"/>
          <w:lang w:eastAsia="en-GB"/>
        </w:rPr>
        <w:t>150</w:t>
      </w:r>
      <w:r w:rsidR="000D5F22" w:rsidRPr="002661A8">
        <w:rPr>
          <w:noProof/>
        </w:rPr>
        <w:t> </w:t>
      </w:r>
      <w:r w:rsidR="00901791" w:rsidRPr="002661A8">
        <w:rPr>
          <w:rFonts w:ascii="Times New Roman" w:eastAsia="Times New Roman" w:hAnsi="Times New Roman" w:cs="Times New Roman"/>
          <w:noProof/>
          <w:sz w:val="24"/>
          <w:szCs w:val="24"/>
          <w:lang w:eastAsia="en-GB"/>
        </w:rPr>
        <w:t xml:space="preserve">000 to </w:t>
      </w:r>
      <w:r w:rsidR="008D14AC" w:rsidRPr="002661A8">
        <w:rPr>
          <w:rFonts w:ascii="Times New Roman" w:eastAsia="Times New Roman" w:hAnsi="Times New Roman" w:cs="Times New Roman"/>
          <w:noProof/>
          <w:sz w:val="24"/>
          <w:szCs w:val="24"/>
          <w:lang w:eastAsia="en-GB"/>
        </w:rPr>
        <w:t>EUR</w:t>
      </w:r>
      <w:r w:rsidR="00F84481" w:rsidRPr="002661A8">
        <w:rPr>
          <w:noProof/>
        </w:rPr>
        <w:t> </w:t>
      </w:r>
      <w:r w:rsidR="00901791" w:rsidRPr="002661A8">
        <w:rPr>
          <w:rFonts w:ascii="Times New Roman" w:eastAsia="Times New Roman" w:hAnsi="Times New Roman" w:cs="Times New Roman"/>
          <w:noProof/>
          <w:sz w:val="24"/>
          <w:szCs w:val="24"/>
          <w:lang w:eastAsia="en-GB"/>
        </w:rPr>
        <w:t>250</w:t>
      </w:r>
      <w:r w:rsidR="000D5F22" w:rsidRPr="002661A8">
        <w:rPr>
          <w:noProof/>
        </w:rPr>
        <w:t> </w:t>
      </w:r>
      <w:r w:rsidR="00901791" w:rsidRPr="002661A8">
        <w:rPr>
          <w:rFonts w:ascii="Times New Roman" w:eastAsia="Times New Roman" w:hAnsi="Times New Roman" w:cs="Times New Roman"/>
          <w:noProof/>
          <w:sz w:val="24"/>
          <w:szCs w:val="24"/>
          <w:lang w:eastAsia="en-GB"/>
        </w:rPr>
        <w:t xml:space="preserve">000 </w:t>
      </w:r>
      <w:r w:rsidR="003A4DCA" w:rsidRPr="002661A8">
        <w:rPr>
          <w:rFonts w:ascii="Times New Roman" w:eastAsia="Times New Roman" w:hAnsi="Times New Roman" w:cs="Times New Roman"/>
          <w:noProof/>
          <w:sz w:val="24"/>
          <w:szCs w:val="24"/>
          <w:lang w:eastAsia="en-GB"/>
        </w:rPr>
        <w:t>(</w:t>
      </w:r>
      <w:r w:rsidR="00901791" w:rsidRPr="002661A8">
        <w:rPr>
          <w:rFonts w:ascii="Times New Roman" w:eastAsia="Times New Roman" w:hAnsi="Times New Roman" w:cs="Times New Roman"/>
          <w:noProof/>
          <w:sz w:val="24"/>
          <w:szCs w:val="24"/>
          <w:lang w:eastAsia="en-GB"/>
        </w:rPr>
        <w:t>Article</w:t>
      </w:r>
      <w:r w:rsidR="000D5F22" w:rsidRPr="002661A8">
        <w:rPr>
          <w:noProof/>
        </w:rPr>
        <w:t> </w:t>
      </w:r>
      <w:r w:rsidR="00901791" w:rsidRPr="002661A8">
        <w:rPr>
          <w:rFonts w:ascii="Times New Roman" w:eastAsia="Times New Roman" w:hAnsi="Times New Roman" w:cs="Times New Roman"/>
          <w:noProof/>
          <w:sz w:val="24"/>
          <w:szCs w:val="24"/>
          <w:lang w:eastAsia="en-GB"/>
        </w:rPr>
        <w:t xml:space="preserve">15 </w:t>
      </w:r>
      <w:r w:rsidR="003A4DCA" w:rsidRPr="002661A8">
        <w:rPr>
          <w:rFonts w:ascii="Times New Roman" w:eastAsia="Times New Roman" w:hAnsi="Times New Roman" w:cs="Times New Roman"/>
          <w:noProof/>
          <w:sz w:val="24"/>
          <w:szCs w:val="24"/>
          <w:lang w:eastAsia="en-GB"/>
        </w:rPr>
        <w:t xml:space="preserve">of EMIR </w:t>
      </w:r>
      <w:r w:rsidR="00901791" w:rsidRPr="002661A8">
        <w:rPr>
          <w:rFonts w:ascii="Times New Roman" w:eastAsia="Times New Roman" w:hAnsi="Times New Roman" w:cs="Times New Roman"/>
          <w:noProof/>
          <w:sz w:val="24"/>
          <w:szCs w:val="24"/>
          <w:lang w:eastAsia="en-GB"/>
        </w:rPr>
        <w:t>procedure</w:t>
      </w:r>
      <w:r w:rsidR="003A4DCA" w:rsidRPr="002661A8">
        <w:rPr>
          <w:rFonts w:ascii="Times New Roman" w:eastAsia="Times New Roman" w:hAnsi="Times New Roman" w:cs="Times New Roman"/>
          <w:noProof/>
          <w:sz w:val="24"/>
          <w:szCs w:val="24"/>
          <w:lang w:eastAsia="en-GB"/>
        </w:rPr>
        <w:t>);</w:t>
      </w:r>
      <w:r w:rsidR="00901791" w:rsidRPr="002661A8">
        <w:rPr>
          <w:rFonts w:ascii="Times New Roman" w:eastAsia="Times New Roman" w:hAnsi="Times New Roman" w:cs="Times New Roman"/>
          <w:noProof/>
          <w:sz w:val="24"/>
          <w:szCs w:val="24"/>
          <w:lang w:eastAsia="en-GB"/>
        </w:rPr>
        <w:t xml:space="preserve"> between EUR</w:t>
      </w:r>
      <w:r w:rsidR="000D5F22" w:rsidRPr="002661A8">
        <w:rPr>
          <w:noProof/>
        </w:rPr>
        <w:t> </w:t>
      </w:r>
      <w:r w:rsidR="00901791" w:rsidRPr="002661A8">
        <w:rPr>
          <w:rFonts w:ascii="Times New Roman" w:eastAsia="Times New Roman" w:hAnsi="Times New Roman" w:cs="Times New Roman"/>
          <w:noProof/>
          <w:sz w:val="24"/>
          <w:szCs w:val="24"/>
          <w:lang w:eastAsia="en-GB"/>
        </w:rPr>
        <w:t>10</w:t>
      </w:r>
      <w:r w:rsidR="000D5F22" w:rsidRPr="002661A8">
        <w:rPr>
          <w:noProof/>
        </w:rPr>
        <w:t> </w:t>
      </w:r>
      <w:r w:rsidR="00901791" w:rsidRPr="002661A8">
        <w:rPr>
          <w:rFonts w:ascii="Times New Roman" w:eastAsia="Times New Roman" w:hAnsi="Times New Roman" w:cs="Times New Roman"/>
          <w:noProof/>
          <w:sz w:val="24"/>
          <w:szCs w:val="24"/>
          <w:lang w:eastAsia="en-GB"/>
        </w:rPr>
        <w:t>000 and EUR</w:t>
      </w:r>
      <w:r w:rsidR="000D5F22" w:rsidRPr="002661A8">
        <w:rPr>
          <w:noProof/>
        </w:rPr>
        <w:t> </w:t>
      </w:r>
      <w:r w:rsidR="00901791" w:rsidRPr="002661A8">
        <w:rPr>
          <w:rFonts w:ascii="Times New Roman" w:eastAsia="Times New Roman" w:hAnsi="Times New Roman" w:cs="Times New Roman"/>
          <w:noProof/>
          <w:sz w:val="24"/>
          <w:szCs w:val="24"/>
          <w:lang w:eastAsia="en-GB"/>
        </w:rPr>
        <w:t>50</w:t>
      </w:r>
      <w:r w:rsidR="000D5F22" w:rsidRPr="002661A8">
        <w:rPr>
          <w:noProof/>
        </w:rPr>
        <w:t> </w:t>
      </w:r>
      <w:r w:rsidR="00901791" w:rsidRPr="002661A8">
        <w:rPr>
          <w:rFonts w:ascii="Times New Roman" w:eastAsia="Times New Roman" w:hAnsi="Times New Roman" w:cs="Times New Roman"/>
          <w:noProof/>
          <w:sz w:val="24"/>
          <w:szCs w:val="24"/>
          <w:lang w:eastAsia="en-GB"/>
        </w:rPr>
        <w:t xml:space="preserve">000 </w:t>
      </w:r>
      <w:r w:rsidR="003A4DCA" w:rsidRPr="002661A8">
        <w:rPr>
          <w:rFonts w:ascii="Times New Roman" w:eastAsia="Times New Roman" w:hAnsi="Times New Roman" w:cs="Times New Roman"/>
          <w:noProof/>
          <w:sz w:val="24"/>
          <w:szCs w:val="24"/>
          <w:lang w:eastAsia="en-GB"/>
        </w:rPr>
        <w:t>(</w:t>
      </w:r>
      <w:r w:rsidR="00901791" w:rsidRPr="002661A8">
        <w:rPr>
          <w:rFonts w:ascii="Times New Roman" w:eastAsia="Times New Roman" w:hAnsi="Times New Roman" w:cs="Times New Roman"/>
          <w:noProof/>
          <w:sz w:val="24"/>
          <w:szCs w:val="24"/>
          <w:lang w:eastAsia="en-GB"/>
        </w:rPr>
        <w:t>Article</w:t>
      </w:r>
      <w:r w:rsidR="000D5F22" w:rsidRPr="002661A8">
        <w:rPr>
          <w:noProof/>
        </w:rPr>
        <w:t> </w:t>
      </w:r>
      <w:r w:rsidR="00901791" w:rsidRPr="002661A8">
        <w:rPr>
          <w:rFonts w:ascii="Times New Roman" w:eastAsia="Times New Roman" w:hAnsi="Times New Roman" w:cs="Times New Roman"/>
          <w:noProof/>
          <w:sz w:val="24"/>
          <w:szCs w:val="24"/>
          <w:lang w:eastAsia="en-GB"/>
        </w:rPr>
        <w:t>49 of EMIR procedure</w:t>
      </w:r>
      <w:r w:rsidR="003A4DCA" w:rsidRPr="002661A8">
        <w:rPr>
          <w:rFonts w:ascii="Times New Roman" w:eastAsia="Times New Roman" w:hAnsi="Times New Roman" w:cs="Times New Roman"/>
          <w:noProof/>
          <w:sz w:val="24"/>
          <w:szCs w:val="24"/>
          <w:lang w:eastAsia="en-GB"/>
        </w:rPr>
        <w:t>)</w:t>
      </w:r>
      <w:r w:rsidR="00901791" w:rsidRPr="002661A8">
        <w:rPr>
          <w:rFonts w:ascii="Times New Roman" w:eastAsia="Times New Roman" w:hAnsi="Times New Roman" w:cs="Times New Roman"/>
          <w:noProof/>
          <w:sz w:val="24"/>
          <w:szCs w:val="24"/>
          <w:lang w:eastAsia="en-GB"/>
        </w:rPr>
        <w:t xml:space="preserve"> for medium and complex model changes</w:t>
      </w:r>
      <w:r w:rsidR="00A010C4" w:rsidRPr="002661A8">
        <w:rPr>
          <w:rFonts w:ascii="Times New Roman" w:hAnsi="Times New Roman" w:cs="Times New Roman"/>
          <w:bCs/>
          <w:noProof/>
          <w:sz w:val="24"/>
          <w:szCs w:val="24"/>
          <w:lang w:eastAsia="en-GB"/>
        </w:rPr>
        <w:t>; (b)</w:t>
      </w:r>
      <w:r w:rsidR="00A010C4" w:rsidRPr="002661A8">
        <w:rPr>
          <w:rFonts w:ascii="Times New Roman" w:hAnsi="Times New Roman" w:cs="Times New Roman"/>
          <w:b/>
          <w:noProof/>
          <w:sz w:val="24"/>
          <w:szCs w:val="24"/>
          <w:lang w:eastAsia="en-GB"/>
        </w:rPr>
        <w:t xml:space="preserve"> </w:t>
      </w:r>
      <w:r w:rsidR="00A010C4" w:rsidRPr="002661A8">
        <w:rPr>
          <w:rFonts w:ascii="Times New Roman" w:eastAsia="Times New Roman" w:hAnsi="Times New Roman" w:cs="Times New Roman"/>
          <w:b/>
          <w:noProof/>
          <w:sz w:val="24"/>
          <w:szCs w:val="24"/>
          <w:lang w:eastAsia="en-GB"/>
        </w:rPr>
        <w:t>e</w:t>
      </w:r>
      <w:r w:rsidR="00901791" w:rsidRPr="002661A8">
        <w:rPr>
          <w:rFonts w:ascii="Times New Roman" w:eastAsia="Times New Roman" w:hAnsi="Times New Roman" w:cs="Times New Roman"/>
          <w:b/>
          <w:noProof/>
          <w:sz w:val="24"/>
          <w:szCs w:val="24"/>
          <w:lang w:eastAsia="en-GB"/>
        </w:rPr>
        <w:t>xternal consultant fees</w:t>
      </w:r>
      <w:r w:rsidR="00901791" w:rsidRPr="002661A8">
        <w:rPr>
          <w:rFonts w:ascii="Times New Roman" w:eastAsia="Times New Roman" w:hAnsi="Times New Roman" w:cs="Times New Roman"/>
          <w:noProof/>
          <w:sz w:val="24"/>
          <w:szCs w:val="24"/>
          <w:lang w:eastAsia="en-GB"/>
        </w:rPr>
        <w:t>:</w:t>
      </w:r>
      <w:r w:rsidR="00F07369" w:rsidRPr="002661A8">
        <w:rPr>
          <w:rFonts w:ascii="Times New Roman" w:eastAsia="Times New Roman" w:hAnsi="Times New Roman" w:cs="Times New Roman"/>
          <w:noProof/>
          <w:sz w:val="24"/>
          <w:szCs w:val="24"/>
          <w:lang w:eastAsia="en-GB"/>
        </w:rPr>
        <w:t xml:space="preserve"> </w:t>
      </w:r>
      <w:r w:rsidR="00901791" w:rsidRPr="002661A8">
        <w:rPr>
          <w:rFonts w:ascii="Times New Roman" w:eastAsia="Times New Roman" w:hAnsi="Times New Roman" w:cs="Times New Roman"/>
          <w:noProof/>
          <w:sz w:val="24"/>
          <w:szCs w:val="24"/>
          <w:lang w:eastAsia="en-GB"/>
        </w:rPr>
        <w:t xml:space="preserve">the </w:t>
      </w:r>
      <w:r w:rsidR="000D5F22" w:rsidRPr="002661A8">
        <w:rPr>
          <w:rFonts w:ascii="Times New Roman" w:eastAsia="Times New Roman" w:hAnsi="Times New Roman" w:cs="Times New Roman"/>
          <w:noProof/>
          <w:sz w:val="24"/>
          <w:szCs w:val="24"/>
          <w:lang w:eastAsia="en-GB"/>
        </w:rPr>
        <w:t>independent</w:t>
      </w:r>
      <w:r w:rsidR="00901791" w:rsidRPr="002661A8">
        <w:rPr>
          <w:rFonts w:ascii="Times New Roman" w:eastAsia="Times New Roman" w:hAnsi="Times New Roman" w:cs="Times New Roman"/>
          <w:noProof/>
          <w:sz w:val="24"/>
          <w:szCs w:val="24"/>
          <w:lang w:eastAsia="en-GB"/>
        </w:rPr>
        <w:t xml:space="preserve"> validation </w:t>
      </w:r>
      <w:r w:rsidR="000D5F22" w:rsidRPr="002661A8">
        <w:rPr>
          <w:rFonts w:ascii="Times New Roman" w:eastAsia="Times New Roman" w:hAnsi="Times New Roman" w:cs="Times New Roman"/>
          <w:noProof/>
          <w:sz w:val="24"/>
          <w:szCs w:val="24"/>
          <w:lang w:eastAsia="en-GB"/>
        </w:rPr>
        <w:t xml:space="preserve">costs </w:t>
      </w:r>
      <w:r w:rsidR="00F07369" w:rsidRPr="002661A8">
        <w:rPr>
          <w:rFonts w:ascii="Times New Roman" w:eastAsia="Times New Roman" w:hAnsi="Times New Roman" w:cs="Times New Roman"/>
          <w:noProof/>
          <w:sz w:val="24"/>
          <w:szCs w:val="24"/>
          <w:lang w:eastAsia="en-GB"/>
        </w:rPr>
        <w:t>for an Article 49 of EMIR procedure</w:t>
      </w:r>
      <w:r w:rsidR="00901791" w:rsidRPr="002661A8">
        <w:rPr>
          <w:rFonts w:ascii="Times New Roman" w:eastAsia="Times New Roman" w:hAnsi="Times New Roman" w:cs="Times New Roman"/>
          <w:noProof/>
          <w:sz w:val="24"/>
          <w:szCs w:val="24"/>
          <w:lang w:eastAsia="en-GB"/>
        </w:rPr>
        <w:t xml:space="preserve"> range from EUR</w:t>
      </w:r>
      <w:r w:rsidR="000D5F22" w:rsidRPr="002661A8">
        <w:rPr>
          <w:noProof/>
        </w:rPr>
        <w:t> </w:t>
      </w:r>
      <w:r w:rsidR="00901791" w:rsidRPr="002661A8">
        <w:rPr>
          <w:rFonts w:ascii="Times New Roman" w:eastAsia="Times New Roman" w:hAnsi="Times New Roman" w:cs="Times New Roman"/>
          <w:noProof/>
          <w:sz w:val="24"/>
          <w:szCs w:val="24"/>
          <w:lang w:eastAsia="en-GB"/>
        </w:rPr>
        <w:t>25</w:t>
      </w:r>
      <w:r w:rsidR="000D5F22" w:rsidRPr="002661A8">
        <w:rPr>
          <w:noProof/>
        </w:rPr>
        <w:t> </w:t>
      </w:r>
      <w:r w:rsidR="00901791" w:rsidRPr="002661A8">
        <w:rPr>
          <w:rFonts w:ascii="Times New Roman" w:eastAsia="Times New Roman" w:hAnsi="Times New Roman" w:cs="Times New Roman"/>
          <w:noProof/>
          <w:sz w:val="24"/>
          <w:szCs w:val="24"/>
          <w:lang w:eastAsia="en-GB"/>
        </w:rPr>
        <w:t>000 to EUR</w:t>
      </w:r>
      <w:r w:rsidR="000D5F22" w:rsidRPr="002661A8">
        <w:rPr>
          <w:noProof/>
        </w:rPr>
        <w:t> </w:t>
      </w:r>
      <w:r w:rsidR="00901791" w:rsidRPr="002661A8">
        <w:rPr>
          <w:rFonts w:ascii="Times New Roman" w:eastAsia="Times New Roman" w:hAnsi="Times New Roman" w:cs="Times New Roman"/>
          <w:noProof/>
          <w:sz w:val="24"/>
          <w:szCs w:val="24"/>
          <w:lang w:eastAsia="en-GB"/>
        </w:rPr>
        <w:t>150</w:t>
      </w:r>
      <w:r w:rsidR="000D5F22" w:rsidRPr="002661A8">
        <w:rPr>
          <w:noProof/>
        </w:rPr>
        <w:t> </w:t>
      </w:r>
      <w:r w:rsidR="00901791" w:rsidRPr="002661A8">
        <w:rPr>
          <w:rFonts w:ascii="Times New Roman" w:eastAsia="Times New Roman" w:hAnsi="Times New Roman" w:cs="Times New Roman"/>
          <w:noProof/>
          <w:sz w:val="24"/>
          <w:szCs w:val="24"/>
          <w:lang w:eastAsia="en-GB"/>
        </w:rPr>
        <w:t xml:space="preserve">000. </w:t>
      </w:r>
      <w:r w:rsidR="000D5F22" w:rsidRPr="002661A8">
        <w:rPr>
          <w:rFonts w:ascii="Times New Roman" w:eastAsia="Times New Roman" w:hAnsi="Times New Roman" w:cs="Times New Roman"/>
          <w:noProof/>
          <w:sz w:val="24"/>
          <w:szCs w:val="24"/>
          <w:lang w:eastAsia="en-GB"/>
        </w:rPr>
        <w:t>F</w:t>
      </w:r>
      <w:r w:rsidR="00F07369" w:rsidRPr="002661A8">
        <w:rPr>
          <w:rFonts w:ascii="Times New Roman" w:eastAsia="Times New Roman" w:hAnsi="Times New Roman" w:cs="Times New Roman"/>
          <w:noProof/>
          <w:sz w:val="24"/>
          <w:szCs w:val="24"/>
          <w:lang w:eastAsia="en-GB"/>
        </w:rPr>
        <w:t>or Article</w:t>
      </w:r>
      <w:r w:rsidR="008D14AC" w:rsidRPr="002661A8">
        <w:rPr>
          <w:rFonts w:ascii="Times New Roman" w:eastAsia="Times New Roman" w:hAnsi="Times New Roman" w:cs="Times New Roman"/>
          <w:noProof/>
          <w:sz w:val="24"/>
          <w:szCs w:val="24"/>
          <w:lang w:eastAsia="en-GB"/>
        </w:rPr>
        <w:t>s</w:t>
      </w:r>
      <w:r w:rsidR="00F07369" w:rsidRPr="002661A8">
        <w:rPr>
          <w:rFonts w:ascii="Times New Roman" w:eastAsia="Times New Roman" w:hAnsi="Times New Roman" w:cs="Times New Roman"/>
          <w:noProof/>
          <w:sz w:val="24"/>
          <w:szCs w:val="24"/>
          <w:lang w:eastAsia="en-GB"/>
        </w:rPr>
        <w:t xml:space="preserve"> 15 and 49 procedures, </w:t>
      </w:r>
      <w:r w:rsidR="00901791" w:rsidRPr="002661A8">
        <w:rPr>
          <w:rFonts w:ascii="Times New Roman" w:eastAsia="Times New Roman" w:hAnsi="Times New Roman" w:cs="Times New Roman"/>
          <w:noProof/>
          <w:sz w:val="24"/>
          <w:szCs w:val="24"/>
          <w:lang w:eastAsia="en-GB"/>
        </w:rPr>
        <w:t>CCPs may need external consultants, the costs for which may range between EUR</w:t>
      </w:r>
      <w:r w:rsidR="000D5F22" w:rsidRPr="002661A8">
        <w:rPr>
          <w:noProof/>
        </w:rPr>
        <w:t> </w:t>
      </w:r>
      <w:r w:rsidR="00901791" w:rsidRPr="002661A8">
        <w:rPr>
          <w:rFonts w:ascii="Times New Roman" w:eastAsia="Times New Roman" w:hAnsi="Times New Roman" w:cs="Times New Roman"/>
          <w:noProof/>
          <w:sz w:val="24"/>
          <w:szCs w:val="24"/>
          <w:lang w:eastAsia="en-GB"/>
        </w:rPr>
        <w:t>200</w:t>
      </w:r>
      <w:r w:rsidR="000D5F22" w:rsidRPr="002661A8">
        <w:rPr>
          <w:noProof/>
        </w:rPr>
        <w:t> </w:t>
      </w:r>
      <w:r w:rsidR="00901791" w:rsidRPr="002661A8">
        <w:rPr>
          <w:rFonts w:ascii="Times New Roman" w:eastAsia="Times New Roman" w:hAnsi="Times New Roman" w:cs="Times New Roman"/>
          <w:noProof/>
          <w:sz w:val="24"/>
          <w:szCs w:val="24"/>
          <w:lang w:eastAsia="en-GB"/>
        </w:rPr>
        <w:t>000 and EUR</w:t>
      </w:r>
      <w:r w:rsidR="000D5F22" w:rsidRPr="002661A8">
        <w:rPr>
          <w:noProof/>
        </w:rPr>
        <w:t> </w:t>
      </w:r>
      <w:r w:rsidR="00901791" w:rsidRPr="002661A8">
        <w:rPr>
          <w:rFonts w:ascii="Times New Roman" w:eastAsia="Times New Roman" w:hAnsi="Times New Roman" w:cs="Times New Roman"/>
          <w:noProof/>
          <w:sz w:val="24"/>
          <w:szCs w:val="24"/>
          <w:lang w:eastAsia="en-GB"/>
        </w:rPr>
        <w:t>350</w:t>
      </w:r>
      <w:r w:rsidR="000D5F22" w:rsidRPr="002661A8">
        <w:rPr>
          <w:noProof/>
        </w:rPr>
        <w:t> </w:t>
      </w:r>
      <w:r w:rsidR="00901791" w:rsidRPr="002661A8">
        <w:rPr>
          <w:rFonts w:ascii="Times New Roman" w:eastAsia="Times New Roman" w:hAnsi="Times New Roman" w:cs="Times New Roman"/>
          <w:noProof/>
          <w:sz w:val="24"/>
          <w:szCs w:val="24"/>
          <w:lang w:eastAsia="en-GB"/>
        </w:rPr>
        <w:t xml:space="preserve">000. </w:t>
      </w:r>
      <w:r w:rsidR="004576DA" w:rsidRPr="002661A8">
        <w:rPr>
          <w:rFonts w:ascii="Times New Roman" w:eastAsia="Times New Roman" w:hAnsi="Times New Roman" w:cs="Times New Roman"/>
          <w:noProof/>
          <w:sz w:val="24"/>
          <w:szCs w:val="24"/>
          <w:lang w:eastAsia="en-GB"/>
        </w:rPr>
        <w:t>Depending</w:t>
      </w:r>
      <w:r w:rsidR="00901791" w:rsidRPr="002661A8">
        <w:rPr>
          <w:rFonts w:ascii="Times New Roman" w:eastAsia="Times New Roman" w:hAnsi="Times New Roman" w:cs="Times New Roman"/>
          <w:noProof/>
          <w:sz w:val="24"/>
          <w:szCs w:val="24"/>
          <w:lang w:eastAsia="en-GB"/>
        </w:rPr>
        <w:t xml:space="preserve"> </w:t>
      </w:r>
      <w:r w:rsidR="00A708A5">
        <w:rPr>
          <w:rFonts w:ascii="Times New Roman" w:eastAsia="Times New Roman" w:hAnsi="Times New Roman" w:cs="Times New Roman"/>
          <w:noProof/>
          <w:sz w:val="24"/>
          <w:szCs w:val="24"/>
          <w:lang w:eastAsia="en-GB"/>
        </w:rPr>
        <w:t>on</w:t>
      </w:r>
      <w:r w:rsidR="00901791" w:rsidRPr="002661A8">
        <w:rPr>
          <w:rFonts w:ascii="Times New Roman" w:eastAsia="Times New Roman" w:hAnsi="Times New Roman" w:cs="Times New Roman"/>
          <w:noProof/>
          <w:sz w:val="24"/>
          <w:szCs w:val="24"/>
          <w:lang w:eastAsia="en-GB"/>
        </w:rPr>
        <w:t xml:space="preserve"> the length of the approval procedure, those costs may increase</w:t>
      </w:r>
      <w:r w:rsidR="00A010C4" w:rsidRPr="002661A8">
        <w:rPr>
          <w:rFonts w:ascii="Times New Roman" w:eastAsia="Times New Roman" w:hAnsi="Times New Roman" w:cs="Times New Roman"/>
          <w:noProof/>
          <w:sz w:val="24"/>
          <w:szCs w:val="24"/>
          <w:lang w:eastAsia="en-GB"/>
        </w:rPr>
        <w:t xml:space="preserve">; </w:t>
      </w:r>
      <w:r w:rsidR="00A010C4" w:rsidRPr="002661A8">
        <w:rPr>
          <w:rFonts w:ascii="Times New Roman" w:eastAsia="Times New Roman" w:hAnsi="Times New Roman" w:cs="Times New Roman"/>
          <w:bCs/>
          <w:noProof/>
          <w:sz w:val="24"/>
          <w:szCs w:val="24"/>
          <w:lang w:eastAsia="en-GB"/>
        </w:rPr>
        <w:t>(c)</w:t>
      </w:r>
      <w:r w:rsidR="00A010C4" w:rsidRPr="002661A8">
        <w:rPr>
          <w:rFonts w:ascii="Times New Roman" w:eastAsia="Times New Roman" w:hAnsi="Times New Roman" w:cs="Times New Roman"/>
          <w:noProof/>
          <w:sz w:val="24"/>
          <w:szCs w:val="24"/>
          <w:lang w:eastAsia="en-GB"/>
        </w:rPr>
        <w:t xml:space="preserve"> </w:t>
      </w:r>
      <w:r w:rsidR="00A010C4" w:rsidRPr="002661A8">
        <w:rPr>
          <w:rFonts w:ascii="Times New Roman" w:eastAsia="Times New Roman" w:hAnsi="Times New Roman" w:cs="Times New Roman"/>
          <w:b/>
          <w:noProof/>
          <w:sz w:val="24"/>
          <w:szCs w:val="24"/>
          <w:lang w:eastAsia="en-GB"/>
        </w:rPr>
        <w:t>i</w:t>
      </w:r>
      <w:r w:rsidR="00901791" w:rsidRPr="002661A8">
        <w:rPr>
          <w:rFonts w:ascii="Times New Roman" w:eastAsia="Times New Roman" w:hAnsi="Times New Roman" w:cs="Times New Roman"/>
          <w:b/>
          <w:noProof/>
          <w:sz w:val="24"/>
          <w:szCs w:val="24"/>
          <w:lang w:eastAsia="en-GB"/>
        </w:rPr>
        <w:t>nternal CCP resources</w:t>
      </w:r>
      <w:r w:rsidR="00901791" w:rsidRPr="002661A8">
        <w:rPr>
          <w:rFonts w:ascii="Times New Roman" w:eastAsia="Times New Roman" w:hAnsi="Times New Roman" w:cs="Times New Roman"/>
          <w:noProof/>
          <w:sz w:val="24"/>
          <w:szCs w:val="24"/>
          <w:lang w:eastAsia="en-GB"/>
        </w:rPr>
        <w:t xml:space="preserve">: CCPs employ 4 to 6 </w:t>
      </w:r>
      <w:r w:rsidR="008D14AC" w:rsidRPr="002661A8">
        <w:rPr>
          <w:rFonts w:ascii="Times New Roman" w:eastAsia="Times New Roman" w:hAnsi="Times New Roman" w:cs="Times New Roman"/>
          <w:noProof/>
          <w:sz w:val="24"/>
          <w:szCs w:val="24"/>
          <w:lang w:eastAsia="en-GB"/>
        </w:rPr>
        <w:t>full time equivalents (</w:t>
      </w:r>
      <w:r w:rsidR="00F07369" w:rsidRPr="002661A8">
        <w:rPr>
          <w:rFonts w:ascii="Times New Roman" w:eastAsia="Times New Roman" w:hAnsi="Times New Roman" w:cs="Times New Roman"/>
          <w:noProof/>
          <w:sz w:val="24"/>
          <w:szCs w:val="24"/>
          <w:lang w:eastAsia="en-GB"/>
        </w:rPr>
        <w:t>FTEs</w:t>
      </w:r>
      <w:r w:rsidR="008D14AC" w:rsidRPr="002661A8">
        <w:rPr>
          <w:rFonts w:ascii="Times New Roman" w:eastAsia="Times New Roman" w:hAnsi="Times New Roman" w:cs="Times New Roman"/>
          <w:noProof/>
          <w:sz w:val="24"/>
          <w:szCs w:val="24"/>
          <w:lang w:eastAsia="en-GB"/>
        </w:rPr>
        <w:t>)</w:t>
      </w:r>
      <w:r w:rsidR="00F07369" w:rsidRPr="002661A8">
        <w:rPr>
          <w:rFonts w:ascii="Times New Roman" w:eastAsia="Times New Roman" w:hAnsi="Times New Roman" w:cs="Times New Roman"/>
          <w:noProof/>
          <w:sz w:val="24"/>
          <w:szCs w:val="24"/>
          <w:lang w:eastAsia="en-GB"/>
        </w:rPr>
        <w:t xml:space="preserve"> to work on these procedures, but </w:t>
      </w:r>
      <w:r w:rsidR="004576DA" w:rsidRPr="002661A8">
        <w:rPr>
          <w:rFonts w:ascii="Times New Roman" w:eastAsia="Times New Roman" w:hAnsi="Times New Roman" w:cs="Times New Roman"/>
          <w:noProof/>
          <w:sz w:val="24"/>
          <w:szCs w:val="24"/>
          <w:lang w:eastAsia="en-GB"/>
        </w:rPr>
        <w:t xml:space="preserve">in </w:t>
      </w:r>
      <w:r w:rsidR="001B0B76" w:rsidRPr="002661A8">
        <w:rPr>
          <w:rFonts w:ascii="Times New Roman" w:eastAsia="Times New Roman" w:hAnsi="Times New Roman" w:cs="Times New Roman"/>
          <w:noProof/>
          <w:sz w:val="24"/>
          <w:szCs w:val="24"/>
          <w:lang w:eastAsia="en-GB"/>
        </w:rPr>
        <w:t xml:space="preserve">some </w:t>
      </w:r>
      <w:r w:rsidR="004576DA" w:rsidRPr="002661A8">
        <w:rPr>
          <w:rFonts w:ascii="Times New Roman" w:eastAsia="Times New Roman" w:hAnsi="Times New Roman" w:cs="Times New Roman"/>
          <w:noProof/>
          <w:sz w:val="24"/>
          <w:szCs w:val="24"/>
          <w:lang w:eastAsia="en-GB"/>
        </w:rPr>
        <w:t>case</w:t>
      </w:r>
      <w:r w:rsidR="001B0B76" w:rsidRPr="002661A8">
        <w:rPr>
          <w:rFonts w:ascii="Times New Roman" w:eastAsia="Times New Roman" w:hAnsi="Times New Roman" w:cs="Times New Roman"/>
          <w:noProof/>
          <w:sz w:val="24"/>
          <w:szCs w:val="24"/>
          <w:lang w:eastAsia="en-GB"/>
        </w:rPr>
        <w:t>s</w:t>
      </w:r>
      <w:r w:rsidR="00F07369" w:rsidRPr="002661A8">
        <w:rPr>
          <w:rFonts w:ascii="Times New Roman" w:eastAsia="Times New Roman" w:hAnsi="Times New Roman" w:cs="Times New Roman"/>
          <w:noProof/>
          <w:sz w:val="24"/>
          <w:szCs w:val="24"/>
          <w:lang w:eastAsia="en-GB"/>
        </w:rPr>
        <w:t xml:space="preserve"> </w:t>
      </w:r>
      <w:r w:rsidR="001B0B76" w:rsidRPr="002661A8">
        <w:rPr>
          <w:rFonts w:ascii="Times New Roman" w:eastAsia="Times New Roman" w:hAnsi="Times New Roman" w:cs="Times New Roman"/>
          <w:noProof/>
          <w:sz w:val="24"/>
          <w:szCs w:val="24"/>
          <w:lang w:eastAsia="en-GB"/>
        </w:rPr>
        <w:t>as many as</w:t>
      </w:r>
      <w:r w:rsidR="00F07369" w:rsidRPr="002661A8">
        <w:rPr>
          <w:rFonts w:ascii="Times New Roman" w:eastAsia="Times New Roman" w:hAnsi="Times New Roman" w:cs="Times New Roman"/>
          <w:noProof/>
          <w:sz w:val="24"/>
          <w:szCs w:val="24"/>
          <w:lang w:eastAsia="en-GB"/>
        </w:rPr>
        <w:t xml:space="preserve"> 13 FTEs </w:t>
      </w:r>
      <w:r w:rsidR="004576DA" w:rsidRPr="002661A8">
        <w:rPr>
          <w:rFonts w:ascii="Times New Roman" w:eastAsia="Times New Roman" w:hAnsi="Times New Roman" w:cs="Times New Roman"/>
          <w:noProof/>
          <w:sz w:val="24"/>
          <w:szCs w:val="24"/>
          <w:lang w:eastAsia="en-GB"/>
        </w:rPr>
        <w:t>were required</w:t>
      </w:r>
      <w:r w:rsidR="00F07369" w:rsidRPr="002661A8">
        <w:rPr>
          <w:rFonts w:ascii="Times New Roman" w:eastAsia="Times New Roman" w:hAnsi="Times New Roman" w:cs="Times New Roman"/>
          <w:noProof/>
          <w:sz w:val="24"/>
          <w:szCs w:val="24"/>
          <w:lang w:eastAsia="en-GB"/>
        </w:rPr>
        <w:t>.</w:t>
      </w:r>
      <w:r w:rsidR="005107F0" w:rsidRPr="002661A8">
        <w:rPr>
          <w:rFonts w:ascii="Times New Roman" w:eastAsia="Times New Roman" w:hAnsi="Times New Roman" w:cs="Times New Roman"/>
          <w:noProof/>
          <w:sz w:val="24"/>
          <w:szCs w:val="24"/>
          <w:lang w:eastAsia="en-GB"/>
        </w:rPr>
        <w:t xml:space="preserve"> </w:t>
      </w:r>
      <w:r w:rsidR="001B0B76" w:rsidRPr="002661A8">
        <w:rPr>
          <w:rFonts w:ascii="Times New Roman" w:eastAsia="Times New Roman" w:hAnsi="Times New Roman" w:cs="Times New Roman"/>
          <w:noProof/>
          <w:sz w:val="24"/>
          <w:szCs w:val="24"/>
          <w:lang w:eastAsia="en-GB"/>
        </w:rPr>
        <w:t>I</w:t>
      </w:r>
      <w:r w:rsidR="005107F0" w:rsidRPr="002661A8">
        <w:rPr>
          <w:rFonts w:ascii="Times New Roman" w:eastAsia="Times New Roman" w:hAnsi="Times New Roman" w:cs="Times New Roman"/>
          <w:noProof/>
          <w:sz w:val="24"/>
          <w:szCs w:val="24"/>
          <w:lang w:eastAsia="en-GB"/>
        </w:rPr>
        <w:t xml:space="preserve">nternal </w:t>
      </w:r>
      <w:r w:rsidR="004576DA" w:rsidRPr="002661A8">
        <w:rPr>
          <w:rFonts w:ascii="Times New Roman" w:eastAsia="Times New Roman" w:hAnsi="Times New Roman" w:cs="Times New Roman"/>
          <w:noProof/>
          <w:sz w:val="24"/>
          <w:szCs w:val="24"/>
          <w:lang w:eastAsia="en-GB"/>
        </w:rPr>
        <w:t>costs</w:t>
      </w:r>
      <w:r w:rsidR="005107F0" w:rsidRPr="002661A8">
        <w:rPr>
          <w:rFonts w:ascii="Times New Roman" w:eastAsia="Times New Roman" w:hAnsi="Times New Roman" w:cs="Times New Roman"/>
          <w:noProof/>
          <w:sz w:val="24"/>
          <w:szCs w:val="24"/>
          <w:lang w:eastAsia="en-GB"/>
        </w:rPr>
        <w:t xml:space="preserve"> may </w:t>
      </w:r>
      <w:r w:rsidR="000D5F22" w:rsidRPr="002661A8">
        <w:rPr>
          <w:rFonts w:ascii="Times New Roman" w:eastAsia="Times New Roman" w:hAnsi="Times New Roman" w:cs="Times New Roman"/>
          <w:noProof/>
          <w:sz w:val="24"/>
          <w:szCs w:val="24"/>
          <w:lang w:eastAsia="en-GB"/>
        </w:rPr>
        <w:t xml:space="preserve">be </w:t>
      </w:r>
      <w:r w:rsidR="008D14AC" w:rsidRPr="002661A8">
        <w:rPr>
          <w:rFonts w:ascii="Times New Roman" w:eastAsia="Times New Roman" w:hAnsi="Times New Roman" w:cs="Times New Roman"/>
          <w:noProof/>
          <w:sz w:val="24"/>
          <w:szCs w:val="24"/>
          <w:lang w:eastAsia="en-GB"/>
        </w:rPr>
        <w:t xml:space="preserve">from </w:t>
      </w:r>
      <w:r w:rsidR="005107F0" w:rsidRPr="002661A8">
        <w:rPr>
          <w:rFonts w:ascii="Times New Roman" w:eastAsia="Times New Roman" w:hAnsi="Times New Roman" w:cs="Times New Roman"/>
          <w:noProof/>
          <w:sz w:val="24"/>
          <w:szCs w:val="24"/>
          <w:lang w:eastAsia="en-GB"/>
        </w:rPr>
        <w:t>EUR</w:t>
      </w:r>
      <w:r w:rsidR="000D5F22" w:rsidRPr="002661A8">
        <w:rPr>
          <w:noProof/>
        </w:rPr>
        <w:t> </w:t>
      </w:r>
      <w:r w:rsidR="005107F0" w:rsidRPr="002661A8">
        <w:rPr>
          <w:rFonts w:ascii="Times New Roman" w:eastAsia="Times New Roman" w:hAnsi="Times New Roman" w:cs="Times New Roman"/>
          <w:noProof/>
          <w:sz w:val="24"/>
          <w:szCs w:val="24"/>
          <w:lang w:eastAsia="en-GB"/>
        </w:rPr>
        <w:t>200</w:t>
      </w:r>
      <w:r w:rsidR="000D5F22" w:rsidRPr="002661A8">
        <w:rPr>
          <w:noProof/>
        </w:rPr>
        <w:t> </w:t>
      </w:r>
      <w:r w:rsidR="005107F0" w:rsidRPr="002661A8">
        <w:rPr>
          <w:rFonts w:ascii="Times New Roman" w:eastAsia="Times New Roman" w:hAnsi="Times New Roman" w:cs="Times New Roman"/>
          <w:noProof/>
          <w:sz w:val="24"/>
          <w:szCs w:val="24"/>
          <w:lang w:eastAsia="en-GB"/>
        </w:rPr>
        <w:t>000 to EUR</w:t>
      </w:r>
      <w:r w:rsidR="000D5F22" w:rsidRPr="002661A8">
        <w:rPr>
          <w:noProof/>
        </w:rPr>
        <w:t> </w:t>
      </w:r>
      <w:r w:rsidR="005107F0" w:rsidRPr="002661A8">
        <w:rPr>
          <w:rFonts w:ascii="Times New Roman" w:eastAsia="Times New Roman" w:hAnsi="Times New Roman" w:cs="Times New Roman"/>
          <w:noProof/>
          <w:sz w:val="24"/>
          <w:szCs w:val="24"/>
          <w:lang w:eastAsia="en-GB"/>
        </w:rPr>
        <w:t>300</w:t>
      </w:r>
      <w:r w:rsidR="000D5F22" w:rsidRPr="002661A8">
        <w:rPr>
          <w:noProof/>
        </w:rPr>
        <w:t> </w:t>
      </w:r>
      <w:r w:rsidR="005107F0" w:rsidRPr="002661A8">
        <w:rPr>
          <w:rFonts w:ascii="Times New Roman" w:eastAsia="Times New Roman" w:hAnsi="Times New Roman" w:cs="Times New Roman"/>
          <w:noProof/>
          <w:sz w:val="24"/>
          <w:szCs w:val="24"/>
          <w:lang w:eastAsia="en-GB"/>
        </w:rPr>
        <w:t xml:space="preserve">000. </w:t>
      </w:r>
      <w:r w:rsidR="000D5F22" w:rsidRPr="002661A8">
        <w:rPr>
          <w:rFonts w:ascii="Times New Roman" w:eastAsia="Times New Roman" w:hAnsi="Times New Roman" w:cs="Times New Roman"/>
          <w:noProof/>
          <w:sz w:val="24"/>
          <w:szCs w:val="24"/>
          <w:lang w:eastAsia="en-GB"/>
        </w:rPr>
        <w:t>S</w:t>
      </w:r>
      <w:r w:rsidR="00F07369" w:rsidRPr="002661A8">
        <w:rPr>
          <w:rFonts w:ascii="Times New Roman" w:eastAsia="Times New Roman" w:hAnsi="Times New Roman" w:cs="Times New Roman"/>
          <w:noProof/>
          <w:sz w:val="24"/>
          <w:szCs w:val="24"/>
          <w:lang w:eastAsia="en-GB"/>
        </w:rPr>
        <w:t xml:space="preserve">taff dedicated to the projects for longer periods may </w:t>
      </w:r>
      <w:r w:rsidR="005107F0" w:rsidRPr="002661A8">
        <w:rPr>
          <w:rFonts w:ascii="Times New Roman" w:eastAsia="Times New Roman" w:hAnsi="Times New Roman" w:cs="Times New Roman"/>
          <w:noProof/>
          <w:sz w:val="24"/>
          <w:szCs w:val="24"/>
          <w:lang w:eastAsia="en-GB"/>
        </w:rPr>
        <w:t xml:space="preserve">also </w:t>
      </w:r>
      <w:r w:rsidR="00F07369" w:rsidRPr="002661A8">
        <w:rPr>
          <w:rFonts w:ascii="Times New Roman" w:eastAsia="Times New Roman" w:hAnsi="Times New Roman" w:cs="Times New Roman"/>
          <w:noProof/>
          <w:sz w:val="24"/>
          <w:szCs w:val="24"/>
          <w:lang w:eastAsia="en-GB"/>
        </w:rPr>
        <w:t xml:space="preserve">impact the </w:t>
      </w:r>
      <w:r w:rsidR="001B0B76" w:rsidRPr="002661A8">
        <w:rPr>
          <w:rFonts w:ascii="Times New Roman" w:eastAsia="Times New Roman" w:hAnsi="Times New Roman" w:cs="Times New Roman"/>
          <w:noProof/>
          <w:sz w:val="24"/>
          <w:szCs w:val="24"/>
          <w:lang w:eastAsia="en-GB"/>
        </w:rPr>
        <w:t>conduct</w:t>
      </w:r>
      <w:r w:rsidR="004576DA" w:rsidRPr="002661A8">
        <w:rPr>
          <w:rFonts w:ascii="Times New Roman" w:eastAsia="Times New Roman" w:hAnsi="Times New Roman" w:cs="Times New Roman"/>
          <w:noProof/>
          <w:sz w:val="24"/>
          <w:szCs w:val="24"/>
          <w:lang w:eastAsia="en-GB"/>
        </w:rPr>
        <w:t xml:space="preserve"> of other activities</w:t>
      </w:r>
      <w:r w:rsidR="00A010C4" w:rsidRPr="002661A8">
        <w:rPr>
          <w:rFonts w:ascii="Times New Roman" w:hAnsi="Times New Roman" w:cs="Times New Roman"/>
          <w:b/>
          <w:bCs/>
          <w:noProof/>
          <w:sz w:val="24"/>
          <w:szCs w:val="24"/>
          <w:lang w:eastAsia="en-GB"/>
        </w:rPr>
        <w:t>; (d)</w:t>
      </w:r>
      <w:r w:rsidR="00A010C4" w:rsidRPr="002661A8">
        <w:rPr>
          <w:b/>
          <w:bCs/>
          <w:noProof/>
          <w:lang w:eastAsia="en-GB"/>
        </w:rPr>
        <w:t xml:space="preserve"> </w:t>
      </w:r>
      <w:r w:rsidR="00A010C4" w:rsidRPr="002661A8">
        <w:rPr>
          <w:rFonts w:ascii="Times New Roman" w:eastAsia="Times New Roman" w:hAnsi="Times New Roman" w:cs="Times New Roman"/>
          <w:b/>
          <w:bCs/>
          <w:noProof/>
          <w:sz w:val="24"/>
          <w:szCs w:val="24"/>
          <w:lang w:eastAsia="en-GB"/>
        </w:rPr>
        <w:t>a</w:t>
      </w:r>
      <w:r w:rsidR="000D5F22" w:rsidRPr="002661A8">
        <w:rPr>
          <w:rFonts w:ascii="Times New Roman" w:eastAsia="Times New Roman" w:hAnsi="Times New Roman" w:cs="Times New Roman"/>
          <w:b/>
          <w:bCs/>
          <w:noProof/>
          <w:sz w:val="24"/>
          <w:szCs w:val="24"/>
          <w:lang w:eastAsia="en-GB"/>
        </w:rPr>
        <w:t xml:space="preserve">pplication fees </w:t>
      </w:r>
      <w:r w:rsidR="008D14AC" w:rsidRPr="002661A8">
        <w:rPr>
          <w:rFonts w:ascii="Times New Roman" w:eastAsia="Times New Roman" w:hAnsi="Times New Roman" w:cs="Times New Roman"/>
          <w:b/>
          <w:bCs/>
          <w:noProof/>
          <w:sz w:val="24"/>
          <w:szCs w:val="24"/>
          <w:lang w:eastAsia="en-GB"/>
        </w:rPr>
        <w:t xml:space="preserve">for </w:t>
      </w:r>
      <w:r w:rsidR="000D5F22" w:rsidRPr="002661A8">
        <w:rPr>
          <w:rFonts w:ascii="Times New Roman" w:eastAsia="Times New Roman" w:hAnsi="Times New Roman" w:cs="Times New Roman"/>
          <w:b/>
          <w:bCs/>
          <w:noProof/>
          <w:sz w:val="24"/>
          <w:szCs w:val="24"/>
          <w:lang w:eastAsia="en-GB"/>
        </w:rPr>
        <w:t>Article</w:t>
      </w:r>
      <w:r w:rsidR="008D14AC" w:rsidRPr="002661A8">
        <w:rPr>
          <w:rFonts w:ascii="Times New Roman" w:eastAsia="Times New Roman" w:hAnsi="Times New Roman" w:cs="Times New Roman"/>
          <w:b/>
          <w:bCs/>
          <w:noProof/>
          <w:sz w:val="24"/>
          <w:szCs w:val="24"/>
          <w:lang w:eastAsia="en-GB"/>
        </w:rPr>
        <w:t>s</w:t>
      </w:r>
      <w:r w:rsidR="000D5F22" w:rsidRPr="002661A8">
        <w:rPr>
          <w:rFonts w:ascii="Times New Roman" w:eastAsia="Times New Roman" w:hAnsi="Times New Roman" w:cs="Times New Roman"/>
          <w:b/>
          <w:bCs/>
          <w:noProof/>
          <w:sz w:val="24"/>
          <w:szCs w:val="24"/>
          <w:lang w:eastAsia="en-GB"/>
        </w:rPr>
        <w:t xml:space="preserve"> 15 and 49 procedures: </w:t>
      </w:r>
      <w:r w:rsidR="00146315" w:rsidRPr="002661A8">
        <w:rPr>
          <w:rFonts w:ascii="Times New Roman" w:eastAsia="Times New Roman" w:hAnsi="Times New Roman" w:cs="Times New Roman"/>
          <w:noProof/>
          <w:sz w:val="24"/>
          <w:szCs w:val="24"/>
          <w:lang w:eastAsia="en-GB"/>
        </w:rPr>
        <w:t xml:space="preserve">CCPs may have to pay fees to their </w:t>
      </w:r>
      <w:r w:rsidR="00746C05" w:rsidRPr="002661A8">
        <w:rPr>
          <w:rFonts w:ascii="Times New Roman" w:eastAsia="Times New Roman" w:hAnsi="Times New Roman" w:cs="Times New Roman"/>
          <w:noProof/>
          <w:sz w:val="24"/>
          <w:szCs w:val="24"/>
          <w:lang w:eastAsia="en-GB"/>
        </w:rPr>
        <w:t>NCAs</w:t>
      </w:r>
      <w:r w:rsidR="001B0B76" w:rsidRPr="002661A8">
        <w:rPr>
          <w:rFonts w:ascii="Times New Roman" w:eastAsia="Times New Roman" w:hAnsi="Times New Roman" w:cs="Times New Roman"/>
          <w:noProof/>
          <w:sz w:val="24"/>
          <w:szCs w:val="24"/>
          <w:lang w:eastAsia="en-GB"/>
        </w:rPr>
        <w:t xml:space="preserve">. These </w:t>
      </w:r>
      <w:r w:rsidR="00146315" w:rsidRPr="002661A8">
        <w:rPr>
          <w:rFonts w:ascii="Times New Roman" w:eastAsia="Times New Roman" w:hAnsi="Times New Roman" w:cs="Times New Roman"/>
          <w:noProof/>
          <w:sz w:val="24"/>
          <w:szCs w:val="24"/>
          <w:lang w:eastAsia="en-GB"/>
        </w:rPr>
        <w:t xml:space="preserve">range for Article 15 </w:t>
      </w:r>
      <w:r w:rsidR="001B0B76" w:rsidRPr="002661A8">
        <w:rPr>
          <w:rFonts w:ascii="Times New Roman" w:eastAsia="Times New Roman" w:hAnsi="Times New Roman" w:cs="Times New Roman"/>
          <w:noProof/>
          <w:sz w:val="24"/>
          <w:szCs w:val="24"/>
          <w:lang w:eastAsia="en-GB"/>
        </w:rPr>
        <w:t xml:space="preserve">from, </w:t>
      </w:r>
      <w:r w:rsidR="000D5F22" w:rsidRPr="002661A8">
        <w:rPr>
          <w:rFonts w:ascii="Times New Roman" w:eastAsia="Times New Roman" w:hAnsi="Times New Roman" w:cs="Times New Roman"/>
          <w:noProof/>
          <w:sz w:val="24"/>
          <w:szCs w:val="24"/>
          <w:lang w:eastAsia="en-GB"/>
        </w:rPr>
        <w:t>e.g.</w:t>
      </w:r>
      <w:r w:rsidR="001B0B76" w:rsidRPr="002661A8">
        <w:rPr>
          <w:rFonts w:ascii="Times New Roman" w:eastAsia="Times New Roman" w:hAnsi="Times New Roman" w:cs="Times New Roman"/>
          <w:noProof/>
          <w:sz w:val="24"/>
          <w:szCs w:val="24"/>
          <w:lang w:eastAsia="en-GB"/>
        </w:rPr>
        <w:t xml:space="preserve"> a</w:t>
      </w:r>
      <w:r w:rsidR="00146315" w:rsidRPr="002661A8">
        <w:rPr>
          <w:rFonts w:ascii="Times New Roman" w:eastAsia="Times New Roman" w:hAnsi="Times New Roman" w:cs="Times New Roman"/>
          <w:noProof/>
          <w:sz w:val="24"/>
          <w:szCs w:val="24"/>
          <w:lang w:eastAsia="en-GB"/>
        </w:rPr>
        <w:t xml:space="preserve"> fixed </w:t>
      </w:r>
      <w:r w:rsidR="001B0B76" w:rsidRPr="002661A8">
        <w:rPr>
          <w:rFonts w:ascii="Times New Roman" w:eastAsia="Times New Roman" w:hAnsi="Times New Roman" w:cs="Times New Roman"/>
          <w:noProof/>
          <w:sz w:val="24"/>
          <w:szCs w:val="24"/>
          <w:lang w:eastAsia="en-GB"/>
        </w:rPr>
        <w:t>fee of</w:t>
      </w:r>
      <w:r w:rsidR="001B0B76" w:rsidRPr="002661A8" w:rsidDel="000D5F22">
        <w:rPr>
          <w:rFonts w:ascii="Times New Roman" w:eastAsia="Times New Roman" w:hAnsi="Times New Roman" w:cs="Times New Roman"/>
          <w:noProof/>
          <w:sz w:val="24"/>
          <w:szCs w:val="24"/>
          <w:lang w:eastAsia="en-GB"/>
        </w:rPr>
        <w:t xml:space="preserve"> </w:t>
      </w:r>
      <w:r w:rsidR="00146315" w:rsidRPr="002661A8">
        <w:rPr>
          <w:rFonts w:ascii="Times New Roman" w:eastAsia="Times New Roman" w:hAnsi="Times New Roman" w:cs="Times New Roman"/>
          <w:noProof/>
          <w:sz w:val="24"/>
          <w:szCs w:val="24"/>
          <w:lang w:eastAsia="en-GB"/>
        </w:rPr>
        <w:t>EUR</w:t>
      </w:r>
      <w:r w:rsidR="000D5F22" w:rsidRPr="002661A8">
        <w:rPr>
          <w:noProof/>
        </w:rPr>
        <w:t> </w:t>
      </w:r>
      <w:r w:rsidR="00146315" w:rsidRPr="002661A8">
        <w:rPr>
          <w:rFonts w:ascii="Times New Roman" w:eastAsia="Times New Roman" w:hAnsi="Times New Roman" w:cs="Times New Roman"/>
          <w:noProof/>
          <w:sz w:val="24"/>
          <w:szCs w:val="24"/>
          <w:lang w:eastAsia="en-GB"/>
        </w:rPr>
        <w:t>50</w:t>
      </w:r>
      <w:r w:rsidR="000D5F22" w:rsidRPr="002661A8">
        <w:rPr>
          <w:noProof/>
        </w:rPr>
        <w:t> </w:t>
      </w:r>
      <w:r w:rsidR="001B0B76" w:rsidRPr="002661A8">
        <w:rPr>
          <w:rFonts w:ascii="Times New Roman" w:eastAsia="Times New Roman" w:hAnsi="Times New Roman" w:cs="Times New Roman"/>
          <w:noProof/>
          <w:sz w:val="24"/>
          <w:szCs w:val="24"/>
          <w:lang w:eastAsia="en-GB"/>
        </w:rPr>
        <w:t xml:space="preserve">000 </w:t>
      </w:r>
      <w:r w:rsidR="004A7E57" w:rsidRPr="002661A8">
        <w:rPr>
          <w:rFonts w:ascii="Times New Roman" w:eastAsia="Times New Roman" w:hAnsi="Times New Roman" w:cs="Times New Roman"/>
          <w:noProof/>
          <w:sz w:val="24"/>
          <w:szCs w:val="24"/>
          <w:lang w:eastAsia="en-GB"/>
        </w:rPr>
        <w:t>in one Member State</w:t>
      </w:r>
      <w:r w:rsidR="001B0B76" w:rsidRPr="002661A8">
        <w:rPr>
          <w:rFonts w:ascii="Times New Roman" w:eastAsia="Times New Roman" w:hAnsi="Times New Roman" w:cs="Times New Roman"/>
          <w:noProof/>
          <w:sz w:val="24"/>
          <w:szCs w:val="24"/>
          <w:lang w:eastAsia="en-GB"/>
        </w:rPr>
        <w:t xml:space="preserve"> </w:t>
      </w:r>
      <w:r w:rsidR="004A7E57" w:rsidRPr="002661A8">
        <w:rPr>
          <w:rFonts w:ascii="Times New Roman" w:eastAsia="Times New Roman" w:hAnsi="Times New Roman" w:cs="Times New Roman"/>
          <w:noProof/>
          <w:sz w:val="24"/>
          <w:szCs w:val="24"/>
          <w:lang w:eastAsia="en-GB"/>
        </w:rPr>
        <w:t>t</w:t>
      </w:r>
      <w:r w:rsidR="0057390D" w:rsidRPr="002661A8">
        <w:rPr>
          <w:rFonts w:ascii="Times New Roman" w:eastAsia="Times New Roman" w:hAnsi="Times New Roman" w:cs="Times New Roman"/>
          <w:noProof/>
          <w:sz w:val="24"/>
          <w:szCs w:val="24"/>
          <w:lang w:eastAsia="en-GB"/>
        </w:rPr>
        <w:t>o</w:t>
      </w:r>
      <w:r w:rsidR="001B0B76" w:rsidRPr="002661A8">
        <w:rPr>
          <w:rFonts w:ascii="Times New Roman" w:eastAsia="Times New Roman" w:hAnsi="Times New Roman" w:cs="Times New Roman"/>
          <w:noProof/>
          <w:sz w:val="24"/>
          <w:szCs w:val="24"/>
          <w:lang w:eastAsia="en-GB"/>
        </w:rPr>
        <w:t xml:space="preserve"> a variable fee ranging</w:t>
      </w:r>
      <w:r w:rsidR="00146315" w:rsidRPr="002661A8">
        <w:rPr>
          <w:rFonts w:ascii="Times New Roman" w:eastAsia="Times New Roman" w:hAnsi="Times New Roman" w:cs="Times New Roman"/>
          <w:noProof/>
          <w:sz w:val="24"/>
          <w:szCs w:val="24"/>
          <w:lang w:eastAsia="en-GB"/>
        </w:rPr>
        <w:t xml:space="preserve"> from EUR</w:t>
      </w:r>
      <w:r w:rsidR="000D5F22" w:rsidRPr="002661A8">
        <w:rPr>
          <w:noProof/>
        </w:rPr>
        <w:t> </w:t>
      </w:r>
      <w:r w:rsidR="00146315" w:rsidRPr="002661A8">
        <w:rPr>
          <w:rFonts w:ascii="Times New Roman" w:eastAsia="Times New Roman" w:hAnsi="Times New Roman" w:cs="Times New Roman"/>
          <w:noProof/>
          <w:sz w:val="24"/>
          <w:szCs w:val="24"/>
          <w:lang w:eastAsia="en-GB"/>
        </w:rPr>
        <w:t>8</w:t>
      </w:r>
      <w:r w:rsidR="000D5F22" w:rsidRPr="002661A8">
        <w:rPr>
          <w:noProof/>
        </w:rPr>
        <w:t> </w:t>
      </w:r>
      <w:r w:rsidR="00146315" w:rsidRPr="002661A8">
        <w:rPr>
          <w:rFonts w:ascii="Times New Roman" w:eastAsia="Times New Roman" w:hAnsi="Times New Roman" w:cs="Times New Roman"/>
          <w:noProof/>
          <w:sz w:val="24"/>
          <w:szCs w:val="24"/>
          <w:lang w:eastAsia="en-GB"/>
        </w:rPr>
        <w:t>352 to EUR</w:t>
      </w:r>
      <w:r w:rsidR="000D5F22" w:rsidRPr="002661A8">
        <w:rPr>
          <w:noProof/>
        </w:rPr>
        <w:t> </w:t>
      </w:r>
      <w:r w:rsidR="00146315" w:rsidRPr="002661A8">
        <w:rPr>
          <w:rFonts w:ascii="Times New Roman" w:eastAsia="Times New Roman" w:hAnsi="Times New Roman" w:cs="Times New Roman"/>
          <w:noProof/>
          <w:sz w:val="24"/>
          <w:szCs w:val="24"/>
          <w:lang w:eastAsia="en-GB"/>
        </w:rPr>
        <w:t>723</w:t>
      </w:r>
      <w:r w:rsidR="000D5F22" w:rsidRPr="002661A8">
        <w:rPr>
          <w:noProof/>
        </w:rPr>
        <w:t> </w:t>
      </w:r>
      <w:r w:rsidR="00146315" w:rsidRPr="002661A8">
        <w:rPr>
          <w:rFonts w:ascii="Times New Roman" w:eastAsia="Times New Roman" w:hAnsi="Times New Roman" w:cs="Times New Roman"/>
          <w:noProof/>
          <w:sz w:val="24"/>
          <w:szCs w:val="24"/>
          <w:lang w:eastAsia="en-GB"/>
        </w:rPr>
        <w:t>836</w:t>
      </w:r>
      <w:r w:rsidR="004A7E57" w:rsidRPr="002661A8">
        <w:rPr>
          <w:rFonts w:ascii="Times New Roman" w:eastAsia="Times New Roman" w:hAnsi="Times New Roman" w:cs="Times New Roman"/>
          <w:noProof/>
          <w:sz w:val="24"/>
          <w:szCs w:val="24"/>
          <w:lang w:eastAsia="en-GB"/>
        </w:rPr>
        <w:t xml:space="preserve"> in another</w:t>
      </w:r>
      <w:r w:rsidR="001B0B76" w:rsidRPr="002661A8">
        <w:rPr>
          <w:rFonts w:ascii="Times New Roman" w:eastAsia="Times New Roman" w:hAnsi="Times New Roman" w:cs="Times New Roman"/>
          <w:noProof/>
          <w:sz w:val="24"/>
          <w:szCs w:val="24"/>
          <w:lang w:eastAsia="en-GB"/>
        </w:rPr>
        <w:t>.</w:t>
      </w:r>
      <w:r w:rsidR="00144941" w:rsidRPr="002661A8">
        <w:rPr>
          <w:rFonts w:ascii="Times New Roman" w:eastAsia="Times New Roman" w:hAnsi="Times New Roman" w:cs="Times New Roman"/>
          <w:noProof/>
          <w:sz w:val="24"/>
          <w:szCs w:val="24"/>
          <w:lang w:eastAsia="en-GB"/>
        </w:rPr>
        <w:t xml:space="preserve"> Similarly,</w:t>
      </w:r>
      <w:r w:rsidR="001B0B76" w:rsidRPr="002661A8">
        <w:rPr>
          <w:rFonts w:ascii="Times New Roman" w:eastAsia="Times New Roman" w:hAnsi="Times New Roman" w:cs="Times New Roman"/>
          <w:noProof/>
          <w:sz w:val="24"/>
          <w:szCs w:val="24"/>
          <w:lang w:eastAsia="en-GB"/>
        </w:rPr>
        <w:t xml:space="preserve"> </w:t>
      </w:r>
      <w:r w:rsidR="00144941" w:rsidRPr="002661A8">
        <w:rPr>
          <w:rFonts w:ascii="Times New Roman" w:eastAsia="Times New Roman" w:hAnsi="Times New Roman" w:cs="Times New Roman"/>
          <w:noProof/>
          <w:sz w:val="24"/>
          <w:szCs w:val="24"/>
          <w:lang w:eastAsia="en-GB"/>
        </w:rPr>
        <w:t>f</w:t>
      </w:r>
      <w:r w:rsidR="00146315" w:rsidRPr="002661A8">
        <w:rPr>
          <w:rFonts w:ascii="Times New Roman" w:eastAsia="Times New Roman" w:hAnsi="Times New Roman" w:cs="Times New Roman"/>
          <w:noProof/>
          <w:sz w:val="24"/>
          <w:szCs w:val="24"/>
          <w:lang w:eastAsia="en-GB"/>
        </w:rPr>
        <w:t xml:space="preserve">or Article 49, the fee </w:t>
      </w:r>
      <w:r w:rsidR="000D5F22" w:rsidRPr="002661A8">
        <w:rPr>
          <w:rFonts w:ascii="Times New Roman" w:eastAsia="Times New Roman" w:hAnsi="Times New Roman" w:cs="Times New Roman"/>
          <w:noProof/>
          <w:sz w:val="24"/>
          <w:szCs w:val="24"/>
          <w:lang w:eastAsia="en-GB"/>
        </w:rPr>
        <w:t>also</w:t>
      </w:r>
      <w:r w:rsidR="00146315" w:rsidRPr="002661A8">
        <w:rPr>
          <w:rFonts w:ascii="Times New Roman" w:eastAsia="Times New Roman" w:hAnsi="Times New Roman" w:cs="Times New Roman"/>
          <w:noProof/>
          <w:sz w:val="24"/>
          <w:szCs w:val="24"/>
          <w:lang w:eastAsia="en-GB"/>
        </w:rPr>
        <w:t xml:space="preserve"> </w:t>
      </w:r>
      <w:r w:rsidR="001B0B76" w:rsidRPr="002661A8">
        <w:rPr>
          <w:rFonts w:ascii="Times New Roman" w:eastAsia="Times New Roman" w:hAnsi="Times New Roman" w:cs="Times New Roman"/>
          <w:noProof/>
          <w:sz w:val="24"/>
          <w:szCs w:val="24"/>
          <w:lang w:eastAsia="en-GB"/>
        </w:rPr>
        <w:t>varies</w:t>
      </w:r>
      <w:r w:rsidR="000D5F22" w:rsidRPr="002661A8">
        <w:rPr>
          <w:rFonts w:ascii="Times New Roman" w:eastAsia="Times New Roman" w:hAnsi="Times New Roman" w:cs="Times New Roman"/>
          <w:noProof/>
          <w:sz w:val="24"/>
          <w:szCs w:val="24"/>
          <w:lang w:eastAsia="en-GB"/>
        </w:rPr>
        <w:t xml:space="preserve">; </w:t>
      </w:r>
      <w:r w:rsidR="00144941" w:rsidRPr="002661A8">
        <w:rPr>
          <w:rFonts w:ascii="Times New Roman" w:eastAsia="Times New Roman" w:hAnsi="Times New Roman" w:cs="Times New Roman"/>
          <w:noProof/>
          <w:sz w:val="24"/>
          <w:szCs w:val="24"/>
          <w:lang w:eastAsia="en-GB"/>
        </w:rPr>
        <w:t>e.g.</w:t>
      </w:r>
      <w:r w:rsidR="000D5F22" w:rsidRPr="002661A8">
        <w:rPr>
          <w:rFonts w:ascii="Times New Roman" w:eastAsia="Times New Roman" w:hAnsi="Times New Roman" w:cs="Times New Roman"/>
          <w:noProof/>
          <w:sz w:val="24"/>
          <w:szCs w:val="24"/>
          <w:lang w:eastAsia="en-GB"/>
        </w:rPr>
        <w:t xml:space="preserve"> there is</w:t>
      </w:r>
      <w:r w:rsidR="001B0B76" w:rsidRPr="002661A8">
        <w:rPr>
          <w:rFonts w:ascii="Times New Roman" w:eastAsia="Times New Roman" w:hAnsi="Times New Roman" w:cs="Times New Roman"/>
          <w:noProof/>
          <w:sz w:val="24"/>
          <w:szCs w:val="24"/>
          <w:lang w:eastAsia="en-GB"/>
        </w:rPr>
        <w:t xml:space="preserve"> a</w:t>
      </w:r>
      <w:r w:rsidR="00146315" w:rsidRPr="002661A8">
        <w:rPr>
          <w:rFonts w:ascii="Times New Roman" w:eastAsia="Times New Roman" w:hAnsi="Times New Roman" w:cs="Times New Roman"/>
          <w:noProof/>
          <w:sz w:val="24"/>
          <w:szCs w:val="24"/>
          <w:lang w:eastAsia="en-GB"/>
        </w:rPr>
        <w:t xml:space="preserve"> fixed </w:t>
      </w:r>
      <w:r w:rsidR="001B0B76" w:rsidRPr="002661A8">
        <w:rPr>
          <w:rFonts w:ascii="Times New Roman" w:eastAsia="Times New Roman" w:hAnsi="Times New Roman" w:cs="Times New Roman"/>
          <w:noProof/>
          <w:sz w:val="24"/>
          <w:szCs w:val="24"/>
          <w:lang w:eastAsia="en-GB"/>
        </w:rPr>
        <w:t>fee of</w:t>
      </w:r>
      <w:r w:rsidR="00146315" w:rsidRPr="002661A8">
        <w:rPr>
          <w:rFonts w:ascii="Times New Roman" w:eastAsia="Times New Roman" w:hAnsi="Times New Roman" w:cs="Times New Roman"/>
          <w:noProof/>
          <w:sz w:val="24"/>
          <w:szCs w:val="24"/>
          <w:lang w:eastAsia="en-GB"/>
        </w:rPr>
        <w:t xml:space="preserve"> EUR</w:t>
      </w:r>
      <w:r w:rsidR="000D5F22" w:rsidRPr="002661A8">
        <w:rPr>
          <w:noProof/>
        </w:rPr>
        <w:t> </w:t>
      </w:r>
      <w:r w:rsidR="00146315" w:rsidRPr="002661A8">
        <w:rPr>
          <w:rFonts w:ascii="Times New Roman" w:eastAsia="Times New Roman" w:hAnsi="Times New Roman" w:cs="Times New Roman"/>
          <w:noProof/>
          <w:sz w:val="24"/>
          <w:szCs w:val="24"/>
          <w:lang w:eastAsia="en-GB"/>
        </w:rPr>
        <w:t>50</w:t>
      </w:r>
      <w:r w:rsidR="000D5F22" w:rsidRPr="002661A8">
        <w:rPr>
          <w:noProof/>
        </w:rPr>
        <w:t> </w:t>
      </w:r>
      <w:r w:rsidR="00146315" w:rsidRPr="002661A8">
        <w:rPr>
          <w:rFonts w:ascii="Times New Roman" w:eastAsia="Times New Roman" w:hAnsi="Times New Roman" w:cs="Times New Roman"/>
          <w:noProof/>
          <w:sz w:val="24"/>
          <w:szCs w:val="24"/>
          <w:lang w:eastAsia="en-GB"/>
        </w:rPr>
        <w:t xml:space="preserve">000 in one Member State </w:t>
      </w:r>
      <w:r w:rsidR="001B0B76" w:rsidRPr="002661A8">
        <w:rPr>
          <w:rFonts w:ascii="Times New Roman" w:eastAsia="Times New Roman" w:hAnsi="Times New Roman" w:cs="Times New Roman"/>
          <w:noProof/>
          <w:sz w:val="24"/>
          <w:szCs w:val="24"/>
          <w:lang w:eastAsia="en-GB"/>
        </w:rPr>
        <w:t>and a variable fee ranging</w:t>
      </w:r>
      <w:r w:rsidR="00146315" w:rsidRPr="002661A8">
        <w:rPr>
          <w:rFonts w:ascii="Times New Roman" w:eastAsia="Times New Roman" w:hAnsi="Times New Roman" w:cs="Times New Roman"/>
          <w:noProof/>
          <w:sz w:val="24"/>
          <w:szCs w:val="24"/>
          <w:lang w:eastAsia="en-GB"/>
        </w:rPr>
        <w:t xml:space="preserve"> from EUR</w:t>
      </w:r>
      <w:r w:rsidR="000D5F22" w:rsidRPr="002661A8">
        <w:rPr>
          <w:noProof/>
        </w:rPr>
        <w:t> </w:t>
      </w:r>
      <w:r w:rsidR="00146315" w:rsidRPr="002661A8">
        <w:rPr>
          <w:rFonts w:ascii="Times New Roman" w:eastAsia="Times New Roman" w:hAnsi="Times New Roman" w:cs="Times New Roman"/>
          <w:noProof/>
          <w:sz w:val="24"/>
          <w:szCs w:val="24"/>
          <w:lang w:eastAsia="en-GB"/>
        </w:rPr>
        <w:t>8</w:t>
      </w:r>
      <w:r w:rsidR="000D5F22" w:rsidRPr="002661A8">
        <w:rPr>
          <w:noProof/>
        </w:rPr>
        <w:t> </w:t>
      </w:r>
      <w:r w:rsidR="00146315" w:rsidRPr="002661A8">
        <w:rPr>
          <w:rFonts w:ascii="Times New Roman" w:eastAsia="Times New Roman" w:hAnsi="Times New Roman" w:cs="Times New Roman"/>
          <w:noProof/>
          <w:sz w:val="24"/>
          <w:szCs w:val="24"/>
          <w:lang w:eastAsia="en-GB"/>
        </w:rPr>
        <w:t>352 to EUR</w:t>
      </w:r>
      <w:r w:rsidR="000D5F22" w:rsidRPr="002661A8">
        <w:rPr>
          <w:noProof/>
        </w:rPr>
        <w:t> </w:t>
      </w:r>
      <w:r w:rsidR="00146315" w:rsidRPr="002661A8">
        <w:rPr>
          <w:rFonts w:ascii="Times New Roman" w:eastAsia="Times New Roman" w:hAnsi="Times New Roman" w:cs="Times New Roman"/>
          <w:noProof/>
          <w:sz w:val="24"/>
          <w:szCs w:val="24"/>
          <w:lang w:eastAsia="en-GB"/>
        </w:rPr>
        <w:t>361</w:t>
      </w:r>
      <w:r w:rsidR="000D5F22" w:rsidRPr="002661A8">
        <w:rPr>
          <w:noProof/>
        </w:rPr>
        <w:t> </w:t>
      </w:r>
      <w:r w:rsidR="00146315" w:rsidRPr="002661A8">
        <w:rPr>
          <w:rFonts w:ascii="Times New Roman" w:eastAsia="Times New Roman" w:hAnsi="Times New Roman" w:cs="Times New Roman"/>
          <w:noProof/>
          <w:sz w:val="24"/>
          <w:szCs w:val="24"/>
          <w:lang w:eastAsia="en-GB"/>
        </w:rPr>
        <w:t xml:space="preserve">918 in another. </w:t>
      </w:r>
    </w:p>
    <w:p w14:paraId="3C59F903" w14:textId="05B2983A" w:rsidR="00F07369" w:rsidRPr="002661A8" w:rsidRDefault="004576DA">
      <w:pPr>
        <w:spacing w:after="120" w:line="240" w:lineRule="auto"/>
        <w:jc w:val="both"/>
        <w:rPr>
          <w:rFonts w:ascii="Times New Roman" w:eastAsia="Times New Roman" w:hAnsi="Times New Roman" w:cs="Times New Roman"/>
          <w:noProof/>
          <w:sz w:val="24"/>
          <w:szCs w:val="24"/>
          <w:lang w:eastAsia="en-GB"/>
        </w:rPr>
      </w:pPr>
      <w:r w:rsidRPr="002661A8">
        <w:rPr>
          <w:rFonts w:ascii="Times New Roman" w:eastAsia="Times New Roman" w:hAnsi="Times New Roman" w:cs="Times New Roman"/>
          <w:noProof/>
          <w:sz w:val="24"/>
          <w:szCs w:val="24"/>
          <w:lang w:eastAsia="en-GB"/>
        </w:rPr>
        <w:t>O</w:t>
      </w:r>
      <w:r w:rsidR="00F07369" w:rsidRPr="002661A8">
        <w:rPr>
          <w:rFonts w:ascii="Times New Roman" w:eastAsia="Times New Roman" w:hAnsi="Times New Roman" w:cs="Times New Roman"/>
          <w:noProof/>
          <w:sz w:val="24"/>
          <w:szCs w:val="24"/>
          <w:lang w:eastAsia="en-GB"/>
        </w:rPr>
        <w:t xml:space="preserve">ther costs </w:t>
      </w:r>
      <w:r w:rsidRPr="002661A8">
        <w:rPr>
          <w:rFonts w:ascii="Times New Roman" w:eastAsia="Times New Roman" w:hAnsi="Times New Roman" w:cs="Times New Roman"/>
          <w:noProof/>
          <w:sz w:val="24"/>
          <w:szCs w:val="24"/>
          <w:lang w:eastAsia="en-GB"/>
        </w:rPr>
        <w:t>for CCPs</w:t>
      </w:r>
      <w:r w:rsidR="00F07369" w:rsidRPr="002661A8">
        <w:rPr>
          <w:rFonts w:ascii="Times New Roman" w:eastAsia="Times New Roman" w:hAnsi="Times New Roman" w:cs="Times New Roman"/>
          <w:noProof/>
          <w:sz w:val="24"/>
          <w:szCs w:val="24"/>
          <w:lang w:eastAsia="en-GB"/>
        </w:rPr>
        <w:t xml:space="preserve"> </w:t>
      </w:r>
      <w:r w:rsidR="00C07CF1" w:rsidRPr="002661A8">
        <w:rPr>
          <w:rFonts w:ascii="Times New Roman" w:eastAsia="Times New Roman" w:hAnsi="Times New Roman" w:cs="Times New Roman"/>
          <w:noProof/>
          <w:sz w:val="24"/>
          <w:szCs w:val="24"/>
          <w:lang w:eastAsia="en-GB"/>
        </w:rPr>
        <w:t>include the</w:t>
      </w:r>
      <w:r w:rsidR="00F07369" w:rsidRPr="002661A8">
        <w:rPr>
          <w:rFonts w:ascii="Times New Roman" w:eastAsia="Times New Roman" w:hAnsi="Times New Roman" w:cs="Times New Roman"/>
          <w:noProof/>
          <w:sz w:val="24"/>
          <w:szCs w:val="24"/>
          <w:lang w:eastAsia="en-GB"/>
        </w:rPr>
        <w:t xml:space="preserve"> </w:t>
      </w:r>
      <w:r w:rsidR="005B5AFA" w:rsidRPr="002661A8">
        <w:rPr>
          <w:rFonts w:ascii="Times New Roman" w:eastAsia="Times New Roman" w:hAnsi="Times New Roman" w:cs="Times New Roman"/>
          <w:noProof/>
          <w:sz w:val="24"/>
          <w:szCs w:val="24"/>
          <w:lang w:eastAsia="en-GB"/>
        </w:rPr>
        <w:t xml:space="preserve">opportunity cost of </w:t>
      </w:r>
      <w:r w:rsidR="00F07369" w:rsidRPr="002661A8">
        <w:rPr>
          <w:rFonts w:ascii="Times New Roman" w:eastAsia="Times New Roman" w:hAnsi="Times New Roman" w:cs="Times New Roman"/>
          <w:noProof/>
          <w:sz w:val="24"/>
          <w:szCs w:val="24"/>
          <w:lang w:eastAsia="en-GB"/>
        </w:rPr>
        <w:t xml:space="preserve">lost revenue from a new service; increased risk if the </w:t>
      </w:r>
      <w:r w:rsidR="001F3FA6" w:rsidRPr="002661A8">
        <w:rPr>
          <w:rFonts w:ascii="Times New Roman" w:eastAsia="Times New Roman" w:hAnsi="Times New Roman" w:cs="Times New Roman"/>
          <w:noProof/>
          <w:sz w:val="24"/>
          <w:szCs w:val="24"/>
          <w:lang w:eastAsia="en-GB"/>
        </w:rPr>
        <w:t xml:space="preserve">change </w:t>
      </w:r>
      <w:r w:rsidR="00F07369" w:rsidRPr="002661A8">
        <w:rPr>
          <w:rFonts w:ascii="Times New Roman" w:eastAsia="Times New Roman" w:hAnsi="Times New Roman" w:cs="Times New Roman"/>
          <w:noProof/>
          <w:sz w:val="24"/>
          <w:szCs w:val="24"/>
          <w:lang w:eastAsia="en-GB"/>
        </w:rPr>
        <w:t>was to strengthen the risk management model (</w:t>
      </w:r>
      <w:hyperlink w:anchor="_Insufficient_consideration_of" w:history="1">
        <w:r w:rsidR="00F07369" w:rsidRPr="002661A8">
          <w:rPr>
            <w:rStyle w:val="Hyperlink"/>
            <w:rFonts w:ascii="Times New Roman" w:eastAsia="Times New Roman" w:hAnsi="Times New Roman" w:cs="Times New Roman"/>
            <w:noProof/>
            <w:sz w:val="24"/>
            <w:szCs w:val="24"/>
            <w:lang w:eastAsia="en-GB"/>
          </w:rPr>
          <w:t xml:space="preserve">see also Section </w:t>
        </w:r>
        <w:r w:rsidR="008D14AC" w:rsidRPr="002661A8">
          <w:rPr>
            <w:rStyle w:val="Hyperlink"/>
            <w:rFonts w:ascii="Times New Roman" w:eastAsia="Times New Roman" w:hAnsi="Times New Roman" w:cs="Times New Roman"/>
            <w:noProof/>
            <w:sz w:val="24"/>
            <w:szCs w:val="24"/>
            <w:lang w:eastAsia="en-GB"/>
          </w:rPr>
          <w:t>3</w:t>
        </w:r>
        <w:r w:rsidR="00F07369" w:rsidRPr="002661A8">
          <w:rPr>
            <w:rStyle w:val="Hyperlink"/>
            <w:rFonts w:ascii="Times New Roman" w:eastAsia="Times New Roman" w:hAnsi="Times New Roman" w:cs="Times New Roman"/>
            <w:noProof/>
            <w:sz w:val="24"/>
            <w:szCs w:val="24"/>
            <w:lang w:eastAsia="en-GB"/>
          </w:rPr>
          <w:t>.1.3</w:t>
        </w:r>
      </w:hyperlink>
      <w:r w:rsidR="00F07369" w:rsidRPr="002661A8">
        <w:rPr>
          <w:rFonts w:ascii="Times New Roman" w:eastAsia="Times New Roman" w:hAnsi="Times New Roman" w:cs="Times New Roman"/>
          <w:noProof/>
          <w:sz w:val="24"/>
          <w:szCs w:val="24"/>
          <w:lang w:eastAsia="en-GB"/>
        </w:rPr>
        <w:t xml:space="preserve">); increased operational risk if the service was to improve the efficiency and automation </w:t>
      </w:r>
      <w:r w:rsidRPr="002661A8">
        <w:rPr>
          <w:rFonts w:ascii="Times New Roman" w:eastAsia="Times New Roman" w:hAnsi="Times New Roman" w:cs="Times New Roman"/>
          <w:noProof/>
          <w:sz w:val="24"/>
          <w:szCs w:val="24"/>
          <w:lang w:eastAsia="en-GB"/>
        </w:rPr>
        <w:t>of the process; risk of changes to</w:t>
      </w:r>
      <w:r w:rsidR="00F07369" w:rsidRPr="002661A8">
        <w:rPr>
          <w:rFonts w:ascii="Times New Roman" w:eastAsia="Times New Roman" w:hAnsi="Times New Roman" w:cs="Times New Roman"/>
          <w:noProof/>
          <w:sz w:val="24"/>
          <w:szCs w:val="24"/>
          <w:lang w:eastAsia="en-GB"/>
        </w:rPr>
        <w:t xml:space="preserve"> the law and the impossibility to adjust </w:t>
      </w:r>
      <w:r w:rsidR="00D67C07" w:rsidRPr="002661A8">
        <w:rPr>
          <w:rFonts w:ascii="Times New Roman" w:eastAsia="Times New Roman" w:hAnsi="Times New Roman" w:cs="Times New Roman"/>
          <w:noProof/>
          <w:sz w:val="24"/>
          <w:szCs w:val="24"/>
          <w:lang w:eastAsia="en-GB"/>
        </w:rPr>
        <w:t>its rules</w:t>
      </w:r>
      <w:r w:rsidR="00F07369" w:rsidRPr="002661A8">
        <w:rPr>
          <w:rFonts w:ascii="Times New Roman" w:eastAsia="Times New Roman" w:hAnsi="Times New Roman" w:cs="Times New Roman"/>
          <w:noProof/>
          <w:sz w:val="24"/>
          <w:szCs w:val="24"/>
          <w:lang w:eastAsia="en-GB"/>
        </w:rPr>
        <w:t xml:space="preserve"> during the process; and the cost of internal process support</w:t>
      </w:r>
      <w:r w:rsidR="00B41661" w:rsidRPr="002661A8">
        <w:rPr>
          <w:rFonts w:ascii="Times New Roman" w:eastAsia="Times New Roman" w:hAnsi="Times New Roman" w:cs="Times New Roman"/>
          <w:noProof/>
          <w:sz w:val="24"/>
          <w:szCs w:val="24"/>
          <w:lang w:eastAsia="en-GB"/>
        </w:rPr>
        <w:t>.</w:t>
      </w:r>
      <w:r w:rsidR="00F07369" w:rsidRPr="002661A8">
        <w:rPr>
          <w:rStyle w:val="FootnoteReference"/>
          <w:rFonts w:ascii="Times New Roman" w:eastAsia="Times New Roman" w:hAnsi="Times New Roman" w:cs="Times New Roman"/>
          <w:noProof/>
          <w:sz w:val="24"/>
          <w:szCs w:val="24"/>
          <w:lang w:eastAsia="en-GB"/>
        </w:rPr>
        <w:footnoteReference w:id="84"/>
      </w:r>
      <w:r w:rsidR="00F07369" w:rsidRPr="002661A8">
        <w:rPr>
          <w:rFonts w:ascii="Times New Roman" w:eastAsia="Times New Roman" w:hAnsi="Times New Roman" w:cs="Times New Roman"/>
          <w:noProof/>
          <w:sz w:val="24"/>
          <w:szCs w:val="24"/>
          <w:lang w:eastAsia="en-GB"/>
        </w:rPr>
        <w:t xml:space="preserve"> </w:t>
      </w:r>
    </w:p>
    <w:p w14:paraId="6C4E2622" w14:textId="106DB5B1" w:rsidR="000173E9" w:rsidRPr="002661A8" w:rsidRDefault="0072351A" w:rsidP="000173E9">
      <w:pPr>
        <w:spacing w:after="120" w:line="240" w:lineRule="auto"/>
        <w:jc w:val="both"/>
        <w:rPr>
          <w:rFonts w:ascii="Times New Roman" w:eastAsia="Times New Roman" w:hAnsi="Times New Roman" w:cs="Times New Roman"/>
          <w:noProof/>
          <w:sz w:val="24"/>
          <w:szCs w:val="24"/>
          <w:lang w:eastAsia="en-GB"/>
        </w:rPr>
      </w:pPr>
      <w:r w:rsidRPr="002661A8">
        <w:rPr>
          <w:rFonts w:ascii="Times New Roman" w:eastAsia="Times New Roman" w:hAnsi="Times New Roman" w:cs="Times New Roman"/>
          <w:noProof/>
          <w:sz w:val="24"/>
          <w:szCs w:val="24"/>
          <w:lang w:eastAsia="en-GB"/>
        </w:rPr>
        <w:t>These costs</w:t>
      </w:r>
      <w:r w:rsidR="000173E9" w:rsidRPr="002661A8">
        <w:rPr>
          <w:rFonts w:ascii="Times New Roman" w:eastAsia="Times New Roman" w:hAnsi="Times New Roman" w:cs="Times New Roman"/>
          <w:noProof/>
          <w:sz w:val="24"/>
          <w:szCs w:val="24"/>
          <w:lang w:eastAsia="en-GB"/>
        </w:rPr>
        <w:t xml:space="preserve"> </w:t>
      </w:r>
      <w:r w:rsidR="005B5AFA" w:rsidRPr="002661A8">
        <w:rPr>
          <w:rFonts w:ascii="Times New Roman" w:eastAsia="Times New Roman" w:hAnsi="Times New Roman" w:cs="Times New Roman"/>
          <w:noProof/>
          <w:sz w:val="24"/>
          <w:szCs w:val="24"/>
          <w:lang w:eastAsia="en-GB"/>
        </w:rPr>
        <w:t>are often also passed through to</w:t>
      </w:r>
      <w:r w:rsidR="000173E9" w:rsidRPr="002661A8">
        <w:rPr>
          <w:rFonts w:ascii="Times New Roman" w:eastAsia="Times New Roman" w:hAnsi="Times New Roman" w:cs="Times New Roman"/>
          <w:noProof/>
          <w:sz w:val="24"/>
          <w:szCs w:val="24"/>
          <w:lang w:eastAsia="en-GB"/>
        </w:rPr>
        <w:t xml:space="preserve"> </w:t>
      </w:r>
      <w:r w:rsidR="005B5AFA" w:rsidRPr="002661A8">
        <w:rPr>
          <w:rFonts w:ascii="Times New Roman" w:eastAsia="Times New Roman" w:hAnsi="Times New Roman" w:cs="Times New Roman"/>
          <w:noProof/>
          <w:sz w:val="24"/>
          <w:szCs w:val="24"/>
          <w:lang w:eastAsia="en-GB"/>
        </w:rPr>
        <w:t>clearing members and</w:t>
      </w:r>
      <w:r w:rsidR="001E7EBE" w:rsidRPr="002661A8">
        <w:rPr>
          <w:rFonts w:ascii="Times New Roman" w:eastAsia="Times New Roman" w:hAnsi="Times New Roman" w:cs="Times New Roman"/>
          <w:noProof/>
          <w:sz w:val="24"/>
          <w:szCs w:val="24"/>
          <w:lang w:eastAsia="en-GB"/>
        </w:rPr>
        <w:t>, subsequently, their</w:t>
      </w:r>
      <w:r w:rsidR="005B5AFA" w:rsidRPr="002661A8">
        <w:rPr>
          <w:rFonts w:ascii="Times New Roman" w:eastAsia="Times New Roman" w:hAnsi="Times New Roman" w:cs="Times New Roman"/>
          <w:noProof/>
          <w:sz w:val="24"/>
          <w:szCs w:val="24"/>
          <w:lang w:eastAsia="en-GB"/>
        </w:rPr>
        <w:t xml:space="preserve"> clients</w:t>
      </w:r>
      <w:r w:rsidR="000173E9" w:rsidRPr="002661A8">
        <w:rPr>
          <w:rFonts w:ascii="Times New Roman" w:eastAsia="Times New Roman" w:hAnsi="Times New Roman" w:cs="Times New Roman"/>
          <w:noProof/>
          <w:sz w:val="24"/>
          <w:szCs w:val="24"/>
          <w:lang w:eastAsia="en-GB"/>
        </w:rPr>
        <w:t xml:space="preserve">. First, </w:t>
      </w:r>
      <w:r w:rsidR="005B5AFA" w:rsidRPr="002661A8">
        <w:rPr>
          <w:rFonts w:ascii="Times New Roman" w:eastAsia="Times New Roman" w:hAnsi="Times New Roman" w:cs="Times New Roman"/>
          <w:noProof/>
          <w:sz w:val="24"/>
          <w:szCs w:val="24"/>
          <w:lang w:eastAsia="en-GB"/>
        </w:rPr>
        <w:t>the</w:t>
      </w:r>
      <w:r w:rsidRPr="002661A8">
        <w:rPr>
          <w:rFonts w:ascii="Times New Roman" w:eastAsia="Times New Roman" w:hAnsi="Times New Roman" w:cs="Times New Roman"/>
          <w:noProof/>
          <w:sz w:val="24"/>
          <w:szCs w:val="24"/>
          <w:lang w:eastAsia="en-GB"/>
        </w:rPr>
        <w:t>y</w:t>
      </w:r>
      <w:r w:rsidR="000173E9" w:rsidRPr="002661A8" w:rsidDel="0072351A">
        <w:rPr>
          <w:rFonts w:ascii="Times New Roman" w:eastAsia="Times New Roman" w:hAnsi="Times New Roman" w:cs="Times New Roman"/>
          <w:noProof/>
          <w:sz w:val="24"/>
          <w:szCs w:val="24"/>
          <w:lang w:eastAsia="en-GB"/>
        </w:rPr>
        <w:t xml:space="preserve"> </w:t>
      </w:r>
      <w:r w:rsidR="000173E9" w:rsidRPr="002661A8">
        <w:rPr>
          <w:rFonts w:ascii="Times New Roman" w:eastAsia="Times New Roman" w:hAnsi="Times New Roman" w:cs="Times New Roman"/>
          <w:noProof/>
          <w:sz w:val="24"/>
          <w:szCs w:val="24"/>
          <w:lang w:eastAsia="en-GB"/>
        </w:rPr>
        <w:t xml:space="preserve">generally </w:t>
      </w:r>
      <w:r w:rsidR="005B5AFA" w:rsidRPr="002661A8">
        <w:rPr>
          <w:rFonts w:ascii="Times New Roman" w:eastAsia="Times New Roman" w:hAnsi="Times New Roman" w:cs="Times New Roman"/>
          <w:noProof/>
          <w:sz w:val="24"/>
          <w:szCs w:val="24"/>
          <w:lang w:eastAsia="en-GB"/>
        </w:rPr>
        <w:t>translate into a higher</w:t>
      </w:r>
      <w:r w:rsidR="000173E9" w:rsidRPr="002661A8">
        <w:rPr>
          <w:rFonts w:ascii="Times New Roman" w:eastAsia="Times New Roman" w:hAnsi="Times New Roman" w:cs="Times New Roman"/>
          <w:noProof/>
          <w:sz w:val="24"/>
          <w:szCs w:val="24"/>
          <w:lang w:eastAsia="en-GB"/>
        </w:rPr>
        <w:t xml:space="preserve"> cost of clearing for clearing members and clients</w:t>
      </w:r>
      <w:r w:rsidR="00B41661" w:rsidRPr="002661A8">
        <w:rPr>
          <w:rFonts w:ascii="Times New Roman" w:eastAsia="Times New Roman" w:hAnsi="Times New Roman" w:cs="Times New Roman"/>
          <w:noProof/>
          <w:sz w:val="24"/>
          <w:szCs w:val="24"/>
          <w:lang w:eastAsia="en-GB"/>
        </w:rPr>
        <w:t>; they</w:t>
      </w:r>
      <w:r w:rsidR="000173E9" w:rsidRPr="002661A8">
        <w:rPr>
          <w:rFonts w:ascii="Times New Roman" w:eastAsia="Times New Roman" w:hAnsi="Times New Roman" w:cs="Times New Roman"/>
          <w:noProof/>
          <w:sz w:val="24"/>
          <w:szCs w:val="24"/>
          <w:lang w:eastAsia="en-GB"/>
        </w:rPr>
        <w:t xml:space="preserve"> also face prolonged uncertainty and additional implementation costs </w:t>
      </w:r>
      <w:r w:rsidR="005B5AFA" w:rsidRPr="002661A8">
        <w:rPr>
          <w:rFonts w:ascii="Times New Roman" w:eastAsia="Times New Roman" w:hAnsi="Times New Roman" w:cs="Times New Roman"/>
          <w:noProof/>
          <w:sz w:val="24"/>
          <w:szCs w:val="24"/>
          <w:lang w:eastAsia="en-GB"/>
        </w:rPr>
        <w:t xml:space="preserve">(including adapting their IT systems) </w:t>
      </w:r>
      <w:r w:rsidR="000173E9" w:rsidRPr="002661A8">
        <w:rPr>
          <w:rFonts w:ascii="Times New Roman" w:eastAsia="Times New Roman" w:hAnsi="Times New Roman" w:cs="Times New Roman"/>
          <w:noProof/>
          <w:sz w:val="24"/>
          <w:szCs w:val="24"/>
          <w:lang w:eastAsia="en-GB"/>
        </w:rPr>
        <w:t>due to the</w:t>
      </w:r>
      <w:r w:rsidR="001E08C6" w:rsidRPr="002661A8">
        <w:rPr>
          <w:rFonts w:ascii="Times New Roman" w:eastAsia="Times New Roman" w:hAnsi="Times New Roman" w:cs="Times New Roman"/>
          <w:noProof/>
          <w:sz w:val="24"/>
          <w:szCs w:val="24"/>
          <w:lang w:eastAsia="en-GB"/>
        </w:rPr>
        <w:t>ir</w:t>
      </w:r>
      <w:r w:rsidR="000173E9" w:rsidRPr="002661A8">
        <w:rPr>
          <w:rFonts w:ascii="Times New Roman" w:eastAsia="Times New Roman" w:hAnsi="Times New Roman" w:cs="Times New Roman"/>
          <w:noProof/>
          <w:sz w:val="24"/>
          <w:szCs w:val="24"/>
          <w:lang w:eastAsia="en-GB"/>
        </w:rPr>
        <w:t xml:space="preserve"> inability to plan with confidence around launch dates of new products over an extended period</w:t>
      </w:r>
      <w:r w:rsidR="005B5AFA" w:rsidRPr="002661A8">
        <w:rPr>
          <w:rFonts w:ascii="Times New Roman" w:eastAsia="Times New Roman" w:hAnsi="Times New Roman" w:cs="Times New Roman"/>
          <w:noProof/>
          <w:sz w:val="24"/>
          <w:szCs w:val="24"/>
          <w:lang w:eastAsia="en-GB"/>
        </w:rPr>
        <w:t xml:space="preserve"> as these are often aligned with CCPs</w:t>
      </w:r>
      <w:r w:rsidR="000173E9" w:rsidRPr="002661A8">
        <w:rPr>
          <w:rFonts w:ascii="Times New Roman" w:eastAsia="Times New Roman" w:hAnsi="Times New Roman" w:cs="Times New Roman"/>
          <w:noProof/>
          <w:sz w:val="24"/>
          <w:szCs w:val="24"/>
          <w:lang w:eastAsia="en-GB"/>
        </w:rPr>
        <w:t xml:space="preserve">. A delay </w:t>
      </w:r>
      <w:r w:rsidR="00144941" w:rsidRPr="002661A8">
        <w:rPr>
          <w:rFonts w:ascii="Times New Roman" w:eastAsia="Times New Roman" w:hAnsi="Times New Roman" w:cs="Times New Roman"/>
          <w:noProof/>
          <w:sz w:val="24"/>
          <w:szCs w:val="24"/>
          <w:lang w:eastAsia="en-GB"/>
        </w:rPr>
        <w:t xml:space="preserve">in the provision of services </w:t>
      </w:r>
      <w:r w:rsidR="000173E9" w:rsidRPr="002661A8">
        <w:rPr>
          <w:rFonts w:ascii="Times New Roman" w:eastAsia="Times New Roman" w:hAnsi="Times New Roman" w:cs="Times New Roman"/>
          <w:noProof/>
          <w:sz w:val="24"/>
          <w:szCs w:val="24"/>
          <w:lang w:eastAsia="en-GB"/>
        </w:rPr>
        <w:t xml:space="preserve">or </w:t>
      </w:r>
      <w:r w:rsidR="00144941" w:rsidRPr="002661A8">
        <w:rPr>
          <w:rFonts w:ascii="Times New Roman" w:eastAsia="Times New Roman" w:hAnsi="Times New Roman" w:cs="Times New Roman"/>
          <w:noProof/>
          <w:sz w:val="24"/>
          <w:szCs w:val="24"/>
          <w:lang w:eastAsia="en-GB"/>
        </w:rPr>
        <w:t>in</w:t>
      </w:r>
      <w:r w:rsidR="000173E9" w:rsidRPr="002661A8">
        <w:rPr>
          <w:rFonts w:ascii="Times New Roman" w:eastAsia="Times New Roman" w:hAnsi="Times New Roman" w:cs="Times New Roman"/>
          <w:noProof/>
          <w:sz w:val="24"/>
          <w:szCs w:val="24"/>
          <w:lang w:eastAsia="en-GB"/>
        </w:rPr>
        <w:t xml:space="preserve"> certain updates </w:t>
      </w:r>
      <w:r w:rsidR="00144941" w:rsidRPr="002661A8">
        <w:rPr>
          <w:rFonts w:ascii="Times New Roman" w:eastAsia="Times New Roman" w:hAnsi="Times New Roman" w:cs="Times New Roman"/>
          <w:noProof/>
          <w:sz w:val="24"/>
          <w:szCs w:val="24"/>
          <w:lang w:eastAsia="en-GB"/>
        </w:rPr>
        <w:t>by CCPs</w:t>
      </w:r>
      <w:r w:rsidR="000173E9" w:rsidRPr="002661A8">
        <w:rPr>
          <w:rFonts w:ascii="Times New Roman" w:eastAsia="Times New Roman" w:hAnsi="Times New Roman" w:cs="Times New Roman"/>
          <w:noProof/>
          <w:sz w:val="24"/>
          <w:szCs w:val="24"/>
          <w:lang w:eastAsia="en-GB"/>
        </w:rPr>
        <w:t xml:space="preserve"> may also lead to </w:t>
      </w:r>
      <w:r w:rsidR="00C43394" w:rsidRPr="002661A8">
        <w:rPr>
          <w:rFonts w:ascii="Times New Roman" w:eastAsia="Times New Roman" w:hAnsi="Times New Roman" w:cs="Times New Roman"/>
          <w:noProof/>
          <w:sz w:val="24"/>
          <w:szCs w:val="24"/>
          <w:lang w:eastAsia="en-GB"/>
        </w:rPr>
        <w:t>more</w:t>
      </w:r>
      <w:r w:rsidR="000173E9" w:rsidRPr="002661A8">
        <w:rPr>
          <w:rFonts w:ascii="Times New Roman" w:eastAsia="Times New Roman" w:hAnsi="Times New Roman" w:cs="Times New Roman"/>
          <w:noProof/>
          <w:sz w:val="24"/>
          <w:szCs w:val="24"/>
          <w:lang w:eastAsia="en-GB"/>
        </w:rPr>
        <w:t xml:space="preserve"> costs for clients </w:t>
      </w:r>
      <w:r w:rsidR="00144941" w:rsidRPr="002661A8">
        <w:rPr>
          <w:rFonts w:ascii="Times New Roman" w:eastAsia="Times New Roman" w:hAnsi="Times New Roman" w:cs="Times New Roman"/>
          <w:noProof/>
          <w:sz w:val="24"/>
          <w:szCs w:val="24"/>
          <w:lang w:eastAsia="en-GB"/>
        </w:rPr>
        <w:t xml:space="preserve">if </w:t>
      </w:r>
      <w:r w:rsidR="000173E9" w:rsidRPr="002661A8">
        <w:rPr>
          <w:rFonts w:ascii="Times New Roman" w:eastAsia="Times New Roman" w:hAnsi="Times New Roman" w:cs="Times New Roman"/>
          <w:noProof/>
          <w:sz w:val="24"/>
          <w:szCs w:val="24"/>
          <w:lang w:eastAsia="en-GB"/>
        </w:rPr>
        <w:t xml:space="preserve">they need to </w:t>
      </w:r>
      <w:r w:rsidR="00144941" w:rsidRPr="002661A8">
        <w:rPr>
          <w:rFonts w:ascii="Times New Roman" w:eastAsia="Times New Roman" w:hAnsi="Times New Roman" w:cs="Times New Roman"/>
          <w:noProof/>
          <w:sz w:val="24"/>
          <w:szCs w:val="24"/>
          <w:lang w:eastAsia="en-GB"/>
        </w:rPr>
        <w:t xml:space="preserve">use </w:t>
      </w:r>
      <w:r w:rsidR="000173E9" w:rsidRPr="002661A8">
        <w:rPr>
          <w:rFonts w:ascii="Times New Roman" w:eastAsia="Times New Roman" w:hAnsi="Times New Roman" w:cs="Times New Roman"/>
          <w:noProof/>
          <w:sz w:val="24"/>
          <w:szCs w:val="24"/>
          <w:lang w:eastAsia="en-GB"/>
        </w:rPr>
        <w:t xml:space="preserve">other CCPs for the respective </w:t>
      </w:r>
      <w:r w:rsidR="00144941" w:rsidRPr="002661A8">
        <w:rPr>
          <w:rFonts w:ascii="Times New Roman" w:eastAsia="Times New Roman" w:hAnsi="Times New Roman" w:cs="Times New Roman"/>
          <w:noProof/>
          <w:sz w:val="24"/>
          <w:szCs w:val="24"/>
          <w:lang w:eastAsia="en-GB"/>
        </w:rPr>
        <w:t>product</w:t>
      </w:r>
      <w:r w:rsidR="000173E9" w:rsidRPr="002661A8">
        <w:rPr>
          <w:rFonts w:ascii="Times New Roman" w:eastAsia="Times New Roman" w:hAnsi="Times New Roman" w:cs="Times New Roman"/>
          <w:noProof/>
          <w:sz w:val="24"/>
          <w:szCs w:val="24"/>
          <w:lang w:eastAsia="en-GB"/>
        </w:rPr>
        <w:t xml:space="preserve">, and </w:t>
      </w:r>
      <w:r w:rsidR="005F791D" w:rsidRPr="002661A8">
        <w:rPr>
          <w:rFonts w:ascii="Times New Roman" w:eastAsia="Times New Roman" w:hAnsi="Times New Roman" w:cs="Times New Roman"/>
          <w:noProof/>
          <w:sz w:val="24"/>
          <w:szCs w:val="24"/>
          <w:lang w:eastAsia="en-GB"/>
        </w:rPr>
        <w:t xml:space="preserve">thus </w:t>
      </w:r>
      <w:r w:rsidR="000173E9" w:rsidRPr="002661A8">
        <w:rPr>
          <w:rFonts w:ascii="Times New Roman" w:eastAsia="Times New Roman" w:hAnsi="Times New Roman" w:cs="Times New Roman"/>
          <w:noProof/>
          <w:sz w:val="24"/>
          <w:szCs w:val="24"/>
          <w:lang w:eastAsia="en-GB"/>
        </w:rPr>
        <w:t>maintain dual CCP set-ups. Also, in case of changes of operating systems, procedures and contracts with customers</w:t>
      </w:r>
      <w:r w:rsidR="000173E9" w:rsidRPr="002661A8">
        <w:rPr>
          <w:rStyle w:val="FootnoteReference"/>
          <w:rFonts w:ascii="Times New Roman" w:eastAsia="Times New Roman" w:hAnsi="Times New Roman" w:cs="Times New Roman"/>
          <w:noProof/>
          <w:sz w:val="24"/>
          <w:szCs w:val="24"/>
          <w:lang w:eastAsia="en-GB"/>
        </w:rPr>
        <w:footnoteReference w:id="85"/>
      </w:r>
      <w:r w:rsidR="002B5021" w:rsidRPr="002661A8">
        <w:rPr>
          <w:rFonts w:ascii="Times New Roman" w:eastAsia="Times New Roman" w:hAnsi="Times New Roman" w:cs="Times New Roman"/>
          <w:noProof/>
          <w:sz w:val="24"/>
          <w:szCs w:val="24"/>
          <w:lang w:eastAsia="en-GB"/>
        </w:rPr>
        <w:t xml:space="preserve"> need to be changed every time</w:t>
      </w:r>
      <w:r w:rsidR="000173E9" w:rsidRPr="002661A8">
        <w:rPr>
          <w:rFonts w:ascii="Times New Roman" w:eastAsia="Times New Roman" w:hAnsi="Times New Roman" w:cs="Times New Roman"/>
          <w:noProof/>
          <w:sz w:val="24"/>
          <w:szCs w:val="24"/>
          <w:lang w:eastAsia="en-GB"/>
        </w:rPr>
        <w:t>.</w:t>
      </w:r>
    </w:p>
    <w:p w14:paraId="0D19D985" w14:textId="30A15CE6" w:rsidR="000173E9" w:rsidRPr="002661A8" w:rsidRDefault="000173E9" w:rsidP="000173E9">
      <w:pPr>
        <w:spacing w:after="120" w:line="240" w:lineRule="auto"/>
        <w:jc w:val="both"/>
        <w:rPr>
          <w:rFonts w:ascii="Times New Roman" w:eastAsia="Times New Roman" w:hAnsi="Times New Roman" w:cs="Times New Roman"/>
          <w:noProof/>
          <w:sz w:val="24"/>
          <w:szCs w:val="24"/>
          <w:lang w:eastAsia="en-GB"/>
        </w:rPr>
      </w:pPr>
      <w:r w:rsidRPr="002661A8">
        <w:rPr>
          <w:rFonts w:ascii="Times New Roman" w:eastAsia="Times New Roman" w:hAnsi="Times New Roman" w:cs="Times New Roman"/>
          <w:noProof/>
          <w:sz w:val="24"/>
          <w:szCs w:val="24"/>
          <w:lang w:eastAsia="en-GB"/>
        </w:rPr>
        <w:t xml:space="preserve">Finally, </w:t>
      </w:r>
      <w:r w:rsidR="009A2209" w:rsidRPr="002661A8">
        <w:rPr>
          <w:rFonts w:ascii="Times New Roman" w:eastAsia="Times New Roman" w:hAnsi="Times New Roman" w:cs="Times New Roman"/>
          <w:noProof/>
          <w:sz w:val="24"/>
          <w:szCs w:val="24"/>
          <w:lang w:eastAsia="en-GB"/>
        </w:rPr>
        <w:t xml:space="preserve">in other jurisdictions the time required for </w:t>
      </w:r>
      <w:r w:rsidRPr="002661A8">
        <w:rPr>
          <w:rFonts w:ascii="Times New Roman" w:eastAsia="Times New Roman" w:hAnsi="Times New Roman" w:cs="Times New Roman"/>
          <w:noProof/>
          <w:sz w:val="24"/>
          <w:szCs w:val="24"/>
          <w:lang w:eastAsia="en-GB"/>
        </w:rPr>
        <w:t>CCPs to extend their services or</w:t>
      </w:r>
      <w:r w:rsidR="009A2209" w:rsidRPr="002661A8">
        <w:rPr>
          <w:rFonts w:ascii="Times New Roman" w:eastAsia="Times New Roman" w:hAnsi="Times New Roman" w:cs="Times New Roman"/>
          <w:noProof/>
          <w:sz w:val="24"/>
          <w:szCs w:val="24"/>
          <w:lang w:eastAsia="en-GB"/>
        </w:rPr>
        <w:t xml:space="preserve"> to</w:t>
      </w:r>
      <w:r w:rsidRPr="002661A8">
        <w:rPr>
          <w:rFonts w:ascii="Times New Roman" w:eastAsia="Times New Roman" w:hAnsi="Times New Roman" w:cs="Times New Roman"/>
          <w:noProof/>
          <w:sz w:val="24"/>
          <w:szCs w:val="24"/>
          <w:lang w:eastAsia="en-GB"/>
        </w:rPr>
        <w:t xml:space="preserve"> amend models is significantly </w:t>
      </w:r>
      <w:r w:rsidR="009A2209" w:rsidRPr="002661A8">
        <w:rPr>
          <w:rFonts w:ascii="Times New Roman" w:eastAsia="Times New Roman" w:hAnsi="Times New Roman" w:cs="Times New Roman"/>
          <w:noProof/>
          <w:sz w:val="24"/>
          <w:szCs w:val="24"/>
          <w:lang w:eastAsia="en-GB"/>
        </w:rPr>
        <w:t>shorter and the costs substantially smaller</w:t>
      </w:r>
      <w:r w:rsidRPr="002661A8">
        <w:rPr>
          <w:rFonts w:ascii="Times New Roman" w:eastAsia="Times New Roman" w:hAnsi="Times New Roman" w:cs="Times New Roman"/>
          <w:noProof/>
          <w:sz w:val="24"/>
          <w:szCs w:val="24"/>
          <w:lang w:eastAsia="en-GB"/>
        </w:rPr>
        <w:t>.</w:t>
      </w:r>
      <w:r w:rsidR="009A2209" w:rsidRPr="002661A8">
        <w:rPr>
          <w:rFonts w:ascii="Times New Roman" w:eastAsia="Times New Roman" w:hAnsi="Times New Roman" w:cs="Times New Roman"/>
          <w:noProof/>
          <w:sz w:val="24"/>
          <w:szCs w:val="24"/>
          <w:lang w:eastAsia="en-GB"/>
        </w:rPr>
        <w:t xml:space="preserve"> </w:t>
      </w:r>
      <w:r w:rsidR="00863A41" w:rsidRPr="002661A8">
        <w:rPr>
          <w:rFonts w:ascii="Times New Roman" w:eastAsia="Times New Roman" w:hAnsi="Times New Roman" w:cs="Times New Roman"/>
          <w:noProof/>
          <w:sz w:val="24"/>
          <w:szCs w:val="24"/>
          <w:lang w:eastAsia="en-GB"/>
        </w:rPr>
        <w:t>I</w:t>
      </w:r>
      <w:r w:rsidRPr="002661A8">
        <w:rPr>
          <w:rFonts w:ascii="Times New Roman" w:eastAsia="Times New Roman" w:hAnsi="Times New Roman" w:cs="Times New Roman"/>
          <w:noProof/>
          <w:sz w:val="24"/>
          <w:szCs w:val="24"/>
          <w:lang w:eastAsia="en-GB"/>
        </w:rPr>
        <w:t>n the US</w:t>
      </w:r>
      <w:r w:rsidR="00863A41" w:rsidRPr="002661A8">
        <w:rPr>
          <w:rFonts w:ascii="Times New Roman" w:eastAsia="Times New Roman" w:hAnsi="Times New Roman" w:cs="Times New Roman"/>
          <w:noProof/>
          <w:sz w:val="24"/>
          <w:szCs w:val="24"/>
          <w:lang w:eastAsia="en-GB"/>
        </w:rPr>
        <w:t>,</w:t>
      </w:r>
      <w:r w:rsidRPr="002661A8">
        <w:rPr>
          <w:rStyle w:val="FootnoteReference"/>
          <w:rFonts w:ascii="Times New Roman" w:eastAsia="Times New Roman" w:hAnsi="Times New Roman" w:cs="Times New Roman"/>
          <w:noProof/>
          <w:sz w:val="24"/>
          <w:szCs w:val="24"/>
          <w:lang w:eastAsia="en-GB"/>
        </w:rPr>
        <w:footnoteReference w:id="86"/>
      </w:r>
      <w:r w:rsidRPr="002661A8">
        <w:rPr>
          <w:rFonts w:ascii="Times New Roman" w:eastAsia="Times New Roman" w:hAnsi="Times New Roman" w:cs="Times New Roman"/>
          <w:noProof/>
          <w:sz w:val="24"/>
          <w:szCs w:val="24"/>
          <w:lang w:eastAsia="en-GB"/>
        </w:rPr>
        <w:t xml:space="preserve"> </w:t>
      </w:r>
      <w:r w:rsidR="00863A41" w:rsidRPr="002661A8">
        <w:rPr>
          <w:rFonts w:ascii="Times New Roman" w:eastAsia="Times New Roman" w:hAnsi="Times New Roman" w:cs="Times New Roman"/>
          <w:noProof/>
          <w:sz w:val="24"/>
          <w:szCs w:val="24"/>
          <w:lang w:eastAsia="en-GB"/>
        </w:rPr>
        <w:t xml:space="preserve">for example, </w:t>
      </w:r>
      <w:r w:rsidRPr="002661A8">
        <w:rPr>
          <w:rFonts w:ascii="Times New Roman" w:eastAsia="Times New Roman" w:hAnsi="Times New Roman" w:cs="Times New Roman"/>
          <w:noProof/>
          <w:sz w:val="24"/>
          <w:szCs w:val="24"/>
          <w:lang w:eastAsia="en-GB"/>
        </w:rPr>
        <w:t xml:space="preserve">a </w:t>
      </w:r>
      <w:r w:rsidR="001175DB" w:rsidRPr="002661A8">
        <w:rPr>
          <w:rFonts w:ascii="Times New Roman" w:eastAsia="Times New Roman" w:hAnsi="Times New Roman" w:cs="Times New Roman"/>
          <w:noProof/>
          <w:sz w:val="24"/>
          <w:szCs w:val="24"/>
          <w:lang w:eastAsia="en-GB"/>
        </w:rPr>
        <w:t xml:space="preserve">CFTC registered </w:t>
      </w:r>
      <w:r w:rsidRPr="002661A8">
        <w:rPr>
          <w:rFonts w:ascii="Times New Roman" w:eastAsia="Times New Roman" w:hAnsi="Times New Roman" w:cs="Times New Roman"/>
          <w:noProof/>
          <w:sz w:val="24"/>
          <w:szCs w:val="24"/>
          <w:lang w:eastAsia="en-GB"/>
        </w:rPr>
        <w:t>CCP</w:t>
      </w:r>
      <w:r w:rsidR="00DB3EFA">
        <w:rPr>
          <w:rFonts w:ascii="Times New Roman" w:eastAsia="Times New Roman" w:hAnsi="Times New Roman" w:cs="Times New Roman"/>
          <w:noProof/>
          <w:sz w:val="24"/>
          <w:szCs w:val="24"/>
          <w:lang w:eastAsia="en-GB"/>
        </w:rPr>
        <w:t xml:space="preserve"> </w:t>
      </w:r>
      <w:r w:rsidRPr="002661A8">
        <w:rPr>
          <w:rFonts w:ascii="Times New Roman" w:eastAsia="Times New Roman" w:hAnsi="Times New Roman" w:cs="Times New Roman"/>
          <w:noProof/>
          <w:sz w:val="24"/>
          <w:szCs w:val="24"/>
          <w:lang w:eastAsia="en-GB"/>
        </w:rPr>
        <w:t>may implement a new rule or amendment in 10 business days after</w:t>
      </w:r>
      <w:r w:rsidR="00863A41" w:rsidRPr="002661A8" w:rsidDel="00DB6F1C">
        <w:rPr>
          <w:rFonts w:ascii="Times New Roman" w:eastAsia="Times New Roman" w:hAnsi="Times New Roman" w:cs="Times New Roman"/>
          <w:noProof/>
          <w:sz w:val="24"/>
          <w:szCs w:val="24"/>
          <w:lang w:eastAsia="en-GB"/>
        </w:rPr>
        <w:t xml:space="preserve"> </w:t>
      </w:r>
      <w:r w:rsidRPr="002661A8">
        <w:rPr>
          <w:rFonts w:ascii="Times New Roman" w:eastAsia="Times New Roman" w:hAnsi="Times New Roman" w:cs="Times New Roman"/>
          <w:noProof/>
          <w:sz w:val="24"/>
          <w:szCs w:val="24"/>
          <w:lang w:eastAsia="en-GB"/>
        </w:rPr>
        <w:t xml:space="preserve">a written self-certification </w:t>
      </w:r>
      <w:r w:rsidR="001175DB" w:rsidRPr="002661A8">
        <w:rPr>
          <w:rFonts w:ascii="Times New Roman" w:eastAsia="Times New Roman" w:hAnsi="Times New Roman" w:cs="Times New Roman"/>
          <w:noProof/>
          <w:sz w:val="24"/>
          <w:szCs w:val="24"/>
          <w:lang w:eastAsia="en-GB"/>
        </w:rPr>
        <w:t>to the CFTC</w:t>
      </w:r>
      <w:r w:rsidR="001175DB" w:rsidRPr="002661A8" w:rsidDel="00863A41">
        <w:rPr>
          <w:rFonts w:ascii="Times New Roman" w:eastAsia="Times New Roman" w:hAnsi="Times New Roman" w:cs="Times New Roman"/>
          <w:noProof/>
          <w:sz w:val="24"/>
          <w:szCs w:val="24"/>
          <w:lang w:eastAsia="en-GB"/>
        </w:rPr>
        <w:t xml:space="preserve"> </w:t>
      </w:r>
      <w:r w:rsidRPr="002661A8">
        <w:rPr>
          <w:rFonts w:ascii="Times New Roman" w:eastAsia="Times New Roman" w:hAnsi="Times New Roman" w:cs="Times New Roman"/>
          <w:noProof/>
          <w:sz w:val="24"/>
          <w:szCs w:val="24"/>
          <w:lang w:eastAsia="en-GB"/>
        </w:rPr>
        <w:t xml:space="preserve">that the rule or </w:t>
      </w:r>
      <w:r w:rsidR="00863A41" w:rsidRPr="002661A8">
        <w:rPr>
          <w:rFonts w:ascii="Times New Roman" w:eastAsia="Times New Roman" w:hAnsi="Times New Roman" w:cs="Times New Roman"/>
          <w:noProof/>
          <w:sz w:val="24"/>
          <w:szCs w:val="24"/>
          <w:lang w:eastAsia="en-GB"/>
        </w:rPr>
        <w:t>change</w:t>
      </w:r>
      <w:r w:rsidRPr="002661A8">
        <w:rPr>
          <w:rFonts w:ascii="Times New Roman" w:eastAsia="Times New Roman" w:hAnsi="Times New Roman" w:cs="Times New Roman"/>
          <w:noProof/>
          <w:sz w:val="24"/>
          <w:szCs w:val="24"/>
          <w:lang w:eastAsia="en-GB"/>
        </w:rPr>
        <w:t xml:space="preserve"> complies with the Commodity Exchange Act and CFTC Regulations</w:t>
      </w:r>
      <w:r w:rsidR="008F4889" w:rsidRPr="002661A8">
        <w:rPr>
          <w:rFonts w:ascii="Times New Roman" w:eastAsia="Times New Roman" w:hAnsi="Times New Roman" w:cs="Times New Roman"/>
          <w:noProof/>
          <w:sz w:val="24"/>
          <w:szCs w:val="24"/>
          <w:lang w:eastAsia="en-GB"/>
        </w:rPr>
        <w:t>. I</w:t>
      </w:r>
      <w:r w:rsidRPr="002661A8">
        <w:rPr>
          <w:rFonts w:ascii="Times New Roman" w:eastAsia="Times New Roman" w:hAnsi="Times New Roman" w:cs="Times New Roman"/>
          <w:noProof/>
          <w:sz w:val="24"/>
          <w:szCs w:val="24"/>
          <w:lang w:eastAsia="en-GB"/>
        </w:rPr>
        <w:t xml:space="preserve">n certain circumstances, the CFTC </w:t>
      </w:r>
      <w:r w:rsidR="00863A41" w:rsidRPr="002661A8">
        <w:rPr>
          <w:rFonts w:ascii="Times New Roman" w:eastAsia="Times New Roman" w:hAnsi="Times New Roman" w:cs="Times New Roman"/>
          <w:noProof/>
          <w:sz w:val="24"/>
          <w:szCs w:val="24"/>
          <w:lang w:eastAsia="en-GB"/>
        </w:rPr>
        <w:t>can</w:t>
      </w:r>
      <w:r w:rsidRPr="002661A8">
        <w:rPr>
          <w:rFonts w:ascii="Times New Roman" w:eastAsia="Times New Roman" w:hAnsi="Times New Roman" w:cs="Times New Roman"/>
          <w:noProof/>
          <w:sz w:val="24"/>
          <w:szCs w:val="24"/>
          <w:lang w:eastAsia="en-GB"/>
        </w:rPr>
        <w:t xml:space="preserve"> extend this period</w:t>
      </w:r>
      <w:r w:rsidR="00863A41" w:rsidRPr="002661A8">
        <w:rPr>
          <w:rFonts w:ascii="Times New Roman" w:eastAsia="Times New Roman" w:hAnsi="Times New Roman" w:cs="Times New Roman"/>
          <w:noProof/>
          <w:sz w:val="24"/>
          <w:szCs w:val="24"/>
          <w:lang w:eastAsia="en-GB"/>
        </w:rPr>
        <w:t>, but this seems rare.</w:t>
      </w:r>
      <w:r w:rsidR="00863A41" w:rsidRPr="002661A8">
        <w:rPr>
          <w:rStyle w:val="FootnoteReference"/>
          <w:rFonts w:ascii="Times New Roman" w:eastAsia="Times New Roman" w:hAnsi="Times New Roman" w:cs="Times New Roman"/>
          <w:noProof/>
          <w:sz w:val="24"/>
          <w:szCs w:val="24"/>
          <w:lang w:eastAsia="en-GB"/>
        </w:rPr>
        <w:footnoteReference w:id="87"/>
      </w:r>
      <w:r w:rsidRPr="002661A8">
        <w:rPr>
          <w:rFonts w:ascii="Times New Roman" w:eastAsia="Times New Roman" w:hAnsi="Times New Roman" w:cs="Times New Roman"/>
          <w:noProof/>
          <w:sz w:val="24"/>
          <w:szCs w:val="24"/>
          <w:lang w:eastAsia="en-GB"/>
        </w:rPr>
        <w:t xml:space="preserve"> It has </w:t>
      </w:r>
      <w:r w:rsidR="00863A41" w:rsidRPr="002661A8">
        <w:rPr>
          <w:rFonts w:ascii="Times New Roman" w:eastAsia="Times New Roman" w:hAnsi="Times New Roman" w:cs="Times New Roman"/>
          <w:noProof/>
          <w:sz w:val="24"/>
          <w:szCs w:val="24"/>
          <w:lang w:eastAsia="en-GB"/>
        </w:rPr>
        <w:t xml:space="preserve">also </w:t>
      </w:r>
      <w:r w:rsidRPr="002661A8">
        <w:rPr>
          <w:rFonts w:ascii="Times New Roman" w:eastAsia="Times New Roman" w:hAnsi="Times New Roman" w:cs="Times New Roman"/>
          <w:noProof/>
          <w:sz w:val="24"/>
          <w:szCs w:val="24"/>
          <w:lang w:eastAsia="en-GB"/>
        </w:rPr>
        <w:t xml:space="preserve">been noted that the underlying documentation can be easily provided (sometimes in hours). The CFTC requires every amendment to be filed, regardless of its relevance from a risk perspective or </w:t>
      </w:r>
      <w:r w:rsidR="003577FA" w:rsidRPr="002661A8">
        <w:rPr>
          <w:rFonts w:ascii="Times New Roman" w:eastAsia="Times New Roman" w:hAnsi="Times New Roman" w:cs="Times New Roman"/>
          <w:noProof/>
          <w:sz w:val="24"/>
          <w:szCs w:val="24"/>
          <w:lang w:eastAsia="en-GB"/>
        </w:rPr>
        <w:t xml:space="preserve">if </w:t>
      </w:r>
      <w:r w:rsidRPr="002661A8">
        <w:rPr>
          <w:rFonts w:ascii="Times New Roman" w:eastAsia="Times New Roman" w:hAnsi="Times New Roman" w:cs="Times New Roman"/>
          <w:noProof/>
          <w:sz w:val="24"/>
          <w:szCs w:val="24"/>
          <w:lang w:eastAsia="en-GB"/>
        </w:rPr>
        <w:t xml:space="preserve">it relates to the license of the CCP. This means a </w:t>
      </w:r>
      <w:r w:rsidR="00863A41" w:rsidRPr="002661A8">
        <w:rPr>
          <w:rFonts w:ascii="Times New Roman" w:eastAsia="Times New Roman" w:hAnsi="Times New Roman" w:cs="Times New Roman"/>
          <w:noProof/>
          <w:sz w:val="24"/>
          <w:szCs w:val="24"/>
          <w:lang w:eastAsia="en-GB"/>
        </w:rPr>
        <w:t xml:space="preserve">CCP </w:t>
      </w:r>
      <w:r w:rsidRPr="002661A8">
        <w:rPr>
          <w:rFonts w:ascii="Times New Roman" w:eastAsia="Times New Roman" w:hAnsi="Times New Roman" w:cs="Times New Roman"/>
          <w:noProof/>
          <w:sz w:val="24"/>
          <w:szCs w:val="24"/>
          <w:lang w:eastAsia="en-GB"/>
        </w:rPr>
        <w:t xml:space="preserve">may need about 50 filings a year. </w:t>
      </w:r>
      <w:r w:rsidR="009A2209" w:rsidRPr="002661A8">
        <w:rPr>
          <w:rFonts w:ascii="Times New Roman" w:eastAsia="Times New Roman" w:hAnsi="Times New Roman" w:cs="Times New Roman"/>
          <w:noProof/>
          <w:sz w:val="24"/>
          <w:szCs w:val="24"/>
          <w:lang w:eastAsia="en-GB"/>
        </w:rPr>
        <w:t>Nonetheless,</w:t>
      </w:r>
      <w:r w:rsidRPr="002661A8">
        <w:rPr>
          <w:rFonts w:ascii="Times New Roman" w:eastAsia="Times New Roman" w:hAnsi="Times New Roman" w:cs="Times New Roman"/>
          <w:noProof/>
          <w:sz w:val="24"/>
          <w:szCs w:val="24"/>
          <w:lang w:eastAsia="en-GB"/>
        </w:rPr>
        <w:t xml:space="preserve"> the estimated cost burden remains lower than under EMIR</w:t>
      </w:r>
      <w:r w:rsidR="00CC7892" w:rsidRPr="002661A8">
        <w:rPr>
          <w:rFonts w:ascii="Times New Roman" w:eastAsia="Times New Roman" w:hAnsi="Times New Roman" w:cs="Times New Roman"/>
          <w:noProof/>
          <w:sz w:val="24"/>
          <w:szCs w:val="24"/>
          <w:lang w:eastAsia="en-GB"/>
        </w:rPr>
        <w:t>;</w:t>
      </w:r>
      <w:r w:rsidRPr="002661A8" w:rsidDel="00CC7892">
        <w:rPr>
          <w:rFonts w:ascii="Times New Roman" w:eastAsia="Times New Roman" w:hAnsi="Times New Roman" w:cs="Times New Roman"/>
          <w:noProof/>
          <w:sz w:val="24"/>
          <w:szCs w:val="24"/>
          <w:lang w:eastAsia="en-GB"/>
        </w:rPr>
        <w:t xml:space="preserve"> </w:t>
      </w:r>
      <w:r w:rsidRPr="002661A8">
        <w:rPr>
          <w:rFonts w:ascii="Times New Roman" w:eastAsia="Times New Roman" w:hAnsi="Times New Roman" w:cs="Times New Roman"/>
          <w:noProof/>
          <w:sz w:val="24"/>
          <w:szCs w:val="24"/>
          <w:lang w:eastAsia="en-GB"/>
        </w:rPr>
        <w:t xml:space="preserve">even the cost of </w:t>
      </w:r>
      <w:r w:rsidR="0072351A" w:rsidRPr="002661A8">
        <w:rPr>
          <w:rFonts w:ascii="Times New Roman" w:eastAsia="Times New Roman" w:hAnsi="Times New Roman" w:cs="Times New Roman"/>
          <w:noProof/>
          <w:sz w:val="24"/>
          <w:szCs w:val="24"/>
          <w:lang w:eastAsia="en-GB"/>
        </w:rPr>
        <w:t xml:space="preserve">an </w:t>
      </w:r>
      <w:r w:rsidRPr="002661A8">
        <w:rPr>
          <w:rFonts w:ascii="Times New Roman" w:eastAsia="Times New Roman" w:hAnsi="Times New Roman" w:cs="Times New Roman"/>
          <w:noProof/>
          <w:sz w:val="24"/>
          <w:szCs w:val="24"/>
          <w:lang w:eastAsia="en-GB"/>
        </w:rPr>
        <w:t xml:space="preserve">extended procedure with the CFTC </w:t>
      </w:r>
      <w:r w:rsidR="00CC7892" w:rsidRPr="002661A8">
        <w:rPr>
          <w:rFonts w:ascii="Times New Roman" w:eastAsia="Times New Roman" w:hAnsi="Times New Roman" w:cs="Times New Roman"/>
          <w:noProof/>
          <w:sz w:val="24"/>
          <w:szCs w:val="24"/>
          <w:lang w:eastAsia="en-GB"/>
        </w:rPr>
        <w:t xml:space="preserve">is estimated to </w:t>
      </w:r>
      <w:r w:rsidRPr="002661A8">
        <w:rPr>
          <w:rFonts w:ascii="Times New Roman" w:eastAsia="Times New Roman" w:hAnsi="Times New Roman" w:cs="Times New Roman"/>
          <w:noProof/>
          <w:sz w:val="24"/>
          <w:szCs w:val="24"/>
          <w:lang w:eastAsia="en-GB"/>
        </w:rPr>
        <w:t>be 25-50% lower than that under EMIR</w:t>
      </w:r>
      <w:r w:rsidR="00B41661" w:rsidRPr="002661A8">
        <w:rPr>
          <w:rFonts w:ascii="Times New Roman" w:eastAsia="Times New Roman" w:hAnsi="Times New Roman" w:cs="Times New Roman"/>
          <w:noProof/>
          <w:sz w:val="24"/>
          <w:szCs w:val="24"/>
          <w:lang w:eastAsia="en-GB"/>
        </w:rPr>
        <w:t>.</w:t>
      </w:r>
      <w:r w:rsidRPr="002661A8">
        <w:rPr>
          <w:rStyle w:val="FootnoteReference"/>
          <w:rFonts w:ascii="Times New Roman" w:eastAsia="Times New Roman" w:hAnsi="Times New Roman" w:cs="Times New Roman"/>
          <w:noProof/>
          <w:sz w:val="24"/>
          <w:szCs w:val="24"/>
          <w:lang w:eastAsia="en-GB"/>
        </w:rPr>
        <w:footnoteReference w:id="88"/>
      </w:r>
      <w:r w:rsidR="009A2209" w:rsidRPr="002661A8">
        <w:rPr>
          <w:rFonts w:ascii="Times New Roman" w:eastAsia="Times New Roman" w:hAnsi="Times New Roman" w:cs="Times New Roman"/>
          <w:noProof/>
          <w:sz w:val="24"/>
          <w:szCs w:val="24"/>
          <w:lang w:eastAsia="en-GB"/>
        </w:rPr>
        <w:t xml:space="preserve"> </w:t>
      </w:r>
      <w:r w:rsidR="00E54B7C">
        <w:rPr>
          <w:rFonts w:ascii="Times New Roman" w:eastAsia="Times New Roman" w:hAnsi="Times New Roman" w:cs="Times New Roman"/>
          <w:noProof/>
          <w:sz w:val="24"/>
          <w:szCs w:val="24"/>
          <w:lang w:eastAsia="en-GB"/>
        </w:rPr>
        <w:t>In the meeting with Member States on 16 June 2022, t</w:t>
      </w:r>
      <w:r w:rsidR="00E54B7C" w:rsidRPr="00E54B7C">
        <w:rPr>
          <w:rFonts w:ascii="Times New Roman" w:eastAsia="Times New Roman" w:hAnsi="Times New Roman" w:cs="Times New Roman"/>
          <w:noProof/>
          <w:sz w:val="24"/>
          <w:szCs w:val="24"/>
          <w:lang w:eastAsia="en-GB"/>
        </w:rPr>
        <w:t xml:space="preserve">hree Member States suggested to further look into </w:t>
      </w:r>
      <w:r w:rsidR="007C0470">
        <w:rPr>
          <w:rFonts w:ascii="Times New Roman" w:eastAsia="Times New Roman" w:hAnsi="Times New Roman" w:cs="Times New Roman"/>
          <w:noProof/>
          <w:sz w:val="24"/>
          <w:szCs w:val="24"/>
          <w:lang w:eastAsia="en-GB"/>
        </w:rPr>
        <w:t>ways that</w:t>
      </w:r>
      <w:r w:rsidR="00E54B7C" w:rsidRPr="00E54B7C">
        <w:rPr>
          <w:rFonts w:ascii="Times New Roman" w:eastAsia="Times New Roman" w:hAnsi="Times New Roman" w:cs="Times New Roman"/>
          <w:noProof/>
          <w:sz w:val="24"/>
          <w:szCs w:val="24"/>
          <w:lang w:eastAsia="en-GB"/>
        </w:rPr>
        <w:t xml:space="preserve"> </w:t>
      </w:r>
      <w:r w:rsidR="007B6315">
        <w:rPr>
          <w:rFonts w:ascii="Times New Roman" w:eastAsia="Times New Roman" w:hAnsi="Times New Roman" w:cs="Times New Roman"/>
          <w:noProof/>
          <w:sz w:val="24"/>
          <w:szCs w:val="24"/>
          <w:lang w:eastAsia="en-GB"/>
        </w:rPr>
        <w:t xml:space="preserve">would </w:t>
      </w:r>
      <w:r w:rsidR="00E54B7C" w:rsidRPr="00E54B7C">
        <w:rPr>
          <w:rFonts w:ascii="Times New Roman" w:eastAsia="Times New Roman" w:hAnsi="Times New Roman" w:cs="Times New Roman"/>
          <w:noProof/>
          <w:sz w:val="24"/>
          <w:szCs w:val="24"/>
          <w:lang w:eastAsia="en-GB"/>
        </w:rPr>
        <w:t>allow CCPs to launch new products. However, Member States</w:t>
      </w:r>
      <w:r w:rsidR="007B6315">
        <w:rPr>
          <w:rFonts w:ascii="Times New Roman" w:eastAsia="Times New Roman" w:hAnsi="Times New Roman" w:cs="Times New Roman"/>
          <w:noProof/>
          <w:sz w:val="24"/>
          <w:szCs w:val="24"/>
          <w:lang w:eastAsia="en-GB"/>
        </w:rPr>
        <w:t>’</w:t>
      </w:r>
      <w:r w:rsidR="00E54B7C" w:rsidRPr="00E54B7C">
        <w:rPr>
          <w:rFonts w:ascii="Times New Roman" w:eastAsia="Times New Roman" w:hAnsi="Times New Roman" w:cs="Times New Roman"/>
          <w:noProof/>
          <w:sz w:val="24"/>
          <w:szCs w:val="24"/>
          <w:lang w:eastAsia="en-GB"/>
        </w:rPr>
        <w:t xml:space="preserve"> experts pointed to the need to carefully frame such approaches. One Member State particularly highlighted that this option should only be available if non</w:t>
      </w:r>
      <w:r w:rsidR="00DB378F">
        <w:rPr>
          <w:rFonts w:ascii="Times New Roman" w:eastAsia="Times New Roman" w:hAnsi="Times New Roman" w:cs="Times New Roman"/>
          <w:noProof/>
          <w:sz w:val="24"/>
          <w:szCs w:val="24"/>
          <w:lang w:eastAsia="en-GB"/>
        </w:rPr>
        <w:t>-</w:t>
      </w:r>
      <w:r w:rsidR="00E54B7C" w:rsidRPr="00E54B7C">
        <w:rPr>
          <w:rFonts w:ascii="Times New Roman" w:eastAsia="Times New Roman" w:hAnsi="Times New Roman" w:cs="Times New Roman"/>
          <w:noProof/>
          <w:sz w:val="24"/>
          <w:szCs w:val="24"/>
          <w:lang w:eastAsia="en-GB"/>
        </w:rPr>
        <w:t>systemic risks are concerned.</w:t>
      </w:r>
    </w:p>
    <w:p w14:paraId="51254179" w14:textId="0A0B076E" w:rsidR="0072351A" w:rsidRPr="002661A8" w:rsidRDefault="001E7EBE" w:rsidP="009F3588">
      <w:pPr>
        <w:spacing w:after="120" w:line="240" w:lineRule="auto"/>
        <w:jc w:val="both"/>
        <w:rPr>
          <w:rFonts w:ascii="Times New Roman" w:eastAsia="Times New Roman" w:hAnsi="Times New Roman" w:cs="Times New Roman"/>
          <w:noProof/>
          <w:sz w:val="24"/>
          <w:szCs w:val="24"/>
          <w:lang w:eastAsia="en-GB"/>
        </w:rPr>
      </w:pPr>
      <w:r w:rsidRPr="002661A8">
        <w:rPr>
          <w:rFonts w:ascii="Times New Roman" w:eastAsia="Times New Roman" w:hAnsi="Times New Roman" w:cs="Times New Roman"/>
          <w:noProof/>
          <w:sz w:val="24"/>
          <w:szCs w:val="24"/>
          <w:lang w:eastAsia="en-GB"/>
        </w:rPr>
        <w:t>In the UK</w:t>
      </w:r>
      <w:r w:rsidR="000E490B" w:rsidRPr="002661A8">
        <w:rPr>
          <w:rFonts w:ascii="Times New Roman" w:eastAsia="Times New Roman" w:hAnsi="Times New Roman" w:cs="Times New Roman"/>
          <w:noProof/>
          <w:sz w:val="24"/>
          <w:szCs w:val="24"/>
          <w:lang w:eastAsia="en-GB"/>
        </w:rPr>
        <w:t>,</w:t>
      </w:r>
      <w:r w:rsidRPr="002661A8">
        <w:rPr>
          <w:rFonts w:ascii="Times New Roman" w:eastAsia="Times New Roman" w:hAnsi="Times New Roman" w:cs="Times New Roman"/>
          <w:noProof/>
          <w:sz w:val="24"/>
          <w:szCs w:val="24"/>
          <w:lang w:eastAsia="en-GB"/>
        </w:rPr>
        <w:t xml:space="preserve"> EMIR has been </w:t>
      </w:r>
      <w:r w:rsidR="000E490B" w:rsidRPr="002661A8">
        <w:rPr>
          <w:rFonts w:ascii="Times New Roman" w:eastAsia="Times New Roman" w:hAnsi="Times New Roman" w:cs="Times New Roman"/>
          <w:noProof/>
          <w:sz w:val="24"/>
          <w:szCs w:val="24"/>
          <w:lang w:eastAsia="en-GB"/>
        </w:rPr>
        <w:t>onboarded</w:t>
      </w:r>
      <w:r w:rsidR="00CD44B5" w:rsidRPr="002661A8">
        <w:rPr>
          <w:rFonts w:ascii="Times New Roman" w:eastAsia="Times New Roman" w:hAnsi="Times New Roman" w:cs="Times New Roman"/>
          <w:noProof/>
          <w:sz w:val="24"/>
          <w:szCs w:val="24"/>
          <w:lang w:eastAsia="en-GB"/>
        </w:rPr>
        <w:t xml:space="preserve"> into UK </w:t>
      </w:r>
      <w:r w:rsidR="004D6961" w:rsidRPr="002661A8">
        <w:rPr>
          <w:rFonts w:ascii="Times New Roman" w:eastAsia="Times New Roman" w:hAnsi="Times New Roman" w:cs="Times New Roman"/>
          <w:noProof/>
          <w:sz w:val="24"/>
          <w:szCs w:val="24"/>
          <w:lang w:eastAsia="en-GB"/>
        </w:rPr>
        <w:t>l</w:t>
      </w:r>
      <w:r w:rsidR="00CD44B5" w:rsidRPr="002661A8">
        <w:rPr>
          <w:rFonts w:ascii="Times New Roman" w:eastAsia="Times New Roman" w:hAnsi="Times New Roman" w:cs="Times New Roman"/>
          <w:noProof/>
          <w:sz w:val="24"/>
          <w:szCs w:val="24"/>
          <w:lang w:eastAsia="en-GB"/>
        </w:rPr>
        <w:t>aw following the withdrawal of the UK from the European Union</w:t>
      </w:r>
      <w:r w:rsidRPr="002661A8">
        <w:rPr>
          <w:rFonts w:ascii="Times New Roman" w:eastAsia="Times New Roman" w:hAnsi="Times New Roman" w:cs="Times New Roman"/>
          <w:noProof/>
          <w:sz w:val="24"/>
          <w:szCs w:val="24"/>
          <w:lang w:eastAsia="en-GB"/>
        </w:rPr>
        <w:t>.</w:t>
      </w:r>
      <w:r w:rsidR="00F03620" w:rsidRPr="002661A8">
        <w:rPr>
          <w:rStyle w:val="FootnoteReference"/>
          <w:rFonts w:ascii="Times New Roman" w:eastAsia="Times New Roman" w:hAnsi="Times New Roman" w:cs="Times New Roman"/>
          <w:noProof/>
          <w:sz w:val="24"/>
          <w:szCs w:val="24"/>
          <w:lang w:eastAsia="en-GB"/>
        </w:rPr>
        <w:footnoteReference w:id="89"/>
      </w:r>
      <w:r w:rsidRPr="002661A8">
        <w:rPr>
          <w:rFonts w:ascii="Times New Roman" w:eastAsia="Times New Roman" w:hAnsi="Times New Roman" w:cs="Times New Roman"/>
          <w:noProof/>
          <w:sz w:val="24"/>
          <w:szCs w:val="24"/>
          <w:lang w:eastAsia="en-GB"/>
        </w:rPr>
        <w:t xml:space="preserve"> </w:t>
      </w:r>
      <w:r w:rsidR="00F03620" w:rsidRPr="002661A8">
        <w:rPr>
          <w:rFonts w:ascii="Times New Roman" w:eastAsia="Times New Roman" w:hAnsi="Times New Roman" w:cs="Times New Roman"/>
          <w:noProof/>
          <w:sz w:val="24"/>
          <w:szCs w:val="24"/>
          <w:lang w:eastAsia="en-GB"/>
        </w:rPr>
        <w:t>While</w:t>
      </w:r>
      <w:r w:rsidRPr="002661A8">
        <w:rPr>
          <w:rFonts w:ascii="Times New Roman" w:eastAsia="Times New Roman" w:hAnsi="Times New Roman" w:cs="Times New Roman"/>
          <w:noProof/>
          <w:sz w:val="24"/>
          <w:szCs w:val="24"/>
          <w:lang w:eastAsia="en-GB"/>
        </w:rPr>
        <w:t xml:space="preserve"> procedures are </w:t>
      </w:r>
      <w:r w:rsidR="00F03620" w:rsidRPr="002661A8">
        <w:rPr>
          <w:rFonts w:ascii="Times New Roman" w:eastAsia="Times New Roman" w:hAnsi="Times New Roman" w:cs="Times New Roman"/>
          <w:noProof/>
          <w:sz w:val="24"/>
          <w:szCs w:val="24"/>
          <w:lang w:eastAsia="en-GB"/>
        </w:rPr>
        <w:t xml:space="preserve">therefore </w:t>
      </w:r>
      <w:r w:rsidRPr="002661A8">
        <w:rPr>
          <w:rFonts w:ascii="Times New Roman" w:eastAsia="Times New Roman" w:hAnsi="Times New Roman" w:cs="Times New Roman"/>
          <w:noProof/>
          <w:sz w:val="24"/>
          <w:szCs w:val="24"/>
          <w:lang w:eastAsia="en-GB"/>
        </w:rPr>
        <w:t xml:space="preserve">the same as in the EU, </w:t>
      </w:r>
      <w:r w:rsidR="0064259B" w:rsidRPr="002661A8">
        <w:rPr>
          <w:rFonts w:ascii="Times New Roman" w:eastAsia="Times New Roman" w:hAnsi="Times New Roman" w:cs="Times New Roman"/>
          <w:noProof/>
          <w:sz w:val="24"/>
          <w:szCs w:val="24"/>
          <w:lang w:eastAsia="en-GB"/>
        </w:rPr>
        <w:t xml:space="preserve">UK CCPs had </w:t>
      </w:r>
      <w:r w:rsidR="007458BA" w:rsidRPr="002661A8">
        <w:rPr>
          <w:rFonts w:ascii="Times New Roman" w:eastAsia="Times New Roman" w:hAnsi="Times New Roman" w:cs="Times New Roman"/>
          <w:noProof/>
          <w:sz w:val="24"/>
          <w:szCs w:val="24"/>
          <w:lang w:eastAsia="en-GB"/>
        </w:rPr>
        <w:t>built up</w:t>
      </w:r>
      <w:r w:rsidR="0064259B" w:rsidRPr="002661A8">
        <w:rPr>
          <w:rFonts w:ascii="Times New Roman" w:eastAsia="Times New Roman" w:hAnsi="Times New Roman" w:cs="Times New Roman"/>
          <w:noProof/>
          <w:sz w:val="24"/>
          <w:szCs w:val="24"/>
          <w:lang w:eastAsia="en-GB"/>
        </w:rPr>
        <w:t xml:space="preserve"> a </w:t>
      </w:r>
      <w:r w:rsidR="007458BA" w:rsidRPr="002661A8">
        <w:rPr>
          <w:rFonts w:ascii="Times New Roman" w:eastAsia="Times New Roman" w:hAnsi="Times New Roman" w:cs="Times New Roman"/>
          <w:noProof/>
          <w:sz w:val="24"/>
          <w:szCs w:val="24"/>
          <w:lang w:eastAsia="en-GB"/>
        </w:rPr>
        <w:t>significant</w:t>
      </w:r>
      <w:r w:rsidR="0064259B" w:rsidRPr="002661A8">
        <w:rPr>
          <w:rFonts w:ascii="Times New Roman" w:eastAsia="Times New Roman" w:hAnsi="Times New Roman" w:cs="Times New Roman"/>
          <w:noProof/>
          <w:sz w:val="24"/>
          <w:szCs w:val="24"/>
          <w:lang w:eastAsia="en-GB"/>
        </w:rPr>
        <w:t xml:space="preserve"> position in the global clearing market</w:t>
      </w:r>
      <w:r w:rsidR="004D6961" w:rsidRPr="002661A8">
        <w:rPr>
          <w:rFonts w:ascii="Times New Roman" w:eastAsia="Times New Roman" w:hAnsi="Times New Roman" w:cs="Times New Roman"/>
          <w:noProof/>
          <w:sz w:val="24"/>
          <w:szCs w:val="24"/>
          <w:lang w:eastAsia="en-GB"/>
        </w:rPr>
        <w:t xml:space="preserve"> already before</w:t>
      </w:r>
      <w:r w:rsidR="0064259B" w:rsidRPr="002661A8" w:rsidDel="004D6961">
        <w:rPr>
          <w:rFonts w:ascii="Times New Roman" w:eastAsia="Times New Roman" w:hAnsi="Times New Roman" w:cs="Times New Roman"/>
          <w:noProof/>
          <w:sz w:val="24"/>
          <w:szCs w:val="24"/>
          <w:lang w:eastAsia="en-GB"/>
        </w:rPr>
        <w:t xml:space="preserve"> </w:t>
      </w:r>
      <w:r w:rsidR="0064259B" w:rsidRPr="002661A8">
        <w:rPr>
          <w:rFonts w:ascii="Times New Roman" w:eastAsia="Times New Roman" w:hAnsi="Times New Roman" w:cs="Times New Roman"/>
          <w:noProof/>
          <w:sz w:val="24"/>
          <w:szCs w:val="24"/>
          <w:lang w:eastAsia="en-GB"/>
        </w:rPr>
        <w:t>the</w:t>
      </w:r>
      <w:r w:rsidR="0064259B" w:rsidRPr="002661A8" w:rsidDel="004D6961">
        <w:rPr>
          <w:rFonts w:ascii="Times New Roman" w:eastAsia="Times New Roman" w:hAnsi="Times New Roman" w:cs="Times New Roman"/>
          <w:noProof/>
          <w:sz w:val="24"/>
          <w:szCs w:val="24"/>
          <w:lang w:eastAsia="en-GB"/>
        </w:rPr>
        <w:t xml:space="preserve"> </w:t>
      </w:r>
      <w:r w:rsidR="004D6961" w:rsidRPr="002661A8">
        <w:rPr>
          <w:rFonts w:ascii="Times New Roman" w:eastAsia="Times New Roman" w:hAnsi="Times New Roman" w:cs="Times New Roman"/>
          <w:noProof/>
          <w:sz w:val="24"/>
          <w:szCs w:val="24"/>
          <w:lang w:eastAsia="en-GB"/>
        </w:rPr>
        <w:t xml:space="preserve">introduction </w:t>
      </w:r>
      <w:r w:rsidR="0064259B" w:rsidRPr="002661A8">
        <w:rPr>
          <w:rFonts w:ascii="Times New Roman" w:eastAsia="Times New Roman" w:hAnsi="Times New Roman" w:cs="Times New Roman"/>
          <w:noProof/>
          <w:sz w:val="24"/>
          <w:szCs w:val="24"/>
          <w:lang w:eastAsia="en-GB"/>
        </w:rPr>
        <w:t>of</w:t>
      </w:r>
      <w:r w:rsidR="004D6961" w:rsidRPr="002661A8">
        <w:rPr>
          <w:rFonts w:ascii="Times New Roman" w:eastAsia="Times New Roman" w:hAnsi="Times New Roman" w:cs="Times New Roman"/>
          <w:noProof/>
          <w:sz w:val="24"/>
          <w:szCs w:val="24"/>
          <w:lang w:eastAsia="en-GB"/>
        </w:rPr>
        <w:t xml:space="preserve"> the </w:t>
      </w:r>
      <w:r w:rsidR="0064259B" w:rsidRPr="002661A8">
        <w:rPr>
          <w:rFonts w:ascii="Times New Roman" w:eastAsia="Times New Roman" w:hAnsi="Times New Roman" w:cs="Times New Roman"/>
          <w:noProof/>
          <w:sz w:val="24"/>
          <w:szCs w:val="24"/>
          <w:lang w:eastAsia="en-GB"/>
        </w:rPr>
        <w:t xml:space="preserve">EMIR </w:t>
      </w:r>
      <w:r w:rsidR="00F03620" w:rsidRPr="002661A8">
        <w:rPr>
          <w:rFonts w:ascii="Times New Roman" w:eastAsia="Times New Roman" w:hAnsi="Times New Roman" w:cs="Times New Roman"/>
          <w:noProof/>
          <w:sz w:val="24"/>
          <w:szCs w:val="24"/>
          <w:lang w:eastAsia="en-GB"/>
        </w:rPr>
        <w:t>requirements</w:t>
      </w:r>
      <w:r w:rsidR="004D6961" w:rsidRPr="002661A8">
        <w:rPr>
          <w:rFonts w:ascii="Times New Roman" w:eastAsia="Times New Roman" w:hAnsi="Times New Roman" w:cs="Times New Roman"/>
          <w:noProof/>
          <w:sz w:val="24"/>
          <w:szCs w:val="24"/>
          <w:lang w:eastAsia="en-GB"/>
        </w:rPr>
        <w:t>.</w:t>
      </w:r>
      <w:r w:rsidR="00CC7892" w:rsidRPr="002661A8">
        <w:rPr>
          <w:rFonts w:ascii="Times New Roman" w:eastAsia="Times New Roman" w:hAnsi="Times New Roman" w:cs="Times New Roman"/>
          <w:noProof/>
          <w:sz w:val="24"/>
          <w:szCs w:val="24"/>
          <w:lang w:eastAsia="en-GB"/>
        </w:rPr>
        <w:t xml:space="preserve"> </w:t>
      </w:r>
      <w:r w:rsidR="00F03620" w:rsidRPr="002661A8">
        <w:rPr>
          <w:rFonts w:ascii="Times New Roman" w:eastAsia="Times New Roman" w:hAnsi="Times New Roman" w:cs="Times New Roman"/>
          <w:noProof/>
          <w:sz w:val="24"/>
          <w:szCs w:val="24"/>
          <w:lang w:eastAsia="en-GB"/>
        </w:rPr>
        <w:t>In addition</w:t>
      </w:r>
      <w:r w:rsidR="004D6961" w:rsidRPr="002661A8">
        <w:rPr>
          <w:rFonts w:ascii="Times New Roman" w:eastAsia="Times New Roman" w:hAnsi="Times New Roman" w:cs="Times New Roman"/>
          <w:noProof/>
          <w:sz w:val="24"/>
          <w:szCs w:val="24"/>
          <w:lang w:eastAsia="en-GB"/>
        </w:rPr>
        <w:t>, since Brexit</w:t>
      </w:r>
      <w:r w:rsidR="00F03620" w:rsidRPr="002661A8">
        <w:rPr>
          <w:rFonts w:ascii="Times New Roman" w:eastAsia="Times New Roman" w:hAnsi="Times New Roman" w:cs="Times New Roman"/>
          <w:noProof/>
          <w:sz w:val="24"/>
          <w:szCs w:val="24"/>
          <w:lang w:eastAsia="en-GB"/>
        </w:rPr>
        <w:t>,</w:t>
      </w:r>
      <w:r w:rsidR="004D6961" w:rsidRPr="002661A8">
        <w:rPr>
          <w:rFonts w:ascii="Times New Roman" w:eastAsia="Times New Roman" w:hAnsi="Times New Roman" w:cs="Times New Roman"/>
          <w:noProof/>
          <w:sz w:val="24"/>
          <w:szCs w:val="24"/>
          <w:lang w:eastAsia="en-GB"/>
        </w:rPr>
        <w:t xml:space="preserve"> UK CCPs</w:t>
      </w:r>
      <w:r w:rsidR="00CC7892" w:rsidRPr="002661A8" w:rsidDel="004D6961">
        <w:rPr>
          <w:rFonts w:ascii="Times New Roman" w:eastAsia="Times New Roman" w:hAnsi="Times New Roman" w:cs="Times New Roman"/>
          <w:noProof/>
          <w:sz w:val="24"/>
          <w:szCs w:val="24"/>
          <w:lang w:eastAsia="en-GB"/>
        </w:rPr>
        <w:t xml:space="preserve"> </w:t>
      </w:r>
      <w:r w:rsidR="00CC7892" w:rsidRPr="002661A8">
        <w:rPr>
          <w:rFonts w:ascii="Times New Roman" w:eastAsia="Times New Roman" w:hAnsi="Times New Roman" w:cs="Times New Roman"/>
          <w:noProof/>
          <w:sz w:val="24"/>
          <w:szCs w:val="24"/>
          <w:lang w:eastAsia="en-GB"/>
        </w:rPr>
        <w:t>have</w:t>
      </w:r>
      <w:r w:rsidRPr="002661A8">
        <w:rPr>
          <w:rFonts w:ascii="Times New Roman" w:eastAsia="Times New Roman" w:hAnsi="Times New Roman" w:cs="Times New Roman"/>
          <w:noProof/>
          <w:sz w:val="24"/>
          <w:szCs w:val="24"/>
          <w:lang w:eastAsia="en-GB"/>
        </w:rPr>
        <w:t xml:space="preserve"> only one supervisor and </w:t>
      </w:r>
      <w:r w:rsidR="004D6961" w:rsidRPr="002661A8">
        <w:rPr>
          <w:rFonts w:ascii="Times New Roman" w:eastAsia="Times New Roman" w:hAnsi="Times New Roman" w:cs="Times New Roman"/>
          <w:noProof/>
          <w:sz w:val="24"/>
          <w:szCs w:val="24"/>
          <w:lang w:eastAsia="en-GB"/>
        </w:rPr>
        <w:t xml:space="preserve">there is </w:t>
      </w:r>
      <w:r w:rsidRPr="002661A8">
        <w:rPr>
          <w:rFonts w:ascii="Times New Roman" w:eastAsia="Times New Roman" w:hAnsi="Times New Roman" w:cs="Times New Roman"/>
          <w:noProof/>
          <w:sz w:val="24"/>
          <w:szCs w:val="24"/>
          <w:lang w:eastAsia="en-GB"/>
        </w:rPr>
        <w:t xml:space="preserve">no need to </w:t>
      </w:r>
      <w:r w:rsidR="000E490B" w:rsidRPr="002661A8">
        <w:rPr>
          <w:rFonts w:ascii="Times New Roman" w:eastAsia="Times New Roman" w:hAnsi="Times New Roman" w:cs="Times New Roman"/>
          <w:noProof/>
          <w:sz w:val="24"/>
          <w:szCs w:val="24"/>
          <w:lang w:eastAsia="en-GB"/>
        </w:rPr>
        <w:t xml:space="preserve">involve authorities from other Member States or </w:t>
      </w:r>
      <w:r w:rsidRPr="002661A8">
        <w:rPr>
          <w:rFonts w:ascii="Times New Roman" w:eastAsia="Times New Roman" w:hAnsi="Times New Roman" w:cs="Times New Roman"/>
          <w:noProof/>
          <w:sz w:val="24"/>
          <w:szCs w:val="24"/>
          <w:lang w:eastAsia="en-GB"/>
        </w:rPr>
        <w:t xml:space="preserve">refer to a </w:t>
      </w:r>
      <w:r w:rsidR="00144941" w:rsidRPr="002661A8">
        <w:rPr>
          <w:rFonts w:ascii="Times New Roman" w:eastAsia="Times New Roman" w:hAnsi="Times New Roman" w:cs="Times New Roman"/>
          <w:noProof/>
          <w:sz w:val="24"/>
          <w:szCs w:val="24"/>
          <w:lang w:eastAsia="en-GB"/>
        </w:rPr>
        <w:t>supranational</w:t>
      </w:r>
      <w:r w:rsidRPr="002661A8">
        <w:rPr>
          <w:rFonts w:ascii="Times New Roman" w:eastAsia="Times New Roman" w:hAnsi="Times New Roman" w:cs="Times New Roman"/>
          <w:noProof/>
          <w:sz w:val="24"/>
          <w:szCs w:val="24"/>
          <w:lang w:eastAsia="en-GB"/>
        </w:rPr>
        <w:t xml:space="preserve"> authority such as ESMA</w:t>
      </w:r>
      <w:r w:rsidR="00F03620" w:rsidRPr="002661A8">
        <w:rPr>
          <w:rFonts w:ascii="Times New Roman" w:eastAsia="Times New Roman" w:hAnsi="Times New Roman" w:cs="Times New Roman"/>
          <w:noProof/>
          <w:sz w:val="24"/>
          <w:szCs w:val="24"/>
          <w:lang w:eastAsia="en-GB"/>
        </w:rPr>
        <w:t>, rending</w:t>
      </w:r>
      <w:r w:rsidRPr="002661A8">
        <w:rPr>
          <w:rFonts w:ascii="Times New Roman" w:eastAsia="Times New Roman" w:hAnsi="Times New Roman" w:cs="Times New Roman"/>
          <w:noProof/>
          <w:sz w:val="24"/>
          <w:szCs w:val="24"/>
          <w:lang w:eastAsia="en-GB"/>
        </w:rPr>
        <w:t xml:space="preserve"> the decision-making process simpler and potentially faster.</w:t>
      </w:r>
    </w:p>
    <w:p w14:paraId="58709C62" w14:textId="0DCA0669" w:rsidR="00215E83" w:rsidRPr="002661A8" w:rsidRDefault="00FE77E5" w:rsidP="009F3588">
      <w:pPr>
        <w:spacing w:after="120" w:line="240" w:lineRule="auto"/>
        <w:jc w:val="both"/>
        <w:rPr>
          <w:rFonts w:ascii="Times New Roman" w:eastAsia="Times New Roman" w:hAnsi="Times New Roman" w:cs="Times New Roman"/>
          <w:noProof/>
          <w:sz w:val="24"/>
          <w:szCs w:val="24"/>
          <w:lang w:eastAsia="en-GB"/>
        </w:rPr>
      </w:pPr>
      <w:r w:rsidRPr="002661A8">
        <w:rPr>
          <w:rFonts w:ascii="Times New Roman" w:eastAsia="Times New Roman" w:hAnsi="Times New Roman" w:cs="Times New Roman"/>
          <w:noProof/>
          <w:sz w:val="24"/>
          <w:szCs w:val="24"/>
          <w:lang w:eastAsia="en-GB"/>
        </w:rPr>
        <w:t>Due to</w:t>
      </w:r>
      <w:r w:rsidR="0072351A" w:rsidRPr="002661A8">
        <w:rPr>
          <w:rFonts w:ascii="Times New Roman" w:eastAsia="Times New Roman" w:hAnsi="Times New Roman" w:cs="Times New Roman"/>
          <w:noProof/>
          <w:sz w:val="24"/>
          <w:szCs w:val="24"/>
          <w:lang w:eastAsia="en-GB"/>
        </w:rPr>
        <w:t xml:space="preserve"> the</w:t>
      </w:r>
      <w:r w:rsidR="00B41661" w:rsidRPr="002661A8">
        <w:rPr>
          <w:rFonts w:ascii="Times New Roman" w:eastAsia="Times New Roman" w:hAnsi="Times New Roman" w:cs="Times New Roman"/>
          <w:noProof/>
          <w:sz w:val="24"/>
          <w:szCs w:val="24"/>
          <w:lang w:eastAsia="en-GB"/>
        </w:rPr>
        <w:t>se</w:t>
      </w:r>
      <w:r w:rsidR="0072351A" w:rsidRPr="002661A8">
        <w:rPr>
          <w:rFonts w:ascii="Times New Roman" w:eastAsia="Times New Roman" w:hAnsi="Times New Roman" w:cs="Times New Roman"/>
          <w:noProof/>
          <w:sz w:val="24"/>
          <w:szCs w:val="24"/>
          <w:lang w:eastAsia="en-GB"/>
        </w:rPr>
        <w:t xml:space="preserve"> differences, third-country CCPs established in some jurisdictions are able to adapt faster to market developments, thus having a</w:t>
      </w:r>
      <w:r w:rsidR="00A03C76" w:rsidRPr="002661A8">
        <w:rPr>
          <w:rFonts w:ascii="Times New Roman" w:eastAsia="Times New Roman" w:hAnsi="Times New Roman" w:cs="Times New Roman"/>
          <w:noProof/>
          <w:sz w:val="24"/>
          <w:szCs w:val="24"/>
          <w:lang w:eastAsia="en-GB"/>
        </w:rPr>
        <w:t xml:space="preserve"> potential </w:t>
      </w:r>
      <w:r w:rsidR="0072351A" w:rsidRPr="002661A8">
        <w:rPr>
          <w:rFonts w:ascii="Times New Roman" w:eastAsia="Times New Roman" w:hAnsi="Times New Roman" w:cs="Times New Roman"/>
          <w:noProof/>
          <w:sz w:val="24"/>
          <w:szCs w:val="24"/>
          <w:lang w:eastAsia="en-GB"/>
        </w:rPr>
        <w:t>advantage over EU CCPs.</w:t>
      </w:r>
    </w:p>
    <w:p w14:paraId="68EF645A" w14:textId="3F144E8B" w:rsidR="00324F39" w:rsidRPr="002661A8" w:rsidRDefault="3FA542DF" w:rsidP="00ED5088">
      <w:pPr>
        <w:pStyle w:val="Heading1"/>
        <w:numPr>
          <w:ilvl w:val="2"/>
          <w:numId w:val="6"/>
        </w:numPr>
        <w:spacing w:before="0" w:after="120"/>
        <w:rPr>
          <w:b w:val="0"/>
          <w:i/>
          <w:smallCaps w:val="0"/>
          <w:noProof/>
        </w:rPr>
      </w:pPr>
      <w:bookmarkStart w:id="286" w:name="_Limited_participation_in"/>
      <w:bookmarkStart w:id="287" w:name="_Toc103337471"/>
      <w:bookmarkStart w:id="288" w:name="_Toc106827818"/>
      <w:bookmarkStart w:id="289" w:name="_Toc106981694"/>
      <w:bookmarkStart w:id="290" w:name="_Toc107493834"/>
      <w:bookmarkStart w:id="291" w:name="_Toc107497870"/>
      <w:bookmarkStart w:id="292" w:name="_Toc107503423"/>
      <w:bookmarkStart w:id="293" w:name="_Toc107504571"/>
      <w:bookmarkStart w:id="294" w:name="_Toc107505416"/>
      <w:bookmarkStart w:id="295" w:name="_Toc107838892"/>
      <w:bookmarkStart w:id="296" w:name="_Toc107846987"/>
      <w:bookmarkStart w:id="297" w:name="_Toc107849224"/>
      <w:bookmarkStart w:id="298" w:name="_Toc107853671"/>
      <w:bookmarkStart w:id="299" w:name="_Toc108418480"/>
      <w:bookmarkStart w:id="300" w:name="_Toc108539572"/>
      <w:bookmarkStart w:id="301" w:name="_Toc108539794"/>
      <w:bookmarkStart w:id="302" w:name="_Toc108539912"/>
      <w:bookmarkStart w:id="303" w:name="_Toc108539991"/>
      <w:bookmarkStart w:id="304" w:name="_Toc109057370"/>
      <w:bookmarkStart w:id="305" w:name="_Toc109120736"/>
      <w:bookmarkStart w:id="306" w:name="_Toc109122371"/>
      <w:bookmarkStart w:id="307" w:name="_Toc109124084"/>
      <w:bookmarkStart w:id="308" w:name="_Toc109133108"/>
      <w:bookmarkStart w:id="309" w:name="_Toc109133284"/>
      <w:bookmarkStart w:id="310" w:name="_Toc120291642"/>
      <w:bookmarkEnd w:id="286"/>
      <w:r w:rsidRPr="002661A8">
        <w:rPr>
          <w:b w:val="0"/>
          <w:i/>
          <w:smallCaps w:val="0"/>
          <w:noProof/>
        </w:rPr>
        <w:t>Limited participation in EU CCPs</w:t>
      </w:r>
      <w:r w:rsidR="00BA28C6" w:rsidRPr="002661A8">
        <w:rPr>
          <w:b w:val="0"/>
          <w:i/>
          <w:smallCaps w:val="0"/>
          <w:noProof/>
        </w:rPr>
        <w:t xml:space="preserve"> and concentration in incumbent CCPs</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450F0222" w14:textId="112CCA27" w:rsidR="00FE7AF3" w:rsidRPr="002661A8" w:rsidRDefault="00FE7AF3" w:rsidP="00FE7AF3">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Participation in UK-based CCPs by EU clearing members and clients is greater than that in EU CCPs, as shown in </w:t>
      </w:r>
      <w:hyperlink w:anchor="_Economic_context" w:history="1">
        <w:r w:rsidRPr="002661A8">
          <w:rPr>
            <w:rStyle w:val="Hyperlink"/>
            <w:rFonts w:ascii="Times New Roman" w:hAnsi="Times New Roman" w:cs="Times New Roman"/>
            <w:noProof/>
            <w:sz w:val="24"/>
            <w:szCs w:val="24"/>
          </w:rPr>
          <w:t>Section 2.1</w:t>
        </w:r>
      </w:hyperlink>
      <w:r w:rsidRPr="002661A8">
        <w:rPr>
          <w:rFonts w:ascii="Times New Roman" w:hAnsi="Times New Roman" w:cs="Times New Roman"/>
          <w:noProof/>
          <w:sz w:val="24"/>
          <w:szCs w:val="24"/>
        </w:rPr>
        <w:t xml:space="preserve">. </w:t>
      </w:r>
    </w:p>
    <w:p w14:paraId="6BD1BCAC" w14:textId="606030AC" w:rsidR="00FE7AF3" w:rsidRPr="002661A8" w:rsidRDefault="00FE7AF3" w:rsidP="00FE7AF3">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As more participants bring more transactions to CCPs, differences in participation lead to greater </w:t>
      </w:r>
      <w:r w:rsidRPr="002661A8">
        <w:rPr>
          <w:rFonts w:ascii="Times New Roman" w:hAnsi="Times New Roman" w:cs="Times New Roman"/>
          <w:b/>
          <w:noProof/>
          <w:sz w:val="24"/>
          <w:szCs w:val="24"/>
        </w:rPr>
        <w:t>liquidity</w:t>
      </w:r>
      <w:r w:rsidRPr="002661A8">
        <w:rPr>
          <w:rFonts w:ascii="Times New Roman" w:hAnsi="Times New Roman" w:cs="Times New Roman"/>
          <w:noProof/>
          <w:sz w:val="24"/>
          <w:szCs w:val="24"/>
        </w:rPr>
        <w:t xml:space="preserve"> at UK CCPs than at EU CCPs, which in turn undermines the attractiveness of EU CCPs as clearing participants</w:t>
      </w:r>
      <w:r w:rsidR="00003CC1" w:rsidRPr="002661A8">
        <w:rPr>
          <w:rFonts w:ascii="Times New Roman" w:hAnsi="Times New Roman" w:cs="Times New Roman"/>
          <w:noProof/>
          <w:sz w:val="24"/>
          <w:szCs w:val="24"/>
        </w:rPr>
        <w:t xml:space="preserve"> consider that liquidity ensures </w:t>
      </w:r>
      <w:r w:rsidR="007A3444">
        <w:rPr>
          <w:rFonts w:ascii="Times New Roman" w:hAnsi="Times New Roman" w:cs="Times New Roman"/>
          <w:noProof/>
          <w:sz w:val="24"/>
          <w:szCs w:val="24"/>
        </w:rPr>
        <w:t xml:space="preserve">an effective market with less volatility, </w:t>
      </w:r>
      <w:r w:rsidR="007A3444" w:rsidRPr="007A3444">
        <w:rPr>
          <w:rFonts w:ascii="Times New Roman" w:hAnsi="Times New Roman" w:cs="Times New Roman"/>
          <w:noProof/>
          <w:sz w:val="24"/>
          <w:szCs w:val="24"/>
        </w:rPr>
        <w:t>tighter spreads</w:t>
      </w:r>
      <w:r w:rsidR="007A3444">
        <w:rPr>
          <w:rFonts w:ascii="Times New Roman" w:hAnsi="Times New Roman" w:cs="Times New Roman"/>
          <w:noProof/>
          <w:sz w:val="24"/>
          <w:szCs w:val="24"/>
        </w:rPr>
        <w:t xml:space="preserve"> and </w:t>
      </w:r>
      <w:r w:rsidR="008013EB">
        <w:rPr>
          <w:rFonts w:ascii="Times New Roman" w:hAnsi="Times New Roman" w:cs="Times New Roman"/>
          <w:noProof/>
          <w:sz w:val="24"/>
          <w:szCs w:val="24"/>
        </w:rPr>
        <w:t xml:space="preserve">more </w:t>
      </w:r>
      <w:r w:rsidR="007A3444">
        <w:rPr>
          <w:rFonts w:ascii="Times New Roman" w:hAnsi="Times New Roman" w:cs="Times New Roman"/>
          <w:noProof/>
          <w:sz w:val="24"/>
          <w:szCs w:val="24"/>
        </w:rPr>
        <w:t>stable</w:t>
      </w:r>
      <w:r w:rsidR="00003CC1" w:rsidRPr="002661A8">
        <w:rPr>
          <w:rFonts w:ascii="Times New Roman" w:hAnsi="Times New Roman" w:cs="Times New Roman"/>
          <w:noProof/>
          <w:sz w:val="24"/>
          <w:szCs w:val="24"/>
        </w:rPr>
        <w:t xml:space="preserve"> prices and the ability to unwind positions at the lowest possible cost if need be</w:t>
      </w:r>
      <w:r w:rsidRPr="002661A8">
        <w:rPr>
          <w:rFonts w:ascii="Times New Roman" w:hAnsi="Times New Roman" w:cs="Times New Roman"/>
          <w:noProof/>
          <w:sz w:val="24"/>
          <w:szCs w:val="24"/>
        </w:rPr>
        <w:t>.</w:t>
      </w:r>
      <w:r w:rsidRPr="002661A8">
        <w:rPr>
          <w:rStyle w:val="FootnoteReference"/>
          <w:rFonts w:ascii="Times New Roman" w:hAnsi="Times New Roman" w:cs="Times New Roman"/>
          <w:noProof/>
          <w:sz w:val="24"/>
          <w:szCs w:val="24"/>
        </w:rPr>
        <w:footnoteReference w:id="90"/>
      </w:r>
      <w:r w:rsidRPr="002661A8">
        <w:rPr>
          <w:rFonts w:ascii="Times New Roman" w:hAnsi="Times New Roman" w:cs="Times New Roman"/>
          <w:noProof/>
          <w:sz w:val="24"/>
          <w:szCs w:val="24"/>
        </w:rPr>
        <w:t xml:space="preserve"> </w:t>
      </w:r>
      <w:r w:rsidR="00083D7E" w:rsidRPr="002661A8">
        <w:rPr>
          <w:rFonts w:ascii="Times New Roman" w:hAnsi="Times New Roman" w:cs="Times New Roman"/>
          <w:noProof/>
          <w:sz w:val="24"/>
          <w:szCs w:val="24"/>
        </w:rPr>
        <w:t>In turn</w:t>
      </w:r>
      <w:r w:rsidRPr="002661A8">
        <w:rPr>
          <w:rFonts w:ascii="Times New Roman" w:hAnsi="Times New Roman" w:cs="Times New Roman"/>
          <w:noProof/>
          <w:sz w:val="24"/>
          <w:szCs w:val="24"/>
        </w:rPr>
        <w:t xml:space="preserve">, the more limited demand for clearing services at EU CCPs acts as a disincentive to develop and broaden their </w:t>
      </w:r>
      <w:r w:rsidRPr="002661A8">
        <w:rPr>
          <w:rFonts w:ascii="Times New Roman" w:hAnsi="Times New Roman" w:cs="Times New Roman"/>
          <w:b/>
          <w:noProof/>
          <w:sz w:val="24"/>
          <w:szCs w:val="24"/>
        </w:rPr>
        <w:t xml:space="preserve">product offering, </w:t>
      </w:r>
      <w:r w:rsidRPr="002661A8">
        <w:rPr>
          <w:rFonts w:ascii="Times New Roman" w:hAnsi="Times New Roman" w:cs="Times New Roman"/>
          <w:noProof/>
          <w:sz w:val="24"/>
          <w:szCs w:val="24"/>
        </w:rPr>
        <w:t xml:space="preserve">contributing to the demand and supply-side problems. </w:t>
      </w:r>
    </w:p>
    <w:p w14:paraId="0AA0D72F" w14:textId="2BC530B8" w:rsidR="0053793F" w:rsidRPr="002661A8" w:rsidRDefault="00FE7AF3" w:rsidP="009367D4">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There are </w:t>
      </w:r>
      <w:r w:rsidR="009367D4" w:rsidRPr="002661A8">
        <w:rPr>
          <w:rFonts w:ascii="Times New Roman" w:hAnsi="Times New Roman" w:cs="Times New Roman"/>
          <w:noProof/>
          <w:sz w:val="24"/>
          <w:szCs w:val="24"/>
        </w:rPr>
        <w:t xml:space="preserve">three </w:t>
      </w:r>
      <w:r w:rsidRPr="002661A8">
        <w:rPr>
          <w:rFonts w:ascii="Times New Roman" w:hAnsi="Times New Roman" w:cs="Times New Roman"/>
          <w:noProof/>
          <w:sz w:val="24"/>
          <w:szCs w:val="24"/>
        </w:rPr>
        <w:t xml:space="preserve">main </w:t>
      </w:r>
      <w:r w:rsidRPr="002661A8">
        <w:rPr>
          <w:rFonts w:ascii="Times New Roman" w:hAnsi="Times New Roman" w:cs="Times New Roman"/>
          <w:b/>
          <w:noProof/>
          <w:sz w:val="24"/>
          <w:szCs w:val="24"/>
        </w:rPr>
        <w:t>reasons</w:t>
      </w:r>
      <w:r w:rsidRPr="002661A8">
        <w:rPr>
          <w:rFonts w:ascii="Times New Roman" w:hAnsi="Times New Roman" w:cs="Times New Roman"/>
          <w:noProof/>
          <w:sz w:val="24"/>
          <w:szCs w:val="24"/>
        </w:rPr>
        <w:t xml:space="preserve"> why the bulk of the activity in interest rate derivatives of EU clearing members and clients takes place in UK CCPs:</w:t>
      </w:r>
    </w:p>
    <w:p w14:paraId="6A55143E" w14:textId="52E6EA06" w:rsidR="0053793F" w:rsidRPr="002661A8" w:rsidRDefault="00FE7AF3" w:rsidP="00934309">
      <w:pPr>
        <w:spacing w:after="120" w:line="240" w:lineRule="auto"/>
        <w:jc w:val="both"/>
        <w:rPr>
          <w:rFonts w:ascii="Times New Roman" w:eastAsia="Times New Roman" w:hAnsi="Times New Roman" w:cs="Times New Roman"/>
          <w:noProof/>
          <w:sz w:val="24"/>
          <w:szCs w:val="24"/>
          <w:lang w:eastAsia="en-GB"/>
        </w:rPr>
      </w:pPr>
      <w:r w:rsidRPr="002661A8">
        <w:rPr>
          <w:rFonts w:ascii="Times New Roman" w:hAnsi="Times New Roman" w:cs="Times New Roman"/>
          <w:b/>
          <w:noProof/>
          <w:sz w:val="24"/>
          <w:szCs w:val="24"/>
        </w:rPr>
        <w:t>First</w:t>
      </w:r>
      <w:r w:rsidRPr="002661A8">
        <w:rPr>
          <w:rFonts w:ascii="Times New Roman" w:hAnsi="Times New Roman" w:cs="Times New Roman"/>
          <w:noProof/>
          <w:sz w:val="24"/>
          <w:szCs w:val="24"/>
        </w:rPr>
        <w:t xml:space="preserve">, clearing tends to be a </w:t>
      </w:r>
      <w:r w:rsidRPr="002661A8">
        <w:rPr>
          <w:rFonts w:ascii="Times New Roman" w:hAnsi="Times New Roman" w:cs="Times New Roman"/>
          <w:b/>
          <w:noProof/>
          <w:sz w:val="24"/>
          <w:szCs w:val="24"/>
        </w:rPr>
        <w:t>concentrated business</w:t>
      </w:r>
      <w:r w:rsidRPr="002661A8">
        <w:rPr>
          <w:rFonts w:ascii="Times New Roman" w:hAnsi="Times New Roman" w:cs="Times New Roman"/>
          <w:noProof/>
          <w:sz w:val="24"/>
          <w:szCs w:val="24"/>
        </w:rPr>
        <w:t xml:space="preserve">, based on economies of scale and scope: </w:t>
      </w:r>
      <w:r w:rsidRPr="002661A8" w:rsidDel="00CC0EB2">
        <w:rPr>
          <w:rFonts w:ascii="Times New Roman" w:hAnsi="Times New Roman" w:cs="Times New Roman"/>
          <w:noProof/>
          <w:sz w:val="24"/>
          <w:szCs w:val="24"/>
        </w:rPr>
        <w:t>the greater the</w:t>
      </w:r>
      <w:r w:rsidRPr="002661A8" w:rsidDel="00CC0EB2">
        <w:rPr>
          <w:rFonts w:ascii="Times New Roman" w:hAnsi="Times New Roman" w:cs="Times New Roman"/>
          <w:b/>
          <w:noProof/>
          <w:sz w:val="24"/>
          <w:szCs w:val="24"/>
        </w:rPr>
        <w:t xml:space="preserve"> </w:t>
      </w:r>
      <w:r w:rsidRPr="002661A8">
        <w:rPr>
          <w:rFonts w:ascii="Times New Roman" w:hAnsi="Times New Roman" w:cs="Times New Roman"/>
          <w:noProof/>
          <w:sz w:val="24"/>
          <w:szCs w:val="24"/>
        </w:rPr>
        <w:t xml:space="preserve">netting opportunities provided by a given CCP, the more it is attractive as a location for clearing. </w:t>
      </w:r>
      <w:r w:rsidR="0053793F" w:rsidRPr="002661A8">
        <w:rPr>
          <w:rFonts w:ascii="Times New Roman" w:hAnsi="Times New Roman" w:cs="Times New Roman"/>
          <w:noProof/>
          <w:sz w:val="24"/>
          <w:szCs w:val="24"/>
          <w:lang w:eastAsia="en-GB"/>
        </w:rPr>
        <w:t>Portfolio netting th</w:t>
      </w:r>
      <w:r w:rsidR="0072351A" w:rsidRPr="002661A8">
        <w:rPr>
          <w:rFonts w:ascii="Times New Roman" w:hAnsi="Times New Roman" w:cs="Times New Roman"/>
          <w:noProof/>
          <w:sz w:val="24"/>
          <w:szCs w:val="24"/>
          <w:lang w:eastAsia="en-GB"/>
        </w:rPr>
        <w:t>r</w:t>
      </w:r>
      <w:r w:rsidR="0053793F" w:rsidRPr="002661A8">
        <w:rPr>
          <w:rFonts w:ascii="Times New Roman" w:hAnsi="Times New Roman" w:cs="Times New Roman"/>
          <w:noProof/>
          <w:sz w:val="24"/>
          <w:szCs w:val="24"/>
          <w:lang w:eastAsia="en-GB"/>
        </w:rPr>
        <w:t>ough CCPs allows both parties to hold lower margins – either by bulking together the same type of products (e.g. interest rate swaps) referencing different currencies</w:t>
      </w:r>
      <w:r w:rsidR="00DB2389">
        <w:rPr>
          <w:rFonts w:ascii="Times New Roman" w:hAnsi="Times New Roman" w:cs="Times New Roman"/>
          <w:noProof/>
          <w:sz w:val="24"/>
          <w:szCs w:val="24"/>
          <w:lang w:eastAsia="en-GB"/>
        </w:rPr>
        <w:t xml:space="preserve"> (</w:t>
      </w:r>
      <w:r w:rsidR="00DB2389" w:rsidRPr="002661A8">
        <w:rPr>
          <w:rFonts w:ascii="Times New Roman" w:hAnsi="Times New Roman" w:cs="Times New Roman"/>
          <w:b/>
          <w:noProof/>
          <w:sz w:val="24"/>
          <w:szCs w:val="24"/>
          <w:lang w:eastAsia="en-GB"/>
        </w:rPr>
        <w:t>cross-currency margining</w:t>
      </w:r>
      <w:r w:rsidR="00DB2389">
        <w:rPr>
          <w:rFonts w:ascii="Times New Roman" w:hAnsi="Times New Roman" w:cs="Times New Roman"/>
          <w:b/>
          <w:noProof/>
          <w:sz w:val="24"/>
          <w:szCs w:val="24"/>
          <w:lang w:eastAsia="en-GB"/>
        </w:rPr>
        <w:t>)</w:t>
      </w:r>
      <w:r w:rsidR="0053793F" w:rsidRPr="002661A8">
        <w:rPr>
          <w:rFonts w:ascii="Times New Roman" w:hAnsi="Times New Roman" w:cs="Times New Roman"/>
          <w:noProof/>
          <w:sz w:val="24"/>
          <w:szCs w:val="24"/>
          <w:lang w:eastAsia="en-GB"/>
        </w:rPr>
        <w:t>, or by grouping together different products (e.g. interest rate swaps, interest rate futures and repos) denominated in the same currency</w:t>
      </w:r>
      <w:r w:rsidR="00DB2389">
        <w:rPr>
          <w:rFonts w:ascii="Times New Roman" w:hAnsi="Times New Roman" w:cs="Times New Roman"/>
          <w:noProof/>
          <w:sz w:val="24"/>
          <w:szCs w:val="24"/>
          <w:lang w:eastAsia="en-GB"/>
        </w:rPr>
        <w:t xml:space="preserve"> (</w:t>
      </w:r>
      <w:r w:rsidR="0053793F" w:rsidRPr="002661A8">
        <w:rPr>
          <w:rFonts w:ascii="Times New Roman" w:hAnsi="Times New Roman" w:cs="Times New Roman"/>
          <w:b/>
          <w:noProof/>
          <w:sz w:val="24"/>
          <w:szCs w:val="24"/>
          <w:lang w:eastAsia="en-GB"/>
        </w:rPr>
        <w:t>cross-product margining</w:t>
      </w:r>
      <w:r w:rsidR="00DB2389">
        <w:rPr>
          <w:rFonts w:ascii="Times New Roman" w:hAnsi="Times New Roman" w:cs="Times New Roman"/>
          <w:b/>
          <w:noProof/>
          <w:sz w:val="24"/>
          <w:szCs w:val="24"/>
          <w:lang w:eastAsia="en-GB"/>
        </w:rPr>
        <w:t>)</w:t>
      </w:r>
      <w:r w:rsidR="0053793F" w:rsidRPr="002661A8">
        <w:rPr>
          <w:rFonts w:ascii="Times New Roman" w:hAnsi="Times New Roman" w:cs="Times New Roman"/>
          <w:noProof/>
          <w:sz w:val="24"/>
          <w:szCs w:val="24"/>
          <w:lang w:eastAsia="en-GB"/>
        </w:rPr>
        <w:t>.</w:t>
      </w:r>
      <w:r w:rsidR="00AC6085" w:rsidRPr="002661A8">
        <w:rPr>
          <w:rFonts w:ascii="Times New Roman" w:hAnsi="Times New Roman" w:cs="Times New Roman"/>
          <w:noProof/>
          <w:sz w:val="24"/>
          <w:szCs w:val="24"/>
          <w:lang w:eastAsia="en-GB"/>
        </w:rPr>
        <w:t xml:space="preserve"> </w:t>
      </w:r>
      <w:r w:rsidR="0053793F" w:rsidRPr="002661A8">
        <w:rPr>
          <w:rFonts w:ascii="Times New Roman" w:eastAsia="Times New Roman" w:hAnsi="Times New Roman" w:cs="Times New Roman"/>
          <w:noProof/>
          <w:sz w:val="24"/>
          <w:szCs w:val="24"/>
          <w:lang w:eastAsia="en-GB"/>
        </w:rPr>
        <w:t>Most CCPs provide portfolio margining services based on cross-currency correlations, while some CCPs, e.g. some EU ones competing in interest rate derivatives, provide portfolio margining based on cross-product correlations.</w:t>
      </w:r>
      <w:r w:rsidR="0053793F" w:rsidRPr="002661A8">
        <w:rPr>
          <w:rStyle w:val="FootnoteReference"/>
          <w:rFonts w:ascii="Times New Roman" w:eastAsia="Times New Roman" w:hAnsi="Times New Roman" w:cs="Times New Roman"/>
          <w:noProof/>
          <w:sz w:val="24"/>
          <w:szCs w:val="24"/>
          <w:lang w:eastAsia="en-GB"/>
        </w:rPr>
        <w:footnoteReference w:id="91"/>
      </w:r>
      <w:r w:rsidR="0053793F" w:rsidRPr="002661A8">
        <w:rPr>
          <w:rFonts w:ascii="Times New Roman" w:eastAsia="Times New Roman" w:hAnsi="Times New Roman" w:cs="Times New Roman"/>
          <w:noProof/>
          <w:sz w:val="24"/>
          <w:szCs w:val="24"/>
          <w:lang w:eastAsia="en-GB"/>
        </w:rPr>
        <w:t xml:space="preserve"> </w:t>
      </w:r>
      <w:r w:rsidR="0053793F" w:rsidRPr="002661A8">
        <w:rPr>
          <w:rFonts w:ascii="Times New Roman" w:hAnsi="Times New Roman" w:cs="Times New Roman"/>
          <w:noProof/>
          <w:sz w:val="24"/>
          <w:szCs w:val="24"/>
        </w:rPr>
        <w:t xml:space="preserve">For example, LCH Ltd offers netting opportunities for the same product across different currencies, while Eurex Clearing offers netting in the same currency but across different products. </w:t>
      </w:r>
      <w:r w:rsidR="0053793F" w:rsidRPr="002661A8">
        <w:rPr>
          <w:rFonts w:ascii="Times New Roman" w:eastAsia="Times New Roman" w:hAnsi="Times New Roman" w:cs="Times New Roman"/>
          <w:noProof/>
          <w:sz w:val="24"/>
          <w:szCs w:val="24"/>
          <w:lang w:eastAsia="en-GB"/>
        </w:rPr>
        <w:t>Cross-currency and cross-product margining are allowed under EMIR. These different approaches make it difficult for clearing members and clients to compare the different CCPs</w:t>
      </w:r>
      <w:r w:rsidR="0072351A" w:rsidRPr="002661A8">
        <w:rPr>
          <w:rFonts w:ascii="Times New Roman" w:eastAsia="Times New Roman" w:hAnsi="Times New Roman" w:cs="Times New Roman"/>
          <w:noProof/>
          <w:sz w:val="24"/>
          <w:szCs w:val="24"/>
          <w:lang w:eastAsia="en-GB"/>
        </w:rPr>
        <w:t>’</w:t>
      </w:r>
      <w:r w:rsidR="0053793F" w:rsidRPr="002661A8">
        <w:rPr>
          <w:rFonts w:ascii="Times New Roman" w:eastAsia="Times New Roman" w:hAnsi="Times New Roman" w:cs="Times New Roman"/>
          <w:noProof/>
          <w:sz w:val="24"/>
          <w:szCs w:val="24"/>
          <w:lang w:eastAsia="en-GB"/>
        </w:rPr>
        <w:t>, e.g. netting efficiency.</w:t>
      </w:r>
    </w:p>
    <w:p w14:paraId="4C3C0401" w14:textId="22143CD0" w:rsidR="0053793F" w:rsidRPr="002661A8" w:rsidRDefault="0053793F" w:rsidP="00934309">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lang w:eastAsia="en-GB"/>
        </w:rPr>
        <w:t xml:space="preserve">Netting possibilities give rise to significant network effects which drive market participants to pool their clearing activities in one CCP. As mentioned by most banks acting as direct clearing members in the </w:t>
      </w:r>
      <w:r w:rsidR="0072351A" w:rsidRPr="002661A8">
        <w:rPr>
          <w:rFonts w:ascii="Times New Roman" w:hAnsi="Times New Roman" w:cs="Times New Roman"/>
          <w:noProof/>
          <w:sz w:val="24"/>
          <w:szCs w:val="24"/>
          <w:lang w:eastAsia="en-GB"/>
        </w:rPr>
        <w:t>targeted</w:t>
      </w:r>
      <w:r w:rsidRPr="002661A8">
        <w:rPr>
          <w:rFonts w:ascii="Times New Roman" w:hAnsi="Times New Roman" w:cs="Times New Roman"/>
          <w:noProof/>
          <w:sz w:val="24"/>
          <w:szCs w:val="24"/>
          <w:lang w:eastAsia="en-GB"/>
        </w:rPr>
        <w:t xml:space="preserve"> consultation, the </w:t>
      </w:r>
      <w:r w:rsidRPr="002661A8">
        <w:rPr>
          <w:rFonts w:ascii="Times New Roman" w:hAnsi="Times New Roman" w:cs="Times New Roman"/>
          <w:b/>
          <w:noProof/>
          <w:sz w:val="24"/>
          <w:szCs w:val="24"/>
          <w:lang w:eastAsia="en-GB"/>
        </w:rPr>
        <w:t>netting advantage in terms of reduced margin requirements is a much more decisive factor for market participants’ choice of a CCP than the respective direct costs of clearing</w:t>
      </w:r>
      <w:r w:rsidRPr="002661A8">
        <w:rPr>
          <w:rFonts w:ascii="Times New Roman" w:hAnsi="Times New Roman" w:cs="Times New Roman"/>
          <w:noProof/>
          <w:sz w:val="24"/>
          <w:szCs w:val="24"/>
          <w:lang w:eastAsia="en-GB"/>
        </w:rPr>
        <w:t>.</w:t>
      </w:r>
    </w:p>
    <w:p w14:paraId="6C1EB1A3" w14:textId="1D5F5B8B" w:rsidR="0053793F" w:rsidRPr="002661A8" w:rsidRDefault="00FE7AF3" w:rsidP="00934309">
      <w:pPr>
        <w:spacing w:after="120" w:line="240" w:lineRule="auto"/>
        <w:jc w:val="both"/>
        <w:rPr>
          <w:rFonts w:ascii="Times New Roman" w:hAnsi="Times New Roman" w:cs="Times New Roman"/>
          <w:noProof/>
          <w:sz w:val="24"/>
          <w:szCs w:val="24"/>
        </w:rPr>
      </w:pPr>
      <w:r w:rsidRPr="002661A8">
        <w:rPr>
          <w:rFonts w:ascii="Times New Roman" w:hAnsi="Times New Roman" w:cs="Times New Roman"/>
          <w:b/>
          <w:noProof/>
          <w:sz w:val="24"/>
          <w:szCs w:val="24"/>
        </w:rPr>
        <w:t>Second</w:t>
      </w:r>
      <w:r w:rsidRPr="002661A8">
        <w:rPr>
          <w:rFonts w:ascii="Times New Roman" w:hAnsi="Times New Roman" w:cs="Times New Roman"/>
          <w:noProof/>
          <w:sz w:val="24"/>
          <w:szCs w:val="24"/>
        </w:rPr>
        <w:t xml:space="preserve">, stakeholders </w:t>
      </w:r>
      <w:r w:rsidR="00415E8A" w:rsidRPr="002661A8">
        <w:rPr>
          <w:rFonts w:ascii="Times New Roman" w:hAnsi="Times New Roman" w:cs="Times New Roman"/>
          <w:noProof/>
          <w:sz w:val="24"/>
          <w:szCs w:val="24"/>
        </w:rPr>
        <w:t>stated</w:t>
      </w:r>
      <w:r w:rsidR="00B43B9E">
        <w:rPr>
          <w:rFonts w:ascii="Times New Roman" w:hAnsi="Times New Roman" w:cs="Times New Roman"/>
          <w:noProof/>
          <w:sz w:val="24"/>
          <w:szCs w:val="24"/>
        </w:rPr>
        <w:t xml:space="preserve"> that</w:t>
      </w:r>
      <w:r w:rsidR="00415E8A" w:rsidRPr="002661A8">
        <w:rPr>
          <w:rFonts w:ascii="Times New Roman" w:hAnsi="Times New Roman" w:cs="Times New Roman"/>
          <w:noProof/>
          <w:sz w:val="24"/>
          <w:szCs w:val="24"/>
        </w:rPr>
        <w:t xml:space="preserve"> </w:t>
      </w:r>
      <w:r w:rsidRPr="002661A8">
        <w:rPr>
          <w:rFonts w:ascii="Times New Roman" w:hAnsi="Times New Roman" w:cs="Times New Roman"/>
          <w:noProof/>
          <w:sz w:val="24"/>
          <w:szCs w:val="24"/>
        </w:rPr>
        <w:t xml:space="preserve">the </w:t>
      </w:r>
      <w:r w:rsidRPr="002661A8">
        <w:rPr>
          <w:rFonts w:ascii="Times New Roman" w:hAnsi="Times New Roman" w:cs="Times New Roman"/>
          <w:b/>
          <w:noProof/>
          <w:sz w:val="24"/>
          <w:szCs w:val="24"/>
        </w:rPr>
        <w:t>operational efficiency</w:t>
      </w:r>
      <w:r w:rsidRPr="002661A8">
        <w:rPr>
          <w:rFonts w:ascii="Times New Roman" w:hAnsi="Times New Roman" w:cs="Times New Roman"/>
          <w:noProof/>
          <w:sz w:val="24"/>
          <w:szCs w:val="24"/>
        </w:rPr>
        <w:t xml:space="preserve"> of a CCP </w:t>
      </w:r>
      <w:r w:rsidR="00415E8A" w:rsidRPr="002661A8">
        <w:rPr>
          <w:rFonts w:ascii="Times New Roman" w:hAnsi="Times New Roman" w:cs="Times New Roman"/>
          <w:noProof/>
          <w:sz w:val="24"/>
          <w:szCs w:val="24"/>
        </w:rPr>
        <w:t xml:space="preserve">was </w:t>
      </w:r>
      <w:r w:rsidRPr="002661A8">
        <w:rPr>
          <w:rFonts w:ascii="Times New Roman" w:hAnsi="Times New Roman" w:cs="Times New Roman"/>
          <w:noProof/>
          <w:sz w:val="24"/>
          <w:szCs w:val="24"/>
        </w:rPr>
        <w:t>a key factor in their choices where to clear</w:t>
      </w:r>
      <w:r w:rsidR="00DE0720" w:rsidRPr="002661A8">
        <w:rPr>
          <w:rFonts w:ascii="Times New Roman" w:hAnsi="Times New Roman" w:cs="Times New Roman"/>
          <w:noProof/>
          <w:sz w:val="24"/>
          <w:szCs w:val="24"/>
        </w:rPr>
        <w:t>.</w:t>
      </w:r>
      <w:r w:rsidR="008E6CC0" w:rsidRPr="002661A8">
        <w:rPr>
          <w:rStyle w:val="FootnoteReference"/>
          <w:rFonts w:ascii="Times New Roman" w:hAnsi="Times New Roman" w:cs="Times New Roman"/>
          <w:noProof/>
          <w:sz w:val="24"/>
          <w:szCs w:val="24"/>
        </w:rPr>
        <w:footnoteReference w:id="92"/>
      </w:r>
      <w:r w:rsidRPr="002661A8">
        <w:rPr>
          <w:rFonts w:ascii="Times New Roman" w:hAnsi="Times New Roman" w:cs="Times New Roman"/>
          <w:noProof/>
          <w:sz w:val="24"/>
          <w:szCs w:val="24"/>
        </w:rPr>
        <w:t xml:space="preserve"> In this regard, it has been mentioned that EU CCPs should improve</w:t>
      </w:r>
      <w:r w:rsidRPr="002661A8" w:rsidDel="004E10F0">
        <w:rPr>
          <w:rFonts w:ascii="Times New Roman" w:hAnsi="Times New Roman" w:cs="Times New Roman"/>
          <w:noProof/>
          <w:sz w:val="24"/>
          <w:szCs w:val="24"/>
        </w:rPr>
        <w:t xml:space="preserve"> </w:t>
      </w:r>
      <w:r w:rsidRPr="002661A8">
        <w:rPr>
          <w:rFonts w:ascii="Times New Roman" w:hAnsi="Times New Roman" w:cs="Times New Roman"/>
          <w:noProof/>
          <w:sz w:val="24"/>
          <w:szCs w:val="24"/>
        </w:rPr>
        <w:t xml:space="preserve">the procedures to accept new participants to make them comparable to </w:t>
      </w:r>
      <w:r w:rsidR="00415E8A" w:rsidRPr="002661A8">
        <w:rPr>
          <w:rFonts w:ascii="Times New Roman" w:hAnsi="Times New Roman" w:cs="Times New Roman"/>
          <w:noProof/>
          <w:sz w:val="24"/>
          <w:szCs w:val="24"/>
        </w:rPr>
        <w:t>those</w:t>
      </w:r>
      <w:r w:rsidRPr="002661A8">
        <w:rPr>
          <w:rFonts w:ascii="Times New Roman" w:hAnsi="Times New Roman" w:cs="Times New Roman"/>
          <w:noProof/>
          <w:sz w:val="24"/>
          <w:szCs w:val="24"/>
        </w:rPr>
        <w:t xml:space="preserve"> offered </w:t>
      </w:r>
      <w:r w:rsidR="00415E8A" w:rsidRPr="002661A8">
        <w:rPr>
          <w:rFonts w:ascii="Times New Roman" w:hAnsi="Times New Roman" w:cs="Times New Roman"/>
          <w:noProof/>
          <w:sz w:val="24"/>
          <w:szCs w:val="24"/>
        </w:rPr>
        <w:t xml:space="preserve">of </w:t>
      </w:r>
      <w:r w:rsidRPr="002661A8">
        <w:rPr>
          <w:rFonts w:ascii="Times New Roman" w:hAnsi="Times New Roman" w:cs="Times New Roman"/>
          <w:noProof/>
          <w:sz w:val="24"/>
          <w:szCs w:val="24"/>
        </w:rPr>
        <w:t xml:space="preserve">non-EU CCPs. </w:t>
      </w:r>
      <w:r w:rsidR="00A404BA" w:rsidRPr="002661A8">
        <w:rPr>
          <w:rFonts w:ascii="Times New Roman" w:hAnsi="Times New Roman" w:cs="Times New Roman"/>
          <w:noProof/>
          <w:sz w:val="24"/>
          <w:szCs w:val="24"/>
        </w:rPr>
        <w:t>A</w:t>
      </w:r>
      <w:r w:rsidRPr="002661A8">
        <w:rPr>
          <w:rFonts w:ascii="Times New Roman" w:hAnsi="Times New Roman" w:cs="Times New Roman"/>
          <w:noProof/>
          <w:sz w:val="24"/>
          <w:szCs w:val="24"/>
        </w:rPr>
        <w:t xml:space="preserve">ll things equal, if it takes double the time for a given participant to finalise all </w:t>
      </w:r>
      <w:r w:rsidR="002B5021" w:rsidRPr="002661A8">
        <w:rPr>
          <w:rFonts w:ascii="Times New Roman" w:hAnsi="Times New Roman" w:cs="Times New Roman"/>
          <w:noProof/>
          <w:sz w:val="24"/>
          <w:szCs w:val="24"/>
        </w:rPr>
        <w:t>the</w:t>
      </w:r>
      <w:r w:rsidRPr="002661A8">
        <w:rPr>
          <w:rFonts w:ascii="Times New Roman" w:hAnsi="Times New Roman" w:cs="Times New Roman"/>
          <w:noProof/>
          <w:sz w:val="24"/>
          <w:szCs w:val="24"/>
        </w:rPr>
        <w:t xml:space="preserve"> checks and paperwork to access an EU CCP than it would take to access a non-EU CCP offering the same services, that participant is likely to favour the CCP where it is easier and faster to start clearing. Also, some stakeholders mentioned that greater efficiency is needed in the procedures which are now in place to ensure that, in case a clearing member defaults, its clients’ positions are successfully transferred to another clearing member.</w:t>
      </w:r>
      <w:r w:rsidR="005A3374" w:rsidRPr="002661A8">
        <w:rPr>
          <w:rStyle w:val="FootnoteReference"/>
          <w:rFonts w:ascii="Times New Roman" w:hAnsi="Times New Roman" w:cs="Times New Roman"/>
          <w:noProof/>
          <w:sz w:val="24"/>
          <w:szCs w:val="24"/>
        </w:rPr>
        <w:footnoteReference w:id="93"/>
      </w:r>
    </w:p>
    <w:p w14:paraId="2A17EA1F" w14:textId="3CA04D1D" w:rsidR="004C492F" w:rsidRDefault="00FE7AF3" w:rsidP="00934309">
      <w:pPr>
        <w:spacing w:after="120" w:line="240" w:lineRule="auto"/>
        <w:jc w:val="both"/>
        <w:rPr>
          <w:rFonts w:ascii="Times New Roman" w:hAnsi="Times New Roman" w:cs="Times New Roman"/>
          <w:noProof/>
          <w:sz w:val="24"/>
          <w:szCs w:val="24"/>
        </w:rPr>
      </w:pPr>
      <w:r w:rsidRPr="002661A8">
        <w:rPr>
          <w:rFonts w:ascii="Times New Roman" w:hAnsi="Times New Roman" w:cs="Times New Roman"/>
          <w:b/>
          <w:noProof/>
          <w:sz w:val="24"/>
          <w:szCs w:val="24"/>
        </w:rPr>
        <w:t>Third</w:t>
      </w:r>
      <w:r w:rsidRPr="002661A8">
        <w:rPr>
          <w:rFonts w:ascii="Times New Roman" w:hAnsi="Times New Roman" w:cs="Times New Roman"/>
          <w:noProof/>
          <w:sz w:val="24"/>
          <w:szCs w:val="24"/>
        </w:rPr>
        <w:t xml:space="preserve">, </w:t>
      </w:r>
      <w:r w:rsidR="00137C79" w:rsidRPr="002661A8">
        <w:rPr>
          <w:rFonts w:ascii="Times New Roman" w:hAnsi="Times New Roman" w:cs="Times New Roman"/>
          <w:noProof/>
          <w:sz w:val="24"/>
          <w:szCs w:val="24"/>
        </w:rPr>
        <w:t xml:space="preserve">considerations around </w:t>
      </w:r>
      <w:r w:rsidR="00137C79" w:rsidRPr="002661A8">
        <w:rPr>
          <w:rFonts w:ascii="Times New Roman" w:hAnsi="Times New Roman" w:cs="Times New Roman"/>
          <w:b/>
          <w:noProof/>
          <w:sz w:val="24"/>
          <w:szCs w:val="24"/>
        </w:rPr>
        <w:t>liquidity</w:t>
      </w:r>
      <w:r w:rsidR="00137C79" w:rsidRPr="002661A8">
        <w:rPr>
          <w:rFonts w:ascii="Times New Roman" w:hAnsi="Times New Roman" w:cs="Times New Roman"/>
          <w:noProof/>
          <w:sz w:val="24"/>
          <w:szCs w:val="24"/>
        </w:rPr>
        <w:t xml:space="preserve"> </w:t>
      </w:r>
      <w:r w:rsidRPr="002661A8">
        <w:rPr>
          <w:rFonts w:ascii="Times New Roman" w:hAnsi="Times New Roman" w:cs="Times New Roman"/>
          <w:noProof/>
          <w:sz w:val="24"/>
          <w:szCs w:val="24"/>
        </w:rPr>
        <w:t>are also key in driving participation</w:t>
      </w:r>
      <w:r w:rsidR="005A3374" w:rsidRPr="002661A8">
        <w:rPr>
          <w:rFonts w:ascii="Times New Roman" w:hAnsi="Times New Roman" w:cs="Times New Roman"/>
          <w:noProof/>
          <w:sz w:val="24"/>
          <w:szCs w:val="24"/>
        </w:rPr>
        <w:t xml:space="preserve"> </w:t>
      </w:r>
      <w:r w:rsidR="00A404BA" w:rsidRPr="002661A8">
        <w:rPr>
          <w:rFonts w:ascii="Times New Roman" w:hAnsi="Times New Roman" w:cs="Times New Roman"/>
          <w:noProof/>
          <w:sz w:val="24"/>
          <w:szCs w:val="24"/>
        </w:rPr>
        <w:t>as the more liquidity in a given CCP</w:t>
      </w:r>
      <w:r w:rsidR="004E10F0" w:rsidRPr="002661A8">
        <w:rPr>
          <w:rFonts w:ascii="Times New Roman" w:hAnsi="Times New Roman" w:cs="Times New Roman"/>
          <w:noProof/>
          <w:sz w:val="24"/>
          <w:szCs w:val="24"/>
        </w:rPr>
        <w:t>,</w:t>
      </w:r>
      <w:r w:rsidR="00A404BA" w:rsidRPr="002661A8">
        <w:rPr>
          <w:rFonts w:ascii="Times New Roman" w:hAnsi="Times New Roman" w:cs="Times New Roman"/>
          <w:noProof/>
          <w:sz w:val="24"/>
          <w:szCs w:val="24"/>
        </w:rPr>
        <w:t xml:space="preserve"> the cheape</w:t>
      </w:r>
      <w:r w:rsidR="009559B3" w:rsidRPr="002661A8">
        <w:rPr>
          <w:rFonts w:ascii="Times New Roman" w:hAnsi="Times New Roman" w:cs="Times New Roman"/>
          <w:noProof/>
          <w:sz w:val="24"/>
          <w:szCs w:val="24"/>
        </w:rPr>
        <w:t>r</w:t>
      </w:r>
      <w:r w:rsidR="00A404BA" w:rsidRPr="002661A8">
        <w:rPr>
          <w:rFonts w:ascii="Times New Roman" w:hAnsi="Times New Roman" w:cs="Times New Roman"/>
          <w:noProof/>
          <w:sz w:val="24"/>
          <w:szCs w:val="24"/>
        </w:rPr>
        <w:t xml:space="preserve"> it is to clear in it, all things equal</w:t>
      </w:r>
      <w:r w:rsidR="005A3374" w:rsidRPr="002661A8">
        <w:rPr>
          <w:rFonts w:ascii="Times New Roman" w:hAnsi="Times New Roman" w:cs="Times New Roman"/>
          <w:noProof/>
          <w:sz w:val="24"/>
          <w:szCs w:val="24"/>
        </w:rPr>
        <w:t>.</w:t>
      </w:r>
    </w:p>
    <w:p w14:paraId="5FABCB7A" w14:textId="1E374108" w:rsidR="008225CF" w:rsidRPr="00AE3935" w:rsidDel="00700657" w:rsidRDefault="008225CF" w:rsidP="008225CF">
      <w:pPr>
        <w:spacing w:after="120" w:line="240" w:lineRule="auto"/>
        <w:jc w:val="both"/>
        <w:rPr>
          <w:rFonts w:ascii="Times New Roman" w:hAnsi="Times New Roman" w:cs="Times New Roman"/>
          <w:noProof/>
          <w:sz w:val="24"/>
          <w:szCs w:val="24"/>
        </w:rPr>
      </w:pPr>
      <w:r w:rsidRPr="00AE3935" w:rsidDel="00700657">
        <w:rPr>
          <w:rFonts w:ascii="Times New Roman" w:hAnsi="Times New Roman" w:cs="Times New Roman"/>
          <w:noProof/>
          <w:sz w:val="24"/>
          <w:szCs w:val="24"/>
        </w:rPr>
        <w:t>In the meeting with Member States on 30 March 2022, Member States generally supported the overall objective to reduce exposures to Tier 2 CCPs,</w:t>
      </w:r>
      <w:r w:rsidRPr="00AE3935" w:rsidDel="00B43B9E">
        <w:rPr>
          <w:rFonts w:ascii="Times New Roman" w:hAnsi="Times New Roman" w:cs="Times New Roman"/>
          <w:noProof/>
          <w:sz w:val="24"/>
          <w:szCs w:val="24"/>
        </w:rPr>
        <w:t xml:space="preserve"> </w:t>
      </w:r>
      <w:r w:rsidR="00B43B9E">
        <w:rPr>
          <w:rFonts w:ascii="Times New Roman" w:hAnsi="Times New Roman" w:cs="Times New Roman"/>
          <w:noProof/>
          <w:sz w:val="24"/>
          <w:szCs w:val="24"/>
        </w:rPr>
        <w:t>with</w:t>
      </w:r>
      <w:r w:rsidR="00B43B9E" w:rsidRPr="00AE3935" w:rsidDel="00700657">
        <w:rPr>
          <w:rFonts w:ascii="Times New Roman" w:hAnsi="Times New Roman" w:cs="Times New Roman"/>
          <w:noProof/>
          <w:sz w:val="24"/>
          <w:szCs w:val="24"/>
        </w:rPr>
        <w:t xml:space="preserve"> </w:t>
      </w:r>
      <w:r w:rsidRPr="00AE3935" w:rsidDel="00700657">
        <w:rPr>
          <w:rFonts w:ascii="Times New Roman" w:hAnsi="Times New Roman" w:cs="Times New Roman"/>
          <w:noProof/>
          <w:sz w:val="24"/>
          <w:szCs w:val="24"/>
        </w:rPr>
        <w:t>three ask</w:t>
      </w:r>
      <w:r w:rsidR="00B43B9E">
        <w:rPr>
          <w:rFonts w:ascii="Times New Roman" w:hAnsi="Times New Roman" w:cs="Times New Roman"/>
          <w:noProof/>
          <w:sz w:val="24"/>
          <w:szCs w:val="24"/>
        </w:rPr>
        <w:t>ing</w:t>
      </w:r>
      <w:r w:rsidRPr="00AE3935" w:rsidDel="00700657">
        <w:rPr>
          <w:rFonts w:ascii="Times New Roman" w:hAnsi="Times New Roman" w:cs="Times New Roman"/>
          <w:noProof/>
          <w:sz w:val="24"/>
          <w:szCs w:val="24"/>
        </w:rPr>
        <w:t xml:space="preserve"> for more analysis on</w:t>
      </w:r>
      <w:r w:rsidR="00B43B9E">
        <w:rPr>
          <w:rFonts w:ascii="Times New Roman" w:hAnsi="Times New Roman" w:cs="Times New Roman"/>
          <w:noProof/>
          <w:sz w:val="24"/>
          <w:szCs w:val="24"/>
        </w:rPr>
        <w:t xml:space="preserve"> the</w:t>
      </w:r>
      <w:r w:rsidRPr="00AE3935" w:rsidDel="00700657">
        <w:rPr>
          <w:rFonts w:ascii="Times New Roman" w:hAnsi="Times New Roman" w:cs="Times New Roman"/>
          <w:noProof/>
          <w:sz w:val="24"/>
          <w:szCs w:val="24"/>
        </w:rPr>
        <w:t xml:space="preserve"> stability risk</w:t>
      </w:r>
      <w:r w:rsidR="00B43B9E">
        <w:rPr>
          <w:rFonts w:ascii="Times New Roman" w:hAnsi="Times New Roman" w:cs="Times New Roman"/>
          <w:noProof/>
          <w:sz w:val="24"/>
          <w:szCs w:val="24"/>
        </w:rPr>
        <w:t>s</w:t>
      </w:r>
      <w:r w:rsidRPr="00AE3935" w:rsidDel="00700657">
        <w:rPr>
          <w:rFonts w:ascii="Times New Roman" w:hAnsi="Times New Roman" w:cs="Times New Roman"/>
          <w:noProof/>
          <w:sz w:val="24"/>
          <w:szCs w:val="24"/>
        </w:rPr>
        <w:t xml:space="preserve">. </w:t>
      </w:r>
    </w:p>
    <w:p w14:paraId="4B0A5AC7" w14:textId="29AFA26B" w:rsidR="0066272A" w:rsidRPr="002661A8" w:rsidRDefault="007458BA" w:rsidP="00ED5088">
      <w:pPr>
        <w:pStyle w:val="Heading1"/>
        <w:numPr>
          <w:ilvl w:val="2"/>
          <w:numId w:val="6"/>
        </w:numPr>
        <w:spacing w:before="0" w:after="120"/>
        <w:rPr>
          <w:b w:val="0"/>
          <w:i/>
          <w:smallCaps w:val="0"/>
          <w:noProof/>
        </w:rPr>
      </w:pPr>
      <w:bookmarkStart w:id="311" w:name="_Toc103337472"/>
      <w:bookmarkStart w:id="312" w:name="_Toc106827819"/>
      <w:bookmarkStart w:id="313" w:name="_Toc106981695"/>
      <w:bookmarkStart w:id="314" w:name="_Toc107493835"/>
      <w:bookmarkStart w:id="315" w:name="_Toc107497871"/>
      <w:bookmarkStart w:id="316" w:name="_Toc107503424"/>
      <w:bookmarkStart w:id="317" w:name="_Toc107504572"/>
      <w:bookmarkStart w:id="318" w:name="_Toc107505417"/>
      <w:bookmarkStart w:id="319" w:name="_Toc107838893"/>
      <w:bookmarkStart w:id="320" w:name="_Toc107846988"/>
      <w:bookmarkStart w:id="321" w:name="_Toc107849225"/>
      <w:bookmarkStart w:id="322" w:name="_Toc107853672"/>
      <w:bookmarkStart w:id="323" w:name="_Toc108418481"/>
      <w:bookmarkStart w:id="324" w:name="_Toc108539573"/>
      <w:bookmarkStart w:id="325" w:name="_Toc108539795"/>
      <w:bookmarkStart w:id="326" w:name="_Toc108539913"/>
      <w:bookmarkStart w:id="327" w:name="_Toc108539992"/>
      <w:bookmarkStart w:id="328" w:name="_Toc109057371"/>
      <w:bookmarkStart w:id="329" w:name="_Toc109120737"/>
      <w:bookmarkStart w:id="330" w:name="_Toc109122372"/>
      <w:bookmarkStart w:id="331" w:name="_Toc109124085"/>
      <w:bookmarkStart w:id="332" w:name="_Toc109133109"/>
      <w:bookmarkStart w:id="333" w:name="_Toc109133285"/>
      <w:bookmarkStart w:id="334" w:name="_Toc120291643"/>
      <w:r w:rsidRPr="002661A8">
        <w:rPr>
          <w:b w:val="0"/>
          <w:i/>
          <w:smallCaps w:val="0"/>
          <w:noProof/>
        </w:rPr>
        <w:t>I</w:t>
      </w:r>
      <w:r w:rsidR="00733A6F" w:rsidRPr="002661A8">
        <w:rPr>
          <w:b w:val="0"/>
          <w:i/>
          <w:smallCaps w:val="0"/>
          <w:noProof/>
        </w:rPr>
        <w:t>nter</w:t>
      </w:r>
      <w:r w:rsidR="0066272A" w:rsidRPr="002661A8">
        <w:rPr>
          <w:b w:val="0"/>
          <w:i/>
          <w:smallCaps w:val="0"/>
          <w:noProof/>
        </w:rPr>
        <w:t>connectedness of EU financial system</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0598C56C" w14:textId="76C90DA5" w:rsidR="0066272A" w:rsidRPr="002661A8" w:rsidRDefault="0066272A" w:rsidP="00E8551A">
      <w:pPr>
        <w:pStyle w:val="Text2"/>
        <w:spacing w:after="120"/>
        <w:ind w:left="0"/>
        <w:rPr>
          <w:noProof/>
          <w:szCs w:val="24"/>
        </w:rPr>
      </w:pPr>
      <w:r w:rsidRPr="002661A8">
        <w:rPr>
          <w:noProof/>
        </w:rPr>
        <w:t>CCPs operating in the EU are highly interconnected through a range of channels.</w:t>
      </w:r>
    </w:p>
    <w:p w14:paraId="50DA7A9A" w14:textId="3F4ED645" w:rsidR="0066272A" w:rsidRPr="002661A8" w:rsidRDefault="0066272A" w:rsidP="00E8551A">
      <w:pPr>
        <w:pStyle w:val="Text2"/>
        <w:spacing w:after="120"/>
        <w:ind w:left="0"/>
        <w:rPr>
          <w:noProof/>
          <w:szCs w:val="24"/>
        </w:rPr>
      </w:pPr>
      <w:r w:rsidRPr="002661A8">
        <w:rPr>
          <w:noProof/>
        </w:rPr>
        <w:t xml:space="preserve">First, </w:t>
      </w:r>
      <w:r w:rsidRPr="002661A8">
        <w:rPr>
          <w:rStyle w:val="None"/>
          <w:b/>
          <w:noProof/>
        </w:rPr>
        <w:t>CCPs are interconnected via their clearing members</w:t>
      </w:r>
      <w:r w:rsidRPr="002661A8">
        <w:rPr>
          <w:noProof/>
        </w:rPr>
        <w:t>. Many of the largest global banks are members of multiple CCPs, illustrating the potential for contagion. For example, BNP Paribas is a member of at least five EU CCPs.</w:t>
      </w:r>
      <w:r w:rsidR="00DA09FA" w:rsidRPr="002661A8">
        <w:rPr>
          <w:noProof/>
        </w:rPr>
        <w:t xml:space="preserve"> In addition, some clearing members are particularly dominant in a given CCP as illustrated in Figure 2 below.</w:t>
      </w:r>
    </w:p>
    <w:p w14:paraId="689E52E4" w14:textId="635F14D7" w:rsidR="0066272A" w:rsidRPr="002661A8" w:rsidRDefault="0066272A" w:rsidP="00934309">
      <w:pPr>
        <w:pStyle w:val="Text2"/>
        <w:spacing w:after="120"/>
        <w:ind w:left="0"/>
        <w:rPr>
          <w:noProof/>
          <w:szCs w:val="24"/>
        </w:rPr>
      </w:pPr>
      <w:r w:rsidRPr="002661A8">
        <w:rPr>
          <w:noProof/>
        </w:rPr>
        <w:t>Another way to highlight the degree of interconnectedness between market participants in the OTC derivatives market is to focus on "who trades with whom". The ESRB published a paper in September 2016 illustrating the network structure of the OTC derivatives market through a visualisation of the outstanding interest-rate swap (IRS) positions in the market.</w:t>
      </w:r>
      <w:r w:rsidRPr="002661A8">
        <w:rPr>
          <w:rStyle w:val="FootnoteReference"/>
          <w:noProof/>
        </w:rPr>
        <w:footnoteReference w:id="94"/>
      </w:r>
      <w:r w:rsidRPr="002661A8">
        <w:rPr>
          <w:noProof/>
        </w:rPr>
        <w:t xml:space="preserve"> The study shows that CCPs, big clearing members (referred to as G16 dealers</w:t>
      </w:r>
      <w:r w:rsidRPr="002661A8">
        <w:rPr>
          <w:rStyle w:val="FootnoteReference"/>
          <w:noProof/>
        </w:rPr>
        <w:footnoteReference w:id="95"/>
      </w:r>
      <w:r w:rsidRPr="002661A8">
        <w:rPr>
          <w:noProof/>
        </w:rPr>
        <w:t xml:space="preserve">) and banks, are connected to a </w:t>
      </w:r>
      <w:r w:rsidR="002F2210" w:rsidRPr="002661A8">
        <w:rPr>
          <w:noProof/>
        </w:rPr>
        <w:t>lot</w:t>
      </w:r>
      <w:r w:rsidRPr="002661A8">
        <w:rPr>
          <w:noProof/>
        </w:rPr>
        <w:t xml:space="preserve"> of counterparties, with many connections between them, suggesting a high potential for system-wide contagion. This indicates the central role of CCPs and the importance of client and indirect clearing through the clearing members, as the latter serve as "gateways to clearing" for buy-side counterparties and create interconnections between CCPs and the wider system.</w:t>
      </w:r>
    </w:p>
    <w:p w14:paraId="1CDED2B7" w14:textId="5D4C34C3" w:rsidR="0066272A" w:rsidRPr="002661A8" w:rsidRDefault="0066272A" w:rsidP="00934309">
      <w:pPr>
        <w:pStyle w:val="Caption"/>
        <w:spacing w:before="0" w:after="0"/>
        <w:rPr>
          <w:noProof/>
          <w:lang w:val="en-GB"/>
        </w:rPr>
      </w:pPr>
      <w:r w:rsidRPr="002661A8">
        <w:rPr>
          <w:noProof/>
          <w:lang w:val="en-GB"/>
        </w:rPr>
        <w:t xml:space="preserve">Figure </w:t>
      </w:r>
      <w:r w:rsidR="00536BA1" w:rsidRPr="002661A8">
        <w:rPr>
          <w:noProof/>
          <w:lang w:val="en-GB"/>
        </w:rPr>
        <w:t>2</w:t>
      </w:r>
      <w:r w:rsidRPr="002661A8">
        <w:rPr>
          <w:noProof/>
          <w:lang w:val="en-GB"/>
        </w:rPr>
        <w:t xml:space="preserve"> - CCP-bank nexus: highly concentrated banks and CCPs interact closely</w:t>
      </w:r>
      <w:r w:rsidRPr="002661A8">
        <w:rPr>
          <w:rStyle w:val="FootnoteReference"/>
          <w:noProof/>
          <w:lang w:val="en-GB"/>
        </w:rPr>
        <w:footnoteReference w:id="96"/>
      </w:r>
    </w:p>
    <w:p w14:paraId="2B4680D0" w14:textId="52AF6933" w:rsidR="0066272A" w:rsidRPr="002661A8" w:rsidRDefault="0066272A" w:rsidP="007E0936">
      <w:pPr>
        <w:pStyle w:val="Text2"/>
        <w:spacing w:after="120"/>
        <w:ind w:left="0"/>
        <w:jc w:val="center"/>
        <w:rPr>
          <w:noProof/>
          <w:szCs w:val="24"/>
        </w:rPr>
      </w:pPr>
      <w:r w:rsidRPr="002661A8">
        <w:rPr>
          <w:noProof/>
          <w:lang w:eastAsia="en-GB"/>
        </w:rPr>
        <w:drawing>
          <wp:inline distT="0" distB="0" distL="0" distR="0" wp14:anchorId="702F433A" wp14:editId="58D9EC76">
            <wp:extent cx="3600450" cy="179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79776" cy="1836899"/>
                    </a:xfrm>
                    <a:prstGeom prst="rect">
                      <a:avLst/>
                    </a:prstGeom>
                  </pic:spPr>
                </pic:pic>
              </a:graphicData>
            </a:graphic>
          </wp:inline>
        </w:drawing>
      </w:r>
    </w:p>
    <w:p w14:paraId="4AC8663B" w14:textId="7C21D9B4" w:rsidR="0066272A" w:rsidRPr="002661A8" w:rsidRDefault="0066272A" w:rsidP="00CE57DB">
      <w:pPr>
        <w:pStyle w:val="Text2"/>
        <w:spacing w:after="120"/>
        <w:ind w:left="0"/>
        <w:rPr>
          <w:noProof/>
          <w:szCs w:val="24"/>
        </w:rPr>
      </w:pPr>
      <w:r w:rsidRPr="002661A8">
        <w:rPr>
          <w:noProof/>
        </w:rPr>
        <w:t>Second</w:t>
      </w:r>
      <w:r w:rsidRPr="002661A8">
        <w:rPr>
          <w:b/>
          <w:noProof/>
        </w:rPr>
        <w:t xml:space="preserve">, </w:t>
      </w:r>
      <w:r w:rsidRPr="002661A8">
        <w:rPr>
          <w:rStyle w:val="None"/>
          <w:b/>
          <w:noProof/>
        </w:rPr>
        <w:t>CCPs can be interconnected via so-called interoperability arrangements</w:t>
      </w:r>
      <w:r w:rsidRPr="002661A8">
        <w:rPr>
          <w:noProof/>
        </w:rPr>
        <w:t xml:space="preserve"> which allow clearing members of one CCP to clear </w:t>
      </w:r>
      <w:r w:rsidR="003202DD">
        <w:rPr>
          <w:noProof/>
        </w:rPr>
        <w:t xml:space="preserve">securities and money market </w:t>
      </w:r>
      <w:r w:rsidRPr="002661A8">
        <w:rPr>
          <w:noProof/>
        </w:rPr>
        <w:t>transactions with clearing members of another CCP. This is the case for EuroCCP, LCH Ltd. and SIX x-clear in various equities markets, for LCH S.A.</w:t>
      </w:r>
      <w:r w:rsidR="004E10F0" w:rsidRPr="002661A8">
        <w:rPr>
          <w:noProof/>
        </w:rPr>
        <w:t xml:space="preserve"> (established in France)</w:t>
      </w:r>
      <w:r w:rsidRPr="002661A8">
        <w:rPr>
          <w:noProof/>
        </w:rPr>
        <w:t xml:space="preserve"> and </w:t>
      </w:r>
      <w:r w:rsidR="00771B85" w:rsidRPr="002661A8">
        <w:rPr>
          <w:noProof/>
        </w:rPr>
        <w:t>Euronext Clearing</w:t>
      </w:r>
      <w:r w:rsidRPr="002661A8">
        <w:rPr>
          <w:noProof/>
        </w:rPr>
        <w:t xml:space="preserve"> (established in Italy) in various bond markets</w:t>
      </w:r>
      <w:r w:rsidR="004E10F0" w:rsidRPr="002661A8">
        <w:rPr>
          <w:noProof/>
        </w:rPr>
        <w:t>.</w:t>
      </w:r>
      <w:r w:rsidRPr="002661A8">
        <w:rPr>
          <w:rStyle w:val="FootnoteReference"/>
          <w:noProof/>
        </w:rPr>
        <w:footnoteReference w:id="97"/>
      </w:r>
      <w:r w:rsidRPr="002661A8">
        <w:rPr>
          <w:noProof/>
        </w:rPr>
        <w:t xml:space="preserve"> </w:t>
      </w:r>
    </w:p>
    <w:p w14:paraId="0506C7E5" w14:textId="20BDBA53" w:rsidR="0066272A" w:rsidRPr="002661A8" w:rsidRDefault="0066272A" w:rsidP="00CE57DB">
      <w:pPr>
        <w:pStyle w:val="Text2"/>
        <w:spacing w:after="120"/>
        <w:ind w:left="0"/>
        <w:rPr>
          <w:noProof/>
          <w:szCs w:val="24"/>
        </w:rPr>
      </w:pPr>
      <w:r w:rsidRPr="002661A8">
        <w:rPr>
          <w:noProof/>
        </w:rPr>
        <w:t xml:space="preserve">Finally, as </w:t>
      </w:r>
      <w:r w:rsidR="003577FA" w:rsidRPr="002661A8">
        <w:rPr>
          <w:noProof/>
        </w:rPr>
        <w:t>shown</w:t>
      </w:r>
      <w:r w:rsidRPr="002661A8">
        <w:rPr>
          <w:noProof/>
        </w:rPr>
        <w:t xml:space="preserve"> in ESMA’s 2020 stress test report</w:t>
      </w:r>
      <w:r w:rsidRPr="002661A8">
        <w:rPr>
          <w:rStyle w:val="FootnoteReference"/>
          <w:noProof/>
        </w:rPr>
        <w:footnoteReference w:id="98"/>
      </w:r>
      <w:r w:rsidRPr="002661A8">
        <w:rPr>
          <w:noProof/>
        </w:rPr>
        <w:t xml:space="preserve"> </w:t>
      </w:r>
      <w:r w:rsidRPr="002661A8">
        <w:rPr>
          <w:b/>
          <w:noProof/>
        </w:rPr>
        <w:t xml:space="preserve">CCPs </w:t>
      </w:r>
      <w:r w:rsidR="00844983" w:rsidRPr="002661A8">
        <w:rPr>
          <w:b/>
          <w:noProof/>
        </w:rPr>
        <w:t>are</w:t>
      </w:r>
      <w:r w:rsidRPr="002661A8">
        <w:rPr>
          <w:b/>
          <w:noProof/>
        </w:rPr>
        <w:t xml:space="preserve"> connected through liquidity providers and custodians</w:t>
      </w:r>
      <w:r w:rsidRPr="002661A8">
        <w:rPr>
          <w:noProof/>
        </w:rPr>
        <w:t>.</w:t>
      </w:r>
      <w:r w:rsidRPr="002661A8">
        <w:rPr>
          <w:rStyle w:val="FootnoteReference"/>
          <w:noProof/>
        </w:rPr>
        <w:footnoteReference w:id="99"/>
      </w:r>
      <w:r w:rsidRPr="002661A8">
        <w:rPr>
          <w:noProof/>
        </w:rPr>
        <w:t xml:space="preserve"> If CCPs were to trigger their committed or uncommitted liquidity lines</w:t>
      </w:r>
      <w:r w:rsidRPr="002661A8">
        <w:rPr>
          <w:rStyle w:val="FootnoteReference"/>
          <w:noProof/>
        </w:rPr>
        <w:footnoteReference w:id="100"/>
      </w:r>
      <w:r w:rsidRPr="002661A8">
        <w:rPr>
          <w:noProof/>
        </w:rPr>
        <w:t xml:space="preserve"> at the same time due to a major market stress</w:t>
      </w:r>
      <w:r w:rsidR="00B43B9E">
        <w:rPr>
          <w:noProof/>
        </w:rPr>
        <w:t>,</w:t>
      </w:r>
      <w:r w:rsidRPr="002661A8">
        <w:rPr>
          <w:noProof/>
        </w:rPr>
        <w:t xml:space="preserve"> it is possible that those “commitments” cannot be fulfilled altogether or that pressure is put on the liquidity providers to grant liquidity to CCPs in one jurisdiction over another. For custodians, the dependency can be characterised as a “one-to-many”</w:t>
      </w:r>
      <w:r w:rsidR="004E10F0" w:rsidRPr="002661A8">
        <w:rPr>
          <w:noProof/>
        </w:rPr>
        <w:t>:</w:t>
      </w:r>
      <w:r w:rsidRPr="002661A8" w:rsidDel="00797011">
        <w:rPr>
          <w:noProof/>
        </w:rPr>
        <w:t xml:space="preserve"> </w:t>
      </w:r>
      <w:r w:rsidRPr="002661A8">
        <w:rPr>
          <w:noProof/>
        </w:rPr>
        <w:t>a custodian</w:t>
      </w:r>
      <w:r w:rsidR="00797011" w:rsidRPr="002661A8">
        <w:rPr>
          <w:noProof/>
        </w:rPr>
        <w:t>’s</w:t>
      </w:r>
      <w:r w:rsidRPr="002661A8">
        <w:rPr>
          <w:noProof/>
        </w:rPr>
        <w:t xml:space="preserve"> fail</w:t>
      </w:r>
      <w:r w:rsidR="00797011" w:rsidRPr="002661A8">
        <w:rPr>
          <w:noProof/>
        </w:rPr>
        <w:t>ure</w:t>
      </w:r>
      <w:r w:rsidRPr="002661A8" w:rsidDel="00797011">
        <w:rPr>
          <w:noProof/>
        </w:rPr>
        <w:t xml:space="preserve"> </w:t>
      </w:r>
      <w:r w:rsidRPr="002661A8">
        <w:rPr>
          <w:noProof/>
        </w:rPr>
        <w:t xml:space="preserve">is likely to have </w:t>
      </w:r>
      <w:r w:rsidR="00797011" w:rsidRPr="002661A8">
        <w:rPr>
          <w:noProof/>
        </w:rPr>
        <w:t xml:space="preserve">a </w:t>
      </w:r>
      <w:r w:rsidRPr="002661A8">
        <w:rPr>
          <w:noProof/>
        </w:rPr>
        <w:t xml:space="preserve">repercussion over </w:t>
      </w:r>
      <w:r w:rsidR="004E10F0" w:rsidRPr="002661A8">
        <w:rPr>
          <w:noProof/>
        </w:rPr>
        <w:t>all</w:t>
      </w:r>
      <w:r w:rsidRPr="002661A8">
        <w:rPr>
          <w:noProof/>
        </w:rPr>
        <w:t xml:space="preserve"> CCPs using </w:t>
      </w:r>
      <w:r w:rsidR="004E10F0" w:rsidRPr="002661A8">
        <w:rPr>
          <w:noProof/>
        </w:rPr>
        <w:t xml:space="preserve">its </w:t>
      </w:r>
      <w:r w:rsidRPr="002661A8">
        <w:rPr>
          <w:noProof/>
        </w:rPr>
        <w:t>services.</w:t>
      </w:r>
    </w:p>
    <w:p w14:paraId="706CC8FE" w14:textId="309DF671" w:rsidR="00860EC1" w:rsidRPr="002661A8" w:rsidRDefault="00771B85" w:rsidP="009E5917">
      <w:pPr>
        <w:pStyle w:val="Text2"/>
        <w:spacing w:after="120"/>
        <w:ind w:left="0"/>
        <w:rPr>
          <w:noProof/>
        </w:rPr>
      </w:pPr>
      <w:r w:rsidRPr="002661A8">
        <w:rPr>
          <w:noProof/>
        </w:rPr>
        <w:t xml:space="preserve">The various degrees of interconnectedness of CCPs are partly addressed through the supervisory structure enshrined in EMIR as amended by EMIR 2.2. This framework allows for supervisors of clearing members, CSDs, </w:t>
      </w:r>
      <w:r w:rsidR="00B43B9E">
        <w:rPr>
          <w:noProof/>
        </w:rPr>
        <w:t>t</w:t>
      </w:r>
      <w:r w:rsidRPr="002661A8">
        <w:rPr>
          <w:noProof/>
        </w:rPr>
        <w:t xml:space="preserve">rading </w:t>
      </w:r>
      <w:r w:rsidR="00B43B9E">
        <w:rPr>
          <w:noProof/>
        </w:rPr>
        <w:t>v</w:t>
      </w:r>
      <w:r w:rsidRPr="002661A8">
        <w:rPr>
          <w:noProof/>
        </w:rPr>
        <w:t>enues or other CCPs linked with an interoperability link to be informed of developments and potential risks stemming from a particular CCP</w:t>
      </w:r>
      <w:r w:rsidR="00797011" w:rsidRPr="002661A8">
        <w:rPr>
          <w:noProof/>
        </w:rPr>
        <w:t xml:space="preserve"> (see Sections </w:t>
      </w:r>
      <w:hyperlink w:anchor="_Legal_context" w:history="1">
        <w:r w:rsidR="00797011" w:rsidRPr="002661A8">
          <w:rPr>
            <w:rStyle w:val="Hyperlink"/>
            <w:noProof/>
          </w:rPr>
          <w:t>2.2</w:t>
        </w:r>
      </w:hyperlink>
      <w:r w:rsidR="00797011" w:rsidRPr="002661A8">
        <w:rPr>
          <w:noProof/>
        </w:rPr>
        <w:t xml:space="preserve"> and </w:t>
      </w:r>
      <w:hyperlink w:anchor="_Insufficient_consideration_of" w:history="1">
        <w:r w:rsidR="00797011" w:rsidRPr="002661A8">
          <w:rPr>
            <w:rStyle w:val="Hyperlink"/>
            <w:noProof/>
          </w:rPr>
          <w:t>3.1.3</w:t>
        </w:r>
      </w:hyperlink>
      <w:r w:rsidR="00797011" w:rsidRPr="002661A8">
        <w:rPr>
          <w:noProof/>
        </w:rPr>
        <w:t>)</w:t>
      </w:r>
      <w:r w:rsidRPr="002661A8">
        <w:rPr>
          <w:noProof/>
        </w:rPr>
        <w:t xml:space="preserve">. </w:t>
      </w:r>
      <w:r w:rsidR="007458BA" w:rsidRPr="002661A8">
        <w:rPr>
          <w:noProof/>
        </w:rPr>
        <w:t>T</w:t>
      </w:r>
      <w:r w:rsidRPr="002661A8">
        <w:rPr>
          <w:noProof/>
        </w:rPr>
        <w:t>his supervisory structure</w:t>
      </w:r>
      <w:r w:rsidRPr="002661A8" w:rsidDel="00B43B9E">
        <w:rPr>
          <w:noProof/>
        </w:rPr>
        <w:t xml:space="preserve"> </w:t>
      </w:r>
      <w:r w:rsidRPr="002661A8">
        <w:rPr>
          <w:noProof/>
        </w:rPr>
        <w:t xml:space="preserve">allows for ESMA and, to a lesser extent, the central banks of issue to foster </w:t>
      </w:r>
      <w:r w:rsidR="00BE03BE" w:rsidRPr="002661A8">
        <w:rPr>
          <w:noProof/>
        </w:rPr>
        <w:t>the</w:t>
      </w:r>
      <w:r w:rsidRPr="002661A8">
        <w:rPr>
          <w:noProof/>
        </w:rPr>
        <w:t xml:space="preserve"> harmonisation of practices across </w:t>
      </w:r>
      <w:r w:rsidR="00746C05" w:rsidRPr="002661A8">
        <w:rPr>
          <w:noProof/>
        </w:rPr>
        <w:t>NCAs</w:t>
      </w:r>
      <w:r w:rsidRPr="002661A8">
        <w:rPr>
          <w:noProof/>
        </w:rPr>
        <w:t>.</w:t>
      </w:r>
      <w:r w:rsidR="00B43B9E">
        <w:rPr>
          <w:noProof/>
        </w:rPr>
        <w:t xml:space="preserve"> </w:t>
      </w:r>
      <w:r w:rsidR="00416EC9" w:rsidRPr="002661A8">
        <w:rPr>
          <w:noProof/>
        </w:rPr>
        <w:t>Recent events</w:t>
      </w:r>
      <w:r w:rsidR="00E24B88" w:rsidRPr="002661A8">
        <w:rPr>
          <w:noProof/>
        </w:rPr>
        <w:t>, e.g.</w:t>
      </w:r>
      <w:r w:rsidR="00416EC9" w:rsidRPr="002661A8">
        <w:rPr>
          <w:noProof/>
        </w:rPr>
        <w:t xml:space="preserve"> the Covid crisis of 2020 or the war in Ukraine in 2022</w:t>
      </w:r>
      <w:r w:rsidR="00E24B88" w:rsidRPr="002661A8">
        <w:rPr>
          <w:noProof/>
        </w:rPr>
        <w:t>,</w:t>
      </w:r>
      <w:r w:rsidR="00416EC9" w:rsidRPr="002661A8">
        <w:rPr>
          <w:noProof/>
        </w:rPr>
        <w:t xml:space="preserve"> have hit markets in a shock. While CCPs have proven to be resilient, supervisors and policy makers </w:t>
      </w:r>
      <w:r w:rsidR="00E17E28" w:rsidRPr="002661A8">
        <w:rPr>
          <w:noProof/>
        </w:rPr>
        <w:t>were</w:t>
      </w:r>
      <w:r w:rsidR="00416EC9" w:rsidRPr="002661A8">
        <w:rPr>
          <w:noProof/>
        </w:rPr>
        <w:t xml:space="preserve"> partially blind as to the potential weaknesses experienced by clearing members, clients or CCPs, lacking an eagle-eye view on the market and suffering from a lack of information from third</w:t>
      </w:r>
      <w:r w:rsidR="00797011" w:rsidRPr="002661A8">
        <w:rPr>
          <w:noProof/>
        </w:rPr>
        <w:t>-</w:t>
      </w:r>
      <w:r w:rsidR="00416EC9" w:rsidRPr="002661A8">
        <w:rPr>
          <w:noProof/>
        </w:rPr>
        <w:t xml:space="preserve">country jurisdictions but also across Member States in the EU. </w:t>
      </w:r>
      <w:r w:rsidR="009E5917" w:rsidRPr="002661A8">
        <w:rPr>
          <w:noProof/>
        </w:rPr>
        <w:t xml:space="preserve">It is thus beneficial to strengthen the EU-level insight into cross-border risks which can emerge in such scenarios, </w:t>
      </w:r>
      <w:r w:rsidR="00DA7E3B" w:rsidRPr="002661A8">
        <w:rPr>
          <w:noProof/>
        </w:rPr>
        <w:t>as</w:t>
      </w:r>
      <w:r w:rsidR="009E5917" w:rsidRPr="002661A8">
        <w:rPr>
          <w:noProof/>
        </w:rPr>
        <w:t xml:space="preserve"> the powers </w:t>
      </w:r>
      <w:r w:rsidR="00874C04" w:rsidRPr="002661A8">
        <w:rPr>
          <w:noProof/>
        </w:rPr>
        <w:t xml:space="preserve">and tasks </w:t>
      </w:r>
      <w:r w:rsidR="009E5917" w:rsidRPr="002661A8">
        <w:rPr>
          <w:noProof/>
        </w:rPr>
        <w:t xml:space="preserve">granted to ESMA and the central banks </w:t>
      </w:r>
      <w:r w:rsidR="00874C04" w:rsidRPr="002661A8">
        <w:rPr>
          <w:noProof/>
        </w:rPr>
        <w:t xml:space="preserve">under the current framework </w:t>
      </w:r>
      <w:r w:rsidR="009E5917" w:rsidRPr="002661A8">
        <w:rPr>
          <w:noProof/>
        </w:rPr>
        <w:t>do not appear sufficient</w:t>
      </w:r>
      <w:r w:rsidR="00874C04" w:rsidRPr="002661A8">
        <w:rPr>
          <w:noProof/>
        </w:rPr>
        <w:t xml:space="preserve"> in such cases</w:t>
      </w:r>
      <w:r w:rsidR="00DA7E3B" w:rsidRPr="002661A8">
        <w:rPr>
          <w:noProof/>
        </w:rPr>
        <w:t xml:space="preserve">, </w:t>
      </w:r>
      <w:r w:rsidR="000538EB">
        <w:rPr>
          <w:noProof/>
        </w:rPr>
        <w:t xml:space="preserve">and </w:t>
      </w:r>
      <w:r w:rsidR="00DA7E3B" w:rsidRPr="002661A8">
        <w:rPr>
          <w:noProof/>
        </w:rPr>
        <w:t xml:space="preserve"> could </w:t>
      </w:r>
      <w:r w:rsidR="000538EB">
        <w:rPr>
          <w:noProof/>
        </w:rPr>
        <w:t xml:space="preserve">therefore </w:t>
      </w:r>
      <w:r w:rsidR="00DA7E3B" w:rsidRPr="002661A8">
        <w:rPr>
          <w:noProof/>
        </w:rPr>
        <w:t>be made more effective</w:t>
      </w:r>
      <w:r w:rsidR="009E5917" w:rsidRPr="002661A8">
        <w:rPr>
          <w:noProof/>
        </w:rPr>
        <w:t>. In particular, recent events have shown the importance of strengthening the EU-level authorities’ role in coordinating responses and gathering the overview of risks beyond the national level in emergency situations.</w:t>
      </w:r>
      <w:r w:rsidR="00874C04" w:rsidRPr="002661A8">
        <w:rPr>
          <w:noProof/>
        </w:rPr>
        <w:t xml:space="preserve"> </w:t>
      </w:r>
      <w:bookmarkStart w:id="335" w:name="_Toc103337473"/>
      <w:bookmarkStart w:id="336" w:name="_Toc106827820"/>
      <w:bookmarkStart w:id="337" w:name="_Toc106981696"/>
      <w:bookmarkStart w:id="338" w:name="_Toc107493836"/>
      <w:bookmarkStart w:id="339" w:name="_Toc107497872"/>
      <w:bookmarkStart w:id="340" w:name="_Toc107503425"/>
      <w:bookmarkStart w:id="341" w:name="_Toc107504573"/>
      <w:bookmarkStart w:id="342" w:name="_Toc107505418"/>
      <w:bookmarkStart w:id="343" w:name="_Toc107838894"/>
      <w:bookmarkStart w:id="344" w:name="_Toc107846989"/>
      <w:bookmarkStart w:id="345" w:name="_Toc107849226"/>
      <w:bookmarkStart w:id="346" w:name="_Toc107853673"/>
      <w:bookmarkStart w:id="347" w:name="_Toc108418482"/>
      <w:r w:rsidR="00B21DD8">
        <w:rPr>
          <w:noProof/>
        </w:rPr>
        <w:t>Other jurisdictions</w:t>
      </w:r>
      <w:r w:rsidR="000538EB">
        <w:rPr>
          <w:noProof/>
        </w:rPr>
        <w:t>,</w:t>
      </w:r>
      <w:r w:rsidR="00B21DD8">
        <w:rPr>
          <w:noProof/>
        </w:rPr>
        <w:t xml:space="preserve"> such as the US or Japan</w:t>
      </w:r>
      <w:r w:rsidR="000538EB">
        <w:rPr>
          <w:noProof/>
        </w:rPr>
        <w:t>,</w:t>
      </w:r>
      <w:r w:rsidR="00B21DD8">
        <w:rPr>
          <w:noProof/>
        </w:rPr>
        <w:t xml:space="preserve"> have put in place </w:t>
      </w:r>
      <w:r w:rsidR="00B51845">
        <w:rPr>
          <w:noProof/>
        </w:rPr>
        <w:t>other</w:t>
      </w:r>
      <w:r w:rsidR="00B21DD8">
        <w:rPr>
          <w:noProof/>
        </w:rPr>
        <w:t xml:space="preserve"> mechanisms </w:t>
      </w:r>
      <w:r w:rsidR="00B51845">
        <w:rPr>
          <w:noProof/>
        </w:rPr>
        <w:t>to protect themselves from financial stability risks from</w:t>
      </w:r>
      <w:r w:rsidR="00B21DD8">
        <w:rPr>
          <w:noProof/>
        </w:rPr>
        <w:t xml:space="preserve"> the interconnectedness of their own financial systems, </w:t>
      </w:r>
      <w:r w:rsidR="00B51845">
        <w:rPr>
          <w:noProof/>
        </w:rPr>
        <w:t xml:space="preserve">including, </w:t>
      </w:r>
      <w:r w:rsidR="00B43B9E">
        <w:rPr>
          <w:noProof/>
        </w:rPr>
        <w:t>e.g.</w:t>
      </w:r>
      <w:r w:rsidR="00B51845">
        <w:rPr>
          <w:noProof/>
        </w:rPr>
        <w:t xml:space="preserve"> a</w:t>
      </w:r>
      <w:r w:rsidR="00B21DD8">
        <w:rPr>
          <w:noProof/>
        </w:rPr>
        <w:t xml:space="preserve"> </w:t>
      </w:r>
      <w:r w:rsidR="00B51845">
        <w:rPr>
          <w:noProof/>
        </w:rPr>
        <w:t>more expansive</w:t>
      </w:r>
      <w:r w:rsidR="00B21DD8">
        <w:rPr>
          <w:noProof/>
        </w:rPr>
        <w:t xml:space="preserve"> approach to supervision</w:t>
      </w:r>
      <w:r w:rsidR="00B43B9E">
        <w:rPr>
          <w:noProof/>
        </w:rPr>
        <w:t xml:space="preserve"> (s</w:t>
      </w:r>
      <w:r w:rsidR="00B51845">
        <w:rPr>
          <w:noProof/>
        </w:rPr>
        <w:t>ee Section 3.3.2</w:t>
      </w:r>
      <w:r w:rsidR="00B43B9E">
        <w:rPr>
          <w:noProof/>
        </w:rPr>
        <w:t>)</w:t>
      </w:r>
      <w:r w:rsidR="00B51845" w:rsidDel="00B43B9E">
        <w:rPr>
          <w:noProof/>
        </w:rPr>
        <w:t xml:space="preserve">. </w:t>
      </w:r>
      <w:r w:rsidR="00B21DD8">
        <w:rPr>
          <w:noProof/>
        </w:rPr>
        <w:t>This illustrates the fact that the issue is widespread</w:t>
      </w:r>
      <w:r w:rsidR="00B51845">
        <w:rPr>
          <w:noProof/>
        </w:rPr>
        <w:t>, albeit different in nature,</w:t>
      </w:r>
      <w:r w:rsidR="00B21DD8">
        <w:rPr>
          <w:noProof/>
        </w:rPr>
        <w:t xml:space="preserve"> and </w:t>
      </w:r>
      <w:r w:rsidR="00B51845">
        <w:rPr>
          <w:noProof/>
        </w:rPr>
        <w:t>cannot be</w:t>
      </w:r>
      <w:r w:rsidR="00B21DD8">
        <w:rPr>
          <w:noProof/>
        </w:rPr>
        <w:t xml:space="preserve"> adequately </w:t>
      </w:r>
      <w:r w:rsidR="00B51845">
        <w:rPr>
          <w:noProof/>
        </w:rPr>
        <w:t>addressed</w:t>
      </w:r>
      <w:r w:rsidR="00B21DD8">
        <w:rPr>
          <w:noProof/>
        </w:rPr>
        <w:t xml:space="preserve"> by international standards.</w:t>
      </w:r>
    </w:p>
    <w:p w14:paraId="1F0453F3" w14:textId="7126969C" w:rsidR="00CE01C1" w:rsidRPr="002661A8" w:rsidRDefault="00CE01C1" w:rsidP="00ED5088">
      <w:pPr>
        <w:pStyle w:val="Heading1"/>
        <w:numPr>
          <w:ilvl w:val="2"/>
          <w:numId w:val="6"/>
        </w:numPr>
        <w:spacing w:before="0" w:after="120"/>
        <w:rPr>
          <w:b w:val="0"/>
          <w:i/>
          <w:smallCaps w:val="0"/>
          <w:noProof/>
        </w:rPr>
      </w:pPr>
      <w:bookmarkStart w:id="348" w:name="_Inefficient_framework_for"/>
      <w:bookmarkStart w:id="349" w:name="_Toc108539574"/>
      <w:bookmarkStart w:id="350" w:name="_Toc108539796"/>
      <w:bookmarkStart w:id="351" w:name="_Toc108539914"/>
      <w:bookmarkStart w:id="352" w:name="_Toc109057372"/>
      <w:bookmarkStart w:id="353" w:name="_Toc109120738"/>
      <w:bookmarkStart w:id="354" w:name="_Toc109122373"/>
      <w:bookmarkStart w:id="355" w:name="_Toc109124086"/>
      <w:bookmarkStart w:id="356" w:name="_Toc109133110"/>
      <w:bookmarkStart w:id="357" w:name="_Toc109133286"/>
      <w:bookmarkStart w:id="358" w:name="_Toc120291644"/>
      <w:bookmarkEnd w:id="348"/>
      <w:r w:rsidRPr="002661A8">
        <w:rPr>
          <w:b w:val="0"/>
          <w:i/>
          <w:smallCaps w:val="0"/>
          <w:noProof/>
        </w:rPr>
        <w:t>Inefficient framework for supervisory cooperation</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9"/>
      <w:bookmarkEnd w:id="350"/>
      <w:bookmarkEnd w:id="351"/>
      <w:bookmarkEnd w:id="352"/>
      <w:bookmarkEnd w:id="353"/>
      <w:bookmarkEnd w:id="354"/>
      <w:bookmarkEnd w:id="355"/>
      <w:bookmarkEnd w:id="356"/>
      <w:bookmarkEnd w:id="357"/>
      <w:bookmarkEnd w:id="358"/>
    </w:p>
    <w:p w14:paraId="62752BB4" w14:textId="3275B20C" w:rsidR="00CE01C1" w:rsidRPr="002661A8" w:rsidRDefault="00CE01C1" w:rsidP="002F2210">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Despite the amendments introduced relating to the supervision of EU CCPs following the adoption of EMIR 2.2</w:t>
      </w:r>
      <w:r w:rsidR="00797011" w:rsidRPr="002661A8">
        <w:rPr>
          <w:rFonts w:ascii="Times New Roman" w:hAnsi="Times New Roman" w:cs="Times New Roman"/>
          <w:noProof/>
          <w:sz w:val="24"/>
          <w:szCs w:val="24"/>
        </w:rPr>
        <w:t xml:space="preserve"> (see </w:t>
      </w:r>
      <w:hyperlink w:anchor="_Legal_context" w:history="1">
        <w:r w:rsidR="00797011" w:rsidRPr="002661A8">
          <w:rPr>
            <w:rStyle w:val="Hyperlink"/>
            <w:rFonts w:ascii="Times New Roman" w:hAnsi="Times New Roman" w:cs="Times New Roman"/>
            <w:noProof/>
            <w:sz w:val="24"/>
            <w:szCs w:val="24"/>
          </w:rPr>
          <w:t>Section 2.2</w:t>
        </w:r>
      </w:hyperlink>
      <w:r w:rsidR="00797011" w:rsidRPr="002661A8">
        <w:rPr>
          <w:rFonts w:ascii="Times New Roman" w:hAnsi="Times New Roman" w:cs="Times New Roman"/>
          <w:noProof/>
          <w:sz w:val="24"/>
          <w:szCs w:val="24"/>
        </w:rPr>
        <w:t>)</w:t>
      </w:r>
      <w:r w:rsidRPr="002661A8">
        <w:rPr>
          <w:rFonts w:ascii="Times New Roman" w:hAnsi="Times New Roman" w:cs="Times New Roman"/>
          <w:noProof/>
          <w:sz w:val="24"/>
          <w:szCs w:val="24"/>
        </w:rPr>
        <w:t>, the framework for supervisory cooperation remains inefficient</w:t>
      </w:r>
      <w:r w:rsidR="00907ED0" w:rsidRPr="002661A8">
        <w:rPr>
          <w:rFonts w:ascii="Times New Roman" w:hAnsi="Times New Roman" w:cs="Times New Roman"/>
          <w:noProof/>
          <w:sz w:val="24"/>
          <w:szCs w:val="24"/>
        </w:rPr>
        <w:t xml:space="preserve">. First, </w:t>
      </w:r>
      <w:r w:rsidRPr="002661A8">
        <w:rPr>
          <w:rFonts w:ascii="Times New Roman" w:hAnsi="Times New Roman" w:cs="Times New Roman"/>
          <w:noProof/>
          <w:sz w:val="24"/>
          <w:szCs w:val="24"/>
        </w:rPr>
        <w:t xml:space="preserve">multiple actors are involved </w:t>
      </w:r>
      <w:r w:rsidR="00E93C4B" w:rsidRPr="002661A8">
        <w:rPr>
          <w:rFonts w:ascii="Times New Roman" w:hAnsi="Times New Roman" w:cs="Times New Roman"/>
          <w:noProof/>
          <w:sz w:val="24"/>
          <w:szCs w:val="24"/>
        </w:rPr>
        <w:t xml:space="preserve">at multiple levels (EU and national) </w:t>
      </w:r>
      <w:r w:rsidRPr="002661A8">
        <w:rPr>
          <w:rFonts w:ascii="Times New Roman" w:hAnsi="Times New Roman" w:cs="Times New Roman"/>
          <w:noProof/>
          <w:sz w:val="24"/>
          <w:szCs w:val="24"/>
        </w:rPr>
        <w:t>in the adoption of decisions on the same supervisory issues, leading to duplication of assessments</w:t>
      </w:r>
      <w:r w:rsidR="00BD44B3" w:rsidRPr="002661A8">
        <w:rPr>
          <w:rFonts w:ascii="Times New Roman" w:hAnsi="Times New Roman" w:cs="Times New Roman"/>
          <w:noProof/>
          <w:sz w:val="24"/>
          <w:szCs w:val="24"/>
        </w:rPr>
        <w:t>,</w:t>
      </w:r>
      <w:r w:rsidRPr="002661A8">
        <w:rPr>
          <w:rFonts w:ascii="Times New Roman" w:hAnsi="Times New Roman" w:cs="Times New Roman"/>
          <w:noProof/>
          <w:sz w:val="24"/>
          <w:szCs w:val="24"/>
        </w:rPr>
        <w:t xml:space="preserve"> </w:t>
      </w:r>
      <w:r w:rsidR="00E36E82" w:rsidRPr="002661A8">
        <w:rPr>
          <w:rFonts w:ascii="Times New Roman" w:hAnsi="Times New Roman" w:cs="Times New Roman"/>
          <w:noProof/>
          <w:sz w:val="24"/>
          <w:szCs w:val="24"/>
        </w:rPr>
        <w:t>longer</w:t>
      </w:r>
      <w:r w:rsidRPr="002661A8">
        <w:rPr>
          <w:rFonts w:ascii="Times New Roman" w:hAnsi="Times New Roman" w:cs="Times New Roman"/>
          <w:noProof/>
          <w:sz w:val="24"/>
          <w:szCs w:val="24"/>
        </w:rPr>
        <w:t xml:space="preserve"> procedures (see </w:t>
      </w:r>
      <w:hyperlink w:anchor="_Complex,_lengthy,_and" w:history="1">
        <w:r w:rsidR="00797011" w:rsidRPr="002661A8">
          <w:rPr>
            <w:rStyle w:val="Hyperlink"/>
            <w:rFonts w:ascii="Times New Roman" w:hAnsi="Times New Roman" w:cs="Times New Roman"/>
            <w:noProof/>
            <w:sz w:val="24"/>
            <w:szCs w:val="24"/>
          </w:rPr>
          <w:t>S</w:t>
        </w:r>
        <w:r w:rsidRPr="002661A8">
          <w:rPr>
            <w:rStyle w:val="Hyperlink"/>
            <w:rFonts w:ascii="Times New Roman" w:hAnsi="Times New Roman" w:cs="Times New Roman"/>
            <w:noProof/>
            <w:sz w:val="24"/>
            <w:szCs w:val="24"/>
          </w:rPr>
          <w:t xml:space="preserve">ection </w:t>
        </w:r>
        <w:r w:rsidR="00797011" w:rsidRPr="002661A8">
          <w:rPr>
            <w:rStyle w:val="Hyperlink"/>
            <w:rFonts w:ascii="Times New Roman" w:hAnsi="Times New Roman" w:cs="Times New Roman"/>
            <w:noProof/>
            <w:sz w:val="24"/>
            <w:szCs w:val="24"/>
          </w:rPr>
          <w:t>3</w:t>
        </w:r>
        <w:r w:rsidRPr="002661A8">
          <w:rPr>
            <w:rStyle w:val="Hyperlink"/>
            <w:rFonts w:ascii="Times New Roman" w:hAnsi="Times New Roman" w:cs="Times New Roman"/>
            <w:noProof/>
            <w:sz w:val="24"/>
            <w:szCs w:val="24"/>
          </w:rPr>
          <w:t>.</w:t>
        </w:r>
        <w:r w:rsidR="00797011" w:rsidRPr="002661A8">
          <w:rPr>
            <w:rStyle w:val="Hyperlink"/>
            <w:rFonts w:ascii="Times New Roman" w:hAnsi="Times New Roman" w:cs="Times New Roman"/>
            <w:noProof/>
            <w:sz w:val="24"/>
            <w:szCs w:val="24"/>
          </w:rPr>
          <w:t>2</w:t>
        </w:r>
        <w:r w:rsidRPr="002661A8">
          <w:rPr>
            <w:rStyle w:val="Hyperlink"/>
            <w:rFonts w:ascii="Times New Roman" w:hAnsi="Times New Roman" w:cs="Times New Roman"/>
            <w:noProof/>
            <w:sz w:val="24"/>
            <w:szCs w:val="24"/>
          </w:rPr>
          <w:t>.1</w:t>
        </w:r>
      </w:hyperlink>
      <w:r w:rsidRPr="002661A8">
        <w:rPr>
          <w:rFonts w:ascii="Times New Roman" w:hAnsi="Times New Roman" w:cs="Times New Roman"/>
          <w:noProof/>
          <w:sz w:val="24"/>
          <w:szCs w:val="24"/>
        </w:rPr>
        <w:t>)</w:t>
      </w:r>
      <w:r w:rsidR="00BD44B3" w:rsidRPr="002661A8">
        <w:rPr>
          <w:rFonts w:ascii="Times New Roman" w:hAnsi="Times New Roman" w:cs="Times New Roman"/>
          <w:noProof/>
          <w:sz w:val="24"/>
          <w:szCs w:val="24"/>
        </w:rPr>
        <w:t xml:space="preserve"> and</w:t>
      </w:r>
      <w:r w:rsidR="00E36E82" w:rsidRPr="002661A8">
        <w:rPr>
          <w:rFonts w:ascii="Times New Roman" w:hAnsi="Times New Roman" w:cs="Times New Roman"/>
          <w:noProof/>
          <w:sz w:val="24"/>
          <w:szCs w:val="24"/>
        </w:rPr>
        <w:t xml:space="preserve"> increasing</w:t>
      </w:r>
      <w:r w:rsidR="00D658CB" w:rsidRPr="002661A8">
        <w:rPr>
          <w:rFonts w:ascii="Times New Roman" w:hAnsi="Times New Roman" w:cs="Times New Roman"/>
          <w:noProof/>
          <w:sz w:val="24"/>
          <w:szCs w:val="24"/>
        </w:rPr>
        <w:t xml:space="preserve"> compliance costs (see </w:t>
      </w:r>
      <w:hyperlink w:anchor="_Supply_side_problems" w:history="1">
        <w:r w:rsidR="00797011" w:rsidRPr="002661A8">
          <w:rPr>
            <w:rStyle w:val="Hyperlink"/>
            <w:rFonts w:ascii="Times New Roman" w:hAnsi="Times New Roman" w:cs="Times New Roman"/>
            <w:noProof/>
            <w:sz w:val="24"/>
            <w:szCs w:val="24"/>
          </w:rPr>
          <w:t>S</w:t>
        </w:r>
        <w:r w:rsidR="00D658CB" w:rsidRPr="002661A8">
          <w:rPr>
            <w:rStyle w:val="Hyperlink"/>
            <w:rFonts w:ascii="Times New Roman" w:hAnsi="Times New Roman" w:cs="Times New Roman"/>
            <w:noProof/>
            <w:sz w:val="24"/>
            <w:szCs w:val="24"/>
          </w:rPr>
          <w:t xml:space="preserve">ection </w:t>
        </w:r>
        <w:r w:rsidR="00797011" w:rsidRPr="002661A8">
          <w:rPr>
            <w:rStyle w:val="Hyperlink"/>
            <w:rFonts w:ascii="Times New Roman" w:hAnsi="Times New Roman" w:cs="Times New Roman"/>
            <w:noProof/>
            <w:sz w:val="24"/>
            <w:szCs w:val="24"/>
          </w:rPr>
          <w:t>3</w:t>
        </w:r>
        <w:r w:rsidR="00D658CB" w:rsidRPr="002661A8">
          <w:rPr>
            <w:rStyle w:val="Hyperlink"/>
            <w:rFonts w:ascii="Times New Roman" w:hAnsi="Times New Roman" w:cs="Times New Roman"/>
            <w:noProof/>
            <w:sz w:val="24"/>
            <w:szCs w:val="24"/>
          </w:rPr>
          <w:t>.1.1</w:t>
        </w:r>
      </w:hyperlink>
      <w:r w:rsidR="00D658CB" w:rsidRPr="002661A8">
        <w:rPr>
          <w:rFonts w:ascii="Times New Roman" w:hAnsi="Times New Roman" w:cs="Times New Roman"/>
          <w:noProof/>
          <w:sz w:val="24"/>
          <w:szCs w:val="24"/>
        </w:rPr>
        <w:t>)</w:t>
      </w:r>
      <w:r w:rsidR="00907ED0" w:rsidRPr="002661A8">
        <w:rPr>
          <w:rFonts w:ascii="Times New Roman" w:hAnsi="Times New Roman" w:cs="Times New Roman"/>
          <w:noProof/>
          <w:sz w:val="24"/>
          <w:szCs w:val="24"/>
        </w:rPr>
        <w:t>. Second,</w:t>
      </w:r>
      <w:r w:rsidRPr="002661A8" w:rsidDel="00797011">
        <w:rPr>
          <w:rFonts w:ascii="Times New Roman" w:hAnsi="Times New Roman" w:cs="Times New Roman"/>
          <w:noProof/>
          <w:sz w:val="24"/>
          <w:szCs w:val="24"/>
        </w:rPr>
        <w:t xml:space="preserve"> </w:t>
      </w:r>
      <w:r w:rsidR="00746C05" w:rsidRPr="002661A8">
        <w:rPr>
          <w:rFonts w:ascii="Times New Roman" w:hAnsi="Times New Roman" w:cs="Times New Roman"/>
          <w:noProof/>
          <w:sz w:val="24"/>
          <w:szCs w:val="24"/>
        </w:rPr>
        <w:t>NCAs</w:t>
      </w:r>
      <w:r w:rsidR="00797011" w:rsidRPr="002661A8">
        <w:rPr>
          <w:rFonts w:ascii="Times New Roman" w:hAnsi="Times New Roman" w:cs="Times New Roman"/>
          <w:noProof/>
          <w:sz w:val="24"/>
          <w:szCs w:val="24"/>
        </w:rPr>
        <w:t xml:space="preserve"> </w:t>
      </w:r>
      <w:r w:rsidR="00E36E82" w:rsidRPr="002661A8">
        <w:rPr>
          <w:rFonts w:ascii="Times New Roman" w:hAnsi="Times New Roman" w:cs="Times New Roman"/>
          <w:noProof/>
          <w:sz w:val="24"/>
          <w:szCs w:val="24"/>
        </w:rPr>
        <w:t>need</w:t>
      </w:r>
      <w:r w:rsidRPr="002661A8">
        <w:rPr>
          <w:rFonts w:ascii="Times New Roman" w:hAnsi="Times New Roman" w:cs="Times New Roman"/>
          <w:noProof/>
          <w:sz w:val="24"/>
          <w:szCs w:val="24"/>
        </w:rPr>
        <w:t xml:space="preserve"> ESMA’s opinion before adopting a limited number of supervisory decisions</w:t>
      </w:r>
      <w:r w:rsidR="007B3F3A" w:rsidRPr="002661A8">
        <w:rPr>
          <w:rFonts w:ascii="Times New Roman" w:hAnsi="Times New Roman" w:cs="Times New Roman"/>
          <w:noProof/>
          <w:sz w:val="24"/>
          <w:szCs w:val="24"/>
        </w:rPr>
        <w:t xml:space="preserve">, </w:t>
      </w:r>
      <w:r w:rsidR="00BD44B3" w:rsidRPr="002661A8">
        <w:rPr>
          <w:rFonts w:ascii="Times New Roman" w:hAnsi="Times New Roman" w:cs="Times New Roman"/>
          <w:noProof/>
          <w:sz w:val="24"/>
          <w:szCs w:val="24"/>
        </w:rPr>
        <w:t>leading to</w:t>
      </w:r>
      <w:r w:rsidR="007B3F3A" w:rsidRPr="002661A8">
        <w:rPr>
          <w:rFonts w:ascii="Times New Roman" w:hAnsi="Times New Roman" w:cs="Times New Roman"/>
          <w:noProof/>
          <w:sz w:val="24"/>
          <w:szCs w:val="24"/>
        </w:rPr>
        <w:t xml:space="preserve"> divergent supervisory approaches</w:t>
      </w:r>
      <w:r w:rsidR="00D658CB" w:rsidRPr="002661A8">
        <w:rPr>
          <w:rFonts w:ascii="Times New Roman" w:hAnsi="Times New Roman" w:cs="Times New Roman"/>
          <w:noProof/>
          <w:sz w:val="24"/>
          <w:szCs w:val="24"/>
        </w:rPr>
        <w:t xml:space="preserve"> and an insufficient consideration of cross-border risks (see </w:t>
      </w:r>
      <w:hyperlink w:anchor="_Insufficient_consideration_of" w:history="1">
        <w:r w:rsidR="00797011" w:rsidRPr="002661A8">
          <w:rPr>
            <w:rStyle w:val="Hyperlink"/>
            <w:rFonts w:ascii="Times New Roman" w:hAnsi="Times New Roman" w:cs="Times New Roman"/>
            <w:noProof/>
            <w:sz w:val="24"/>
            <w:szCs w:val="24"/>
          </w:rPr>
          <w:t>S</w:t>
        </w:r>
        <w:r w:rsidR="00D658CB" w:rsidRPr="002661A8">
          <w:rPr>
            <w:rStyle w:val="Hyperlink"/>
            <w:rFonts w:ascii="Times New Roman" w:hAnsi="Times New Roman" w:cs="Times New Roman"/>
            <w:noProof/>
            <w:sz w:val="24"/>
            <w:szCs w:val="24"/>
          </w:rPr>
          <w:t xml:space="preserve">ection </w:t>
        </w:r>
        <w:r w:rsidR="00797011" w:rsidRPr="002661A8">
          <w:rPr>
            <w:rStyle w:val="Hyperlink"/>
            <w:rFonts w:ascii="Times New Roman" w:hAnsi="Times New Roman" w:cs="Times New Roman"/>
            <w:noProof/>
            <w:sz w:val="24"/>
            <w:szCs w:val="24"/>
          </w:rPr>
          <w:t>3</w:t>
        </w:r>
        <w:r w:rsidR="00D658CB" w:rsidRPr="002661A8">
          <w:rPr>
            <w:rStyle w:val="Hyperlink"/>
            <w:rFonts w:ascii="Times New Roman" w:hAnsi="Times New Roman" w:cs="Times New Roman"/>
            <w:noProof/>
            <w:sz w:val="24"/>
            <w:szCs w:val="24"/>
          </w:rPr>
          <w:t>.1.3</w:t>
        </w:r>
      </w:hyperlink>
      <w:r w:rsidR="00D658CB" w:rsidRPr="002661A8">
        <w:rPr>
          <w:rFonts w:ascii="Times New Roman" w:hAnsi="Times New Roman" w:cs="Times New Roman"/>
          <w:noProof/>
          <w:sz w:val="24"/>
          <w:szCs w:val="24"/>
        </w:rPr>
        <w:t>)</w:t>
      </w:r>
      <w:r w:rsidR="00907ED0" w:rsidRPr="002661A8">
        <w:rPr>
          <w:rFonts w:ascii="Times New Roman" w:hAnsi="Times New Roman" w:cs="Times New Roman"/>
          <w:noProof/>
          <w:sz w:val="24"/>
          <w:szCs w:val="24"/>
        </w:rPr>
        <w:t xml:space="preserve">. Third, </w:t>
      </w:r>
      <w:r w:rsidRPr="002661A8">
        <w:rPr>
          <w:rFonts w:ascii="Times New Roman" w:hAnsi="Times New Roman" w:cs="Times New Roman"/>
          <w:noProof/>
          <w:sz w:val="24"/>
          <w:szCs w:val="24"/>
        </w:rPr>
        <w:t xml:space="preserve">central banks of issue are </w:t>
      </w:r>
      <w:r w:rsidR="00BD44B3" w:rsidRPr="002661A8">
        <w:rPr>
          <w:rFonts w:ascii="Times New Roman" w:hAnsi="Times New Roman" w:cs="Times New Roman"/>
          <w:noProof/>
          <w:sz w:val="24"/>
          <w:szCs w:val="24"/>
        </w:rPr>
        <w:t>in</w:t>
      </w:r>
      <w:r w:rsidRPr="002661A8">
        <w:rPr>
          <w:rFonts w:ascii="Times New Roman" w:hAnsi="Times New Roman" w:cs="Times New Roman"/>
          <w:noProof/>
          <w:sz w:val="24"/>
          <w:szCs w:val="24"/>
        </w:rPr>
        <w:t xml:space="preserve">sufficiently involved on </w:t>
      </w:r>
      <w:r w:rsidR="00FB51B8" w:rsidRPr="002661A8">
        <w:rPr>
          <w:rFonts w:ascii="Times New Roman" w:hAnsi="Times New Roman" w:cs="Times New Roman"/>
          <w:noProof/>
          <w:sz w:val="24"/>
          <w:szCs w:val="24"/>
        </w:rPr>
        <w:t xml:space="preserve">EU CCP </w:t>
      </w:r>
      <w:r w:rsidRPr="002661A8">
        <w:rPr>
          <w:rFonts w:ascii="Times New Roman" w:hAnsi="Times New Roman" w:cs="Times New Roman"/>
          <w:noProof/>
          <w:sz w:val="24"/>
          <w:szCs w:val="24"/>
        </w:rPr>
        <w:t>supervisory matters that are of direct relevance to the conduct of monetary policy and the smooth operation of payments systems</w:t>
      </w:r>
      <w:r w:rsidR="00D658CB" w:rsidRPr="002661A8">
        <w:rPr>
          <w:rFonts w:ascii="Times New Roman" w:hAnsi="Times New Roman" w:cs="Times New Roman"/>
          <w:noProof/>
          <w:sz w:val="24"/>
          <w:szCs w:val="24"/>
        </w:rPr>
        <w:t xml:space="preserve">, leading to insufficient consideration of cross-border risks (see </w:t>
      </w:r>
      <w:hyperlink w:anchor="_Insufficient_consideration_of" w:history="1">
        <w:r w:rsidR="003E4C97" w:rsidRPr="002661A8">
          <w:rPr>
            <w:rStyle w:val="Hyperlink"/>
            <w:rFonts w:ascii="Times New Roman" w:hAnsi="Times New Roman" w:cs="Times New Roman"/>
            <w:noProof/>
            <w:sz w:val="24"/>
            <w:szCs w:val="24"/>
          </w:rPr>
          <w:t>S</w:t>
        </w:r>
        <w:r w:rsidR="00D658CB" w:rsidRPr="002661A8">
          <w:rPr>
            <w:rStyle w:val="Hyperlink"/>
            <w:rFonts w:ascii="Times New Roman" w:hAnsi="Times New Roman" w:cs="Times New Roman"/>
            <w:noProof/>
            <w:sz w:val="24"/>
            <w:szCs w:val="24"/>
          </w:rPr>
          <w:t xml:space="preserve">ection </w:t>
        </w:r>
        <w:r w:rsidR="00797011" w:rsidRPr="002661A8">
          <w:rPr>
            <w:rStyle w:val="Hyperlink"/>
            <w:rFonts w:ascii="Times New Roman" w:hAnsi="Times New Roman" w:cs="Times New Roman"/>
            <w:noProof/>
            <w:sz w:val="24"/>
            <w:szCs w:val="24"/>
          </w:rPr>
          <w:t>3</w:t>
        </w:r>
        <w:r w:rsidR="00D658CB" w:rsidRPr="002661A8">
          <w:rPr>
            <w:rStyle w:val="Hyperlink"/>
            <w:rFonts w:ascii="Times New Roman" w:hAnsi="Times New Roman" w:cs="Times New Roman"/>
            <w:noProof/>
            <w:sz w:val="24"/>
            <w:szCs w:val="24"/>
          </w:rPr>
          <w:t>.1.3</w:t>
        </w:r>
      </w:hyperlink>
      <w:r w:rsidR="00D658CB" w:rsidRPr="002661A8">
        <w:rPr>
          <w:rFonts w:ascii="Times New Roman" w:hAnsi="Times New Roman" w:cs="Times New Roman"/>
          <w:noProof/>
          <w:sz w:val="24"/>
          <w:szCs w:val="24"/>
        </w:rPr>
        <w:t>)</w:t>
      </w:r>
      <w:r w:rsidRPr="002661A8">
        <w:rPr>
          <w:rFonts w:ascii="Times New Roman" w:hAnsi="Times New Roman" w:cs="Times New Roman"/>
          <w:noProof/>
          <w:sz w:val="24"/>
          <w:szCs w:val="24"/>
        </w:rPr>
        <w:t>.</w:t>
      </w:r>
      <w:r w:rsidR="00907ED0" w:rsidRPr="002661A8">
        <w:rPr>
          <w:rFonts w:ascii="Times New Roman" w:hAnsi="Times New Roman" w:cs="Times New Roman"/>
          <w:noProof/>
          <w:sz w:val="24"/>
          <w:szCs w:val="24"/>
        </w:rPr>
        <w:t xml:space="preserve"> </w:t>
      </w:r>
      <w:r w:rsidR="00981EB7" w:rsidRPr="002661A8">
        <w:rPr>
          <w:rFonts w:ascii="Times New Roman" w:eastAsia="Times New Roman" w:hAnsi="Times New Roman" w:cs="Times New Roman"/>
          <w:noProof/>
          <w:sz w:val="24"/>
          <w:szCs w:val="24"/>
          <w:lang w:eastAsia="en-GB"/>
        </w:rPr>
        <w:t>According to ESMA, this creates a “</w:t>
      </w:r>
      <w:r w:rsidR="00981EB7" w:rsidRPr="002661A8">
        <w:rPr>
          <w:rFonts w:ascii="Times New Roman" w:eastAsia="Times New Roman" w:hAnsi="Times New Roman" w:cs="Times New Roman"/>
          <w:i/>
          <w:noProof/>
          <w:sz w:val="24"/>
          <w:szCs w:val="24"/>
          <w:lang w:eastAsia="en-GB"/>
        </w:rPr>
        <w:t>complex, inconsistent and sometimes duplicative system resulting in long procedures and possible uncertainties regarding the expected outcome of supervisory processes</w:t>
      </w:r>
      <w:r w:rsidR="00981EB7" w:rsidRPr="002661A8">
        <w:rPr>
          <w:rFonts w:ascii="Times New Roman" w:eastAsia="Times New Roman" w:hAnsi="Times New Roman" w:cs="Times New Roman"/>
          <w:noProof/>
          <w:sz w:val="24"/>
          <w:szCs w:val="24"/>
          <w:lang w:eastAsia="en-GB"/>
        </w:rPr>
        <w:t>”</w:t>
      </w:r>
      <w:bookmarkStart w:id="359" w:name="_Ref120290257"/>
      <w:r w:rsidR="00981EB7" w:rsidRPr="002661A8">
        <w:rPr>
          <w:rStyle w:val="FootnoteReference"/>
          <w:rFonts w:ascii="Times New Roman" w:eastAsia="Times New Roman" w:hAnsi="Times New Roman" w:cs="Times New Roman"/>
          <w:noProof/>
          <w:sz w:val="24"/>
          <w:szCs w:val="24"/>
          <w:lang w:eastAsia="en-GB"/>
        </w:rPr>
        <w:footnoteReference w:id="101"/>
      </w:r>
      <w:bookmarkEnd w:id="359"/>
      <w:r w:rsidRPr="002661A8">
        <w:rPr>
          <w:rFonts w:ascii="Times New Roman" w:hAnsi="Times New Roman" w:cs="Times New Roman"/>
          <w:noProof/>
          <w:sz w:val="24"/>
          <w:szCs w:val="24"/>
        </w:rPr>
        <w:t>.</w:t>
      </w:r>
    </w:p>
    <w:p w14:paraId="458BD3E2" w14:textId="6A14472E" w:rsidR="00CE01C1" w:rsidRPr="002661A8" w:rsidRDefault="00907ED0" w:rsidP="007E0936">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Regarding</w:t>
      </w:r>
      <w:r w:rsidR="00CE01C1" w:rsidRPr="002661A8">
        <w:rPr>
          <w:rFonts w:ascii="Times New Roman" w:hAnsi="Times New Roman" w:cs="Times New Roman"/>
          <w:noProof/>
          <w:sz w:val="24"/>
          <w:szCs w:val="24"/>
        </w:rPr>
        <w:t xml:space="preserve"> </w:t>
      </w:r>
      <w:r w:rsidR="00E36E82" w:rsidRPr="002661A8">
        <w:rPr>
          <w:rFonts w:ascii="Times New Roman" w:hAnsi="Times New Roman" w:cs="Times New Roman"/>
          <w:noProof/>
          <w:sz w:val="24"/>
          <w:szCs w:val="24"/>
        </w:rPr>
        <w:t>the first two points</w:t>
      </w:r>
      <w:r w:rsidR="00CE01C1" w:rsidRPr="002661A8">
        <w:rPr>
          <w:rFonts w:ascii="Times New Roman" w:hAnsi="Times New Roman" w:cs="Times New Roman"/>
          <w:noProof/>
          <w:sz w:val="24"/>
          <w:szCs w:val="24"/>
        </w:rPr>
        <w:t xml:space="preserve">, EMIR 2.2 introduced a structure where while </w:t>
      </w:r>
      <w:r w:rsidR="00746C05" w:rsidRPr="002661A8">
        <w:rPr>
          <w:rFonts w:ascii="Times New Roman" w:hAnsi="Times New Roman" w:cs="Times New Roman"/>
          <w:noProof/>
          <w:sz w:val="24"/>
          <w:szCs w:val="24"/>
        </w:rPr>
        <w:t>NCA</w:t>
      </w:r>
      <w:r w:rsidR="00CE01C1" w:rsidRPr="002661A8">
        <w:rPr>
          <w:rFonts w:ascii="Times New Roman" w:hAnsi="Times New Roman" w:cs="Times New Roman"/>
          <w:noProof/>
          <w:sz w:val="24"/>
          <w:szCs w:val="24"/>
        </w:rPr>
        <w:t xml:space="preserve">s remain responsible for the adoption of supervisory decisions, for </w:t>
      </w:r>
      <w:r w:rsidR="007D78D0" w:rsidRPr="002661A8">
        <w:rPr>
          <w:rFonts w:ascii="Times New Roman" w:hAnsi="Times New Roman" w:cs="Times New Roman"/>
          <w:noProof/>
          <w:sz w:val="24"/>
          <w:szCs w:val="24"/>
        </w:rPr>
        <w:t>some</w:t>
      </w:r>
      <w:r w:rsidR="00CE01C1" w:rsidRPr="002661A8">
        <w:rPr>
          <w:rFonts w:ascii="Times New Roman" w:hAnsi="Times New Roman" w:cs="Times New Roman"/>
          <w:noProof/>
          <w:sz w:val="24"/>
          <w:szCs w:val="24"/>
        </w:rPr>
        <w:t xml:space="preserve"> supervisory issues, the opinion of ESMA or the college (or, in certain cases, both) are required</w:t>
      </w:r>
      <w:r w:rsidR="00E53EE4" w:rsidRPr="002661A8">
        <w:rPr>
          <w:rFonts w:ascii="Times New Roman" w:hAnsi="Times New Roman" w:cs="Times New Roman"/>
          <w:noProof/>
          <w:sz w:val="24"/>
          <w:szCs w:val="24"/>
        </w:rPr>
        <w:t xml:space="preserve"> (see </w:t>
      </w:r>
      <w:r w:rsidR="00D93424" w:rsidRPr="002661A8">
        <w:rPr>
          <w:rFonts w:ascii="Times New Roman" w:hAnsi="Times New Roman" w:cs="Times New Roman"/>
          <w:noProof/>
          <w:sz w:val="24"/>
          <w:szCs w:val="24"/>
        </w:rPr>
        <w:t>T</w:t>
      </w:r>
      <w:r w:rsidR="00E53EE4" w:rsidRPr="002661A8">
        <w:rPr>
          <w:rFonts w:ascii="Times New Roman" w:hAnsi="Times New Roman" w:cs="Times New Roman"/>
          <w:noProof/>
          <w:sz w:val="24"/>
          <w:szCs w:val="24"/>
        </w:rPr>
        <w:t>able 3</w:t>
      </w:r>
      <w:r w:rsidR="00E36E82" w:rsidRPr="002661A8">
        <w:rPr>
          <w:rFonts w:ascii="Times New Roman" w:hAnsi="Times New Roman" w:cs="Times New Roman"/>
          <w:noProof/>
          <w:sz w:val="24"/>
          <w:szCs w:val="24"/>
        </w:rPr>
        <w:t>,</w:t>
      </w:r>
      <w:r w:rsidR="00E53EE4" w:rsidRPr="002661A8">
        <w:rPr>
          <w:rFonts w:ascii="Times New Roman" w:hAnsi="Times New Roman" w:cs="Times New Roman"/>
          <w:noProof/>
          <w:sz w:val="24"/>
          <w:szCs w:val="24"/>
        </w:rPr>
        <w:t xml:space="preserve"> Annex 5)</w:t>
      </w:r>
      <w:r w:rsidR="00CE01C1" w:rsidRPr="002661A8">
        <w:rPr>
          <w:rFonts w:ascii="Times New Roman" w:hAnsi="Times New Roman" w:cs="Times New Roman"/>
          <w:noProof/>
          <w:sz w:val="24"/>
          <w:szCs w:val="24"/>
        </w:rPr>
        <w:t xml:space="preserve">. </w:t>
      </w:r>
      <w:r w:rsidR="006F22D0" w:rsidRPr="002661A8">
        <w:rPr>
          <w:rFonts w:ascii="Times New Roman" w:eastAsia="Calibri" w:hAnsi="Times New Roman" w:cs="Times New Roman"/>
          <w:noProof/>
          <w:sz w:val="24"/>
          <w:szCs w:val="24"/>
        </w:rPr>
        <w:t xml:space="preserve">In practice, this means that for a new application by a CCP: the home </w:t>
      </w:r>
      <w:r w:rsidR="00746C05" w:rsidRPr="002661A8">
        <w:rPr>
          <w:rFonts w:ascii="Times New Roman" w:eastAsia="Calibri" w:hAnsi="Times New Roman" w:cs="Times New Roman"/>
          <w:noProof/>
          <w:sz w:val="24"/>
          <w:szCs w:val="24"/>
        </w:rPr>
        <w:t>NCA</w:t>
      </w:r>
      <w:r w:rsidR="00CA099F" w:rsidRPr="002661A8">
        <w:rPr>
          <w:rFonts w:ascii="Times New Roman" w:eastAsia="Calibri" w:hAnsi="Times New Roman" w:cs="Times New Roman"/>
          <w:noProof/>
          <w:sz w:val="24"/>
          <w:szCs w:val="24"/>
        </w:rPr>
        <w:t xml:space="preserve"> </w:t>
      </w:r>
      <w:r w:rsidR="001175DB" w:rsidRPr="002661A8">
        <w:rPr>
          <w:rFonts w:ascii="Times New Roman" w:eastAsia="Calibri" w:hAnsi="Times New Roman" w:cs="Times New Roman"/>
          <w:noProof/>
          <w:sz w:val="24"/>
          <w:szCs w:val="24"/>
        </w:rPr>
        <w:t>needs</w:t>
      </w:r>
      <w:r w:rsidR="006F22D0" w:rsidRPr="002661A8">
        <w:rPr>
          <w:rFonts w:ascii="Times New Roman" w:eastAsia="Calibri" w:hAnsi="Times New Roman" w:cs="Times New Roman"/>
          <w:noProof/>
          <w:sz w:val="24"/>
          <w:szCs w:val="24"/>
        </w:rPr>
        <w:t xml:space="preserve"> to prepare a risk assessment of the CCP and a draft decision; the ESMA CCP Supervisory Committee is then asked to adopt a draft Opinion on the </w:t>
      </w:r>
      <w:r w:rsidR="00746C05" w:rsidRPr="002661A8">
        <w:rPr>
          <w:rFonts w:ascii="Times New Roman" w:eastAsia="Calibri" w:hAnsi="Times New Roman" w:cs="Times New Roman"/>
          <w:noProof/>
          <w:sz w:val="24"/>
          <w:szCs w:val="24"/>
        </w:rPr>
        <w:t>NCA</w:t>
      </w:r>
      <w:r w:rsidR="00CA099F" w:rsidRPr="002661A8">
        <w:rPr>
          <w:rFonts w:ascii="Times New Roman" w:eastAsia="Calibri" w:hAnsi="Times New Roman" w:cs="Times New Roman"/>
          <w:noProof/>
          <w:sz w:val="24"/>
          <w:szCs w:val="24"/>
        </w:rPr>
        <w:t>’s</w:t>
      </w:r>
      <w:r w:rsidR="006F22D0" w:rsidRPr="002661A8">
        <w:rPr>
          <w:rFonts w:ascii="Times New Roman" w:eastAsia="Calibri" w:hAnsi="Times New Roman" w:cs="Times New Roman"/>
          <w:noProof/>
          <w:sz w:val="24"/>
          <w:szCs w:val="24"/>
        </w:rPr>
        <w:t xml:space="preserve"> decision where necessary to promote a consistent and coherent application of the EMIR requirement concerned by the application; and the college is asked to adopt an Opinion determining whether the applicant CCP complies with all the requirements under EMIR. </w:t>
      </w:r>
      <w:r w:rsidR="00CE01C1" w:rsidRPr="002661A8">
        <w:rPr>
          <w:rFonts w:ascii="Times New Roman" w:hAnsi="Times New Roman" w:cs="Times New Roman"/>
          <w:noProof/>
          <w:sz w:val="24"/>
          <w:szCs w:val="24"/>
        </w:rPr>
        <w:t>While ESMA’s Board of Supervisors</w:t>
      </w:r>
      <w:r w:rsidR="007B3F3A" w:rsidRPr="002661A8">
        <w:rPr>
          <w:rFonts w:ascii="Times New Roman" w:hAnsi="Times New Roman" w:cs="Times New Roman"/>
          <w:noProof/>
          <w:sz w:val="24"/>
          <w:szCs w:val="24"/>
        </w:rPr>
        <w:t>,</w:t>
      </w:r>
      <w:r w:rsidR="00CE01C1" w:rsidRPr="002661A8">
        <w:rPr>
          <w:rFonts w:ascii="Times New Roman" w:hAnsi="Times New Roman" w:cs="Times New Roman"/>
          <w:noProof/>
          <w:sz w:val="24"/>
          <w:szCs w:val="24"/>
        </w:rPr>
        <w:t xml:space="preserve"> the CCP Supervisory Committee, and the college</w:t>
      </w:r>
      <w:r w:rsidR="00A040C4" w:rsidRPr="002661A8">
        <w:rPr>
          <w:rFonts w:ascii="Times New Roman" w:hAnsi="Times New Roman" w:cs="Times New Roman"/>
          <w:noProof/>
          <w:sz w:val="24"/>
          <w:szCs w:val="24"/>
        </w:rPr>
        <w:t xml:space="preserve"> </w:t>
      </w:r>
      <w:r w:rsidR="00EC31BA" w:rsidRPr="002661A8">
        <w:rPr>
          <w:rFonts w:ascii="Times New Roman" w:hAnsi="Times New Roman" w:cs="Times New Roman"/>
          <w:noProof/>
          <w:sz w:val="24"/>
          <w:szCs w:val="24"/>
        </w:rPr>
        <w:t>have each a different composition which partially justifies</w:t>
      </w:r>
      <w:r w:rsidR="00CE01C1" w:rsidRPr="002661A8">
        <w:rPr>
          <w:rFonts w:ascii="Times New Roman" w:hAnsi="Times New Roman" w:cs="Times New Roman"/>
          <w:noProof/>
          <w:sz w:val="24"/>
          <w:szCs w:val="24"/>
        </w:rPr>
        <w:t xml:space="preserve"> the requirement to consult </w:t>
      </w:r>
      <w:r w:rsidR="007B3F3A" w:rsidRPr="002661A8">
        <w:rPr>
          <w:rFonts w:ascii="Times New Roman" w:hAnsi="Times New Roman" w:cs="Times New Roman"/>
          <w:noProof/>
          <w:sz w:val="24"/>
          <w:szCs w:val="24"/>
        </w:rPr>
        <w:t>all</w:t>
      </w:r>
      <w:r w:rsidR="00CE01C1" w:rsidRPr="002661A8">
        <w:rPr>
          <w:rFonts w:ascii="Times New Roman" w:hAnsi="Times New Roman" w:cs="Times New Roman"/>
          <w:noProof/>
          <w:sz w:val="24"/>
          <w:szCs w:val="24"/>
        </w:rPr>
        <w:t xml:space="preserve"> these bodies, the current structure leads to inefficient cooperation </w:t>
      </w:r>
      <w:r w:rsidR="00CE01C1" w:rsidRPr="002661A8">
        <w:rPr>
          <w:rFonts w:ascii="Times New Roman" w:hAnsi="Times New Roman" w:cs="Times New Roman"/>
          <w:b/>
          <w:noProof/>
          <w:sz w:val="24"/>
          <w:szCs w:val="24"/>
        </w:rPr>
        <w:t xml:space="preserve">as the same matters are discussed in </w:t>
      </w:r>
      <w:r w:rsidR="007B3F3A" w:rsidRPr="002661A8">
        <w:rPr>
          <w:rFonts w:ascii="Times New Roman" w:hAnsi="Times New Roman" w:cs="Times New Roman"/>
          <w:b/>
          <w:noProof/>
          <w:sz w:val="24"/>
          <w:szCs w:val="24"/>
        </w:rPr>
        <w:t>three</w:t>
      </w:r>
      <w:r w:rsidR="00CE01C1" w:rsidRPr="002661A8">
        <w:rPr>
          <w:rFonts w:ascii="Times New Roman" w:hAnsi="Times New Roman" w:cs="Times New Roman"/>
          <w:b/>
          <w:noProof/>
          <w:sz w:val="24"/>
          <w:szCs w:val="24"/>
        </w:rPr>
        <w:t xml:space="preserve"> </w:t>
      </w:r>
      <w:r w:rsidR="00EC31BA" w:rsidRPr="002661A8">
        <w:rPr>
          <w:rFonts w:ascii="Times New Roman" w:hAnsi="Times New Roman" w:cs="Times New Roman"/>
          <w:b/>
          <w:noProof/>
          <w:sz w:val="24"/>
          <w:szCs w:val="24"/>
        </w:rPr>
        <w:t>fora. This effectively</w:t>
      </w:r>
      <w:r w:rsidR="00CE01C1" w:rsidRPr="002661A8">
        <w:rPr>
          <w:rFonts w:ascii="Times New Roman" w:hAnsi="Times New Roman" w:cs="Times New Roman"/>
          <w:noProof/>
          <w:sz w:val="24"/>
          <w:szCs w:val="24"/>
        </w:rPr>
        <w:t xml:space="preserve"> </w:t>
      </w:r>
      <w:r w:rsidR="00CE01C1" w:rsidRPr="002661A8">
        <w:rPr>
          <w:rFonts w:ascii="Times New Roman" w:hAnsi="Times New Roman" w:cs="Times New Roman"/>
          <w:b/>
          <w:noProof/>
          <w:sz w:val="24"/>
          <w:szCs w:val="24"/>
        </w:rPr>
        <w:t>increas</w:t>
      </w:r>
      <w:r w:rsidR="00EC31BA" w:rsidRPr="002661A8">
        <w:rPr>
          <w:rFonts w:ascii="Times New Roman" w:hAnsi="Times New Roman" w:cs="Times New Roman"/>
          <w:b/>
          <w:noProof/>
          <w:sz w:val="24"/>
          <w:szCs w:val="24"/>
        </w:rPr>
        <w:t>es</w:t>
      </w:r>
      <w:r w:rsidR="00CE01C1" w:rsidRPr="002661A8">
        <w:rPr>
          <w:rFonts w:ascii="Times New Roman" w:hAnsi="Times New Roman" w:cs="Times New Roman"/>
          <w:b/>
          <w:noProof/>
          <w:sz w:val="24"/>
          <w:szCs w:val="24"/>
        </w:rPr>
        <w:t xml:space="preserve"> costs </w:t>
      </w:r>
      <w:r w:rsidR="00CE01C1" w:rsidRPr="002661A8">
        <w:rPr>
          <w:rFonts w:ascii="Times New Roman" w:hAnsi="Times New Roman" w:cs="Times New Roman"/>
          <w:noProof/>
          <w:sz w:val="24"/>
          <w:szCs w:val="24"/>
        </w:rPr>
        <w:t xml:space="preserve">for the authorities </w:t>
      </w:r>
      <w:r w:rsidR="00EC31BA" w:rsidRPr="002661A8">
        <w:rPr>
          <w:rFonts w:ascii="Times New Roman" w:hAnsi="Times New Roman" w:cs="Times New Roman"/>
          <w:noProof/>
          <w:sz w:val="24"/>
          <w:szCs w:val="24"/>
        </w:rPr>
        <w:t xml:space="preserve">involved </w:t>
      </w:r>
      <w:r w:rsidR="006A19A5" w:rsidRPr="002661A8">
        <w:rPr>
          <w:rFonts w:ascii="Times New Roman" w:hAnsi="Times New Roman" w:cs="Times New Roman"/>
          <w:noProof/>
          <w:sz w:val="24"/>
          <w:szCs w:val="24"/>
        </w:rPr>
        <w:t>and</w:t>
      </w:r>
      <w:r w:rsidR="00CE01C1" w:rsidRPr="002661A8">
        <w:rPr>
          <w:rFonts w:ascii="Times New Roman" w:hAnsi="Times New Roman" w:cs="Times New Roman"/>
          <w:noProof/>
          <w:sz w:val="24"/>
          <w:szCs w:val="24"/>
        </w:rPr>
        <w:t xml:space="preserve"> </w:t>
      </w:r>
      <w:r w:rsidR="00E36E82" w:rsidRPr="002661A8">
        <w:rPr>
          <w:rFonts w:ascii="Times New Roman" w:hAnsi="Times New Roman" w:cs="Times New Roman"/>
          <w:noProof/>
          <w:sz w:val="24"/>
          <w:szCs w:val="24"/>
        </w:rPr>
        <w:t xml:space="preserve">for </w:t>
      </w:r>
      <w:r w:rsidR="00CE01C1" w:rsidRPr="002661A8">
        <w:rPr>
          <w:rFonts w:ascii="Times New Roman" w:hAnsi="Times New Roman" w:cs="Times New Roman"/>
          <w:noProof/>
          <w:sz w:val="24"/>
          <w:szCs w:val="24"/>
        </w:rPr>
        <w:t xml:space="preserve">CCPs (see </w:t>
      </w:r>
      <w:hyperlink w:anchor="_Complex,_lengthy,_and" w:history="1">
        <w:r w:rsidR="00CE01C1" w:rsidRPr="002661A8">
          <w:rPr>
            <w:rStyle w:val="Hyperlink"/>
            <w:rFonts w:ascii="Times New Roman" w:hAnsi="Times New Roman" w:cs="Times New Roman"/>
            <w:noProof/>
            <w:sz w:val="24"/>
            <w:szCs w:val="24"/>
          </w:rPr>
          <w:t xml:space="preserve">Section </w:t>
        </w:r>
        <w:r w:rsidR="00CA099F" w:rsidRPr="002661A8">
          <w:rPr>
            <w:rStyle w:val="Hyperlink"/>
            <w:rFonts w:ascii="Times New Roman" w:hAnsi="Times New Roman" w:cs="Times New Roman"/>
            <w:noProof/>
            <w:sz w:val="24"/>
            <w:szCs w:val="24"/>
          </w:rPr>
          <w:t>3</w:t>
        </w:r>
        <w:r w:rsidR="00CE01C1" w:rsidRPr="002661A8">
          <w:rPr>
            <w:rStyle w:val="Hyperlink"/>
            <w:rFonts w:ascii="Times New Roman" w:hAnsi="Times New Roman" w:cs="Times New Roman"/>
            <w:noProof/>
            <w:sz w:val="24"/>
            <w:szCs w:val="24"/>
          </w:rPr>
          <w:t>.2.</w:t>
        </w:r>
        <w:r w:rsidR="00A040C4" w:rsidRPr="002661A8">
          <w:rPr>
            <w:rStyle w:val="Hyperlink"/>
            <w:rFonts w:ascii="Times New Roman" w:hAnsi="Times New Roman" w:cs="Times New Roman"/>
            <w:noProof/>
            <w:sz w:val="24"/>
            <w:szCs w:val="24"/>
          </w:rPr>
          <w:t>1</w:t>
        </w:r>
      </w:hyperlink>
      <w:r w:rsidR="00CE01C1" w:rsidRPr="002661A8">
        <w:rPr>
          <w:rFonts w:ascii="Times New Roman" w:hAnsi="Times New Roman" w:cs="Times New Roman"/>
          <w:noProof/>
          <w:sz w:val="24"/>
          <w:szCs w:val="24"/>
        </w:rPr>
        <w:t xml:space="preserve">). </w:t>
      </w:r>
    </w:p>
    <w:p w14:paraId="2AC6AD8A" w14:textId="24EC1488" w:rsidR="00CE01C1" w:rsidRPr="002661A8" w:rsidRDefault="00746C05" w:rsidP="007E0936">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NCAs</w:t>
      </w:r>
      <w:r w:rsidR="00CE01C1" w:rsidRPr="002661A8">
        <w:rPr>
          <w:rFonts w:ascii="Times New Roman" w:hAnsi="Times New Roman" w:cs="Times New Roman"/>
          <w:noProof/>
          <w:sz w:val="24"/>
          <w:szCs w:val="24"/>
        </w:rPr>
        <w:t xml:space="preserve"> </w:t>
      </w:r>
      <w:r w:rsidR="00F31942" w:rsidRPr="002661A8">
        <w:rPr>
          <w:rFonts w:ascii="Times New Roman" w:hAnsi="Times New Roman" w:cs="Times New Roman"/>
          <w:noProof/>
          <w:sz w:val="24"/>
          <w:szCs w:val="24"/>
        </w:rPr>
        <w:t xml:space="preserve">do not have to consult ESMA or other </w:t>
      </w:r>
      <w:r w:rsidR="00914444" w:rsidRPr="002661A8">
        <w:rPr>
          <w:rFonts w:ascii="Times New Roman" w:hAnsi="Times New Roman" w:cs="Times New Roman"/>
          <w:noProof/>
          <w:sz w:val="24"/>
          <w:szCs w:val="24"/>
        </w:rPr>
        <w:t>NCAs</w:t>
      </w:r>
      <w:r w:rsidR="00CA099F" w:rsidRPr="002661A8">
        <w:rPr>
          <w:rFonts w:ascii="Times New Roman" w:hAnsi="Times New Roman" w:cs="Times New Roman"/>
          <w:noProof/>
          <w:sz w:val="24"/>
          <w:szCs w:val="24"/>
        </w:rPr>
        <w:t xml:space="preserve"> </w:t>
      </w:r>
      <w:r w:rsidR="00F31942" w:rsidRPr="002661A8">
        <w:rPr>
          <w:rFonts w:ascii="Times New Roman" w:hAnsi="Times New Roman" w:cs="Times New Roman"/>
          <w:noProof/>
          <w:sz w:val="24"/>
          <w:szCs w:val="24"/>
        </w:rPr>
        <w:t xml:space="preserve">on </w:t>
      </w:r>
      <w:r w:rsidR="00E939E1" w:rsidRPr="002661A8">
        <w:rPr>
          <w:rFonts w:ascii="Times New Roman" w:hAnsi="Times New Roman" w:cs="Times New Roman"/>
          <w:noProof/>
          <w:sz w:val="24"/>
          <w:szCs w:val="24"/>
        </w:rPr>
        <w:t>most</w:t>
      </w:r>
      <w:r w:rsidR="00CE01C1" w:rsidRPr="002661A8">
        <w:rPr>
          <w:rFonts w:ascii="Times New Roman" w:hAnsi="Times New Roman" w:cs="Times New Roman"/>
          <w:noProof/>
          <w:sz w:val="24"/>
          <w:szCs w:val="24"/>
        </w:rPr>
        <w:t xml:space="preserve"> supervisory decisions </w:t>
      </w:r>
      <w:r w:rsidR="00F31942" w:rsidRPr="002661A8">
        <w:rPr>
          <w:rFonts w:ascii="Times New Roman" w:hAnsi="Times New Roman" w:cs="Times New Roman"/>
          <w:noProof/>
          <w:sz w:val="24"/>
          <w:szCs w:val="24"/>
        </w:rPr>
        <w:t>and hence get little input on potential</w:t>
      </w:r>
      <w:r w:rsidR="00CE01C1" w:rsidRPr="002661A8">
        <w:rPr>
          <w:rFonts w:ascii="Times New Roman" w:hAnsi="Times New Roman" w:cs="Times New Roman"/>
          <w:noProof/>
          <w:sz w:val="24"/>
          <w:szCs w:val="24"/>
        </w:rPr>
        <w:t xml:space="preserve"> </w:t>
      </w:r>
      <w:r w:rsidR="00F31942" w:rsidRPr="002661A8">
        <w:rPr>
          <w:rFonts w:ascii="Times New Roman" w:hAnsi="Times New Roman" w:cs="Times New Roman"/>
          <w:noProof/>
          <w:sz w:val="24"/>
          <w:szCs w:val="24"/>
        </w:rPr>
        <w:t xml:space="preserve">cross-border </w:t>
      </w:r>
      <w:r w:rsidR="00CE01C1" w:rsidRPr="002661A8">
        <w:rPr>
          <w:rFonts w:ascii="Times New Roman" w:hAnsi="Times New Roman" w:cs="Times New Roman"/>
          <w:noProof/>
          <w:sz w:val="24"/>
          <w:szCs w:val="24"/>
        </w:rPr>
        <w:t>impact</w:t>
      </w:r>
      <w:r w:rsidR="00F31942" w:rsidRPr="002661A8">
        <w:rPr>
          <w:rFonts w:ascii="Times New Roman" w:hAnsi="Times New Roman" w:cs="Times New Roman"/>
          <w:noProof/>
          <w:sz w:val="24"/>
          <w:szCs w:val="24"/>
        </w:rPr>
        <w:t>s</w:t>
      </w:r>
      <w:r w:rsidR="00CE01C1" w:rsidRPr="002661A8">
        <w:rPr>
          <w:rFonts w:ascii="Times New Roman" w:hAnsi="Times New Roman" w:cs="Times New Roman"/>
          <w:noProof/>
          <w:sz w:val="24"/>
          <w:szCs w:val="24"/>
        </w:rPr>
        <w:t xml:space="preserve"> </w:t>
      </w:r>
      <w:r w:rsidR="00F31942" w:rsidRPr="002661A8">
        <w:rPr>
          <w:rFonts w:ascii="Times New Roman" w:hAnsi="Times New Roman" w:cs="Times New Roman"/>
          <w:noProof/>
          <w:sz w:val="24"/>
          <w:szCs w:val="24"/>
        </w:rPr>
        <w:t>of</w:t>
      </w:r>
      <w:r w:rsidR="00CE01C1" w:rsidRPr="002661A8">
        <w:rPr>
          <w:rFonts w:ascii="Times New Roman" w:hAnsi="Times New Roman" w:cs="Times New Roman"/>
          <w:noProof/>
          <w:sz w:val="24"/>
          <w:szCs w:val="24"/>
        </w:rPr>
        <w:t xml:space="preserve"> their decisions</w:t>
      </w:r>
      <w:r w:rsidR="00122348" w:rsidRPr="002661A8">
        <w:rPr>
          <w:rFonts w:ascii="Times New Roman" w:hAnsi="Times New Roman" w:cs="Times New Roman"/>
          <w:noProof/>
          <w:sz w:val="24"/>
          <w:szCs w:val="24"/>
        </w:rPr>
        <w:t>.</w:t>
      </w:r>
      <w:r w:rsidR="00CE01C1" w:rsidRPr="002661A8">
        <w:rPr>
          <w:rFonts w:ascii="Times New Roman" w:hAnsi="Times New Roman" w:cs="Times New Roman"/>
          <w:noProof/>
          <w:sz w:val="24"/>
          <w:szCs w:val="24"/>
        </w:rPr>
        <w:t xml:space="preserve"> </w:t>
      </w:r>
      <w:r w:rsidR="00122348" w:rsidRPr="002661A8">
        <w:rPr>
          <w:rFonts w:ascii="Times New Roman" w:hAnsi="Times New Roman" w:cs="Times New Roman"/>
          <w:noProof/>
          <w:sz w:val="24"/>
          <w:szCs w:val="24"/>
        </w:rPr>
        <w:t>T</w:t>
      </w:r>
      <w:r w:rsidR="00CE01C1" w:rsidRPr="002661A8">
        <w:rPr>
          <w:rFonts w:ascii="Times New Roman" w:hAnsi="Times New Roman" w:cs="Times New Roman"/>
          <w:noProof/>
          <w:sz w:val="24"/>
          <w:szCs w:val="24"/>
        </w:rPr>
        <w:t xml:space="preserve">his raises financial stability concerns (see </w:t>
      </w:r>
      <w:hyperlink w:anchor="_Insufficient_consideration_of" w:history="1">
        <w:r w:rsidR="00CE01C1" w:rsidRPr="002661A8">
          <w:rPr>
            <w:rStyle w:val="Hyperlink"/>
            <w:rFonts w:ascii="Times New Roman" w:hAnsi="Times New Roman" w:cs="Times New Roman"/>
            <w:noProof/>
            <w:sz w:val="24"/>
            <w:szCs w:val="24"/>
          </w:rPr>
          <w:t xml:space="preserve">Section </w:t>
        </w:r>
        <w:r w:rsidR="00CA099F" w:rsidRPr="002661A8">
          <w:rPr>
            <w:rStyle w:val="Hyperlink"/>
            <w:rFonts w:ascii="Times New Roman" w:hAnsi="Times New Roman" w:cs="Times New Roman"/>
            <w:noProof/>
            <w:sz w:val="24"/>
            <w:szCs w:val="24"/>
          </w:rPr>
          <w:t>3</w:t>
        </w:r>
        <w:r w:rsidR="00CE01C1" w:rsidRPr="002661A8">
          <w:rPr>
            <w:rStyle w:val="Hyperlink"/>
            <w:rFonts w:ascii="Times New Roman" w:hAnsi="Times New Roman" w:cs="Times New Roman"/>
            <w:noProof/>
            <w:sz w:val="24"/>
            <w:szCs w:val="24"/>
          </w:rPr>
          <w:t>.</w:t>
        </w:r>
        <w:r w:rsidR="00122348" w:rsidRPr="002661A8">
          <w:rPr>
            <w:rStyle w:val="Hyperlink"/>
            <w:rFonts w:ascii="Times New Roman" w:hAnsi="Times New Roman" w:cs="Times New Roman"/>
            <w:noProof/>
            <w:sz w:val="24"/>
            <w:szCs w:val="24"/>
          </w:rPr>
          <w:t>1</w:t>
        </w:r>
        <w:r w:rsidR="00CE01C1" w:rsidRPr="002661A8">
          <w:rPr>
            <w:rStyle w:val="Hyperlink"/>
            <w:rFonts w:ascii="Times New Roman" w:hAnsi="Times New Roman" w:cs="Times New Roman"/>
            <w:noProof/>
            <w:sz w:val="24"/>
            <w:szCs w:val="24"/>
          </w:rPr>
          <w:t>.</w:t>
        </w:r>
        <w:r w:rsidR="00122348" w:rsidRPr="002661A8">
          <w:rPr>
            <w:rStyle w:val="Hyperlink"/>
            <w:rFonts w:ascii="Times New Roman" w:hAnsi="Times New Roman" w:cs="Times New Roman"/>
            <w:noProof/>
            <w:sz w:val="24"/>
            <w:szCs w:val="24"/>
          </w:rPr>
          <w:t>3</w:t>
        </w:r>
      </w:hyperlink>
      <w:r w:rsidR="00CE01C1" w:rsidRPr="002661A8">
        <w:rPr>
          <w:rFonts w:ascii="Times New Roman" w:hAnsi="Times New Roman" w:cs="Times New Roman"/>
          <w:noProof/>
          <w:sz w:val="24"/>
          <w:szCs w:val="24"/>
        </w:rPr>
        <w:t>)</w:t>
      </w:r>
      <w:r w:rsidR="00153C60" w:rsidRPr="002661A8">
        <w:rPr>
          <w:rFonts w:ascii="Times New Roman" w:hAnsi="Times New Roman" w:cs="Times New Roman"/>
          <w:noProof/>
          <w:sz w:val="24"/>
          <w:szCs w:val="24"/>
        </w:rPr>
        <w:t xml:space="preserve"> </w:t>
      </w:r>
      <w:r w:rsidR="00F31942" w:rsidRPr="002661A8">
        <w:rPr>
          <w:rFonts w:ascii="Times New Roman" w:hAnsi="Times New Roman" w:cs="Times New Roman"/>
          <w:noProof/>
          <w:sz w:val="24"/>
          <w:szCs w:val="24"/>
        </w:rPr>
        <w:t>and inconsistencies</w:t>
      </w:r>
      <w:r w:rsidR="00153C60" w:rsidRPr="002661A8">
        <w:rPr>
          <w:rFonts w:ascii="Times New Roman" w:hAnsi="Times New Roman" w:cs="Times New Roman"/>
          <w:noProof/>
          <w:sz w:val="24"/>
          <w:szCs w:val="24"/>
        </w:rPr>
        <w:t xml:space="preserve"> as, </w:t>
      </w:r>
      <w:r w:rsidR="00836650" w:rsidRPr="002661A8">
        <w:rPr>
          <w:rFonts w:ascii="Times New Roman" w:hAnsi="Times New Roman" w:cs="Times New Roman"/>
          <w:noProof/>
          <w:sz w:val="24"/>
          <w:szCs w:val="24"/>
        </w:rPr>
        <w:t>e.g.</w:t>
      </w:r>
      <w:r w:rsidR="00153C60" w:rsidRPr="002661A8">
        <w:rPr>
          <w:rFonts w:ascii="Times New Roman" w:hAnsi="Times New Roman" w:cs="Times New Roman"/>
          <w:noProof/>
          <w:sz w:val="24"/>
          <w:szCs w:val="24"/>
        </w:rPr>
        <w:t xml:space="preserve"> ESMA is consulted </w:t>
      </w:r>
      <w:r w:rsidR="00865109" w:rsidRPr="002661A8">
        <w:rPr>
          <w:rFonts w:ascii="Times New Roman" w:hAnsi="Times New Roman" w:cs="Times New Roman"/>
          <w:noProof/>
          <w:sz w:val="24"/>
          <w:szCs w:val="24"/>
        </w:rPr>
        <w:t>o</w:t>
      </w:r>
      <w:r w:rsidR="00CA099F" w:rsidRPr="002661A8">
        <w:rPr>
          <w:rFonts w:ascii="Times New Roman" w:hAnsi="Times New Roman" w:cs="Times New Roman"/>
          <w:noProof/>
          <w:sz w:val="24"/>
          <w:szCs w:val="24"/>
        </w:rPr>
        <w:t>n a limited number of areas</w:t>
      </w:r>
      <w:r w:rsidR="00BC402C">
        <w:rPr>
          <w:rFonts w:ascii="Times New Roman" w:hAnsi="Times New Roman" w:cs="Times New Roman"/>
          <w:noProof/>
          <w:sz w:val="24"/>
          <w:szCs w:val="24"/>
        </w:rPr>
        <w:t>,</w:t>
      </w:r>
      <w:r w:rsidR="00F42E3C" w:rsidRPr="002661A8" w:rsidDel="00BC402C">
        <w:rPr>
          <w:rFonts w:ascii="Times New Roman" w:hAnsi="Times New Roman" w:cs="Times New Roman"/>
          <w:noProof/>
          <w:sz w:val="24"/>
          <w:szCs w:val="24"/>
        </w:rPr>
        <w:t xml:space="preserve"> </w:t>
      </w:r>
      <w:r w:rsidR="00F42E3C" w:rsidRPr="002661A8">
        <w:rPr>
          <w:rFonts w:ascii="Times New Roman" w:hAnsi="Times New Roman" w:cs="Times New Roman"/>
          <w:noProof/>
          <w:sz w:val="24"/>
          <w:szCs w:val="24"/>
        </w:rPr>
        <w:t xml:space="preserve">any recommendations </w:t>
      </w:r>
      <w:r w:rsidR="00BC402C">
        <w:rPr>
          <w:rFonts w:ascii="Times New Roman" w:hAnsi="Times New Roman" w:cs="Times New Roman"/>
          <w:noProof/>
          <w:sz w:val="24"/>
          <w:szCs w:val="24"/>
        </w:rPr>
        <w:t>are non-binding</w:t>
      </w:r>
      <w:r w:rsidR="003202DD">
        <w:rPr>
          <w:rFonts w:ascii="Times New Roman" w:hAnsi="Times New Roman" w:cs="Times New Roman"/>
          <w:noProof/>
          <w:sz w:val="24"/>
          <w:szCs w:val="24"/>
        </w:rPr>
        <w:t>,</w:t>
      </w:r>
      <w:r w:rsidR="00F42E3C" w:rsidRPr="002661A8">
        <w:rPr>
          <w:rFonts w:ascii="Times New Roman" w:hAnsi="Times New Roman" w:cs="Times New Roman"/>
          <w:noProof/>
          <w:sz w:val="24"/>
          <w:szCs w:val="24"/>
        </w:rPr>
        <w:t xml:space="preserve"> market participants are </w:t>
      </w:r>
      <w:r w:rsidR="00BC402C">
        <w:rPr>
          <w:rFonts w:ascii="Times New Roman" w:hAnsi="Times New Roman" w:cs="Times New Roman"/>
          <w:noProof/>
          <w:sz w:val="24"/>
          <w:szCs w:val="24"/>
        </w:rPr>
        <w:t xml:space="preserve">generally not </w:t>
      </w:r>
      <w:r w:rsidR="00F42E3C" w:rsidRPr="002661A8">
        <w:rPr>
          <w:rFonts w:ascii="Times New Roman" w:hAnsi="Times New Roman" w:cs="Times New Roman"/>
          <w:noProof/>
          <w:sz w:val="24"/>
          <w:szCs w:val="24"/>
        </w:rPr>
        <w:t xml:space="preserve">aware that the </w:t>
      </w:r>
      <w:r w:rsidRPr="002661A8">
        <w:rPr>
          <w:rFonts w:ascii="Times New Roman" w:hAnsi="Times New Roman" w:cs="Times New Roman"/>
          <w:noProof/>
          <w:sz w:val="24"/>
          <w:szCs w:val="24"/>
        </w:rPr>
        <w:t>NCA</w:t>
      </w:r>
      <w:r w:rsidR="00F42E3C" w:rsidRPr="002661A8">
        <w:rPr>
          <w:rFonts w:ascii="Times New Roman" w:hAnsi="Times New Roman" w:cs="Times New Roman"/>
          <w:noProof/>
          <w:sz w:val="24"/>
          <w:szCs w:val="24"/>
        </w:rPr>
        <w:t xml:space="preserve"> or the CCP in question has </w:t>
      </w:r>
      <w:r w:rsidR="00BC402C">
        <w:rPr>
          <w:rFonts w:ascii="Times New Roman" w:hAnsi="Times New Roman" w:cs="Times New Roman"/>
          <w:noProof/>
          <w:sz w:val="24"/>
          <w:szCs w:val="24"/>
        </w:rPr>
        <w:t xml:space="preserve">elected </w:t>
      </w:r>
      <w:r w:rsidR="00F42E3C" w:rsidRPr="002661A8">
        <w:rPr>
          <w:rFonts w:ascii="Times New Roman" w:hAnsi="Times New Roman" w:cs="Times New Roman"/>
          <w:noProof/>
          <w:sz w:val="24"/>
          <w:szCs w:val="24"/>
        </w:rPr>
        <w:t xml:space="preserve">not </w:t>
      </w:r>
      <w:r w:rsidR="00BC402C">
        <w:rPr>
          <w:rFonts w:ascii="Times New Roman" w:hAnsi="Times New Roman" w:cs="Times New Roman"/>
          <w:noProof/>
          <w:sz w:val="24"/>
          <w:szCs w:val="24"/>
        </w:rPr>
        <w:t xml:space="preserve">to </w:t>
      </w:r>
      <w:r w:rsidR="00F42E3C" w:rsidRPr="002661A8">
        <w:rPr>
          <w:rFonts w:ascii="Times New Roman" w:hAnsi="Times New Roman" w:cs="Times New Roman"/>
          <w:noProof/>
          <w:sz w:val="24"/>
          <w:szCs w:val="24"/>
        </w:rPr>
        <w:t>implement them</w:t>
      </w:r>
      <w:r w:rsidR="00CE01C1" w:rsidRPr="002661A8">
        <w:rPr>
          <w:rFonts w:ascii="Times New Roman" w:hAnsi="Times New Roman" w:cs="Times New Roman"/>
          <w:noProof/>
          <w:sz w:val="24"/>
          <w:szCs w:val="24"/>
        </w:rPr>
        <w:t xml:space="preserve">. Similarly, there is no effective mechanism to ensure that a similar approach is adopted by all </w:t>
      </w:r>
      <w:r w:rsidRPr="002661A8">
        <w:rPr>
          <w:rFonts w:ascii="Times New Roman" w:hAnsi="Times New Roman" w:cs="Times New Roman"/>
          <w:noProof/>
          <w:sz w:val="24"/>
          <w:szCs w:val="24"/>
        </w:rPr>
        <w:t>NCAs</w:t>
      </w:r>
      <w:r w:rsidR="00CE01C1" w:rsidRPr="002661A8">
        <w:rPr>
          <w:rFonts w:ascii="Times New Roman" w:hAnsi="Times New Roman" w:cs="Times New Roman"/>
          <w:noProof/>
          <w:sz w:val="24"/>
          <w:szCs w:val="24"/>
        </w:rPr>
        <w:t>.</w:t>
      </w:r>
    </w:p>
    <w:p w14:paraId="22FC41A7" w14:textId="304A3460" w:rsidR="00CE01C1" w:rsidRDefault="00907ED0" w:rsidP="002612E3">
      <w:pPr>
        <w:spacing w:after="120" w:line="240" w:lineRule="auto"/>
        <w:jc w:val="both"/>
        <w:rPr>
          <w:rFonts w:ascii="Times New Roman" w:hAnsi="Times New Roman" w:cs="Times New Roman"/>
          <w:noProof/>
          <w:sz w:val="24"/>
          <w:szCs w:val="24"/>
          <w:lang w:eastAsia="fr-BE"/>
        </w:rPr>
      </w:pPr>
      <w:r w:rsidRPr="002661A8">
        <w:rPr>
          <w:rFonts w:ascii="Times New Roman" w:hAnsi="Times New Roman" w:cs="Times New Roman"/>
          <w:noProof/>
          <w:sz w:val="24"/>
          <w:szCs w:val="24"/>
        </w:rPr>
        <w:t>On the third point, c</w:t>
      </w:r>
      <w:r w:rsidR="00CE01C1" w:rsidRPr="002661A8">
        <w:rPr>
          <w:rFonts w:ascii="Times New Roman" w:hAnsi="Times New Roman" w:cs="Times New Roman"/>
          <w:noProof/>
          <w:sz w:val="24"/>
          <w:szCs w:val="24"/>
        </w:rPr>
        <w:t>entral banks</w:t>
      </w:r>
      <w:r w:rsidR="00942CFA" w:rsidRPr="002661A8">
        <w:rPr>
          <w:rFonts w:ascii="Times New Roman" w:hAnsi="Times New Roman" w:cs="Times New Roman"/>
          <w:noProof/>
          <w:sz w:val="24"/>
          <w:szCs w:val="24"/>
        </w:rPr>
        <w:t>’</w:t>
      </w:r>
      <w:r w:rsidR="00CE01C1" w:rsidRPr="002661A8">
        <w:rPr>
          <w:rFonts w:ascii="Times New Roman" w:hAnsi="Times New Roman" w:cs="Times New Roman"/>
          <w:noProof/>
          <w:sz w:val="24"/>
          <w:szCs w:val="24"/>
        </w:rPr>
        <w:t xml:space="preserve"> involve</w:t>
      </w:r>
      <w:r w:rsidR="00E32F82" w:rsidRPr="002661A8">
        <w:rPr>
          <w:rFonts w:ascii="Times New Roman" w:hAnsi="Times New Roman" w:cs="Times New Roman"/>
          <w:noProof/>
          <w:sz w:val="24"/>
          <w:szCs w:val="24"/>
        </w:rPr>
        <w:t xml:space="preserve">ment in </w:t>
      </w:r>
      <w:r w:rsidR="00942CFA" w:rsidRPr="002661A8">
        <w:rPr>
          <w:rFonts w:ascii="Times New Roman" w:hAnsi="Times New Roman" w:cs="Times New Roman"/>
          <w:noProof/>
          <w:sz w:val="24"/>
          <w:szCs w:val="24"/>
        </w:rPr>
        <w:t xml:space="preserve">EU CCP </w:t>
      </w:r>
      <w:r w:rsidR="00E32F82" w:rsidRPr="002661A8">
        <w:rPr>
          <w:rFonts w:ascii="Times New Roman" w:hAnsi="Times New Roman" w:cs="Times New Roman"/>
          <w:noProof/>
          <w:sz w:val="24"/>
          <w:szCs w:val="24"/>
        </w:rPr>
        <w:t>supervision is limited</w:t>
      </w:r>
      <w:r w:rsidR="00CE01C1" w:rsidRPr="002661A8">
        <w:rPr>
          <w:rFonts w:ascii="Times New Roman" w:hAnsi="Times New Roman" w:cs="Times New Roman"/>
          <w:noProof/>
          <w:sz w:val="24"/>
          <w:szCs w:val="24"/>
        </w:rPr>
        <w:t xml:space="preserve"> </w:t>
      </w:r>
      <w:r w:rsidR="00353109" w:rsidRPr="002661A8">
        <w:rPr>
          <w:rFonts w:ascii="Times New Roman" w:hAnsi="Times New Roman" w:cs="Times New Roman"/>
          <w:noProof/>
          <w:sz w:val="24"/>
          <w:szCs w:val="24"/>
        </w:rPr>
        <w:t>(</w:t>
      </w:r>
      <w:r w:rsidR="00122348" w:rsidRPr="002661A8">
        <w:rPr>
          <w:rFonts w:ascii="Times New Roman" w:hAnsi="Times New Roman" w:cs="Times New Roman"/>
          <w:noProof/>
          <w:sz w:val="24"/>
          <w:szCs w:val="24"/>
        </w:rPr>
        <w:t xml:space="preserve">see </w:t>
      </w:r>
      <w:hyperlink w:anchor="_Legal_context" w:history="1">
        <w:r w:rsidR="00122348" w:rsidRPr="002661A8">
          <w:rPr>
            <w:rStyle w:val="Hyperlink"/>
            <w:rFonts w:ascii="Times New Roman" w:hAnsi="Times New Roman" w:cs="Times New Roman"/>
            <w:noProof/>
            <w:sz w:val="24"/>
            <w:szCs w:val="24"/>
          </w:rPr>
          <w:t xml:space="preserve">Section </w:t>
        </w:r>
        <w:r w:rsidR="00CA099F" w:rsidRPr="002661A8">
          <w:rPr>
            <w:rStyle w:val="Hyperlink"/>
            <w:rFonts w:ascii="Times New Roman" w:hAnsi="Times New Roman" w:cs="Times New Roman"/>
            <w:noProof/>
            <w:sz w:val="24"/>
            <w:szCs w:val="24"/>
          </w:rPr>
          <w:t>2.2</w:t>
        </w:r>
      </w:hyperlink>
      <w:r w:rsidR="00122348" w:rsidRPr="002661A8">
        <w:rPr>
          <w:rFonts w:ascii="Times New Roman" w:hAnsi="Times New Roman" w:cs="Times New Roman"/>
          <w:noProof/>
          <w:sz w:val="24"/>
          <w:szCs w:val="24"/>
        </w:rPr>
        <w:t xml:space="preserve">) </w:t>
      </w:r>
      <w:r w:rsidR="00CE01C1" w:rsidRPr="002661A8">
        <w:rPr>
          <w:rFonts w:ascii="Times New Roman" w:hAnsi="Times New Roman" w:cs="Times New Roman"/>
          <w:noProof/>
          <w:sz w:val="24"/>
          <w:szCs w:val="24"/>
        </w:rPr>
        <w:t xml:space="preserve">despite the direct impact of CCP’s activities on the implementation of monetary policy and the smooth operation of payment systems </w:t>
      </w:r>
      <w:r w:rsidR="00F31942" w:rsidRPr="002661A8">
        <w:rPr>
          <w:rFonts w:ascii="Times New Roman" w:hAnsi="Times New Roman" w:cs="Times New Roman"/>
          <w:noProof/>
          <w:sz w:val="24"/>
          <w:szCs w:val="24"/>
        </w:rPr>
        <w:t xml:space="preserve">(as </w:t>
      </w:r>
      <w:r w:rsidR="00CE01C1" w:rsidRPr="002661A8">
        <w:rPr>
          <w:rFonts w:ascii="Times New Roman" w:hAnsi="Times New Roman" w:cs="Times New Roman"/>
          <w:noProof/>
          <w:sz w:val="24"/>
          <w:szCs w:val="24"/>
        </w:rPr>
        <w:t xml:space="preserve">basic tasks entrusted to the European System of Central Banks under the </w:t>
      </w:r>
      <w:r w:rsidR="00E029AD" w:rsidRPr="002661A8">
        <w:rPr>
          <w:rFonts w:ascii="Times New Roman" w:hAnsi="Times New Roman" w:cs="Times New Roman"/>
          <w:noProof/>
          <w:sz w:val="24"/>
          <w:szCs w:val="24"/>
        </w:rPr>
        <w:t>Treaty on the Functioning of the EU (</w:t>
      </w:r>
      <w:r w:rsidR="00CE01C1" w:rsidRPr="002661A8">
        <w:rPr>
          <w:rFonts w:ascii="Times New Roman" w:hAnsi="Times New Roman" w:cs="Times New Roman"/>
          <w:noProof/>
          <w:sz w:val="24"/>
          <w:szCs w:val="24"/>
        </w:rPr>
        <w:t>TFEU</w:t>
      </w:r>
      <w:r w:rsidR="00E029AD" w:rsidRPr="002661A8">
        <w:rPr>
          <w:rFonts w:ascii="Times New Roman" w:hAnsi="Times New Roman" w:cs="Times New Roman"/>
          <w:noProof/>
          <w:sz w:val="24"/>
          <w:szCs w:val="24"/>
        </w:rPr>
        <w:t>)</w:t>
      </w:r>
      <w:r w:rsidR="00CE01C1" w:rsidRPr="002661A8">
        <w:rPr>
          <w:rFonts w:ascii="Times New Roman" w:hAnsi="Times New Roman" w:cs="Times New Roman"/>
          <w:noProof/>
          <w:sz w:val="24"/>
          <w:szCs w:val="24"/>
        </w:rPr>
        <w:t xml:space="preserve"> (Article 127(2)). </w:t>
      </w:r>
      <w:r w:rsidR="00FD55AE" w:rsidRPr="002661A8">
        <w:rPr>
          <w:rFonts w:ascii="Times New Roman" w:hAnsi="Times New Roman" w:cs="Times New Roman"/>
          <w:noProof/>
          <w:sz w:val="24"/>
          <w:szCs w:val="24"/>
        </w:rPr>
        <w:t>In addition, there are inconsistencies in the involvement of central banks in the supervision of EU and third-country CCPs</w:t>
      </w:r>
      <w:r w:rsidR="000F4FBA" w:rsidRPr="002661A8">
        <w:rPr>
          <w:rFonts w:ascii="Times New Roman" w:hAnsi="Times New Roman" w:cs="Times New Roman"/>
          <w:noProof/>
          <w:sz w:val="24"/>
          <w:szCs w:val="24"/>
        </w:rPr>
        <w:t>.</w:t>
      </w:r>
      <w:r w:rsidR="00FD55AE" w:rsidRPr="002661A8">
        <w:rPr>
          <w:rFonts w:ascii="Times New Roman" w:hAnsi="Times New Roman" w:cs="Times New Roman"/>
          <w:noProof/>
          <w:sz w:val="24"/>
          <w:szCs w:val="24"/>
        </w:rPr>
        <w:t xml:space="preserve"> </w:t>
      </w:r>
      <w:r w:rsidR="000F4FBA" w:rsidRPr="002661A8">
        <w:rPr>
          <w:rFonts w:ascii="Times New Roman" w:hAnsi="Times New Roman" w:cs="Times New Roman"/>
          <w:noProof/>
          <w:sz w:val="24"/>
          <w:szCs w:val="24"/>
        </w:rPr>
        <w:t>W</w:t>
      </w:r>
      <w:r w:rsidR="00FD55AE" w:rsidRPr="002661A8">
        <w:rPr>
          <w:rFonts w:ascii="Times New Roman" w:hAnsi="Times New Roman" w:cs="Times New Roman"/>
          <w:noProof/>
          <w:sz w:val="24"/>
          <w:szCs w:val="24"/>
        </w:rPr>
        <w:t>hile for third-country CCPs, central banks</w:t>
      </w:r>
      <w:r w:rsidR="00122348" w:rsidRPr="002661A8">
        <w:rPr>
          <w:rFonts w:ascii="Times New Roman" w:hAnsi="Times New Roman" w:cs="Times New Roman"/>
          <w:noProof/>
          <w:sz w:val="24"/>
          <w:szCs w:val="24"/>
        </w:rPr>
        <w:t xml:space="preserve"> </w:t>
      </w:r>
      <w:r w:rsidR="00FD55AE" w:rsidRPr="002661A8">
        <w:rPr>
          <w:rFonts w:ascii="Times New Roman" w:hAnsi="Times New Roman" w:cs="Times New Roman"/>
          <w:noProof/>
          <w:sz w:val="24"/>
          <w:szCs w:val="24"/>
        </w:rPr>
        <w:t xml:space="preserve">can participate as non-voting members to all discussions of the CCP Supervisory Committee, for EU CCPs they do so </w:t>
      </w:r>
      <w:r w:rsidR="00CE01C1" w:rsidRPr="002661A8">
        <w:rPr>
          <w:rFonts w:ascii="Times New Roman" w:hAnsi="Times New Roman" w:cs="Times New Roman"/>
          <w:noProof/>
          <w:sz w:val="24"/>
          <w:szCs w:val="24"/>
        </w:rPr>
        <w:t>only in two instances: EU-wide CCP stress tests and the discussion of market developments concerning EU CCPs.</w:t>
      </w:r>
      <w:r w:rsidR="00122348" w:rsidRPr="002661A8">
        <w:rPr>
          <w:rFonts w:ascii="Times New Roman" w:hAnsi="Times New Roman" w:cs="Times New Roman"/>
          <w:noProof/>
          <w:sz w:val="24"/>
          <w:szCs w:val="24"/>
        </w:rPr>
        <w:t xml:space="preserve"> In addition, central banks </w:t>
      </w:r>
      <w:r w:rsidR="00CE01C1" w:rsidRPr="002661A8">
        <w:rPr>
          <w:rFonts w:ascii="Times New Roman" w:hAnsi="Times New Roman" w:cs="Times New Roman"/>
          <w:noProof/>
          <w:sz w:val="24"/>
          <w:szCs w:val="24"/>
        </w:rPr>
        <w:t xml:space="preserve">are not involved in the adoption of many decisions that </w:t>
      </w:r>
      <w:r w:rsidR="00F31942" w:rsidRPr="002661A8">
        <w:rPr>
          <w:rFonts w:ascii="Times New Roman" w:hAnsi="Times New Roman" w:cs="Times New Roman"/>
          <w:noProof/>
          <w:sz w:val="24"/>
          <w:szCs w:val="24"/>
        </w:rPr>
        <w:t>affect</w:t>
      </w:r>
      <w:r w:rsidR="00CE01C1" w:rsidRPr="002661A8">
        <w:rPr>
          <w:rFonts w:ascii="Times New Roman" w:hAnsi="Times New Roman" w:cs="Times New Roman"/>
          <w:noProof/>
          <w:sz w:val="24"/>
          <w:szCs w:val="24"/>
        </w:rPr>
        <w:t xml:space="preserve"> EU </w:t>
      </w:r>
      <w:r w:rsidR="00F31942" w:rsidRPr="002661A8">
        <w:rPr>
          <w:rFonts w:ascii="Times New Roman" w:hAnsi="Times New Roman" w:cs="Times New Roman"/>
          <w:noProof/>
          <w:sz w:val="24"/>
          <w:szCs w:val="24"/>
        </w:rPr>
        <w:t xml:space="preserve">CCPs (which </w:t>
      </w:r>
      <w:r w:rsidR="00CE01C1" w:rsidRPr="002661A8">
        <w:rPr>
          <w:rFonts w:ascii="Times New Roman" w:hAnsi="Times New Roman" w:cs="Times New Roman"/>
          <w:noProof/>
          <w:sz w:val="24"/>
          <w:szCs w:val="24"/>
        </w:rPr>
        <w:t>the EU legislator</w:t>
      </w:r>
      <w:r w:rsidR="00F31942" w:rsidRPr="002661A8">
        <w:rPr>
          <w:rFonts w:ascii="Times New Roman" w:hAnsi="Times New Roman" w:cs="Times New Roman"/>
          <w:noProof/>
          <w:sz w:val="24"/>
          <w:szCs w:val="24"/>
        </w:rPr>
        <w:t>s</w:t>
      </w:r>
      <w:r w:rsidR="00CE01C1" w:rsidRPr="002661A8">
        <w:rPr>
          <w:rFonts w:ascii="Times New Roman" w:hAnsi="Times New Roman" w:cs="Times New Roman"/>
          <w:noProof/>
          <w:sz w:val="24"/>
          <w:szCs w:val="24"/>
        </w:rPr>
        <w:t xml:space="preserve"> explicitly acknowledged </w:t>
      </w:r>
      <w:r w:rsidR="00F31942" w:rsidRPr="002661A8">
        <w:rPr>
          <w:rFonts w:ascii="Times New Roman" w:hAnsi="Times New Roman" w:cs="Times New Roman"/>
          <w:noProof/>
          <w:sz w:val="24"/>
          <w:szCs w:val="24"/>
        </w:rPr>
        <w:t>as</w:t>
      </w:r>
      <w:r w:rsidR="00CE01C1" w:rsidRPr="002661A8">
        <w:rPr>
          <w:rFonts w:ascii="Times New Roman" w:hAnsi="Times New Roman" w:cs="Times New Roman"/>
          <w:noProof/>
          <w:sz w:val="24"/>
          <w:szCs w:val="24"/>
        </w:rPr>
        <w:t xml:space="preserve"> of direct relevance to them</w:t>
      </w:r>
      <w:r w:rsidR="00F31942" w:rsidRPr="002661A8">
        <w:rPr>
          <w:rFonts w:ascii="Times New Roman" w:hAnsi="Times New Roman" w:cs="Times New Roman"/>
          <w:noProof/>
          <w:sz w:val="24"/>
          <w:szCs w:val="24"/>
        </w:rPr>
        <w:t>)</w:t>
      </w:r>
      <w:r w:rsidR="00CE01C1" w:rsidRPr="002661A8">
        <w:rPr>
          <w:rFonts w:ascii="Times New Roman" w:hAnsi="Times New Roman" w:cs="Times New Roman"/>
          <w:noProof/>
          <w:sz w:val="24"/>
          <w:szCs w:val="24"/>
        </w:rPr>
        <w:t xml:space="preserve">, i.e. </w:t>
      </w:r>
      <w:r w:rsidR="006F22D0" w:rsidRPr="002661A8">
        <w:rPr>
          <w:rFonts w:ascii="Times New Roman" w:hAnsi="Times New Roman" w:cs="Times New Roman"/>
          <w:noProof/>
          <w:sz w:val="24"/>
          <w:szCs w:val="24"/>
        </w:rPr>
        <w:t xml:space="preserve">liquidity risk controls and four key areas with embedded liquidity risk, namely </w:t>
      </w:r>
      <w:r w:rsidR="00CE01C1" w:rsidRPr="002661A8">
        <w:rPr>
          <w:rFonts w:ascii="Times New Roman" w:hAnsi="Times New Roman" w:cs="Times New Roman"/>
          <w:noProof/>
          <w:sz w:val="24"/>
          <w:szCs w:val="24"/>
        </w:rPr>
        <w:t xml:space="preserve">margin requirements, collateral, settlement and approval of interoperability arrangements. </w:t>
      </w:r>
      <w:r w:rsidR="00D6610E" w:rsidRPr="002661A8">
        <w:rPr>
          <w:rFonts w:ascii="Times New Roman" w:hAnsi="Times New Roman" w:cs="Times New Roman"/>
          <w:noProof/>
          <w:sz w:val="24"/>
          <w:szCs w:val="24"/>
        </w:rPr>
        <w:t>The lack of input from central banks in these areas makes the</w:t>
      </w:r>
      <w:r w:rsidR="00CE01C1" w:rsidRPr="002661A8">
        <w:rPr>
          <w:rFonts w:ascii="Times New Roman" w:hAnsi="Times New Roman" w:cs="Times New Roman"/>
          <w:noProof/>
          <w:sz w:val="24"/>
          <w:szCs w:val="24"/>
        </w:rPr>
        <w:t xml:space="preserve"> cooperation between supervisors </w:t>
      </w:r>
      <w:r w:rsidR="00D6610E" w:rsidRPr="002661A8">
        <w:rPr>
          <w:rFonts w:ascii="Times New Roman" w:hAnsi="Times New Roman" w:cs="Times New Roman"/>
          <w:noProof/>
          <w:sz w:val="24"/>
          <w:szCs w:val="24"/>
        </w:rPr>
        <w:t>less efficient and</w:t>
      </w:r>
      <w:r w:rsidR="00CE01C1" w:rsidRPr="002661A8">
        <w:rPr>
          <w:rFonts w:ascii="Times New Roman" w:hAnsi="Times New Roman" w:cs="Times New Roman"/>
          <w:noProof/>
          <w:sz w:val="24"/>
          <w:szCs w:val="24"/>
        </w:rPr>
        <w:t xml:space="preserve"> hinder</w:t>
      </w:r>
      <w:r w:rsidR="00D6610E" w:rsidRPr="002661A8">
        <w:rPr>
          <w:rFonts w:ascii="Times New Roman" w:hAnsi="Times New Roman" w:cs="Times New Roman"/>
          <w:noProof/>
          <w:sz w:val="24"/>
          <w:szCs w:val="24"/>
        </w:rPr>
        <w:t>s</w:t>
      </w:r>
      <w:r w:rsidR="00CE01C1" w:rsidRPr="002661A8">
        <w:rPr>
          <w:rFonts w:ascii="Times New Roman" w:hAnsi="Times New Roman" w:cs="Times New Roman"/>
          <w:noProof/>
          <w:sz w:val="24"/>
          <w:szCs w:val="24"/>
        </w:rPr>
        <w:t xml:space="preserve"> the</w:t>
      </w:r>
      <w:r w:rsidR="00D6610E" w:rsidRPr="002661A8">
        <w:rPr>
          <w:rFonts w:ascii="Times New Roman" w:hAnsi="Times New Roman" w:cs="Times New Roman"/>
          <w:noProof/>
          <w:sz w:val="24"/>
          <w:szCs w:val="24"/>
        </w:rPr>
        <w:t xml:space="preserve"> full</w:t>
      </w:r>
      <w:r w:rsidR="00CE01C1" w:rsidRPr="002661A8">
        <w:rPr>
          <w:rFonts w:ascii="Times New Roman" w:hAnsi="Times New Roman" w:cs="Times New Roman"/>
          <w:noProof/>
          <w:sz w:val="24"/>
          <w:szCs w:val="24"/>
        </w:rPr>
        <w:t xml:space="preserve"> assessment of the cross-border risks raised by EU CCPs’ activities</w:t>
      </w:r>
      <w:r w:rsidR="006F22D0" w:rsidRPr="002661A8">
        <w:rPr>
          <w:rFonts w:ascii="Times New Roman" w:hAnsi="Times New Roman" w:cs="Times New Roman"/>
          <w:noProof/>
          <w:sz w:val="24"/>
          <w:szCs w:val="24"/>
        </w:rPr>
        <w:t xml:space="preserve"> from a central bank of issue perspective. </w:t>
      </w:r>
      <w:r w:rsidR="006F22D0" w:rsidRPr="002661A8">
        <w:rPr>
          <w:rFonts w:ascii="Times New Roman" w:eastAsia="Calibri" w:hAnsi="Times New Roman" w:cs="Times New Roman"/>
          <w:noProof/>
          <w:sz w:val="24"/>
          <w:szCs w:val="24"/>
        </w:rPr>
        <w:t xml:space="preserve">It is also a concern </w:t>
      </w:r>
      <w:r w:rsidR="00C43394" w:rsidRPr="002661A8">
        <w:rPr>
          <w:rFonts w:ascii="Times New Roman" w:eastAsia="Calibri" w:hAnsi="Times New Roman" w:cs="Times New Roman"/>
          <w:noProof/>
          <w:sz w:val="24"/>
          <w:szCs w:val="24"/>
        </w:rPr>
        <w:t>as</w:t>
      </w:r>
      <w:r w:rsidR="006F22D0" w:rsidRPr="002661A8">
        <w:rPr>
          <w:rFonts w:ascii="Times New Roman" w:eastAsia="Calibri" w:hAnsi="Times New Roman" w:cs="Times New Roman"/>
          <w:noProof/>
          <w:sz w:val="24"/>
          <w:szCs w:val="24"/>
        </w:rPr>
        <w:t xml:space="preserve"> adequate CCP self-insurance against liquidity risk</w:t>
      </w:r>
      <w:r w:rsidR="006F22D0" w:rsidRPr="002661A8" w:rsidDel="00865109">
        <w:rPr>
          <w:rFonts w:ascii="Times New Roman" w:eastAsia="Calibri" w:hAnsi="Times New Roman" w:cs="Times New Roman"/>
          <w:noProof/>
          <w:sz w:val="24"/>
          <w:szCs w:val="24"/>
        </w:rPr>
        <w:t xml:space="preserve"> </w:t>
      </w:r>
      <w:r w:rsidR="00865109" w:rsidRPr="002661A8">
        <w:rPr>
          <w:rFonts w:ascii="Times New Roman" w:eastAsia="Calibri" w:hAnsi="Times New Roman" w:cs="Times New Roman"/>
          <w:noProof/>
          <w:sz w:val="24"/>
          <w:szCs w:val="24"/>
        </w:rPr>
        <w:t xml:space="preserve">is </w:t>
      </w:r>
      <w:r w:rsidR="006F22D0" w:rsidRPr="002661A8">
        <w:rPr>
          <w:rFonts w:ascii="Times New Roman" w:eastAsia="Calibri" w:hAnsi="Times New Roman" w:cs="Times New Roman"/>
          <w:noProof/>
          <w:sz w:val="24"/>
          <w:szCs w:val="24"/>
        </w:rPr>
        <w:t xml:space="preserve">a prerequisite for central banks to consider any potential requests for access to central bank liquidity. Considering as well that the risk implications of EU CCPs for EU currencies are expected to further </w:t>
      </w:r>
      <w:r w:rsidR="00C43394" w:rsidRPr="002661A8">
        <w:rPr>
          <w:rFonts w:ascii="Times New Roman" w:eastAsia="Calibri" w:hAnsi="Times New Roman" w:cs="Times New Roman"/>
          <w:noProof/>
          <w:sz w:val="24"/>
          <w:szCs w:val="24"/>
        </w:rPr>
        <w:t xml:space="preserve">rise </w:t>
      </w:r>
      <w:r w:rsidR="001175DB" w:rsidRPr="002661A8">
        <w:rPr>
          <w:rFonts w:ascii="Times New Roman" w:eastAsia="Calibri" w:hAnsi="Times New Roman" w:cs="Times New Roman"/>
          <w:noProof/>
          <w:sz w:val="24"/>
          <w:szCs w:val="24"/>
        </w:rPr>
        <w:t>with</w:t>
      </w:r>
      <w:r w:rsidR="006F22D0" w:rsidRPr="002661A8">
        <w:rPr>
          <w:rFonts w:ascii="Times New Roman" w:eastAsia="Calibri" w:hAnsi="Times New Roman" w:cs="Times New Roman"/>
          <w:noProof/>
          <w:sz w:val="24"/>
          <w:szCs w:val="24"/>
        </w:rPr>
        <w:t xml:space="preserve"> the envisaged growth of central clearing in the EU, it </w:t>
      </w:r>
      <w:r w:rsidR="00226A52" w:rsidRPr="002661A8">
        <w:rPr>
          <w:rFonts w:ascii="Times New Roman" w:eastAsia="Calibri" w:hAnsi="Times New Roman" w:cs="Times New Roman"/>
          <w:noProof/>
          <w:sz w:val="24"/>
          <w:szCs w:val="24"/>
        </w:rPr>
        <w:t>should be asses</w:t>
      </w:r>
      <w:r w:rsidR="00C60107" w:rsidRPr="002661A8">
        <w:rPr>
          <w:rFonts w:ascii="Times New Roman" w:eastAsia="Calibri" w:hAnsi="Times New Roman" w:cs="Times New Roman"/>
          <w:noProof/>
          <w:sz w:val="24"/>
          <w:szCs w:val="24"/>
        </w:rPr>
        <w:t>s</w:t>
      </w:r>
      <w:r w:rsidR="00226A52" w:rsidRPr="002661A8">
        <w:rPr>
          <w:rFonts w:ascii="Times New Roman" w:eastAsia="Calibri" w:hAnsi="Times New Roman" w:cs="Times New Roman"/>
          <w:noProof/>
          <w:sz w:val="24"/>
          <w:szCs w:val="24"/>
        </w:rPr>
        <w:t>ed how</w:t>
      </w:r>
      <w:r w:rsidR="006F22D0" w:rsidRPr="002661A8">
        <w:rPr>
          <w:rFonts w:ascii="Times New Roman" w:eastAsia="Calibri" w:hAnsi="Times New Roman" w:cs="Times New Roman"/>
          <w:noProof/>
          <w:sz w:val="24"/>
          <w:szCs w:val="24"/>
        </w:rPr>
        <w:t xml:space="preserve"> </w:t>
      </w:r>
      <w:r w:rsidR="00AF3C3C" w:rsidRPr="002661A8">
        <w:rPr>
          <w:rFonts w:ascii="Times New Roman" w:eastAsia="Calibri" w:hAnsi="Times New Roman" w:cs="Times New Roman"/>
          <w:noProof/>
          <w:sz w:val="24"/>
          <w:szCs w:val="24"/>
        </w:rPr>
        <w:t>the</w:t>
      </w:r>
      <w:r w:rsidR="006F22D0" w:rsidRPr="002661A8">
        <w:rPr>
          <w:rFonts w:ascii="Times New Roman" w:eastAsia="Calibri" w:hAnsi="Times New Roman" w:cs="Times New Roman"/>
          <w:noProof/>
          <w:sz w:val="24"/>
          <w:szCs w:val="24"/>
        </w:rPr>
        <w:t xml:space="preserve"> role </w:t>
      </w:r>
      <w:r w:rsidR="00AF3C3C" w:rsidRPr="002661A8">
        <w:rPr>
          <w:rFonts w:ascii="Times New Roman" w:eastAsia="Calibri" w:hAnsi="Times New Roman" w:cs="Times New Roman"/>
          <w:noProof/>
          <w:sz w:val="24"/>
          <w:szCs w:val="24"/>
        </w:rPr>
        <w:t xml:space="preserve">of central banks of issue </w:t>
      </w:r>
      <w:r w:rsidR="006F22D0" w:rsidRPr="002661A8">
        <w:rPr>
          <w:rFonts w:ascii="Times New Roman" w:eastAsia="Calibri" w:hAnsi="Times New Roman" w:cs="Times New Roman"/>
          <w:noProof/>
          <w:sz w:val="24"/>
          <w:szCs w:val="24"/>
        </w:rPr>
        <w:t>in the monitoring and supervision of EU CCPs</w:t>
      </w:r>
      <w:r w:rsidR="00226A52" w:rsidRPr="002661A8">
        <w:rPr>
          <w:rFonts w:ascii="Times New Roman" w:eastAsia="Calibri" w:hAnsi="Times New Roman" w:cs="Times New Roman"/>
          <w:noProof/>
          <w:sz w:val="24"/>
          <w:szCs w:val="24"/>
        </w:rPr>
        <w:t xml:space="preserve"> could be potentially enhanced</w:t>
      </w:r>
      <w:r w:rsidR="006F22D0" w:rsidRPr="002661A8">
        <w:rPr>
          <w:rFonts w:ascii="Times New Roman" w:eastAsia="Calibri" w:hAnsi="Times New Roman" w:cs="Times New Roman"/>
          <w:noProof/>
          <w:sz w:val="24"/>
          <w:szCs w:val="24"/>
        </w:rPr>
        <w:t>.</w:t>
      </w:r>
      <w:r w:rsidR="006F22D0" w:rsidRPr="002661A8">
        <w:rPr>
          <w:rFonts w:ascii="Times New Roman" w:hAnsi="Times New Roman" w:cs="Times New Roman"/>
          <w:noProof/>
          <w:sz w:val="24"/>
          <w:szCs w:val="24"/>
          <w:lang w:eastAsia="fr-BE"/>
        </w:rPr>
        <w:t xml:space="preserve"> </w:t>
      </w:r>
    </w:p>
    <w:p w14:paraId="0BF67A60" w14:textId="14DE22F4" w:rsidR="00CA7D25" w:rsidRPr="002661A8" w:rsidRDefault="003776A4" w:rsidP="002612E3">
      <w:pPr>
        <w:spacing w:after="120" w:line="240" w:lineRule="auto"/>
        <w:jc w:val="both"/>
        <w:rPr>
          <w:rFonts w:ascii="Times New Roman" w:hAnsi="Times New Roman" w:cs="Times New Roman"/>
          <w:noProof/>
          <w:sz w:val="24"/>
          <w:szCs w:val="24"/>
        </w:rPr>
      </w:pPr>
      <w:r w:rsidRPr="003776A4">
        <w:rPr>
          <w:rFonts w:ascii="Times New Roman" w:hAnsi="Times New Roman" w:cs="Times New Roman"/>
          <w:noProof/>
          <w:sz w:val="24"/>
          <w:szCs w:val="24"/>
        </w:rPr>
        <w:t xml:space="preserve">The vast majority of stakeholders </w:t>
      </w:r>
      <w:r>
        <w:rPr>
          <w:rFonts w:ascii="Times New Roman" w:hAnsi="Times New Roman" w:cs="Times New Roman"/>
          <w:noProof/>
          <w:sz w:val="24"/>
          <w:szCs w:val="24"/>
        </w:rPr>
        <w:t>reply</w:t>
      </w:r>
      <w:r w:rsidR="007550FF">
        <w:rPr>
          <w:rFonts w:ascii="Times New Roman" w:hAnsi="Times New Roman" w:cs="Times New Roman"/>
          <w:noProof/>
          <w:sz w:val="24"/>
          <w:szCs w:val="24"/>
        </w:rPr>
        <w:t>ing</w:t>
      </w:r>
      <w:r>
        <w:rPr>
          <w:rFonts w:ascii="Times New Roman" w:hAnsi="Times New Roman" w:cs="Times New Roman"/>
          <w:noProof/>
          <w:sz w:val="24"/>
          <w:szCs w:val="24"/>
        </w:rPr>
        <w:t xml:space="preserve"> to the targeted consultation </w:t>
      </w:r>
      <w:r w:rsidRPr="003776A4">
        <w:rPr>
          <w:rFonts w:ascii="Times New Roman" w:hAnsi="Times New Roman" w:cs="Times New Roman"/>
          <w:noProof/>
          <w:sz w:val="24"/>
          <w:szCs w:val="24"/>
        </w:rPr>
        <w:t xml:space="preserve">(90%, i.e. 20 out of 22 respondents) </w:t>
      </w:r>
      <w:r w:rsidR="00DD1DA7">
        <w:rPr>
          <w:rFonts w:ascii="Times New Roman" w:hAnsi="Times New Roman" w:cs="Times New Roman"/>
          <w:noProof/>
          <w:sz w:val="24"/>
          <w:szCs w:val="24"/>
        </w:rPr>
        <w:t>supported</w:t>
      </w:r>
      <w:r w:rsidRPr="003776A4">
        <w:rPr>
          <w:rFonts w:ascii="Times New Roman" w:hAnsi="Times New Roman" w:cs="Times New Roman"/>
          <w:noProof/>
          <w:sz w:val="24"/>
          <w:szCs w:val="24"/>
        </w:rPr>
        <w:t xml:space="preserve"> the idea of improving the ability of EU CCPs expand their offer and speeding up the approval process for new products. Respondents (mainly CCPs, but also two business associations, a central bank and a national supervisory authority of a Member State) </w:t>
      </w:r>
      <w:r w:rsidR="007550FF">
        <w:rPr>
          <w:rFonts w:ascii="Times New Roman" w:hAnsi="Times New Roman" w:cs="Times New Roman"/>
          <w:noProof/>
          <w:sz w:val="24"/>
          <w:szCs w:val="24"/>
        </w:rPr>
        <w:t>expressed concerns about the</w:t>
      </w:r>
      <w:r w:rsidRPr="003776A4">
        <w:rPr>
          <w:rFonts w:ascii="Times New Roman" w:hAnsi="Times New Roman" w:cs="Times New Roman"/>
          <w:noProof/>
          <w:sz w:val="24"/>
          <w:szCs w:val="24"/>
        </w:rPr>
        <w:t xml:space="preserve"> governance as well as the requested documentation</w:t>
      </w:r>
      <w:r w:rsidR="007550FF">
        <w:rPr>
          <w:rFonts w:ascii="Times New Roman" w:hAnsi="Times New Roman" w:cs="Times New Roman"/>
          <w:noProof/>
          <w:sz w:val="24"/>
          <w:szCs w:val="24"/>
        </w:rPr>
        <w:t>, which were viewed as</w:t>
      </w:r>
      <w:r w:rsidRPr="003776A4">
        <w:rPr>
          <w:rFonts w:ascii="Times New Roman" w:hAnsi="Times New Roman" w:cs="Times New Roman"/>
          <w:noProof/>
          <w:sz w:val="24"/>
          <w:szCs w:val="24"/>
        </w:rPr>
        <w:t xml:space="preserve"> too complex </w:t>
      </w:r>
      <w:r w:rsidR="007550FF">
        <w:rPr>
          <w:rFonts w:ascii="Times New Roman" w:hAnsi="Times New Roman" w:cs="Times New Roman"/>
          <w:noProof/>
          <w:sz w:val="24"/>
          <w:szCs w:val="24"/>
        </w:rPr>
        <w:t>with un</w:t>
      </w:r>
      <w:r w:rsidRPr="003776A4">
        <w:rPr>
          <w:rFonts w:ascii="Times New Roman" w:hAnsi="Times New Roman" w:cs="Times New Roman"/>
          <w:noProof/>
          <w:sz w:val="24"/>
          <w:szCs w:val="24"/>
        </w:rPr>
        <w:t>clear timelines</w:t>
      </w:r>
      <w:r w:rsidR="007550FF">
        <w:rPr>
          <w:rFonts w:ascii="Times New Roman" w:hAnsi="Times New Roman" w:cs="Times New Roman"/>
          <w:noProof/>
          <w:sz w:val="24"/>
          <w:szCs w:val="24"/>
        </w:rPr>
        <w:t xml:space="preserve">, resulting in high </w:t>
      </w:r>
      <w:r w:rsidRPr="003776A4">
        <w:rPr>
          <w:rFonts w:ascii="Times New Roman" w:hAnsi="Times New Roman" w:cs="Times New Roman"/>
          <w:noProof/>
          <w:sz w:val="24"/>
          <w:szCs w:val="24"/>
        </w:rPr>
        <w:t>regulatory compliance costs were high.</w:t>
      </w:r>
      <w:r>
        <w:rPr>
          <w:rFonts w:ascii="Times New Roman" w:hAnsi="Times New Roman" w:cs="Times New Roman"/>
          <w:noProof/>
          <w:sz w:val="24"/>
          <w:szCs w:val="24"/>
        </w:rPr>
        <w:t xml:space="preserve"> </w:t>
      </w:r>
      <w:r w:rsidRPr="003776A4">
        <w:rPr>
          <w:rFonts w:ascii="Times New Roman" w:hAnsi="Times New Roman" w:cs="Times New Roman"/>
          <w:noProof/>
          <w:sz w:val="24"/>
          <w:szCs w:val="24"/>
        </w:rPr>
        <w:t xml:space="preserve">Three public authorities agreed that there is room for a faster approval process for certain initiatives. In the meeting with Member States on 16 June 2022, Member States agreed in general that procedures under Article 15 and 49 EMIR should be more efficient and the processes improved. </w:t>
      </w:r>
    </w:p>
    <w:p w14:paraId="0CA0E5FC" w14:textId="4DD6E4B1" w:rsidR="00963F80" w:rsidRPr="002661A8" w:rsidRDefault="3FA542DF" w:rsidP="00ED5088">
      <w:pPr>
        <w:pStyle w:val="Heading1"/>
        <w:numPr>
          <w:ilvl w:val="1"/>
          <w:numId w:val="6"/>
        </w:numPr>
        <w:spacing w:before="0" w:after="120"/>
        <w:rPr>
          <w:b w:val="0"/>
          <w:noProof/>
        </w:rPr>
      </w:pPr>
      <w:bookmarkStart w:id="360" w:name="_How_likely_is"/>
      <w:bookmarkStart w:id="361" w:name="_Toc103337474"/>
      <w:bookmarkStart w:id="362" w:name="_Toc106827821"/>
      <w:bookmarkStart w:id="363" w:name="_Toc106981697"/>
      <w:bookmarkStart w:id="364" w:name="_Toc107493837"/>
      <w:bookmarkStart w:id="365" w:name="_Toc107497873"/>
      <w:bookmarkStart w:id="366" w:name="_Toc107503426"/>
      <w:bookmarkStart w:id="367" w:name="_Toc107504574"/>
      <w:bookmarkStart w:id="368" w:name="_Toc107505419"/>
      <w:bookmarkStart w:id="369" w:name="_Toc107838895"/>
      <w:bookmarkStart w:id="370" w:name="_Toc107846990"/>
      <w:bookmarkStart w:id="371" w:name="_Toc107849227"/>
      <w:bookmarkStart w:id="372" w:name="_Toc107853674"/>
      <w:bookmarkStart w:id="373" w:name="_Toc108539797"/>
      <w:bookmarkStart w:id="374" w:name="_Toc108539915"/>
      <w:bookmarkStart w:id="375" w:name="_Toc109057373"/>
      <w:bookmarkStart w:id="376" w:name="_Toc109120739"/>
      <w:bookmarkStart w:id="377" w:name="_Toc109122374"/>
      <w:bookmarkStart w:id="378" w:name="_Toc109133111"/>
      <w:bookmarkStart w:id="379" w:name="_Toc120291645"/>
      <w:bookmarkEnd w:id="360"/>
      <w:r w:rsidRPr="002661A8">
        <w:rPr>
          <w:smallCaps w:val="0"/>
          <w:noProof/>
        </w:rPr>
        <w:t xml:space="preserve">How </w:t>
      </w:r>
      <w:r w:rsidR="00836A5E" w:rsidRPr="002661A8">
        <w:rPr>
          <w:smallCaps w:val="0"/>
          <w:noProof/>
        </w:rPr>
        <w:t>likely is the problem to persist</w:t>
      </w:r>
      <w:r w:rsidRPr="002661A8">
        <w:rPr>
          <w:smallCaps w:val="0"/>
          <w:noProof/>
        </w:rPr>
        <w:t>?</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6048D582" w14:textId="025AC49F" w:rsidR="00963F80" w:rsidRPr="0078221E" w:rsidRDefault="00B21723" w:rsidP="009112FF">
      <w:pPr>
        <w:spacing w:line="240" w:lineRule="auto"/>
        <w:jc w:val="both"/>
        <w:rPr>
          <w:rFonts w:ascii="Times New Roman" w:eastAsia="Calibri" w:hAnsi="Times New Roman" w:cs="Times New Roman"/>
          <w:noProof/>
          <w:sz w:val="24"/>
          <w:szCs w:val="24"/>
        </w:rPr>
      </w:pPr>
      <w:r w:rsidRPr="00601F85">
        <w:rPr>
          <w:rFonts w:ascii="Times New Roman" w:eastAsia="Calibri" w:hAnsi="Times New Roman" w:cs="Times New Roman"/>
          <w:noProof/>
          <w:sz w:val="24"/>
          <w:szCs w:val="24"/>
        </w:rPr>
        <w:t xml:space="preserve">This section considers the potential impacts if no measures are taken to address </w:t>
      </w:r>
      <w:r w:rsidR="009367D4" w:rsidRPr="00601F85">
        <w:rPr>
          <w:rFonts w:ascii="Times New Roman" w:eastAsia="Calibri" w:hAnsi="Times New Roman" w:cs="Times New Roman"/>
          <w:noProof/>
          <w:sz w:val="24"/>
          <w:szCs w:val="24"/>
        </w:rPr>
        <w:t>the identified problems</w:t>
      </w:r>
      <w:r w:rsidRPr="00601F85">
        <w:rPr>
          <w:rFonts w:ascii="Times New Roman" w:eastAsia="Calibri" w:hAnsi="Times New Roman" w:cs="Times New Roman"/>
          <w:noProof/>
          <w:sz w:val="24"/>
          <w:szCs w:val="24"/>
        </w:rPr>
        <w:t xml:space="preserve">. </w:t>
      </w:r>
      <w:r w:rsidR="00963F80" w:rsidRPr="00601F85">
        <w:rPr>
          <w:rFonts w:ascii="Times New Roman" w:eastAsia="Calibri" w:hAnsi="Times New Roman" w:cs="Times New Roman"/>
          <w:noProof/>
          <w:sz w:val="24"/>
          <w:szCs w:val="24"/>
        </w:rPr>
        <w:t xml:space="preserve">For the purposes of the analysis, it is assumed that equivalence for the UK remains until it expires on </w:t>
      </w:r>
      <w:r w:rsidR="00CA5DCF" w:rsidRPr="00601F85">
        <w:rPr>
          <w:rFonts w:ascii="Times New Roman" w:eastAsia="Calibri" w:hAnsi="Times New Roman" w:cs="Times New Roman"/>
          <w:noProof/>
          <w:sz w:val="24"/>
          <w:szCs w:val="24"/>
        </w:rPr>
        <w:t xml:space="preserve">30 </w:t>
      </w:r>
      <w:r w:rsidR="00963F80" w:rsidRPr="00601F85">
        <w:rPr>
          <w:rFonts w:ascii="Times New Roman" w:eastAsia="Calibri" w:hAnsi="Times New Roman" w:cs="Times New Roman"/>
          <w:noProof/>
          <w:sz w:val="24"/>
          <w:szCs w:val="24"/>
        </w:rPr>
        <w:t>June 2025: as such, it is assumed that the regulatory framework of the UK will remain aligned with EMIR</w:t>
      </w:r>
      <w:r w:rsidR="001A2B85" w:rsidRPr="00601F85">
        <w:rPr>
          <w:rFonts w:ascii="Times New Roman" w:eastAsia="Calibri" w:hAnsi="Times New Roman" w:cs="Times New Roman"/>
          <w:noProof/>
          <w:sz w:val="24"/>
          <w:szCs w:val="24"/>
        </w:rPr>
        <w:t xml:space="preserve"> until 2025</w:t>
      </w:r>
      <w:r w:rsidR="00963F80" w:rsidRPr="00601F85">
        <w:rPr>
          <w:rFonts w:ascii="Times New Roman" w:eastAsia="Calibri" w:hAnsi="Times New Roman" w:cs="Times New Roman"/>
          <w:noProof/>
          <w:sz w:val="24"/>
          <w:szCs w:val="24"/>
        </w:rPr>
        <w:t>.</w:t>
      </w:r>
      <w:r w:rsidRPr="00601F85">
        <w:rPr>
          <w:rFonts w:ascii="Times New Roman" w:eastAsia="Calibri" w:hAnsi="Times New Roman" w:cs="Times New Roman"/>
          <w:noProof/>
          <w:sz w:val="24"/>
          <w:szCs w:val="24"/>
        </w:rPr>
        <w:t xml:space="preserve"> In such a scenario, </w:t>
      </w:r>
      <w:r w:rsidR="007D2FC1" w:rsidRPr="00601F85">
        <w:rPr>
          <w:rFonts w:ascii="Times New Roman" w:eastAsia="Calibri" w:hAnsi="Times New Roman" w:cs="Times New Roman"/>
          <w:noProof/>
          <w:sz w:val="24"/>
          <w:szCs w:val="24"/>
        </w:rPr>
        <w:t>which presents the baseline scenario for the assessment of options (see</w:t>
      </w:r>
      <w:r w:rsidR="007D2FC1" w:rsidRPr="002661A8">
        <w:rPr>
          <w:noProof/>
        </w:rPr>
        <w:t xml:space="preserve"> </w:t>
      </w:r>
      <w:hyperlink w:anchor="_What_is_the" w:history="1">
        <w:r w:rsidR="003E4C97" w:rsidRPr="00601F85">
          <w:rPr>
            <w:rStyle w:val="Hyperlink"/>
            <w:rFonts w:ascii="Times New Roman" w:hAnsi="Times New Roman" w:cs="Times New Roman"/>
            <w:noProof/>
            <w:sz w:val="24"/>
            <w:szCs w:val="24"/>
          </w:rPr>
          <w:t>S</w:t>
        </w:r>
        <w:r w:rsidR="007D2FC1" w:rsidRPr="00601F85">
          <w:rPr>
            <w:rStyle w:val="Hyperlink"/>
            <w:rFonts w:ascii="Times New Roman" w:hAnsi="Times New Roman" w:cs="Times New Roman"/>
            <w:noProof/>
            <w:sz w:val="24"/>
            <w:szCs w:val="24"/>
          </w:rPr>
          <w:t>ection 6.1</w:t>
        </w:r>
      </w:hyperlink>
      <w:r w:rsidR="007D2FC1" w:rsidRPr="00601F85">
        <w:rPr>
          <w:rFonts w:ascii="Times New Roman" w:eastAsia="Calibri" w:hAnsi="Times New Roman" w:cs="Times New Roman"/>
          <w:noProof/>
          <w:sz w:val="24"/>
          <w:szCs w:val="24"/>
        </w:rPr>
        <w:t xml:space="preserve">), </w:t>
      </w:r>
      <w:r w:rsidRPr="00601F85">
        <w:rPr>
          <w:rFonts w:ascii="Times New Roman" w:eastAsia="Calibri" w:hAnsi="Times New Roman" w:cs="Times New Roman"/>
          <w:noProof/>
          <w:sz w:val="24"/>
          <w:szCs w:val="24"/>
        </w:rPr>
        <w:t>the problems are likely to remain, and indeed, even grow</w:t>
      </w:r>
      <w:r w:rsidR="007550FF">
        <w:rPr>
          <w:rFonts w:ascii="Times New Roman" w:eastAsia="Calibri" w:hAnsi="Times New Roman" w:cs="Times New Roman"/>
          <w:noProof/>
          <w:sz w:val="24"/>
          <w:szCs w:val="24"/>
        </w:rPr>
        <w:t>. M</w:t>
      </w:r>
      <w:r w:rsidRPr="00601F85">
        <w:rPr>
          <w:rFonts w:ascii="Times New Roman" w:eastAsia="Calibri" w:hAnsi="Times New Roman" w:cs="Times New Roman"/>
          <w:noProof/>
          <w:sz w:val="24"/>
          <w:szCs w:val="24"/>
        </w:rPr>
        <w:t xml:space="preserve">arket participants will continue to </w:t>
      </w:r>
      <w:r w:rsidR="00137C79" w:rsidRPr="00601F85">
        <w:rPr>
          <w:rFonts w:ascii="Times New Roman" w:eastAsia="Calibri" w:hAnsi="Times New Roman" w:cs="Times New Roman"/>
          <w:noProof/>
          <w:sz w:val="24"/>
          <w:szCs w:val="24"/>
        </w:rPr>
        <w:t>clear</w:t>
      </w:r>
      <w:r w:rsidRPr="00601F85">
        <w:rPr>
          <w:rFonts w:ascii="Times New Roman" w:eastAsia="Calibri" w:hAnsi="Times New Roman" w:cs="Times New Roman"/>
          <w:noProof/>
          <w:sz w:val="24"/>
          <w:szCs w:val="24"/>
        </w:rPr>
        <w:t xml:space="preserve"> in incumbent Tier 2 CCPs, and </w:t>
      </w:r>
      <w:r w:rsidR="008C2D74">
        <w:rPr>
          <w:rFonts w:ascii="Times New Roman" w:eastAsia="Calibri" w:hAnsi="Times New Roman" w:cs="Times New Roman"/>
          <w:noProof/>
          <w:sz w:val="24"/>
          <w:szCs w:val="24"/>
        </w:rPr>
        <w:t xml:space="preserve">where </w:t>
      </w:r>
      <w:r w:rsidRPr="00601F85">
        <w:rPr>
          <w:rFonts w:ascii="Times New Roman" w:eastAsia="Calibri" w:hAnsi="Times New Roman" w:cs="Times New Roman"/>
          <w:noProof/>
          <w:sz w:val="24"/>
          <w:szCs w:val="24"/>
        </w:rPr>
        <w:t xml:space="preserve">liquidity in EU CCPs is likely to remain unchanged. Consequently, absent any intervention, </w:t>
      </w:r>
      <w:r w:rsidR="00B70368" w:rsidRPr="00601F85">
        <w:rPr>
          <w:rFonts w:ascii="Times New Roman" w:eastAsia="Calibri" w:hAnsi="Times New Roman" w:cs="Times New Roman"/>
          <w:noProof/>
          <w:sz w:val="24"/>
          <w:szCs w:val="24"/>
        </w:rPr>
        <w:t xml:space="preserve">the over-reliance on non-EU CCPs </w:t>
      </w:r>
      <w:r w:rsidR="001175DB" w:rsidRPr="00601F85">
        <w:rPr>
          <w:rFonts w:ascii="Times New Roman" w:eastAsia="Calibri" w:hAnsi="Times New Roman" w:cs="Times New Roman"/>
          <w:noProof/>
          <w:sz w:val="24"/>
          <w:szCs w:val="24"/>
        </w:rPr>
        <w:t>will</w:t>
      </w:r>
      <w:r w:rsidR="00B70368" w:rsidRPr="00601F85">
        <w:rPr>
          <w:rFonts w:ascii="Times New Roman" w:eastAsia="Calibri" w:hAnsi="Times New Roman" w:cs="Times New Roman"/>
          <w:noProof/>
          <w:sz w:val="24"/>
          <w:szCs w:val="24"/>
        </w:rPr>
        <w:t xml:space="preserve"> continue and </w:t>
      </w:r>
      <w:r w:rsidRPr="00601F85">
        <w:rPr>
          <w:rFonts w:ascii="Times New Roman" w:eastAsia="Calibri" w:hAnsi="Times New Roman" w:cs="Times New Roman"/>
          <w:noProof/>
          <w:sz w:val="24"/>
          <w:szCs w:val="24"/>
        </w:rPr>
        <w:t xml:space="preserve">cross-border risks </w:t>
      </w:r>
      <w:r w:rsidR="008C2D74">
        <w:rPr>
          <w:rFonts w:ascii="Times New Roman" w:eastAsia="Calibri" w:hAnsi="Times New Roman" w:cs="Times New Roman"/>
          <w:noProof/>
          <w:sz w:val="24"/>
          <w:szCs w:val="24"/>
        </w:rPr>
        <w:t xml:space="preserve">will </w:t>
      </w:r>
      <w:r w:rsidR="00C43394" w:rsidRPr="00601F85">
        <w:rPr>
          <w:rFonts w:ascii="Times New Roman" w:eastAsia="Calibri" w:hAnsi="Times New Roman" w:cs="Times New Roman"/>
          <w:noProof/>
          <w:sz w:val="24"/>
          <w:szCs w:val="24"/>
        </w:rPr>
        <w:t xml:space="preserve">rise </w:t>
      </w:r>
      <w:r w:rsidRPr="00601F85">
        <w:rPr>
          <w:rFonts w:ascii="Times New Roman" w:eastAsia="Calibri" w:hAnsi="Times New Roman" w:cs="Times New Roman"/>
          <w:noProof/>
          <w:sz w:val="24"/>
          <w:szCs w:val="24"/>
        </w:rPr>
        <w:t xml:space="preserve">not just in the EU financial sector but </w:t>
      </w:r>
      <w:r w:rsidR="008C2D74">
        <w:rPr>
          <w:rFonts w:ascii="Times New Roman" w:eastAsia="Calibri" w:hAnsi="Times New Roman" w:cs="Times New Roman"/>
          <w:noProof/>
          <w:sz w:val="24"/>
          <w:szCs w:val="24"/>
        </w:rPr>
        <w:t xml:space="preserve">also </w:t>
      </w:r>
      <w:r w:rsidRPr="00601F85">
        <w:rPr>
          <w:rFonts w:ascii="Times New Roman" w:eastAsia="Calibri" w:hAnsi="Times New Roman" w:cs="Times New Roman"/>
          <w:noProof/>
          <w:sz w:val="24"/>
          <w:szCs w:val="24"/>
        </w:rPr>
        <w:t>in the wider economy.</w:t>
      </w:r>
      <w:r w:rsidR="009112FF" w:rsidRPr="0078221E">
        <w:rPr>
          <w:rFonts w:ascii="Times New Roman" w:eastAsia="Calibri" w:hAnsi="Times New Roman" w:cs="Times New Roman"/>
          <w:noProof/>
          <w:sz w:val="24"/>
          <w:szCs w:val="24"/>
        </w:rPr>
        <w:t xml:space="preserve"> </w:t>
      </w:r>
      <w:r w:rsidR="009112FF">
        <w:rPr>
          <w:rFonts w:ascii="Times New Roman" w:eastAsia="Calibri" w:hAnsi="Times New Roman" w:cs="Times New Roman"/>
          <w:noProof/>
          <w:sz w:val="24"/>
          <w:szCs w:val="24"/>
        </w:rPr>
        <w:t>Relying on existing tools, such as capital buffers for banks, would not address the problems to a sufficient extent: e</w:t>
      </w:r>
      <w:r w:rsidR="009112FF" w:rsidRPr="0078221E">
        <w:rPr>
          <w:rFonts w:ascii="Times New Roman" w:eastAsia="Calibri" w:hAnsi="Times New Roman" w:cs="Times New Roman"/>
          <w:noProof/>
          <w:sz w:val="24"/>
          <w:szCs w:val="24"/>
        </w:rPr>
        <w:t xml:space="preserve">ven though </w:t>
      </w:r>
      <w:r w:rsidR="007B6315">
        <w:rPr>
          <w:rFonts w:ascii="Times New Roman" w:eastAsia="Calibri" w:hAnsi="Times New Roman" w:cs="Times New Roman"/>
          <w:noProof/>
          <w:sz w:val="24"/>
          <w:szCs w:val="24"/>
        </w:rPr>
        <w:t>it is possible</w:t>
      </w:r>
      <w:r w:rsidR="009112FF" w:rsidRPr="0078221E">
        <w:rPr>
          <w:rFonts w:ascii="Times New Roman" w:eastAsia="Calibri" w:hAnsi="Times New Roman" w:cs="Times New Roman"/>
          <w:noProof/>
          <w:sz w:val="24"/>
          <w:szCs w:val="24"/>
        </w:rPr>
        <w:t xml:space="preserve"> to address excessive concentration of exposures towards </w:t>
      </w:r>
      <w:r w:rsidR="007B6315">
        <w:rPr>
          <w:rFonts w:ascii="Times New Roman" w:eastAsia="Calibri" w:hAnsi="Times New Roman" w:cs="Times New Roman"/>
          <w:noProof/>
          <w:sz w:val="24"/>
          <w:szCs w:val="24"/>
        </w:rPr>
        <w:t>CCPs</w:t>
      </w:r>
      <w:r w:rsidR="009112FF" w:rsidRPr="0078221E">
        <w:rPr>
          <w:rFonts w:ascii="Times New Roman" w:eastAsia="Calibri" w:hAnsi="Times New Roman" w:cs="Times New Roman"/>
          <w:noProof/>
          <w:sz w:val="24"/>
          <w:szCs w:val="24"/>
        </w:rPr>
        <w:t xml:space="preserve"> under the current </w:t>
      </w:r>
      <w:r w:rsidR="009112FF">
        <w:rPr>
          <w:rFonts w:ascii="Times New Roman" w:eastAsia="Calibri" w:hAnsi="Times New Roman" w:cs="Times New Roman"/>
          <w:noProof/>
          <w:sz w:val="24"/>
          <w:szCs w:val="24"/>
        </w:rPr>
        <w:t xml:space="preserve">banking </w:t>
      </w:r>
      <w:r w:rsidR="009112FF" w:rsidRPr="0078221E">
        <w:rPr>
          <w:rFonts w:ascii="Times New Roman" w:eastAsia="Calibri" w:hAnsi="Times New Roman" w:cs="Times New Roman"/>
          <w:noProof/>
          <w:sz w:val="24"/>
          <w:szCs w:val="24"/>
        </w:rPr>
        <w:t xml:space="preserve">framework, </w:t>
      </w:r>
      <w:r w:rsidR="007B6315">
        <w:rPr>
          <w:rFonts w:ascii="Times New Roman" w:eastAsia="Calibri" w:hAnsi="Times New Roman" w:cs="Times New Roman"/>
          <w:noProof/>
          <w:sz w:val="24"/>
          <w:szCs w:val="24"/>
        </w:rPr>
        <w:t>such tools</w:t>
      </w:r>
      <w:r w:rsidR="007B6315" w:rsidRPr="0078221E">
        <w:rPr>
          <w:rFonts w:ascii="Times New Roman" w:eastAsia="Calibri" w:hAnsi="Times New Roman" w:cs="Times New Roman"/>
          <w:noProof/>
          <w:sz w:val="24"/>
          <w:szCs w:val="24"/>
        </w:rPr>
        <w:t xml:space="preserve"> </w:t>
      </w:r>
      <w:r w:rsidR="0078221E">
        <w:rPr>
          <w:rFonts w:ascii="Times New Roman" w:eastAsia="Calibri" w:hAnsi="Times New Roman" w:cs="Times New Roman"/>
          <w:noProof/>
          <w:sz w:val="24"/>
          <w:szCs w:val="24"/>
        </w:rPr>
        <w:t>are</w:t>
      </w:r>
      <w:r w:rsidR="009112FF" w:rsidRPr="0078221E">
        <w:rPr>
          <w:rFonts w:ascii="Times New Roman" w:eastAsia="Calibri" w:hAnsi="Times New Roman" w:cs="Times New Roman"/>
          <w:noProof/>
          <w:sz w:val="24"/>
          <w:szCs w:val="24"/>
        </w:rPr>
        <w:t xml:space="preserve"> not sufficiently prominent to induce the desired behavioural ch</w:t>
      </w:r>
      <w:r w:rsidR="009112FF" w:rsidRPr="009112FF">
        <w:rPr>
          <w:rFonts w:ascii="Times New Roman" w:eastAsia="Calibri" w:hAnsi="Times New Roman" w:cs="Times New Roman"/>
          <w:noProof/>
          <w:sz w:val="24"/>
          <w:szCs w:val="24"/>
        </w:rPr>
        <w:t>ange.</w:t>
      </w:r>
      <w:r w:rsidR="009112FF">
        <w:rPr>
          <w:rFonts w:ascii="Times New Roman" w:eastAsia="Calibri" w:hAnsi="Times New Roman" w:cs="Times New Roman"/>
          <w:noProof/>
          <w:sz w:val="24"/>
          <w:szCs w:val="24"/>
        </w:rPr>
        <w:t xml:space="preserve"> </w:t>
      </w:r>
    </w:p>
    <w:p w14:paraId="7E6ED33F" w14:textId="4B1F7E94" w:rsidR="00734852" w:rsidRPr="002661A8" w:rsidRDefault="00734852" w:rsidP="00ED5088">
      <w:pPr>
        <w:pStyle w:val="Heading1"/>
        <w:numPr>
          <w:ilvl w:val="2"/>
          <w:numId w:val="6"/>
        </w:numPr>
        <w:spacing w:before="0" w:after="120"/>
        <w:rPr>
          <w:b w:val="0"/>
          <w:i/>
          <w:smallCaps w:val="0"/>
          <w:noProof/>
        </w:rPr>
      </w:pPr>
      <w:bookmarkStart w:id="380" w:name="_Toc103337475"/>
      <w:bookmarkStart w:id="381" w:name="_Toc106827822"/>
      <w:bookmarkStart w:id="382" w:name="_Toc106981698"/>
      <w:bookmarkStart w:id="383" w:name="_Toc107493838"/>
      <w:bookmarkStart w:id="384" w:name="_Toc107497874"/>
      <w:bookmarkStart w:id="385" w:name="_Toc107503427"/>
      <w:bookmarkStart w:id="386" w:name="_Toc107504575"/>
      <w:bookmarkStart w:id="387" w:name="_Toc107505420"/>
      <w:bookmarkStart w:id="388" w:name="_Toc107838896"/>
      <w:bookmarkStart w:id="389" w:name="_Toc107846991"/>
      <w:bookmarkStart w:id="390" w:name="_Toc107849228"/>
      <w:bookmarkStart w:id="391" w:name="_Toc107853675"/>
      <w:bookmarkStart w:id="392" w:name="_Toc108418484"/>
      <w:bookmarkStart w:id="393" w:name="_Toc108539576"/>
      <w:bookmarkStart w:id="394" w:name="_Toc108539798"/>
      <w:bookmarkStart w:id="395" w:name="_Toc108539916"/>
      <w:bookmarkStart w:id="396" w:name="_Toc108539995"/>
      <w:bookmarkStart w:id="397" w:name="_Toc109057374"/>
      <w:bookmarkStart w:id="398" w:name="_Toc109120740"/>
      <w:bookmarkStart w:id="399" w:name="_Toc109122375"/>
      <w:bookmarkStart w:id="400" w:name="_Toc109124088"/>
      <w:bookmarkStart w:id="401" w:name="_Toc109133112"/>
      <w:bookmarkStart w:id="402" w:name="_Toc109133288"/>
      <w:bookmarkStart w:id="403" w:name="_Toc120291646"/>
      <w:r w:rsidRPr="002661A8">
        <w:rPr>
          <w:b w:val="0"/>
          <w:i/>
          <w:smallCaps w:val="0"/>
          <w:noProof/>
        </w:rPr>
        <w:t xml:space="preserve">Limited </w:t>
      </w:r>
      <w:r w:rsidR="00FD3574" w:rsidRPr="002661A8">
        <w:rPr>
          <w:b w:val="0"/>
          <w:i/>
          <w:smallCaps w:val="0"/>
          <w:noProof/>
        </w:rPr>
        <w:t xml:space="preserve">attractiveness </w:t>
      </w:r>
      <w:r w:rsidRPr="002661A8">
        <w:rPr>
          <w:b w:val="0"/>
          <w:i/>
          <w:smallCaps w:val="0"/>
          <w:noProof/>
        </w:rPr>
        <w:t>of EU CCPs and over-reliance on non-EU CCPs</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294BE25C" w14:textId="54706614" w:rsidR="00B21723" w:rsidRPr="002661A8" w:rsidRDefault="002F726C" w:rsidP="007E0936">
      <w:pPr>
        <w:pStyle w:val="Text2"/>
        <w:spacing w:after="120"/>
        <w:ind w:left="0"/>
        <w:rPr>
          <w:noProof/>
          <w:szCs w:val="24"/>
        </w:rPr>
      </w:pPr>
      <w:r w:rsidRPr="002661A8">
        <w:rPr>
          <w:noProof/>
        </w:rPr>
        <w:t xml:space="preserve">The limited international </w:t>
      </w:r>
      <w:r w:rsidR="00FD3574" w:rsidRPr="002661A8">
        <w:rPr>
          <w:noProof/>
        </w:rPr>
        <w:t>attractiveness</w:t>
      </w:r>
      <w:r w:rsidR="00137C79" w:rsidRPr="002661A8">
        <w:rPr>
          <w:rFonts w:asciiTheme="minorHAnsi" w:eastAsiaTheme="minorHAnsi" w:hAnsiTheme="minorHAnsi" w:cstheme="minorBidi"/>
          <w:noProof/>
          <w:sz w:val="22"/>
          <w:szCs w:val="22"/>
        </w:rPr>
        <w:t xml:space="preserve"> </w:t>
      </w:r>
      <w:r w:rsidRPr="002661A8">
        <w:rPr>
          <w:noProof/>
        </w:rPr>
        <w:t xml:space="preserve">of EU CCPs and over-reliance on non-EU CCPs stem from </w:t>
      </w:r>
      <w:r w:rsidR="005A389D" w:rsidRPr="002661A8">
        <w:rPr>
          <w:noProof/>
        </w:rPr>
        <w:t xml:space="preserve">two </w:t>
      </w:r>
      <w:r w:rsidRPr="002661A8">
        <w:rPr>
          <w:noProof/>
        </w:rPr>
        <w:t xml:space="preserve">main problems: </w:t>
      </w:r>
      <w:r w:rsidR="00936935" w:rsidRPr="002661A8">
        <w:rPr>
          <w:noProof/>
        </w:rPr>
        <w:t>s</w:t>
      </w:r>
      <w:r w:rsidR="00CF49FF" w:rsidRPr="002661A8">
        <w:rPr>
          <w:noProof/>
        </w:rPr>
        <w:t>upply</w:t>
      </w:r>
      <w:r w:rsidR="00840A9F" w:rsidRPr="002661A8">
        <w:rPr>
          <w:noProof/>
        </w:rPr>
        <w:t>-</w:t>
      </w:r>
      <w:r w:rsidR="00CF49FF" w:rsidRPr="002661A8">
        <w:rPr>
          <w:noProof/>
        </w:rPr>
        <w:t>side problems</w:t>
      </w:r>
      <w:r w:rsidRPr="002661A8">
        <w:rPr>
          <w:noProof/>
        </w:rPr>
        <w:t xml:space="preserve"> (see </w:t>
      </w:r>
      <w:hyperlink w:anchor="_Supply_side_problems" w:history="1">
        <w:r w:rsidR="00865109" w:rsidRPr="002661A8">
          <w:rPr>
            <w:rStyle w:val="Hyperlink"/>
            <w:noProof/>
          </w:rPr>
          <w:t>S</w:t>
        </w:r>
        <w:r w:rsidRPr="002661A8">
          <w:rPr>
            <w:rStyle w:val="Hyperlink"/>
            <w:noProof/>
          </w:rPr>
          <w:t xml:space="preserve">ection </w:t>
        </w:r>
        <w:r w:rsidR="00865109" w:rsidRPr="002661A8">
          <w:rPr>
            <w:rStyle w:val="Hyperlink"/>
            <w:noProof/>
          </w:rPr>
          <w:t>3</w:t>
        </w:r>
        <w:r w:rsidRPr="002661A8">
          <w:rPr>
            <w:rStyle w:val="Hyperlink"/>
            <w:noProof/>
          </w:rPr>
          <w:t>.</w:t>
        </w:r>
        <w:r w:rsidR="001C60DA" w:rsidRPr="002661A8">
          <w:rPr>
            <w:rStyle w:val="Hyperlink"/>
            <w:noProof/>
          </w:rPr>
          <w:t>1</w:t>
        </w:r>
        <w:r w:rsidRPr="002661A8">
          <w:rPr>
            <w:rStyle w:val="Hyperlink"/>
            <w:noProof/>
          </w:rPr>
          <w:t>.1</w:t>
        </w:r>
      </w:hyperlink>
      <w:r w:rsidRPr="002661A8">
        <w:rPr>
          <w:noProof/>
        </w:rPr>
        <w:t>)</w:t>
      </w:r>
      <w:r w:rsidR="005A389D" w:rsidRPr="002661A8">
        <w:rPr>
          <w:noProof/>
        </w:rPr>
        <w:t xml:space="preserve"> and</w:t>
      </w:r>
      <w:r w:rsidRPr="002661A8">
        <w:rPr>
          <w:noProof/>
        </w:rPr>
        <w:t xml:space="preserve"> </w:t>
      </w:r>
      <w:r w:rsidR="00936935" w:rsidRPr="002661A8">
        <w:rPr>
          <w:noProof/>
        </w:rPr>
        <w:t>d</w:t>
      </w:r>
      <w:r w:rsidR="00CF49FF" w:rsidRPr="002661A8">
        <w:rPr>
          <w:noProof/>
        </w:rPr>
        <w:t>emand</w:t>
      </w:r>
      <w:r w:rsidR="00840A9F" w:rsidRPr="002661A8">
        <w:rPr>
          <w:noProof/>
        </w:rPr>
        <w:t>-</w:t>
      </w:r>
      <w:r w:rsidR="00CF49FF" w:rsidRPr="002661A8">
        <w:rPr>
          <w:noProof/>
        </w:rPr>
        <w:t xml:space="preserve">side problems (see </w:t>
      </w:r>
      <w:hyperlink w:anchor="_Demand_side_problems" w:history="1">
        <w:r w:rsidR="00865109" w:rsidRPr="002661A8">
          <w:rPr>
            <w:rStyle w:val="Hyperlink"/>
            <w:noProof/>
          </w:rPr>
          <w:t>S</w:t>
        </w:r>
        <w:r w:rsidR="00CF49FF" w:rsidRPr="002661A8">
          <w:rPr>
            <w:rStyle w:val="Hyperlink"/>
            <w:noProof/>
          </w:rPr>
          <w:t xml:space="preserve">ection </w:t>
        </w:r>
        <w:r w:rsidR="00865109" w:rsidRPr="002661A8">
          <w:rPr>
            <w:rStyle w:val="Hyperlink"/>
            <w:noProof/>
          </w:rPr>
          <w:t>3</w:t>
        </w:r>
        <w:r w:rsidR="00CF49FF" w:rsidRPr="002661A8">
          <w:rPr>
            <w:rStyle w:val="Hyperlink"/>
            <w:noProof/>
          </w:rPr>
          <w:t>.</w:t>
        </w:r>
        <w:r w:rsidR="001C60DA" w:rsidRPr="002661A8">
          <w:rPr>
            <w:rStyle w:val="Hyperlink"/>
            <w:noProof/>
          </w:rPr>
          <w:t>1</w:t>
        </w:r>
        <w:r w:rsidR="00CF49FF" w:rsidRPr="002661A8">
          <w:rPr>
            <w:rStyle w:val="Hyperlink"/>
            <w:noProof/>
          </w:rPr>
          <w:t>.2</w:t>
        </w:r>
      </w:hyperlink>
      <w:r w:rsidR="00CF49FF" w:rsidRPr="002661A8">
        <w:rPr>
          <w:noProof/>
        </w:rPr>
        <w:t>)</w:t>
      </w:r>
      <w:r w:rsidRPr="002661A8">
        <w:rPr>
          <w:noProof/>
        </w:rPr>
        <w:t>.</w:t>
      </w:r>
      <w:r w:rsidR="00B21723" w:rsidRPr="002661A8">
        <w:rPr>
          <w:noProof/>
        </w:rPr>
        <w:t xml:space="preserve"> </w:t>
      </w:r>
    </w:p>
    <w:p w14:paraId="7683768A" w14:textId="06347ED1" w:rsidR="00176766" w:rsidRPr="002661A8" w:rsidRDefault="00963F80" w:rsidP="00176766">
      <w:pPr>
        <w:pStyle w:val="Text2"/>
        <w:spacing w:after="120"/>
        <w:ind w:left="0"/>
        <w:rPr>
          <w:noProof/>
        </w:rPr>
      </w:pPr>
      <w:r w:rsidRPr="002661A8">
        <w:rPr>
          <w:noProof/>
          <w:szCs w:val="24"/>
        </w:rPr>
        <w:t>A</w:t>
      </w:r>
      <w:r w:rsidR="00176766" w:rsidRPr="002661A8">
        <w:rPr>
          <w:noProof/>
          <w:szCs w:val="24"/>
        </w:rPr>
        <w:t xml:space="preserve">s regards </w:t>
      </w:r>
      <w:r w:rsidR="00176766" w:rsidRPr="002661A8">
        <w:rPr>
          <w:b/>
          <w:noProof/>
          <w:szCs w:val="24"/>
        </w:rPr>
        <w:t>supply-side problems</w:t>
      </w:r>
      <w:r w:rsidR="00176766" w:rsidRPr="002661A8">
        <w:rPr>
          <w:noProof/>
          <w:szCs w:val="24"/>
        </w:rPr>
        <w:t>, i</w:t>
      </w:r>
      <w:r w:rsidR="00176766" w:rsidRPr="002661A8">
        <w:rPr>
          <w:noProof/>
        </w:rPr>
        <w:t>f nothing is done EU CCPs will continue to face long, burdensome and complex procedures when trying to launch new products or services. This will limit their ability to respond quickly to market developments</w:t>
      </w:r>
      <w:r w:rsidR="00865109" w:rsidRPr="002661A8">
        <w:rPr>
          <w:noProof/>
        </w:rPr>
        <w:t>,</w:t>
      </w:r>
      <w:r w:rsidR="00176766" w:rsidRPr="002661A8" w:rsidDel="00865109">
        <w:rPr>
          <w:noProof/>
        </w:rPr>
        <w:t xml:space="preserve"> </w:t>
      </w:r>
      <w:r w:rsidR="00176766" w:rsidRPr="002661A8">
        <w:rPr>
          <w:noProof/>
        </w:rPr>
        <w:t>bring new products to the market</w:t>
      </w:r>
      <w:r w:rsidR="00A07E7E" w:rsidRPr="002661A8">
        <w:rPr>
          <w:noProof/>
        </w:rPr>
        <w:t xml:space="preserve"> and meet the demands of market participants</w:t>
      </w:r>
      <w:r w:rsidR="00176766" w:rsidRPr="002661A8">
        <w:rPr>
          <w:noProof/>
        </w:rPr>
        <w:t xml:space="preserve">. </w:t>
      </w:r>
      <w:r w:rsidR="00B8412D" w:rsidRPr="002661A8">
        <w:rPr>
          <w:noProof/>
        </w:rPr>
        <w:t>As long as</w:t>
      </w:r>
      <w:r w:rsidR="006358F4" w:rsidRPr="002661A8">
        <w:rPr>
          <w:noProof/>
        </w:rPr>
        <w:t>, amongst other things,</w:t>
      </w:r>
      <w:r w:rsidR="00B8412D" w:rsidRPr="002661A8">
        <w:rPr>
          <w:noProof/>
        </w:rPr>
        <w:t xml:space="preserve"> EU CCPs are perceived by market participants as less able to quickly offer solutions to specific needs than third</w:t>
      </w:r>
      <w:r w:rsidR="00C97709" w:rsidRPr="002661A8">
        <w:rPr>
          <w:noProof/>
        </w:rPr>
        <w:t>-</w:t>
      </w:r>
      <w:r w:rsidR="00B8412D" w:rsidRPr="002661A8">
        <w:rPr>
          <w:noProof/>
        </w:rPr>
        <w:t xml:space="preserve">country CCPs recognised by ESMA, market participants will continue to clear </w:t>
      </w:r>
      <w:r w:rsidR="00BC413F">
        <w:rPr>
          <w:noProof/>
        </w:rPr>
        <w:t>at non-EU CCPss</w:t>
      </w:r>
      <w:r w:rsidR="00B8412D" w:rsidRPr="002661A8">
        <w:rPr>
          <w:noProof/>
        </w:rPr>
        <w:t xml:space="preserve">. </w:t>
      </w:r>
      <w:r w:rsidR="00303EB7" w:rsidRPr="002661A8">
        <w:rPr>
          <w:noProof/>
        </w:rPr>
        <w:t xml:space="preserve">EU CCPs will also continue to be less able to respond quickly to market developments through changes in risk models. CCPs established in jurisdictions where this can happen more quickly are likely to be better able to attract business. </w:t>
      </w:r>
      <w:r w:rsidR="00B8412D" w:rsidRPr="002661A8">
        <w:rPr>
          <w:noProof/>
        </w:rPr>
        <w:t>The options below therefore explore how to facilitate a quicker provision of new services</w:t>
      </w:r>
      <w:r w:rsidR="00303EB7" w:rsidRPr="002661A8">
        <w:rPr>
          <w:noProof/>
        </w:rPr>
        <w:t xml:space="preserve"> and adaptations of models</w:t>
      </w:r>
      <w:r w:rsidR="00B8412D" w:rsidRPr="002661A8">
        <w:rPr>
          <w:noProof/>
        </w:rPr>
        <w:t xml:space="preserve"> by EU CCPs.</w:t>
      </w:r>
      <w:r w:rsidR="00176766" w:rsidRPr="002661A8">
        <w:rPr>
          <w:noProof/>
        </w:rPr>
        <w:t xml:space="preserve"> </w:t>
      </w:r>
    </w:p>
    <w:p w14:paraId="1D2BDE28" w14:textId="0249F2F1" w:rsidR="000F7125" w:rsidRDefault="00176766" w:rsidP="002A41AA">
      <w:pPr>
        <w:pStyle w:val="Text1"/>
        <w:spacing w:after="120"/>
        <w:ind w:left="0"/>
        <w:rPr>
          <w:noProof/>
        </w:rPr>
      </w:pPr>
      <w:r w:rsidRPr="002661A8">
        <w:rPr>
          <w:noProof/>
        </w:rPr>
        <w:t xml:space="preserve">As regards </w:t>
      </w:r>
      <w:r w:rsidRPr="002661A8">
        <w:rPr>
          <w:b/>
          <w:noProof/>
        </w:rPr>
        <w:t>demand-side problems</w:t>
      </w:r>
      <w:r w:rsidR="008A6173" w:rsidRPr="002661A8">
        <w:rPr>
          <w:noProof/>
        </w:rPr>
        <w:t xml:space="preserve"> (see </w:t>
      </w:r>
      <w:hyperlink w:anchor="_Demand_side_problems" w:history="1">
        <w:r w:rsidR="008A6173" w:rsidRPr="002661A8">
          <w:rPr>
            <w:rStyle w:val="Hyperlink"/>
            <w:noProof/>
          </w:rPr>
          <w:t>S</w:t>
        </w:r>
        <w:r w:rsidR="002A41AA" w:rsidRPr="002661A8">
          <w:rPr>
            <w:rStyle w:val="Hyperlink"/>
            <w:noProof/>
          </w:rPr>
          <w:t xml:space="preserve">ection </w:t>
        </w:r>
        <w:r w:rsidR="00DA5D84" w:rsidRPr="002661A8">
          <w:rPr>
            <w:rStyle w:val="Hyperlink"/>
            <w:noProof/>
          </w:rPr>
          <w:t>3</w:t>
        </w:r>
        <w:r w:rsidR="002A41AA" w:rsidRPr="002661A8">
          <w:rPr>
            <w:rStyle w:val="Hyperlink"/>
            <w:noProof/>
          </w:rPr>
          <w:t>.</w:t>
        </w:r>
        <w:r w:rsidR="00DA5D84" w:rsidRPr="002661A8">
          <w:rPr>
            <w:rStyle w:val="Hyperlink"/>
            <w:noProof/>
          </w:rPr>
          <w:t>1</w:t>
        </w:r>
        <w:r w:rsidR="002A41AA" w:rsidRPr="002661A8">
          <w:rPr>
            <w:rStyle w:val="Hyperlink"/>
            <w:noProof/>
          </w:rPr>
          <w:t>.2</w:t>
        </w:r>
      </w:hyperlink>
      <w:r w:rsidR="00A23BBD" w:rsidRPr="002661A8">
        <w:rPr>
          <w:noProof/>
        </w:rPr>
        <w:t>)</w:t>
      </w:r>
      <w:r w:rsidR="00A07E7E" w:rsidRPr="002661A8">
        <w:rPr>
          <w:noProof/>
        </w:rPr>
        <w:t>,</w:t>
      </w:r>
      <w:r w:rsidR="002A41AA" w:rsidRPr="002661A8">
        <w:rPr>
          <w:noProof/>
        </w:rPr>
        <w:t xml:space="preserve"> clearing is a concentrated industry where economies of scale matter and where market participants tend to clear their trades at the same CCP to gain from operational and margin efficiencies. The problem tree also shows the circular relationship between supply and demand at a given CCP. In this regard, in several Communications, as well as in the equivalence decisions adopted to avoid cliff-edge Brexit scenario</w:t>
      </w:r>
      <w:r w:rsidR="00142CFD" w:rsidRPr="002661A8">
        <w:rPr>
          <w:noProof/>
        </w:rPr>
        <w:t>,</w:t>
      </w:r>
      <w:r w:rsidR="002A41AA" w:rsidRPr="002661A8">
        <w:rPr>
          <w:rStyle w:val="FootnoteReference"/>
          <w:noProof/>
        </w:rPr>
        <w:footnoteReference w:id="102"/>
      </w:r>
      <w:r w:rsidR="002A41AA" w:rsidRPr="002661A8">
        <w:rPr>
          <w:noProof/>
        </w:rPr>
        <w:t xml:space="preserve"> the Commission urged EU market participants to reduce their </w:t>
      </w:r>
      <w:r w:rsidR="000C228C" w:rsidRPr="002661A8">
        <w:rPr>
          <w:noProof/>
        </w:rPr>
        <w:t xml:space="preserve">excessive </w:t>
      </w:r>
      <w:r w:rsidR="002A41AA" w:rsidRPr="002661A8">
        <w:rPr>
          <w:noProof/>
        </w:rPr>
        <w:t xml:space="preserve">exposures to </w:t>
      </w:r>
      <w:r w:rsidR="00D11679" w:rsidRPr="002661A8">
        <w:rPr>
          <w:noProof/>
        </w:rPr>
        <w:t>Tier 2</w:t>
      </w:r>
      <w:r w:rsidR="002A41AA" w:rsidRPr="002661A8">
        <w:rPr>
          <w:noProof/>
        </w:rPr>
        <w:t xml:space="preserve"> CCPs, but such calls have led to limited results. Participants continue clearing mostly in non-EU CCPs and, while a certain amount of short-term interest rate derivatives have seen higher volumes in the EU, the bulk of the exposure remains outside of the E</w:t>
      </w:r>
      <w:r w:rsidR="00D11679" w:rsidRPr="002661A8">
        <w:rPr>
          <w:noProof/>
        </w:rPr>
        <w:t>U.</w:t>
      </w:r>
      <w:r w:rsidR="002A41AA" w:rsidRPr="002661A8">
        <w:rPr>
          <w:rStyle w:val="FootnoteReference"/>
          <w:noProof/>
        </w:rPr>
        <w:footnoteReference w:id="103"/>
      </w:r>
      <w:r w:rsidR="000C7D24" w:rsidRPr="002661A8">
        <w:rPr>
          <w:noProof/>
        </w:rPr>
        <w:t xml:space="preserve"> </w:t>
      </w:r>
      <w:r w:rsidR="002A41AA" w:rsidRPr="002661A8">
        <w:rPr>
          <w:noProof/>
        </w:rPr>
        <w:t xml:space="preserve">Absent any uptake in the liquidity at EU CCPs, </w:t>
      </w:r>
      <w:r w:rsidR="000F7125">
        <w:rPr>
          <w:noProof/>
        </w:rPr>
        <w:t>market participants</w:t>
      </w:r>
      <w:r w:rsidR="000F7125" w:rsidRPr="002661A8">
        <w:rPr>
          <w:noProof/>
        </w:rPr>
        <w:t xml:space="preserve"> </w:t>
      </w:r>
      <w:r w:rsidR="000C2CDD" w:rsidRPr="002661A8">
        <w:rPr>
          <w:noProof/>
        </w:rPr>
        <w:t xml:space="preserve">would be </w:t>
      </w:r>
      <w:r w:rsidR="002A41AA" w:rsidRPr="002661A8">
        <w:rPr>
          <w:noProof/>
        </w:rPr>
        <w:t xml:space="preserve">unlikely to shift their positions inside the EU substantially. </w:t>
      </w:r>
    </w:p>
    <w:p w14:paraId="753AEB5B" w14:textId="2BBF9646" w:rsidR="002A41AA" w:rsidRPr="002661A8" w:rsidRDefault="003202DD" w:rsidP="002A41AA">
      <w:pPr>
        <w:pStyle w:val="Text1"/>
        <w:spacing w:after="120"/>
        <w:ind w:left="0"/>
        <w:rPr>
          <w:noProof/>
        </w:rPr>
      </w:pPr>
      <w:r>
        <w:rPr>
          <w:noProof/>
        </w:rPr>
        <w:t>M</w:t>
      </w:r>
      <w:r w:rsidR="000F7125" w:rsidRPr="000F7125">
        <w:rPr>
          <w:noProof/>
        </w:rPr>
        <w:t xml:space="preserve">arket participants </w:t>
      </w:r>
      <w:r w:rsidR="002A41AA" w:rsidRPr="002661A8">
        <w:rPr>
          <w:noProof/>
        </w:rPr>
        <w:t>claim</w:t>
      </w:r>
      <w:r w:rsidR="000C2CDD" w:rsidRPr="002661A8">
        <w:rPr>
          <w:noProof/>
        </w:rPr>
        <w:t>ed</w:t>
      </w:r>
      <w:r w:rsidR="002A41AA" w:rsidRPr="002661A8">
        <w:rPr>
          <w:noProof/>
        </w:rPr>
        <w:t xml:space="preserve"> that EU CCPs do not offer a sufficiently wide range of products to compete effectively with non-EU CCPs. EU CCPs </w:t>
      </w:r>
      <w:r w:rsidR="00963F80" w:rsidRPr="002661A8">
        <w:rPr>
          <w:noProof/>
        </w:rPr>
        <w:t xml:space="preserve">in turn </w:t>
      </w:r>
      <w:r w:rsidR="002A41AA" w:rsidRPr="002661A8">
        <w:rPr>
          <w:noProof/>
        </w:rPr>
        <w:t>claim</w:t>
      </w:r>
      <w:r w:rsidR="000C2CDD" w:rsidRPr="002661A8">
        <w:rPr>
          <w:noProof/>
        </w:rPr>
        <w:t>ed</w:t>
      </w:r>
      <w:r w:rsidR="002A41AA" w:rsidRPr="002661A8">
        <w:rPr>
          <w:noProof/>
        </w:rPr>
        <w:t xml:space="preserve"> that, absent any firm interest and commitment to shift business inside the EU, the return on investment </w:t>
      </w:r>
      <w:r w:rsidR="000C2CDD" w:rsidRPr="002661A8">
        <w:rPr>
          <w:noProof/>
        </w:rPr>
        <w:t xml:space="preserve">would </w:t>
      </w:r>
      <w:r w:rsidR="002A41AA" w:rsidRPr="002661A8">
        <w:rPr>
          <w:noProof/>
        </w:rPr>
        <w:t xml:space="preserve">not </w:t>
      </w:r>
      <w:r w:rsidR="000C2CDD" w:rsidRPr="002661A8">
        <w:rPr>
          <w:noProof/>
        </w:rPr>
        <w:t xml:space="preserve">be </w:t>
      </w:r>
      <w:r w:rsidR="002A41AA" w:rsidRPr="002661A8">
        <w:rPr>
          <w:noProof/>
        </w:rPr>
        <w:t xml:space="preserve">certain enough to take the risk to launch new products, also given the substantial sunk costs </w:t>
      </w:r>
      <w:r w:rsidR="000C2CDD" w:rsidRPr="002661A8">
        <w:rPr>
          <w:noProof/>
        </w:rPr>
        <w:t xml:space="preserve">of the procedures </w:t>
      </w:r>
      <w:r w:rsidR="002A41AA" w:rsidRPr="002661A8">
        <w:rPr>
          <w:noProof/>
        </w:rPr>
        <w:t>to extend services. Market participants also</w:t>
      </w:r>
      <w:r w:rsidR="002A41AA" w:rsidRPr="002661A8" w:rsidDel="006358F4">
        <w:rPr>
          <w:noProof/>
        </w:rPr>
        <w:t xml:space="preserve"> </w:t>
      </w:r>
      <w:r w:rsidR="006358F4" w:rsidRPr="002661A8">
        <w:rPr>
          <w:noProof/>
        </w:rPr>
        <w:t>stated</w:t>
      </w:r>
      <w:r w:rsidR="002A41AA" w:rsidRPr="002661A8">
        <w:rPr>
          <w:noProof/>
        </w:rPr>
        <w:t xml:space="preserve"> that it </w:t>
      </w:r>
      <w:r w:rsidR="000C2CDD" w:rsidRPr="002661A8">
        <w:rPr>
          <w:noProof/>
        </w:rPr>
        <w:t xml:space="preserve">would </w:t>
      </w:r>
      <w:r w:rsidR="002A41AA" w:rsidRPr="002661A8">
        <w:rPr>
          <w:noProof/>
        </w:rPr>
        <w:t>not</w:t>
      </w:r>
      <w:r w:rsidR="000C2CDD" w:rsidRPr="002661A8">
        <w:rPr>
          <w:noProof/>
        </w:rPr>
        <w:t xml:space="preserve"> be</w:t>
      </w:r>
      <w:r w:rsidR="002A41AA" w:rsidRPr="002661A8">
        <w:rPr>
          <w:noProof/>
        </w:rPr>
        <w:t xml:space="preserve"> efficient and cost-effective for them to split their portfolios between two or more CCPs offering the same products and that the incentive to move should solely be based on an economic interest to do so.</w:t>
      </w:r>
    </w:p>
    <w:p w14:paraId="445243C9" w14:textId="24867035" w:rsidR="002A41AA" w:rsidRPr="002661A8" w:rsidRDefault="00A07E7E" w:rsidP="002A41AA">
      <w:pPr>
        <w:pStyle w:val="Text1"/>
        <w:spacing w:after="120"/>
        <w:ind w:left="0"/>
        <w:rPr>
          <w:noProof/>
        </w:rPr>
      </w:pPr>
      <w:r w:rsidRPr="002661A8">
        <w:rPr>
          <w:noProof/>
        </w:rPr>
        <w:t>T</w:t>
      </w:r>
      <w:r w:rsidR="00963F80" w:rsidRPr="002661A8">
        <w:rPr>
          <w:noProof/>
        </w:rPr>
        <w:t>he central clearing obligation will apply to Pension Scheme Arrangements</w:t>
      </w:r>
      <w:r w:rsidR="00E029AD" w:rsidRPr="002661A8">
        <w:rPr>
          <w:noProof/>
        </w:rPr>
        <w:t xml:space="preserve"> (PSAs)</w:t>
      </w:r>
      <w:r w:rsidR="00963F80" w:rsidRPr="002661A8">
        <w:rPr>
          <w:noProof/>
        </w:rPr>
        <w:t xml:space="preserve"> from June 2023, as provided for under EMIR.</w:t>
      </w:r>
      <w:r w:rsidR="00963F80" w:rsidRPr="002661A8">
        <w:rPr>
          <w:rStyle w:val="FootnoteReference"/>
          <w:noProof/>
        </w:rPr>
        <w:footnoteReference w:id="104"/>
      </w:r>
      <w:r w:rsidR="00963F80" w:rsidRPr="002661A8">
        <w:rPr>
          <w:noProof/>
        </w:rPr>
        <w:t xml:space="preserve"> </w:t>
      </w:r>
      <w:r w:rsidR="000C2CDD" w:rsidRPr="002661A8">
        <w:rPr>
          <w:noProof/>
        </w:rPr>
        <w:t>This</w:t>
      </w:r>
      <w:r w:rsidR="002A41AA" w:rsidRPr="002661A8">
        <w:rPr>
          <w:noProof/>
        </w:rPr>
        <w:t xml:space="preserve"> will </w:t>
      </w:r>
      <w:r w:rsidR="00C43394" w:rsidRPr="002661A8">
        <w:rPr>
          <w:noProof/>
        </w:rPr>
        <w:t xml:space="preserve">broaden </w:t>
      </w:r>
      <w:r w:rsidR="002A41AA" w:rsidRPr="002661A8">
        <w:rPr>
          <w:noProof/>
        </w:rPr>
        <w:t>the clearing base and would benefit EU CCPs if PSAs clear in the EU. However, PSAs that already clear on a voluntary basis do so in greater proportion at UK CCPs</w:t>
      </w:r>
      <w:r w:rsidR="000C2CDD" w:rsidRPr="002661A8">
        <w:rPr>
          <w:noProof/>
        </w:rPr>
        <w:t xml:space="preserve"> at the moment</w:t>
      </w:r>
      <w:r w:rsidR="002A41AA" w:rsidRPr="002661A8">
        <w:rPr>
          <w:noProof/>
        </w:rPr>
        <w:t>, like the rest of the market.</w:t>
      </w:r>
      <w:r w:rsidR="002A41AA" w:rsidRPr="002661A8">
        <w:rPr>
          <w:rStyle w:val="FootnoteReference"/>
          <w:noProof/>
        </w:rPr>
        <w:footnoteReference w:id="105"/>
      </w:r>
      <w:r w:rsidR="002A41AA" w:rsidRPr="002661A8">
        <w:rPr>
          <w:noProof/>
        </w:rPr>
        <w:t xml:space="preserve"> Absent regulatory intervention, PSAs are likely to continue clearing to a greater extent in the UK than in the EU, in spite of efforts made by EU CCPs in recent years to step up their offer to facilitate clearing by these entities.</w:t>
      </w:r>
    </w:p>
    <w:p w14:paraId="26814C73" w14:textId="1D656B6C" w:rsidR="00681282" w:rsidRPr="002661A8" w:rsidRDefault="00840A9F" w:rsidP="00681282">
      <w:pPr>
        <w:pStyle w:val="Text2"/>
        <w:spacing w:after="120"/>
        <w:ind w:left="0"/>
        <w:rPr>
          <w:b/>
          <w:noProof/>
        </w:rPr>
      </w:pPr>
      <w:r w:rsidRPr="002661A8">
        <w:rPr>
          <w:noProof/>
          <w:szCs w:val="24"/>
        </w:rPr>
        <w:t xml:space="preserve">All in all, </w:t>
      </w:r>
      <w:r w:rsidR="00681282" w:rsidRPr="002661A8">
        <w:rPr>
          <w:b/>
          <w:noProof/>
        </w:rPr>
        <w:t>absent any changes, exposures to third-country CCPs are likely to increase, presenting increasing risks to the EU’s financial stability</w:t>
      </w:r>
      <w:r w:rsidR="00A03C76" w:rsidRPr="002661A8">
        <w:rPr>
          <w:b/>
          <w:noProof/>
        </w:rPr>
        <w:t xml:space="preserve"> in the medium term</w:t>
      </w:r>
      <w:r w:rsidR="00681282" w:rsidRPr="002661A8">
        <w:rPr>
          <w:b/>
          <w:noProof/>
        </w:rPr>
        <w:t>. In essence, the problems identified, and thus the risks stemming from the excessive exposure to third-country CCPs, are likely to worsen.</w:t>
      </w:r>
      <w:bookmarkStart w:id="404" w:name="_Toc103337476"/>
      <w:bookmarkStart w:id="405" w:name="_Toc106827823"/>
      <w:bookmarkStart w:id="406" w:name="_Toc106981699"/>
      <w:bookmarkStart w:id="407" w:name="_Toc107493839"/>
      <w:bookmarkStart w:id="408" w:name="_Toc107497875"/>
      <w:bookmarkStart w:id="409" w:name="_Toc107503428"/>
      <w:bookmarkStart w:id="410" w:name="_Toc107504576"/>
      <w:bookmarkStart w:id="411" w:name="_Toc107505421"/>
      <w:bookmarkStart w:id="412" w:name="_Toc107838897"/>
      <w:bookmarkStart w:id="413" w:name="_Toc107846992"/>
      <w:bookmarkStart w:id="414" w:name="_Toc107849229"/>
      <w:bookmarkStart w:id="415" w:name="_Toc107853676"/>
    </w:p>
    <w:p w14:paraId="012C7004" w14:textId="77777777" w:rsidR="0039488F" w:rsidRPr="002661A8" w:rsidRDefault="0039488F" w:rsidP="0039488F">
      <w:pPr>
        <w:pStyle w:val="Heading1"/>
        <w:numPr>
          <w:ilvl w:val="2"/>
          <w:numId w:val="6"/>
        </w:numPr>
        <w:spacing w:before="0" w:after="120"/>
        <w:rPr>
          <w:b w:val="0"/>
          <w:i/>
          <w:smallCaps w:val="0"/>
          <w:noProof/>
        </w:rPr>
      </w:pPr>
      <w:bookmarkStart w:id="416" w:name="_Risks_to_EU"/>
      <w:bookmarkStart w:id="417" w:name="_Toc108182776"/>
      <w:bookmarkStart w:id="418" w:name="_Toc109057375"/>
      <w:bookmarkStart w:id="419" w:name="_Toc109120741"/>
      <w:bookmarkStart w:id="420" w:name="_Toc109122376"/>
      <w:bookmarkStart w:id="421" w:name="_Toc109124089"/>
      <w:bookmarkStart w:id="422" w:name="_Toc109133113"/>
      <w:bookmarkStart w:id="423" w:name="_Toc109133289"/>
      <w:bookmarkStart w:id="424" w:name="_Toc120291647"/>
      <w:bookmarkEnd w:id="404"/>
      <w:bookmarkEnd w:id="405"/>
      <w:bookmarkEnd w:id="406"/>
      <w:bookmarkEnd w:id="407"/>
      <w:bookmarkEnd w:id="408"/>
      <w:bookmarkEnd w:id="409"/>
      <w:bookmarkEnd w:id="410"/>
      <w:bookmarkEnd w:id="411"/>
      <w:bookmarkEnd w:id="412"/>
      <w:bookmarkEnd w:id="413"/>
      <w:bookmarkEnd w:id="414"/>
      <w:bookmarkEnd w:id="415"/>
      <w:bookmarkEnd w:id="416"/>
      <w:r w:rsidRPr="002661A8">
        <w:rPr>
          <w:b w:val="0"/>
          <w:i/>
          <w:smallCaps w:val="0"/>
          <w:noProof/>
        </w:rPr>
        <w:t>Risks to EU financial stability</w:t>
      </w:r>
      <w:bookmarkEnd w:id="417"/>
      <w:bookmarkEnd w:id="418"/>
      <w:bookmarkEnd w:id="419"/>
      <w:bookmarkEnd w:id="420"/>
      <w:bookmarkEnd w:id="421"/>
      <w:bookmarkEnd w:id="422"/>
      <w:bookmarkEnd w:id="423"/>
      <w:bookmarkEnd w:id="424"/>
    </w:p>
    <w:p w14:paraId="75063507" w14:textId="485E7307" w:rsidR="005A389D" w:rsidRPr="002661A8" w:rsidRDefault="00E51168" w:rsidP="005A389D">
      <w:pPr>
        <w:pStyle w:val="Text1"/>
        <w:spacing w:after="120"/>
        <w:ind w:left="0"/>
        <w:rPr>
          <w:noProof/>
        </w:rPr>
      </w:pPr>
      <w:r w:rsidRPr="002661A8">
        <w:rPr>
          <w:noProof/>
        </w:rPr>
        <w:t xml:space="preserve">Risks to financial stability stem from </w:t>
      </w:r>
      <w:r w:rsidR="005F1B3D">
        <w:rPr>
          <w:noProof/>
        </w:rPr>
        <w:t xml:space="preserve">the level of exposure and </w:t>
      </w:r>
      <w:r w:rsidR="00F249DA" w:rsidRPr="002661A8">
        <w:rPr>
          <w:noProof/>
        </w:rPr>
        <w:t xml:space="preserve">the </w:t>
      </w:r>
      <w:r w:rsidRPr="002661A8">
        <w:rPr>
          <w:noProof/>
        </w:rPr>
        <w:t>insufficient consideration of cross-border risks</w:t>
      </w:r>
      <w:r w:rsidRPr="002661A8" w:rsidDel="00EF1917">
        <w:rPr>
          <w:noProof/>
        </w:rPr>
        <w:t xml:space="preserve"> </w:t>
      </w:r>
      <w:r w:rsidRPr="002661A8">
        <w:rPr>
          <w:noProof/>
        </w:rPr>
        <w:t xml:space="preserve">(see </w:t>
      </w:r>
      <w:hyperlink w:anchor="_Insufficient_consideration_of" w:history="1">
        <w:r w:rsidR="007C2883" w:rsidRPr="002661A8">
          <w:rPr>
            <w:rStyle w:val="Hyperlink"/>
            <w:noProof/>
          </w:rPr>
          <w:t>S</w:t>
        </w:r>
        <w:r w:rsidRPr="002661A8">
          <w:rPr>
            <w:rStyle w:val="Hyperlink"/>
            <w:noProof/>
          </w:rPr>
          <w:t xml:space="preserve">ection </w:t>
        </w:r>
        <w:r w:rsidR="001C60DA" w:rsidRPr="002661A8">
          <w:rPr>
            <w:rStyle w:val="Hyperlink"/>
            <w:noProof/>
          </w:rPr>
          <w:t>3</w:t>
        </w:r>
        <w:r w:rsidRPr="002661A8">
          <w:rPr>
            <w:rStyle w:val="Hyperlink"/>
            <w:noProof/>
          </w:rPr>
          <w:t>.</w:t>
        </w:r>
        <w:r w:rsidR="001C60DA" w:rsidRPr="002661A8">
          <w:rPr>
            <w:rStyle w:val="Hyperlink"/>
            <w:noProof/>
          </w:rPr>
          <w:t>1.3</w:t>
        </w:r>
      </w:hyperlink>
      <w:r w:rsidRPr="002661A8">
        <w:rPr>
          <w:noProof/>
        </w:rPr>
        <w:t>).</w:t>
      </w:r>
      <w:r w:rsidR="00854B29" w:rsidRPr="002661A8">
        <w:rPr>
          <w:noProof/>
        </w:rPr>
        <w:t xml:space="preserve"> </w:t>
      </w:r>
      <w:r w:rsidR="005A389D" w:rsidRPr="002661A8">
        <w:rPr>
          <w:noProof/>
          <w:szCs w:val="24"/>
        </w:rPr>
        <w:t>A</w:t>
      </w:r>
      <w:r w:rsidR="005A389D" w:rsidRPr="002661A8">
        <w:rPr>
          <w:noProof/>
        </w:rPr>
        <w:t xml:space="preserve">bsent any regulatory intervention, cross-border risks would </w:t>
      </w:r>
      <w:r w:rsidR="00C43394" w:rsidRPr="002661A8">
        <w:rPr>
          <w:noProof/>
        </w:rPr>
        <w:t xml:space="preserve">rise </w:t>
      </w:r>
      <w:r w:rsidR="005A389D" w:rsidRPr="002661A8">
        <w:rPr>
          <w:noProof/>
        </w:rPr>
        <w:t xml:space="preserve">in the EU financial sector but </w:t>
      </w:r>
      <w:r w:rsidR="00F7351E" w:rsidRPr="002661A8">
        <w:rPr>
          <w:noProof/>
        </w:rPr>
        <w:t xml:space="preserve">also </w:t>
      </w:r>
      <w:r w:rsidR="005A389D" w:rsidRPr="002661A8">
        <w:rPr>
          <w:noProof/>
        </w:rPr>
        <w:t>in the wider economy</w:t>
      </w:r>
      <w:r w:rsidR="00E029AD" w:rsidRPr="002661A8">
        <w:rPr>
          <w:noProof/>
        </w:rPr>
        <w:t>.</w:t>
      </w:r>
    </w:p>
    <w:p w14:paraId="5D02C77E" w14:textId="74FD24A9" w:rsidR="00B276CF" w:rsidRPr="00663E0D" w:rsidRDefault="00AB4D10" w:rsidP="00F26A21">
      <w:pPr>
        <w:pStyle w:val="ListParagraph"/>
        <w:spacing w:before="120" w:after="120" w:line="240" w:lineRule="auto"/>
        <w:ind w:left="0"/>
        <w:jc w:val="both"/>
        <w:rPr>
          <w:noProof/>
        </w:rPr>
      </w:pPr>
      <w:r w:rsidRPr="00F26A21" w:rsidDel="00873181">
        <w:rPr>
          <w:rFonts w:ascii="Times New Roman" w:eastAsia="Times New Roman" w:hAnsi="Times New Roman" w:cs="Times New Roman"/>
          <w:b/>
          <w:noProof/>
          <w:sz w:val="24"/>
          <w:szCs w:val="20"/>
        </w:rPr>
        <w:t>I</w:t>
      </w:r>
      <w:r w:rsidR="00F15AA1" w:rsidRPr="00F26A21">
        <w:rPr>
          <w:rFonts w:ascii="Times New Roman" w:eastAsia="Times New Roman" w:hAnsi="Times New Roman" w:cs="Times New Roman"/>
          <w:b/>
          <w:noProof/>
          <w:sz w:val="24"/>
          <w:szCs w:val="20"/>
        </w:rPr>
        <w:t>n the case of non-EU CCPs, the risks of inaction for financial stability are twofold.</w:t>
      </w:r>
      <w:r w:rsidR="00F15AA1" w:rsidRPr="002661A8">
        <w:rPr>
          <w:noProof/>
        </w:rPr>
        <w:t xml:space="preserve"> </w:t>
      </w:r>
      <w:r w:rsidR="00F15AA1" w:rsidRPr="00F26A21">
        <w:rPr>
          <w:rFonts w:ascii="Times New Roman" w:eastAsia="Times New Roman" w:hAnsi="Times New Roman" w:cs="Times New Roman"/>
          <w:noProof/>
          <w:sz w:val="24"/>
          <w:szCs w:val="20"/>
        </w:rPr>
        <w:t xml:space="preserve">First, in a </w:t>
      </w:r>
      <w:r w:rsidR="00854B29" w:rsidRPr="00F26A21">
        <w:rPr>
          <w:rFonts w:ascii="Times New Roman" w:eastAsia="Times New Roman" w:hAnsi="Times New Roman" w:cs="Times New Roman"/>
          <w:noProof/>
          <w:sz w:val="24"/>
          <w:szCs w:val="20"/>
        </w:rPr>
        <w:t>stress scenario</w:t>
      </w:r>
      <w:r w:rsidR="00AD0418">
        <w:rPr>
          <w:rFonts w:ascii="Times New Roman" w:eastAsia="Times New Roman" w:hAnsi="Times New Roman" w:cs="Times New Roman"/>
          <w:noProof/>
          <w:sz w:val="24"/>
          <w:szCs w:val="20"/>
        </w:rPr>
        <w:t>,</w:t>
      </w:r>
      <w:r w:rsidR="00F15AA1" w:rsidRPr="00F26A21">
        <w:rPr>
          <w:rFonts w:ascii="Times New Roman" w:eastAsia="Times New Roman" w:hAnsi="Times New Roman" w:cs="Times New Roman"/>
          <w:noProof/>
          <w:sz w:val="24"/>
          <w:szCs w:val="20"/>
        </w:rPr>
        <w:t xml:space="preserve"> </w:t>
      </w:r>
      <w:r w:rsidR="00AD0418" w:rsidRPr="00F26A21">
        <w:rPr>
          <w:rFonts w:ascii="Times New Roman" w:eastAsia="Times New Roman" w:hAnsi="Times New Roman" w:cs="Times New Roman"/>
          <w:noProof/>
          <w:sz w:val="24"/>
          <w:szCs w:val="20"/>
        </w:rPr>
        <w:t xml:space="preserve">e.g. </w:t>
      </w:r>
      <w:r w:rsidR="00AD0418">
        <w:rPr>
          <w:rFonts w:ascii="Times New Roman" w:eastAsia="Times New Roman" w:hAnsi="Times New Roman" w:cs="Times New Roman"/>
          <w:noProof/>
          <w:sz w:val="24"/>
          <w:szCs w:val="20"/>
        </w:rPr>
        <w:t xml:space="preserve">due to </w:t>
      </w:r>
      <w:r w:rsidR="00AD0418" w:rsidRPr="00F26A21">
        <w:rPr>
          <w:rFonts w:ascii="Times New Roman" w:eastAsia="Times New Roman" w:hAnsi="Times New Roman" w:cs="Times New Roman"/>
          <w:noProof/>
          <w:sz w:val="24"/>
          <w:szCs w:val="20"/>
        </w:rPr>
        <w:t>the default of clearing members or operational failures</w:t>
      </w:r>
      <w:r w:rsidR="00AD0418" w:rsidRPr="00F26A21">
        <w:rPr>
          <w:rStyle w:val="FootnoteReference"/>
          <w:noProof/>
        </w:rPr>
        <w:footnoteReference w:id="106"/>
      </w:r>
      <w:r w:rsidR="00AD0418">
        <w:rPr>
          <w:rFonts w:ascii="Times New Roman" w:eastAsia="Times New Roman" w:hAnsi="Times New Roman" w:cs="Times New Roman"/>
          <w:noProof/>
          <w:sz w:val="24"/>
          <w:szCs w:val="20"/>
        </w:rPr>
        <w:t xml:space="preserve">, </w:t>
      </w:r>
      <w:r w:rsidR="00AD0418" w:rsidRPr="00F26A21">
        <w:rPr>
          <w:rStyle w:val="FootnoteReference"/>
          <w:noProof/>
        </w:rPr>
        <w:t>,</w:t>
      </w:r>
      <w:r w:rsidR="00F15AA1" w:rsidRPr="00F26A21">
        <w:rPr>
          <w:rFonts w:ascii="Times New Roman" w:eastAsia="Times New Roman" w:hAnsi="Times New Roman" w:cs="Times New Roman"/>
          <w:noProof/>
          <w:sz w:val="24"/>
          <w:szCs w:val="20"/>
        </w:rPr>
        <w:t xml:space="preserve">involving a </w:t>
      </w:r>
      <w:r w:rsidR="0038377A" w:rsidRPr="00F26A21">
        <w:rPr>
          <w:rFonts w:ascii="Times New Roman" w:eastAsia="Times New Roman" w:hAnsi="Times New Roman" w:cs="Times New Roman"/>
          <w:noProof/>
          <w:sz w:val="24"/>
          <w:szCs w:val="20"/>
        </w:rPr>
        <w:t xml:space="preserve">non-EU </w:t>
      </w:r>
      <w:r w:rsidR="00F15AA1" w:rsidRPr="00F26A21">
        <w:rPr>
          <w:rFonts w:ascii="Times New Roman" w:eastAsia="Times New Roman" w:hAnsi="Times New Roman" w:cs="Times New Roman"/>
          <w:noProof/>
          <w:sz w:val="24"/>
          <w:szCs w:val="20"/>
        </w:rPr>
        <w:t xml:space="preserve">CCP </w:t>
      </w:r>
      <w:r w:rsidR="00DB36B7">
        <w:rPr>
          <w:rFonts w:ascii="Times New Roman" w:eastAsia="Times New Roman" w:hAnsi="Times New Roman" w:cs="Times New Roman"/>
          <w:noProof/>
          <w:sz w:val="24"/>
          <w:szCs w:val="20"/>
        </w:rPr>
        <w:t>on which</w:t>
      </w:r>
      <w:r w:rsidR="00DB36B7" w:rsidRPr="00F26A21">
        <w:rPr>
          <w:rFonts w:ascii="Times New Roman" w:eastAsia="Times New Roman" w:hAnsi="Times New Roman" w:cs="Times New Roman"/>
          <w:noProof/>
          <w:sz w:val="24"/>
          <w:szCs w:val="20"/>
        </w:rPr>
        <w:t xml:space="preserve"> </w:t>
      </w:r>
      <w:r w:rsidR="00F15AA1" w:rsidRPr="00F26A21">
        <w:rPr>
          <w:rFonts w:ascii="Times New Roman" w:eastAsia="Times New Roman" w:hAnsi="Times New Roman" w:cs="Times New Roman"/>
          <w:noProof/>
          <w:sz w:val="24"/>
          <w:szCs w:val="20"/>
        </w:rPr>
        <w:t>EU clients and clearing members</w:t>
      </w:r>
      <w:r w:rsidR="00EE2417" w:rsidRPr="00F26A21">
        <w:rPr>
          <w:rFonts w:ascii="Times New Roman" w:eastAsia="Times New Roman" w:hAnsi="Times New Roman" w:cs="Times New Roman"/>
          <w:noProof/>
          <w:sz w:val="24"/>
          <w:szCs w:val="20"/>
        </w:rPr>
        <w:t xml:space="preserve"> rely to a high degree</w:t>
      </w:r>
      <w:r w:rsidR="00F15AA1" w:rsidRPr="00F26A21">
        <w:rPr>
          <w:rFonts w:ascii="Times New Roman" w:eastAsia="Times New Roman" w:hAnsi="Times New Roman" w:cs="Times New Roman"/>
          <w:noProof/>
          <w:sz w:val="24"/>
          <w:szCs w:val="20"/>
        </w:rPr>
        <w:t xml:space="preserve">, </w:t>
      </w:r>
      <w:r w:rsidR="00AD0418">
        <w:rPr>
          <w:rFonts w:ascii="Times New Roman" w:eastAsia="Times New Roman" w:hAnsi="Times New Roman" w:cs="Times New Roman"/>
          <w:noProof/>
          <w:sz w:val="24"/>
          <w:szCs w:val="20"/>
        </w:rPr>
        <w:t>certain consequences have been identified</w:t>
      </w:r>
      <w:r w:rsidR="00772B1C">
        <w:rPr>
          <w:rFonts w:ascii="Times New Roman" w:eastAsia="Times New Roman" w:hAnsi="Times New Roman" w:cs="Times New Roman"/>
          <w:noProof/>
          <w:sz w:val="24"/>
          <w:szCs w:val="20"/>
        </w:rPr>
        <w:t xml:space="preserve"> by</w:t>
      </w:r>
      <w:r w:rsidR="00F21992">
        <w:rPr>
          <w:rFonts w:ascii="Times New Roman" w:eastAsia="Times New Roman" w:hAnsi="Times New Roman" w:cs="Times New Roman"/>
          <w:noProof/>
          <w:sz w:val="24"/>
          <w:szCs w:val="20"/>
        </w:rPr>
        <w:t xml:space="preserve"> </w:t>
      </w:r>
      <w:r w:rsidR="00EE2417" w:rsidRPr="00F26A21">
        <w:rPr>
          <w:rFonts w:ascii="Times New Roman" w:eastAsia="Times New Roman" w:hAnsi="Times New Roman" w:cs="Times New Roman"/>
          <w:noProof/>
          <w:sz w:val="24"/>
          <w:szCs w:val="20"/>
        </w:rPr>
        <w:t>ESMA,</w:t>
      </w:r>
      <w:r w:rsidR="00EE2417" w:rsidRPr="002661A8">
        <w:rPr>
          <w:noProof/>
        </w:rPr>
        <w:t xml:space="preserve"> </w:t>
      </w:r>
      <w:r w:rsidR="00F15AA1" w:rsidRPr="00F26A21">
        <w:rPr>
          <w:rFonts w:ascii="Times New Roman" w:eastAsia="Times New Roman" w:hAnsi="Times New Roman" w:cs="Times New Roman"/>
          <w:i/>
          <w:noProof/>
          <w:sz w:val="24"/>
          <w:szCs w:val="20"/>
        </w:rPr>
        <w:t>“</w:t>
      </w:r>
      <w:r w:rsidR="00772B1C" w:rsidRPr="00772B1C">
        <w:rPr>
          <w:rFonts w:ascii="Times New Roman" w:eastAsia="Times New Roman" w:hAnsi="Times New Roman" w:cs="Times New Roman"/>
          <w:i/>
          <w:noProof/>
          <w:sz w:val="24"/>
          <w:szCs w:val="20"/>
        </w:rPr>
        <w:t xml:space="preserve">In times of crisis, </w:t>
      </w:r>
      <w:r w:rsidR="00F15AA1" w:rsidRPr="00F26A21">
        <w:rPr>
          <w:rFonts w:ascii="Times New Roman" w:eastAsia="Times New Roman" w:hAnsi="Times New Roman" w:cs="Times New Roman"/>
          <w:i/>
          <w:noProof/>
          <w:sz w:val="24"/>
          <w:szCs w:val="20"/>
        </w:rPr>
        <w:t xml:space="preserve">changes </w:t>
      </w:r>
      <w:r w:rsidR="00772B1C">
        <w:rPr>
          <w:rFonts w:ascii="Times New Roman" w:eastAsia="Times New Roman" w:hAnsi="Times New Roman" w:cs="Times New Roman"/>
          <w:i/>
          <w:noProof/>
          <w:sz w:val="24"/>
          <w:szCs w:val="20"/>
        </w:rPr>
        <w:t>to</w:t>
      </w:r>
      <w:r w:rsidR="00F15AA1" w:rsidRPr="00F26A21">
        <w:rPr>
          <w:rFonts w:ascii="Times New Roman" w:eastAsia="Times New Roman" w:hAnsi="Times New Roman" w:cs="Times New Roman"/>
          <w:i/>
          <w:noProof/>
          <w:sz w:val="24"/>
          <w:szCs w:val="20"/>
        </w:rPr>
        <w:t xml:space="preserve"> the eligible collateral, margins or haircuts may create feedback loops that negatively impact sovereign bond markets of one or more Member States, and more broadly the EU financial stability. Disruptions in markets relevant to monetary policy implementation may hamper the transmission mechanism critical to</w:t>
      </w:r>
      <w:r w:rsidR="00772B1C">
        <w:rPr>
          <w:rFonts w:ascii="Times New Roman" w:eastAsia="Times New Roman" w:hAnsi="Times New Roman" w:cs="Times New Roman"/>
          <w:i/>
          <w:noProof/>
          <w:sz w:val="24"/>
          <w:szCs w:val="20"/>
        </w:rPr>
        <w:t xml:space="preserve"> CBIs</w:t>
      </w:r>
      <w:r w:rsidR="00F15AA1" w:rsidRPr="00F26A21">
        <w:rPr>
          <w:rFonts w:ascii="Times New Roman" w:eastAsia="Times New Roman" w:hAnsi="Times New Roman" w:cs="Times New Roman"/>
          <w:i/>
          <w:noProof/>
          <w:sz w:val="24"/>
          <w:szCs w:val="20"/>
        </w:rPr>
        <w:t>. During recovery and resolution events, the Tier 2 CCPs, or the UK resolution authority, may take discretionary measures directly adversely impacting EU clearing members”</w:t>
      </w:r>
      <w:r w:rsidR="00F15AA1" w:rsidRPr="002661A8">
        <w:rPr>
          <w:noProof/>
        </w:rPr>
        <w:t>.</w:t>
      </w:r>
      <w:r w:rsidR="00F15AA1" w:rsidRPr="002661A8">
        <w:rPr>
          <w:rStyle w:val="FootnoteReference"/>
          <w:noProof/>
        </w:rPr>
        <w:footnoteReference w:id="107"/>
      </w:r>
      <w:r w:rsidR="00854B29" w:rsidRPr="002661A8">
        <w:rPr>
          <w:noProof/>
        </w:rPr>
        <w:t xml:space="preserve"> </w:t>
      </w:r>
      <w:r w:rsidR="00C352B5" w:rsidRPr="00F26A21">
        <w:rPr>
          <w:rFonts w:ascii="Times New Roman" w:eastAsia="Times New Roman" w:hAnsi="Times New Roman" w:cs="Times New Roman"/>
          <w:noProof/>
          <w:sz w:val="24"/>
          <w:szCs w:val="20"/>
        </w:rPr>
        <w:t>Similar aspects were highlighted by the ESRB</w:t>
      </w:r>
      <w:r w:rsidR="00142CFD" w:rsidRPr="002661A8">
        <w:rPr>
          <w:noProof/>
        </w:rPr>
        <w:t>.</w:t>
      </w:r>
      <w:r w:rsidR="00C352B5" w:rsidRPr="002661A8">
        <w:rPr>
          <w:rStyle w:val="FootnoteReference"/>
          <w:noProof/>
        </w:rPr>
        <w:footnoteReference w:id="108"/>
      </w:r>
      <w:r w:rsidR="00C352B5" w:rsidRPr="002661A8">
        <w:rPr>
          <w:noProof/>
        </w:rPr>
        <w:t xml:space="preserve"> </w:t>
      </w:r>
      <w:r w:rsidR="00D5249A" w:rsidRPr="004F2951">
        <w:rPr>
          <w:rFonts w:ascii="Times New Roman" w:hAnsi="Times New Roman" w:cs="Times New Roman"/>
          <w:noProof/>
          <w:sz w:val="24"/>
          <w:szCs w:val="24"/>
        </w:rPr>
        <w:t xml:space="preserve">In its report, ESMA </w:t>
      </w:r>
      <w:r w:rsidR="00772B1C">
        <w:rPr>
          <w:rFonts w:ascii="Times New Roman" w:hAnsi="Times New Roman" w:cs="Times New Roman"/>
          <w:noProof/>
          <w:sz w:val="24"/>
          <w:szCs w:val="24"/>
        </w:rPr>
        <w:t xml:space="preserve">further </w:t>
      </w:r>
      <w:r w:rsidR="00D5249A" w:rsidRPr="004F2951">
        <w:rPr>
          <w:rFonts w:ascii="Times New Roman" w:hAnsi="Times New Roman" w:cs="Times New Roman"/>
          <w:noProof/>
          <w:sz w:val="24"/>
          <w:szCs w:val="24"/>
        </w:rPr>
        <w:t>outlines various scenarios in which the EU financial stability may be impacted due to events affecting a Tier 2 CCP</w:t>
      </w:r>
      <w:r w:rsidR="00DB36B7">
        <w:rPr>
          <w:rFonts w:ascii="Times New Roman" w:hAnsi="Times New Roman" w:cs="Times New Roman"/>
          <w:noProof/>
          <w:sz w:val="24"/>
          <w:szCs w:val="24"/>
        </w:rPr>
        <w:t xml:space="preserve"> (see also Section 3.1.3)</w:t>
      </w:r>
      <w:r w:rsidR="00D5249A" w:rsidRPr="004F2951">
        <w:rPr>
          <w:rFonts w:ascii="Times New Roman" w:hAnsi="Times New Roman" w:cs="Times New Roman"/>
          <w:noProof/>
          <w:sz w:val="24"/>
          <w:szCs w:val="24"/>
        </w:rPr>
        <w:t>. The report highlights that such scenarios may be relevant for EU CCPs as well, however “</w:t>
      </w:r>
      <w:r w:rsidR="00D5249A" w:rsidRPr="004F2951">
        <w:rPr>
          <w:rFonts w:ascii="Times New Roman" w:hAnsi="Times New Roman" w:cs="Times New Roman"/>
          <w:i/>
          <w:iCs/>
          <w:noProof/>
          <w:sz w:val="24"/>
          <w:szCs w:val="24"/>
        </w:rPr>
        <w:t>the EU regulatory regime provides stronger mitigating factors to address the risks posed by EU CCPs</w:t>
      </w:r>
      <w:r w:rsidR="00D5249A" w:rsidRPr="004F2951">
        <w:rPr>
          <w:rFonts w:ascii="Times New Roman" w:hAnsi="Times New Roman" w:cs="Times New Roman"/>
          <w:noProof/>
          <w:sz w:val="24"/>
          <w:szCs w:val="24"/>
        </w:rPr>
        <w:t>”</w:t>
      </w:r>
      <w:r w:rsidR="00D5249A">
        <w:rPr>
          <w:rStyle w:val="FootnoteReference"/>
          <w:rFonts w:ascii="Times New Roman" w:hAnsi="Times New Roman" w:cs="Times New Roman"/>
          <w:noProof/>
          <w:sz w:val="24"/>
          <w:szCs w:val="24"/>
        </w:rPr>
        <w:footnoteReference w:id="109"/>
      </w:r>
      <w:r w:rsidR="00D5249A" w:rsidRPr="004F2951">
        <w:rPr>
          <w:rFonts w:ascii="Times New Roman" w:hAnsi="Times New Roman" w:cs="Times New Roman"/>
          <w:noProof/>
          <w:sz w:val="24"/>
          <w:szCs w:val="24"/>
        </w:rPr>
        <w:t xml:space="preserve">. </w:t>
      </w:r>
    </w:p>
    <w:p w14:paraId="580D7A1E" w14:textId="6B7107C8" w:rsidR="00EE2417" w:rsidRPr="002661A8" w:rsidRDefault="00772B1C" w:rsidP="009F3588">
      <w:pPr>
        <w:pStyle w:val="Text2"/>
        <w:spacing w:after="120"/>
        <w:ind w:left="0"/>
        <w:rPr>
          <w:noProof/>
        </w:rPr>
      </w:pPr>
      <w:r>
        <w:rPr>
          <w:noProof/>
        </w:rPr>
        <w:t>Hence, e</w:t>
      </w:r>
      <w:r w:rsidR="00DB36B7">
        <w:rPr>
          <w:noProof/>
        </w:rPr>
        <w:t>ven though</w:t>
      </w:r>
      <w:r w:rsidR="00DB36B7" w:rsidRPr="002661A8">
        <w:rPr>
          <w:noProof/>
        </w:rPr>
        <w:t xml:space="preserve"> </w:t>
      </w:r>
      <w:r w:rsidR="00F15AA1" w:rsidRPr="002661A8">
        <w:rPr>
          <w:noProof/>
        </w:rPr>
        <w:t>Tier 2 CCPs are</w:t>
      </w:r>
      <w:r w:rsidR="00BD44B3" w:rsidRPr="002661A8">
        <w:rPr>
          <w:noProof/>
        </w:rPr>
        <w:t xml:space="preserve"> </w:t>
      </w:r>
      <w:r w:rsidR="00586A63" w:rsidRPr="002661A8">
        <w:rPr>
          <w:noProof/>
        </w:rPr>
        <w:t xml:space="preserve">supervised by </w:t>
      </w:r>
      <w:r w:rsidR="00F15AA1" w:rsidRPr="002661A8">
        <w:rPr>
          <w:noProof/>
        </w:rPr>
        <w:t>ESMA</w:t>
      </w:r>
      <w:r w:rsidR="00586A63" w:rsidRPr="002661A8">
        <w:rPr>
          <w:noProof/>
        </w:rPr>
        <w:t>,</w:t>
      </w:r>
      <w:r w:rsidR="00F15AA1" w:rsidRPr="002661A8" w:rsidDel="00586A63">
        <w:rPr>
          <w:noProof/>
        </w:rPr>
        <w:t xml:space="preserve"> </w:t>
      </w:r>
      <w:r w:rsidR="005F1B3D">
        <w:rPr>
          <w:noProof/>
        </w:rPr>
        <w:t xml:space="preserve">any enforcement </w:t>
      </w:r>
      <w:r w:rsidR="00F21992">
        <w:rPr>
          <w:noProof/>
        </w:rPr>
        <w:t xml:space="preserve">of </w:t>
      </w:r>
      <w:r w:rsidR="005F1B3D" w:rsidRPr="005F1B3D">
        <w:rPr>
          <w:noProof/>
        </w:rPr>
        <w:t>supervisory decisions</w:t>
      </w:r>
      <w:r w:rsidR="005F1B3D">
        <w:rPr>
          <w:noProof/>
        </w:rPr>
        <w:t xml:space="preserve"> </w:t>
      </w:r>
      <w:r w:rsidR="00F15AA1" w:rsidRPr="002661A8">
        <w:rPr>
          <w:noProof/>
        </w:rPr>
        <w:t>rel</w:t>
      </w:r>
      <w:r w:rsidR="00BD44B3" w:rsidRPr="002661A8">
        <w:rPr>
          <w:noProof/>
        </w:rPr>
        <w:t>ies</w:t>
      </w:r>
      <w:r w:rsidR="00F15AA1" w:rsidRPr="002661A8">
        <w:rPr>
          <w:noProof/>
        </w:rPr>
        <w:t xml:space="preserve"> on the cooperation of the foreign supervisor to enforce </w:t>
      </w:r>
      <w:r w:rsidR="005F1B3D">
        <w:rPr>
          <w:noProof/>
        </w:rPr>
        <w:t xml:space="preserve">such </w:t>
      </w:r>
      <w:r w:rsidR="00F15AA1" w:rsidRPr="002661A8">
        <w:rPr>
          <w:noProof/>
        </w:rPr>
        <w:t>supervisory decisions</w:t>
      </w:r>
      <w:r w:rsidR="005F1B3D">
        <w:rPr>
          <w:noProof/>
        </w:rPr>
        <w:t>.</w:t>
      </w:r>
      <w:r w:rsidR="00EA5555" w:rsidRPr="002661A8">
        <w:rPr>
          <w:rStyle w:val="FootnoteReference"/>
          <w:noProof/>
        </w:rPr>
        <w:footnoteReference w:id="110"/>
      </w:r>
      <w:r w:rsidR="003D2974">
        <w:rPr>
          <w:noProof/>
        </w:rPr>
        <w:t xml:space="preserve"> </w:t>
      </w:r>
      <w:r w:rsidR="005F1B3D">
        <w:rPr>
          <w:noProof/>
        </w:rPr>
        <w:t>In addition</w:t>
      </w:r>
      <w:r w:rsidR="004233B2">
        <w:rPr>
          <w:noProof/>
        </w:rPr>
        <w:t>,</w:t>
      </w:r>
      <w:r w:rsidR="005F1B3D">
        <w:rPr>
          <w:noProof/>
        </w:rPr>
        <w:t xml:space="preserve"> </w:t>
      </w:r>
      <w:r w:rsidR="003D2974">
        <w:rPr>
          <w:noProof/>
        </w:rPr>
        <w:t>ESMA</w:t>
      </w:r>
      <w:r w:rsidR="00DB36B7">
        <w:rPr>
          <w:noProof/>
        </w:rPr>
        <w:t xml:space="preserve"> has no</w:t>
      </w:r>
      <w:r w:rsidR="00753BAB">
        <w:rPr>
          <w:noProof/>
        </w:rPr>
        <w:t xml:space="preserve"> </w:t>
      </w:r>
      <w:r w:rsidR="004233B2">
        <w:rPr>
          <w:noProof/>
        </w:rPr>
        <w:t xml:space="preserve">formal </w:t>
      </w:r>
      <w:r w:rsidR="003D2974">
        <w:rPr>
          <w:noProof/>
        </w:rPr>
        <w:t xml:space="preserve">powers as regards </w:t>
      </w:r>
      <w:r w:rsidR="00760E4E">
        <w:rPr>
          <w:noProof/>
        </w:rPr>
        <w:t xml:space="preserve">Tier 2 CCPs crisis management </w:t>
      </w:r>
      <w:r w:rsidR="003D2974">
        <w:rPr>
          <w:noProof/>
        </w:rPr>
        <w:t>.</w:t>
      </w:r>
      <w:r w:rsidR="00F15AA1" w:rsidRPr="002661A8">
        <w:rPr>
          <w:noProof/>
        </w:rPr>
        <w:t xml:space="preserve"> </w:t>
      </w:r>
      <w:r w:rsidR="00BD44B3" w:rsidRPr="002661A8">
        <w:rPr>
          <w:noProof/>
        </w:rPr>
        <w:t>Additionally</w:t>
      </w:r>
      <w:r w:rsidR="00F15AA1" w:rsidRPr="002661A8">
        <w:rPr>
          <w:noProof/>
        </w:rPr>
        <w:t xml:space="preserve">, third-country </w:t>
      </w:r>
      <w:r w:rsidR="00D826E3" w:rsidRPr="002661A8">
        <w:rPr>
          <w:noProof/>
        </w:rPr>
        <w:t>authorities</w:t>
      </w:r>
      <w:r w:rsidR="00F15AA1" w:rsidRPr="002661A8">
        <w:rPr>
          <w:noProof/>
        </w:rPr>
        <w:t xml:space="preserve"> are not part of the </w:t>
      </w:r>
      <w:r w:rsidR="00BD44B3" w:rsidRPr="002661A8">
        <w:rPr>
          <w:noProof/>
        </w:rPr>
        <w:t xml:space="preserve">EU </w:t>
      </w:r>
      <w:r w:rsidR="00F15AA1" w:rsidRPr="002661A8">
        <w:rPr>
          <w:noProof/>
        </w:rPr>
        <w:t>common regulatory, supervisory and enforcement framework</w:t>
      </w:r>
      <w:r w:rsidR="004E25E6" w:rsidRPr="002661A8">
        <w:rPr>
          <w:noProof/>
        </w:rPr>
        <w:t xml:space="preserve"> (</w:t>
      </w:r>
      <w:r w:rsidR="006358F4" w:rsidRPr="002661A8">
        <w:rPr>
          <w:noProof/>
        </w:rPr>
        <w:t>i.e.</w:t>
      </w:r>
      <w:r w:rsidR="004E25E6" w:rsidRPr="002661A8">
        <w:rPr>
          <w:noProof/>
        </w:rPr>
        <w:t xml:space="preserve"> they are not subject to the Court of Justice of the EU nor bound by its interpretation of EU law)</w:t>
      </w:r>
      <w:r w:rsidR="00F15AA1" w:rsidRPr="002661A8">
        <w:rPr>
          <w:noProof/>
        </w:rPr>
        <w:t xml:space="preserve">, with the related potential consequences </w:t>
      </w:r>
      <w:r w:rsidR="00EA5555" w:rsidRPr="002661A8">
        <w:rPr>
          <w:noProof/>
        </w:rPr>
        <w:t xml:space="preserve">in terms of </w:t>
      </w:r>
      <w:r w:rsidR="00F15AA1" w:rsidRPr="002661A8">
        <w:rPr>
          <w:noProof/>
        </w:rPr>
        <w:t>coordination</w:t>
      </w:r>
      <w:r w:rsidR="00142CFD" w:rsidRPr="002661A8">
        <w:rPr>
          <w:noProof/>
        </w:rPr>
        <w:t>.</w:t>
      </w:r>
      <w:r w:rsidR="00F15AA1" w:rsidRPr="002661A8">
        <w:rPr>
          <w:noProof/>
        </w:rPr>
        <w:t xml:space="preserve"> </w:t>
      </w:r>
      <w:r w:rsidR="00786A84" w:rsidRPr="004F2951">
        <w:rPr>
          <w:noProof/>
          <w:szCs w:val="24"/>
        </w:rPr>
        <w:t xml:space="preserve">Supervisors also have more direct access to information over entities located in their jurisdiction. In the current framework, in case of crisis at a UK CCP, no EU body or authority would be in the driving seat for decisions that </w:t>
      </w:r>
      <w:r w:rsidR="00F26A21">
        <w:rPr>
          <w:noProof/>
          <w:szCs w:val="24"/>
        </w:rPr>
        <w:t>could</w:t>
      </w:r>
      <w:r w:rsidR="00786A84" w:rsidRPr="004F2951">
        <w:rPr>
          <w:noProof/>
          <w:szCs w:val="24"/>
        </w:rPr>
        <w:t xml:space="preserve"> have significant impacts on EU firms.</w:t>
      </w:r>
    </w:p>
    <w:p w14:paraId="38AEEF06" w14:textId="4FDE3753" w:rsidR="00FC7009" w:rsidRPr="002661A8" w:rsidRDefault="00786A84" w:rsidP="007E0936">
      <w:pPr>
        <w:pStyle w:val="Text2"/>
        <w:spacing w:after="120"/>
        <w:ind w:left="0"/>
        <w:rPr>
          <w:noProof/>
          <w:szCs w:val="24"/>
        </w:rPr>
      </w:pPr>
      <w:r>
        <w:rPr>
          <w:noProof/>
        </w:rPr>
        <w:t>Second, t</w:t>
      </w:r>
      <w:r w:rsidR="00F15AA1" w:rsidRPr="002661A8">
        <w:rPr>
          <w:noProof/>
        </w:rPr>
        <w:t>he over-reliance on non-EU CCPs creates a</w:t>
      </w:r>
      <w:r w:rsidR="00736125" w:rsidRPr="002661A8">
        <w:rPr>
          <w:noProof/>
        </w:rPr>
        <w:t>n unsustainable</w:t>
      </w:r>
      <w:r w:rsidR="00F15AA1" w:rsidRPr="002661A8">
        <w:rPr>
          <w:noProof/>
        </w:rPr>
        <w:t xml:space="preserve"> dependency</w:t>
      </w:r>
      <w:r w:rsidR="00EE2417" w:rsidRPr="002661A8">
        <w:rPr>
          <w:noProof/>
        </w:rPr>
        <w:t xml:space="preserve"> </w:t>
      </w:r>
      <w:r w:rsidR="007B6163" w:rsidRPr="002661A8">
        <w:rPr>
          <w:noProof/>
        </w:rPr>
        <w:t>–</w:t>
      </w:r>
      <w:r w:rsidR="00F15AA1" w:rsidRPr="002661A8">
        <w:rPr>
          <w:noProof/>
        </w:rPr>
        <w:t xml:space="preserve"> </w:t>
      </w:r>
      <w:r w:rsidR="00D826E3" w:rsidRPr="002661A8">
        <w:rPr>
          <w:noProof/>
        </w:rPr>
        <w:t>if</w:t>
      </w:r>
      <w:r w:rsidR="00F15AA1" w:rsidRPr="002661A8">
        <w:rPr>
          <w:noProof/>
        </w:rPr>
        <w:t xml:space="preserve"> </w:t>
      </w:r>
      <w:r w:rsidR="00D826E3" w:rsidRPr="002661A8">
        <w:rPr>
          <w:noProof/>
        </w:rPr>
        <w:t>the</w:t>
      </w:r>
      <w:r w:rsidR="00F15AA1" w:rsidRPr="002661A8">
        <w:rPr>
          <w:noProof/>
        </w:rPr>
        <w:t xml:space="preserve"> critical </w:t>
      </w:r>
      <w:r w:rsidR="00D826E3" w:rsidRPr="002661A8">
        <w:rPr>
          <w:noProof/>
        </w:rPr>
        <w:t>services provided by those CCPs become unavailable</w:t>
      </w:r>
      <w:r w:rsidR="00EE2417" w:rsidRPr="002661A8">
        <w:rPr>
          <w:noProof/>
        </w:rPr>
        <w:t>,</w:t>
      </w:r>
      <w:r w:rsidR="00F15AA1" w:rsidRPr="002661A8">
        <w:rPr>
          <w:noProof/>
        </w:rPr>
        <w:t xml:space="preserve"> </w:t>
      </w:r>
      <w:r w:rsidR="00586A63" w:rsidRPr="002661A8">
        <w:rPr>
          <w:noProof/>
        </w:rPr>
        <w:t xml:space="preserve">there is </w:t>
      </w:r>
      <w:r w:rsidR="00D826E3" w:rsidRPr="002661A8">
        <w:rPr>
          <w:noProof/>
        </w:rPr>
        <w:t xml:space="preserve">in some cases </w:t>
      </w:r>
      <w:r w:rsidR="00586A63" w:rsidRPr="002661A8">
        <w:rPr>
          <w:noProof/>
        </w:rPr>
        <w:t>no</w:t>
      </w:r>
      <w:r w:rsidR="00F15AA1" w:rsidRPr="002661A8">
        <w:rPr>
          <w:noProof/>
        </w:rPr>
        <w:t xml:space="preserve"> viable substitute, </w:t>
      </w:r>
      <w:r w:rsidR="00EE2417" w:rsidRPr="002661A8">
        <w:rPr>
          <w:noProof/>
        </w:rPr>
        <w:t>inside</w:t>
      </w:r>
      <w:r w:rsidR="00F15AA1" w:rsidRPr="002661A8">
        <w:rPr>
          <w:noProof/>
        </w:rPr>
        <w:t xml:space="preserve"> or outside the </w:t>
      </w:r>
      <w:r w:rsidR="00854B29" w:rsidRPr="002661A8">
        <w:rPr>
          <w:noProof/>
        </w:rPr>
        <w:t>EU</w:t>
      </w:r>
      <w:r w:rsidR="00F15AA1" w:rsidRPr="002661A8">
        <w:rPr>
          <w:noProof/>
        </w:rPr>
        <w:t xml:space="preserve">. For example, for the three services provided by the Tier 2 CCPs which were identified as of substantial systemic importance, ESMA </w:t>
      </w:r>
      <w:r w:rsidR="004C309E">
        <w:rPr>
          <w:noProof/>
        </w:rPr>
        <w:t xml:space="preserve">noted </w:t>
      </w:r>
      <w:r w:rsidR="00F15AA1" w:rsidRPr="002661A8">
        <w:rPr>
          <w:noProof/>
        </w:rPr>
        <w:t>that “</w:t>
      </w:r>
      <w:r w:rsidR="00760E4E" w:rsidRPr="004C309E">
        <w:rPr>
          <w:i/>
          <w:noProof/>
        </w:rPr>
        <w:t xml:space="preserve">The three CCP services identified as being of substantial systemic importance </w:t>
      </w:r>
      <w:r w:rsidR="00F15AA1" w:rsidRPr="002661A8">
        <w:rPr>
          <w:i/>
          <w:noProof/>
        </w:rPr>
        <w:t xml:space="preserve">perform functions critical to EU market participants. They support capital formation, risk transition, central risk management and market liquidity in interest rate and credit markets through their provision of clearing services to EU banks, investment funds, insurance companies, pension funds and corporates. The large dependencies of the EU stem from the size of the clearing services, in combination with their interconnectedness with EU clearing members and clients in multiple Member States, their dominant nature, and the current lack of viable alternatives. In addition, they are of relevance for financial stability in the EU and for EUR monetary policy implementation, with </w:t>
      </w:r>
      <w:r w:rsidR="004D4129" w:rsidRPr="002661A8">
        <w:rPr>
          <w:i/>
          <w:noProof/>
        </w:rPr>
        <w:t>SwapClear</w:t>
      </w:r>
      <w:r w:rsidR="00F15AA1" w:rsidRPr="002661A8">
        <w:rPr>
          <w:i/>
          <w:noProof/>
        </w:rPr>
        <w:t xml:space="preserve"> services for PLN interest rate derivatives being relevant for the financial stability in Poland</w:t>
      </w:r>
      <w:r w:rsidR="00F15AA1" w:rsidRPr="002661A8">
        <w:rPr>
          <w:noProof/>
        </w:rPr>
        <w:t>”.</w:t>
      </w:r>
      <w:r w:rsidR="00F15AA1" w:rsidRPr="002661A8">
        <w:rPr>
          <w:rStyle w:val="FootnoteReference"/>
          <w:noProof/>
        </w:rPr>
        <w:footnoteReference w:id="111"/>
      </w:r>
      <w:r w:rsidR="00F15AA1" w:rsidRPr="002661A8">
        <w:rPr>
          <w:noProof/>
        </w:rPr>
        <w:t xml:space="preserve"> Importantly, in ESMA’s assessment the existing alternatives to LCH Ltd</w:t>
      </w:r>
      <w:r w:rsidR="00A54777">
        <w:rPr>
          <w:noProof/>
        </w:rPr>
        <w:t xml:space="preserve"> (within EU and in another third country)</w:t>
      </w:r>
      <w:r w:rsidR="00F15AA1" w:rsidRPr="002661A8">
        <w:rPr>
          <w:noProof/>
        </w:rPr>
        <w:t xml:space="preserve"> are expected to </w:t>
      </w:r>
      <w:r w:rsidR="00736125" w:rsidRPr="002661A8">
        <w:rPr>
          <w:noProof/>
        </w:rPr>
        <w:t>only partially</w:t>
      </w:r>
      <w:r w:rsidR="00F15AA1" w:rsidRPr="002661A8">
        <w:rPr>
          <w:noProof/>
        </w:rPr>
        <w:t xml:space="preserve"> be able to take over LCH Ltd’s role at </w:t>
      </w:r>
      <w:r w:rsidR="005B5449" w:rsidRPr="002661A8">
        <w:rPr>
          <w:noProof/>
        </w:rPr>
        <w:t>present</w:t>
      </w:r>
      <w:r w:rsidR="00F15AA1" w:rsidRPr="002661A8">
        <w:rPr>
          <w:noProof/>
        </w:rPr>
        <w:t>.</w:t>
      </w:r>
      <w:r w:rsidR="00F15AA1" w:rsidRPr="002661A8">
        <w:rPr>
          <w:rStyle w:val="FootnoteReference"/>
          <w:noProof/>
        </w:rPr>
        <w:footnoteReference w:id="112"/>
      </w:r>
    </w:p>
    <w:p w14:paraId="444B4E75" w14:textId="65382D8B" w:rsidR="00AB4D10" w:rsidRPr="004C309E" w:rsidRDefault="004C309E" w:rsidP="007E0936">
      <w:pPr>
        <w:pStyle w:val="Text2"/>
        <w:spacing w:after="120"/>
        <w:ind w:left="0"/>
        <w:rPr>
          <w:noProof/>
        </w:rPr>
      </w:pPr>
      <w:r>
        <w:rPr>
          <w:b/>
          <w:noProof/>
        </w:rPr>
        <w:t xml:space="preserve">In the case of </w:t>
      </w:r>
      <w:r w:rsidR="00AB4D10" w:rsidRPr="002661A8">
        <w:rPr>
          <w:b/>
          <w:noProof/>
        </w:rPr>
        <w:t>EU CCPs</w:t>
      </w:r>
      <w:r w:rsidR="00D826E3" w:rsidRPr="002661A8">
        <w:rPr>
          <w:b/>
          <w:noProof/>
        </w:rPr>
        <w:t xml:space="preserve">, </w:t>
      </w:r>
      <w:r w:rsidR="00D826E3" w:rsidRPr="002661A8" w:rsidDel="004C309E">
        <w:rPr>
          <w:b/>
          <w:noProof/>
        </w:rPr>
        <w:t>under the baseline scenario</w:t>
      </w:r>
      <w:r w:rsidR="00AB4D10" w:rsidRPr="002661A8" w:rsidDel="004C309E">
        <w:rPr>
          <w:b/>
          <w:noProof/>
        </w:rPr>
        <w:t xml:space="preserve"> </w:t>
      </w:r>
      <w:r w:rsidR="009A0A5C" w:rsidRPr="002661A8">
        <w:rPr>
          <w:b/>
          <w:noProof/>
        </w:rPr>
        <w:t>they</w:t>
      </w:r>
      <w:r w:rsidRPr="002661A8">
        <w:rPr>
          <w:b/>
          <w:noProof/>
        </w:rPr>
        <w:t xml:space="preserve"> </w:t>
      </w:r>
      <w:r w:rsidR="00AB4D10" w:rsidRPr="002661A8">
        <w:rPr>
          <w:b/>
          <w:noProof/>
        </w:rPr>
        <w:t xml:space="preserve">remain </w:t>
      </w:r>
      <w:r w:rsidR="00736125" w:rsidRPr="002661A8">
        <w:rPr>
          <w:b/>
          <w:noProof/>
        </w:rPr>
        <w:t xml:space="preserve">mainly </w:t>
      </w:r>
      <w:r w:rsidR="00AB4D10" w:rsidRPr="002661A8">
        <w:rPr>
          <w:b/>
          <w:noProof/>
        </w:rPr>
        <w:t xml:space="preserve">supervised by their </w:t>
      </w:r>
      <w:r w:rsidR="00746C05" w:rsidRPr="002661A8">
        <w:rPr>
          <w:b/>
          <w:noProof/>
        </w:rPr>
        <w:t>NCA</w:t>
      </w:r>
      <w:r w:rsidRPr="004C309E">
        <w:rPr>
          <w:noProof/>
        </w:rPr>
        <w:t xml:space="preserve"> </w:t>
      </w:r>
      <w:r w:rsidRPr="00663E0D">
        <w:rPr>
          <w:b/>
          <w:noProof/>
        </w:rPr>
        <w:t>and there is an</w:t>
      </w:r>
      <w:r>
        <w:rPr>
          <w:noProof/>
        </w:rPr>
        <w:t xml:space="preserve"> </w:t>
      </w:r>
      <w:r>
        <w:rPr>
          <w:b/>
          <w:noProof/>
        </w:rPr>
        <w:t xml:space="preserve">identified </w:t>
      </w:r>
      <w:r w:rsidRPr="004C309E">
        <w:rPr>
          <w:b/>
          <w:noProof/>
        </w:rPr>
        <w:t>insufficient consideration of cross-border risks</w:t>
      </w:r>
      <w:r w:rsidR="00D826E3" w:rsidRPr="002661A8">
        <w:rPr>
          <w:noProof/>
        </w:rPr>
        <w:t>.</w:t>
      </w:r>
      <w:r w:rsidR="00AB4D10" w:rsidRPr="002661A8">
        <w:rPr>
          <w:noProof/>
        </w:rPr>
        <w:t xml:space="preserve"> </w:t>
      </w:r>
      <w:r w:rsidR="00D826E3" w:rsidRPr="002661A8">
        <w:rPr>
          <w:noProof/>
        </w:rPr>
        <w:t>T</w:t>
      </w:r>
      <w:r w:rsidR="00AB4D10" w:rsidRPr="002661A8">
        <w:rPr>
          <w:noProof/>
        </w:rPr>
        <w:t xml:space="preserve">he college and ESMA </w:t>
      </w:r>
      <w:r w:rsidR="00D826E3" w:rsidRPr="002661A8">
        <w:rPr>
          <w:noProof/>
        </w:rPr>
        <w:t xml:space="preserve">are involved, </w:t>
      </w:r>
      <w:r w:rsidR="00BA7A8B" w:rsidRPr="002661A8">
        <w:rPr>
          <w:noProof/>
        </w:rPr>
        <w:t xml:space="preserve">but </w:t>
      </w:r>
      <w:r>
        <w:rPr>
          <w:noProof/>
        </w:rPr>
        <w:t xml:space="preserve">they </w:t>
      </w:r>
      <w:r w:rsidR="00D826E3" w:rsidRPr="002661A8">
        <w:rPr>
          <w:noProof/>
        </w:rPr>
        <w:t xml:space="preserve">can </w:t>
      </w:r>
      <w:r>
        <w:rPr>
          <w:noProof/>
        </w:rPr>
        <w:t xml:space="preserve">only </w:t>
      </w:r>
      <w:r w:rsidR="00D826E3" w:rsidRPr="002661A8">
        <w:rPr>
          <w:noProof/>
        </w:rPr>
        <w:t xml:space="preserve">influence the supervision of </w:t>
      </w:r>
      <w:r w:rsidR="00BA7A8B" w:rsidRPr="002661A8">
        <w:rPr>
          <w:noProof/>
        </w:rPr>
        <w:t xml:space="preserve">EU </w:t>
      </w:r>
      <w:r w:rsidR="00D826E3" w:rsidRPr="002661A8">
        <w:rPr>
          <w:noProof/>
        </w:rPr>
        <w:t>CCP</w:t>
      </w:r>
      <w:r w:rsidR="00BA7A8B" w:rsidRPr="002661A8">
        <w:rPr>
          <w:noProof/>
        </w:rPr>
        <w:t>s</w:t>
      </w:r>
      <w:r w:rsidR="00D826E3" w:rsidRPr="002661A8">
        <w:rPr>
          <w:noProof/>
        </w:rPr>
        <w:t xml:space="preserve"> to</w:t>
      </w:r>
      <w:r w:rsidR="00AB4D10" w:rsidRPr="002661A8">
        <w:rPr>
          <w:noProof/>
        </w:rPr>
        <w:t xml:space="preserve"> a limited extent. As </w:t>
      </w:r>
      <w:r w:rsidR="003577FA" w:rsidRPr="002661A8">
        <w:rPr>
          <w:noProof/>
        </w:rPr>
        <w:t>shown</w:t>
      </w:r>
      <w:r w:rsidR="00AB4D10" w:rsidRPr="002661A8">
        <w:rPr>
          <w:noProof/>
        </w:rPr>
        <w:t xml:space="preserve"> in </w:t>
      </w:r>
      <w:hyperlink w:anchor="_Inefficient_framework_for" w:history="1">
        <w:r w:rsidR="00AB4D10" w:rsidRPr="002661A8">
          <w:rPr>
            <w:rStyle w:val="Hyperlink"/>
            <w:noProof/>
          </w:rPr>
          <w:t xml:space="preserve">Section </w:t>
        </w:r>
        <w:r w:rsidR="00E029AD" w:rsidRPr="002661A8">
          <w:rPr>
            <w:rStyle w:val="Hyperlink"/>
            <w:noProof/>
          </w:rPr>
          <w:t>3</w:t>
        </w:r>
        <w:r w:rsidR="007C2883" w:rsidRPr="002661A8">
          <w:rPr>
            <w:rStyle w:val="Hyperlink"/>
            <w:noProof/>
          </w:rPr>
          <w:t>.2.4</w:t>
        </w:r>
      </w:hyperlink>
      <w:r w:rsidR="00AB4D10" w:rsidRPr="002661A8">
        <w:rPr>
          <w:noProof/>
        </w:rPr>
        <w:t xml:space="preserve">, the current framework for supervisory cooperation in the EU remains complex and </w:t>
      </w:r>
      <w:r w:rsidR="00BF7095" w:rsidRPr="002661A8">
        <w:rPr>
          <w:noProof/>
        </w:rPr>
        <w:t>at times</w:t>
      </w:r>
      <w:r w:rsidR="00AB4D10" w:rsidRPr="002661A8">
        <w:rPr>
          <w:noProof/>
        </w:rPr>
        <w:t xml:space="preserve"> inefficient or inconsistent. This is sub-optimal in terms of the </w:t>
      </w:r>
      <w:r w:rsidR="00736125" w:rsidRPr="002661A8">
        <w:rPr>
          <w:noProof/>
        </w:rPr>
        <w:t xml:space="preserve">ability </w:t>
      </w:r>
      <w:r w:rsidR="00AB4D10" w:rsidRPr="002661A8">
        <w:rPr>
          <w:noProof/>
        </w:rPr>
        <w:t xml:space="preserve">of the EU supervisory system to properly </w:t>
      </w:r>
      <w:r w:rsidR="00736125" w:rsidRPr="002661A8">
        <w:rPr>
          <w:noProof/>
        </w:rPr>
        <w:t xml:space="preserve">identify </w:t>
      </w:r>
      <w:r w:rsidR="00AB4D10" w:rsidRPr="002661A8">
        <w:rPr>
          <w:noProof/>
        </w:rPr>
        <w:t xml:space="preserve">and oversee cross-border risks, including the risks which cut across the clearing ecosystem with its multiple actors. </w:t>
      </w:r>
    </w:p>
    <w:p w14:paraId="1C9A3CBB" w14:textId="442DBBC3" w:rsidR="008F14BF" w:rsidRDefault="00AB4D10" w:rsidP="007E0936">
      <w:pPr>
        <w:pStyle w:val="Text2"/>
        <w:spacing w:after="120"/>
        <w:ind w:left="0"/>
        <w:rPr>
          <w:noProof/>
        </w:rPr>
      </w:pPr>
      <w:r w:rsidRPr="00663E0D">
        <w:rPr>
          <w:b/>
          <w:noProof/>
        </w:rPr>
        <w:t xml:space="preserve">Absent any changes, exposures to third-country CCPs are likely to </w:t>
      </w:r>
      <w:r w:rsidR="00C43394" w:rsidRPr="00663E0D">
        <w:rPr>
          <w:b/>
          <w:noProof/>
        </w:rPr>
        <w:t>rise</w:t>
      </w:r>
      <w:r w:rsidRPr="00663E0D">
        <w:rPr>
          <w:b/>
          <w:noProof/>
        </w:rPr>
        <w:t xml:space="preserve">, presenting </w:t>
      </w:r>
      <w:r w:rsidR="00C43394" w:rsidRPr="00663E0D">
        <w:rPr>
          <w:b/>
          <w:noProof/>
        </w:rPr>
        <w:t xml:space="preserve">more </w:t>
      </w:r>
      <w:r w:rsidRPr="00663E0D">
        <w:rPr>
          <w:b/>
          <w:noProof/>
        </w:rPr>
        <w:t>risks to the EU’s financial stability</w:t>
      </w:r>
      <w:r w:rsidRPr="002661A8">
        <w:rPr>
          <w:noProof/>
        </w:rPr>
        <w:t xml:space="preserve">. </w:t>
      </w:r>
      <w:r w:rsidRPr="002661A8" w:rsidDel="002C4BB6">
        <w:rPr>
          <w:b/>
          <w:noProof/>
        </w:rPr>
        <w:t>In essence, the problems identified are likely to worsen</w:t>
      </w:r>
      <w:r w:rsidR="000F56CB" w:rsidRPr="002661A8" w:rsidDel="002C4BB6">
        <w:rPr>
          <w:b/>
          <w:noProof/>
        </w:rPr>
        <w:t xml:space="preserve"> as exposures to third-country CCPs continue to rise</w:t>
      </w:r>
      <w:r w:rsidRPr="002661A8" w:rsidDel="002C4BB6">
        <w:rPr>
          <w:b/>
          <w:noProof/>
        </w:rPr>
        <w:t>.</w:t>
      </w:r>
      <w:r w:rsidR="00956AAD" w:rsidRPr="002661A8" w:rsidDel="002C4BB6">
        <w:rPr>
          <w:b/>
          <w:noProof/>
        </w:rPr>
        <w:t xml:space="preserve"> </w:t>
      </w:r>
      <w:r w:rsidR="00BA7A8B" w:rsidRPr="002661A8">
        <w:rPr>
          <w:noProof/>
        </w:rPr>
        <w:t>R</w:t>
      </w:r>
      <w:r w:rsidR="00402176" w:rsidRPr="002661A8">
        <w:rPr>
          <w:noProof/>
        </w:rPr>
        <w:t xml:space="preserve">isks could </w:t>
      </w:r>
      <w:r w:rsidR="002C4BB6">
        <w:rPr>
          <w:noProof/>
        </w:rPr>
        <w:t xml:space="preserve">even </w:t>
      </w:r>
      <w:r w:rsidR="00C43394" w:rsidRPr="002661A8">
        <w:rPr>
          <w:noProof/>
        </w:rPr>
        <w:t xml:space="preserve">rise </w:t>
      </w:r>
      <w:r w:rsidR="00402176" w:rsidRPr="002661A8">
        <w:rPr>
          <w:noProof/>
        </w:rPr>
        <w:t xml:space="preserve">further should </w:t>
      </w:r>
      <w:r w:rsidR="00C43394" w:rsidRPr="002661A8">
        <w:rPr>
          <w:noProof/>
        </w:rPr>
        <w:t xml:space="preserve">UK authorities </w:t>
      </w:r>
      <w:r w:rsidR="00402176" w:rsidRPr="002661A8">
        <w:rPr>
          <w:noProof/>
        </w:rPr>
        <w:t>deci</w:t>
      </w:r>
      <w:r w:rsidR="00C43394" w:rsidRPr="002661A8">
        <w:rPr>
          <w:noProof/>
        </w:rPr>
        <w:t>de</w:t>
      </w:r>
      <w:r w:rsidR="00402176" w:rsidRPr="002661A8">
        <w:rPr>
          <w:noProof/>
        </w:rPr>
        <w:t xml:space="preserve"> </w:t>
      </w:r>
      <w:r w:rsidRPr="002661A8">
        <w:rPr>
          <w:noProof/>
        </w:rPr>
        <w:t>t</w:t>
      </w:r>
      <w:r w:rsidR="00402176" w:rsidRPr="002661A8">
        <w:rPr>
          <w:noProof/>
        </w:rPr>
        <w:t>o diverge from the</w:t>
      </w:r>
      <w:r w:rsidR="00C43394" w:rsidRPr="002661A8">
        <w:rPr>
          <w:noProof/>
        </w:rPr>
        <w:t xml:space="preserve"> current</w:t>
      </w:r>
      <w:r w:rsidR="00402176" w:rsidRPr="002661A8">
        <w:rPr>
          <w:noProof/>
        </w:rPr>
        <w:t xml:space="preserve"> regulatory framework. </w:t>
      </w:r>
    </w:p>
    <w:p w14:paraId="508B4122" w14:textId="3EA98429" w:rsidR="00E95CBC" w:rsidRPr="002661A8" w:rsidRDefault="006C0837" w:rsidP="00601F85">
      <w:pPr>
        <w:pStyle w:val="ListNumber"/>
        <w:tabs>
          <w:tab w:val="clear" w:pos="709"/>
        </w:tabs>
        <w:spacing w:before="120" w:after="120"/>
        <w:ind w:left="0" w:firstLine="0"/>
        <w:rPr>
          <w:noProof/>
          <w:szCs w:val="24"/>
        </w:rPr>
      </w:pPr>
      <w:r w:rsidRPr="004F2951">
        <w:rPr>
          <w:noProof/>
        </w:rPr>
        <w:t>The level of exposure to UK CCPs by EU market participants is without precedent</w:t>
      </w:r>
      <w:r w:rsidR="002C4BB6">
        <w:rPr>
          <w:noProof/>
        </w:rPr>
        <w:t xml:space="preserve"> however the issue of reliance to foreign entities are considered by other countries where </w:t>
      </w:r>
      <w:r w:rsidR="002C4BB6">
        <w:rPr>
          <w:b/>
          <w:noProof/>
        </w:rPr>
        <w:t>d</w:t>
      </w:r>
      <w:r w:rsidR="002C4BB6" w:rsidRPr="004F2951">
        <w:rPr>
          <w:b/>
          <w:noProof/>
        </w:rPr>
        <w:t>ifferent jurisdictions have chosen different ways</w:t>
      </w:r>
      <w:r w:rsidR="002C4BB6" w:rsidRPr="004F2951">
        <w:rPr>
          <w:noProof/>
        </w:rPr>
        <w:t xml:space="preserve"> to implement the international principles for financial market infrastructures</w:t>
      </w:r>
      <w:r w:rsidR="002C4BB6">
        <w:rPr>
          <w:noProof/>
        </w:rPr>
        <w:t xml:space="preserve"> in their legal frameworks</w:t>
      </w:r>
      <w:r w:rsidR="002C4BB6" w:rsidRPr="004F2951">
        <w:rPr>
          <w:noProof/>
        </w:rPr>
        <w:t>. Within these frameworks, they have also opted to manage their exposure to foreign entities to protect their financial and economic system from undue risks</w:t>
      </w:r>
      <w:r w:rsidR="002C4BB6">
        <w:rPr>
          <w:noProof/>
        </w:rPr>
        <w:t>, but the type and nature of the risks faced varies considerably between jurisdictions</w:t>
      </w:r>
      <w:r w:rsidR="002C4BB6" w:rsidRPr="004F2951">
        <w:rPr>
          <w:noProof/>
        </w:rPr>
        <w:t>.</w:t>
      </w:r>
      <w:r w:rsidR="002C4BB6">
        <w:rPr>
          <w:noProof/>
        </w:rPr>
        <w:t xml:space="preserve"> </w:t>
      </w:r>
      <w:r w:rsidRPr="004F2951">
        <w:rPr>
          <w:noProof/>
        </w:rPr>
        <w:t>US market participants are active at UK CCPs such as LCH Ltd</w:t>
      </w:r>
      <w:r w:rsidR="006A6D50">
        <w:rPr>
          <w:noProof/>
        </w:rPr>
        <w:t>,</w:t>
      </w:r>
      <w:r w:rsidRPr="004F2951">
        <w:rPr>
          <w:noProof/>
        </w:rPr>
        <w:t xml:space="preserve"> which holds a substantial market share also in the clearing market for certain US dollar-denominated products. However, in contrast to the EU, the US </w:t>
      </w:r>
      <w:r w:rsidR="006A6D50">
        <w:rPr>
          <w:noProof/>
        </w:rPr>
        <w:t xml:space="preserve">reliance </w:t>
      </w:r>
      <w:r w:rsidRPr="004F2951">
        <w:rPr>
          <w:noProof/>
        </w:rPr>
        <w:t>on UK CCPs is lower</w:t>
      </w:r>
      <w:r w:rsidRPr="004F2951">
        <w:rPr>
          <w:rStyle w:val="FootnoteReference"/>
          <w:noProof/>
        </w:rPr>
        <w:footnoteReference w:id="113"/>
      </w:r>
      <w:r w:rsidRPr="004F2951">
        <w:rPr>
          <w:noProof/>
        </w:rPr>
        <w:t xml:space="preserve"> and US CCPs offer a </w:t>
      </w:r>
      <w:r w:rsidR="006A6D50">
        <w:rPr>
          <w:noProof/>
        </w:rPr>
        <w:t>sizeable</w:t>
      </w:r>
      <w:r w:rsidRPr="004F2951">
        <w:rPr>
          <w:noProof/>
        </w:rPr>
        <w:t xml:space="preserve"> clearing alternative. The US also has strict rules under which, for example, all CCPs which wish to provide services to US firms must be directly registered and supervised by the CFTC. </w:t>
      </w:r>
      <w:r w:rsidR="00852FD3">
        <w:rPr>
          <w:noProof/>
        </w:rPr>
        <w:t xml:space="preserve">Interestingly, the proportion of US dollar-denominated interest rate derivatives cleared in US CCPs vs. UK CCPs varies significantly over time, minimising the arguments brought forward by market participants that having two CCPs competing on the same </w:t>
      </w:r>
      <w:r w:rsidR="00C666B1">
        <w:rPr>
          <w:noProof/>
        </w:rPr>
        <w:t xml:space="preserve">asset class </w:t>
      </w:r>
      <w:r w:rsidR="00852FD3">
        <w:rPr>
          <w:noProof/>
        </w:rPr>
        <w:t>creates inefficiencies and undue fragmentation.</w:t>
      </w:r>
      <w:r w:rsidR="0060251B">
        <w:rPr>
          <w:rStyle w:val="FootnoteReference"/>
          <w:noProof/>
        </w:rPr>
        <w:footnoteReference w:id="114"/>
      </w:r>
      <w:r w:rsidRPr="004F2951">
        <w:rPr>
          <w:noProof/>
        </w:rPr>
        <w:t xml:space="preserve"> In Japan, Yen-denominated interest rate derivatives entered into by Japanese financial institutions and subject to the clearing obligation </w:t>
      </w:r>
      <w:r w:rsidR="00E37B85">
        <w:rPr>
          <w:noProof/>
        </w:rPr>
        <w:t>are</w:t>
      </w:r>
      <w:r w:rsidRPr="004F2951">
        <w:rPr>
          <w:noProof/>
        </w:rPr>
        <w:t xml:space="preserve"> </w:t>
      </w:r>
      <w:r w:rsidR="00E37B85">
        <w:rPr>
          <w:noProof/>
        </w:rPr>
        <w:t xml:space="preserve">mostly </w:t>
      </w:r>
      <w:r w:rsidRPr="004F2951">
        <w:rPr>
          <w:noProof/>
        </w:rPr>
        <w:t xml:space="preserve">cleared at </w:t>
      </w:r>
      <w:r w:rsidR="00E37B85">
        <w:rPr>
          <w:noProof/>
        </w:rPr>
        <w:t>the local</w:t>
      </w:r>
      <w:r w:rsidRPr="004F2951">
        <w:rPr>
          <w:noProof/>
        </w:rPr>
        <w:t xml:space="preserve"> CCP</w:t>
      </w:r>
      <w:r w:rsidR="00E37B85">
        <w:rPr>
          <w:rStyle w:val="FootnoteReference"/>
          <w:noProof/>
        </w:rPr>
        <w:footnoteReference w:id="115"/>
      </w:r>
      <w:r w:rsidRPr="004F2951">
        <w:rPr>
          <w:noProof/>
        </w:rPr>
        <w:t>.</w:t>
      </w:r>
      <w:r w:rsidRPr="004F2951" w:rsidDel="004A4385">
        <w:rPr>
          <w:noProof/>
        </w:rPr>
        <w:t xml:space="preserve"> </w:t>
      </w:r>
    </w:p>
    <w:p w14:paraId="1AA21980" w14:textId="235A8B76" w:rsidR="006B087E" w:rsidRPr="002661A8" w:rsidRDefault="3FA542DF" w:rsidP="00ED5088">
      <w:pPr>
        <w:pStyle w:val="Heading1"/>
        <w:numPr>
          <w:ilvl w:val="0"/>
          <w:numId w:val="6"/>
        </w:numPr>
        <w:spacing w:before="0" w:after="120"/>
        <w:rPr>
          <w:noProof/>
        </w:rPr>
      </w:pPr>
      <w:bookmarkStart w:id="425" w:name="_Toc103337477"/>
      <w:bookmarkStart w:id="426" w:name="_Toc104309979"/>
      <w:bookmarkStart w:id="427" w:name="_Toc105656424"/>
      <w:bookmarkStart w:id="428" w:name="_Toc106827824"/>
      <w:bookmarkStart w:id="429" w:name="_Toc106981700"/>
      <w:bookmarkStart w:id="430" w:name="_Toc107493840"/>
      <w:bookmarkStart w:id="431" w:name="_Toc107497876"/>
      <w:bookmarkStart w:id="432" w:name="_Toc107503429"/>
      <w:bookmarkStart w:id="433" w:name="_Toc107504577"/>
      <w:bookmarkStart w:id="434" w:name="_Toc107505422"/>
      <w:bookmarkStart w:id="435" w:name="_Toc107838898"/>
      <w:bookmarkStart w:id="436" w:name="_Toc107846993"/>
      <w:bookmarkStart w:id="437" w:name="_Toc107849230"/>
      <w:bookmarkStart w:id="438" w:name="_Toc107853677"/>
      <w:bookmarkStart w:id="439" w:name="_Toc108539800"/>
      <w:bookmarkStart w:id="440" w:name="_Toc108539918"/>
      <w:bookmarkStart w:id="441" w:name="_Toc109057376"/>
      <w:bookmarkStart w:id="442" w:name="_Toc109120742"/>
      <w:bookmarkStart w:id="443" w:name="_Toc109122377"/>
      <w:bookmarkStart w:id="444" w:name="_Toc109133114"/>
      <w:bookmarkStart w:id="445" w:name="_Toc120291648"/>
      <w:r w:rsidRPr="002661A8">
        <w:rPr>
          <w:noProof/>
        </w:rPr>
        <w:t>Why should the EU act?</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57B91266" w14:textId="107537E6" w:rsidR="006B087E" w:rsidRPr="002661A8" w:rsidRDefault="3FA542DF" w:rsidP="00ED5088">
      <w:pPr>
        <w:pStyle w:val="Heading1"/>
        <w:numPr>
          <w:ilvl w:val="1"/>
          <w:numId w:val="6"/>
        </w:numPr>
        <w:spacing w:before="0" w:after="120"/>
        <w:rPr>
          <w:smallCaps w:val="0"/>
          <w:noProof/>
        </w:rPr>
      </w:pPr>
      <w:bookmarkStart w:id="446" w:name="_Toc103337478"/>
      <w:bookmarkStart w:id="447" w:name="_Toc104309980"/>
      <w:bookmarkStart w:id="448" w:name="_Toc105656425"/>
      <w:bookmarkStart w:id="449" w:name="_Toc106827825"/>
      <w:bookmarkStart w:id="450" w:name="_Toc106981701"/>
      <w:bookmarkStart w:id="451" w:name="_Toc107493841"/>
      <w:bookmarkStart w:id="452" w:name="_Toc107497877"/>
      <w:bookmarkStart w:id="453" w:name="_Toc107503430"/>
      <w:bookmarkStart w:id="454" w:name="_Toc107504578"/>
      <w:bookmarkStart w:id="455" w:name="_Toc107505423"/>
      <w:bookmarkStart w:id="456" w:name="_Toc107838899"/>
      <w:bookmarkStart w:id="457" w:name="_Toc107846994"/>
      <w:bookmarkStart w:id="458" w:name="_Toc107849231"/>
      <w:bookmarkStart w:id="459" w:name="_Toc107853678"/>
      <w:bookmarkStart w:id="460" w:name="_Toc108539801"/>
      <w:bookmarkStart w:id="461" w:name="_Toc108539919"/>
      <w:bookmarkStart w:id="462" w:name="_Toc109057377"/>
      <w:bookmarkStart w:id="463" w:name="_Toc109120743"/>
      <w:bookmarkStart w:id="464" w:name="_Toc109122378"/>
      <w:bookmarkStart w:id="465" w:name="_Toc109133115"/>
      <w:bookmarkStart w:id="466" w:name="_Toc120291649"/>
      <w:r w:rsidRPr="002661A8">
        <w:rPr>
          <w:smallCaps w:val="0"/>
          <w:noProof/>
        </w:rPr>
        <w:t>Legal basis</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7203B728" w14:textId="15D2BE39" w:rsidR="006B087E" w:rsidRPr="002661A8" w:rsidRDefault="00996696" w:rsidP="001C437C">
      <w:pPr>
        <w:spacing w:after="120" w:line="240" w:lineRule="auto"/>
        <w:jc w:val="both"/>
        <w:rPr>
          <w:rFonts w:ascii="Times New Roman" w:eastAsia="Times New Roman" w:hAnsi="Times New Roman" w:cs="Times New Roman"/>
          <w:noProof/>
          <w:sz w:val="24"/>
          <w:szCs w:val="24"/>
        </w:rPr>
      </w:pPr>
      <w:r w:rsidRPr="002661A8">
        <w:rPr>
          <w:rFonts w:ascii="Times New Roman" w:eastAsia="Times New Roman" w:hAnsi="Times New Roman" w:cs="Times New Roman"/>
          <w:noProof/>
          <w:sz w:val="24"/>
          <w:szCs w:val="24"/>
        </w:rPr>
        <w:t xml:space="preserve">EMIR sets out the </w:t>
      </w:r>
      <w:r w:rsidR="00732D69" w:rsidRPr="002661A8">
        <w:rPr>
          <w:rFonts w:ascii="Times New Roman" w:eastAsia="Times New Roman" w:hAnsi="Times New Roman" w:cs="Times New Roman"/>
          <w:noProof/>
          <w:sz w:val="24"/>
          <w:szCs w:val="24"/>
        </w:rPr>
        <w:t>regulatory and</w:t>
      </w:r>
      <w:r w:rsidRPr="002661A8">
        <w:rPr>
          <w:rFonts w:ascii="Times New Roman" w:eastAsia="Times New Roman" w:hAnsi="Times New Roman" w:cs="Times New Roman"/>
          <w:noProof/>
          <w:sz w:val="24"/>
          <w:szCs w:val="24"/>
        </w:rPr>
        <w:t xml:space="preserve"> supervisory framework </w:t>
      </w:r>
      <w:r w:rsidR="00907ED0" w:rsidRPr="002661A8">
        <w:rPr>
          <w:rFonts w:ascii="Times New Roman" w:eastAsia="Times New Roman" w:hAnsi="Times New Roman" w:cs="Times New Roman"/>
          <w:noProof/>
          <w:sz w:val="24"/>
          <w:szCs w:val="24"/>
        </w:rPr>
        <w:t>for</w:t>
      </w:r>
      <w:r w:rsidRPr="002661A8">
        <w:rPr>
          <w:rFonts w:ascii="Times New Roman" w:eastAsia="Times New Roman" w:hAnsi="Times New Roman" w:cs="Times New Roman"/>
          <w:noProof/>
          <w:sz w:val="24"/>
          <w:szCs w:val="24"/>
        </w:rPr>
        <w:t xml:space="preserve"> CCPs established in the EU and third-country CCPs that provide clearing services to clearing members or trading venues established in the EU. The legal basis for EMIR </w:t>
      </w:r>
      <w:r w:rsidR="007A3EBA">
        <w:rPr>
          <w:rFonts w:ascii="Times New Roman" w:eastAsia="Times New Roman" w:hAnsi="Times New Roman" w:cs="Times New Roman"/>
          <w:noProof/>
          <w:sz w:val="24"/>
          <w:szCs w:val="24"/>
        </w:rPr>
        <w:t>is</w:t>
      </w:r>
      <w:r w:rsidR="007A3EBA" w:rsidRPr="002661A8">
        <w:rPr>
          <w:rFonts w:ascii="Times New Roman" w:eastAsia="Times New Roman" w:hAnsi="Times New Roman" w:cs="Times New Roman"/>
          <w:noProof/>
          <w:sz w:val="24"/>
          <w:szCs w:val="24"/>
        </w:rPr>
        <w:t xml:space="preserve"> </w:t>
      </w:r>
      <w:r w:rsidRPr="002661A8">
        <w:rPr>
          <w:rFonts w:ascii="Times New Roman" w:eastAsia="Times New Roman" w:hAnsi="Times New Roman" w:cs="Times New Roman"/>
          <w:noProof/>
          <w:sz w:val="24"/>
          <w:szCs w:val="24"/>
        </w:rPr>
        <w:t>Article 114 of the TFEU as it aim</w:t>
      </w:r>
      <w:r w:rsidR="007A3EBA">
        <w:rPr>
          <w:rFonts w:ascii="Times New Roman" w:eastAsia="Times New Roman" w:hAnsi="Times New Roman" w:cs="Times New Roman"/>
          <w:noProof/>
          <w:sz w:val="24"/>
          <w:szCs w:val="24"/>
        </w:rPr>
        <w:t>s</w:t>
      </w:r>
      <w:r w:rsidRPr="002661A8">
        <w:rPr>
          <w:rFonts w:ascii="Times New Roman" w:eastAsia="Times New Roman" w:hAnsi="Times New Roman" w:cs="Times New Roman"/>
          <w:noProof/>
          <w:sz w:val="24"/>
          <w:szCs w:val="24"/>
        </w:rPr>
        <w:t xml:space="preserve"> </w:t>
      </w:r>
      <w:r w:rsidR="003F49FC" w:rsidRPr="002661A8">
        <w:rPr>
          <w:rFonts w:ascii="Times New Roman" w:eastAsia="Times New Roman" w:hAnsi="Times New Roman" w:cs="Times New Roman"/>
          <w:noProof/>
          <w:sz w:val="24"/>
          <w:szCs w:val="24"/>
        </w:rPr>
        <w:t>at</w:t>
      </w:r>
      <w:r w:rsidRPr="002661A8">
        <w:rPr>
          <w:rFonts w:ascii="Times New Roman" w:eastAsia="Times New Roman" w:hAnsi="Times New Roman" w:cs="Times New Roman"/>
          <w:noProof/>
          <w:sz w:val="24"/>
          <w:szCs w:val="24"/>
        </w:rPr>
        <w:t xml:space="preserve"> </w:t>
      </w:r>
      <w:r w:rsidR="003F49FC" w:rsidRPr="002661A8">
        <w:rPr>
          <w:rFonts w:ascii="Times New Roman" w:eastAsia="Times New Roman" w:hAnsi="Times New Roman" w:cs="Times New Roman"/>
          <w:noProof/>
          <w:sz w:val="24"/>
          <w:szCs w:val="24"/>
        </w:rPr>
        <w:t>establishing common rules for OTC derivatives, CCPs and trade repositories to avoid divergent national measures or practices and obstacles to the proper functioning of the internal market while ensuring financial stability</w:t>
      </w:r>
      <w:r w:rsidRPr="002661A8">
        <w:rPr>
          <w:rFonts w:ascii="Times New Roman" w:eastAsia="Times New Roman" w:hAnsi="Times New Roman" w:cs="Times New Roman"/>
          <w:noProof/>
          <w:sz w:val="24"/>
          <w:szCs w:val="24"/>
        </w:rPr>
        <w:t>. Considering that this initiative proposes</w:t>
      </w:r>
      <w:r w:rsidR="003F49FC" w:rsidRPr="002661A8">
        <w:rPr>
          <w:rFonts w:ascii="Times New Roman" w:eastAsia="Times New Roman" w:hAnsi="Times New Roman" w:cs="Times New Roman"/>
          <w:noProof/>
          <w:sz w:val="24"/>
          <w:szCs w:val="24"/>
        </w:rPr>
        <w:t xml:space="preserve"> further</w:t>
      </w:r>
      <w:r w:rsidRPr="002661A8">
        <w:rPr>
          <w:rFonts w:ascii="Times New Roman" w:eastAsia="Times New Roman" w:hAnsi="Times New Roman" w:cs="Times New Roman"/>
          <w:noProof/>
          <w:sz w:val="24"/>
          <w:szCs w:val="24"/>
        </w:rPr>
        <w:t xml:space="preserve"> policy actions to </w:t>
      </w:r>
      <w:r w:rsidR="003F49FC" w:rsidRPr="002661A8">
        <w:rPr>
          <w:rFonts w:ascii="Times New Roman" w:eastAsia="Times New Roman" w:hAnsi="Times New Roman" w:cs="Times New Roman"/>
          <w:noProof/>
          <w:sz w:val="24"/>
          <w:szCs w:val="24"/>
        </w:rPr>
        <w:t>ensure</w:t>
      </w:r>
      <w:r w:rsidRPr="002661A8">
        <w:rPr>
          <w:rFonts w:ascii="Times New Roman" w:eastAsia="Times New Roman" w:hAnsi="Times New Roman" w:cs="Times New Roman"/>
          <w:noProof/>
          <w:sz w:val="24"/>
          <w:szCs w:val="24"/>
        </w:rPr>
        <w:t xml:space="preserve"> the </w:t>
      </w:r>
      <w:r w:rsidR="003F49FC" w:rsidRPr="002661A8">
        <w:rPr>
          <w:rFonts w:ascii="Times New Roman" w:eastAsia="Times New Roman" w:hAnsi="Times New Roman" w:cs="Times New Roman"/>
          <w:noProof/>
          <w:sz w:val="24"/>
          <w:szCs w:val="24"/>
        </w:rPr>
        <w:t>achievement of these objectives, the related legislative proposal</w:t>
      </w:r>
      <w:r w:rsidRPr="002661A8">
        <w:rPr>
          <w:rFonts w:ascii="Times New Roman" w:eastAsia="Times New Roman" w:hAnsi="Times New Roman" w:cs="Times New Roman"/>
          <w:noProof/>
          <w:sz w:val="24"/>
          <w:szCs w:val="24"/>
        </w:rPr>
        <w:t xml:space="preserve"> would be adopted under the same legal basis.</w:t>
      </w:r>
    </w:p>
    <w:p w14:paraId="13966D26" w14:textId="686ADFF1" w:rsidR="006B087E" w:rsidRPr="002661A8" w:rsidRDefault="3FA542DF" w:rsidP="00ED5088">
      <w:pPr>
        <w:pStyle w:val="Heading1"/>
        <w:numPr>
          <w:ilvl w:val="1"/>
          <w:numId w:val="6"/>
        </w:numPr>
        <w:spacing w:before="0" w:after="120"/>
        <w:rPr>
          <w:smallCaps w:val="0"/>
          <w:noProof/>
        </w:rPr>
      </w:pPr>
      <w:bookmarkStart w:id="467" w:name="_Toc103337479"/>
      <w:bookmarkStart w:id="468" w:name="_Toc106981702"/>
      <w:bookmarkStart w:id="469" w:name="_Toc107493842"/>
      <w:bookmarkStart w:id="470" w:name="_Toc107497878"/>
      <w:bookmarkStart w:id="471" w:name="_Toc107503431"/>
      <w:bookmarkStart w:id="472" w:name="_Toc107504579"/>
      <w:bookmarkStart w:id="473" w:name="_Toc107505424"/>
      <w:bookmarkStart w:id="474" w:name="_Toc107838900"/>
      <w:bookmarkStart w:id="475" w:name="_Toc107846995"/>
      <w:bookmarkStart w:id="476" w:name="_Toc107849232"/>
      <w:bookmarkStart w:id="477" w:name="_Toc107853679"/>
      <w:bookmarkStart w:id="478" w:name="_Toc108539802"/>
      <w:bookmarkStart w:id="479" w:name="_Toc108539920"/>
      <w:bookmarkStart w:id="480" w:name="_Toc109057378"/>
      <w:bookmarkStart w:id="481" w:name="_Toc109120744"/>
      <w:bookmarkStart w:id="482" w:name="_Toc109122379"/>
      <w:bookmarkStart w:id="483" w:name="_Toc109133116"/>
      <w:bookmarkStart w:id="484" w:name="_Toc120291650"/>
      <w:bookmarkStart w:id="485" w:name="_Toc104309981"/>
      <w:bookmarkStart w:id="486" w:name="_Toc105656426"/>
      <w:bookmarkStart w:id="487" w:name="_Toc106827826"/>
      <w:r w:rsidRPr="002661A8">
        <w:rPr>
          <w:smallCaps w:val="0"/>
          <w:noProof/>
        </w:rPr>
        <w:t>Subsidiarity: Necessity of EU action</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Pr="002661A8">
        <w:rPr>
          <w:smallCaps w:val="0"/>
          <w:noProof/>
        </w:rPr>
        <w:t xml:space="preserve"> </w:t>
      </w:r>
      <w:bookmarkEnd w:id="485"/>
      <w:bookmarkEnd w:id="486"/>
      <w:bookmarkEnd w:id="487"/>
    </w:p>
    <w:p w14:paraId="0CE608C6" w14:textId="03290FF5" w:rsidR="006B087E" w:rsidRPr="002661A8" w:rsidRDefault="009367D4" w:rsidP="001C437C">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The problems</w:t>
      </w:r>
      <w:r w:rsidR="00E029AD" w:rsidRPr="002661A8">
        <w:rPr>
          <w:rFonts w:ascii="Times New Roman" w:hAnsi="Times New Roman" w:cs="Times New Roman"/>
          <w:noProof/>
          <w:sz w:val="24"/>
          <w:szCs w:val="24"/>
        </w:rPr>
        <w:t xml:space="preserve"> identified (</w:t>
      </w:r>
      <w:hyperlink w:anchor="_What_are_the" w:history="1">
        <w:r w:rsidR="00E029AD" w:rsidRPr="002661A8">
          <w:rPr>
            <w:rStyle w:val="Hyperlink"/>
            <w:rFonts w:ascii="Times New Roman" w:hAnsi="Times New Roman" w:cs="Times New Roman"/>
            <w:noProof/>
            <w:sz w:val="24"/>
            <w:szCs w:val="24"/>
          </w:rPr>
          <w:t>Section 3.1</w:t>
        </w:r>
      </w:hyperlink>
      <w:r w:rsidR="00E029AD" w:rsidRPr="002661A8">
        <w:rPr>
          <w:rFonts w:ascii="Times New Roman" w:hAnsi="Times New Roman" w:cs="Times New Roman"/>
          <w:noProof/>
          <w:sz w:val="24"/>
          <w:szCs w:val="24"/>
        </w:rPr>
        <w:t>)</w:t>
      </w:r>
      <w:r w:rsidRPr="002661A8">
        <w:rPr>
          <w:rFonts w:ascii="Times New Roman" w:hAnsi="Times New Roman" w:cs="Times New Roman"/>
          <w:noProof/>
          <w:sz w:val="24"/>
          <w:szCs w:val="24"/>
        </w:rPr>
        <w:t xml:space="preserve"> cannot be addressed by Member States acting alone and necessitate EU action. </w:t>
      </w:r>
      <w:r w:rsidR="009C7EAD" w:rsidRPr="002661A8">
        <w:rPr>
          <w:rFonts w:ascii="Times New Roman" w:hAnsi="Times New Roman" w:cs="Times New Roman"/>
          <w:noProof/>
          <w:sz w:val="24"/>
          <w:szCs w:val="24"/>
        </w:rPr>
        <w:t xml:space="preserve">The review could amend certain provisions of EMIR, in particular to enhance the attractiveness of EU CCPs by </w:t>
      </w:r>
      <w:r w:rsidR="00C60B6C" w:rsidRPr="002661A8">
        <w:rPr>
          <w:rFonts w:ascii="Times New Roman" w:hAnsi="Times New Roman" w:cs="Times New Roman"/>
          <w:noProof/>
          <w:sz w:val="24"/>
          <w:szCs w:val="24"/>
        </w:rPr>
        <w:t>facilitating their ability to bring new products to market</w:t>
      </w:r>
      <w:r w:rsidR="009C7EAD" w:rsidRPr="002661A8">
        <w:rPr>
          <w:rFonts w:ascii="Times New Roman" w:hAnsi="Times New Roman" w:cs="Times New Roman"/>
          <w:noProof/>
          <w:sz w:val="24"/>
          <w:szCs w:val="24"/>
        </w:rPr>
        <w:t xml:space="preserve"> and reducing compliance costs, strengthening EU</w:t>
      </w:r>
      <w:r w:rsidR="00364B7B" w:rsidRPr="002661A8">
        <w:rPr>
          <w:rFonts w:ascii="Times New Roman" w:hAnsi="Times New Roman" w:cs="Times New Roman"/>
          <w:noProof/>
          <w:sz w:val="24"/>
          <w:szCs w:val="24"/>
        </w:rPr>
        <w:t>-</w:t>
      </w:r>
      <w:r w:rsidR="009C7EAD" w:rsidRPr="002661A8">
        <w:rPr>
          <w:rFonts w:ascii="Times New Roman" w:hAnsi="Times New Roman" w:cs="Times New Roman"/>
          <w:noProof/>
          <w:sz w:val="24"/>
          <w:szCs w:val="24"/>
        </w:rPr>
        <w:t xml:space="preserve">level supervision of EU CCPs and incentivising clearing in the EU. EU action </w:t>
      </w:r>
      <w:r w:rsidR="00364B7B" w:rsidRPr="002661A8">
        <w:rPr>
          <w:rFonts w:ascii="Times New Roman" w:hAnsi="Times New Roman" w:cs="Times New Roman"/>
          <w:noProof/>
          <w:sz w:val="24"/>
          <w:szCs w:val="24"/>
        </w:rPr>
        <w:t>would</w:t>
      </w:r>
      <w:r w:rsidR="009C7EAD" w:rsidRPr="002661A8">
        <w:rPr>
          <w:rFonts w:ascii="Times New Roman" w:hAnsi="Times New Roman" w:cs="Times New Roman"/>
          <w:noProof/>
          <w:sz w:val="24"/>
          <w:szCs w:val="24"/>
        </w:rPr>
        <w:t xml:space="preserve"> therefore </w:t>
      </w:r>
      <w:r w:rsidR="00913682" w:rsidRPr="002661A8">
        <w:rPr>
          <w:rFonts w:ascii="Times New Roman" w:hAnsi="Times New Roman" w:cs="Times New Roman"/>
          <w:noProof/>
          <w:sz w:val="24"/>
          <w:szCs w:val="24"/>
        </w:rPr>
        <w:t>lead to reducing</w:t>
      </w:r>
      <w:r w:rsidR="00364B7B" w:rsidRPr="002661A8">
        <w:rPr>
          <w:rFonts w:ascii="Times New Roman" w:hAnsi="Times New Roman" w:cs="Times New Roman"/>
          <w:noProof/>
          <w:sz w:val="24"/>
          <w:szCs w:val="24"/>
        </w:rPr>
        <w:t xml:space="preserve"> our over-reliance on third-country CCPs </w:t>
      </w:r>
      <w:r w:rsidR="00913682" w:rsidRPr="002661A8">
        <w:rPr>
          <w:rFonts w:ascii="Times New Roman" w:hAnsi="Times New Roman" w:cs="Times New Roman"/>
          <w:noProof/>
          <w:sz w:val="24"/>
          <w:szCs w:val="24"/>
        </w:rPr>
        <w:t>and thus</w:t>
      </w:r>
      <w:r w:rsidR="00364B7B" w:rsidRPr="002661A8">
        <w:rPr>
          <w:rFonts w:ascii="Times New Roman" w:hAnsi="Times New Roman" w:cs="Times New Roman"/>
          <w:noProof/>
          <w:sz w:val="24"/>
          <w:szCs w:val="24"/>
        </w:rPr>
        <w:t xml:space="preserve"> limit the risks to EU financial stability. Efficient and competitive clearing markets contribute to deeper, more liquid markets in the EU </w:t>
      </w:r>
      <w:r w:rsidR="00FD705A" w:rsidRPr="002661A8">
        <w:rPr>
          <w:rFonts w:ascii="Times New Roman" w:hAnsi="Times New Roman" w:cs="Times New Roman"/>
          <w:noProof/>
          <w:sz w:val="24"/>
          <w:szCs w:val="24"/>
        </w:rPr>
        <w:t>and</w:t>
      </w:r>
      <w:r w:rsidR="00364B7B" w:rsidRPr="002661A8">
        <w:rPr>
          <w:rFonts w:ascii="Times New Roman" w:hAnsi="Times New Roman" w:cs="Times New Roman"/>
          <w:noProof/>
          <w:sz w:val="24"/>
          <w:szCs w:val="24"/>
        </w:rPr>
        <w:t xml:space="preserve"> are one of the </w:t>
      </w:r>
      <w:r w:rsidR="009C7EAD" w:rsidRPr="002661A8">
        <w:rPr>
          <w:rFonts w:ascii="Times New Roman" w:hAnsi="Times New Roman" w:cs="Times New Roman"/>
          <w:noProof/>
          <w:sz w:val="24"/>
          <w:szCs w:val="24"/>
        </w:rPr>
        <w:t>foundation stones for the development of</w:t>
      </w:r>
      <w:r w:rsidR="00E029AD" w:rsidRPr="002661A8">
        <w:rPr>
          <w:rFonts w:ascii="Times New Roman" w:hAnsi="Times New Roman" w:cs="Times New Roman"/>
          <w:noProof/>
          <w:sz w:val="24"/>
          <w:szCs w:val="24"/>
        </w:rPr>
        <w:t xml:space="preserve"> the</w:t>
      </w:r>
      <w:r w:rsidR="009C7EAD" w:rsidRPr="002661A8">
        <w:rPr>
          <w:rFonts w:ascii="Times New Roman" w:hAnsi="Times New Roman" w:cs="Times New Roman"/>
          <w:noProof/>
          <w:sz w:val="24"/>
          <w:szCs w:val="24"/>
        </w:rPr>
        <w:t xml:space="preserve"> CMU</w:t>
      </w:r>
      <w:r w:rsidR="00FD705A" w:rsidRPr="002661A8">
        <w:rPr>
          <w:rFonts w:ascii="Times New Roman" w:hAnsi="Times New Roman" w:cs="Times New Roman"/>
          <w:noProof/>
          <w:sz w:val="24"/>
          <w:szCs w:val="24"/>
        </w:rPr>
        <w:t>.</w:t>
      </w:r>
    </w:p>
    <w:p w14:paraId="6FEB4FB8" w14:textId="7211815C" w:rsidR="006B087E" w:rsidRPr="002661A8" w:rsidRDefault="3FA542DF" w:rsidP="00ED5088">
      <w:pPr>
        <w:pStyle w:val="Heading1"/>
        <w:numPr>
          <w:ilvl w:val="1"/>
          <w:numId w:val="6"/>
        </w:numPr>
        <w:spacing w:before="0" w:after="120"/>
        <w:rPr>
          <w:smallCaps w:val="0"/>
          <w:noProof/>
        </w:rPr>
      </w:pPr>
      <w:bookmarkStart w:id="488" w:name="_Toc103337480"/>
      <w:bookmarkStart w:id="489" w:name="_Toc106981703"/>
      <w:bookmarkStart w:id="490" w:name="_Toc107493843"/>
      <w:bookmarkStart w:id="491" w:name="_Toc107497879"/>
      <w:bookmarkStart w:id="492" w:name="_Toc107503432"/>
      <w:bookmarkStart w:id="493" w:name="_Toc107504580"/>
      <w:bookmarkStart w:id="494" w:name="_Toc107505425"/>
      <w:bookmarkStart w:id="495" w:name="_Toc107838901"/>
      <w:bookmarkStart w:id="496" w:name="_Toc107846996"/>
      <w:bookmarkStart w:id="497" w:name="_Toc107849233"/>
      <w:bookmarkStart w:id="498" w:name="_Toc107853680"/>
      <w:bookmarkStart w:id="499" w:name="_Toc108539803"/>
      <w:bookmarkStart w:id="500" w:name="_Toc108539921"/>
      <w:bookmarkStart w:id="501" w:name="_Toc109057379"/>
      <w:bookmarkStart w:id="502" w:name="_Toc109120745"/>
      <w:bookmarkStart w:id="503" w:name="_Toc109122380"/>
      <w:bookmarkStart w:id="504" w:name="_Toc109133117"/>
      <w:bookmarkStart w:id="505" w:name="_Toc120291651"/>
      <w:bookmarkStart w:id="506" w:name="_Toc104309982"/>
      <w:bookmarkStart w:id="507" w:name="_Toc105656427"/>
      <w:bookmarkStart w:id="508" w:name="_Toc106827827"/>
      <w:r w:rsidRPr="002661A8">
        <w:rPr>
          <w:smallCaps w:val="0"/>
          <w:noProof/>
        </w:rPr>
        <w:t>Subsidiarity: Added value of EU action</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r w:rsidRPr="002661A8">
        <w:rPr>
          <w:smallCaps w:val="0"/>
          <w:noProof/>
        </w:rPr>
        <w:t xml:space="preserve"> </w:t>
      </w:r>
      <w:bookmarkEnd w:id="506"/>
      <w:bookmarkEnd w:id="507"/>
      <w:bookmarkEnd w:id="508"/>
    </w:p>
    <w:p w14:paraId="315E4419" w14:textId="50D84B00" w:rsidR="006B087E" w:rsidRPr="002661A8" w:rsidRDefault="00B047FD" w:rsidP="001C437C">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Member States and national supervisors cannot </w:t>
      </w:r>
      <w:r w:rsidR="00887302" w:rsidRPr="002661A8">
        <w:rPr>
          <w:rFonts w:ascii="Times New Roman" w:hAnsi="Times New Roman" w:cs="Times New Roman"/>
          <w:noProof/>
          <w:sz w:val="24"/>
          <w:szCs w:val="24"/>
        </w:rPr>
        <w:t xml:space="preserve">solve </w:t>
      </w:r>
      <w:r w:rsidR="00907ED0" w:rsidRPr="002661A8">
        <w:rPr>
          <w:rFonts w:ascii="Times New Roman" w:hAnsi="Times New Roman" w:cs="Times New Roman"/>
          <w:noProof/>
          <w:sz w:val="24"/>
          <w:szCs w:val="24"/>
        </w:rPr>
        <w:t xml:space="preserve">on their own </w:t>
      </w:r>
      <w:r w:rsidRPr="002661A8">
        <w:rPr>
          <w:rFonts w:ascii="Times New Roman" w:hAnsi="Times New Roman" w:cs="Times New Roman"/>
          <w:noProof/>
          <w:sz w:val="24"/>
          <w:szCs w:val="24"/>
        </w:rPr>
        <w:t xml:space="preserve">the systemic risks </w:t>
      </w:r>
      <w:r w:rsidR="00907ED0" w:rsidRPr="002661A8">
        <w:rPr>
          <w:rFonts w:ascii="Times New Roman" w:hAnsi="Times New Roman" w:cs="Times New Roman"/>
          <w:noProof/>
          <w:sz w:val="24"/>
          <w:szCs w:val="24"/>
        </w:rPr>
        <w:t>of</w:t>
      </w:r>
      <w:r w:rsidRPr="002661A8">
        <w:rPr>
          <w:rFonts w:ascii="Times New Roman" w:hAnsi="Times New Roman" w:cs="Times New Roman"/>
          <w:noProof/>
          <w:sz w:val="24"/>
          <w:szCs w:val="24"/>
        </w:rPr>
        <w:t xml:space="preserve"> highly int</w:t>
      </w:r>
      <w:r w:rsidR="00887302" w:rsidRPr="002661A8">
        <w:rPr>
          <w:rFonts w:ascii="Times New Roman" w:hAnsi="Times New Roman" w:cs="Times New Roman"/>
          <w:noProof/>
          <w:sz w:val="24"/>
          <w:szCs w:val="24"/>
        </w:rPr>
        <w:t>egrated and interconnected CCPs</w:t>
      </w:r>
      <w:r w:rsidRPr="002661A8">
        <w:rPr>
          <w:rFonts w:ascii="Times New Roman" w:hAnsi="Times New Roman" w:cs="Times New Roman"/>
          <w:noProof/>
          <w:sz w:val="24"/>
          <w:szCs w:val="24"/>
        </w:rPr>
        <w:t xml:space="preserve"> </w:t>
      </w:r>
      <w:r w:rsidR="00887302" w:rsidRPr="002661A8">
        <w:rPr>
          <w:rFonts w:ascii="Times New Roman" w:hAnsi="Times New Roman" w:cs="Times New Roman"/>
          <w:noProof/>
          <w:sz w:val="24"/>
          <w:szCs w:val="24"/>
        </w:rPr>
        <w:t>that</w:t>
      </w:r>
      <w:r w:rsidRPr="002661A8">
        <w:rPr>
          <w:rFonts w:ascii="Times New Roman" w:hAnsi="Times New Roman" w:cs="Times New Roman"/>
          <w:noProof/>
          <w:sz w:val="24"/>
          <w:szCs w:val="24"/>
        </w:rPr>
        <w:t xml:space="preserve"> operate on a cross-border basis beyond the scope of national jurisdictions</w:t>
      </w:r>
      <w:r w:rsidR="00887302" w:rsidRPr="002661A8">
        <w:rPr>
          <w:rFonts w:ascii="Times New Roman" w:hAnsi="Times New Roman" w:cs="Times New Roman"/>
          <w:noProof/>
          <w:sz w:val="24"/>
          <w:szCs w:val="24"/>
        </w:rPr>
        <w:t xml:space="preserve"> or mitigate risks arising from diverging national supervisory practices</w:t>
      </w:r>
      <w:r w:rsidRPr="002661A8">
        <w:rPr>
          <w:rFonts w:ascii="Times New Roman" w:hAnsi="Times New Roman" w:cs="Times New Roman"/>
          <w:noProof/>
          <w:sz w:val="24"/>
          <w:szCs w:val="24"/>
        </w:rPr>
        <w:t xml:space="preserve">. Member States cannot </w:t>
      </w:r>
      <w:r w:rsidR="00887302" w:rsidRPr="002661A8">
        <w:rPr>
          <w:rFonts w:ascii="Times New Roman" w:hAnsi="Times New Roman" w:cs="Times New Roman"/>
          <w:noProof/>
          <w:sz w:val="24"/>
          <w:szCs w:val="24"/>
        </w:rPr>
        <w:t>on their own enhance the attractiveness of EU CCPs</w:t>
      </w:r>
      <w:r w:rsidR="00226A52" w:rsidRPr="002661A8">
        <w:rPr>
          <w:rFonts w:ascii="Times New Roman" w:hAnsi="Times New Roman" w:cs="Times New Roman"/>
          <w:noProof/>
          <w:sz w:val="24"/>
          <w:szCs w:val="24"/>
        </w:rPr>
        <w:t>,</w:t>
      </w:r>
      <w:r w:rsidR="00887302" w:rsidRPr="002661A8">
        <w:rPr>
          <w:rFonts w:ascii="Times New Roman" w:hAnsi="Times New Roman" w:cs="Times New Roman"/>
          <w:noProof/>
          <w:sz w:val="24"/>
          <w:szCs w:val="24"/>
        </w:rPr>
        <w:t xml:space="preserve"> incentivise clearing in the EU</w:t>
      </w:r>
      <w:r w:rsidR="00226A52" w:rsidRPr="002661A8">
        <w:rPr>
          <w:rFonts w:ascii="Times New Roman" w:hAnsi="Times New Roman" w:cs="Times New Roman"/>
          <w:noProof/>
          <w:sz w:val="24"/>
          <w:szCs w:val="24"/>
        </w:rPr>
        <w:t xml:space="preserve"> and address the inefficiencies </w:t>
      </w:r>
      <w:r w:rsidR="007A7FBB" w:rsidRPr="002661A8">
        <w:rPr>
          <w:rFonts w:ascii="Times New Roman" w:hAnsi="Times New Roman" w:cs="Times New Roman"/>
          <w:noProof/>
          <w:sz w:val="24"/>
          <w:szCs w:val="24"/>
        </w:rPr>
        <w:t>of</w:t>
      </w:r>
      <w:r w:rsidR="00226A52" w:rsidRPr="002661A8">
        <w:rPr>
          <w:rFonts w:ascii="Times New Roman" w:hAnsi="Times New Roman" w:cs="Times New Roman"/>
          <w:noProof/>
          <w:sz w:val="24"/>
          <w:szCs w:val="24"/>
        </w:rPr>
        <w:t xml:space="preserve"> the</w:t>
      </w:r>
      <w:r w:rsidR="007A7FBB" w:rsidRPr="002661A8">
        <w:rPr>
          <w:rFonts w:ascii="Times New Roman" w:hAnsi="Times New Roman" w:cs="Times New Roman"/>
          <w:noProof/>
          <w:sz w:val="24"/>
          <w:szCs w:val="24"/>
        </w:rPr>
        <w:t xml:space="preserve"> framework for the</w:t>
      </w:r>
      <w:r w:rsidR="00226A52" w:rsidRPr="002661A8">
        <w:rPr>
          <w:rFonts w:ascii="Times New Roman" w:hAnsi="Times New Roman" w:cs="Times New Roman"/>
          <w:noProof/>
          <w:sz w:val="24"/>
          <w:szCs w:val="24"/>
        </w:rPr>
        <w:t xml:space="preserve"> cooperation of national supervisors and EU authorities</w:t>
      </w:r>
      <w:r w:rsidR="00887302" w:rsidRPr="002661A8">
        <w:rPr>
          <w:rFonts w:ascii="Times New Roman" w:hAnsi="Times New Roman" w:cs="Times New Roman"/>
          <w:noProof/>
          <w:sz w:val="24"/>
          <w:szCs w:val="24"/>
        </w:rPr>
        <w:t>.</w:t>
      </w:r>
      <w:r w:rsidRPr="002661A8">
        <w:rPr>
          <w:rFonts w:ascii="Times New Roman" w:hAnsi="Times New Roman" w:cs="Times New Roman"/>
          <w:noProof/>
          <w:sz w:val="24"/>
          <w:szCs w:val="24"/>
        </w:rPr>
        <w:t xml:space="preserve"> As such, </w:t>
      </w:r>
      <w:r w:rsidR="005176B8" w:rsidRPr="002661A8">
        <w:rPr>
          <w:rFonts w:ascii="Times New Roman" w:hAnsi="Times New Roman" w:cs="Times New Roman"/>
          <w:noProof/>
          <w:sz w:val="24"/>
          <w:szCs w:val="24"/>
        </w:rPr>
        <w:t>EMIR aims</w:t>
      </w:r>
      <w:r w:rsidRPr="002661A8">
        <w:rPr>
          <w:rFonts w:ascii="Times New Roman" w:hAnsi="Times New Roman" w:cs="Times New Roman"/>
          <w:noProof/>
          <w:sz w:val="24"/>
          <w:szCs w:val="24"/>
        </w:rPr>
        <w:t xml:space="preserve"> to increase the safety and efficiency of CCPs </w:t>
      </w:r>
      <w:r w:rsidR="0049704E" w:rsidRPr="002661A8">
        <w:rPr>
          <w:rFonts w:ascii="Times New Roman" w:hAnsi="Times New Roman" w:cs="Times New Roman"/>
          <w:noProof/>
          <w:sz w:val="24"/>
          <w:szCs w:val="24"/>
        </w:rPr>
        <w:t xml:space="preserve">in the single market </w:t>
      </w:r>
      <w:r w:rsidR="00887302" w:rsidRPr="002661A8">
        <w:rPr>
          <w:rFonts w:ascii="Times New Roman" w:hAnsi="Times New Roman" w:cs="Times New Roman"/>
          <w:noProof/>
          <w:sz w:val="24"/>
          <w:szCs w:val="24"/>
        </w:rPr>
        <w:t>while ensuring financial stability</w:t>
      </w:r>
      <w:r w:rsidRPr="002661A8">
        <w:rPr>
          <w:rFonts w:ascii="Times New Roman" w:hAnsi="Times New Roman" w:cs="Times New Roman"/>
          <w:noProof/>
          <w:sz w:val="24"/>
          <w:szCs w:val="24"/>
        </w:rPr>
        <w:t xml:space="preserve"> </w:t>
      </w:r>
      <w:r w:rsidR="001E6F30">
        <w:rPr>
          <w:rFonts w:ascii="Times New Roman" w:hAnsi="Times New Roman" w:cs="Times New Roman"/>
          <w:noProof/>
          <w:sz w:val="24"/>
          <w:szCs w:val="24"/>
        </w:rPr>
        <w:t xml:space="preserve">and this </w:t>
      </w:r>
      <w:r w:rsidRPr="002661A8">
        <w:rPr>
          <w:rFonts w:ascii="Times New Roman" w:hAnsi="Times New Roman" w:cs="Times New Roman"/>
          <w:noProof/>
          <w:sz w:val="24"/>
          <w:szCs w:val="24"/>
        </w:rPr>
        <w:t>cannot be sufficiently achieved by Member States</w:t>
      </w:r>
      <w:r w:rsidR="00887302" w:rsidRPr="002661A8">
        <w:rPr>
          <w:rFonts w:ascii="Times New Roman" w:hAnsi="Times New Roman" w:cs="Times New Roman"/>
          <w:noProof/>
          <w:sz w:val="24"/>
          <w:szCs w:val="24"/>
        </w:rPr>
        <w:t>, as the co-legislators acknowledged in 2012 when adopting EMIR</w:t>
      </w:r>
      <w:r w:rsidR="00907ED0" w:rsidRPr="002661A8">
        <w:rPr>
          <w:rFonts w:ascii="Times New Roman" w:hAnsi="Times New Roman" w:cs="Times New Roman"/>
          <w:noProof/>
          <w:sz w:val="24"/>
          <w:szCs w:val="24"/>
        </w:rPr>
        <w:t xml:space="preserve"> (</w:t>
      </w:r>
      <w:r w:rsidR="00DF184E" w:rsidRPr="002661A8">
        <w:rPr>
          <w:rFonts w:ascii="Times New Roman" w:hAnsi="Times New Roman" w:cs="Times New Roman"/>
          <w:noProof/>
          <w:sz w:val="24"/>
          <w:szCs w:val="24"/>
        </w:rPr>
        <w:t>and</w:t>
      </w:r>
      <w:r w:rsidR="00887302" w:rsidRPr="002661A8">
        <w:rPr>
          <w:rFonts w:ascii="Times New Roman" w:hAnsi="Times New Roman" w:cs="Times New Roman"/>
          <w:noProof/>
          <w:sz w:val="24"/>
          <w:szCs w:val="24"/>
        </w:rPr>
        <w:t xml:space="preserve"> in 2019 when adopting EMIR REFIT and EMIR 2.2</w:t>
      </w:r>
      <w:r w:rsidR="00907ED0" w:rsidRPr="002661A8">
        <w:rPr>
          <w:rFonts w:ascii="Times New Roman" w:hAnsi="Times New Roman" w:cs="Times New Roman"/>
          <w:noProof/>
          <w:sz w:val="24"/>
          <w:szCs w:val="24"/>
        </w:rPr>
        <w:t>)</w:t>
      </w:r>
      <w:r w:rsidR="00887302" w:rsidRPr="002661A8">
        <w:rPr>
          <w:rFonts w:ascii="Times New Roman" w:hAnsi="Times New Roman" w:cs="Times New Roman"/>
          <w:noProof/>
          <w:sz w:val="24"/>
          <w:szCs w:val="24"/>
        </w:rPr>
        <w:t>.</w:t>
      </w:r>
      <w:r w:rsidRPr="002661A8">
        <w:rPr>
          <w:rFonts w:ascii="Times New Roman" w:hAnsi="Times New Roman" w:cs="Times New Roman"/>
          <w:noProof/>
          <w:sz w:val="24"/>
          <w:szCs w:val="24"/>
        </w:rPr>
        <w:t xml:space="preserve"> </w:t>
      </w:r>
      <w:r w:rsidR="0049704E" w:rsidRPr="002661A8">
        <w:rPr>
          <w:rFonts w:ascii="Times New Roman" w:hAnsi="Times New Roman" w:cs="Times New Roman"/>
          <w:noProof/>
          <w:sz w:val="24"/>
          <w:szCs w:val="24"/>
        </w:rPr>
        <w:t>Therefore,</w:t>
      </w:r>
      <w:r w:rsidR="00887302" w:rsidRPr="002661A8">
        <w:rPr>
          <w:rFonts w:ascii="Times New Roman" w:hAnsi="Times New Roman" w:cs="Times New Roman"/>
          <w:noProof/>
          <w:sz w:val="24"/>
          <w:szCs w:val="24"/>
        </w:rPr>
        <w:t xml:space="preserve"> by reason of the scale of actions, </w:t>
      </w:r>
      <w:r w:rsidR="0049704E" w:rsidRPr="002661A8">
        <w:rPr>
          <w:rFonts w:ascii="Times New Roman" w:hAnsi="Times New Roman" w:cs="Times New Roman"/>
          <w:noProof/>
          <w:sz w:val="24"/>
          <w:szCs w:val="24"/>
        </w:rPr>
        <w:t xml:space="preserve">these objectives can </w:t>
      </w:r>
      <w:r w:rsidR="00887302" w:rsidRPr="002661A8">
        <w:rPr>
          <w:rFonts w:ascii="Times New Roman" w:hAnsi="Times New Roman" w:cs="Times New Roman"/>
          <w:noProof/>
          <w:sz w:val="24"/>
          <w:szCs w:val="24"/>
        </w:rPr>
        <w:t>be better achieved at EU level in accordance with the principle of subsidiarity as set out in Article 5 of the TEU</w:t>
      </w:r>
      <w:r w:rsidR="0049704E" w:rsidRPr="002661A8">
        <w:rPr>
          <w:rFonts w:ascii="Times New Roman" w:hAnsi="Times New Roman" w:cs="Times New Roman"/>
          <w:noProof/>
          <w:sz w:val="24"/>
          <w:szCs w:val="24"/>
        </w:rPr>
        <w:t>.</w:t>
      </w:r>
      <w:r w:rsidR="00887302" w:rsidRPr="002661A8">
        <w:rPr>
          <w:rFonts w:ascii="Times New Roman" w:hAnsi="Times New Roman" w:cs="Times New Roman"/>
          <w:noProof/>
          <w:sz w:val="24"/>
          <w:szCs w:val="24"/>
        </w:rPr>
        <w:t xml:space="preserve"> </w:t>
      </w:r>
    </w:p>
    <w:p w14:paraId="74AE82D4" w14:textId="1455A005" w:rsidR="001C437C" w:rsidRPr="002661A8" w:rsidRDefault="3FA542DF" w:rsidP="00ED5088">
      <w:pPr>
        <w:pStyle w:val="Heading1"/>
        <w:numPr>
          <w:ilvl w:val="0"/>
          <w:numId w:val="6"/>
        </w:numPr>
        <w:spacing w:before="0" w:after="120"/>
        <w:rPr>
          <w:noProof/>
        </w:rPr>
      </w:pPr>
      <w:bookmarkStart w:id="509" w:name="_Toc103337481"/>
      <w:bookmarkStart w:id="510" w:name="_Toc104309983"/>
      <w:bookmarkStart w:id="511" w:name="_Toc105656428"/>
      <w:bookmarkStart w:id="512" w:name="_Toc106827828"/>
      <w:bookmarkStart w:id="513" w:name="_Toc106981704"/>
      <w:bookmarkStart w:id="514" w:name="_Toc107493844"/>
      <w:bookmarkStart w:id="515" w:name="_Toc107497880"/>
      <w:bookmarkStart w:id="516" w:name="_Toc107503433"/>
      <w:bookmarkStart w:id="517" w:name="_Toc107504581"/>
      <w:bookmarkStart w:id="518" w:name="_Toc107505426"/>
      <w:bookmarkStart w:id="519" w:name="_Toc107838902"/>
      <w:bookmarkStart w:id="520" w:name="_Toc107846997"/>
      <w:bookmarkStart w:id="521" w:name="_Toc107849234"/>
      <w:bookmarkStart w:id="522" w:name="_Toc107853681"/>
      <w:bookmarkStart w:id="523" w:name="_Toc108539804"/>
      <w:bookmarkStart w:id="524" w:name="_Toc108539922"/>
      <w:bookmarkStart w:id="525" w:name="_Toc109057380"/>
      <w:bookmarkStart w:id="526" w:name="_Toc109120746"/>
      <w:bookmarkStart w:id="527" w:name="_Toc109122381"/>
      <w:bookmarkStart w:id="528" w:name="_Toc109133118"/>
      <w:bookmarkStart w:id="529" w:name="_Toc120291652"/>
      <w:r w:rsidRPr="002661A8">
        <w:rPr>
          <w:noProof/>
        </w:rPr>
        <w:t>Objectives: What is to be achieved?</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58283E74" w14:textId="308C55AE" w:rsidR="006B087E" w:rsidRPr="002661A8" w:rsidRDefault="3FA542DF" w:rsidP="00ED5088">
      <w:pPr>
        <w:pStyle w:val="Heading1"/>
        <w:numPr>
          <w:ilvl w:val="1"/>
          <w:numId w:val="6"/>
        </w:numPr>
        <w:spacing w:before="0" w:after="120"/>
        <w:rPr>
          <w:smallCaps w:val="0"/>
          <w:noProof/>
        </w:rPr>
      </w:pPr>
      <w:bookmarkStart w:id="530" w:name="_Toc103337482"/>
      <w:bookmarkStart w:id="531" w:name="_Toc104309984"/>
      <w:bookmarkStart w:id="532" w:name="_Toc105656429"/>
      <w:bookmarkStart w:id="533" w:name="_Toc106827829"/>
      <w:bookmarkStart w:id="534" w:name="_Toc106981705"/>
      <w:bookmarkStart w:id="535" w:name="_Toc107493845"/>
      <w:bookmarkStart w:id="536" w:name="_Toc107497881"/>
      <w:bookmarkStart w:id="537" w:name="_Toc107503434"/>
      <w:bookmarkStart w:id="538" w:name="_Toc107504582"/>
      <w:bookmarkStart w:id="539" w:name="_Toc107505427"/>
      <w:bookmarkStart w:id="540" w:name="_Toc107838903"/>
      <w:bookmarkStart w:id="541" w:name="_Toc107846998"/>
      <w:bookmarkStart w:id="542" w:name="_Toc107849235"/>
      <w:bookmarkStart w:id="543" w:name="_Toc107853682"/>
      <w:bookmarkStart w:id="544" w:name="_Toc108539805"/>
      <w:bookmarkStart w:id="545" w:name="_Toc108539923"/>
      <w:bookmarkStart w:id="546" w:name="_Toc109057381"/>
      <w:bookmarkStart w:id="547" w:name="_Toc109120747"/>
      <w:bookmarkStart w:id="548" w:name="_Toc109122382"/>
      <w:bookmarkStart w:id="549" w:name="_Toc109133119"/>
      <w:bookmarkStart w:id="550" w:name="_Toc120291653"/>
      <w:r w:rsidRPr="002661A8">
        <w:rPr>
          <w:smallCaps w:val="0"/>
          <w:noProof/>
        </w:rPr>
        <w:t>General objectives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7DA2A180" w14:textId="6AC428F9" w:rsidR="00D211FB" w:rsidRDefault="00D211FB" w:rsidP="00753EB0">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The general objective of EMIR </w:t>
      </w:r>
      <w:r w:rsidR="00862D12" w:rsidRPr="002661A8">
        <w:rPr>
          <w:rFonts w:ascii="Times New Roman" w:hAnsi="Times New Roman" w:cs="Times New Roman"/>
          <w:noProof/>
          <w:sz w:val="24"/>
          <w:szCs w:val="24"/>
        </w:rPr>
        <w:t>is</w:t>
      </w:r>
      <w:r w:rsidRPr="002661A8">
        <w:rPr>
          <w:rFonts w:ascii="Times New Roman" w:hAnsi="Times New Roman" w:cs="Times New Roman"/>
          <w:noProof/>
          <w:sz w:val="24"/>
          <w:szCs w:val="24"/>
        </w:rPr>
        <w:t xml:space="preserve"> to reduce systemic risk by increasing the safety and efficiency of the OTC derivatives market</w:t>
      </w:r>
      <w:r w:rsidR="002A52CF">
        <w:rPr>
          <w:rFonts w:ascii="Times New Roman" w:hAnsi="Times New Roman" w:cs="Times New Roman"/>
          <w:noProof/>
          <w:sz w:val="24"/>
          <w:szCs w:val="24"/>
        </w:rPr>
        <w:t xml:space="preserve"> within the </w:t>
      </w:r>
      <w:r w:rsidR="00F92C2B">
        <w:rPr>
          <w:rFonts w:ascii="Times New Roman" w:hAnsi="Times New Roman" w:cs="Times New Roman"/>
          <w:noProof/>
          <w:sz w:val="24"/>
          <w:szCs w:val="24"/>
        </w:rPr>
        <w:t>EU</w:t>
      </w:r>
      <w:r w:rsidR="002A52CF">
        <w:rPr>
          <w:rFonts w:ascii="Times New Roman" w:hAnsi="Times New Roman" w:cs="Times New Roman"/>
          <w:noProof/>
          <w:sz w:val="24"/>
          <w:szCs w:val="24"/>
        </w:rPr>
        <w:t xml:space="preserve"> and globally</w:t>
      </w:r>
      <w:r w:rsidRPr="002661A8">
        <w:rPr>
          <w:rFonts w:ascii="Times New Roman" w:hAnsi="Times New Roman" w:cs="Times New Roman"/>
          <w:noProof/>
          <w:sz w:val="24"/>
          <w:szCs w:val="24"/>
        </w:rPr>
        <w:t xml:space="preserve">. The general objective of this initiative is </w:t>
      </w:r>
      <w:r w:rsidR="00800A3A">
        <w:rPr>
          <w:rFonts w:ascii="Times New Roman" w:hAnsi="Times New Roman" w:cs="Times New Roman"/>
          <w:noProof/>
          <w:sz w:val="24"/>
          <w:szCs w:val="24"/>
        </w:rPr>
        <w:t xml:space="preserve">therefore </w:t>
      </w:r>
      <w:r w:rsidRPr="002661A8">
        <w:rPr>
          <w:rFonts w:ascii="Times New Roman" w:hAnsi="Times New Roman" w:cs="Times New Roman"/>
          <w:noProof/>
          <w:sz w:val="24"/>
          <w:szCs w:val="24"/>
        </w:rPr>
        <w:t>to reduce th</w:t>
      </w:r>
      <w:r w:rsidR="00950931" w:rsidRPr="002661A8">
        <w:rPr>
          <w:rFonts w:ascii="Times New Roman" w:hAnsi="Times New Roman" w:cs="Times New Roman"/>
          <w:noProof/>
          <w:sz w:val="24"/>
          <w:szCs w:val="24"/>
        </w:rPr>
        <w:t>e</w:t>
      </w:r>
      <w:r w:rsidRPr="002661A8">
        <w:rPr>
          <w:rFonts w:ascii="Times New Roman" w:hAnsi="Times New Roman" w:cs="Times New Roman"/>
          <w:noProof/>
          <w:sz w:val="24"/>
          <w:szCs w:val="24"/>
        </w:rPr>
        <w:t xml:space="preserve"> over</w:t>
      </w:r>
      <w:r w:rsidR="00183E10" w:rsidRPr="002661A8">
        <w:rPr>
          <w:rFonts w:ascii="Times New Roman" w:hAnsi="Times New Roman" w:cs="Times New Roman"/>
          <w:noProof/>
          <w:sz w:val="24"/>
          <w:szCs w:val="24"/>
        </w:rPr>
        <w:t>-</w:t>
      </w:r>
      <w:r w:rsidRPr="002661A8">
        <w:rPr>
          <w:rFonts w:ascii="Times New Roman" w:hAnsi="Times New Roman" w:cs="Times New Roman"/>
          <w:noProof/>
          <w:sz w:val="24"/>
          <w:szCs w:val="24"/>
        </w:rPr>
        <w:t xml:space="preserve">reliance </w:t>
      </w:r>
      <w:r w:rsidR="00BE7C6B" w:rsidRPr="002661A8">
        <w:rPr>
          <w:rFonts w:ascii="Times New Roman" w:hAnsi="Times New Roman" w:cs="Times New Roman"/>
          <w:noProof/>
          <w:sz w:val="24"/>
          <w:szCs w:val="24"/>
        </w:rPr>
        <w:t xml:space="preserve">on </w:t>
      </w:r>
      <w:r w:rsidR="004D4129" w:rsidRPr="002661A8">
        <w:rPr>
          <w:rFonts w:ascii="Times New Roman" w:hAnsi="Times New Roman" w:cs="Times New Roman"/>
          <w:noProof/>
          <w:sz w:val="24"/>
          <w:szCs w:val="24"/>
        </w:rPr>
        <w:t>Tier 2</w:t>
      </w:r>
      <w:r w:rsidR="00BE7C6B" w:rsidRPr="002661A8">
        <w:rPr>
          <w:rFonts w:ascii="Times New Roman" w:hAnsi="Times New Roman" w:cs="Times New Roman"/>
          <w:noProof/>
          <w:sz w:val="24"/>
          <w:szCs w:val="24"/>
        </w:rPr>
        <w:t xml:space="preserve"> CCP</w:t>
      </w:r>
      <w:r w:rsidR="00183E10" w:rsidRPr="002661A8">
        <w:rPr>
          <w:rFonts w:ascii="Times New Roman" w:hAnsi="Times New Roman" w:cs="Times New Roman"/>
          <w:noProof/>
          <w:sz w:val="24"/>
          <w:szCs w:val="24"/>
        </w:rPr>
        <w:t>s</w:t>
      </w:r>
      <w:r w:rsidR="00A645C5" w:rsidRPr="002661A8">
        <w:rPr>
          <w:rFonts w:ascii="Times New Roman" w:hAnsi="Times New Roman" w:cs="Times New Roman"/>
          <w:noProof/>
          <w:sz w:val="24"/>
          <w:szCs w:val="24"/>
        </w:rPr>
        <w:t xml:space="preserve"> </w:t>
      </w:r>
      <w:r w:rsidR="00181D22" w:rsidRPr="002661A8">
        <w:rPr>
          <w:rFonts w:ascii="Times New Roman" w:hAnsi="Times New Roman" w:cs="Times New Roman"/>
          <w:noProof/>
          <w:sz w:val="24"/>
          <w:szCs w:val="24"/>
        </w:rPr>
        <w:t xml:space="preserve">to </w:t>
      </w:r>
      <w:r w:rsidR="001A2B85" w:rsidRPr="002661A8">
        <w:rPr>
          <w:rFonts w:ascii="Times New Roman" w:hAnsi="Times New Roman" w:cs="Times New Roman"/>
          <w:noProof/>
          <w:sz w:val="24"/>
          <w:szCs w:val="24"/>
        </w:rPr>
        <w:t>address the</w:t>
      </w:r>
      <w:r w:rsidR="00863646">
        <w:rPr>
          <w:rFonts w:ascii="Times New Roman" w:hAnsi="Times New Roman" w:cs="Times New Roman"/>
          <w:noProof/>
          <w:sz w:val="24"/>
          <w:szCs w:val="24"/>
        </w:rPr>
        <w:t xml:space="preserve"> potential</w:t>
      </w:r>
      <w:r w:rsidR="001A2B85" w:rsidRPr="002661A8">
        <w:rPr>
          <w:rFonts w:ascii="Times New Roman" w:hAnsi="Times New Roman" w:cs="Times New Roman"/>
          <w:noProof/>
          <w:sz w:val="24"/>
          <w:szCs w:val="24"/>
        </w:rPr>
        <w:t xml:space="preserve"> risks </w:t>
      </w:r>
      <w:r w:rsidR="002223EF" w:rsidRPr="002661A8">
        <w:rPr>
          <w:rFonts w:ascii="Times New Roman" w:hAnsi="Times New Roman" w:cs="Times New Roman"/>
          <w:noProof/>
          <w:sz w:val="24"/>
          <w:szCs w:val="24"/>
        </w:rPr>
        <w:t>to the EU financial stability</w:t>
      </w:r>
      <w:r w:rsidR="001D3E81" w:rsidRPr="002661A8">
        <w:rPr>
          <w:rFonts w:ascii="Times New Roman" w:hAnsi="Times New Roman" w:cs="Times New Roman"/>
          <w:noProof/>
          <w:sz w:val="24"/>
          <w:szCs w:val="24"/>
        </w:rPr>
        <w:t>, as</w:t>
      </w:r>
      <w:r w:rsidR="001A2B85" w:rsidRPr="002661A8">
        <w:rPr>
          <w:rFonts w:ascii="Times New Roman" w:hAnsi="Times New Roman" w:cs="Times New Roman"/>
          <w:noProof/>
          <w:sz w:val="24"/>
          <w:szCs w:val="24"/>
        </w:rPr>
        <w:t xml:space="preserve"> highlighted in ESMA’s 2021 report on UK CCPs (see </w:t>
      </w:r>
      <w:hyperlink w:anchor="_Risks_to_EU" w:history="1">
        <w:r w:rsidR="001A2B85" w:rsidRPr="002661A8">
          <w:rPr>
            <w:rStyle w:val="Hyperlink"/>
            <w:rFonts w:ascii="Times New Roman" w:hAnsi="Times New Roman" w:cs="Times New Roman"/>
            <w:noProof/>
            <w:sz w:val="24"/>
            <w:szCs w:val="24"/>
          </w:rPr>
          <w:t>Section 3.3.2</w:t>
        </w:r>
      </w:hyperlink>
      <w:r w:rsidR="001A2B85" w:rsidRPr="002661A8">
        <w:rPr>
          <w:rFonts w:ascii="Times New Roman" w:hAnsi="Times New Roman" w:cs="Times New Roman"/>
          <w:noProof/>
          <w:sz w:val="24"/>
          <w:szCs w:val="24"/>
        </w:rPr>
        <w:t>)</w:t>
      </w:r>
      <w:r w:rsidR="002223EF" w:rsidRPr="002661A8">
        <w:rPr>
          <w:rFonts w:ascii="Times New Roman" w:hAnsi="Times New Roman" w:cs="Times New Roman"/>
          <w:noProof/>
          <w:sz w:val="24"/>
          <w:szCs w:val="24"/>
        </w:rPr>
        <w:t>.</w:t>
      </w:r>
      <w:r w:rsidR="001A2B85" w:rsidRPr="002661A8" w:rsidDel="002223EF">
        <w:rPr>
          <w:rFonts w:ascii="Times New Roman" w:hAnsi="Times New Roman" w:cs="Times New Roman"/>
          <w:noProof/>
          <w:sz w:val="24"/>
          <w:szCs w:val="24"/>
        </w:rPr>
        <w:t xml:space="preserve"> </w:t>
      </w:r>
      <w:r w:rsidR="00960DA1" w:rsidRPr="002661A8">
        <w:rPr>
          <w:rFonts w:ascii="Times New Roman" w:hAnsi="Times New Roman" w:cs="Times New Roman"/>
          <w:noProof/>
          <w:sz w:val="24"/>
          <w:szCs w:val="24"/>
        </w:rPr>
        <w:t xml:space="preserve">The policy options should </w:t>
      </w:r>
      <w:r w:rsidR="002E05E4" w:rsidRPr="002661A8">
        <w:rPr>
          <w:rFonts w:ascii="Times New Roman" w:hAnsi="Times New Roman" w:cs="Times New Roman"/>
          <w:noProof/>
          <w:sz w:val="24"/>
          <w:szCs w:val="24"/>
        </w:rPr>
        <w:t>provide incentives for</w:t>
      </w:r>
      <w:r w:rsidR="00960DA1" w:rsidRPr="002661A8">
        <w:rPr>
          <w:rFonts w:ascii="Times New Roman" w:hAnsi="Times New Roman" w:cs="Times New Roman"/>
          <w:noProof/>
          <w:sz w:val="24"/>
          <w:szCs w:val="24"/>
        </w:rPr>
        <w:t xml:space="preserve"> market participants to </w:t>
      </w:r>
      <w:r w:rsidR="002E05E4" w:rsidRPr="002661A8">
        <w:rPr>
          <w:rFonts w:ascii="Times New Roman" w:hAnsi="Times New Roman" w:cs="Times New Roman"/>
          <w:noProof/>
          <w:sz w:val="24"/>
          <w:szCs w:val="24"/>
        </w:rPr>
        <w:t xml:space="preserve">clear in </w:t>
      </w:r>
      <w:r w:rsidR="00960DA1" w:rsidRPr="002661A8">
        <w:rPr>
          <w:rFonts w:ascii="Times New Roman" w:hAnsi="Times New Roman" w:cs="Times New Roman"/>
          <w:noProof/>
          <w:sz w:val="24"/>
          <w:szCs w:val="24"/>
        </w:rPr>
        <w:t xml:space="preserve">EU CCPs and </w:t>
      </w:r>
      <w:r w:rsidR="00B077C6" w:rsidRPr="002661A8">
        <w:rPr>
          <w:rFonts w:ascii="Times New Roman" w:hAnsi="Times New Roman" w:cs="Times New Roman"/>
          <w:noProof/>
          <w:sz w:val="24"/>
          <w:szCs w:val="24"/>
        </w:rPr>
        <w:t>adjust</w:t>
      </w:r>
      <w:r w:rsidR="00960DA1" w:rsidRPr="002661A8">
        <w:rPr>
          <w:rFonts w:ascii="Times New Roman" w:hAnsi="Times New Roman" w:cs="Times New Roman"/>
          <w:noProof/>
          <w:sz w:val="24"/>
          <w:szCs w:val="24"/>
        </w:rPr>
        <w:t xml:space="preserve"> the</w:t>
      </w:r>
      <w:r w:rsidR="00A645BC" w:rsidRPr="002661A8">
        <w:rPr>
          <w:rFonts w:ascii="Times New Roman" w:hAnsi="Times New Roman" w:cs="Times New Roman"/>
          <w:noProof/>
          <w:sz w:val="24"/>
          <w:szCs w:val="24"/>
        </w:rPr>
        <w:t>ir</w:t>
      </w:r>
      <w:r w:rsidR="00960DA1" w:rsidRPr="002661A8">
        <w:rPr>
          <w:rFonts w:ascii="Times New Roman" w:hAnsi="Times New Roman" w:cs="Times New Roman"/>
          <w:noProof/>
          <w:sz w:val="24"/>
          <w:szCs w:val="24"/>
        </w:rPr>
        <w:t xml:space="preserve"> exposure</w:t>
      </w:r>
      <w:r w:rsidR="00B077C6" w:rsidRPr="002661A8">
        <w:rPr>
          <w:rFonts w:ascii="Times New Roman" w:hAnsi="Times New Roman" w:cs="Times New Roman"/>
          <w:noProof/>
          <w:sz w:val="24"/>
          <w:szCs w:val="24"/>
        </w:rPr>
        <w:t>s</w:t>
      </w:r>
      <w:r w:rsidR="00960DA1" w:rsidRPr="002661A8">
        <w:rPr>
          <w:rFonts w:ascii="Times New Roman" w:hAnsi="Times New Roman" w:cs="Times New Roman"/>
          <w:noProof/>
          <w:sz w:val="24"/>
          <w:szCs w:val="24"/>
        </w:rPr>
        <w:t xml:space="preserve"> to </w:t>
      </w:r>
      <w:r w:rsidR="004D4129" w:rsidRPr="002661A8">
        <w:rPr>
          <w:rFonts w:ascii="Times New Roman" w:hAnsi="Times New Roman" w:cs="Times New Roman"/>
          <w:noProof/>
          <w:sz w:val="24"/>
          <w:szCs w:val="24"/>
        </w:rPr>
        <w:t>Tier 2</w:t>
      </w:r>
      <w:r w:rsidR="00960DA1" w:rsidRPr="002661A8">
        <w:rPr>
          <w:rFonts w:ascii="Times New Roman" w:hAnsi="Times New Roman" w:cs="Times New Roman"/>
          <w:noProof/>
          <w:sz w:val="24"/>
          <w:szCs w:val="24"/>
        </w:rPr>
        <w:t xml:space="preserve"> CCPs to the point where over time, EU CCPs have built up sufficient capacity</w:t>
      </w:r>
      <w:r w:rsidR="00305A0F">
        <w:rPr>
          <w:rFonts w:ascii="Times New Roman" w:hAnsi="Times New Roman" w:cs="Times New Roman"/>
          <w:noProof/>
          <w:sz w:val="24"/>
          <w:szCs w:val="24"/>
        </w:rPr>
        <w:t>.</w:t>
      </w:r>
      <w:r w:rsidR="00A666BF">
        <w:rPr>
          <w:rFonts w:ascii="Times New Roman" w:hAnsi="Times New Roman" w:cs="Times New Roman"/>
          <w:noProof/>
          <w:sz w:val="24"/>
          <w:szCs w:val="24"/>
        </w:rPr>
        <w:t xml:space="preserve"> </w:t>
      </w:r>
      <w:r w:rsidR="008E49D2" w:rsidRPr="002661A8">
        <w:rPr>
          <w:rFonts w:ascii="Times New Roman" w:hAnsi="Times New Roman" w:cs="Times New Roman"/>
          <w:noProof/>
          <w:sz w:val="24"/>
          <w:szCs w:val="24"/>
        </w:rPr>
        <w:t>This would help address the financial stability risks identified, including by ESMA, and would offer a</w:t>
      </w:r>
      <w:r w:rsidR="00960DA1" w:rsidRPr="002661A8">
        <w:rPr>
          <w:rFonts w:ascii="Times New Roman" w:hAnsi="Times New Roman" w:cs="Times New Roman"/>
          <w:noProof/>
          <w:sz w:val="24"/>
          <w:szCs w:val="24"/>
        </w:rPr>
        <w:t xml:space="preserve"> credibl</w:t>
      </w:r>
      <w:r w:rsidR="001E6F30">
        <w:rPr>
          <w:rFonts w:ascii="Times New Roman" w:hAnsi="Times New Roman" w:cs="Times New Roman"/>
          <w:noProof/>
          <w:sz w:val="24"/>
          <w:szCs w:val="24"/>
        </w:rPr>
        <w:t>e</w:t>
      </w:r>
      <w:r w:rsidR="00960DA1" w:rsidRPr="002661A8">
        <w:rPr>
          <w:rFonts w:ascii="Times New Roman" w:hAnsi="Times New Roman" w:cs="Times New Roman"/>
          <w:noProof/>
          <w:sz w:val="24"/>
          <w:szCs w:val="24"/>
        </w:rPr>
        <w:t xml:space="preserve"> and rapid</w:t>
      </w:r>
      <w:r w:rsidR="003A3AFA">
        <w:rPr>
          <w:rFonts w:ascii="Times New Roman" w:hAnsi="Times New Roman" w:cs="Times New Roman"/>
          <w:noProof/>
          <w:sz w:val="24"/>
          <w:szCs w:val="24"/>
        </w:rPr>
        <w:t xml:space="preserve"> </w:t>
      </w:r>
      <w:r w:rsidR="00224775">
        <w:rPr>
          <w:rFonts w:ascii="Times New Roman" w:hAnsi="Times New Roman" w:cs="Times New Roman"/>
          <w:noProof/>
          <w:sz w:val="24"/>
          <w:szCs w:val="24"/>
        </w:rPr>
        <w:t>way to</w:t>
      </w:r>
      <w:r w:rsidR="00960DA1" w:rsidRPr="002661A8">
        <w:rPr>
          <w:rFonts w:ascii="Times New Roman" w:hAnsi="Times New Roman" w:cs="Times New Roman"/>
          <w:noProof/>
          <w:sz w:val="24"/>
          <w:szCs w:val="24"/>
        </w:rPr>
        <w:t xml:space="preserve"> on-shore the activities of those CCPs</w:t>
      </w:r>
      <w:r w:rsidR="008E49D2" w:rsidRPr="002661A8">
        <w:rPr>
          <w:rFonts w:ascii="Times New Roman" w:hAnsi="Times New Roman" w:cs="Times New Roman"/>
          <w:noProof/>
          <w:sz w:val="24"/>
          <w:szCs w:val="24"/>
        </w:rPr>
        <w:t xml:space="preserve"> in case of need</w:t>
      </w:r>
      <w:r w:rsidR="00960DA1" w:rsidRPr="002661A8">
        <w:rPr>
          <w:rFonts w:ascii="Times New Roman" w:hAnsi="Times New Roman" w:cs="Times New Roman"/>
          <w:noProof/>
          <w:sz w:val="24"/>
          <w:szCs w:val="24"/>
        </w:rPr>
        <w:t xml:space="preserve">. In parallel, the policy options should ensure that </w:t>
      </w:r>
      <w:r w:rsidR="002E05E4" w:rsidRPr="002661A8">
        <w:rPr>
          <w:rFonts w:ascii="Times New Roman" w:hAnsi="Times New Roman" w:cs="Times New Roman"/>
          <w:noProof/>
          <w:sz w:val="24"/>
          <w:szCs w:val="24"/>
        </w:rPr>
        <w:t xml:space="preserve">those </w:t>
      </w:r>
      <w:r w:rsidR="00960DA1" w:rsidRPr="002661A8">
        <w:rPr>
          <w:rFonts w:ascii="Times New Roman" w:hAnsi="Times New Roman" w:cs="Times New Roman"/>
          <w:noProof/>
          <w:sz w:val="24"/>
          <w:szCs w:val="24"/>
        </w:rPr>
        <w:t xml:space="preserve">EU CCPs are </w:t>
      </w:r>
      <w:r w:rsidR="004F6893" w:rsidRPr="002661A8">
        <w:rPr>
          <w:rFonts w:ascii="Times New Roman" w:hAnsi="Times New Roman" w:cs="Times New Roman"/>
          <w:noProof/>
          <w:sz w:val="24"/>
          <w:szCs w:val="24"/>
        </w:rPr>
        <w:t xml:space="preserve">attractive </w:t>
      </w:r>
      <w:r w:rsidR="00960DA1" w:rsidRPr="002661A8">
        <w:rPr>
          <w:rFonts w:ascii="Times New Roman" w:hAnsi="Times New Roman" w:cs="Times New Roman"/>
          <w:noProof/>
          <w:sz w:val="24"/>
          <w:szCs w:val="24"/>
        </w:rPr>
        <w:t>and appropriately supervised.</w:t>
      </w:r>
    </w:p>
    <w:p w14:paraId="06797B0A" w14:textId="57622221" w:rsidR="00DD5CE9" w:rsidRPr="002661A8" w:rsidRDefault="001F3791" w:rsidP="00753EB0">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sidR="00F92C2B">
        <w:rPr>
          <w:rFonts w:ascii="Times New Roman" w:hAnsi="Times New Roman" w:cs="Times New Roman"/>
          <w:noProof/>
          <w:sz w:val="24"/>
          <w:szCs w:val="24"/>
        </w:rPr>
        <w:t xml:space="preserve">aim would be to </w:t>
      </w:r>
      <w:r>
        <w:rPr>
          <w:rFonts w:ascii="Times New Roman" w:hAnsi="Times New Roman" w:cs="Times New Roman"/>
          <w:noProof/>
          <w:sz w:val="24"/>
          <w:szCs w:val="24"/>
        </w:rPr>
        <w:t>reduc</w:t>
      </w:r>
      <w:r w:rsidR="00F92C2B">
        <w:rPr>
          <w:rFonts w:ascii="Times New Roman" w:hAnsi="Times New Roman" w:cs="Times New Roman"/>
          <w:noProof/>
          <w:sz w:val="24"/>
          <w:szCs w:val="24"/>
        </w:rPr>
        <w:t>e</w:t>
      </w:r>
      <w:r>
        <w:rPr>
          <w:rFonts w:ascii="Times New Roman" w:hAnsi="Times New Roman" w:cs="Times New Roman"/>
          <w:noProof/>
          <w:sz w:val="24"/>
          <w:szCs w:val="24"/>
        </w:rPr>
        <w:t xml:space="preserve"> the excessive exposures to a level where the “substantial” systemic importance, as identified by ESMA in its report, </w:t>
      </w:r>
      <w:r w:rsidR="00305A0F">
        <w:rPr>
          <w:rFonts w:ascii="Times New Roman" w:hAnsi="Times New Roman" w:cs="Times New Roman"/>
          <w:noProof/>
          <w:sz w:val="24"/>
          <w:szCs w:val="24"/>
        </w:rPr>
        <w:t>achieves</w:t>
      </w:r>
      <w:r>
        <w:rPr>
          <w:rFonts w:ascii="Times New Roman" w:hAnsi="Times New Roman" w:cs="Times New Roman"/>
          <w:noProof/>
          <w:sz w:val="24"/>
          <w:szCs w:val="24"/>
        </w:rPr>
        <w:t xml:space="preserve"> a level where the framework set out in EMIR </w:t>
      </w:r>
      <w:r w:rsidR="00F92C2B">
        <w:rPr>
          <w:rFonts w:ascii="Times New Roman" w:hAnsi="Times New Roman" w:cs="Times New Roman"/>
          <w:noProof/>
          <w:sz w:val="24"/>
          <w:szCs w:val="24"/>
        </w:rPr>
        <w:t xml:space="preserve">to manage risks from third-country CCPs </w:t>
      </w:r>
      <w:r>
        <w:rPr>
          <w:rFonts w:ascii="Times New Roman" w:hAnsi="Times New Roman" w:cs="Times New Roman"/>
          <w:noProof/>
          <w:sz w:val="24"/>
          <w:szCs w:val="24"/>
        </w:rPr>
        <w:t>is sufficient to preserve the EU</w:t>
      </w:r>
      <w:r w:rsidR="00F92C2B">
        <w:rPr>
          <w:rFonts w:ascii="Times New Roman" w:hAnsi="Times New Roman" w:cs="Times New Roman"/>
          <w:noProof/>
          <w:sz w:val="24"/>
          <w:szCs w:val="24"/>
        </w:rPr>
        <w:t>’s</w:t>
      </w:r>
      <w:r>
        <w:rPr>
          <w:rFonts w:ascii="Times New Roman" w:hAnsi="Times New Roman" w:cs="Times New Roman"/>
          <w:noProof/>
          <w:sz w:val="24"/>
          <w:szCs w:val="24"/>
        </w:rPr>
        <w:t xml:space="preserve"> financial stability</w:t>
      </w:r>
      <w:r w:rsidRPr="009E5B45">
        <w:rPr>
          <w:rFonts w:ascii="Times New Roman" w:hAnsi="Times New Roman" w:cs="Times New Roman"/>
          <w:noProof/>
          <w:sz w:val="24"/>
          <w:szCs w:val="24"/>
        </w:rPr>
        <w:t xml:space="preserve">. This means at least bringing the CCPs in question to a Tier 2 category within EMIR, and not </w:t>
      </w:r>
      <w:r w:rsidR="009B7F9E" w:rsidRPr="009E5B45">
        <w:rPr>
          <w:rFonts w:ascii="Times New Roman" w:hAnsi="Times New Roman" w:cs="Times New Roman"/>
          <w:noProof/>
          <w:sz w:val="24"/>
          <w:szCs w:val="24"/>
        </w:rPr>
        <w:t>exceeding</w:t>
      </w:r>
      <w:r w:rsidRPr="009E5B45">
        <w:rPr>
          <w:rFonts w:ascii="Times New Roman" w:hAnsi="Times New Roman" w:cs="Times New Roman"/>
          <w:noProof/>
          <w:sz w:val="24"/>
          <w:szCs w:val="24"/>
        </w:rPr>
        <w:t xml:space="preserve"> that as it is currently the case</w:t>
      </w:r>
      <w:r w:rsidR="00863646" w:rsidRPr="009E5B45">
        <w:rPr>
          <w:rFonts w:ascii="Times New Roman" w:hAnsi="Times New Roman" w:cs="Times New Roman"/>
          <w:noProof/>
          <w:sz w:val="24"/>
          <w:szCs w:val="24"/>
        </w:rPr>
        <w:t xml:space="preserve"> for some clearing services</w:t>
      </w:r>
      <w:r w:rsidRPr="009E5B45">
        <w:rPr>
          <w:rFonts w:ascii="Times New Roman" w:hAnsi="Times New Roman" w:cs="Times New Roman"/>
          <w:noProof/>
          <w:sz w:val="24"/>
          <w:szCs w:val="24"/>
        </w:rPr>
        <w:t xml:space="preserve">. The announcement of these measures </w:t>
      </w:r>
      <w:r w:rsidR="00863646" w:rsidRPr="009E5B45">
        <w:rPr>
          <w:rFonts w:ascii="Times New Roman" w:hAnsi="Times New Roman" w:cs="Times New Roman"/>
          <w:noProof/>
          <w:sz w:val="24"/>
          <w:szCs w:val="24"/>
        </w:rPr>
        <w:t>should</w:t>
      </w:r>
      <w:r w:rsidRPr="009E5B45">
        <w:rPr>
          <w:rFonts w:ascii="Times New Roman" w:hAnsi="Times New Roman" w:cs="Times New Roman"/>
          <w:noProof/>
          <w:sz w:val="24"/>
          <w:szCs w:val="24"/>
        </w:rPr>
        <w:t xml:space="preserve"> already prompt market participants to take action, which will </w:t>
      </w:r>
      <w:r w:rsidR="00863646" w:rsidRPr="009E5B45">
        <w:rPr>
          <w:rFonts w:ascii="Times New Roman" w:hAnsi="Times New Roman" w:cs="Times New Roman"/>
          <w:noProof/>
          <w:sz w:val="24"/>
          <w:szCs w:val="24"/>
        </w:rPr>
        <w:t xml:space="preserve">help </w:t>
      </w:r>
      <w:r w:rsidRPr="009E5B45">
        <w:rPr>
          <w:rFonts w:ascii="Times New Roman" w:hAnsi="Times New Roman" w:cs="Times New Roman"/>
          <w:noProof/>
          <w:sz w:val="24"/>
          <w:szCs w:val="24"/>
        </w:rPr>
        <w:t>reduc</w:t>
      </w:r>
      <w:r w:rsidR="009B7F9E" w:rsidRPr="009E5B45">
        <w:rPr>
          <w:rFonts w:ascii="Times New Roman" w:hAnsi="Times New Roman" w:cs="Times New Roman"/>
          <w:noProof/>
          <w:sz w:val="24"/>
          <w:szCs w:val="24"/>
        </w:rPr>
        <w:t>e</w:t>
      </w:r>
      <w:r w:rsidRPr="009E5B45">
        <w:rPr>
          <w:rFonts w:ascii="Times New Roman" w:hAnsi="Times New Roman" w:cs="Times New Roman"/>
          <w:noProof/>
          <w:sz w:val="24"/>
          <w:szCs w:val="24"/>
        </w:rPr>
        <w:t xml:space="preserve"> exposures before 2025</w:t>
      </w:r>
      <w:r>
        <w:rPr>
          <w:rFonts w:ascii="Times New Roman" w:hAnsi="Times New Roman" w:cs="Times New Roman"/>
          <w:noProof/>
          <w:sz w:val="24"/>
          <w:szCs w:val="24"/>
        </w:rPr>
        <w:t xml:space="preserve">. </w:t>
      </w:r>
      <w:r w:rsidR="00DD5CE9" w:rsidRPr="00DD5CE9">
        <w:rPr>
          <w:rFonts w:ascii="Times New Roman" w:hAnsi="Times New Roman" w:cs="Times New Roman"/>
          <w:noProof/>
          <w:sz w:val="24"/>
          <w:szCs w:val="24"/>
        </w:rPr>
        <w:t xml:space="preserve">. </w:t>
      </w:r>
    </w:p>
    <w:p w14:paraId="2B1BF376" w14:textId="2A57FD89" w:rsidR="00661AB1" w:rsidRPr="002661A8" w:rsidRDefault="00D211FB" w:rsidP="002F2210">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The overarching policy objective </w:t>
      </w:r>
      <w:r w:rsidR="00365545" w:rsidRPr="002661A8">
        <w:rPr>
          <w:rFonts w:ascii="Times New Roman" w:hAnsi="Times New Roman" w:cs="Times New Roman"/>
          <w:noProof/>
          <w:sz w:val="24"/>
          <w:szCs w:val="24"/>
        </w:rPr>
        <w:t>can</w:t>
      </w:r>
      <w:r w:rsidRPr="002661A8">
        <w:rPr>
          <w:rFonts w:ascii="Times New Roman" w:hAnsi="Times New Roman" w:cs="Times New Roman"/>
          <w:noProof/>
          <w:sz w:val="24"/>
          <w:szCs w:val="24"/>
        </w:rPr>
        <w:t xml:space="preserve"> be achieved </w:t>
      </w:r>
      <w:r w:rsidR="00950931" w:rsidRPr="002661A8">
        <w:rPr>
          <w:rFonts w:ascii="Times New Roman" w:hAnsi="Times New Roman" w:cs="Times New Roman"/>
          <w:noProof/>
          <w:sz w:val="24"/>
          <w:szCs w:val="24"/>
        </w:rPr>
        <w:t>by pursuing</w:t>
      </w:r>
      <w:r w:rsidRPr="002661A8">
        <w:rPr>
          <w:rFonts w:ascii="Times New Roman" w:hAnsi="Times New Roman" w:cs="Times New Roman"/>
          <w:noProof/>
          <w:sz w:val="24"/>
          <w:szCs w:val="24"/>
        </w:rPr>
        <w:t xml:space="preserve"> the following specific objectives:</w:t>
      </w:r>
      <w:r w:rsidR="00907ED0" w:rsidRPr="002661A8">
        <w:rPr>
          <w:rFonts w:ascii="Times New Roman" w:hAnsi="Times New Roman" w:cs="Times New Roman"/>
          <w:noProof/>
          <w:sz w:val="24"/>
          <w:szCs w:val="24"/>
        </w:rPr>
        <w:t xml:space="preserve"> e</w:t>
      </w:r>
      <w:r w:rsidRPr="002661A8">
        <w:rPr>
          <w:rFonts w:ascii="Times New Roman" w:hAnsi="Times New Roman" w:cs="Times New Roman"/>
          <w:noProof/>
          <w:sz w:val="24"/>
          <w:szCs w:val="24"/>
        </w:rPr>
        <w:t xml:space="preserve">nhance the </w:t>
      </w:r>
      <w:r w:rsidR="00122B55" w:rsidRPr="002661A8">
        <w:rPr>
          <w:rFonts w:ascii="Times New Roman" w:hAnsi="Times New Roman" w:cs="Times New Roman"/>
          <w:noProof/>
          <w:sz w:val="24"/>
          <w:szCs w:val="24"/>
        </w:rPr>
        <w:t>attractiveness</w:t>
      </w:r>
      <w:r w:rsidR="00661AB1" w:rsidRPr="002661A8">
        <w:rPr>
          <w:rFonts w:ascii="Times New Roman" w:hAnsi="Times New Roman" w:cs="Times New Roman"/>
          <w:noProof/>
          <w:sz w:val="24"/>
          <w:szCs w:val="24"/>
        </w:rPr>
        <w:t xml:space="preserve"> of EU CCPs</w:t>
      </w:r>
      <w:r w:rsidR="00A666BF">
        <w:rPr>
          <w:rFonts w:ascii="Times New Roman" w:hAnsi="Times New Roman" w:cs="Times New Roman"/>
          <w:noProof/>
          <w:sz w:val="24"/>
          <w:szCs w:val="24"/>
        </w:rPr>
        <w:t xml:space="preserve">, </w:t>
      </w:r>
      <w:r w:rsidR="00661AB1" w:rsidRPr="002661A8">
        <w:rPr>
          <w:rFonts w:ascii="Times New Roman" w:hAnsi="Times New Roman" w:cs="Times New Roman"/>
          <w:noProof/>
          <w:sz w:val="24"/>
          <w:szCs w:val="24"/>
        </w:rPr>
        <w:t xml:space="preserve">by </w:t>
      </w:r>
      <w:r w:rsidR="00183E10" w:rsidRPr="002661A8">
        <w:rPr>
          <w:rFonts w:ascii="Times New Roman" w:hAnsi="Times New Roman" w:cs="Times New Roman"/>
          <w:noProof/>
          <w:sz w:val="24"/>
          <w:szCs w:val="24"/>
        </w:rPr>
        <w:t>making it easier to bring new products to market</w:t>
      </w:r>
      <w:r w:rsidRPr="002661A8">
        <w:rPr>
          <w:rFonts w:ascii="Times New Roman" w:hAnsi="Times New Roman" w:cs="Times New Roman"/>
          <w:noProof/>
          <w:sz w:val="24"/>
          <w:szCs w:val="24"/>
        </w:rPr>
        <w:t xml:space="preserve"> and reducing compliance costs;</w:t>
      </w:r>
      <w:r w:rsidR="00907ED0" w:rsidRPr="002661A8">
        <w:rPr>
          <w:rFonts w:ascii="Times New Roman" w:hAnsi="Times New Roman" w:cs="Times New Roman"/>
          <w:noProof/>
          <w:sz w:val="24"/>
          <w:szCs w:val="24"/>
        </w:rPr>
        <w:t xml:space="preserve"> e</w:t>
      </w:r>
      <w:r w:rsidR="00661AB1" w:rsidRPr="002661A8">
        <w:rPr>
          <w:rFonts w:ascii="Times New Roman" w:hAnsi="Times New Roman" w:cs="Times New Roman"/>
          <w:noProof/>
          <w:sz w:val="24"/>
          <w:szCs w:val="24"/>
        </w:rPr>
        <w:t xml:space="preserve">ncourage </w:t>
      </w:r>
      <w:r w:rsidRPr="002661A8">
        <w:rPr>
          <w:rFonts w:ascii="Times New Roman" w:hAnsi="Times New Roman" w:cs="Times New Roman"/>
          <w:noProof/>
          <w:sz w:val="24"/>
          <w:szCs w:val="24"/>
        </w:rPr>
        <w:t>clearing in EU CCPs</w:t>
      </w:r>
      <w:r w:rsidR="00661AB1" w:rsidRPr="002661A8">
        <w:rPr>
          <w:rFonts w:ascii="Times New Roman" w:hAnsi="Times New Roman" w:cs="Times New Roman"/>
          <w:noProof/>
          <w:sz w:val="24"/>
          <w:szCs w:val="24"/>
        </w:rPr>
        <w:t xml:space="preserve">; </w:t>
      </w:r>
      <w:r w:rsidR="003A5A58">
        <w:rPr>
          <w:rFonts w:ascii="Times New Roman" w:hAnsi="Times New Roman" w:cs="Times New Roman"/>
          <w:noProof/>
          <w:sz w:val="24"/>
          <w:szCs w:val="24"/>
        </w:rPr>
        <w:t xml:space="preserve">and </w:t>
      </w:r>
      <w:r w:rsidR="00907ED0" w:rsidRPr="002661A8">
        <w:rPr>
          <w:rFonts w:ascii="Times New Roman" w:hAnsi="Times New Roman" w:cs="Times New Roman"/>
          <w:noProof/>
          <w:sz w:val="24"/>
          <w:szCs w:val="24"/>
        </w:rPr>
        <w:t>e</w:t>
      </w:r>
      <w:r w:rsidR="002473C6" w:rsidRPr="002661A8">
        <w:rPr>
          <w:rFonts w:ascii="Times New Roman" w:hAnsi="Times New Roman" w:cs="Times New Roman"/>
          <w:noProof/>
          <w:sz w:val="24"/>
          <w:szCs w:val="24"/>
        </w:rPr>
        <w:t>nhance the assessment and management</w:t>
      </w:r>
      <w:r w:rsidR="003E1EE3" w:rsidRPr="002661A8">
        <w:rPr>
          <w:rFonts w:ascii="Times New Roman" w:hAnsi="Times New Roman" w:cs="Times New Roman"/>
          <w:noProof/>
          <w:sz w:val="24"/>
          <w:szCs w:val="24"/>
        </w:rPr>
        <w:t xml:space="preserve"> of cross-border risks</w:t>
      </w:r>
      <w:r w:rsidR="00661AB1" w:rsidRPr="002661A8">
        <w:rPr>
          <w:rFonts w:ascii="Times New Roman" w:hAnsi="Times New Roman" w:cs="Times New Roman"/>
          <w:noProof/>
          <w:sz w:val="24"/>
          <w:szCs w:val="24"/>
        </w:rPr>
        <w:t>.</w:t>
      </w:r>
      <w:r w:rsidR="00334A87">
        <w:rPr>
          <w:rFonts w:ascii="Times New Roman" w:hAnsi="Times New Roman" w:cs="Times New Roman"/>
          <w:noProof/>
          <w:sz w:val="24"/>
          <w:szCs w:val="24"/>
        </w:rPr>
        <w:t xml:space="preserve"> </w:t>
      </w:r>
    </w:p>
    <w:p w14:paraId="796C7395" w14:textId="6BE6CEE9" w:rsidR="0089023F" w:rsidRDefault="0089023F" w:rsidP="0089023F">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w:t>
      </w:r>
      <w:r w:rsidR="00F92C2B">
        <w:rPr>
          <w:rFonts w:ascii="Times New Roman" w:hAnsi="Times New Roman" w:cs="Times New Roman"/>
          <w:noProof/>
          <w:sz w:val="24"/>
          <w:szCs w:val="24"/>
        </w:rPr>
        <w:t>ESMA’s conclusion</w:t>
      </w:r>
      <w:r w:rsidR="003A5A58">
        <w:rPr>
          <w:rFonts w:ascii="Times New Roman" w:hAnsi="Times New Roman" w:cs="Times New Roman"/>
          <w:noProof/>
          <w:sz w:val="24"/>
          <w:szCs w:val="24"/>
        </w:rPr>
        <w:t>,</w:t>
      </w:r>
      <w:r w:rsidR="005A61D0">
        <w:rPr>
          <w:rFonts w:ascii="Times New Roman" w:hAnsi="Times New Roman" w:cs="Times New Roman"/>
          <w:noProof/>
          <w:sz w:val="24"/>
          <w:szCs w:val="24"/>
        </w:rPr>
        <w:t xml:space="preserve"> </w:t>
      </w:r>
      <w:r>
        <w:rPr>
          <w:rFonts w:ascii="Times New Roman" w:hAnsi="Times New Roman" w:cs="Times New Roman"/>
          <w:noProof/>
          <w:sz w:val="24"/>
          <w:szCs w:val="24"/>
        </w:rPr>
        <w:t xml:space="preserve">that certain </w:t>
      </w:r>
      <w:r w:rsidRPr="0089023F">
        <w:rPr>
          <w:rFonts w:ascii="Times New Roman" w:hAnsi="Times New Roman" w:cs="Times New Roman"/>
          <w:noProof/>
          <w:sz w:val="24"/>
          <w:szCs w:val="24"/>
        </w:rPr>
        <w:t>clearing services are currently of substan</w:t>
      </w:r>
      <w:r>
        <w:rPr>
          <w:rFonts w:ascii="Times New Roman" w:hAnsi="Times New Roman" w:cs="Times New Roman"/>
          <w:noProof/>
          <w:sz w:val="24"/>
          <w:szCs w:val="24"/>
        </w:rPr>
        <w:t xml:space="preserve">tial systemic </w:t>
      </w:r>
      <w:r w:rsidRPr="0089023F">
        <w:rPr>
          <w:rFonts w:ascii="Times New Roman" w:hAnsi="Times New Roman" w:cs="Times New Roman"/>
          <w:noProof/>
          <w:sz w:val="24"/>
          <w:szCs w:val="24"/>
        </w:rPr>
        <w:t>importance for the financial stability of the EU or on</w:t>
      </w:r>
      <w:r>
        <w:rPr>
          <w:rFonts w:ascii="Times New Roman" w:hAnsi="Times New Roman" w:cs="Times New Roman"/>
          <w:noProof/>
          <w:sz w:val="24"/>
          <w:szCs w:val="24"/>
        </w:rPr>
        <w:t>e or more of its Member States, the measures</w:t>
      </w:r>
      <w:r w:rsidR="00874E33">
        <w:rPr>
          <w:rFonts w:ascii="Times New Roman" w:hAnsi="Times New Roman" w:cs="Times New Roman"/>
          <w:noProof/>
          <w:sz w:val="24"/>
          <w:szCs w:val="24"/>
        </w:rPr>
        <w:t xml:space="preserve"> to be taken to mitigate this </w:t>
      </w:r>
      <w:r w:rsidR="00800A3A">
        <w:rPr>
          <w:rFonts w:ascii="Times New Roman" w:hAnsi="Times New Roman" w:cs="Times New Roman"/>
          <w:noProof/>
          <w:sz w:val="24"/>
          <w:szCs w:val="24"/>
        </w:rPr>
        <w:t>were</w:t>
      </w:r>
      <w:r>
        <w:rPr>
          <w:rFonts w:ascii="Times New Roman" w:hAnsi="Times New Roman" w:cs="Times New Roman"/>
          <w:noProof/>
          <w:sz w:val="24"/>
          <w:szCs w:val="24"/>
        </w:rPr>
        <w:t xml:space="preserve"> </w:t>
      </w:r>
      <w:r w:rsidR="00F92C2B">
        <w:rPr>
          <w:rFonts w:ascii="Times New Roman" w:hAnsi="Times New Roman" w:cs="Times New Roman"/>
          <w:noProof/>
          <w:sz w:val="24"/>
          <w:szCs w:val="24"/>
        </w:rPr>
        <w:t xml:space="preserve">also </w:t>
      </w:r>
      <w:r>
        <w:rPr>
          <w:rFonts w:ascii="Times New Roman" w:hAnsi="Times New Roman" w:cs="Times New Roman"/>
          <w:noProof/>
          <w:sz w:val="24"/>
          <w:szCs w:val="24"/>
        </w:rPr>
        <w:t xml:space="preserve">considered. </w:t>
      </w:r>
      <w:r w:rsidDel="007A3EBA">
        <w:rPr>
          <w:rFonts w:ascii="Times New Roman" w:hAnsi="Times New Roman" w:cs="Times New Roman"/>
          <w:noProof/>
          <w:sz w:val="24"/>
          <w:szCs w:val="24"/>
        </w:rPr>
        <w:t>ESMA</w:t>
      </w:r>
      <w:r w:rsidR="00874E33" w:rsidDel="007A3EBA">
        <w:rPr>
          <w:rFonts w:ascii="Times New Roman" w:hAnsi="Times New Roman" w:cs="Times New Roman"/>
          <w:noProof/>
          <w:sz w:val="24"/>
          <w:szCs w:val="24"/>
        </w:rPr>
        <w:t xml:space="preserve"> is</w:t>
      </w:r>
      <w:r w:rsidDel="007A3EBA">
        <w:rPr>
          <w:rFonts w:ascii="Times New Roman" w:hAnsi="Times New Roman" w:cs="Times New Roman"/>
          <w:noProof/>
          <w:sz w:val="24"/>
          <w:szCs w:val="24"/>
        </w:rPr>
        <w:t xml:space="preserve"> </w:t>
      </w:r>
      <w:r w:rsidR="00F92C2B" w:rsidDel="007A3EBA">
        <w:rPr>
          <w:rFonts w:ascii="Times New Roman" w:hAnsi="Times New Roman" w:cs="Times New Roman"/>
          <w:noProof/>
          <w:sz w:val="24"/>
          <w:szCs w:val="24"/>
        </w:rPr>
        <w:t>required</w:t>
      </w:r>
      <w:r w:rsidR="00CC4C06" w:rsidDel="007A3EBA">
        <w:rPr>
          <w:rFonts w:ascii="Times New Roman" w:hAnsi="Times New Roman" w:cs="Times New Roman"/>
          <w:noProof/>
          <w:sz w:val="24"/>
          <w:szCs w:val="24"/>
        </w:rPr>
        <w:t xml:space="preserve"> </w:t>
      </w:r>
      <w:r w:rsidDel="007A3EBA">
        <w:rPr>
          <w:rFonts w:ascii="Times New Roman" w:hAnsi="Times New Roman" w:cs="Times New Roman"/>
          <w:noProof/>
          <w:sz w:val="24"/>
          <w:szCs w:val="24"/>
        </w:rPr>
        <w:t xml:space="preserve">to assess under </w:t>
      </w:r>
      <w:r w:rsidRPr="0089023F" w:rsidDel="007A3EBA">
        <w:rPr>
          <w:rFonts w:ascii="Times New Roman" w:hAnsi="Times New Roman" w:cs="Times New Roman"/>
          <w:noProof/>
          <w:sz w:val="24"/>
          <w:szCs w:val="24"/>
        </w:rPr>
        <w:t xml:space="preserve">Article 25(2c) EMIR </w:t>
      </w:r>
      <w:r w:rsidDel="007A3EBA">
        <w:rPr>
          <w:rFonts w:ascii="Times New Roman" w:hAnsi="Times New Roman" w:cs="Times New Roman"/>
          <w:noProof/>
          <w:sz w:val="24"/>
          <w:szCs w:val="24"/>
        </w:rPr>
        <w:t xml:space="preserve">if </w:t>
      </w:r>
      <w:r w:rsidRPr="0089023F" w:rsidDel="007A3EBA">
        <w:rPr>
          <w:rFonts w:ascii="Times New Roman" w:hAnsi="Times New Roman" w:cs="Times New Roman"/>
          <w:noProof/>
          <w:sz w:val="24"/>
          <w:szCs w:val="24"/>
        </w:rPr>
        <w:t>a CCP or some of its</w:t>
      </w:r>
      <w:r w:rsidDel="007A3EBA">
        <w:rPr>
          <w:rFonts w:ascii="Times New Roman" w:hAnsi="Times New Roman" w:cs="Times New Roman"/>
          <w:noProof/>
          <w:sz w:val="24"/>
          <w:szCs w:val="24"/>
        </w:rPr>
        <w:t xml:space="preserve"> clearing services are of such </w:t>
      </w:r>
      <w:r w:rsidRPr="0089023F" w:rsidDel="007A3EBA">
        <w:rPr>
          <w:rFonts w:ascii="Times New Roman" w:hAnsi="Times New Roman" w:cs="Times New Roman"/>
          <w:noProof/>
          <w:sz w:val="24"/>
          <w:szCs w:val="24"/>
        </w:rPr>
        <w:t>substantial systemic importance that that CCP should not be recognised to</w:t>
      </w:r>
      <w:r w:rsidDel="007A3EBA">
        <w:rPr>
          <w:rFonts w:ascii="Times New Roman" w:hAnsi="Times New Roman" w:cs="Times New Roman"/>
          <w:noProof/>
          <w:sz w:val="24"/>
          <w:szCs w:val="24"/>
        </w:rPr>
        <w:t xml:space="preserve"> provide </w:t>
      </w:r>
      <w:r w:rsidRPr="0089023F" w:rsidDel="007A3EBA">
        <w:rPr>
          <w:rFonts w:ascii="Times New Roman" w:hAnsi="Times New Roman" w:cs="Times New Roman"/>
          <w:noProof/>
          <w:sz w:val="24"/>
          <w:szCs w:val="24"/>
        </w:rPr>
        <w:t xml:space="preserve">certain clearing services. </w:t>
      </w:r>
      <w:r w:rsidDel="007A3EBA">
        <w:rPr>
          <w:rFonts w:ascii="Times New Roman" w:hAnsi="Times New Roman" w:cs="Times New Roman"/>
          <w:noProof/>
          <w:sz w:val="24"/>
          <w:szCs w:val="24"/>
        </w:rPr>
        <w:t>As part of this</w:t>
      </w:r>
      <w:r w:rsidR="00800A3A" w:rsidDel="007A3EBA">
        <w:rPr>
          <w:rFonts w:ascii="Times New Roman" w:hAnsi="Times New Roman" w:cs="Times New Roman"/>
          <w:noProof/>
          <w:sz w:val="24"/>
          <w:szCs w:val="24"/>
        </w:rPr>
        <w:t>,</w:t>
      </w:r>
      <w:r>
        <w:rPr>
          <w:rFonts w:ascii="Times New Roman" w:hAnsi="Times New Roman" w:cs="Times New Roman"/>
          <w:noProof/>
          <w:sz w:val="24"/>
          <w:szCs w:val="24"/>
        </w:rPr>
        <w:t xml:space="preserve"> ESMA conclude</w:t>
      </w:r>
      <w:r w:rsidR="00F92C2B">
        <w:rPr>
          <w:rFonts w:ascii="Times New Roman" w:hAnsi="Times New Roman" w:cs="Times New Roman"/>
          <w:noProof/>
          <w:sz w:val="24"/>
          <w:szCs w:val="24"/>
        </w:rPr>
        <w:t>d</w:t>
      </w:r>
      <w:r>
        <w:rPr>
          <w:rFonts w:ascii="Times New Roman" w:hAnsi="Times New Roman" w:cs="Times New Roman"/>
          <w:noProof/>
          <w:sz w:val="24"/>
          <w:szCs w:val="24"/>
        </w:rPr>
        <w:t xml:space="preserve"> that </w:t>
      </w:r>
      <w:r w:rsidRPr="005A61D0">
        <w:rPr>
          <w:rFonts w:ascii="Times New Roman" w:hAnsi="Times New Roman" w:cs="Times New Roman"/>
          <w:noProof/>
          <w:sz w:val="24"/>
          <w:szCs w:val="24"/>
        </w:rPr>
        <w:t xml:space="preserve">a potential </w:t>
      </w:r>
      <w:r>
        <w:rPr>
          <w:rFonts w:ascii="Times New Roman" w:hAnsi="Times New Roman" w:cs="Times New Roman"/>
          <w:noProof/>
          <w:sz w:val="24"/>
          <w:szCs w:val="24"/>
        </w:rPr>
        <w:t xml:space="preserve">non-recognition with a </w:t>
      </w:r>
      <w:r w:rsidRPr="005A61D0">
        <w:rPr>
          <w:rFonts w:ascii="Times New Roman" w:hAnsi="Times New Roman" w:cs="Times New Roman"/>
          <w:noProof/>
          <w:sz w:val="24"/>
          <w:szCs w:val="24"/>
        </w:rPr>
        <w:t>shorter transition period</w:t>
      </w:r>
      <w:r w:rsidRPr="005A61D0" w:rsidDel="007A3EBA">
        <w:rPr>
          <w:rFonts w:ascii="Times New Roman" w:hAnsi="Times New Roman" w:cs="Times New Roman"/>
          <w:noProof/>
          <w:sz w:val="24"/>
          <w:szCs w:val="24"/>
        </w:rPr>
        <w:t>,</w:t>
      </w:r>
      <w:r w:rsidRPr="005A61D0">
        <w:rPr>
          <w:rFonts w:ascii="Times New Roman" w:hAnsi="Times New Roman" w:cs="Times New Roman"/>
          <w:noProof/>
          <w:sz w:val="24"/>
          <w:szCs w:val="24"/>
        </w:rPr>
        <w:t xml:space="preserve"> would be disruptive for all three clearing services</w:t>
      </w:r>
      <w:r w:rsidR="00F92C2B" w:rsidDel="003A5A58">
        <w:rPr>
          <w:rFonts w:ascii="Times New Roman" w:hAnsi="Times New Roman" w:cs="Times New Roman"/>
          <w:noProof/>
          <w:sz w:val="24"/>
          <w:szCs w:val="24"/>
        </w:rPr>
        <w:t>,</w:t>
      </w:r>
      <w:r w:rsidR="00F92C2B">
        <w:rPr>
          <w:rFonts w:ascii="Times New Roman" w:hAnsi="Times New Roman" w:cs="Times New Roman"/>
          <w:noProof/>
          <w:sz w:val="24"/>
          <w:szCs w:val="24"/>
        </w:rPr>
        <w:t xml:space="preserve"> maximising</w:t>
      </w:r>
      <w:r>
        <w:rPr>
          <w:rFonts w:ascii="Times New Roman" w:hAnsi="Times New Roman" w:cs="Times New Roman"/>
          <w:noProof/>
          <w:sz w:val="24"/>
          <w:szCs w:val="24"/>
        </w:rPr>
        <w:t xml:space="preserve"> t</w:t>
      </w:r>
      <w:r w:rsidRPr="005A61D0">
        <w:rPr>
          <w:rFonts w:ascii="Times New Roman" w:hAnsi="Times New Roman" w:cs="Times New Roman"/>
          <w:noProof/>
          <w:sz w:val="24"/>
          <w:szCs w:val="24"/>
        </w:rPr>
        <w:t xml:space="preserve">ransfer costs </w:t>
      </w:r>
      <w:r w:rsidR="00F92C2B">
        <w:rPr>
          <w:rFonts w:ascii="Times New Roman" w:hAnsi="Times New Roman" w:cs="Times New Roman"/>
          <w:noProof/>
          <w:sz w:val="24"/>
          <w:szCs w:val="24"/>
        </w:rPr>
        <w:t>including</w:t>
      </w:r>
      <w:r w:rsidRPr="005A61D0">
        <w:rPr>
          <w:rFonts w:ascii="Times New Roman" w:hAnsi="Times New Roman" w:cs="Times New Roman"/>
          <w:noProof/>
          <w:sz w:val="24"/>
          <w:szCs w:val="24"/>
        </w:rPr>
        <w:t xml:space="preserve"> the</w:t>
      </w:r>
      <w:r>
        <w:rPr>
          <w:rFonts w:ascii="Times New Roman" w:hAnsi="Times New Roman" w:cs="Times New Roman"/>
          <w:noProof/>
          <w:sz w:val="24"/>
          <w:szCs w:val="24"/>
        </w:rPr>
        <w:t xml:space="preserve"> cost of breaking netting sets. ESMA </w:t>
      </w:r>
      <w:r w:rsidR="007A3EBA">
        <w:rPr>
          <w:rFonts w:ascii="Times New Roman" w:hAnsi="Times New Roman" w:cs="Times New Roman"/>
          <w:noProof/>
          <w:sz w:val="24"/>
          <w:szCs w:val="24"/>
        </w:rPr>
        <w:t xml:space="preserve">noted </w:t>
      </w:r>
      <w:r>
        <w:rPr>
          <w:rFonts w:ascii="Times New Roman" w:hAnsi="Times New Roman" w:cs="Times New Roman"/>
          <w:noProof/>
          <w:sz w:val="24"/>
          <w:szCs w:val="24"/>
        </w:rPr>
        <w:t xml:space="preserve">that </w:t>
      </w:r>
      <w:r w:rsidRPr="005A61D0">
        <w:rPr>
          <w:rFonts w:ascii="Times New Roman" w:hAnsi="Times New Roman" w:cs="Times New Roman"/>
          <w:noProof/>
          <w:sz w:val="24"/>
          <w:szCs w:val="24"/>
        </w:rPr>
        <w:t>a longer</w:t>
      </w:r>
      <w:r w:rsidRPr="005A61D0" w:rsidDel="007A3EBA">
        <w:rPr>
          <w:rFonts w:ascii="Times New Roman" w:hAnsi="Times New Roman" w:cs="Times New Roman"/>
          <w:noProof/>
          <w:sz w:val="24"/>
          <w:szCs w:val="24"/>
        </w:rPr>
        <w:t xml:space="preserve"> </w:t>
      </w:r>
      <w:r w:rsidR="00F92C2B">
        <w:rPr>
          <w:rFonts w:ascii="Times New Roman" w:hAnsi="Times New Roman" w:cs="Times New Roman"/>
          <w:noProof/>
          <w:sz w:val="24"/>
          <w:szCs w:val="24"/>
        </w:rPr>
        <w:t xml:space="preserve">adaptation </w:t>
      </w:r>
      <w:r w:rsidR="007A3EBA" w:rsidRPr="005A61D0">
        <w:rPr>
          <w:rFonts w:ascii="Times New Roman" w:hAnsi="Times New Roman" w:cs="Times New Roman"/>
          <w:noProof/>
          <w:sz w:val="24"/>
          <w:szCs w:val="24"/>
        </w:rPr>
        <w:t xml:space="preserve">period </w:t>
      </w:r>
      <w:r w:rsidR="00F92C2B">
        <w:rPr>
          <w:rFonts w:ascii="Times New Roman" w:hAnsi="Times New Roman" w:cs="Times New Roman"/>
          <w:noProof/>
          <w:sz w:val="24"/>
          <w:szCs w:val="24"/>
        </w:rPr>
        <w:t>would</w:t>
      </w:r>
      <w:r w:rsidRPr="005A61D0">
        <w:rPr>
          <w:rFonts w:ascii="Times New Roman" w:hAnsi="Times New Roman" w:cs="Times New Roman"/>
          <w:noProof/>
          <w:sz w:val="24"/>
          <w:szCs w:val="24"/>
        </w:rPr>
        <w:t xml:space="preserve"> </w:t>
      </w:r>
      <w:r>
        <w:rPr>
          <w:rFonts w:ascii="Times New Roman" w:hAnsi="Times New Roman" w:cs="Times New Roman"/>
          <w:noProof/>
          <w:sz w:val="24"/>
          <w:szCs w:val="24"/>
        </w:rPr>
        <w:t xml:space="preserve">reduce this cliff-edge effect, </w:t>
      </w:r>
      <w:r w:rsidR="00F92C2B">
        <w:rPr>
          <w:rFonts w:ascii="Times New Roman" w:hAnsi="Times New Roman" w:cs="Times New Roman"/>
          <w:noProof/>
          <w:sz w:val="24"/>
          <w:szCs w:val="24"/>
        </w:rPr>
        <w:t>helping</w:t>
      </w:r>
      <w:r w:rsidRPr="005A61D0">
        <w:rPr>
          <w:rFonts w:ascii="Times New Roman" w:hAnsi="Times New Roman" w:cs="Times New Roman"/>
          <w:noProof/>
          <w:sz w:val="24"/>
          <w:szCs w:val="24"/>
        </w:rPr>
        <w:t xml:space="preserve"> to minimis</w:t>
      </w:r>
      <w:r w:rsidR="00F92C2B">
        <w:rPr>
          <w:rFonts w:ascii="Times New Roman" w:hAnsi="Times New Roman" w:cs="Times New Roman"/>
          <w:noProof/>
          <w:sz w:val="24"/>
          <w:szCs w:val="24"/>
        </w:rPr>
        <w:t>e</w:t>
      </w:r>
      <w:r w:rsidRPr="005A61D0">
        <w:rPr>
          <w:rFonts w:ascii="Times New Roman" w:hAnsi="Times New Roman" w:cs="Times New Roman"/>
          <w:noProof/>
          <w:sz w:val="24"/>
          <w:szCs w:val="24"/>
        </w:rPr>
        <w:t xml:space="preserve"> costs for EU market participants. It would </w:t>
      </w:r>
      <w:r w:rsidR="00F92C2B">
        <w:rPr>
          <w:rFonts w:ascii="Times New Roman" w:hAnsi="Times New Roman" w:cs="Times New Roman"/>
          <w:noProof/>
          <w:sz w:val="24"/>
          <w:szCs w:val="24"/>
        </w:rPr>
        <w:t xml:space="preserve">also </w:t>
      </w:r>
      <w:r w:rsidRPr="005A61D0">
        <w:rPr>
          <w:rFonts w:ascii="Times New Roman" w:hAnsi="Times New Roman" w:cs="Times New Roman"/>
          <w:noProof/>
          <w:sz w:val="24"/>
          <w:szCs w:val="24"/>
        </w:rPr>
        <w:t>provide time t</w:t>
      </w:r>
      <w:r>
        <w:rPr>
          <w:rFonts w:ascii="Times New Roman" w:hAnsi="Times New Roman" w:cs="Times New Roman"/>
          <w:noProof/>
          <w:sz w:val="24"/>
          <w:szCs w:val="24"/>
        </w:rPr>
        <w:t xml:space="preserve">o incentivise a </w:t>
      </w:r>
      <w:r w:rsidRPr="005A61D0">
        <w:rPr>
          <w:rFonts w:ascii="Times New Roman" w:hAnsi="Times New Roman" w:cs="Times New Roman"/>
          <w:noProof/>
          <w:sz w:val="24"/>
          <w:szCs w:val="24"/>
        </w:rPr>
        <w:t xml:space="preserve">move to EU CCPs, </w:t>
      </w:r>
      <w:r w:rsidR="00F92C2B">
        <w:rPr>
          <w:rFonts w:ascii="Times New Roman" w:hAnsi="Times New Roman" w:cs="Times New Roman"/>
          <w:noProof/>
          <w:sz w:val="24"/>
          <w:szCs w:val="24"/>
        </w:rPr>
        <w:t>e.g.</w:t>
      </w:r>
      <w:r w:rsidRPr="005A61D0">
        <w:rPr>
          <w:rFonts w:ascii="Times New Roman" w:hAnsi="Times New Roman" w:cs="Times New Roman"/>
          <w:noProof/>
          <w:sz w:val="24"/>
          <w:szCs w:val="24"/>
        </w:rPr>
        <w:t xml:space="preserve"> EU CCPs will be able to widen </w:t>
      </w:r>
      <w:r w:rsidR="00F92C2B">
        <w:rPr>
          <w:rFonts w:ascii="Times New Roman" w:hAnsi="Times New Roman" w:cs="Times New Roman"/>
          <w:noProof/>
          <w:sz w:val="24"/>
          <w:szCs w:val="24"/>
        </w:rPr>
        <w:t>their</w:t>
      </w:r>
      <w:r w:rsidRPr="005A61D0">
        <w:rPr>
          <w:rFonts w:ascii="Times New Roman" w:hAnsi="Times New Roman" w:cs="Times New Roman"/>
          <w:noProof/>
          <w:sz w:val="24"/>
          <w:szCs w:val="24"/>
        </w:rPr>
        <w:t xml:space="preserve"> product offering. </w:t>
      </w:r>
    </w:p>
    <w:p w14:paraId="7BB8E471" w14:textId="515C9A12" w:rsidR="00C42085" w:rsidRDefault="00874E33" w:rsidP="00753EB0">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Hence, whilst </w:t>
      </w:r>
      <w:r w:rsidRPr="00874E33">
        <w:rPr>
          <w:rFonts w:ascii="Times New Roman" w:hAnsi="Times New Roman" w:cs="Times New Roman"/>
          <w:noProof/>
          <w:sz w:val="24"/>
          <w:szCs w:val="24"/>
        </w:rPr>
        <w:t>EU clients bene</w:t>
      </w:r>
      <w:r>
        <w:rPr>
          <w:rFonts w:ascii="Times New Roman" w:hAnsi="Times New Roman" w:cs="Times New Roman"/>
          <w:noProof/>
          <w:sz w:val="24"/>
          <w:szCs w:val="24"/>
        </w:rPr>
        <w:t>fit from</w:t>
      </w:r>
      <w:r w:rsidDel="007A3EBA">
        <w:rPr>
          <w:rFonts w:ascii="Times New Roman" w:hAnsi="Times New Roman" w:cs="Times New Roman"/>
          <w:noProof/>
          <w:sz w:val="24"/>
          <w:szCs w:val="24"/>
        </w:rPr>
        <w:t xml:space="preserve"> </w:t>
      </w:r>
      <w:r>
        <w:rPr>
          <w:rFonts w:ascii="Times New Roman" w:hAnsi="Times New Roman" w:cs="Times New Roman"/>
          <w:noProof/>
          <w:sz w:val="24"/>
          <w:szCs w:val="24"/>
        </w:rPr>
        <w:t>efficient clearing today</w:t>
      </w:r>
      <w:r w:rsidR="007A3EBA">
        <w:rPr>
          <w:rFonts w:ascii="Times New Roman" w:hAnsi="Times New Roman" w:cs="Times New Roman"/>
          <w:noProof/>
          <w:sz w:val="24"/>
          <w:szCs w:val="24"/>
        </w:rPr>
        <w:t>,</w:t>
      </w:r>
      <w:r>
        <w:rPr>
          <w:rFonts w:ascii="Times New Roman" w:hAnsi="Times New Roman" w:cs="Times New Roman"/>
          <w:noProof/>
          <w:sz w:val="24"/>
          <w:szCs w:val="24"/>
        </w:rPr>
        <w:t xml:space="preserve"> it comes at a cost, and a potential significant cost</w:t>
      </w:r>
      <w:r w:rsidR="005E564A">
        <w:rPr>
          <w:rFonts w:ascii="Times New Roman" w:hAnsi="Times New Roman" w:cs="Times New Roman"/>
          <w:noProof/>
          <w:sz w:val="24"/>
          <w:szCs w:val="24"/>
        </w:rPr>
        <w:t xml:space="preserve"> in</w:t>
      </w:r>
      <w:r>
        <w:rPr>
          <w:rFonts w:ascii="Times New Roman" w:hAnsi="Times New Roman" w:cs="Times New Roman"/>
          <w:noProof/>
          <w:sz w:val="24"/>
          <w:szCs w:val="24"/>
        </w:rPr>
        <w:t xml:space="preserve"> the future. U</w:t>
      </w:r>
      <w:r w:rsidRPr="00874E33">
        <w:rPr>
          <w:rFonts w:ascii="Times New Roman" w:hAnsi="Times New Roman" w:cs="Times New Roman"/>
          <w:noProof/>
          <w:sz w:val="24"/>
          <w:szCs w:val="24"/>
        </w:rPr>
        <w:t>ncovered financial risk</w:t>
      </w:r>
      <w:r>
        <w:rPr>
          <w:rFonts w:ascii="Times New Roman" w:hAnsi="Times New Roman" w:cs="Times New Roman"/>
          <w:noProof/>
          <w:sz w:val="24"/>
          <w:szCs w:val="24"/>
        </w:rPr>
        <w:t xml:space="preserve"> is not a </w:t>
      </w:r>
      <w:r w:rsidR="005E564A">
        <w:rPr>
          <w:rFonts w:ascii="Times New Roman" w:hAnsi="Times New Roman" w:cs="Times New Roman"/>
          <w:noProof/>
          <w:sz w:val="24"/>
          <w:szCs w:val="24"/>
        </w:rPr>
        <w:t xml:space="preserve">visible daily </w:t>
      </w:r>
      <w:r>
        <w:rPr>
          <w:rFonts w:ascii="Times New Roman" w:hAnsi="Times New Roman" w:cs="Times New Roman"/>
          <w:noProof/>
          <w:sz w:val="24"/>
          <w:szCs w:val="24"/>
        </w:rPr>
        <w:t xml:space="preserve">cost but </w:t>
      </w:r>
      <w:r w:rsidR="005E564A">
        <w:rPr>
          <w:rFonts w:ascii="Times New Roman" w:hAnsi="Times New Roman" w:cs="Times New Roman"/>
          <w:noProof/>
          <w:sz w:val="24"/>
          <w:szCs w:val="24"/>
        </w:rPr>
        <w:t>c</w:t>
      </w:r>
      <w:r>
        <w:rPr>
          <w:rFonts w:ascii="Times New Roman" w:hAnsi="Times New Roman" w:cs="Times New Roman"/>
          <w:noProof/>
          <w:sz w:val="24"/>
          <w:szCs w:val="24"/>
        </w:rPr>
        <w:t xml:space="preserve">ould </w:t>
      </w:r>
      <w:r w:rsidR="005E564A">
        <w:rPr>
          <w:rFonts w:ascii="Times New Roman" w:hAnsi="Times New Roman" w:cs="Times New Roman"/>
          <w:noProof/>
          <w:sz w:val="24"/>
          <w:szCs w:val="24"/>
        </w:rPr>
        <w:t>materialise in a stress scenario. This</w:t>
      </w:r>
      <w:r>
        <w:rPr>
          <w:rFonts w:ascii="Times New Roman" w:hAnsi="Times New Roman" w:cs="Times New Roman"/>
          <w:noProof/>
          <w:sz w:val="24"/>
          <w:szCs w:val="24"/>
        </w:rPr>
        <w:t xml:space="preserve"> would be detrimental to the entities clearing as the costs for a defaulting CCP will be borne by clearing members and clients, </w:t>
      </w:r>
      <w:r w:rsidR="00055DDE">
        <w:rPr>
          <w:rFonts w:ascii="Times New Roman" w:hAnsi="Times New Roman" w:cs="Times New Roman"/>
          <w:noProof/>
          <w:sz w:val="24"/>
          <w:szCs w:val="24"/>
        </w:rPr>
        <w:t xml:space="preserve">without </w:t>
      </w:r>
      <w:r w:rsidR="005E564A">
        <w:rPr>
          <w:rFonts w:ascii="Times New Roman" w:hAnsi="Times New Roman" w:cs="Times New Roman"/>
          <w:noProof/>
          <w:sz w:val="24"/>
          <w:szCs w:val="24"/>
        </w:rPr>
        <w:t>EU</w:t>
      </w:r>
      <w:r w:rsidR="00055DDE">
        <w:rPr>
          <w:rFonts w:ascii="Times New Roman" w:hAnsi="Times New Roman" w:cs="Times New Roman"/>
          <w:noProof/>
          <w:sz w:val="24"/>
          <w:szCs w:val="24"/>
        </w:rPr>
        <w:t xml:space="preserve"> supervisors </w:t>
      </w:r>
      <w:r w:rsidR="005E564A">
        <w:rPr>
          <w:rFonts w:ascii="Times New Roman" w:hAnsi="Times New Roman" w:cs="Times New Roman"/>
          <w:noProof/>
          <w:sz w:val="24"/>
          <w:szCs w:val="24"/>
        </w:rPr>
        <w:t xml:space="preserve">being able to </w:t>
      </w:r>
      <w:r w:rsidR="00055DDE">
        <w:rPr>
          <w:rFonts w:ascii="Times New Roman" w:hAnsi="Times New Roman" w:cs="Times New Roman"/>
          <w:noProof/>
          <w:sz w:val="24"/>
          <w:szCs w:val="24"/>
        </w:rPr>
        <w:t>manag</w:t>
      </w:r>
      <w:r w:rsidR="005E564A">
        <w:rPr>
          <w:rFonts w:ascii="Times New Roman" w:hAnsi="Times New Roman" w:cs="Times New Roman"/>
          <w:noProof/>
          <w:sz w:val="24"/>
          <w:szCs w:val="24"/>
        </w:rPr>
        <w:t>e</w:t>
      </w:r>
      <w:r w:rsidR="00055DDE">
        <w:rPr>
          <w:rFonts w:ascii="Times New Roman" w:hAnsi="Times New Roman" w:cs="Times New Roman"/>
          <w:noProof/>
          <w:sz w:val="24"/>
          <w:szCs w:val="24"/>
        </w:rPr>
        <w:t xml:space="preserve"> those effects. The </w:t>
      </w:r>
      <w:r w:rsidR="005E564A">
        <w:rPr>
          <w:rFonts w:ascii="Times New Roman" w:hAnsi="Times New Roman" w:cs="Times New Roman"/>
          <w:noProof/>
          <w:sz w:val="24"/>
          <w:szCs w:val="24"/>
        </w:rPr>
        <w:t>alternative</w:t>
      </w:r>
      <w:r w:rsidR="00055DDE">
        <w:rPr>
          <w:rFonts w:ascii="Times New Roman" w:hAnsi="Times New Roman" w:cs="Times New Roman"/>
          <w:noProof/>
          <w:sz w:val="24"/>
          <w:szCs w:val="24"/>
        </w:rPr>
        <w:t xml:space="preserve"> is equally detrimental to clearing members and clients</w:t>
      </w:r>
      <w:r w:rsidR="005E564A">
        <w:rPr>
          <w:rFonts w:ascii="Times New Roman" w:hAnsi="Times New Roman" w:cs="Times New Roman"/>
          <w:noProof/>
          <w:sz w:val="24"/>
          <w:szCs w:val="24"/>
        </w:rPr>
        <w:t>, notably</w:t>
      </w:r>
      <w:r w:rsidR="00055DDE">
        <w:rPr>
          <w:rFonts w:ascii="Times New Roman" w:hAnsi="Times New Roman" w:cs="Times New Roman"/>
          <w:noProof/>
          <w:sz w:val="24"/>
          <w:szCs w:val="24"/>
        </w:rPr>
        <w:t xml:space="preserve"> if ESMA in reassessing the situation concludes that the clearing services identified </w:t>
      </w:r>
      <w:r w:rsidR="007A3EBA">
        <w:rPr>
          <w:rFonts w:ascii="Times New Roman" w:hAnsi="Times New Roman" w:cs="Times New Roman"/>
          <w:noProof/>
          <w:sz w:val="24"/>
          <w:szCs w:val="24"/>
        </w:rPr>
        <w:t xml:space="preserve">in </w:t>
      </w:r>
      <w:r w:rsidR="00055DDE">
        <w:rPr>
          <w:rFonts w:ascii="Times New Roman" w:hAnsi="Times New Roman" w:cs="Times New Roman"/>
          <w:noProof/>
          <w:sz w:val="24"/>
          <w:szCs w:val="24"/>
        </w:rPr>
        <w:t>their</w:t>
      </w:r>
      <w:r w:rsidR="00055DDE" w:rsidDel="007A3EBA">
        <w:rPr>
          <w:rFonts w:ascii="Times New Roman" w:hAnsi="Times New Roman" w:cs="Times New Roman"/>
          <w:noProof/>
          <w:sz w:val="24"/>
          <w:szCs w:val="24"/>
        </w:rPr>
        <w:t xml:space="preserve"> </w:t>
      </w:r>
      <w:r w:rsidR="007A3EBA">
        <w:rPr>
          <w:rFonts w:ascii="Times New Roman" w:hAnsi="Times New Roman" w:cs="Times New Roman"/>
          <w:noProof/>
          <w:sz w:val="24"/>
          <w:szCs w:val="24"/>
        </w:rPr>
        <w:t xml:space="preserve">2021 </w:t>
      </w:r>
      <w:r w:rsidR="00055DDE">
        <w:rPr>
          <w:rFonts w:ascii="Times New Roman" w:hAnsi="Times New Roman" w:cs="Times New Roman"/>
          <w:noProof/>
          <w:sz w:val="24"/>
          <w:szCs w:val="24"/>
        </w:rPr>
        <w:t>report are still considered of substantially systemic importance, and recommend</w:t>
      </w:r>
      <w:r w:rsidR="005E564A">
        <w:rPr>
          <w:rFonts w:ascii="Times New Roman" w:hAnsi="Times New Roman" w:cs="Times New Roman"/>
          <w:noProof/>
          <w:sz w:val="24"/>
          <w:szCs w:val="24"/>
        </w:rPr>
        <w:t>s</w:t>
      </w:r>
      <w:r w:rsidR="00055DDE">
        <w:rPr>
          <w:rFonts w:ascii="Times New Roman" w:hAnsi="Times New Roman" w:cs="Times New Roman"/>
          <w:noProof/>
          <w:sz w:val="24"/>
          <w:szCs w:val="24"/>
        </w:rPr>
        <w:t xml:space="preserve"> such clearing services not to be recognised. </w:t>
      </w:r>
      <w:bookmarkStart w:id="551" w:name="_Hlk107556667"/>
    </w:p>
    <w:p w14:paraId="0EEFBEBE" w14:textId="3613B303" w:rsidR="00D211FB" w:rsidRPr="002661A8" w:rsidRDefault="00950931" w:rsidP="00753EB0">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Achieving t</w:t>
      </w:r>
      <w:r w:rsidR="00365545" w:rsidRPr="002661A8">
        <w:rPr>
          <w:rFonts w:ascii="Times New Roman" w:hAnsi="Times New Roman" w:cs="Times New Roman"/>
          <w:noProof/>
          <w:sz w:val="24"/>
          <w:szCs w:val="24"/>
        </w:rPr>
        <w:t>he objectives</w:t>
      </w:r>
      <w:r w:rsidR="0071045D">
        <w:rPr>
          <w:rFonts w:ascii="Times New Roman" w:hAnsi="Times New Roman" w:cs="Times New Roman"/>
          <w:noProof/>
          <w:sz w:val="24"/>
          <w:szCs w:val="24"/>
        </w:rPr>
        <w:t xml:space="preserve"> set out below</w:t>
      </w:r>
      <w:r w:rsidR="00365545" w:rsidRPr="002661A8">
        <w:rPr>
          <w:rFonts w:ascii="Times New Roman" w:hAnsi="Times New Roman" w:cs="Times New Roman"/>
          <w:noProof/>
          <w:sz w:val="24"/>
          <w:szCs w:val="24"/>
        </w:rPr>
        <w:t xml:space="preserve"> would help </w:t>
      </w:r>
      <w:r w:rsidR="00BE7C6B" w:rsidRPr="002661A8">
        <w:rPr>
          <w:rFonts w:ascii="Times New Roman" w:hAnsi="Times New Roman" w:cs="Times New Roman"/>
          <w:noProof/>
          <w:sz w:val="24"/>
          <w:szCs w:val="24"/>
        </w:rPr>
        <w:t>adjust the balance of costs and benefits</w:t>
      </w:r>
      <w:r w:rsidR="005D3D36" w:rsidRPr="002661A8">
        <w:rPr>
          <w:rFonts w:ascii="Times New Roman" w:hAnsi="Times New Roman" w:cs="Times New Roman"/>
          <w:noProof/>
          <w:sz w:val="24"/>
          <w:szCs w:val="24"/>
        </w:rPr>
        <w:t xml:space="preserve"> for market participants</w:t>
      </w:r>
      <w:r w:rsidR="00142CFD" w:rsidRPr="002661A8">
        <w:rPr>
          <w:rFonts w:ascii="Times New Roman" w:hAnsi="Times New Roman" w:cs="Times New Roman"/>
          <w:noProof/>
          <w:sz w:val="24"/>
          <w:szCs w:val="24"/>
        </w:rPr>
        <w:t>,</w:t>
      </w:r>
      <w:r w:rsidR="00183E10" w:rsidRPr="002661A8">
        <w:rPr>
          <w:rStyle w:val="FootnoteReference"/>
          <w:rFonts w:ascii="Times New Roman" w:hAnsi="Times New Roman" w:cs="Times New Roman"/>
          <w:noProof/>
          <w:sz w:val="24"/>
          <w:szCs w:val="24"/>
        </w:rPr>
        <w:footnoteReference w:id="116"/>
      </w:r>
      <w:r w:rsidR="00BE7C6B" w:rsidRPr="002661A8">
        <w:rPr>
          <w:rFonts w:ascii="Times New Roman" w:hAnsi="Times New Roman" w:cs="Times New Roman"/>
          <w:noProof/>
          <w:sz w:val="24"/>
          <w:szCs w:val="24"/>
        </w:rPr>
        <w:t xml:space="preserve"> reducing</w:t>
      </w:r>
      <w:r w:rsidR="000C228C" w:rsidRPr="002661A8">
        <w:rPr>
          <w:rFonts w:ascii="Times New Roman" w:hAnsi="Times New Roman" w:cs="Times New Roman"/>
          <w:noProof/>
          <w:sz w:val="24"/>
          <w:szCs w:val="24"/>
        </w:rPr>
        <w:t xml:space="preserve"> excessive</w:t>
      </w:r>
      <w:r w:rsidR="00BE7C6B" w:rsidRPr="002661A8">
        <w:rPr>
          <w:rFonts w:ascii="Times New Roman" w:hAnsi="Times New Roman" w:cs="Times New Roman"/>
          <w:noProof/>
          <w:sz w:val="24"/>
          <w:szCs w:val="24"/>
        </w:rPr>
        <w:t xml:space="preserve"> exposures to a level where </w:t>
      </w:r>
      <w:r w:rsidRPr="002661A8">
        <w:rPr>
          <w:rFonts w:ascii="Times New Roman" w:hAnsi="Times New Roman" w:cs="Times New Roman"/>
          <w:noProof/>
          <w:sz w:val="24"/>
          <w:szCs w:val="24"/>
        </w:rPr>
        <w:t xml:space="preserve">the </w:t>
      </w:r>
      <w:r w:rsidR="00BE7C6B" w:rsidRPr="002661A8">
        <w:rPr>
          <w:rFonts w:ascii="Times New Roman" w:hAnsi="Times New Roman" w:cs="Times New Roman"/>
          <w:noProof/>
          <w:sz w:val="24"/>
          <w:szCs w:val="24"/>
        </w:rPr>
        <w:t xml:space="preserve">framework for third-country CCPs introduced by EMIR 2.2 may be considered </w:t>
      </w:r>
      <w:r w:rsidR="0036208B" w:rsidRPr="002661A8">
        <w:rPr>
          <w:rFonts w:ascii="Times New Roman" w:hAnsi="Times New Roman" w:cs="Times New Roman"/>
          <w:noProof/>
          <w:sz w:val="24"/>
          <w:szCs w:val="24"/>
        </w:rPr>
        <w:t xml:space="preserve">sufficient </w:t>
      </w:r>
      <w:r w:rsidR="00BE7C6B" w:rsidRPr="002661A8">
        <w:rPr>
          <w:rFonts w:ascii="Times New Roman" w:hAnsi="Times New Roman" w:cs="Times New Roman"/>
          <w:noProof/>
          <w:sz w:val="24"/>
          <w:szCs w:val="24"/>
        </w:rPr>
        <w:t>to mitigate risks to the EU’s financial stability</w:t>
      </w:r>
      <w:r w:rsidR="0036208B" w:rsidRPr="002661A8">
        <w:rPr>
          <w:rFonts w:ascii="Times New Roman" w:hAnsi="Times New Roman" w:cs="Times New Roman"/>
          <w:noProof/>
          <w:sz w:val="24"/>
          <w:szCs w:val="24"/>
        </w:rPr>
        <w:t xml:space="preserve"> while preserving </w:t>
      </w:r>
      <w:r w:rsidR="0071045D">
        <w:rPr>
          <w:rFonts w:ascii="Times New Roman" w:hAnsi="Times New Roman" w:cs="Times New Roman"/>
          <w:noProof/>
          <w:sz w:val="24"/>
          <w:szCs w:val="24"/>
        </w:rPr>
        <w:t xml:space="preserve">access to global clearing in combination with </w:t>
      </w:r>
      <w:r w:rsidR="0036208B" w:rsidRPr="002661A8">
        <w:rPr>
          <w:rFonts w:ascii="Times New Roman" w:hAnsi="Times New Roman" w:cs="Times New Roman"/>
          <w:noProof/>
          <w:sz w:val="24"/>
          <w:szCs w:val="24"/>
        </w:rPr>
        <w:t>adequate access to clearing through competitive EU clearing members.</w:t>
      </w:r>
      <w:r w:rsidR="000574E7" w:rsidRPr="002661A8">
        <w:rPr>
          <w:rFonts w:ascii="Times New Roman" w:hAnsi="Times New Roman" w:cs="Times New Roman"/>
          <w:noProof/>
          <w:sz w:val="24"/>
          <w:szCs w:val="24"/>
        </w:rPr>
        <w:t xml:space="preserve"> This should be achieved to the largest extent possible by June 2025, when the current equivalence decision </w:t>
      </w:r>
      <w:r w:rsidR="00687E0C">
        <w:rPr>
          <w:rFonts w:ascii="Times New Roman" w:hAnsi="Times New Roman" w:cs="Times New Roman"/>
          <w:noProof/>
          <w:sz w:val="24"/>
          <w:szCs w:val="24"/>
        </w:rPr>
        <w:t xml:space="preserve">for UK CCPs </w:t>
      </w:r>
      <w:r w:rsidR="000574E7" w:rsidRPr="002661A8">
        <w:rPr>
          <w:rFonts w:ascii="Times New Roman" w:hAnsi="Times New Roman" w:cs="Times New Roman"/>
          <w:noProof/>
          <w:sz w:val="24"/>
          <w:szCs w:val="24"/>
        </w:rPr>
        <w:t>expires.</w:t>
      </w:r>
      <w:bookmarkEnd w:id="551"/>
      <w:r w:rsidR="009559B3" w:rsidRPr="002661A8">
        <w:rPr>
          <w:rFonts w:ascii="Times New Roman" w:hAnsi="Times New Roman" w:cs="Times New Roman"/>
          <w:noProof/>
          <w:sz w:val="24"/>
          <w:szCs w:val="24"/>
        </w:rPr>
        <w:t xml:space="preserve"> </w:t>
      </w:r>
      <w:r w:rsidR="0071045D">
        <w:rPr>
          <w:rFonts w:ascii="Times New Roman" w:hAnsi="Times New Roman" w:cs="Times New Roman"/>
          <w:noProof/>
          <w:sz w:val="24"/>
          <w:szCs w:val="24"/>
        </w:rPr>
        <w:t xml:space="preserve">It is envisaged that </w:t>
      </w:r>
      <w:r w:rsidR="0071045D" w:rsidRPr="00DD5CE9">
        <w:rPr>
          <w:rFonts w:ascii="Times New Roman" w:hAnsi="Times New Roman" w:cs="Times New Roman"/>
          <w:noProof/>
          <w:sz w:val="24"/>
          <w:szCs w:val="24"/>
        </w:rPr>
        <w:t>market participants anticipate the implementation and start preparing in advance</w:t>
      </w:r>
      <w:r w:rsidR="00C42085">
        <w:rPr>
          <w:rFonts w:ascii="Times New Roman" w:hAnsi="Times New Roman" w:cs="Times New Roman"/>
          <w:noProof/>
          <w:sz w:val="24"/>
          <w:szCs w:val="24"/>
        </w:rPr>
        <w:t>.</w:t>
      </w:r>
      <w:r w:rsidR="0071045D" w:rsidRPr="00DD5CE9">
        <w:rPr>
          <w:rFonts w:ascii="Times New Roman" w:hAnsi="Times New Roman" w:cs="Times New Roman"/>
          <w:noProof/>
          <w:sz w:val="24"/>
          <w:szCs w:val="24"/>
        </w:rPr>
        <w:t xml:space="preserve"> </w:t>
      </w:r>
      <w:r w:rsidR="00C42085">
        <w:rPr>
          <w:rFonts w:ascii="Times New Roman" w:hAnsi="Times New Roman" w:cs="Times New Roman"/>
          <w:noProof/>
          <w:sz w:val="24"/>
          <w:szCs w:val="24"/>
        </w:rPr>
        <w:t>M</w:t>
      </w:r>
      <w:r w:rsidR="0071045D" w:rsidRPr="00DD5CE9">
        <w:rPr>
          <w:rFonts w:ascii="Times New Roman" w:hAnsi="Times New Roman" w:cs="Times New Roman"/>
          <w:noProof/>
          <w:sz w:val="24"/>
          <w:szCs w:val="24"/>
        </w:rPr>
        <w:t>any banks</w:t>
      </w:r>
      <w:r w:rsidR="00C42085">
        <w:rPr>
          <w:rFonts w:ascii="Times New Roman" w:hAnsi="Times New Roman" w:cs="Times New Roman"/>
          <w:noProof/>
          <w:sz w:val="24"/>
          <w:szCs w:val="24"/>
        </w:rPr>
        <w:t>, for example, already</w:t>
      </w:r>
      <w:r w:rsidR="0071045D" w:rsidRPr="00DD5CE9">
        <w:rPr>
          <w:rFonts w:ascii="Times New Roman" w:hAnsi="Times New Roman" w:cs="Times New Roman"/>
          <w:noProof/>
          <w:sz w:val="24"/>
          <w:szCs w:val="24"/>
        </w:rPr>
        <w:t xml:space="preserve"> have accounts established at EU CCPs in order to anticipate Commission and ESMA decisions</w:t>
      </w:r>
      <w:r w:rsidR="00C42085">
        <w:rPr>
          <w:rFonts w:ascii="Times New Roman" w:hAnsi="Times New Roman" w:cs="Times New Roman"/>
          <w:noProof/>
          <w:sz w:val="24"/>
          <w:szCs w:val="24"/>
        </w:rPr>
        <w:t>, a</w:t>
      </w:r>
      <w:r w:rsidR="0071045D" w:rsidRPr="00DD5CE9">
        <w:rPr>
          <w:rFonts w:ascii="Times New Roman" w:hAnsi="Times New Roman" w:cs="Times New Roman"/>
          <w:noProof/>
          <w:sz w:val="24"/>
          <w:szCs w:val="24"/>
        </w:rPr>
        <w:t xml:space="preserve">s such, it is likely that the market will not wait for the full legal implementation of the </w:t>
      </w:r>
      <w:r w:rsidR="00687E0C">
        <w:rPr>
          <w:rFonts w:ascii="Times New Roman" w:hAnsi="Times New Roman" w:cs="Times New Roman"/>
          <w:noProof/>
          <w:sz w:val="24"/>
          <w:szCs w:val="24"/>
        </w:rPr>
        <w:t>proposed measures</w:t>
      </w:r>
      <w:r w:rsidR="0071045D" w:rsidRPr="00DD5CE9">
        <w:rPr>
          <w:rFonts w:ascii="Times New Roman" w:hAnsi="Times New Roman" w:cs="Times New Roman"/>
          <w:noProof/>
          <w:sz w:val="24"/>
          <w:szCs w:val="24"/>
        </w:rPr>
        <w:t xml:space="preserve"> (including, e.g. the application of any level 2 acts) to clear more in EU CCPs.</w:t>
      </w:r>
      <w:r w:rsidR="0071045D">
        <w:rPr>
          <w:rFonts w:ascii="Times New Roman" w:hAnsi="Times New Roman" w:cs="Times New Roman"/>
          <w:noProof/>
          <w:sz w:val="24"/>
          <w:szCs w:val="24"/>
        </w:rPr>
        <w:t xml:space="preserve"> </w:t>
      </w:r>
      <w:r w:rsidR="00536BA1" w:rsidRPr="002661A8">
        <w:rPr>
          <w:rFonts w:ascii="Times New Roman" w:hAnsi="Times New Roman" w:cs="Times New Roman"/>
          <w:noProof/>
          <w:sz w:val="24"/>
          <w:szCs w:val="24"/>
        </w:rPr>
        <w:t>Furthermore, e</w:t>
      </w:r>
      <w:r w:rsidR="00D211FB" w:rsidRPr="002661A8">
        <w:rPr>
          <w:rFonts w:ascii="Times New Roman" w:hAnsi="Times New Roman" w:cs="Times New Roman"/>
          <w:noProof/>
          <w:sz w:val="24"/>
          <w:szCs w:val="24"/>
        </w:rPr>
        <w:t>fficient and resilient derivatives markets are essential for the functioning of CMU</w:t>
      </w:r>
      <w:r w:rsidR="00536BA1" w:rsidRPr="002661A8">
        <w:rPr>
          <w:rFonts w:ascii="Times New Roman" w:hAnsi="Times New Roman" w:cs="Times New Roman"/>
          <w:noProof/>
          <w:sz w:val="24"/>
          <w:szCs w:val="24"/>
        </w:rPr>
        <w:t>,</w:t>
      </w:r>
      <w:r w:rsidR="00D211FB" w:rsidRPr="002661A8">
        <w:rPr>
          <w:rFonts w:ascii="Times New Roman" w:hAnsi="Times New Roman" w:cs="Times New Roman"/>
          <w:noProof/>
          <w:sz w:val="24"/>
          <w:szCs w:val="24"/>
        </w:rPr>
        <w:t xml:space="preserve"> an important building block of an economy that works for people, in line with the </w:t>
      </w:r>
      <w:r w:rsidR="00F4154B" w:rsidRPr="002661A8">
        <w:rPr>
          <w:rFonts w:ascii="Times New Roman" w:hAnsi="Times New Roman" w:cs="Times New Roman"/>
          <w:noProof/>
          <w:sz w:val="24"/>
          <w:szCs w:val="24"/>
        </w:rPr>
        <w:t xml:space="preserve">Commission’s </w:t>
      </w:r>
      <w:r w:rsidR="00D211FB" w:rsidRPr="002661A8">
        <w:rPr>
          <w:rFonts w:ascii="Times New Roman" w:hAnsi="Times New Roman" w:cs="Times New Roman"/>
          <w:noProof/>
          <w:sz w:val="24"/>
          <w:szCs w:val="24"/>
        </w:rPr>
        <w:t>strategic priorities.</w:t>
      </w:r>
    </w:p>
    <w:p w14:paraId="37AD4585" w14:textId="7689C4D0" w:rsidR="009F5CDB" w:rsidRPr="002661A8" w:rsidRDefault="009F5CDB" w:rsidP="0071045D">
      <w:pPr>
        <w:spacing w:after="120" w:line="240" w:lineRule="auto"/>
        <w:rPr>
          <w:rFonts w:ascii="Times New Roman" w:hAnsi="Times New Roman" w:cs="Times New Roman"/>
          <w:noProof/>
          <w:sz w:val="24"/>
          <w:szCs w:val="24"/>
        </w:rPr>
      </w:pPr>
      <w:r w:rsidRPr="002661A8">
        <w:rPr>
          <w:rFonts w:ascii="Times New Roman" w:hAnsi="Times New Roman" w:cs="Times New Roman"/>
          <w:b/>
          <w:bCs/>
          <w:noProof/>
          <w:sz w:val="24"/>
          <w:szCs w:val="24"/>
          <w:u w:val="single"/>
        </w:rPr>
        <w:t xml:space="preserve">Figure </w:t>
      </w:r>
      <w:r w:rsidR="00536BA1" w:rsidRPr="002661A8">
        <w:rPr>
          <w:rFonts w:ascii="Times New Roman" w:hAnsi="Times New Roman" w:cs="Times New Roman"/>
          <w:b/>
          <w:bCs/>
          <w:noProof/>
          <w:sz w:val="24"/>
          <w:szCs w:val="24"/>
          <w:u w:val="single"/>
        </w:rPr>
        <w:t>3</w:t>
      </w:r>
      <w:r w:rsidRPr="002661A8">
        <w:rPr>
          <w:rFonts w:ascii="Times New Roman" w:hAnsi="Times New Roman" w:cs="Times New Roman"/>
          <w:b/>
          <w:bCs/>
          <w:noProof/>
          <w:sz w:val="24"/>
          <w:szCs w:val="24"/>
          <w:u w:val="single"/>
        </w:rPr>
        <w:t>: objectives tree</w:t>
      </w:r>
    </w:p>
    <w:p w14:paraId="0D3D75FA" w14:textId="51E21191" w:rsidR="00EB7D98" w:rsidRPr="002661A8" w:rsidRDefault="001D166C" w:rsidP="006B1602">
      <w:pPr>
        <w:spacing w:after="120"/>
        <w:jc w:val="center"/>
        <w:rPr>
          <w:noProof/>
          <w:sz w:val="24"/>
          <w:szCs w:val="24"/>
        </w:rPr>
      </w:pPr>
      <w:r w:rsidRPr="002661A8">
        <w:rPr>
          <w:noProof/>
          <w:lang w:eastAsia="en-GB"/>
        </w:rPr>
        <w:drawing>
          <wp:inline distT="0" distB="0" distL="0" distR="0" wp14:anchorId="2C91F133" wp14:editId="465258AB">
            <wp:extent cx="3764098" cy="1867644"/>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86707" cy="1878862"/>
                    </a:xfrm>
                    <a:prstGeom prst="rect">
                      <a:avLst/>
                    </a:prstGeom>
                  </pic:spPr>
                </pic:pic>
              </a:graphicData>
            </a:graphic>
          </wp:inline>
        </w:drawing>
      </w:r>
    </w:p>
    <w:p w14:paraId="217C89CA" w14:textId="0B69C82F" w:rsidR="006B087E" w:rsidRPr="002661A8" w:rsidRDefault="3FA542DF" w:rsidP="00ED5088">
      <w:pPr>
        <w:pStyle w:val="Heading1"/>
        <w:numPr>
          <w:ilvl w:val="1"/>
          <w:numId w:val="6"/>
        </w:numPr>
        <w:spacing w:before="0" w:after="120"/>
        <w:rPr>
          <w:smallCaps w:val="0"/>
          <w:noProof/>
        </w:rPr>
      </w:pPr>
      <w:bookmarkStart w:id="552" w:name="_Specific_objectives"/>
      <w:bookmarkStart w:id="553" w:name="_Toc103337483"/>
      <w:bookmarkStart w:id="554" w:name="_Toc104309985"/>
      <w:bookmarkStart w:id="555" w:name="_Toc105656430"/>
      <w:bookmarkStart w:id="556" w:name="_Toc106827830"/>
      <w:bookmarkStart w:id="557" w:name="_Toc107853683"/>
      <w:bookmarkStart w:id="558" w:name="_Toc107493846"/>
      <w:bookmarkStart w:id="559" w:name="_Toc107497882"/>
      <w:bookmarkStart w:id="560" w:name="_Toc107503435"/>
      <w:bookmarkStart w:id="561" w:name="_Toc107504583"/>
      <w:bookmarkStart w:id="562" w:name="_Toc107505428"/>
      <w:bookmarkStart w:id="563" w:name="_Toc107838904"/>
      <w:bookmarkStart w:id="564" w:name="_Toc107846999"/>
      <w:bookmarkStart w:id="565" w:name="_Toc107849236"/>
      <w:bookmarkStart w:id="566" w:name="_Toc108539806"/>
      <w:bookmarkStart w:id="567" w:name="_Toc108539924"/>
      <w:bookmarkStart w:id="568" w:name="_Toc109057382"/>
      <w:bookmarkStart w:id="569" w:name="_Toc109120748"/>
      <w:bookmarkStart w:id="570" w:name="_Toc109122383"/>
      <w:bookmarkStart w:id="571" w:name="_Toc109133120"/>
      <w:bookmarkStart w:id="572" w:name="_Toc120291654"/>
      <w:bookmarkStart w:id="573" w:name="_Toc106981706"/>
      <w:bookmarkEnd w:id="552"/>
      <w:r w:rsidRPr="002661A8">
        <w:rPr>
          <w:smallCaps w:val="0"/>
          <w:noProof/>
        </w:rPr>
        <w:t>Specific objectives</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bookmarkEnd w:id="573"/>
    <w:p w14:paraId="41BEC833" w14:textId="61737C42" w:rsidR="006B087E" w:rsidRPr="002661A8" w:rsidRDefault="00D211FB" w:rsidP="00007C18">
      <w:pPr>
        <w:spacing w:after="6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There are three specific objectives, relating to the </w:t>
      </w:r>
      <w:r w:rsidR="00D64A11" w:rsidRPr="002661A8">
        <w:rPr>
          <w:rFonts w:ascii="Times New Roman" w:hAnsi="Times New Roman" w:cs="Times New Roman"/>
          <w:noProof/>
          <w:sz w:val="24"/>
          <w:szCs w:val="24"/>
        </w:rPr>
        <w:t xml:space="preserve">four </w:t>
      </w:r>
      <w:r w:rsidRPr="002661A8">
        <w:rPr>
          <w:rFonts w:ascii="Times New Roman" w:hAnsi="Times New Roman" w:cs="Times New Roman"/>
          <w:noProof/>
          <w:sz w:val="24"/>
          <w:szCs w:val="24"/>
        </w:rPr>
        <w:t>problem drivers</w:t>
      </w:r>
      <w:r w:rsidR="005C2F86" w:rsidRPr="002661A8">
        <w:rPr>
          <w:rFonts w:ascii="Times New Roman" w:hAnsi="Times New Roman" w:cs="Times New Roman"/>
          <w:noProof/>
          <w:sz w:val="24"/>
          <w:szCs w:val="24"/>
        </w:rPr>
        <w:t>:</w:t>
      </w:r>
    </w:p>
    <w:p w14:paraId="108AB29E" w14:textId="4BEDF5D2" w:rsidR="00D211FB" w:rsidRPr="002661A8" w:rsidRDefault="00913682" w:rsidP="00ED5088">
      <w:pPr>
        <w:pStyle w:val="ListParagraph"/>
        <w:numPr>
          <w:ilvl w:val="0"/>
          <w:numId w:val="12"/>
        </w:numPr>
        <w:spacing w:after="60" w:line="240" w:lineRule="auto"/>
        <w:ind w:left="284" w:hanging="284"/>
        <w:contextualSpacing w:val="0"/>
        <w:jc w:val="both"/>
        <w:rPr>
          <w:rFonts w:ascii="Times New Roman" w:hAnsi="Times New Roman" w:cs="Times New Roman"/>
          <w:noProof/>
          <w:sz w:val="24"/>
        </w:rPr>
      </w:pPr>
      <w:bookmarkStart w:id="574" w:name="_Toc103337484"/>
      <w:bookmarkStart w:id="575" w:name="_Toc104309986"/>
      <w:bookmarkStart w:id="576" w:name="_Toc105656431"/>
      <w:bookmarkStart w:id="577" w:name="_Toc106827831"/>
      <w:bookmarkStart w:id="578" w:name="_Toc106981707"/>
      <w:bookmarkStart w:id="579" w:name="_Toc107493847"/>
      <w:bookmarkStart w:id="580" w:name="_Toc107497883"/>
      <w:bookmarkStart w:id="581" w:name="_Toc107503436"/>
      <w:bookmarkStart w:id="582" w:name="_Toc107504584"/>
      <w:bookmarkStart w:id="583" w:name="_Toc107505429"/>
      <w:bookmarkStart w:id="584" w:name="_Toc107838905"/>
      <w:bookmarkStart w:id="585" w:name="_Toc107847000"/>
      <w:bookmarkStart w:id="586" w:name="_Toc107849237"/>
      <w:bookmarkStart w:id="587" w:name="_Toc107853684"/>
      <w:r w:rsidRPr="002661A8">
        <w:rPr>
          <w:rFonts w:ascii="Times New Roman" w:hAnsi="Times New Roman" w:cs="Times New Roman"/>
          <w:noProof/>
          <w:sz w:val="24"/>
          <w:u w:val="single"/>
        </w:rPr>
        <w:t xml:space="preserve">Improve the </w:t>
      </w:r>
      <w:r w:rsidR="00963B2E" w:rsidRPr="002661A8">
        <w:rPr>
          <w:rFonts w:ascii="Times New Roman" w:hAnsi="Times New Roman" w:cs="Times New Roman"/>
          <w:noProof/>
          <w:sz w:val="24"/>
          <w:u w:val="single"/>
        </w:rPr>
        <w:t>attractiveness</w:t>
      </w:r>
      <w:r w:rsidR="00D211FB" w:rsidRPr="002661A8">
        <w:rPr>
          <w:rFonts w:ascii="Times New Roman" w:hAnsi="Times New Roman" w:cs="Times New Roman"/>
          <w:noProof/>
          <w:sz w:val="24"/>
          <w:u w:val="single"/>
        </w:rPr>
        <w:t xml:space="preserve"> of EU CCPs</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rsidR="00F4154B" w:rsidRPr="002661A8">
        <w:rPr>
          <w:rFonts w:ascii="Times New Roman" w:hAnsi="Times New Roman" w:cs="Times New Roman"/>
          <w:noProof/>
          <w:sz w:val="24"/>
          <w:u w:val="single"/>
        </w:rPr>
        <w:t>:</w:t>
      </w:r>
      <w:r w:rsidR="00F4154B" w:rsidRPr="002661A8">
        <w:rPr>
          <w:rFonts w:ascii="Times New Roman" w:hAnsi="Times New Roman" w:cs="Times New Roman"/>
          <w:i/>
          <w:noProof/>
          <w:sz w:val="24"/>
        </w:rPr>
        <w:t xml:space="preserve"> </w:t>
      </w:r>
      <w:r w:rsidR="00CF44BD" w:rsidRPr="002661A8">
        <w:rPr>
          <w:rFonts w:ascii="Times New Roman" w:hAnsi="Times New Roman" w:cs="Times New Roman"/>
          <w:noProof/>
          <w:sz w:val="24"/>
        </w:rPr>
        <w:t>CCPs are catalysts of financial stability</w:t>
      </w:r>
      <w:r w:rsidR="00453FB5" w:rsidRPr="002661A8">
        <w:rPr>
          <w:rFonts w:ascii="Times New Roman" w:hAnsi="Times New Roman" w:cs="Times New Roman"/>
          <w:noProof/>
          <w:sz w:val="24"/>
        </w:rPr>
        <w:t xml:space="preserve"> and need to respond to the needs of the market dynamically</w:t>
      </w:r>
      <w:r w:rsidR="00FC787A" w:rsidRPr="002661A8">
        <w:rPr>
          <w:rFonts w:ascii="Times New Roman" w:hAnsi="Times New Roman" w:cs="Times New Roman"/>
          <w:noProof/>
          <w:sz w:val="24"/>
        </w:rPr>
        <w:t xml:space="preserve">. </w:t>
      </w:r>
      <w:r w:rsidR="00453FB5" w:rsidRPr="002661A8">
        <w:rPr>
          <w:rFonts w:ascii="Times New Roman" w:hAnsi="Times New Roman" w:cs="Times New Roman"/>
          <w:noProof/>
          <w:sz w:val="24"/>
        </w:rPr>
        <w:t xml:space="preserve">To </w:t>
      </w:r>
      <w:r w:rsidR="005C2F86" w:rsidRPr="002661A8">
        <w:rPr>
          <w:rFonts w:ascii="Times New Roman" w:hAnsi="Times New Roman" w:cs="Times New Roman"/>
          <w:noProof/>
          <w:sz w:val="24"/>
        </w:rPr>
        <w:t xml:space="preserve">enable </w:t>
      </w:r>
      <w:r w:rsidR="00D462EE" w:rsidRPr="002661A8">
        <w:rPr>
          <w:rFonts w:ascii="Times New Roman" w:hAnsi="Times New Roman" w:cs="Times New Roman"/>
          <w:noProof/>
          <w:sz w:val="24"/>
        </w:rPr>
        <w:t xml:space="preserve">them </w:t>
      </w:r>
      <w:r w:rsidR="005C2F86" w:rsidRPr="002661A8">
        <w:rPr>
          <w:rFonts w:ascii="Times New Roman" w:hAnsi="Times New Roman" w:cs="Times New Roman"/>
          <w:noProof/>
          <w:sz w:val="24"/>
        </w:rPr>
        <w:t>to do</w:t>
      </w:r>
      <w:r w:rsidR="00D462EE" w:rsidRPr="002661A8">
        <w:rPr>
          <w:rFonts w:ascii="Times New Roman" w:hAnsi="Times New Roman" w:cs="Times New Roman"/>
          <w:noProof/>
          <w:sz w:val="24"/>
        </w:rPr>
        <w:t xml:space="preserve"> this</w:t>
      </w:r>
      <w:r w:rsidR="00453FB5" w:rsidRPr="002661A8">
        <w:rPr>
          <w:rFonts w:ascii="Times New Roman" w:hAnsi="Times New Roman" w:cs="Times New Roman"/>
          <w:noProof/>
          <w:sz w:val="24"/>
        </w:rPr>
        <w:t xml:space="preserve">, the initiative </w:t>
      </w:r>
      <w:r w:rsidR="00D462EE" w:rsidRPr="002661A8">
        <w:rPr>
          <w:rFonts w:ascii="Times New Roman" w:hAnsi="Times New Roman" w:cs="Times New Roman"/>
          <w:noProof/>
          <w:sz w:val="24"/>
        </w:rPr>
        <w:t xml:space="preserve">aims </w:t>
      </w:r>
      <w:r w:rsidR="00453FB5" w:rsidRPr="002661A8">
        <w:rPr>
          <w:rFonts w:ascii="Times New Roman" w:hAnsi="Times New Roman" w:cs="Times New Roman"/>
          <w:noProof/>
          <w:sz w:val="24"/>
        </w:rPr>
        <w:t>to</w:t>
      </w:r>
      <w:r w:rsidR="00CF44BD" w:rsidRPr="002661A8">
        <w:rPr>
          <w:rFonts w:ascii="Times New Roman" w:hAnsi="Times New Roman" w:cs="Times New Roman"/>
          <w:noProof/>
          <w:sz w:val="24"/>
        </w:rPr>
        <w:t xml:space="preserve"> </w:t>
      </w:r>
      <w:r w:rsidR="00D462EE" w:rsidRPr="002661A8">
        <w:rPr>
          <w:rFonts w:ascii="Times New Roman" w:hAnsi="Times New Roman" w:cs="Times New Roman"/>
          <w:noProof/>
          <w:sz w:val="24"/>
        </w:rPr>
        <w:t>improve the ability of</w:t>
      </w:r>
      <w:r w:rsidR="00CF44BD" w:rsidRPr="002661A8">
        <w:rPr>
          <w:rFonts w:ascii="Times New Roman" w:hAnsi="Times New Roman" w:cs="Times New Roman"/>
          <w:noProof/>
          <w:sz w:val="24"/>
        </w:rPr>
        <w:t xml:space="preserve"> EU CCPs to </w:t>
      </w:r>
      <w:r w:rsidR="00C42085">
        <w:rPr>
          <w:rFonts w:ascii="Times New Roman" w:hAnsi="Times New Roman" w:cs="Times New Roman"/>
          <w:noProof/>
          <w:sz w:val="24"/>
        </w:rPr>
        <w:t xml:space="preserve">quicker adopt to changes in market demand and therefore be more </w:t>
      </w:r>
      <w:r w:rsidR="00CF44BD" w:rsidRPr="002661A8">
        <w:rPr>
          <w:rFonts w:ascii="Times New Roman" w:hAnsi="Times New Roman" w:cs="Times New Roman"/>
          <w:noProof/>
          <w:sz w:val="24"/>
        </w:rPr>
        <w:t>compet</w:t>
      </w:r>
      <w:r w:rsidR="002950B9">
        <w:rPr>
          <w:rFonts w:ascii="Times New Roman" w:hAnsi="Times New Roman" w:cs="Times New Roman"/>
          <w:noProof/>
          <w:sz w:val="24"/>
        </w:rPr>
        <w:t>itive</w:t>
      </w:r>
      <w:r w:rsidR="00CF44BD" w:rsidRPr="002661A8" w:rsidDel="002950B9">
        <w:rPr>
          <w:rFonts w:ascii="Times New Roman" w:hAnsi="Times New Roman" w:cs="Times New Roman"/>
          <w:noProof/>
          <w:sz w:val="24"/>
        </w:rPr>
        <w:t>.</w:t>
      </w:r>
      <w:r w:rsidR="00735C7C" w:rsidRPr="002661A8" w:rsidDel="002950B9">
        <w:rPr>
          <w:rFonts w:ascii="Times New Roman" w:hAnsi="Times New Roman" w:cs="Times New Roman"/>
          <w:noProof/>
          <w:sz w:val="24"/>
        </w:rPr>
        <w:t xml:space="preserve"> </w:t>
      </w:r>
    </w:p>
    <w:p w14:paraId="3F83F4C4" w14:textId="02FC65B7" w:rsidR="00913682" w:rsidRPr="002661A8" w:rsidRDefault="00913682" w:rsidP="00ED5088">
      <w:pPr>
        <w:pStyle w:val="ListParagraph"/>
        <w:numPr>
          <w:ilvl w:val="0"/>
          <w:numId w:val="12"/>
        </w:numPr>
        <w:spacing w:after="60" w:line="240" w:lineRule="auto"/>
        <w:ind w:left="284" w:hanging="284"/>
        <w:contextualSpacing w:val="0"/>
        <w:jc w:val="both"/>
        <w:rPr>
          <w:rFonts w:ascii="Times New Roman" w:hAnsi="Times New Roman" w:cs="Times New Roman"/>
          <w:noProof/>
          <w:sz w:val="24"/>
        </w:rPr>
      </w:pPr>
      <w:bookmarkStart w:id="588" w:name="_Toc103337485"/>
      <w:bookmarkStart w:id="589" w:name="_Toc104309987"/>
      <w:bookmarkStart w:id="590" w:name="_Toc105656432"/>
      <w:bookmarkStart w:id="591" w:name="_Toc106827832"/>
      <w:bookmarkStart w:id="592" w:name="_Toc106981708"/>
      <w:bookmarkStart w:id="593" w:name="_Toc107493848"/>
      <w:bookmarkStart w:id="594" w:name="_Toc107497884"/>
      <w:bookmarkStart w:id="595" w:name="_Toc107503437"/>
      <w:bookmarkStart w:id="596" w:name="_Toc107504585"/>
      <w:bookmarkStart w:id="597" w:name="_Toc107505430"/>
      <w:bookmarkStart w:id="598" w:name="_Toc107838906"/>
      <w:bookmarkStart w:id="599" w:name="_Toc107847001"/>
      <w:bookmarkStart w:id="600" w:name="_Toc107849238"/>
      <w:bookmarkStart w:id="601" w:name="_Toc107853685"/>
      <w:r w:rsidRPr="002661A8">
        <w:rPr>
          <w:rFonts w:ascii="Times New Roman" w:hAnsi="Times New Roman" w:cs="Times New Roman"/>
          <w:noProof/>
          <w:sz w:val="24"/>
          <w:u w:val="single"/>
        </w:rPr>
        <w:t>Encourage clearing in EU CCPs</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00F4154B" w:rsidRPr="002661A8">
        <w:rPr>
          <w:rFonts w:ascii="Times New Roman" w:hAnsi="Times New Roman" w:cs="Times New Roman"/>
          <w:i/>
          <w:noProof/>
          <w:sz w:val="24"/>
        </w:rPr>
        <w:t xml:space="preserve">: </w:t>
      </w:r>
      <w:r w:rsidR="00183E10" w:rsidRPr="002661A8">
        <w:rPr>
          <w:rFonts w:ascii="Times New Roman" w:hAnsi="Times New Roman" w:cs="Times New Roman"/>
          <w:noProof/>
          <w:sz w:val="24"/>
        </w:rPr>
        <w:t>T</w:t>
      </w:r>
      <w:r w:rsidRPr="002661A8">
        <w:rPr>
          <w:rFonts w:ascii="Times New Roman" w:hAnsi="Times New Roman" w:cs="Times New Roman"/>
          <w:noProof/>
          <w:sz w:val="24"/>
        </w:rPr>
        <w:t xml:space="preserve">his initiative </w:t>
      </w:r>
      <w:r w:rsidR="00D462EE" w:rsidRPr="002661A8">
        <w:rPr>
          <w:rFonts w:ascii="Times New Roman" w:hAnsi="Times New Roman" w:cs="Times New Roman"/>
          <w:noProof/>
          <w:sz w:val="24"/>
        </w:rPr>
        <w:t xml:space="preserve">aims to </w:t>
      </w:r>
      <w:r w:rsidR="00724009" w:rsidRPr="002661A8">
        <w:rPr>
          <w:rFonts w:ascii="Times New Roman" w:hAnsi="Times New Roman" w:cs="Times New Roman"/>
          <w:noProof/>
          <w:sz w:val="24"/>
        </w:rPr>
        <w:t xml:space="preserve">encourage clearing in </w:t>
      </w:r>
      <w:r w:rsidRPr="002661A8">
        <w:rPr>
          <w:rFonts w:ascii="Times New Roman" w:hAnsi="Times New Roman" w:cs="Times New Roman"/>
          <w:noProof/>
          <w:sz w:val="24"/>
        </w:rPr>
        <w:t>EU CCPs</w:t>
      </w:r>
      <w:r w:rsidR="005A4CE0" w:rsidRPr="002661A8">
        <w:rPr>
          <w:rFonts w:ascii="Times New Roman" w:hAnsi="Times New Roman" w:cs="Times New Roman"/>
          <w:noProof/>
          <w:sz w:val="24"/>
        </w:rPr>
        <w:t xml:space="preserve"> </w:t>
      </w:r>
      <w:r w:rsidR="002950B9">
        <w:rPr>
          <w:rFonts w:ascii="Times New Roman" w:hAnsi="Times New Roman" w:cs="Times New Roman"/>
          <w:noProof/>
          <w:sz w:val="24"/>
        </w:rPr>
        <w:t xml:space="preserve">and </w:t>
      </w:r>
      <w:r w:rsidR="005A4CE0" w:rsidRPr="002661A8">
        <w:rPr>
          <w:rFonts w:ascii="Times New Roman" w:hAnsi="Times New Roman" w:cs="Times New Roman"/>
          <w:noProof/>
          <w:sz w:val="24"/>
        </w:rPr>
        <w:t xml:space="preserve">to </w:t>
      </w:r>
      <w:r w:rsidR="00644A84" w:rsidRPr="002661A8">
        <w:rPr>
          <w:rFonts w:ascii="Times New Roman" w:hAnsi="Times New Roman" w:cs="Times New Roman"/>
          <w:noProof/>
          <w:sz w:val="24"/>
        </w:rPr>
        <w:t xml:space="preserve">reduce </w:t>
      </w:r>
      <w:r w:rsidR="002950B9">
        <w:rPr>
          <w:rFonts w:ascii="Times New Roman" w:hAnsi="Times New Roman" w:cs="Times New Roman"/>
          <w:noProof/>
          <w:sz w:val="24"/>
        </w:rPr>
        <w:t xml:space="preserve">certain </w:t>
      </w:r>
      <w:r w:rsidR="00644A84" w:rsidRPr="002661A8">
        <w:rPr>
          <w:rFonts w:ascii="Times New Roman" w:hAnsi="Times New Roman" w:cs="Times New Roman"/>
          <w:noProof/>
          <w:sz w:val="24"/>
        </w:rPr>
        <w:t xml:space="preserve">over-reliance on </w:t>
      </w:r>
      <w:r w:rsidR="00C97709" w:rsidRPr="002661A8">
        <w:rPr>
          <w:rFonts w:ascii="Times New Roman" w:hAnsi="Times New Roman" w:cs="Times New Roman"/>
          <w:noProof/>
          <w:sz w:val="24"/>
        </w:rPr>
        <w:t>Tier 2</w:t>
      </w:r>
      <w:r w:rsidR="00644A84" w:rsidRPr="002661A8">
        <w:rPr>
          <w:rFonts w:ascii="Times New Roman" w:hAnsi="Times New Roman" w:cs="Times New Roman"/>
          <w:noProof/>
          <w:sz w:val="24"/>
        </w:rPr>
        <w:t xml:space="preserve"> CCP</w:t>
      </w:r>
      <w:r w:rsidR="00746DE8" w:rsidRPr="002661A8">
        <w:rPr>
          <w:rFonts w:ascii="Times New Roman" w:hAnsi="Times New Roman" w:cs="Times New Roman"/>
          <w:noProof/>
          <w:sz w:val="24"/>
        </w:rPr>
        <w:t>s</w:t>
      </w:r>
      <w:r w:rsidR="00644A84" w:rsidRPr="002661A8">
        <w:rPr>
          <w:rFonts w:ascii="Times New Roman" w:hAnsi="Times New Roman" w:cs="Times New Roman"/>
          <w:noProof/>
          <w:sz w:val="24"/>
        </w:rPr>
        <w:t xml:space="preserve">, </w:t>
      </w:r>
      <w:r w:rsidR="002950B9">
        <w:rPr>
          <w:rFonts w:ascii="Times New Roman" w:hAnsi="Times New Roman" w:cs="Times New Roman"/>
          <w:noProof/>
          <w:sz w:val="24"/>
        </w:rPr>
        <w:t>and thereby</w:t>
      </w:r>
      <w:r w:rsidR="00644A84" w:rsidRPr="002661A8">
        <w:rPr>
          <w:rFonts w:ascii="Times New Roman" w:hAnsi="Times New Roman" w:cs="Times New Roman"/>
          <w:noProof/>
          <w:sz w:val="24"/>
        </w:rPr>
        <w:t xml:space="preserve"> preserving</w:t>
      </w:r>
      <w:r w:rsidR="005A4CE0" w:rsidRPr="002661A8">
        <w:rPr>
          <w:rFonts w:ascii="Times New Roman" w:hAnsi="Times New Roman" w:cs="Times New Roman"/>
          <w:noProof/>
          <w:sz w:val="24"/>
        </w:rPr>
        <w:t xml:space="preserve"> financial stability,</w:t>
      </w:r>
      <w:r w:rsidR="00BE2FB2" w:rsidRPr="002661A8">
        <w:rPr>
          <w:rFonts w:ascii="Times New Roman" w:hAnsi="Times New Roman" w:cs="Times New Roman"/>
          <w:noProof/>
          <w:sz w:val="24"/>
        </w:rPr>
        <w:t xml:space="preserve"> </w:t>
      </w:r>
      <w:r w:rsidR="00D12E87" w:rsidRPr="002661A8">
        <w:rPr>
          <w:rFonts w:ascii="Times New Roman" w:hAnsi="Times New Roman" w:cs="Times New Roman"/>
          <w:noProof/>
          <w:sz w:val="24"/>
        </w:rPr>
        <w:t xml:space="preserve">increasing choice in the EU, </w:t>
      </w:r>
      <w:r w:rsidR="00916DE1" w:rsidRPr="002661A8">
        <w:rPr>
          <w:rFonts w:ascii="Times New Roman" w:hAnsi="Times New Roman" w:cs="Times New Roman"/>
          <w:noProof/>
          <w:sz w:val="24"/>
        </w:rPr>
        <w:t>i</w:t>
      </w:r>
      <w:r w:rsidRPr="002661A8">
        <w:rPr>
          <w:rFonts w:ascii="Times New Roman" w:hAnsi="Times New Roman" w:cs="Times New Roman"/>
          <w:noProof/>
          <w:sz w:val="24"/>
        </w:rPr>
        <w:t>ncreasing liquidity and participation</w:t>
      </w:r>
      <w:r w:rsidR="005A4CE0" w:rsidRPr="002661A8">
        <w:rPr>
          <w:rFonts w:ascii="Times New Roman" w:hAnsi="Times New Roman" w:cs="Times New Roman"/>
          <w:noProof/>
          <w:sz w:val="24"/>
        </w:rPr>
        <w:t>,</w:t>
      </w:r>
      <w:r w:rsidRPr="002661A8">
        <w:rPr>
          <w:rFonts w:ascii="Times New Roman" w:hAnsi="Times New Roman" w:cs="Times New Roman"/>
          <w:noProof/>
          <w:sz w:val="24"/>
        </w:rPr>
        <w:t xml:space="preserve"> and </w:t>
      </w:r>
      <w:r w:rsidR="00D12E87" w:rsidRPr="002661A8">
        <w:rPr>
          <w:rFonts w:ascii="Times New Roman" w:hAnsi="Times New Roman" w:cs="Times New Roman"/>
          <w:noProof/>
          <w:sz w:val="24"/>
        </w:rPr>
        <w:t xml:space="preserve">contributing to </w:t>
      </w:r>
      <w:r w:rsidR="005A4CE0" w:rsidRPr="002661A8">
        <w:rPr>
          <w:rFonts w:ascii="Times New Roman" w:hAnsi="Times New Roman" w:cs="Times New Roman"/>
          <w:noProof/>
          <w:sz w:val="24"/>
        </w:rPr>
        <w:t>the EU’s open strategic autonomy</w:t>
      </w:r>
      <w:r w:rsidRPr="002661A8">
        <w:rPr>
          <w:rFonts w:ascii="Times New Roman" w:hAnsi="Times New Roman" w:cs="Times New Roman"/>
          <w:noProof/>
          <w:sz w:val="24"/>
        </w:rPr>
        <w:t>.</w:t>
      </w:r>
      <w:r w:rsidR="00A40CBD" w:rsidRPr="002661A8">
        <w:rPr>
          <w:rFonts w:ascii="Times New Roman" w:hAnsi="Times New Roman" w:cs="Times New Roman"/>
          <w:noProof/>
          <w:sz w:val="24"/>
        </w:rPr>
        <w:t xml:space="preserve"> </w:t>
      </w:r>
    </w:p>
    <w:p w14:paraId="024A6ED6" w14:textId="7D284986" w:rsidR="00D211FB" w:rsidRPr="002661A8" w:rsidRDefault="004B06AD" w:rsidP="00ED5088">
      <w:pPr>
        <w:pStyle w:val="ListParagraph"/>
        <w:numPr>
          <w:ilvl w:val="0"/>
          <w:numId w:val="12"/>
        </w:numPr>
        <w:spacing w:after="120" w:line="240" w:lineRule="auto"/>
        <w:ind w:left="284" w:hanging="284"/>
        <w:contextualSpacing w:val="0"/>
        <w:jc w:val="both"/>
        <w:rPr>
          <w:rFonts w:ascii="Times New Roman" w:hAnsi="Times New Roman" w:cs="Times New Roman"/>
          <w:noProof/>
          <w:sz w:val="24"/>
        </w:rPr>
      </w:pPr>
      <w:bookmarkStart w:id="602" w:name="_Toc107853686"/>
      <w:r w:rsidRPr="002661A8">
        <w:rPr>
          <w:rFonts w:ascii="Times New Roman" w:hAnsi="Times New Roman" w:cs="Times New Roman"/>
          <w:noProof/>
          <w:sz w:val="24"/>
          <w:u w:val="single"/>
        </w:rPr>
        <w:t>Enhance the assessment and management of</w:t>
      </w:r>
      <w:r w:rsidR="0055632B" w:rsidRPr="002661A8">
        <w:rPr>
          <w:rFonts w:ascii="Times New Roman" w:hAnsi="Times New Roman" w:cs="Times New Roman"/>
          <w:noProof/>
          <w:sz w:val="24"/>
          <w:u w:val="single"/>
        </w:rPr>
        <w:t xml:space="preserve"> cross-border risks</w:t>
      </w:r>
      <w:bookmarkEnd w:id="602"/>
      <w:r w:rsidR="00F4154B" w:rsidRPr="002661A8">
        <w:rPr>
          <w:rFonts w:ascii="Times New Roman" w:hAnsi="Times New Roman" w:cs="Times New Roman"/>
          <w:noProof/>
          <w:sz w:val="24"/>
          <w:u w:val="single"/>
        </w:rPr>
        <w:t>:</w:t>
      </w:r>
      <w:r w:rsidR="00F4154B" w:rsidRPr="002661A8">
        <w:rPr>
          <w:rFonts w:ascii="Times New Roman" w:hAnsi="Times New Roman" w:cs="Times New Roman"/>
          <w:noProof/>
          <w:sz w:val="24"/>
        </w:rPr>
        <w:t xml:space="preserve"> </w:t>
      </w:r>
      <w:r w:rsidR="000F56CB" w:rsidRPr="002661A8">
        <w:rPr>
          <w:rFonts w:ascii="Times New Roman" w:hAnsi="Times New Roman" w:cs="Times New Roman"/>
          <w:noProof/>
          <w:sz w:val="24"/>
        </w:rPr>
        <w:t>T</w:t>
      </w:r>
      <w:r w:rsidR="00D462EE" w:rsidRPr="002661A8">
        <w:rPr>
          <w:rFonts w:ascii="Times New Roman" w:hAnsi="Times New Roman" w:cs="Times New Roman"/>
          <w:noProof/>
          <w:sz w:val="24"/>
        </w:rPr>
        <w:t>his initiative aims to address</w:t>
      </w:r>
      <w:r w:rsidR="001E7AD7" w:rsidRPr="002661A8">
        <w:rPr>
          <w:rFonts w:ascii="Times New Roman" w:hAnsi="Times New Roman" w:cs="Times New Roman"/>
          <w:noProof/>
          <w:sz w:val="24"/>
        </w:rPr>
        <w:t xml:space="preserve"> gap</w:t>
      </w:r>
      <w:r w:rsidR="00D462EE" w:rsidRPr="002661A8">
        <w:rPr>
          <w:rFonts w:ascii="Times New Roman" w:hAnsi="Times New Roman" w:cs="Times New Roman"/>
          <w:noProof/>
          <w:sz w:val="24"/>
        </w:rPr>
        <w:t>s</w:t>
      </w:r>
      <w:r w:rsidR="001E7AD7" w:rsidRPr="002661A8">
        <w:rPr>
          <w:rFonts w:ascii="Times New Roman" w:hAnsi="Times New Roman" w:cs="Times New Roman"/>
          <w:noProof/>
          <w:sz w:val="24"/>
        </w:rPr>
        <w:t xml:space="preserve"> in the way cross-border risk is assessed and managed in the EU</w:t>
      </w:r>
      <w:r w:rsidR="004D4008">
        <w:rPr>
          <w:rFonts w:ascii="Times New Roman" w:hAnsi="Times New Roman" w:cs="Times New Roman"/>
          <w:noProof/>
          <w:sz w:val="24"/>
        </w:rPr>
        <w:t xml:space="preserve"> and thereby </w:t>
      </w:r>
      <w:r w:rsidR="000F56CB" w:rsidRPr="002661A8">
        <w:rPr>
          <w:rFonts w:ascii="Times New Roman" w:hAnsi="Times New Roman" w:cs="Times New Roman"/>
          <w:noProof/>
          <w:sz w:val="24"/>
        </w:rPr>
        <w:t>ensur</w:t>
      </w:r>
      <w:r w:rsidR="004D4008">
        <w:rPr>
          <w:rFonts w:ascii="Times New Roman" w:hAnsi="Times New Roman" w:cs="Times New Roman"/>
          <w:noProof/>
          <w:sz w:val="24"/>
        </w:rPr>
        <w:t>ing</w:t>
      </w:r>
      <w:r w:rsidR="000F56CB" w:rsidRPr="002661A8">
        <w:rPr>
          <w:rFonts w:ascii="Times New Roman" w:hAnsi="Times New Roman" w:cs="Times New Roman"/>
          <w:noProof/>
          <w:sz w:val="24"/>
        </w:rPr>
        <w:t xml:space="preserve"> a</w:t>
      </w:r>
      <w:r w:rsidR="00183E10" w:rsidRPr="002661A8">
        <w:rPr>
          <w:rFonts w:ascii="Times New Roman" w:hAnsi="Times New Roman" w:cs="Times New Roman"/>
          <w:noProof/>
          <w:sz w:val="24"/>
        </w:rPr>
        <w:t xml:space="preserve"> level playing field</w:t>
      </w:r>
      <w:r w:rsidR="004D4008">
        <w:rPr>
          <w:rFonts w:ascii="Times New Roman" w:hAnsi="Times New Roman" w:cs="Times New Roman"/>
          <w:noProof/>
          <w:sz w:val="24"/>
        </w:rPr>
        <w:t xml:space="preserve"> and</w:t>
      </w:r>
      <w:r w:rsidR="005C2F86" w:rsidRPr="002661A8">
        <w:rPr>
          <w:rFonts w:ascii="Times New Roman" w:hAnsi="Times New Roman" w:cs="Times New Roman"/>
          <w:noProof/>
          <w:sz w:val="24"/>
        </w:rPr>
        <w:t xml:space="preserve"> avoiding</w:t>
      </w:r>
      <w:r w:rsidR="001E7AD7" w:rsidRPr="002661A8">
        <w:rPr>
          <w:rFonts w:ascii="Times New Roman" w:hAnsi="Times New Roman" w:cs="Times New Roman"/>
          <w:noProof/>
          <w:sz w:val="24"/>
        </w:rPr>
        <w:t xml:space="preserve"> EMIR rules </w:t>
      </w:r>
      <w:r w:rsidR="005C2F86" w:rsidRPr="002661A8">
        <w:rPr>
          <w:rFonts w:ascii="Times New Roman" w:hAnsi="Times New Roman" w:cs="Times New Roman"/>
          <w:noProof/>
          <w:sz w:val="24"/>
        </w:rPr>
        <w:t xml:space="preserve">being </w:t>
      </w:r>
      <w:r w:rsidR="001E7AD7" w:rsidRPr="002661A8">
        <w:rPr>
          <w:rFonts w:ascii="Times New Roman" w:hAnsi="Times New Roman" w:cs="Times New Roman"/>
          <w:noProof/>
          <w:sz w:val="24"/>
        </w:rPr>
        <w:t xml:space="preserve">applied differently depending on the place of establishment of EU CCPs. </w:t>
      </w:r>
    </w:p>
    <w:p w14:paraId="4F1320BF" w14:textId="77777777" w:rsidR="006B087E" w:rsidRPr="002661A8" w:rsidRDefault="3FA542DF" w:rsidP="00ED5088">
      <w:pPr>
        <w:pStyle w:val="Heading1"/>
        <w:numPr>
          <w:ilvl w:val="0"/>
          <w:numId w:val="6"/>
        </w:numPr>
        <w:spacing w:before="0" w:after="120"/>
        <w:rPr>
          <w:noProof/>
        </w:rPr>
      </w:pPr>
      <w:bookmarkStart w:id="603" w:name="_Toc103337487"/>
      <w:bookmarkStart w:id="604" w:name="_Toc104309989"/>
      <w:bookmarkStart w:id="605" w:name="_Toc105656434"/>
      <w:bookmarkStart w:id="606" w:name="_Toc106827834"/>
      <w:bookmarkStart w:id="607" w:name="_Toc106981710"/>
      <w:bookmarkStart w:id="608" w:name="_Toc107493850"/>
      <w:bookmarkStart w:id="609" w:name="_Toc107497886"/>
      <w:bookmarkStart w:id="610" w:name="_Toc107503439"/>
      <w:bookmarkStart w:id="611" w:name="_Toc107504587"/>
      <w:bookmarkStart w:id="612" w:name="_Toc107505432"/>
      <w:bookmarkStart w:id="613" w:name="_Toc107838908"/>
      <w:bookmarkStart w:id="614" w:name="_Toc107847003"/>
      <w:bookmarkStart w:id="615" w:name="_Toc107849240"/>
      <w:bookmarkStart w:id="616" w:name="_Toc107853687"/>
      <w:bookmarkStart w:id="617" w:name="_Toc108539807"/>
      <w:bookmarkStart w:id="618" w:name="_Toc108539925"/>
      <w:bookmarkStart w:id="619" w:name="_Toc109057383"/>
      <w:bookmarkStart w:id="620" w:name="_Toc109120749"/>
      <w:bookmarkStart w:id="621" w:name="_Toc109122384"/>
      <w:bookmarkStart w:id="622" w:name="_Toc109133121"/>
      <w:bookmarkStart w:id="623" w:name="_Toc120291655"/>
      <w:r w:rsidRPr="002661A8">
        <w:rPr>
          <w:noProof/>
        </w:rPr>
        <w:t>What are the available policy options?</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7912DBF7" w14:textId="0B9897B8" w:rsidR="0080089E" w:rsidRPr="002661A8" w:rsidDel="006A131A" w:rsidRDefault="3FA542DF" w:rsidP="00ED5088">
      <w:pPr>
        <w:pStyle w:val="Heading1"/>
        <w:numPr>
          <w:ilvl w:val="1"/>
          <w:numId w:val="6"/>
        </w:numPr>
        <w:spacing w:before="0" w:after="120"/>
        <w:rPr>
          <w:smallCaps w:val="0"/>
          <w:noProof/>
        </w:rPr>
      </w:pPr>
      <w:bookmarkStart w:id="624" w:name="_What_is_the"/>
      <w:bookmarkStart w:id="625" w:name="_Toc103337488"/>
      <w:bookmarkStart w:id="626" w:name="_Toc106827835"/>
      <w:bookmarkStart w:id="627" w:name="_Toc104309990"/>
      <w:bookmarkStart w:id="628" w:name="_Toc105656435"/>
      <w:bookmarkStart w:id="629" w:name="_Toc106981711"/>
      <w:bookmarkStart w:id="630" w:name="_Toc107493851"/>
      <w:bookmarkStart w:id="631" w:name="_Toc107497887"/>
      <w:bookmarkStart w:id="632" w:name="_Toc107503440"/>
      <w:bookmarkStart w:id="633" w:name="_Toc107504588"/>
      <w:bookmarkStart w:id="634" w:name="_Toc107505433"/>
      <w:bookmarkStart w:id="635" w:name="_Toc107838909"/>
      <w:bookmarkStart w:id="636" w:name="_Toc107847004"/>
      <w:bookmarkStart w:id="637" w:name="_Toc107849241"/>
      <w:bookmarkStart w:id="638" w:name="_Toc107853688"/>
      <w:bookmarkStart w:id="639" w:name="_Toc108539808"/>
      <w:bookmarkStart w:id="640" w:name="_Toc108539926"/>
      <w:bookmarkStart w:id="641" w:name="_Toc109057384"/>
      <w:bookmarkStart w:id="642" w:name="_Toc109120750"/>
      <w:bookmarkStart w:id="643" w:name="_Toc109122385"/>
      <w:bookmarkStart w:id="644" w:name="_Toc109133122"/>
      <w:bookmarkStart w:id="645" w:name="_Toc120291656"/>
      <w:bookmarkEnd w:id="624"/>
      <w:r w:rsidRPr="002661A8" w:rsidDel="006A131A">
        <w:rPr>
          <w:smallCaps w:val="0"/>
          <w:noProof/>
        </w:rPr>
        <w:t>What is the baseline from which options are assessed?</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76818DEC" w14:textId="382BAC52" w:rsidR="00196273" w:rsidRPr="002661A8" w:rsidDel="008F575A" w:rsidRDefault="00FE63C5" w:rsidP="003E58F2">
      <w:pPr>
        <w:pStyle w:val="Text1"/>
        <w:spacing w:after="120"/>
        <w:ind w:left="0"/>
        <w:rPr>
          <w:noProof/>
        </w:rPr>
      </w:pPr>
      <w:bookmarkStart w:id="646" w:name="_Hlk107556452"/>
      <w:bookmarkStart w:id="647" w:name="_Toc103337489"/>
      <w:r w:rsidRPr="002661A8" w:rsidDel="00963F80">
        <w:rPr>
          <w:rFonts w:eastAsiaTheme="minorEastAsia"/>
          <w:noProof/>
        </w:rPr>
        <w:t>T</w:t>
      </w:r>
      <w:r w:rsidR="00DB5ED6" w:rsidRPr="002661A8" w:rsidDel="00963F80">
        <w:rPr>
          <w:rFonts w:eastAsiaTheme="minorEastAsia"/>
          <w:noProof/>
        </w:rPr>
        <w:t>he baseline</w:t>
      </w:r>
      <w:r w:rsidR="004D4008">
        <w:rPr>
          <w:rFonts w:eastAsiaTheme="minorEastAsia"/>
          <w:noProof/>
        </w:rPr>
        <w:t>,</w:t>
      </w:r>
      <w:r w:rsidR="00DB5ED6" w:rsidRPr="002661A8" w:rsidDel="00963F80">
        <w:rPr>
          <w:rFonts w:eastAsiaTheme="minorEastAsia"/>
          <w:noProof/>
        </w:rPr>
        <w:t xml:space="preserve"> against which policy options are assessed</w:t>
      </w:r>
      <w:r w:rsidR="004D4008">
        <w:rPr>
          <w:rFonts w:eastAsiaTheme="minorEastAsia"/>
          <w:noProof/>
        </w:rPr>
        <w:t>,</w:t>
      </w:r>
      <w:r w:rsidR="00DB5ED6" w:rsidRPr="002661A8" w:rsidDel="00963F80">
        <w:rPr>
          <w:rFonts w:eastAsiaTheme="minorEastAsia"/>
          <w:noProof/>
        </w:rPr>
        <w:t xml:space="preserve"> is the scenario under which EMIR and other relevant EU </w:t>
      </w:r>
      <w:r w:rsidR="00907ED0" w:rsidRPr="002661A8">
        <w:rPr>
          <w:rFonts w:eastAsiaTheme="minorEastAsia"/>
          <w:noProof/>
        </w:rPr>
        <w:t>legislation</w:t>
      </w:r>
      <w:r w:rsidR="004D4008">
        <w:rPr>
          <w:rFonts w:eastAsiaTheme="minorEastAsia"/>
          <w:noProof/>
        </w:rPr>
        <w:t>s</w:t>
      </w:r>
      <w:r w:rsidR="00907ED0" w:rsidRPr="002661A8" w:rsidDel="00963F80">
        <w:rPr>
          <w:rFonts w:eastAsiaTheme="minorEastAsia"/>
          <w:noProof/>
        </w:rPr>
        <w:t xml:space="preserve"> </w:t>
      </w:r>
      <w:r w:rsidR="00DB5ED6" w:rsidRPr="002661A8" w:rsidDel="00963F80">
        <w:rPr>
          <w:rFonts w:eastAsiaTheme="minorEastAsia"/>
          <w:noProof/>
        </w:rPr>
        <w:t>are left unchanged</w:t>
      </w:r>
      <w:r w:rsidR="00D53A7F" w:rsidRPr="002661A8" w:rsidDel="00963F80">
        <w:rPr>
          <w:rFonts w:eastAsiaTheme="minorEastAsia"/>
          <w:noProof/>
        </w:rPr>
        <w:t xml:space="preserve">, </w:t>
      </w:r>
      <w:r w:rsidR="004D4008">
        <w:rPr>
          <w:rFonts w:eastAsiaTheme="minorEastAsia"/>
          <w:noProof/>
        </w:rPr>
        <w:t xml:space="preserve">and thereby </w:t>
      </w:r>
      <w:r w:rsidR="00D53A7F" w:rsidRPr="002661A8" w:rsidDel="00963F80">
        <w:rPr>
          <w:rFonts w:eastAsiaTheme="minorEastAsia"/>
          <w:noProof/>
        </w:rPr>
        <w:t xml:space="preserve">leaving the problems to evolve as described in </w:t>
      </w:r>
      <w:hyperlink w:anchor="_How_likely_is" w:history="1">
        <w:r w:rsidR="00D53A7F" w:rsidRPr="002661A8" w:rsidDel="00963F80">
          <w:rPr>
            <w:rStyle w:val="Hyperlink"/>
            <w:rFonts w:eastAsiaTheme="minorEastAsia"/>
            <w:noProof/>
          </w:rPr>
          <w:t xml:space="preserve">Section </w:t>
        </w:r>
        <w:r w:rsidR="00E43631" w:rsidRPr="002661A8">
          <w:rPr>
            <w:rStyle w:val="Hyperlink"/>
            <w:rFonts w:eastAsiaTheme="minorEastAsia"/>
            <w:noProof/>
          </w:rPr>
          <w:t>3.3</w:t>
        </w:r>
      </w:hyperlink>
      <w:r w:rsidR="00DB5ED6" w:rsidRPr="002661A8" w:rsidDel="007C2883">
        <w:rPr>
          <w:rFonts w:eastAsiaTheme="minorEastAsia"/>
          <w:noProof/>
        </w:rPr>
        <w:t>.</w:t>
      </w:r>
      <w:r w:rsidR="00DB5ED6" w:rsidRPr="002661A8" w:rsidDel="00963F80">
        <w:rPr>
          <w:rFonts w:eastAsiaTheme="minorEastAsia"/>
          <w:noProof/>
        </w:rPr>
        <w:t xml:space="preserve"> </w:t>
      </w:r>
      <w:r w:rsidR="00907ED0" w:rsidRPr="002661A8">
        <w:rPr>
          <w:rFonts w:eastAsiaTheme="minorEastAsia"/>
          <w:noProof/>
        </w:rPr>
        <w:t>That</w:t>
      </w:r>
      <w:r w:rsidR="00907ED0" w:rsidRPr="002661A8" w:rsidDel="00963F80">
        <w:rPr>
          <w:rFonts w:eastAsiaTheme="minorEastAsia"/>
          <w:noProof/>
        </w:rPr>
        <w:t xml:space="preserve"> </w:t>
      </w:r>
      <w:r w:rsidR="00D53A7F" w:rsidRPr="002661A8" w:rsidDel="00963F80">
        <w:rPr>
          <w:rFonts w:eastAsiaTheme="minorEastAsia"/>
          <w:noProof/>
        </w:rPr>
        <w:t>is the ‘do-nothing’ option against which the policy options are assessed</w:t>
      </w:r>
      <w:r w:rsidR="00413165" w:rsidRPr="002661A8">
        <w:rPr>
          <w:rFonts w:eastAsiaTheme="minorEastAsia"/>
          <w:noProof/>
        </w:rPr>
        <w:t xml:space="preserve"> (Option 1 in the options below)</w:t>
      </w:r>
      <w:r w:rsidR="00D53A7F" w:rsidRPr="002661A8" w:rsidDel="00963F80">
        <w:rPr>
          <w:rFonts w:eastAsiaTheme="minorEastAsia"/>
          <w:noProof/>
        </w:rPr>
        <w:t>.</w:t>
      </w:r>
      <w:r w:rsidR="00D53A7F" w:rsidRPr="002661A8" w:rsidDel="00963F80">
        <w:rPr>
          <w:rFonts w:eastAsiaTheme="minorHAnsi"/>
          <w:b/>
          <w:smallCaps/>
          <w:noProof/>
          <w:szCs w:val="24"/>
        </w:rPr>
        <w:t xml:space="preserve"> </w:t>
      </w:r>
      <w:bookmarkStart w:id="648" w:name="_Toc103337491"/>
      <w:bookmarkStart w:id="649" w:name="_Toc103337493"/>
      <w:bookmarkEnd w:id="646"/>
      <w:bookmarkEnd w:id="647"/>
      <w:bookmarkEnd w:id="648"/>
      <w:bookmarkEnd w:id="649"/>
    </w:p>
    <w:p w14:paraId="7E23EAB2" w14:textId="1BF89EE7" w:rsidR="0080089E" w:rsidRPr="002661A8" w:rsidRDefault="0080089E" w:rsidP="00ED5088">
      <w:pPr>
        <w:pStyle w:val="Heading1"/>
        <w:numPr>
          <w:ilvl w:val="1"/>
          <w:numId w:val="6"/>
        </w:numPr>
        <w:spacing w:before="0" w:after="120"/>
        <w:rPr>
          <w:smallCaps w:val="0"/>
          <w:noProof/>
        </w:rPr>
      </w:pPr>
      <w:bookmarkStart w:id="650" w:name="_Description_of_the"/>
      <w:bookmarkStart w:id="651" w:name="_Toc103337495"/>
      <w:bookmarkStart w:id="652" w:name="_Toc104309994"/>
      <w:bookmarkStart w:id="653" w:name="_Toc105656439"/>
      <w:bookmarkStart w:id="654" w:name="_Toc106827839"/>
      <w:bookmarkStart w:id="655" w:name="_Toc106981715"/>
      <w:bookmarkStart w:id="656" w:name="_Toc107493855"/>
      <w:bookmarkStart w:id="657" w:name="_Toc107497891"/>
      <w:bookmarkStart w:id="658" w:name="_Toc107503444"/>
      <w:bookmarkStart w:id="659" w:name="_Toc107504592"/>
      <w:bookmarkStart w:id="660" w:name="_Toc107505437"/>
      <w:bookmarkStart w:id="661" w:name="_Toc107838913"/>
      <w:bookmarkStart w:id="662" w:name="_Toc107847008"/>
      <w:bookmarkStart w:id="663" w:name="_Toc107849245"/>
      <w:bookmarkStart w:id="664" w:name="_Toc107853692"/>
      <w:bookmarkStart w:id="665" w:name="_Toc108539809"/>
      <w:bookmarkStart w:id="666" w:name="_Toc108539927"/>
      <w:bookmarkStart w:id="667" w:name="_Toc109057385"/>
      <w:bookmarkStart w:id="668" w:name="_Toc109120751"/>
      <w:bookmarkStart w:id="669" w:name="_Toc109122386"/>
      <w:bookmarkStart w:id="670" w:name="_Toc109133123"/>
      <w:bookmarkStart w:id="671" w:name="_Toc120291657"/>
      <w:bookmarkEnd w:id="650"/>
      <w:r w:rsidRPr="002661A8">
        <w:rPr>
          <w:smallCaps w:val="0"/>
          <w:noProof/>
        </w:rPr>
        <w:t>Description of the policy options</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42EFA979" w14:textId="47A3202A" w:rsidR="0080089E" w:rsidRPr="002661A8" w:rsidRDefault="0080089E" w:rsidP="0099105D">
      <w:pPr>
        <w:pStyle w:val="Text1"/>
        <w:spacing w:after="120"/>
        <w:ind w:left="0"/>
        <w:rPr>
          <w:rFonts w:eastAsiaTheme="minorEastAsia"/>
          <w:b/>
          <w:smallCaps/>
          <w:noProof/>
        </w:rPr>
      </w:pPr>
      <w:bookmarkStart w:id="672" w:name="_Toc103337496"/>
      <w:bookmarkStart w:id="673" w:name="_Toc104309995"/>
      <w:r w:rsidRPr="002661A8">
        <w:rPr>
          <w:rFonts w:eastAsiaTheme="minorEastAsia"/>
          <w:noProof/>
        </w:rPr>
        <w:t xml:space="preserve">This chapter sets out the policy options considered to </w:t>
      </w:r>
      <w:r w:rsidR="00EA4058" w:rsidRPr="002661A8">
        <w:rPr>
          <w:rFonts w:eastAsiaTheme="minorEastAsia"/>
          <w:noProof/>
        </w:rPr>
        <w:t>achieve</w:t>
      </w:r>
      <w:r w:rsidRPr="002661A8">
        <w:rPr>
          <w:rFonts w:eastAsiaTheme="minorEastAsia"/>
          <w:noProof/>
        </w:rPr>
        <w:t xml:space="preserve"> the three specific objectives described in </w:t>
      </w:r>
      <w:hyperlink w:anchor="_Specific_objectives" w:history="1">
        <w:r w:rsidR="00E43631" w:rsidRPr="002661A8">
          <w:rPr>
            <w:rStyle w:val="Hyperlink"/>
            <w:rFonts w:eastAsiaTheme="minorEastAsia"/>
            <w:noProof/>
          </w:rPr>
          <w:t>S</w:t>
        </w:r>
        <w:r w:rsidRPr="002661A8">
          <w:rPr>
            <w:rStyle w:val="Hyperlink"/>
            <w:rFonts w:eastAsiaTheme="minorEastAsia"/>
            <w:noProof/>
          </w:rPr>
          <w:t>ection</w:t>
        </w:r>
        <w:r w:rsidR="005F15C1" w:rsidRPr="002661A8">
          <w:rPr>
            <w:rStyle w:val="Hyperlink"/>
            <w:rFonts w:eastAsiaTheme="minorEastAsia"/>
            <w:noProof/>
          </w:rPr>
          <w:t xml:space="preserve"> 5.2</w:t>
        </w:r>
      </w:hyperlink>
      <w:r w:rsidRPr="002661A8">
        <w:rPr>
          <w:rFonts w:eastAsiaTheme="minorEastAsia"/>
          <w:noProof/>
        </w:rPr>
        <w:t xml:space="preserve">. </w:t>
      </w:r>
      <w:bookmarkEnd w:id="672"/>
      <w:bookmarkEnd w:id="673"/>
    </w:p>
    <w:p w14:paraId="68B068FB" w14:textId="71B4B777" w:rsidR="00C97590" w:rsidRPr="002661A8" w:rsidRDefault="008C620E" w:rsidP="00ED5088">
      <w:pPr>
        <w:pStyle w:val="Heading1"/>
        <w:numPr>
          <w:ilvl w:val="2"/>
          <w:numId w:val="6"/>
        </w:numPr>
        <w:spacing w:before="0" w:after="120"/>
        <w:rPr>
          <w:rFonts w:eastAsiaTheme="minorEastAsia"/>
          <w:b w:val="0"/>
          <w:i/>
          <w:smallCaps w:val="0"/>
          <w:noProof/>
        </w:rPr>
      </w:pPr>
      <w:bookmarkStart w:id="674" w:name="_Toc103337497"/>
      <w:bookmarkStart w:id="675" w:name="_Toc104309996"/>
      <w:bookmarkStart w:id="676" w:name="_Toc105656440"/>
      <w:bookmarkStart w:id="677" w:name="_Toc106827840"/>
      <w:bookmarkStart w:id="678" w:name="_Toc106981716"/>
      <w:bookmarkStart w:id="679" w:name="_Toc107493856"/>
      <w:bookmarkStart w:id="680" w:name="_Toc107497892"/>
      <w:bookmarkStart w:id="681" w:name="_Toc107503445"/>
      <w:bookmarkStart w:id="682" w:name="_Toc107504593"/>
      <w:bookmarkStart w:id="683" w:name="_Toc107505438"/>
      <w:bookmarkStart w:id="684" w:name="_Toc107838914"/>
      <w:bookmarkStart w:id="685" w:name="_Toc107847009"/>
      <w:bookmarkStart w:id="686" w:name="_Toc107849246"/>
      <w:bookmarkStart w:id="687" w:name="_Toc107853693"/>
      <w:bookmarkStart w:id="688" w:name="_Toc108539588"/>
      <w:bookmarkStart w:id="689" w:name="_Toc108539810"/>
      <w:bookmarkStart w:id="690" w:name="_Toc108539928"/>
      <w:bookmarkStart w:id="691" w:name="_Toc108540007"/>
      <w:bookmarkStart w:id="692" w:name="_Toc109057386"/>
      <w:bookmarkStart w:id="693" w:name="_Toc109120752"/>
      <w:bookmarkStart w:id="694" w:name="_Toc109122387"/>
      <w:bookmarkStart w:id="695" w:name="_Toc109124100"/>
      <w:bookmarkStart w:id="696" w:name="_Toc109133124"/>
      <w:bookmarkStart w:id="697" w:name="_Toc109133300"/>
      <w:bookmarkStart w:id="698" w:name="_Toc120291658"/>
      <w:r w:rsidRPr="002661A8">
        <w:rPr>
          <w:b w:val="0"/>
          <w:i/>
          <w:smallCaps w:val="0"/>
          <w:noProof/>
        </w:rPr>
        <w:t xml:space="preserve">Improve the </w:t>
      </w:r>
      <w:r w:rsidR="00FE4BB5" w:rsidRPr="002661A8">
        <w:rPr>
          <w:b w:val="0"/>
          <w:i/>
          <w:smallCaps w:val="0"/>
          <w:noProof/>
        </w:rPr>
        <w:t>attractiveness</w:t>
      </w:r>
      <w:r w:rsidRPr="002661A8">
        <w:rPr>
          <w:b w:val="0"/>
          <w:i/>
          <w:smallCaps w:val="0"/>
          <w:noProof/>
        </w:rPr>
        <w:t xml:space="preserve"> of EU CCP</w:t>
      </w:r>
      <w:r w:rsidR="005D7516" w:rsidRPr="002661A8">
        <w:rPr>
          <w:b w:val="0"/>
          <w:i/>
          <w:smallCaps w:val="0"/>
          <w:noProof/>
        </w:rPr>
        <w:t>s</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r w:rsidR="00287387" w:rsidRPr="002661A8">
        <w:rPr>
          <w:b w:val="0"/>
          <w:i/>
          <w:smallCaps w:val="0"/>
          <w:noProof/>
        </w:rPr>
        <w:t xml:space="preserve"> </w:t>
      </w:r>
    </w:p>
    <w:p w14:paraId="52B8672F" w14:textId="5DE0BDF4" w:rsidR="00C97590" w:rsidRPr="002661A8" w:rsidRDefault="00C97590" w:rsidP="00FD2BC6">
      <w:pPr>
        <w:pStyle w:val="Text1"/>
        <w:spacing w:after="120"/>
        <w:ind w:left="0"/>
        <w:rPr>
          <w:rFonts w:eastAsiaTheme="minorEastAsia"/>
          <w:noProof/>
        </w:rPr>
      </w:pPr>
      <w:bookmarkStart w:id="699" w:name="_Toc103337498"/>
      <w:bookmarkStart w:id="700" w:name="_Toc104309997"/>
      <w:r w:rsidRPr="002661A8">
        <w:rPr>
          <w:rFonts w:eastAsiaTheme="minorEastAsia"/>
          <w:noProof/>
        </w:rPr>
        <w:t xml:space="preserve">The objective is to </w:t>
      </w:r>
      <w:r w:rsidR="002F2F85" w:rsidRPr="002F2F85">
        <w:rPr>
          <w:rFonts w:eastAsiaTheme="minorEastAsia"/>
          <w:noProof/>
        </w:rPr>
        <w:t xml:space="preserve">enhance the CMU </w:t>
      </w:r>
      <w:r w:rsidR="002F2F85">
        <w:rPr>
          <w:rFonts w:eastAsiaTheme="minorEastAsia"/>
          <w:noProof/>
        </w:rPr>
        <w:t xml:space="preserve">and to </w:t>
      </w:r>
      <w:r w:rsidRPr="002661A8">
        <w:rPr>
          <w:rFonts w:eastAsiaTheme="minorEastAsia"/>
          <w:noProof/>
        </w:rPr>
        <w:t xml:space="preserve">enhance the </w:t>
      </w:r>
      <w:r w:rsidR="00FE4BB5" w:rsidRPr="002661A8">
        <w:rPr>
          <w:rFonts w:eastAsiaTheme="minorEastAsia"/>
          <w:noProof/>
        </w:rPr>
        <w:t>attractiveness</w:t>
      </w:r>
      <w:r w:rsidR="005D7516" w:rsidRPr="002661A8">
        <w:rPr>
          <w:rFonts w:eastAsiaTheme="minorEastAsia"/>
          <w:noProof/>
        </w:rPr>
        <w:t xml:space="preserve"> </w:t>
      </w:r>
      <w:r w:rsidRPr="002661A8">
        <w:rPr>
          <w:rFonts w:eastAsiaTheme="minorEastAsia"/>
          <w:noProof/>
        </w:rPr>
        <w:t>of EU CCPs</w:t>
      </w:r>
      <w:r w:rsidR="004D4008">
        <w:rPr>
          <w:rFonts w:eastAsiaTheme="minorEastAsia"/>
          <w:noProof/>
        </w:rPr>
        <w:t xml:space="preserve"> and</w:t>
      </w:r>
      <w:r w:rsidRPr="002661A8">
        <w:rPr>
          <w:rFonts w:eastAsiaTheme="minorEastAsia"/>
          <w:noProof/>
        </w:rPr>
        <w:t xml:space="preserve"> </w:t>
      </w:r>
      <w:r w:rsidR="00907ED0" w:rsidRPr="002661A8">
        <w:rPr>
          <w:rFonts w:eastAsiaTheme="minorEastAsia"/>
          <w:noProof/>
        </w:rPr>
        <w:t xml:space="preserve">to </w:t>
      </w:r>
      <w:r w:rsidR="00913FFB">
        <w:rPr>
          <w:rFonts w:eastAsiaTheme="minorEastAsia"/>
          <w:noProof/>
        </w:rPr>
        <w:t xml:space="preserve">mitigate certain identified issues with </w:t>
      </w:r>
      <w:r w:rsidR="00913FFB" w:rsidRPr="00913FFB">
        <w:rPr>
          <w:rFonts w:eastAsiaTheme="minorEastAsia"/>
          <w:noProof/>
        </w:rPr>
        <w:t xml:space="preserve">long, burdensome and complex </w:t>
      </w:r>
      <w:r w:rsidR="00913FFB">
        <w:rPr>
          <w:rFonts w:eastAsiaTheme="minorEastAsia"/>
          <w:noProof/>
        </w:rPr>
        <w:t xml:space="preserve">application </w:t>
      </w:r>
      <w:r w:rsidR="00204DB0">
        <w:rPr>
          <w:rFonts w:eastAsiaTheme="minorEastAsia"/>
          <w:noProof/>
        </w:rPr>
        <w:t>processes</w:t>
      </w:r>
      <w:r w:rsidR="00913FFB">
        <w:rPr>
          <w:rFonts w:eastAsiaTheme="minorEastAsia"/>
          <w:noProof/>
        </w:rPr>
        <w:t xml:space="preserve"> and allow EU CCPs to quickly </w:t>
      </w:r>
      <w:r w:rsidR="00913FFB" w:rsidRPr="00913FFB">
        <w:rPr>
          <w:rFonts w:eastAsiaTheme="minorEastAsia"/>
          <w:noProof/>
        </w:rPr>
        <w:t xml:space="preserve">respond to market developments, </w:t>
      </w:r>
      <w:r w:rsidR="00913FFB">
        <w:rPr>
          <w:rFonts w:eastAsiaTheme="minorEastAsia"/>
          <w:noProof/>
        </w:rPr>
        <w:t xml:space="preserve">and thereby swiftly </w:t>
      </w:r>
      <w:r w:rsidR="00913FFB" w:rsidRPr="00913FFB">
        <w:rPr>
          <w:rFonts w:eastAsiaTheme="minorEastAsia"/>
          <w:noProof/>
        </w:rPr>
        <w:t xml:space="preserve">bring new products to the market </w:t>
      </w:r>
      <w:r w:rsidR="00913FFB">
        <w:rPr>
          <w:rFonts w:eastAsiaTheme="minorEastAsia"/>
          <w:noProof/>
        </w:rPr>
        <w:t xml:space="preserve">to </w:t>
      </w:r>
      <w:r w:rsidR="00913FFB" w:rsidRPr="00913FFB">
        <w:rPr>
          <w:rFonts w:eastAsiaTheme="minorEastAsia"/>
          <w:noProof/>
        </w:rPr>
        <w:t>meet the demands of market participants</w:t>
      </w:r>
      <w:r w:rsidR="002F2F85">
        <w:rPr>
          <w:rFonts w:eastAsiaTheme="minorEastAsia"/>
          <w:noProof/>
        </w:rPr>
        <w:t xml:space="preserve"> thereby </w:t>
      </w:r>
      <w:r w:rsidR="002F2F85" w:rsidRPr="002F2F85">
        <w:rPr>
          <w:rFonts w:eastAsiaTheme="minorEastAsia"/>
          <w:noProof/>
        </w:rPr>
        <w:t>safeguard</w:t>
      </w:r>
      <w:r w:rsidR="002F2F85">
        <w:rPr>
          <w:rFonts w:eastAsiaTheme="minorEastAsia"/>
          <w:noProof/>
        </w:rPr>
        <w:t>ing</w:t>
      </w:r>
      <w:r w:rsidR="002F2F85" w:rsidRPr="002F2F85">
        <w:rPr>
          <w:rFonts w:eastAsiaTheme="minorEastAsia"/>
          <w:noProof/>
        </w:rPr>
        <w:t xml:space="preserve"> financial stability</w:t>
      </w:r>
      <w:r w:rsidR="002F2F85">
        <w:rPr>
          <w:rFonts w:eastAsiaTheme="minorEastAsia"/>
          <w:noProof/>
        </w:rPr>
        <w:t>.</w:t>
      </w:r>
      <w:r w:rsidR="002F2F85" w:rsidRPr="002F2F85">
        <w:rPr>
          <w:rFonts w:eastAsiaTheme="minorEastAsia"/>
          <w:noProof/>
        </w:rPr>
        <w:t xml:space="preserve"> </w:t>
      </w:r>
      <w:r w:rsidRPr="002661A8">
        <w:rPr>
          <w:rFonts w:eastAsiaTheme="minorEastAsia"/>
          <w:noProof/>
        </w:rPr>
        <w:t xml:space="preserve">In the table below, options </w:t>
      </w:r>
      <w:r w:rsidR="00510C11">
        <w:rPr>
          <w:rFonts w:eastAsiaTheme="minorEastAsia"/>
          <w:noProof/>
        </w:rPr>
        <w:t>A</w:t>
      </w:r>
      <w:r w:rsidRPr="002661A8">
        <w:rPr>
          <w:rFonts w:eastAsiaTheme="minorEastAsia"/>
          <w:noProof/>
        </w:rPr>
        <w:t xml:space="preserve">2 and </w:t>
      </w:r>
      <w:r w:rsidR="00510C11">
        <w:rPr>
          <w:rFonts w:eastAsiaTheme="minorEastAsia"/>
          <w:noProof/>
        </w:rPr>
        <w:t>A</w:t>
      </w:r>
      <w:r w:rsidRPr="002661A8">
        <w:rPr>
          <w:rFonts w:eastAsiaTheme="minorEastAsia"/>
          <w:noProof/>
        </w:rPr>
        <w:t>3</w:t>
      </w:r>
      <w:r w:rsidRPr="002661A8" w:rsidDel="00733EF9">
        <w:rPr>
          <w:rFonts w:eastAsiaTheme="minorEastAsia"/>
          <w:noProof/>
        </w:rPr>
        <w:t xml:space="preserve"> </w:t>
      </w:r>
      <w:r w:rsidR="004C6FE1" w:rsidRPr="002661A8">
        <w:rPr>
          <w:rFonts w:eastAsiaTheme="minorEastAsia"/>
          <w:noProof/>
        </w:rPr>
        <w:t xml:space="preserve">are </w:t>
      </w:r>
      <w:r w:rsidRPr="002661A8">
        <w:rPr>
          <w:rFonts w:eastAsiaTheme="minorEastAsia"/>
          <w:noProof/>
        </w:rPr>
        <w:t>complementary</w:t>
      </w:r>
      <w:r w:rsidR="00907ED0" w:rsidRPr="002661A8">
        <w:rPr>
          <w:rFonts w:eastAsiaTheme="minorEastAsia"/>
          <w:noProof/>
        </w:rPr>
        <w:t xml:space="preserve">; </w:t>
      </w:r>
      <w:r w:rsidR="003C4C6E" w:rsidRPr="002661A8">
        <w:rPr>
          <w:rFonts w:eastAsiaTheme="minorEastAsia"/>
          <w:noProof/>
        </w:rPr>
        <w:t xml:space="preserve">option </w:t>
      </w:r>
      <w:r w:rsidR="00510C11">
        <w:rPr>
          <w:rFonts w:eastAsiaTheme="minorEastAsia"/>
          <w:noProof/>
        </w:rPr>
        <w:t>A</w:t>
      </w:r>
      <w:r w:rsidR="003C4C6E" w:rsidRPr="002661A8">
        <w:rPr>
          <w:rFonts w:eastAsiaTheme="minorEastAsia"/>
          <w:noProof/>
        </w:rPr>
        <w:t xml:space="preserve">4 </w:t>
      </w:r>
      <w:r w:rsidR="00907ED0" w:rsidRPr="002661A8">
        <w:rPr>
          <w:rFonts w:eastAsiaTheme="minorEastAsia"/>
          <w:noProof/>
        </w:rPr>
        <w:t>considers</w:t>
      </w:r>
      <w:r w:rsidR="004C6FE1" w:rsidRPr="002661A8">
        <w:rPr>
          <w:rFonts w:eastAsiaTheme="minorEastAsia"/>
          <w:noProof/>
        </w:rPr>
        <w:t xml:space="preserve"> </w:t>
      </w:r>
      <w:r w:rsidR="003C4C6E" w:rsidRPr="002661A8">
        <w:rPr>
          <w:rFonts w:eastAsiaTheme="minorEastAsia"/>
          <w:noProof/>
        </w:rPr>
        <w:t>implementing both</w:t>
      </w:r>
      <w:r w:rsidRPr="002661A8">
        <w:rPr>
          <w:rFonts w:eastAsiaTheme="minorEastAsia"/>
          <w:noProof/>
        </w:rPr>
        <w:t>.</w:t>
      </w:r>
      <w:bookmarkEnd w:id="699"/>
      <w:bookmarkEnd w:id="700"/>
    </w:p>
    <w:tbl>
      <w:tblPr>
        <w:tblStyle w:val="TableGrid"/>
        <w:tblW w:w="8897" w:type="dxa"/>
        <w:tblLook w:val="04A0" w:firstRow="1" w:lastRow="0" w:firstColumn="1" w:lastColumn="0" w:noHBand="0" w:noVBand="1"/>
      </w:tblPr>
      <w:tblGrid>
        <w:gridCol w:w="2235"/>
        <w:gridCol w:w="6662"/>
      </w:tblGrid>
      <w:tr w:rsidR="0080089E" w:rsidRPr="002661A8" w14:paraId="18FABA91" w14:textId="77777777" w:rsidTr="009D217A">
        <w:tc>
          <w:tcPr>
            <w:tcW w:w="2235" w:type="dxa"/>
            <w:shd w:val="clear" w:color="auto" w:fill="D9D9D9" w:themeFill="background1" w:themeFillShade="D9"/>
          </w:tcPr>
          <w:p w14:paraId="6F42F160" w14:textId="77777777" w:rsidR="0080089E" w:rsidRPr="002661A8" w:rsidRDefault="0080089E" w:rsidP="00524D81">
            <w:pPr>
              <w:keepNext/>
              <w:spacing w:after="120"/>
              <w:outlineLvl w:val="2"/>
              <w:rPr>
                <w:b/>
                <w:noProof/>
              </w:rPr>
            </w:pPr>
            <w:r w:rsidRPr="002661A8">
              <w:rPr>
                <w:b/>
                <w:noProof/>
              </w:rPr>
              <w:t>Policy option</w:t>
            </w:r>
          </w:p>
        </w:tc>
        <w:tc>
          <w:tcPr>
            <w:tcW w:w="6662" w:type="dxa"/>
            <w:shd w:val="clear" w:color="auto" w:fill="D9D9D9" w:themeFill="background1" w:themeFillShade="D9"/>
          </w:tcPr>
          <w:p w14:paraId="7632E150" w14:textId="6E3D2E6D" w:rsidR="0080089E" w:rsidRPr="002661A8" w:rsidRDefault="0080089E" w:rsidP="00524D81">
            <w:pPr>
              <w:keepNext/>
              <w:spacing w:after="120"/>
              <w:outlineLvl w:val="2"/>
              <w:rPr>
                <w:b/>
                <w:noProof/>
              </w:rPr>
            </w:pPr>
            <w:r w:rsidRPr="002661A8">
              <w:rPr>
                <w:b/>
                <w:noProof/>
              </w:rPr>
              <w:t>Description</w:t>
            </w:r>
          </w:p>
        </w:tc>
      </w:tr>
      <w:tr w:rsidR="0080089E" w:rsidRPr="002661A8" w14:paraId="661BA9A1" w14:textId="77777777" w:rsidTr="009D217A">
        <w:tc>
          <w:tcPr>
            <w:tcW w:w="2235" w:type="dxa"/>
          </w:tcPr>
          <w:p w14:paraId="65D413EE" w14:textId="6E45C457" w:rsidR="0080089E" w:rsidRPr="002661A8" w:rsidRDefault="0080089E" w:rsidP="0080089E">
            <w:pPr>
              <w:keepNext/>
              <w:spacing w:after="120"/>
              <w:outlineLvl w:val="2"/>
              <w:rPr>
                <w:noProof/>
              </w:rPr>
            </w:pPr>
            <w:r w:rsidRPr="002661A8">
              <w:rPr>
                <w:b/>
                <w:noProof/>
              </w:rPr>
              <w:t xml:space="preserve">Option </w:t>
            </w:r>
            <w:r w:rsidR="00A8027C">
              <w:rPr>
                <w:b/>
                <w:noProof/>
              </w:rPr>
              <w:t>A</w:t>
            </w:r>
            <w:r w:rsidRPr="002661A8">
              <w:rPr>
                <w:b/>
                <w:noProof/>
              </w:rPr>
              <w:t>1</w:t>
            </w:r>
            <w:r w:rsidRPr="002661A8">
              <w:rPr>
                <w:noProof/>
              </w:rPr>
              <w:t xml:space="preserve"> – Do nothing </w:t>
            </w:r>
          </w:p>
        </w:tc>
        <w:tc>
          <w:tcPr>
            <w:tcW w:w="6662" w:type="dxa"/>
          </w:tcPr>
          <w:p w14:paraId="140D87B3" w14:textId="3C574995" w:rsidR="0080089E" w:rsidRPr="002661A8" w:rsidRDefault="0080089E" w:rsidP="00E43631">
            <w:pPr>
              <w:keepNext/>
              <w:spacing w:after="120"/>
              <w:jc w:val="both"/>
              <w:outlineLvl w:val="2"/>
              <w:rPr>
                <w:noProof/>
              </w:rPr>
            </w:pPr>
            <w:r w:rsidRPr="002661A8">
              <w:rPr>
                <w:noProof/>
              </w:rPr>
              <w:t xml:space="preserve">This is the baseline scenario (see </w:t>
            </w:r>
            <w:hyperlink w:anchor="_What_is_the" w:history="1">
              <w:r w:rsidR="00E43631" w:rsidRPr="002661A8">
                <w:rPr>
                  <w:rStyle w:val="Hyperlink"/>
                  <w:noProof/>
                </w:rPr>
                <w:t>S</w:t>
              </w:r>
              <w:r w:rsidRPr="002661A8">
                <w:rPr>
                  <w:rStyle w:val="Hyperlink"/>
                  <w:noProof/>
                </w:rPr>
                <w:t xml:space="preserve">ection </w:t>
              </w:r>
              <w:r w:rsidR="00E96087" w:rsidRPr="002661A8">
                <w:rPr>
                  <w:rStyle w:val="Hyperlink"/>
                  <w:noProof/>
                </w:rPr>
                <w:t>6</w:t>
              </w:r>
              <w:r w:rsidR="00997162" w:rsidRPr="002661A8" w:rsidDel="00E96087">
                <w:rPr>
                  <w:rStyle w:val="Hyperlink"/>
                  <w:noProof/>
                </w:rPr>
                <w:t>.1</w:t>
              </w:r>
            </w:hyperlink>
            <w:r w:rsidRPr="002661A8">
              <w:rPr>
                <w:noProof/>
              </w:rPr>
              <w:t>).</w:t>
            </w:r>
          </w:p>
        </w:tc>
      </w:tr>
      <w:tr w:rsidR="0080089E" w:rsidRPr="002661A8" w14:paraId="734FE4D4" w14:textId="77777777" w:rsidTr="009D217A">
        <w:tc>
          <w:tcPr>
            <w:tcW w:w="2235" w:type="dxa"/>
          </w:tcPr>
          <w:p w14:paraId="4E4769E4" w14:textId="51FC9A1C" w:rsidR="0080089E" w:rsidRPr="002661A8" w:rsidRDefault="0080089E" w:rsidP="0080089E">
            <w:pPr>
              <w:keepNext/>
              <w:spacing w:after="120"/>
              <w:outlineLvl w:val="2"/>
              <w:rPr>
                <w:noProof/>
              </w:rPr>
            </w:pPr>
            <w:r w:rsidRPr="002661A8">
              <w:rPr>
                <w:b/>
                <w:noProof/>
              </w:rPr>
              <w:t xml:space="preserve">Option </w:t>
            </w:r>
            <w:r w:rsidR="00A8027C">
              <w:rPr>
                <w:b/>
                <w:noProof/>
              </w:rPr>
              <w:t>A</w:t>
            </w:r>
            <w:r w:rsidRPr="002661A8">
              <w:rPr>
                <w:b/>
                <w:noProof/>
              </w:rPr>
              <w:t>2</w:t>
            </w:r>
            <w:r w:rsidRPr="002661A8">
              <w:rPr>
                <w:noProof/>
              </w:rPr>
              <w:t xml:space="preserve"> – Simplify procedures for launching new products and changing </w:t>
            </w:r>
            <w:r w:rsidR="00526E6C" w:rsidRPr="002661A8">
              <w:rPr>
                <w:noProof/>
              </w:rPr>
              <w:t xml:space="preserve">risk </w:t>
            </w:r>
            <w:r w:rsidRPr="002661A8">
              <w:rPr>
                <w:noProof/>
              </w:rPr>
              <w:t>models and parameters</w:t>
            </w:r>
          </w:p>
        </w:tc>
        <w:tc>
          <w:tcPr>
            <w:tcW w:w="6662" w:type="dxa"/>
          </w:tcPr>
          <w:p w14:paraId="7DB3BC68" w14:textId="3320E9A6" w:rsidR="0080089E" w:rsidRPr="002661A8" w:rsidRDefault="0080089E" w:rsidP="0032705A">
            <w:pPr>
              <w:keepNext/>
              <w:spacing w:after="120"/>
              <w:jc w:val="both"/>
              <w:outlineLvl w:val="2"/>
              <w:rPr>
                <w:noProof/>
              </w:rPr>
            </w:pPr>
            <w:r w:rsidRPr="002661A8">
              <w:rPr>
                <w:noProof/>
              </w:rPr>
              <w:t>Th</w:t>
            </w:r>
            <w:r w:rsidR="00F173C0" w:rsidRPr="002661A8">
              <w:rPr>
                <w:noProof/>
              </w:rPr>
              <w:t>is</w:t>
            </w:r>
            <w:r w:rsidR="00C80F81" w:rsidDel="0032705A">
              <w:rPr>
                <w:noProof/>
              </w:rPr>
              <w:t xml:space="preserve"> </w:t>
            </w:r>
            <w:r w:rsidR="00C80F81">
              <w:rPr>
                <w:noProof/>
              </w:rPr>
              <w:t xml:space="preserve">would be achieved by targeted changes to EMIR and </w:t>
            </w:r>
            <w:r w:rsidR="00E16498">
              <w:rPr>
                <w:noProof/>
              </w:rPr>
              <w:t xml:space="preserve">empowerments to ESMA to establish draft </w:t>
            </w:r>
            <w:r w:rsidR="00C80F81">
              <w:rPr>
                <w:noProof/>
              </w:rPr>
              <w:t xml:space="preserve">RTSs and ITSs specifying the </w:t>
            </w:r>
            <w:r w:rsidR="00E16498">
              <w:rPr>
                <w:noProof/>
              </w:rPr>
              <w:t>required documents and the</w:t>
            </w:r>
            <w:r w:rsidR="0032705A">
              <w:rPr>
                <w:noProof/>
              </w:rPr>
              <w:t>ir</w:t>
            </w:r>
            <w:r w:rsidR="00E16498">
              <w:rPr>
                <w:noProof/>
              </w:rPr>
              <w:t xml:space="preserve"> content for </w:t>
            </w:r>
            <w:r w:rsidR="0032705A">
              <w:rPr>
                <w:noProof/>
              </w:rPr>
              <w:t>EU CCPs’</w:t>
            </w:r>
            <w:r w:rsidR="00E16498">
              <w:rPr>
                <w:noProof/>
              </w:rPr>
              <w:t xml:space="preserve"> application</w:t>
            </w:r>
            <w:r w:rsidR="0032705A">
              <w:rPr>
                <w:noProof/>
              </w:rPr>
              <w:t>s</w:t>
            </w:r>
            <w:r w:rsidR="00C80F81">
              <w:rPr>
                <w:noProof/>
              </w:rPr>
              <w:t xml:space="preserve">. </w:t>
            </w:r>
            <w:r w:rsidR="00E16498">
              <w:rPr>
                <w:noProof/>
              </w:rPr>
              <w:t>Those changes</w:t>
            </w:r>
            <w:r w:rsidR="00F173C0" w:rsidRPr="002661A8">
              <w:rPr>
                <w:noProof/>
              </w:rPr>
              <w:t xml:space="preserve"> would simplify th</w:t>
            </w:r>
            <w:r w:rsidRPr="002661A8">
              <w:rPr>
                <w:noProof/>
              </w:rPr>
              <w:t>e current procedures for extension of activities and approval of significant changes in models</w:t>
            </w:r>
            <w:r w:rsidR="0032705A">
              <w:rPr>
                <w:noProof/>
              </w:rPr>
              <w:t xml:space="preserve"> by (</w:t>
            </w:r>
            <w:r w:rsidR="001A2B85" w:rsidRPr="002661A8">
              <w:rPr>
                <w:noProof/>
              </w:rPr>
              <w:t>individually or complementarily</w:t>
            </w:r>
            <w:r w:rsidR="0032705A">
              <w:rPr>
                <w:noProof/>
              </w:rPr>
              <w:t>)</w:t>
            </w:r>
            <w:r w:rsidR="009C3C59" w:rsidRPr="002661A8">
              <w:rPr>
                <w:noProof/>
              </w:rPr>
              <w:t>:</w:t>
            </w:r>
            <w:r w:rsidRPr="002661A8">
              <w:rPr>
                <w:noProof/>
              </w:rPr>
              <w:t xml:space="preserve"> </w:t>
            </w:r>
            <w:r w:rsidR="009C3C59" w:rsidRPr="002661A8">
              <w:rPr>
                <w:noProof/>
              </w:rPr>
              <w:t xml:space="preserve">i) </w:t>
            </w:r>
            <w:r w:rsidR="00C93544" w:rsidRPr="002661A8">
              <w:rPr>
                <w:noProof/>
              </w:rPr>
              <w:t xml:space="preserve">shortening </w:t>
            </w:r>
            <w:r w:rsidRPr="002661A8">
              <w:rPr>
                <w:noProof/>
              </w:rPr>
              <w:t xml:space="preserve">the deadlines </w:t>
            </w:r>
            <w:r w:rsidR="005F15C1" w:rsidRPr="002661A8">
              <w:rPr>
                <w:noProof/>
              </w:rPr>
              <w:t>provided for</w:t>
            </w:r>
            <w:r w:rsidRPr="002661A8">
              <w:rPr>
                <w:noProof/>
              </w:rPr>
              <w:t xml:space="preserve"> in </w:t>
            </w:r>
            <w:r w:rsidR="00C93544" w:rsidRPr="002661A8">
              <w:rPr>
                <w:noProof/>
              </w:rPr>
              <w:t>EMIR</w:t>
            </w:r>
            <w:r w:rsidRPr="002661A8">
              <w:rPr>
                <w:noProof/>
              </w:rPr>
              <w:t xml:space="preserve">; </w:t>
            </w:r>
            <w:r w:rsidR="009C3C59" w:rsidRPr="002661A8">
              <w:rPr>
                <w:noProof/>
              </w:rPr>
              <w:t xml:space="preserve">ii) </w:t>
            </w:r>
            <w:r w:rsidRPr="002661A8">
              <w:rPr>
                <w:noProof/>
              </w:rPr>
              <w:t xml:space="preserve">achieving greater standardisation of the documents to be submitted by CCPs in their applications; </w:t>
            </w:r>
            <w:r w:rsidR="009C3C59" w:rsidRPr="002661A8">
              <w:rPr>
                <w:noProof/>
              </w:rPr>
              <w:t xml:space="preserve">iii) </w:t>
            </w:r>
            <w:r w:rsidR="005F15C1" w:rsidRPr="002661A8">
              <w:rPr>
                <w:noProof/>
              </w:rPr>
              <w:t>streamlining the involvement of the different</w:t>
            </w:r>
            <w:r w:rsidRPr="002661A8">
              <w:rPr>
                <w:noProof/>
              </w:rPr>
              <w:t xml:space="preserve"> actors in the procedures</w:t>
            </w:r>
            <w:r w:rsidR="00C93544" w:rsidRPr="002661A8">
              <w:rPr>
                <w:noProof/>
              </w:rPr>
              <w:t>;</w:t>
            </w:r>
            <w:r w:rsidRPr="002661A8">
              <w:rPr>
                <w:noProof/>
              </w:rPr>
              <w:t xml:space="preserve"> and </w:t>
            </w:r>
            <w:r w:rsidR="009C3C59" w:rsidRPr="002661A8">
              <w:rPr>
                <w:noProof/>
              </w:rPr>
              <w:t xml:space="preserve">iv) </w:t>
            </w:r>
            <w:r w:rsidRPr="002661A8">
              <w:rPr>
                <w:noProof/>
              </w:rPr>
              <w:t xml:space="preserve">facilitating decision-making through new IT </w:t>
            </w:r>
            <w:r w:rsidR="005F15C1" w:rsidRPr="002661A8">
              <w:rPr>
                <w:noProof/>
              </w:rPr>
              <w:t>tools</w:t>
            </w:r>
            <w:r w:rsidRPr="002661A8">
              <w:rPr>
                <w:noProof/>
              </w:rPr>
              <w:t xml:space="preserve">. </w:t>
            </w:r>
          </w:p>
        </w:tc>
      </w:tr>
      <w:tr w:rsidR="0080089E" w:rsidRPr="002661A8" w14:paraId="7D9AB6FC" w14:textId="77777777" w:rsidTr="009D217A">
        <w:tc>
          <w:tcPr>
            <w:tcW w:w="2235" w:type="dxa"/>
          </w:tcPr>
          <w:p w14:paraId="5B0A8D61" w14:textId="17140474" w:rsidR="0080089E" w:rsidRPr="002661A8" w:rsidRDefault="0080089E" w:rsidP="00F05D1C">
            <w:pPr>
              <w:keepNext/>
              <w:spacing w:after="120"/>
              <w:outlineLvl w:val="2"/>
              <w:rPr>
                <w:noProof/>
              </w:rPr>
            </w:pPr>
            <w:r w:rsidRPr="002661A8">
              <w:rPr>
                <w:b/>
                <w:noProof/>
              </w:rPr>
              <w:t xml:space="preserve">Option </w:t>
            </w:r>
            <w:r w:rsidR="00A8027C">
              <w:rPr>
                <w:b/>
                <w:noProof/>
              </w:rPr>
              <w:t>A</w:t>
            </w:r>
            <w:r w:rsidRPr="002661A8">
              <w:rPr>
                <w:b/>
                <w:noProof/>
              </w:rPr>
              <w:t>3</w:t>
            </w:r>
            <w:r w:rsidRPr="002661A8">
              <w:rPr>
                <w:noProof/>
              </w:rPr>
              <w:t xml:space="preserve"> </w:t>
            </w:r>
            <w:r w:rsidR="004929C3" w:rsidRPr="002661A8">
              <w:rPr>
                <w:noProof/>
              </w:rPr>
              <w:t>–</w:t>
            </w:r>
            <w:r w:rsidRPr="002661A8">
              <w:rPr>
                <w:noProof/>
              </w:rPr>
              <w:t xml:space="preserve"> </w:t>
            </w:r>
            <w:r w:rsidR="004929C3" w:rsidRPr="002661A8">
              <w:rPr>
                <w:noProof/>
              </w:rPr>
              <w:t>Introduce an ex-post</w:t>
            </w:r>
            <w:r w:rsidRPr="002661A8">
              <w:rPr>
                <w:noProof/>
              </w:rPr>
              <w:t xml:space="preserve"> procedure for </w:t>
            </w:r>
            <w:r w:rsidR="003B5263" w:rsidRPr="002661A8">
              <w:rPr>
                <w:noProof/>
              </w:rPr>
              <w:t xml:space="preserve">certain </w:t>
            </w:r>
            <w:r w:rsidR="00F05D1C" w:rsidRPr="002661A8">
              <w:rPr>
                <w:noProof/>
              </w:rPr>
              <w:t>changes</w:t>
            </w:r>
            <w:r w:rsidRPr="002661A8">
              <w:rPr>
                <w:noProof/>
              </w:rPr>
              <w:t xml:space="preserve"> </w:t>
            </w:r>
          </w:p>
        </w:tc>
        <w:tc>
          <w:tcPr>
            <w:tcW w:w="6662" w:type="dxa"/>
          </w:tcPr>
          <w:p w14:paraId="3EDE9F86" w14:textId="5813ED90" w:rsidR="0080089E" w:rsidRPr="002661A8" w:rsidRDefault="0080089E" w:rsidP="0032705A">
            <w:pPr>
              <w:jc w:val="both"/>
              <w:rPr>
                <w:noProof/>
              </w:rPr>
            </w:pPr>
            <w:r w:rsidRPr="002661A8">
              <w:rPr>
                <w:noProof/>
              </w:rPr>
              <w:t xml:space="preserve">EU CCPs </w:t>
            </w:r>
            <w:r w:rsidR="00C209FA" w:rsidRPr="002661A8">
              <w:rPr>
                <w:noProof/>
              </w:rPr>
              <w:t>w</w:t>
            </w:r>
            <w:r w:rsidRPr="002661A8">
              <w:rPr>
                <w:noProof/>
              </w:rPr>
              <w:t xml:space="preserve">ould be allowed to launch </w:t>
            </w:r>
            <w:r w:rsidR="00E43631" w:rsidRPr="002661A8">
              <w:rPr>
                <w:noProof/>
              </w:rPr>
              <w:t xml:space="preserve">certain </w:t>
            </w:r>
            <w:r w:rsidRPr="002661A8">
              <w:rPr>
                <w:noProof/>
              </w:rPr>
              <w:t>new activit</w:t>
            </w:r>
            <w:r w:rsidR="00E43631" w:rsidRPr="002661A8">
              <w:rPr>
                <w:noProof/>
              </w:rPr>
              <w:t>ies</w:t>
            </w:r>
            <w:r w:rsidRPr="002661A8">
              <w:rPr>
                <w:noProof/>
              </w:rPr>
              <w:t>/product</w:t>
            </w:r>
            <w:r w:rsidR="00E43631" w:rsidRPr="002661A8">
              <w:rPr>
                <w:noProof/>
              </w:rPr>
              <w:t>s</w:t>
            </w:r>
            <w:r w:rsidRPr="002661A8">
              <w:rPr>
                <w:noProof/>
              </w:rPr>
              <w:t xml:space="preserve"> and implement </w:t>
            </w:r>
            <w:r w:rsidR="00E43631" w:rsidRPr="002661A8">
              <w:rPr>
                <w:noProof/>
              </w:rPr>
              <w:t>certain</w:t>
            </w:r>
            <w:r w:rsidRPr="002661A8">
              <w:rPr>
                <w:noProof/>
              </w:rPr>
              <w:t xml:space="preserve"> </w:t>
            </w:r>
            <w:r w:rsidR="00DF184E" w:rsidRPr="002661A8">
              <w:rPr>
                <w:noProof/>
              </w:rPr>
              <w:t xml:space="preserve">model </w:t>
            </w:r>
            <w:r w:rsidRPr="002661A8">
              <w:rPr>
                <w:noProof/>
              </w:rPr>
              <w:t>change</w:t>
            </w:r>
            <w:r w:rsidR="00E43631" w:rsidRPr="002661A8">
              <w:rPr>
                <w:noProof/>
              </w:rPr>
              <w:t>s</w:t>
            </w:r>
            <w:r w:rsidRPr="002661A8">
              <w:rPr>
                <w:noProof/>
              </w:rPr>
              <w:t xml:space="preserve"> subject to an ex-post approval</w:t>
            </w:r>
            <w:r w:rsidR="00526E6C" w:rsidRPr="002661A8">
              <w:rPr>
                <w:noProof/>
              </w:rPr>
              <w:t>/</w:t>
            </w:r>
            <w:r w:rsidR="00687E0C">
              <w:rPr>
                <w:noProof/>
              </w:rPr>
              <w:t xml:space="preserve">non-objection </w:t>
            </w:r>
            <w:r w:rsidR="00526E6C" w:rsidRPr="002661A8">
              <w:rPr>
                <w:noProof/>
              </w:rPr>
              <w:t>review</w:t>
            </w:r>
            <w:r w:rsidRPr="002661A8" w:rsidDel="00526E6C">
              <w:rPr>
                <w:noProof/>
              </w:rPr>
              <w:t xml:space="preserve"> </w:t>
            </w:r>
            <w:r w:rsidRPr="002661A8">
              <w:rPr>
                <w:noProof/>
              </w:rPr>
              <w:t xml:space="preserve">by the relevant authorities in </w:t>
            </w:r>
            <w:r w:rsidR="004929C3" w:rsidRPr="002661A8">
              <w:rPr>
                <w:noProof/>
              </w:rPr>
              <w:t>a certain period</w:t>
            </w:r>
            <w:r w:rsidRPr="002661A8">
              <w:rPr>
                <w:noProof/>
              </w:rPr>
              <w:t xml:space="preserve">. </w:t>
            </w:r>
            <w:r w:rsidR="00804DEF" w:rsidRPr="00804DEF">
              <w:rPr>
                <w:noProof/>
              </w:rPr>
              <w:t xml:space="preserve">Targeted changes </w:t>
            </w:r>
            <w:r w:rsidR="0032705A">
              <w:rPr>
                <w:noProof/>
              </w:rPr>
              <w:t>c</w:t>
            </w:r>
            <w:r w:rsidR="00687E0C">
              <w:rPr>
                <w:noProof/>
              </w:rPr>
              <w:t>ould</w:t>
            </w:r>
            <w:r w:rsidR="00804DEF" w:rsidDel="0032705A">
              <w:rPr>
                <w:noProof/>
              </w:rPr>
              <w:t xml:space="preserve"> </w:t>
            </w:r>
            <w:r w:rsidR="00687E0C">
              <w:rPr>
                <w:noProof/>
              </w:rPr>
              <w:t>be introduced</w:t>
            </w:r>
            <w:r w:rsidR="00804DEF" w:rsidRPr="00804DEF">
              <w:rPr>
                <w:noProof/>
              </w:rPr>
              <w:t xml:space="preserve"> to allow EU CCPs to launch certain new activities/products </w:t>
            </w:r>
            <w:r w:rsidR="00804DEF">
              <w:rPr>
                <w:noProof/>
              </w:rPr>
              <w:t xml:space="preserve">and </w:t>
            </w:r>
            <w:r w:rsidR="00804DEF" w:rsidRPr="00804DEF">
              <w:rPr>
                <w:noProof/>
              </w:rPr>
              <w:t xml:space="preserve">implement certain model changes </w:t>
            </w:r>
            <w:r w:rsidR="00687E0C">
              <w:rPr>
                <w:noProof/>
              </w:rPr>
              <w:t>that do not increase the risks for the CCP</w:t>
            </w:r>
            <w:r w:rsidR="00804DEF" w:rsidRPr="00804DEF">
              <w:rPr>
                <w:noProof/>
              </w:rPr>
              <w:t xml:space="preserve"> before </w:t>
            </w:r>
            <w:r w:rsidR="00687E0C">
              <w:rPr>
                <w:noProof/>
              </w:rPr>
              <w:t>supervisors</w:t>
            </w:r>
            <w:r w:rsidR="00804DEF" w:rsidRPr="00804DEF">
              <w:rPr>
                <w:noProof/>
              </w:rPr>
              <w:t xml:space="preserve"> approv</w:t>
            </w:r>
            <w:r w:rsidR="00687E0C">
              <w:rPr>
                <w:noProof/>
              </w:rPr>
              <w:t>e</w:t>
            </w:r>
            <w:r w:rsidR="00804DEF" w:rsidRPr="00804DEF">
              <w:rPr>
                <w:noProof/>
              </w:rPr>
              <w:t xml:space="preserve"> such measures. The </w:t>
            </w:r>
            <w:r w:rsidR="00804DEF">
              <w:rPr>
                <w:noProof/>
              </w:rPr>
              <w:t>Commission</w:t>
            </w:r>
            <w:r w:rsidR="00687E0C">
              <w:rPr>
                <w:noProof/>
              </w:rPr>
              <w:t xml:space="preserve"> could also be empowered to adopt a delegated act</w:t>
            </w:r>
            <w:r w:rsidR="00804DEF">
              <w:rPr>
                <w:noProof/>
              </w:rPr>
              <w:t xml:space="preserve">, to change the list of </w:t>
            </w:r>
            <w:r w:rsidR="00687E0C">
              <w:rPr>
                <w:noProof/>
              </w:rPr>
              <w:t>activities</w:t>
            </w:r>
            <w:r w:rsidR="005B2030">
              <w:rPr>
                <w:noProof/>
              </w:rPr>
              <w:t xml:space="preserve"> that could</w:t>
            </w:r>
            <w:r w:rsidR="00804DEF">
              <w:rPr>
                <w:noProof/>
              </w:rPr>
              <w:t xml:space="preserve"> benefit from the ex post/non-objection procedure.</w:t>
            </w:r>
          </w:p>
        </w:tc>
      </w:tr>
      <w:tr w:rsidR="0080089E" w:rsidRPr="002661A8" w14:paraId="224759DF" w14:textId="77777777" w:rsidTr="009D217A">
        <w:tc>
          <w:tcPr>
            <w:tcW w:w="2235" w:type="dxa"/>
          </w:tcPr>
          <w:p w14:paraId="336AE38C" w14:textId="7B66B4EB" w:rsidR="0080089E" w:rsidRPr="002661A8" w:rsidRDefault="0080089E" w:rsidP="0097476D">
            <w:pPr>
              <w:keepNext/>
              <w:spacing w:after="120"/>
              <w:outlineLvl w:val="2"/>
              <w:rPr>
                <w:b/>
                <w:noProof/>
              </w:rPr>
            </w:pPr>
            <w:r w:rsidRPr="002661A8">
              <w:rPr>
                <w:b/>
                <w:noProof/>
              </w:rPr>
              <w:t xml:space="preserve">Option </w:t>
            </w:r>
            <w:r w:rsidR="00A8027C">
              <w:rPr>
                <w:b/>
                <w:noProof/>
              </w:rPr>
              <w:t>A</w:t>
            </w:r>
            <w:r w:rsidRPr="002661A8">
              <w:rPr>
                <w:b/>
                <w:noProof/>
              </w:rPr>
              <w:t xml:space="preserve">4 </w:t>
            </w:r>
            <w:r w:rsidRPr="002661A8">
              <w:rPr>
                <w:noProof/>
              </w:rPr>
              <w:t>– Combination of Options 2 and 3</w:t>
            </w:r>
          </w:p>
        </w:tc>
        <w:tc>
          <w:tcPr>
            <w:tcW w:w="6662" w:type="dxa"/>
          </w:tcPr>
          <w:p w14:paraId="26A85165" w14:textId="4CD64A06" w:rsidR="0080089E" w:rsidRPr="002661A8" w:rsidRDefault="0080089E" w:rsidP="0080089E">
            <w:pPr>
              <w:keepNext/>
              <w:spacing w:after="120"/>
              <w:jc w:val="both"/>
              <w:outlineLvl w:val="2"/>
              <w:rPr>
                <w:noProof/>
              </w:rPr>
            </w:pPr>
            <w:r w:rsidRPr="002661A8">
              <w:rPr>
                <w:noProof/>
              </w:rPr>
              <w:t xml:space="preserve">The current procedures </w:t>
            </w:r>
            <w:r w:rsidR="00C209FA" w:rsidRPr="002661A8">
              <w:rPr>
                <w:noProof/>
              </w:rPr>
              <w:t xml:space="preserve">would </w:t>
            </w:r>
            <w:r w:rsidRPr="002661A8">
              <w:rPr>
                <w:noProof/>
              </w:rPr>
              <w:t>be simplified as per Option 2 and an ex-post approval</w:t>
            </w:r>
            <w:r w:rsidR="0032705A">
              <w:rPr>
                <w:noProof/>
              </w:rPr>
              <w:t>/non-objection period</w:t>
            </w:r>
            <w:r w:rsidRPr="002661A8">
              <w:rPr>
                <w:noProof/>
              </w:rPr>
              <w:t xml:space="preserve"> for certain initiatives </w:t>
            </w:r>
            <w:r w:rsidR="00C209FA" w:rsidRPr="002661A8">
              <w:rPr>
                <w:noProof/>
              </w:rPr>
              <w:t xml:space="preserve">would </w:t>
            </w:r>
            <w:r w:rsidRPr="002661A8">
              <w:rPr>
                <w:noProof/>
              </w:rPr>
              <w:t xml:space="preserve">be introduced, as per Option 3. </w:t>
            </w:r>
          </w:p>
        </w:tc>
      </w:tr>
    </w:tbl>
    <w:p w14:paraId="264F931C" w14:textId="661ED2E7" w:rsidR="0080089E" w:rsidRPr="002661A8" w:rsidRDefault="008C620E" w:rsidP="00ED5088">
      <w:pPr>
        <w:pStyle w:val="Heading1"/>
        <w:numPr>
          <w:ilvl w:val="2"/>
          <w:numId w:val="6"/>
        </w:numPr>
        <w:spacing w:before="120" w:after="120"/>
        <w:rPr>
          <w:rFonts w:eastAsiaTheme="minorEastAsia"/>
          <w:b w:val="0"/>
          <w:i/>
          <w:smallCaps w:val="0"/>
          <w:noProof/>
        </w:rPr>
      </w:pPr>
      <w:bookmarkStart w:id="701" w:name="_Toc103337499"/>
      <w:bookmarkStart w:id="702" w:name="_Toc103337500"/>
      <w:bookmarkStart w:id="703" w:name="_Toc104309998"/>
      <w:bookmarkStart w:id="704" w:name="_Toc105656441"/>
      <w:bookmarkStart w:id="705" w:name="_Toc106827841"/>
      <w:bookmarkStart w:id="706" w:name="_Toc106981717"/>
      <w:bookmarkStart w:id="707" w:name="_Toc107493857"/>
      <w:bookmarkStart w:id="708" w:name="_Toc107497893"/>
      <w:bookmarkStart w:id="709" w:name="_Toc107503446"/>
      <w:bookmarkStart w:id="710" w:name="_Toc107504594"/>
      <w:bookmarkStart w:id="711" w:name="_Toc107505439"/>
      <w:bookmarkStart w:id="712" w:name="_Toc107838915"/>
      <w:bookmarkStart w:id="713" w:name="_Toc107847010"/>
      <w:bookmarkStart w:id="714" w:name="_Toc107849247"/>
      <w:bookmarkStart w:id="715" w:name="_Toc107853694"/>
      <w:bookmarkStart w:id="716" w:name="_Toc108539589"/>
      <w:bookmarkStart w:id="717" w:name="_Toc108539811"/>
      <w:bookmarkStart w:id="718" w:name="_Toc108539929"/>
      <w:bookmarkStart w:id="719" w:name="_Toc108540008"/>
      <w:bookmarkStart w:id="720" w:name="_Toc109057387"/>
      <w:bookmarkStart w:id="721" w:name="_Toc109120753"/>
      <w:bookmarkStart w:id="722" w:name="_Toc109122388"/>
      <w:bookmarkStart w:id="723" w:name="_Toc109124101"/>
      <w:bookmarkStart w:id="724" w:name="_Toc109133125"/>
      <w:bookmarkStart w:id="725" w:name="_Toc109133301"/>
      <w:bookmarkStart w:id="726" w:name="_Toc120291659"/>
      <w:bookmarkEnd w:id="701"/>
      <w:r w:rsidRPr="002661A8">
        <w:rPr>
          <w:b w:val="0"/>
          <w:i/>
          <w:smallCaps w:val="0"/>
          <w:noProof/>
        </w:rPr>
        <w:t>Encourage clearing in EU CCP</w:t>
      </w:r>
      <w:r w:rsidR="0080089E" w:rsidRPr="002661A8">
        <w:rPr>
          <w:b w:val="0"/>
          <w:i/>
          <w:smallCaps w:val="0"/>
          <w:noProof/>
        </w:rPr>
        <w:t>s</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14:paraId="23C75A9C" w14:textId="159AA95F" w:rsidR="0080089E" w:rsidRPr="002661A8" w:rsidRDefault="00C97590" w:rsidP="00E96087">
      <w:pPr>
        <w:pStyle w:val="Text1"/>
        <w:spacing w:after="120"/>
        <w:ind w:left="0"/>
        <w:rPr>
          <w:rFonts w:eastAsiaTheme="minorEastAsia"/>
          <w:noProof/>
        </w:rPr>
      </w:pPr>
      <w:bookmarkStart w:id="727" w:name="_Toc103337501"/>
      <w:bookmarkStart w:id="728" w:name="_Toc104309999"/>
      <w:r w:rsidRPr="002661A8">
        <w:rPr>
          <w:rFonts w:eastAsiaTheme="minorEastAsia"/>
          <w:noProof/>
        </w:rPr>
        <w:t>The</w:t>
      </w:r>
      <w:r w:rsidRPr="002661A8" w:rsidDel="005176B8">
        <w:rPr>
          <w:rFonts w:eastAsiaTheme="minorEastAsia"/>
          <w:noProof/>
        </w:rPr>
        <w:t xml:space="preserve"> </w:t>
      </w:r>
      <w:r w:rsidR="005176B8" w:rsidRPr="002661A8">
        <w:rPr>
          <w:rFonts w:eastAsiaTheme="minorEastAsia"/>
          <w:noProof/>
        </w:rPr>
        <w:t>aim</w:t>
      </w:r>
      <w:r w:rsidRPr="002661A8">
        <w:rPr>
          <w:rFonts w:eastAsiaTheme="minorEastAsia"/>
          <w:noProof/>
        </w:rPr>
        <w:t xml:space="preserve"> is to</w:t>
      </w:r>
      <w:r w:rsidRPr="002661A8" w:rsidDel="00EF2A0D">
        <w:rPr>
          <w:rFonts w:eastAsiaTheme="minorEastAsia"/>
          <w:b/>
          <w:smallCaps/>
          <w:noProof/>
        </w:rPr>
        <w:t xml:space="preserve"> </w:t>
      </w:r>
      <w:r w:rsidR="00EF2A0D" w:rsidRPr="002661A8">
        <w:rPr>
          <w:rFonts w:eastAsiaTheme="minorEastAsia"/>
          <w:noProof/>
        </w:rPr>
        <w:t xml:space="preserve">foster </w:t>
      </w:r>
      <w:r w:rsidRPr="002661A8">
        <w:rPr>
          <w:rFonts w:eastAsiaTheme="minorEastAsia"/>
          <w:noProof/>
        </w:rPr>
        <w:t xml:space="preserve">clearing at EU CCPs, to create a credible and robust alternative for market participants and reduce the over-reliance on </w:t>
      </w:r>
      <w:r w:rsidR="00C97709" w:rsidRPr="002661A8">
        <w:rPr>
          <w:rFonts w:eastAsiaTheme="minorEastAsia"/>
          <w:noProof/>
        </w:rPr>
        <w:t>Tier 2</w:t>
      </w:r>
      <w:r w:rsidRPr="002661A8">
        <w:rPr>
          <w:rFonts w:eastAsiaTheme="minorEastAsia"/>
          <w:noProof/>
        </w:rPr>
        <w:t xml:space="preserve"> CCPs, thus better preserving financial stability. Initiatives should tackle the problems </w:t>
      </w:r>
      <w:r w:rsidR="00EF2A0D" w:rsidRPr="002661A8">
        <w:rPr>
          <w:rFonts w:eastAsiaTheme="minorEastAsia"/>
          <w:noProof/>
        </w:rPr>
        <w:t xml:space="preserve">affecting the demand </w:t>
      </w:r>
      <w:r w:rsidR="00E43631" w:rsidRPr="002661A8">
        <w:rPr>
          <w:rFonts w:eastAsiaTheme="minorEastAsia"/>
          <w:noProof/>
        </w:rPr>
        <w:t>f</w:t>
      </w:r>
      <w:r w:rsidR="005D0C1A" w:rsidRPr="002661A8">
        <w:rPr>
          <w:rFonts w:eastAsiaTheme="minorEastAsia"/>
          <w:noProof/>
        </w:rPr>
        <w:t>or</w:t>
      </w:r>
      <w:r w:rsidR="00E43631" w:rsidRPr="002661A8">
        <w:rPr>
          <w:rFonts w:eastAsiaTheme="minorEastAsia"/>
          <w:noProof/>
        </w:rPr>
        <w:t xml:space="preserve"> </w:t>
      </w:r>
      <w:r w:rsidR="00EF2A0D" w:rsidRPr="002661A8">
        <w:rPr>
          <w:rFonts w:eastAsiaTheme="minorEastAsia"/>
          <w:noProof/>
        </w:rPr>
        <w:t xml:space="preserve">clearing services at EU </w:t>
      </w:r>
      <w:r w:rsidRPr="002661A8" w:rsidDel="00EF2A0D">
        <w:rPr>
          <w:rFonts w:eastAsiaTheme="minorEastAsia"/>
          <w:noProof/>
        </w:rPr>
        <w:t>CCPs</w:t>
      </w:r>
      <w:r w:rsidRPr="002661A8">
        <w:rPr>
          <w:rFonts w:eastAsiaTheme="minorEastAsia"/>
          <w:noProof/>
        </w:rPr>
        <w:t>.</w:t>
      </w:r>
      <w:bookmarkEnd w:id="727"/>
      <w:bookmarkEnd w:id="728"/>
      <w:r w:rsidRPr="002661A8">
        <w:rPr>
          <w:rFonts w:eastAsiaTheme="minorEastAsia"/>
          <w:noProof/>
        </w:rPr>
        <w:t xml:space="preserve"> </w:t>
      </w:r>
      <w:bookmarkStart w:id="729" w:name="_Toc103337502"/>
      <w:bookmarkStart w:id="730" w:name="_Toc104310000"/>
      <w:r w:rsidR="00E43631" w:rsidRPr="002661A8">
        <w:rPr>
          <w:rFonts w:eastAsiaTheme="minorEastAsia"/>
          <w:noProof/>
        </w:rPr>
        <w:t>I</w:t>
      </w:r>
      <w:r w:rsidRPr="002661A8">
        <w:rPr>
          <w:rFonts w:eastAsiaTheme="minorEastAsia"/>
          <w:noProof/>
        </w:rPr>
        <w:t>n the table</w:t>
      </w:r>
      <w:r w:rsidR="00907ED0" w:rsidRPr="002661A8">
        <w:rPr>
          <w:rFonts w:eastAsiaTheme="minorEastAsia"/>
          <w:noProof/>
        </w:rPr>
        <w:t xml:space="preserve"> below</w:t>
      </w:r>
      <w:r w:rsidR="00E43631" w:rsidRPr="002661A8">
        <w:rPr>
          <w:rFonts w:eastAsiaTheme="minorEastAsia"/>
          <w:noProof/>
        </w:rPr>
        <w:t>,</w:t>
      </w:r>
      <w:r w:rsidRPr="002661A8">
        <w:rPr>
          <w:rFonts w:eastAsiaTheme="minorEastAsia"/>
          <w:noProof/>
        </w:rPr>
        <w:t xml:space="preserve"> </w:t>
      </w:r>
      <w:r w:rsidR="00E43631" w:rsidRPr="002661A8">
        <w:rPr>
          <w:rFonts w:eastAsiaTheme="minorEastAsia"/>
          <w:noProof/>
        </w:rPr>
        <w:t>o</w:t>
      </w:r>
      <w:r w:rsidR="0080089E" w:rsidRPr="002661A8">
        <w:rPr>
          <w:rFonts w:eastAsiaTheme="minorEastAsia"/>
          <w:noProof/>
        </w:rPr>
        <w:t xml:space="preserve">ptions </w:t>
      </w:r>
      <w:bookmarkStart w:id="731" w:name="_Toc103337503"/>
      <w:bookmarkEnd w:id="729"/>
      <w:r w:rsidR="0080089E" w:rsidRPr="002661A8">
        <w:rPr>
          <w:rFonts w:eastAsiaTheme="minorEastAsia"/>
          <w:noProof/>
        </w:rPr>
        <w:t xml:space="preserve">2 </w:t>
      </w:r>
      <w:r w:rsidR="004929C3" w:rsidRPr="002661A8">
        <w:rPr>
          <w:rFonts w:eastAsiaTheme="minorEastAsia"/>
          <w:noProof/>
        </w:rPr>
        <w:t xml:space="preserve">to </w:t>
      </w:r>
      <w:r w:rsidR="004A1AF1" w:rsidRPr="002661A8">
        <w:rPr>
          <w:rFonts w:eastAsiaTheme="minorEastAsia"/>
          <w:noProof/>
        </w:rPr>
        <w:t>5</w:t>
      </w:r>
      <w:r w:rsidR="0080089E" w:rsidRPr="002661A8">
        <w:rPr>
          <w:rFonts w:eastAsiaTheme="minorEastAsia"/>
          <w:noProof/>
        </w:rPr>
        <w:t xml:space="preserve"> </w:t>
      </w:r>
      <w:r w:rsidR="004C6FE1" w:rsidRPr="002661A8">
        <w:rPr>
          <w:rFonts w:eastAsiaTheme="minorEastAsia"/>
          <w:noProof/>
        </w:rPr>
        <w:t xml:space="preserve">are </w:t>
      </w:r>
      <w:r w:rsidR="0080089E" w:rsidRPr="002661A8">
        <w:rPr>
          <w:rFonts w:eastAsiaTheme="minorEastAsia"/>
          <w:noProof/>
        </w:rPr>
        <w:t>complementary</w:t>
      </w:r>
      <w:r w:rsidR="00907ED0" w:rsidRPr="002661A8">
        <w:rPr>
          <w:rFonts w:eastAsiaTheme="minorEastAsia"/>
          <w:noProof/>
        </w:rPr>
        <w:t xml:space="preserve">; </w:t>
      </w:r>
      <w:r w:rsidR="00A415EB" w:rsidRPr="002661A8">
        <w:rPr>
          <w:rFonts w:eastAsiaTheme="minorEastAsia"/>
          <w:noProof/>
        </w:rPr>
        <w:t>option 6 considers implementing a combination of them</w:t>
      </w:r>
      <w:r w:rsidR="0080089E" w:rsidRPr="002661A8">
        <w:rPr>
          <w:rFonts w:eastAsiaTheme="minorEastAsia"/>
          <w:noProof/>
        </w:rPr>
        <w:t>.</w:t>
      </w:r>
      <w:bookmarkEnd w:id="730"/>
      <w:bookmarkEnd w:id="731"/>
      <w:r w:rsidR="0080089E" w:rsidRPr="002661A8">
        <w:rPr>
          <w:rFonts w:eastAsiaTheme="minorEastAsia"/>
          <w:noProof/>
        </w:rPr>
        <w:t xml:space="preserve"> </w:t>
      </w:r>
    </w:p>
    <w:tbl>
      <w:tblPr>
        <w:tblStyle w:val="TableGrid"/>
        <w:tblW w:w="8849" w:type="dxa"/>
        <w:tblLook w:val="04A0" w:firstRow="1" w:lastRow="0" w:firstColumn="1" w:lastColumn="0" w:noHBand="0" w:noVBand="1"/>
      </w:tblPr>
      <w:tblGrid>
        <w:gridCol w:w="1384"/>
        <w:gridCol w:w="7465"/>
      </w:tblGrid>
      <w:tr w:rsidR="0080089E" w:rsidRPr="002661A8" w14:paraId="541D746A" w14:textId="77777777" w:rsidTr="000914E4">
        <w:tc>
          <w:tcPr>
            <w:tcW w:w="1384" w:type="dxa"/>
            <w:shd w:val="clear" w:color="auto" w:fill="D9D9D9" w:themeFill="background1" w:themeFillShade="D9"/>
          </w:tcPr>
          <w:p w14:paraId="31EBE89E" w14:textId="77777777" w:rsidR="0080089E" w:rsidRPr="002661A8" w:rsidRDefault="0080089E" w:rsidP="00181D22">
            <w:pPr>
              <w:spacing w:after="60"/>
              <w:jc w:val="center"/>
              <w:outlineLvl w:val="2"/>
              <w:rPr>
                <w:b/>
                <w:noProof/>
              </w:rPr>
            </w:pPr>
            <w:r w:rsidRPr="002661A8">
              <w:rPr>
                <w:b/>
                <w:noProof/>
              </w:rPr>
              <w:t>Policy option</w:t>
            </w:r>
          </w:p>
        </w:tc>
        <w:tc>
          <w:tcPr>
            <w:tcW w:w="7465" w:type="dxa"/>
            <w:shd w:val="clear" w:color="auto" w:fill="D9D9D9" w:themeFill="background1" w:themeFillShade="D9"/>
          </w:tcPr>
          <w:p w14:paraId="4247B5FD" w14:textId="745B50F1" w:rsidR="0080089E" w:rsidRPr="002661A8" w:rsidRDefault="0080089E" w:rsidP="00181D22">
            <w:pPr>
              <w:spacing w:after="60"/>
              <w:jc w:val="center"/>
              <w:outlineLvl w:val="2"/>
              <w:rPr>
                <w:b/>
                <w:noProof/>
              </w:rPr>
            </w:pPr>
            <w:r w:rsidRPr="002661A8">
              <w:rPr>
                <w:b/>
                <w:noProof/>
              </w:rPr>
              <w:t>Description</w:t>
            </w:r>
          </w:p>
        </w:tc>
      </w:tr>
      <w:tr w:rsidR="0080089E" w:rsidRPr="002661A8" w14:paraId="25BA8726" w14:textId="77777777" w:rsidTr="000914E4">
        <w:tc>
          <w:tcPr>
            <w:tcW w:w="1384" w:type="dxa"/>
          </w:tcPr>
          <w:p w14:paraId="0907E79E" w14:textId="78B08C69" w:rsidR="0080089E" w:rsidRPr="002661A8" w:rsidRDefault="0080089E" w:rsidP="00BC687F">
            <w:pPr>
              <w:spacing w:after="60"/>
              <w:outlineLvl w:val="2"/>
              <w:rPr>
                <w:noProof/>
              </w:rPr>
            </w:pPr>
            <w:r w:rsidRPr="002661A8">
              <w:rPr>
                <w:b/>
                <w:noProof/>
              </w:rPr>
              <w:t xml:space="preserve">Option </w:t>
            </w:r>
            <w:r w:rsidR="00A8027C">
              <w:rPr>
                <w:b/>
                <w:noProof/>
              </w:rPr>
              <w:t>B</w:t>
            </w:r>
            <w:r w:rsidRPr="002661A8">
              <w:rPr>
                <w:b/>
                <w:noProof/>
              </w:rPr>
              <w:t>1</w:t>
            </w:r>
            <w:r w:rsidRPr="002661A8">
              <w:rPr>
                <w:noProof/>
              </w:rPr>
              <w:t xml:space="preserve"> - Do nothing </w:t>
            </w:r>
          </w:p>
        </w:tc>
        <w:tc>
          <w:tcPr>
            <w:tcW w:w="7465" w:type="dxa"/>
          </w:tcPr>
          <w:p w14:paraId="0F4D5B76" w14:textId="63449055" w:rsidR="0080089E" w:rsidRPr="002661A8" w:rsidRDefault="0080089E" w:rsidP="00934309">
            <w:pPr>
              <w:spacing w:after="60"/>
              <w:ind w:right="-15"/>
              <w:jc w:val="both"/>
              <w:outlineLvl w:val="2"/>
              <w:rPr>
                <w:noProof/>
              </w:rPr>
            </w:pPr>
            <w:r w:rsidRPr="002661A8">
              <w:rPr>
                <w:noProof/>
              </w:rPr>
              <w:t xml:space="preserve">This is the baseline scenario (see </w:t>
            </w:r>
            <w:hyperlink w:anchor="_What_is_the" w:history="1">
              <w:r w:rsidR="007C2883" w:rsidRPr="002661A8">
                <w:rPr>
                  <w:rStyle w:val="Hyperlink"/>
                  <w:noProof/>
                </w:rPr>
                <w:t>S</w:t>
              </w:r>
              <w:r w:rsidRPr="002661A8">
                <w:rPr>
                  <w:rStyle w:val="Hyperlink"/>
                  <w:noProof/>
                </w:rPr>
                <w:t xml:space="preserve">ection </w:t>
              </w:r>
              <w:r w:rsidR="00E96087" w:rsidRPr="002661A8">
                <w:rPr>
                  <w:rStyle w:val="Hyperlink"/>
                  <w:noProof/>
                </w:rPr>
                <w:t>6</w:t>
              </w:r>
              <w:r w:rsidRPr="002661A8">
                <w:rPr>
                  <w:rStyle w:val="Hyperlink"/>
                  <w:noProof/>
                </w:rPr>
                <w:t>.1</w:t>
              </w:r>
            </w:hyperlink>
            <w:r w:rsidRPr="002661A8">
              <w:rPr>
                <w:noProof/>
              </w:rPr>
              <w:t>).</w:t>
            </w:r>
          </w:p>
        </w:tc>
      </w:tr>
      <w:tr w:rsidR="0080089E" w:rsidRPr="002661A8" w14:paraId="06A55D54" w14:textId="77777777" w:rsidTr="000914E4">
        <w:tc>
          <w:tcPr>
            <w:tcW w:w="1384" w:type="dxa"/>
          </w:tcPr>
          <w:p w14:paraId="7FDF8901" w14:textId="76F7883D" w:rsidR="0080089E" w:rsidRPr="002661A8" w:rsidRDefault="0080089E" w:rsidP="00BC687F">
            <w:pPr>
              <w:spacing w:after="60"/>
              <w:outlineLvl w:val="2"/>
              <w:rPr>
                <w:noProof/>
              </w:rPr>
            </w:pPr>
            <w:bookmarkStart w:id="732" w:name="_Hlk106900953"/>
            <w:r w:rsidRPr="002661A8">
              <w:rPr>
                <w:b/>
                <w:noProof/>
              </w:rPr>
              <w:t xml:space="preserve">Option </w:t>
            </w:r>
            <w:r w:rsidR="00A8027C">
              <w:rPr>
                <w:b/>
                <w:noProof/>
              </w:rPr>
              <w:t>B</w:t>
            </w:r>
            <w:r w:rsidRPr="002661A8">
              <w:rPr>
                <w:b/>
                <w:noProof/>
              </w:rPr>
              <w:t>2</w:t>
            </w:r>
            <w:r w:rsidRPr="002661A8">
              <w:rPr>
                <w:noProof/>
              </w:rPr>
              <w:t xml:space="preserve"> – Limit/</w:t>
            </w:r>
            <w:r w:rsidR="00DF184E" w:rsidRPr="002661A8">
              <w:rPr>
                <w:noProof/>
              </w:rPr>
              <w:t xml:space="preserve"> </w:t>
            </w:r>
            <w:r w:rsidRPr="002661A8">
              <w:rPr>
                <w:noProof/>
              </w:rPr>
              <w:t>dis</w:t>
            </w:r>
            <w:r w:rsidR="005F1F49" w:rsidRPr="002661A8">
              <w:rPr>
                <w:noProof/>
              </w:rPr>
              <w:t>-</w:t>
            </w:r>
            <w:r w:rsidRPr="002661A8">
              <w:rPr>
                <w:noProof/>
              </w:rPr>
              <w:t xml:space="preserve">incentivise banks’ </w:t>
            </w:r>
            <w:r w:rsidR="00954971" w:rsidRPr="002661A8">
              <w:rPr>
                <w:noProof/>
              </w:rPr>
              <w:t xml:space="preserve">excessive </w:t>
            </w:r>
            <w:r w:rsidRPr="002661A8">
              <w:rPr>
                <w:noProof/>
              </w:rPr>
              <w:t>exposures to CCPs</w:t>
            </w:r>
          </w:p>
        </w:tc>
        <w:tc>
          <w:tcPr>
            <w:tcW w:w="7465" w:type="dxa"/>
          </w:tcPr>
          <w:p w14:paraId="3D97E127" w14:textId="3E0D6A9B" w:rsidR="0080089E" w:rsidRPr="002661A8" w:rsidRDefault="00015C32" w:rsidP="00204DB0">
            <w:pPr>
              <w:spacing w:after="60"/>
              <w:ind w:right="-15"/>
              <w:jc w:val="both"/>
              <w:outlineLvl w:val="2"/>
              <w:rPr>
                <w:noProof/>
              </w:rPr>
            </w:pPr>
            <w:r w:rsidRPr="002661A8">
              <w:rPr>
                <w:noProof/>
              </w:rPr>
              <w:t>The Capital Requirements Regulation (</w:t>
            </w:r>
            <w:r w:rsidR="0080089E" w:rsidRPr="002661A8">
              <w:rPr>
                <w:noProof/>
              </w:rPr>
              <w:t>CRR</w:t>
            </w:r>
            <w:r w:rsidRPr="002661A8">
              <w:rPr>
                <w:noProof/>
              </w:rPr>
              <w:t xml:space="preserve">) </w:t>
            </w:r>
            <w:r w:rsidR="006236E8" w:rsidRPr="002661A8" w:rsidDel="00954971">
              <w:rPr>
                <w:noProof/>
              </w:rPr>
              <w:t>w</w:t>
            </w:r>
            <w:r w:rsidR="0080089E" w:rsidRPr="002661A8">
              <w:rPr>
                <w:noProof/>
              </w:rPr>
              <w:t>ould be amended to contain excessive exposures to</w:t>
            </w:r>
            <w:r w:rsidR="0080089E" w:rsidRPr="002661A8" w:rsidDel="00954971">
              <w:rPr>
                <w:noProof/>
              </w:rPr>
              <w:t xml:space="preserve"> </w:t>
            </w:r>
            <w:r w:rsidR="00740CCC" w:rsidRPr="002661A8">
              <w:rPr>
                <w:noProof/>
              </w:rPr>
              <w:t xml:space="preserve">third-country or EU </w:t>
            </w:r>
            <w:r w:rsidR="0080089E" w:rsidRPr="002661A8">
              <w:rPr>
                <w:noProof/>
              </w:rPr>
              <w:t xml:space="preserve">CCPs by banks </w:t>
            </w:r>
            <w:r w:rsidR="00954971" w:rsidRPr="002661A8">
              <w:rPr>
                <w:noProof/>
              </w:rPr>
              <w:t>acting as clearing members or as clients</w:t>
            </w:r>
            <w:r w:rsidR="0080089E" w:rsidRPr="002661A8">
              <w:rPr>
                <w:noProof/>
              </w:rPr>
              <w:t xml:space="preserve">. </w:t>
            </w:r>
            <w:r w:rsidR="00FF7297" w:rsidRPr="002661A8">
              <w:rPr>
                <w:noProof/>
              </w:rPr>
              <w:t>This option includes 3 alternative sub-options</w:t>
            </w:r>
            <w:r w:rsidR="0032705A">
              <w:rPr>
                <w:noProof/>
              </w:rPr>
              <w:t>: (</w:t>
            </w:r>
            <w:r w:rsidR="008466E3">
              <w:rPr>
                <w:noProof/>
              </w:rPr>
              <w:t>B2.1</w:t>
            </w:r>
            <w:r w:rsidR="0032705A">
              <w:rPr>
                <w:noProof/>
              </w:rPr>
              <w:t>)</w:t>
            </w:r>
            <w:r w:rsidR="005C7567" w:rsidRPr="002661A8" w:rsidDel="0032705A">
              <w:rPr>
                <w:noProof/>
              </w:rPr>
              <w:t xml:space="preserve"> </w:t>
            </w:r>
            <w:r w:rsidR="00204DB0">
              <w:rPr>
                <w:noProof/>
              </w:rPr>
              <w:t xml:space="preserve">to </w:t>
            </w:r>
            <w:r w:rsidR="0080089E" w:rsidRPr="002661A8">
              <w:rPr>
                <w:noProof/>
              </w:rPr>
              <w:t>introduc</w:t>
            </w:r>
            <w:r w:rsidR="00954971" w:rsidRPr="002661A8">
              <w:rPr>
                <w:noProof/>
              </w:rPr>
              <w:t xml:space="preserve">e </w:t>
            </w:r>
            <w:r w:rsidR="0032097B" w:rsidRPr="002661A8">
              <w:rPr>
                <w:noProof/>
              </w:rPr>
              <w:t xml:space="preserve">a new </w:t>
            </w:r>
            <w:r w:rsidR="00954971" w:rsidRPr="002661A8">
              <w:rPr>
                <w:noProof/>
              </w:rPr>
              <w:t>specific concentration</w:t>
            </w:r>
            <w:r w:rsidR="0080089E" w:rsidRPr="002661A8">
              <w:rPr>
                <w:noProof/>
              </w:rPr>
              <w:t xml:space="preserve"> limit</w:t>
            </w:r>
            <w:r w:rsidR="00954971" w:rsidRPr="002661A8">
              <w:rPr>
                <w:noProof/>
              </w:rPr>
              <w:t xml:space="preserve"> under the </w:t>
            </w:r>
            <w:r w:rsidR="00954971" w:rsidRPr="002661A8">
              <w:rPr>
                <w:noProof/>
                <w:u w:val="single"/>
              </w:rPr>
              <w:t>large exposure framework</w:t>
            </w:r>
            <w:r w:rsidR="00954971" w:rsidRPr="002661A8">
              <w:rPr>
                <w:noProof/>
              </w:rPr>
              <w:t>:</w:t>
            </w:r>
            <w:r w:rsidR="0080089E" w:rsidRPr="002661A8" w:rsidDel="00954971">
              <w:rPr>
                <w:noProof/>
              </w:rPr>
              <w:t xml:space="preserve"> </w:t>
            </w:r>
            <w:r w:rsidR="00204DB0">
              <w:rPr>
                <w:noProof/>
              </w:rPr>
              <w:t xml:space="preserve">where </w:t>
            </w:r>
            <w:r w:rsidR="0080089E" w:rsidRPr="002661A8">
              <w:rPr>
                <w:noProof/>
              </w:rPr>
              <w:t>exposure</w:t>
            </w:r>
            <w:r w:rsidR="00954971" w:rsidRPr="002661A8">
              <w:rPr>
                <w:noProof/>
              </w:rPr>
              <w:t>s</w:t>
            </w:r>
            <w:r w:rsidR="0080089E" w:rsidRPr="002661A8">
              <w:rPr>
                <w:noProof/>
              </w:rPr>
              <w:t xml:space="preserve"> towards a</w:t>
            </w:r>
            <w:r w:rsidR="0080089E" w:rsidRPr="002661A8" w:rsidDel="00954971">
              <w:rPr>
                <w:noProof/>
              </w:rPr>
              <w:t xml:space="preserve"> </w:t>
            </w:r>
            <w:r w:rsidR="0080089E" w:rsidRPr="002661A8">
              <w:rPr>
                <w:noProof/>
              </w:rPr>
              <w:t>CCP</w:t>
            </w:r>
            <w:r w:rsidR="00740CCC" w:rsidRPr="002661A8">
              <w:rPr>
                <w:noProof/>
              </w:rPr>
              <w:t xml:space="preserve"> </w:t>
            </w:r>
            <w:r w:rsidR="00954971" w:rsidRPr="002661A8">
              <w:rPr>
                <w:noProof/>
              </w:rPr>
              <w:t xml:space="preserve">would be limited to a certain threshold and breaching such </w:t>
            </w:r>
            <w:r w:rsidR="00B048EE" w:rsidRPr="002661A8">
              <w:rPr>
                <w:noProof/>
              </w:rPr>
              <w:t xml:space="preserve">a </w:t>
            </w:r>
            <w:r w:rsidR="00204DB0">
              <w:rPr>
                <w:noProof/>
              </w:rPr>
              <w:t>threshold</w:t>
            </w:r>
            <w:r w:rsidR="00954971" w:rsidRPr="002661A8">
              <w:rPr>
                <w:noProof/>
              </w:rPr>
              <w:t xml:space="preserve">, if not </w:t>
            </w:r>
            <w:r w:rsidR="00F7351E" w:rsidRPr="002661A8">
              <w:rPr>
                <w:noProof/>
              </w:rPr>
              <w:t xml:space="preserve">addressed </w:t>
            </w:r>
            <w:r w:rsidR="00954971" w:rsidRPr="002661A8">
              <w:rPr>
                <w:noProof/>
              </w:rPr>
              <w:t xml:space="preserve">in a certain timeframe, </w:t>
            </w:r>
            <w:r w:rsidR="00AD6CDB" w:rsidRPr="002661A8">
              <w:rPr>
                <w:noProof/>
              </w:rPr>
              <w:t>w</w:t>
            </w:r>
            <w:r w:rsidR="0080089E" w:rsidRPr="002661A8">
              <w:rPr>
                <w:noProof/>
              </w:rPr>
              <w:t>ould lead to higher capital requirements</w:t>
            </w:r>
            <w:r w:rsidR="0032705A">
              <w:rPr>
                <w:noProof/>
              </w:rPr>
              <w:t>;</w:t>
            </w:r>
            <w:r w:rsidR="00954971" w:rsidRPr="002661A8">
              <w:rPr>
                <w:noProof/>
              </w:rPr>
              <w:t xml:space="preserve"> </w:t>
            </w:r>
            <w:r w:rsidR="0032705A">
              <w:rPr>
                <w:noProof/>
              </w:rPr>
              <w:t>(</w:t>
            </w:r>
            <w:r w:rsidR="008466E3">
              <w:rPr>
                <w:noProof/>
              </w:rPr>
              <w:t>B2.2</w:t>
            </w:r>
            <w:r w:rsidR="0032705A">
              <w:rPr>
                <w:noProof/>
              </w:rPr>
              <w:t>)</w:t>
            </w:r>
            <w:r w:rsidR="00954971" w:rsidRPr="002661A8" w:rsidDel="0032705A">
              <w:rPr>
                <w:noProof/>
              </w:rPr>
              <w:t xml:space="preserve"> </w:t>
            </w:r>
            <w:r w:rsidR="00204DB0">
              <w:rPr>
                <w:noProof/>
              </w:rPr>
              <w:t xml:space="preserve">to </w:t>
            </w:r>
            <w:r w:rsidR="00954971" w:rsidRPr="002661A8">
              <w:rPr>
                <w:noProof/>
              </w:rPr>
              <w:t>build</w:t>
            </w:r>
            <w:r w:rsidR="00324A6E" w:rsidRPr="002661A8">
              <w:rPr>
                <w:noProof/>
              </w:rPr>
              <w:t xml:space="preserve"> on</w:t>
            </w:r>
            <w:r w:rsidR="00954971" w:rsidRPr="002661A8">
              <w:rPr>
                <w:noProof/>
              </w:rPr>
              <w:t xml:space="preserve"> the</w:t>
            </w:r>
            <w:r w:rsidR="00324A6E" w:rsidRPr="002661A8">
              <w:rPr>
                <w:noProof/>
              </w:rPr>
              <w:t xml:space="preserve"> </w:t>
            </w:r>
            <w:r w:rsidR="009E464E" w:rsidRPr="002661A8">
              <w:rPr>
                <w:noProof/>
                <w:u w:val="single"/>
              </w:rPr>
              <w:t>Pillar 2</w:t>
            </w:r>
            <w:r w:rsidR="009E464E" w:rsidRPr="002661A8" w:rsidDel="00954971">
              <w:rPr>
                <w:noProof/>
                <w:u w:val="single"/>
              </w:rPr>
              <w:t xml:space="preserve"> </w:t>
            </w:r>
            <w:r w:rsidR="00954971" w:rsidRPr="002661A8">
              <w:rPr>
                <w:noProof/>
                <w:u w:val="single"/>
              </w:rPr>
              <w:t>framework</w:t>
            </w:r>
            <w:r w:rsidR="007C0760" w:rsidRPr="002661A8">
              <w:rPr>
                <w:noProof/>
                <w:u w:val="single"/>
              </w:rPr>
              <w:t>,</w:t>
            </w:r>
            <w:r w:rsidR="00954971" w:rsidRPr="002661A8">
              <w:rPr>
                <w:noProof/>
              </w:rPr>
              <w:t xml:space="preserve"> whereby risks created by excessive exposures towards CCPs would be subject to specific supervisory measures, including possible additional capital requirements</w:t>
            </w:r>
            <w:r w:rsidR="0032705A">
              <w:rPr>
                <w:noProof/>
              </w:rPr>
              <w:t>; (</w:t>
            </w:r>
            <w:r w:rsidR="008466E3">
              <w:rPr>
                <w:noProof/>
              </w:rPr>
              <w:t>B2.3</w:t>
            </w:r>
            <w:r w:rsidR="0032705A">
              <w:rPr>
                <w:noProof/>
              </w:rPr>
              <w:t xml:space="preserve">) </w:t>
            </w:r>
            <w:r w:rsidR="00204DB0">
              <w:rPr>
                <w:noProof/>
              </w:rPr>
              <w:t xml:space="preserve">to </w:t>
            </w:r>
            <w:r w:rsidR="00954971" w:rsidRPr="002661A8">
              <w:rPr>
                <w:noProof/>
              </w:rPr>
              <w:t>consider</w:t>
            </w:r>
            <w:r w:rsidR="005C7567" w:rsidRPr="002661A8">
              <w:rPr>
                <w:noProof/>
              </w:rPr>
              <w:t xml:space="preserve"> </w:t>
            </w:r>
            <w:r w:rsidR="0080089E" w:rsidRPr="002661A8">
              <w:rPr>
                <w:noProof/>
                <w:u w:val="single"/>
              </w:rPr>
              <w:t>macro</w:t>
            </w:r>
            <w:r w:rsidR="00C543E2">
              <w:rPr>
                <w:noProof/>
                <w:u w:val="single"/>
              </w:rPr>
              <w:t xml:space="preserve"> </w:t>
            </w:r>
            <w:r w:rsidR="0080089E" w:rsidRPr="002661A8">
              <w:rPr>
                <w:noProof/>
                <w:u w:val="single"/>
              </w:rPr>
              <w:t>prudential tools</w:t>
            </w:r>
            <w:r w:rsidR="0080089E" w:rsidRPr="002661A8">
              <w:rPr>
                <w:noProof/>
              </w:rPr>
              <w:t xml:space="preserve"> to account for the </w:t>
            </w:r>
            <w:r w:rsidR="00954971" w:rsidRPr="002661A8">
              <w:rPr>
                <w:noProof/>
              </w:rPr>
              <w:t xml:space="preserve">aggregated </w:t>
            </w:r>
            <w:r w:rsidR="0080089E" w:rsidRPr="002661A8">
              <w:rPr>
                <w:noProof/>
              </w:rPr>
              <w:t xml:space="preserve">risks of EU </w:t>
            </w:r>
            <w:r w:rsidR="00954971" w:rsidRPr="002661A8">
              <w:rPr>
                <w:noProof/>
              </w:rPr>
              <w:t xml:space="preserve">banks’ </w:t>
            </w:r>
            <w:r w:rsidR="0080089E" w:rsidRPr="002661A8">
              <w:rPr>
                <w:noProof/>
              </w:rPr>
              <w:t xml:space="preserve">exposures to systemic CCPs. </w:t>
            </w:r>
          </w:p>
        </w:tc>
      </w:tr>
      <w:bookmarkEnd w:id="732"/>
      <w:tr w:rsidR="0080089E" w:rsidRPr="002661A8" w14:paraId="09155AFE" w14:textId="77777777" w:rsidTr="000914E4">
        <w:tc>
          <w:tcPr>
            <w:tcW w:w="1384" w:type="dxa"/>
          </w:tcPr>
          <w:p w14:paraId="12073240" w14:textId="231FEF4A" w:rsidR="0080089E" w:rsidRPr="002661A8" w:rsidRDefault="0080089E" w:rsidP="00934309">
            <w:pPr>
              <w:spacing w:after="60"/>
              <w:outlineLvl w:val="2"/>
              <w:rPr>
                <w:b/>
                <w:noProof/>
              </w:rPr>
            </w:pPr>
            <w:r w:rsidRPr="002661A8">
              <w:rPr>
                <w:b/>
                <w:noProof/>
              </w:rPr>
              <w:t xml:space="preserve">Option </w:t>
            </w:r>
            <w:r w:rsidR="00A8027C">
              <w:rPr>
                <w:b/>
                <w:noProof/>
              </w:rPr>
              <w:t>B</w:t>
            </w:r>
            <w:r w:rsidR="003C3291" w:rsidRPr="002661A8">
              <w:rPr>
                <w:b/>
                <w:noProof/>
              </w:rPr>
              <w:t>3</w:t>
            </w:r>
            <w:r w:rsidRPr="002661A8">
              <w:rPr>
                <w:b/>
                <w:noProof/>
              </w:rPr>
              <w:t xml:space="preserve"> – </w:t>
            </w:r>
            <w:r w:rsidRPr="002661A8">
              <w:rPr>
                <w:noProof/>
              </w:rPr>
              <w:t>Active account at EU CCPs</w:t>
            </w:r>
          </w:p>
        </w:tc>
        <w:tc>
          <w:tcPr>
            <w:tcW w:w="7465" w:type="dxa"/>
          </w:tcPr>
          <w:p w14:paraId="391F83F0" w14:textId="7DC97FD9" w:rsidR="0080089E" w:rsidRPr="002661A8" w:rsidRDefault="0080089E" w:rsidP="00934309">
            <w:pPr>
              <w:ind w:right="-15"/>
              <w:jc w:val="both"/>
              <w:outlineLvl w:val="2"/>
              <w:rPr>
                <w:noProof/>
              </w:rPr>
            </w:pPr>
            <w:r w:rsidRPr="002661A8">
              <w:rPr>
                <w:noProof/>
              </w:rPr>
              <w:t xml:space="preserve">An obligation to keep an active account at EU CCPs </w:t>
            </w:r>
            <w:r w:rsidR="006236E8" w:rsidRPr="002661A8">
              <w:rPr>
                <w:noProof/>
              </w:rPr>
              <w:t>w</w:t>
            </w:r>
            <w:r w:rsidRPr="002661A8">
              <w:rPr>
                <w:noProof/>
              </w:rPr>
              <w:t>ould be imposed</w:t>
            </w:r>
            <w:r w:rsidR="00014D57">
              <w:rPr>
                <w:noProof/>
              </w:rPr>
              <w:t xml:space="preserve"> on all EU market participants subject to the clearing obligation</w:t>
            </w:r>
            <w:r w:rsidR="00204DB0">
              <w:rPr>
                <w:noProof/>
              </w:rPr>
              <w:t>.</w:t>
            </w:r>
            <w:r w:rsidRPr="002661A8">
              <w:rPr>
                <w:noProof/>
              </w:rPr>
              <w:t xml:space="preserve"> </w:t>
            </w:r>
            <w:r w:rsidR="00204DB0">
              <w:rPr>
                <w:noProof/>
              </w:rPr>
              <w:t xml:space="preserve">Such </w:t>
            </w:r>
            <w:r w:rsidRPr="002661A8">
              <w:rPr>
                <w:noProof/>
              </w:rPr>
              <w:t>EU market participants would be obliged to clear a portion of their new trades</w:t>
            </w:r>
            <w:r w:rsidR="00A80381" w:rsidRPr="002661A8">
              <w:rPr>
                <w:noProof/>
              </w:rPr>
              <w:t xml:space="preserve"> </w:t>
            </w:r>
            <w:r w:rsidR="00101BD2">
              <w:rPr>
                <w:noProof/>
              </w:rPr>
              <w:t xml:space="preserve">in relation to certain clearing services </w:t>
            </w:r>
            <w:r w:rsidR="00A80381" w:rsidRPr="002661A8">
              <w:rPr>
                <w:noProof/>
              </w:rPr>
              <w:t>at EU CCPs</w:t>
            </w:r>
            <w:r w:rsidR="00170A7E">
              <w:rPr>
                <w:noProof/>
              </w:rPr>
              <w:t xml:space="preserve"> and to report such trades to the CCP’s competent authority</w:t>
            </w:r>
            <w:r w:rsidRPr="002661A8">
              <w:rPr>
                <w:noProof/>
              </w:rPr>
              <w:t xml:space="preserve">. </w:t>
            </w:r>
            <w:r w:rsidR="00014D57">
              <w:rPr>
                <w:noProof/>
              </w:rPr>
              <w:t>The measure should apply to those services which have been identified as systemically important by ESMA.</w:t>
            </w:r>
            <w:r w:rsidRPr="002661A8">
              <w:rPr>
                <w:noProof/>
              </w:rPr>
              <w:t xml:space="preserve"> </w:t>
            </w:r>
            <w:r w:rsidR="00DA515A" w:rsidRPr="002661A8">
              <w:rPr>
                <w:noProof/>
              </w:rPr>
              <w:t xml:space="preserve">The specific features of the active account could be defined in a level 2 measure, which </w:t>
            </w:r>
            <w:r w:rsidR="007B5DBE" w:rsidRPr="002661A8">
              <w:rPr>
                <w:noProof/>
              </w:rPr>
              <w:t>w</w:t>
            </w:r>
            <w:r w:rsidR="00DA515A" w:rsidRPr="002661A8">
              <w:rPr>
                <w:noProof/>
              </w:rPr>
              <w:t xml:space="preserve">ould be subject to </w:t>
            </w:r>
            <w:r w:rsidR="00DA515A" w:rsidRPr="002661A8" w:rsidDel="00FD26F9">
              <w:rPr>
                <w:noProof/>
              </w:rPr>
              <w:t xml:space="preserve">a </w:t>
            </w:r>
            <w:r w:rsidR="00DA515A" w:rsidRPr="002661A8">
              <w:rPr>
                <w:noProof/>
              </w:rPr>
              <w:t>public consultation and cost-benefit analysis</w:t>
            </w:r>
            <w:r w:rsidR="00014D57">
              <w:rPr>
                <w:noProof/>
              </w:rPr>
              <w:t xml:space="preserve">, taking into account certain criteria, notably that the measure must ensure a reduction in exposures to </w:t>
            </w:r>
            <w:r w:rsidR="00101BD2">
              <w:rPr>
                <w:noProof/>
              </w:rPr>
              <w:t xml:space="preserve">those clearing services offered by Tier 2 CCPs which are considered of </w:t>
            </w:r>
            <w:r w:rsidR="00014D57">
              <w:rPr>
                <w:noProof/>
              </w:rPr>
              <w:t xml:space="preserve">substantial systemic </w:t>
            </w:r>
            <w:r w:rsidR="00101BD2">
              <w:rPr>
                <w:noProof/>
              </w:rPr>
              <w:t>importance</w:t>
            </w:r>
            <w:r w:rsidR="00014D57">
              <w:rPr>
                <w:noProof/>
              </w:rPr>
              <w:t xml:space="preserve">. </w:t>
            </w:r>
            <w:r w:rsidR="00101BD2">
              <w:rPr>
                <w:noProof/>
              </w:rPr>
              <w:t>More specifically,</w:t>
            </w:r>
            <w:r w:rsidR="00810AD2" w:rsidRPr="00810AD2">
              <w:rPr>
                <w:noProof/>
              </w:rPr>
              <w:t xml:space="preserve"> ESMA </w:t>
            </w:r>
            <w:r w:rsidR="00826216">
              <w:rPr>
                <w:noProof/>
              </w:rPr>
              <w:t>c</w:t>
            </w:r>
            <w:r w:rsidR="00101BD2">
              <w:rPr>
                <w:noProof/>
              </w:rPr>
              <w:t>ould be empowered to prepare a</w:t>
            </w:r>
            <w:r w:rsidR="00810AD2" w:rsidRPr="00810AD2">
              <w:rPr>
                <w:noProof/>
              </w:rPr>
              <w:t xml:space="preserve"> draft RTS specifying the </w:t>
            </w:r>
            <w:r w:rsidR="00810AD2">
              <w:rPr>
                <w:noProof/>
              </w:rPr>
              <w:t>proportion of activity in the derivative contracts subject to the requirement to be cleared in EU CCPs</w:t>
            </w:r>
            <w:r w:rsidR="00170A7E">
              <w:rPr>
                <w:noProof/>
              </w:rPr>
              <w:t xml:space="preserve"> and the reporting methodology</w:t>
            </w:r>
            <w:r w:rsidR="00810AD2">
              <w:rPr>
                <w:noProof/>
              </w:rPr>
              <w:t xml:space="preserve">. </w:t>
            </w:r>
            <w:r w:rsidR="00826216">
              <w:rPr>
                <w:noProof/>
              </w:rPr>
              <w:t>T</w:t>
            </w:r>
            <w:r w:rsidR="00810AD2">
              <w:rPr>
                <w:noProof/>
              </w:rPr>
              <w:t xml:space="preserve">he Commission </w:t>
            </w:r>
            <w:r w:rsidR="00826216">
              <w:rPr>
                <w:noProof/>
              </w:rPr>
              <w:t>could also be empowered</w:t>
            </w:r>
            <w:r w:rsidR="00810AD2">
              <w:rPr>
                <w:noProof/>
              </w:rPr>
              <w:t xml:space="preserve"> to make changes to the list of instruments subject to the requirement to be </w:t>
            </w:r>
            <w:r w:rsidR="00640FFC">
              <w:rPr>
                <w:noProof/>
              </w:rPr>
              <w:t>cleared</w:t>
            </w:r>
            <w:r w:rsidR="00810AD2">
              <w:rPr>
                <w:noProof/>
              </w:rPr>
              <w:t xml:space="preserve"> </w:t>
            </w:r>
            <w:r w:rsidR="00826216">
              <w:rPr>
                <w:noProof/>
              </w:rPr>
              <w:t xml:space="preserve">at a certain proportion </w:t>
            </w:r>
            <w:r w:rsidR="00810AD2">
              <w:rPr>
                <w:noProof/>
              </w:rPr>
              <w:t>in an EU CCP</w:t>
            </w:r>
            <w:r w:rsidR="00826216">
              <w:rPr>
                <w:noProof/>
              </w:rPr>
              <w:t xml:space="preserve">; this would ensure that EMIR is future-proof in case ESMA were to identify </w:t>
            </w:r>
            <w:r w:rsidR="00640FFC">
              <w:rPr>
                <w:noProof/>
              </w:rPr>
              <w:t>pursuant to Article 25(2c) of EMIR</w:t>
            </w:r>
            <w:r w:rsidR="00826216">
              <w:rPr>
                <w:noProof/>
              </w:rPr>
              <w:t xml:space="preserve"> any other clearing services as of substantial systemic importance</w:t>
            </w:r>
            <w:r w:rsidR="00810AD2" w:rsidRPr="00810AD2">
              <w:rPr>
                <w:noProof/>
              </w:rPr>
              <w:t xml:space="preserve">. </w:t>
            </w:r>
            <w:r w:rsidR="00014D57">
              <w:rPr>
                <w:noProof/>
              </w:rPr>
              <w:t xml:space="preserve">In preparing </w:t>
            </w:r>
            <w:r w:rsidR="00640FFC">
              <w:rPr>
                <w:noProof/>
              </w:rPr>
              <w:t>the draft RTS</w:t>
            </w:r>
            <w:r w:rsidR="00014D57">
              <w:rPr>
                <w:noProof/>
              </w:rPr>
              <w:t xml:space="preserve">, ESMA should cooperate with the </w:t>
            </w:r>
            <w:r w:rsidR="00810AD2">
              <w:rPr>
                <w:noProof/>
              </w:rPr>
              <w:t>ESRB,</w:t>
            </w:r>
            <w:r w:rsidR="00014D57">
              <w:rPr>
                <w:noProof/>
              </w:rPr>
              <w:t xml:space="preserve"> </w:t>
            </w:r>
            <w:r w:rsidR="00826216">
              <w:rPr>
                <w:noProof/>
              </w:rPr>
              <w:t xml:space="preserve">the </w:t>
            </w:r>
            <w:r w:rsidR="00014D57">
              <w:rPr>
                <w:noProof/>
              </w:rPr>
              <w:t xml:space="preserve">other European Supervisory Agencies and consult with the ESCB. Under the ESMA Regulation, ESMA is </w:t>
            </w:r>
            <w:r w:rsidR="0032705A">
              <w:rPr>
                <w:noProof/>
              </w:rPr>
              <w:t xml:space="preserve">also </w:t>
            </w:r>
            <w:r w:rsidR="00014D57">
              <w:rPr>
                <w:noProof/>
              </w:rPr>
              <w:t>required to conduct a</w:t>
            </w:r>
            <w:r w:rsidR="00640FFC">
              <w:rPr>
                <w:noProof/>
              </w:rPr>
              <w:t>n</w:t>
            </w:r>
            <w:r w:rsidR="00014D57">
              <w:rPr>
                <w:noProof/>
              </w:rPr>
              <w:t xml:space="preserve"> open public consultation and analyse the potential costs and benefits</w:t>
            </w:r>
            <w:r w:rsidR="00DA515A" w:rsidRPr="002661A8">
              <w:rPr>
                <w:noProof/>
              </w:rPr>
              <w:t>.</w:t>
            </w:r>
          </w:p>
        </w:tc>
      </w:tr>
      <w:tr w:rsidR="00177319" w:rsidRPr="002661A8" w14:paraId="212AE0C5" w14:textId="77777777" w:rsidTr="000914E4">
        <w:tc>
          <w:tcPr>
            <w:tcW w:w="1384" w:type="dxa"/>
            <w:shd w:val="clear" w:color="auto" w:fill="auto"/>
          </w:tcPr>
          <w:p w14:paraId="4BC1C8A5" w14:textId="056EB38F" w:rsidR="004929C3" w:rsidRPr="002661A8" w:rsidRDefault="004929C3" w:rsidP="00934309">
            <w:pPr>
              <w:spacing w:after="60"/>
              <w:outlineLvl w:val="2"/>
              <w:rPr>
                <w:b/>
                <w:noProof/>
              </w:rPr>
            </w:pPr>
            <w:r w:rsidRPr="002661A8">
              <w:rPr>
                <w:b/>
                <w:noProof/>
              </w:rPr>
              <w:t xml:space="preserve">Option </w:t>
            </w:r>
            <w:r w:rsidR="00A8027C">
              <w:rPr>
                <w:b/>
                <w:noProof/>
              </w:rPr>
              <w:t>B</w:t>
            </w:r>
            <w:r w:rsidR="003C3291" w:rsidRPr="002661A8">
              <w:rPr>
                <w:b/>
                <w:noProof/>
              </w:rPr>
              <w:t xml:space="preserve">4 </w:t>
            </w:r>
            <w:r w:rsidRPr="002661A8">
              <w:rPr>
                <w:b/>
                <w:noProof/>
              </w:rPr>
              <w:t>-</w:t>
            </w:r>
            <w:r w:rsidRPr="002661A8">
              <w:rPr>
                <w:noProof/>
              </w:rPr>
              <w:t xml:space="preserve"> Broaden the scope of clearing participants</w:t>
            </w:r>
            <w:r w:rsidR="002D5EA3" w:rsidRPr="002661A8">
              <w:rPr>
                <w:rStyle w:val="FootnoteReference"/>
                <w:noProof/>
              </w:rPr>
              <w:footnoteReference w:id="117"/>
            </w:r>
          </w:p>
        </w:tc>
        <w:tc>
          <w:tcPr>
            <w:tcW w:w="7465" w:type="dxa"/>
            <w:shd w:val="clear" w:color="auto" w:fill="auto"/>
          </w:tcPr>
          <w:p w14:paraId="643B3B67" w14:textId="363A94B4" w:rsidR="004929C3" w:rsidRPr="002661A8" w:rsidRDefault="00E96087" w:rsidP="00204DB0">
            <w:pPr>
              <w:spacing w:after="60"/>
              <w:ind w:right="-15"/>
              <w:jc w:val="both"/>
              <w:outlineLvl w:val="2"/>
              <w:rPr>
                <w:noProof/>
              </w:rPr>
            </w:pPr>
            <w:r w:rsidRPr="002661A8">
              <w:rPr>
                <w:noProof/>
              </w:rPr>
              <w:t>P</w:t>
            </w:r>
            <w:r w:rsidR="004929C3" w:rsidRPr="002661A8">
              <w:rPr>
                <w:noProof/>
              </w:rPr>
              <w:t>ublic entities</w:t>
            </w:r>
            <w:r w:rsidRPr="002661A8">
              <w:rPr>
                <w:noProof/>
              </w:rPr>
              <w:t xml:space="preserve"> in the EU</w:t>
            </w:r>
            <w:r w:rsidR="004929C3" w:rsidRPr="002661A8">
              <w:rPr>
                <w:noProof/>
              </w:rPr>
              <w:t xml:space="preserve"> </w:t>
            </w:r>
            <w:r w:rsidR="00583630" w:rsidRPr="002661A8">
              <w:rPr>
                <w:noProof/>
              </w:rPr>
              <w:t xml:space="preserve">or some of them </w:t>
            </w:r>
            <w:r w:rsidR="00D32ADA" w:rsidRPr="002661A8">
              <w:rPr>
                <w:noProof/>
              </w:rPr>
              <w:t xml:space="preserve">(e.g. </w:t>
            </w:r>
            <w:r w:rsidR="00850316" w:rsidRPr="002661A8">
              <w:rPr>
                <w:noProof/>
              </w:rPr>
              <w:t xml:space="preserve">national debt management office, public development </w:t>
            </w:r>
            <w:r w:rsidR="6BA9B2F2" w:rsidRPr="002661A8">
              <w:rPr>
                <w:noProof/>
              </w:rPr>
              <w:t xml:space="preserve">and promotional </w:t>
            </w:r>
            <w:r w:rsidR="00850316" w:rsidRPr="002661A8">
              <w:rPr>
                <w:noProof/>
              </w:rPr>
              <w:t>banks</w:t>
            </w:r>
            <w:r w:rsidR="00D32ADA" w:rsidRPr="002661A8">
              <w:rPr>
                <w:noProof/>
              </w:rPr>
              <w:t>)</w:t>
            </w:r>
            <w:r w:rsidR="00583630" w:rsidRPr="002661A8">
              <w:rPr>
                <w:noProof/>
              </w:rPr>
              <w:t>,</w:t>
            </w:r>
            <w:r w:rsidR="004929C3" w:rsidRPr="002661A8">
              <w:rPr>
                <w:noProof/>
              </w:rPr>
              <w:t xml:space="preserve"> which currently are not obliged to clear </w:t>
            </w:r>
            <w:r w:rsidR="006C0930" w:rsidRPr="002661A8">
              <w:rPr>
                <w:noProof/>
              </w:rPr>
              <w:t xml:space="preserve">centrally </w:t>
            </w:r>
            <w:r w:rsidR="004929C3" w:rsidRPr="002661A8">
              <w:rPr>
                <w:noProof/>
              </w:rPr>
              <w:t>according to EMIR,</w:t>
            </w:r>
            <w:r w:rsidR="00E468A4" w:rsidRPr="002661A8">
              <w:rPr>
                <w:noProof/>
              </w:rPr>
              <w:t xml:space="preserve"> </w:t>
            </w:r>
            <w:r w:rsidR="00204DB0">
              <w:rPr>
                <w:noProof/>
              </w:rPr>
              <w:t>c</w:t>
            </w:r>
            <w:r w:rsidR="00FB60BA" w:rsidRPr="002661A8">
              <w:rPr>
                <w:noProof/>
              </w:rPr>
              <w:t>ould</w:t>
            </w:r>
            <w:r w:rsidR="004929C3" w:rsidRPr="002661A8">
              <w:rPr>
                <w:noProof/>
              </w:rPr>
              <w:t xml:space="preserve"> clear their derivative transactions</w:t>
            </w:r>
            <w:r w:rsidR="007E3889" w:rsidRPr="002661A8">
              <w:rPr>
                <w:noProof/>
              </w:rPr>
              <w:t xml:space="preserve"> </w:t>
            </w:r>
            <w:r w:rsidR="004929C3" w:rsidRPr="002661A8">
              <w:rPr>
                <w:noProof/>
              </w:rPr>
              <w:t>at EU CCPs.</w:t>
            </w:r>
            <w:r w:rsidR="00687730" w:rsidRPr="002661A8">
              <w:rPr>
                <w:noProof/>
              </w:rPr>
              <w:t xml:space="preserve"> </w:t>
            </w:r>
            <w:r w:rsidR="00533E71">
              <w:rPr>
                <w:noProof/>
              </w:rPr>
              <w:t xml:space="preserve">This </w:t>
            </w:r>
            <w:r w:rsidR="00601F85">
              <w:rPr>
                <w:noProof/>
              </w:rPr>
              <w:t>c</w:t>
            </w:r>
            <w:r w:rsidR="00533E71">
              <w:rPr>
                <w:noProof/>
              </w:rPr>
              <w:t xml:space="preserve">ould be </w:t>
            </w:r>
            <w:r w:rsidR="00601F85">
              <w:rPr>
                <w:noProof/>
              </w:rPr>
              <w:t>encouraged</w:t>
            </w:r>
            <w:r w:rsidR="00533E71">
              <w:rPr>
                <w:noProof/>
              </w:rPr>
              <w:t xml:space="preserve"> by recommending that they clear at EU CCPs if they voluntarily decide to clear centrally.</w:t>
            </w:r>
          </w:p>
        </w:tc>
      </w:tr>
      <w:tr w:rsidR="00177319" w:rsidRPr="002661A8" w14:paraId="3EBB30AC" w14:textId="77777777" w:rsidTr="000914E4">
        <w:tc>
          <w:tcPr>
            <w:tcW w:w="1384" w:type="dxa"/>
          </w:tcPr>
          <w:p w14:paraId="0F1B316B" w14:textId="1215F960" w:rsidR="004929C3" w:rsidRPr="002661A8" w:rsidRDefault="004929C3" w:rsidP="00934309">
            <w:pPr>
              <w:spacing w:after="60"/>
              <w:outlineLvl w:val="2"/>
              <w:rPr>
                <w:b/>
                <w:noProof/>
              </w:rPr>
            </w:pPr>
            <w:r w:rsidRPr="002661A8">
              <w:rPr>
                <w:b/>
                <w:noProof/>
              </w:rPr>
              <w:t xml:space="preserve">Option </w:t>
            </w:r>
            <w:r w:rsidR="00A8027C">
              <w:rPr>
                <w:b/>
                <w:noProof/>
              </w:rPr>
              <w:t>B</w:t>
            </w:r>
            <w:r w:rsidR="003C3291" w:rsidRPr="002661A8">
              <w:rPr>
                <w:b/>
                <w:noProof/>
              </w:rPr>
              <w:t xml:space="preserve">5 </w:t>
            </w:r>
            <w:r w:rsidRPr="002661A8">
              <w:rPr>
                <w:b/>
                <w:noProof/>
              </w:rPr>
              <w:t xml:space="preserve">– </w:t>
            </w:r>
            <w:r w:rsidRPr="002661A8">
              <w:rPr>
                <w:noProof/>
              </w:rPr>
              <w:t>Facilitate clearing by clients</w:t>
            </w:r>
          </w:p>
        </w:tc>
        <w:tc>
          <w:tcPr>
            <w:tcW w:w="7465" w:type="dxa"/>
          </w:tcPr>
          <w:p w14:paraId="21439F87" w14:textId="35E77204" w:rsidR="004929C3" w:rsidRPr="002661A8" w:rsidRDefault="006236E8" w:rsidP="00204DB0">
            <w:pPr>
              <w:spacing w:after="60"/>
              <w:ind w:right="-15"/>
              <w:jc w:val="both"/>
              <w:outlineLvl w:val="2"/>
              <w:rPr>
                <w:noProof/>
              </w:rPr>
            </w:pPr>
            <w:r w:rsidRPr="002661A8">
              <w:rPr>
                <w:noProof/>
              </w:rPr>
              <w:t>This option would i</w:t>
            </w:r>
            <w:r w:rsidR="004929C3" w:rsidRPr="002661A8">
              <w:rPr>
                <w:noProof/>
              </w:rPr>
              <w:t xml:space="preserve">ntroduce </w:t>
            </w:r>
            <w:r w:rsidR="008740DC" w:rsidRPr="002661A8">
              <w:rPr>
                <w:noProof/>
              </w:rPr>
              <w:t>changes</w:t>
            </w:r>
            <w:r w:rsidR="004929C3" w:rsidRPr="002661A8">
              <w:rPr>
                <w:noProof/>
              </w:rPr>
              <w:t xml:space="preserve"> to support central clearing, including amendments in the relevant pieces of sectorial </w:t>
            </w:r>
            <w:r w:rsidR="009310B6" w:rsidRPr="002661A8">
              <w:rPr>
                <w:noProof/>
              </w:rPr>
              <w:t xml:space="preserve">primary/secondary </w:t>
            </w:r>
            <w:r w:rsidR="004929C3" w:rsidRPr="002661A8">
              <w:rPr>
                <w:noProof/>
              </w:rPr>
              <w:t>legislation</w:t>
            </w:r>
            <w:r w:rsidR="003B25DF" w:rsidRPr="002661A8">
              <w:rPr>
                <w:noProof/>
              </w:rPr>
              <w:t xml:space="preserve"> </w:t>
            </w:r>
            <w:r w:rsidR="004929C3" w:rsidRPr="002661A8">
              <w:rPr>
                <w:noProof/>
              </w:rPr>
              <w:t>(UCITS</w:t>
            </w:r>
            <w:r w:rsidR="009310B6" w:rsidRPr="002661A8">
              <w:rPr>
                <w:noProof/>
              </w:rPr>
              <w:t xml:space="preserve"> Directive</w:t>
            </w:r>
            <w:r w:rsidR="004929C3" w:rsidRPr="002661A8">
              <w:rPr>
                <w:noProof/>
              </w:rPr>
              <w:t xml:space="preserve">, </w:t>
            </w:r>
            <w:r w:rsidR="009310B6" w:rsidRPr="002661A8">
              <w:rPr>
                <w:noProof/>
              </w:rPr>
              <w:t>MMF Regulation,</w:t>
            </w:r>
            <w:r w:rsidR="00E96087" w:rsidRPr="002661A8">
              <w:rPr>
                <w:rStyle w:val="FootnoteReference"/>
                <w:noProof/>
              </w:rPr>
              <w:footnoteReference w:id="118"/>
            </w:r>
            <w:r w:rsidR="009310B6" w:rsidRPr="002661A8">
              <w:rPr>
                <w:noProof/>
              </w:rPr>
              <w:t xml:space="preserve"> </w:t>
            </w:r>
            <w:r w:rsidR="004929C3" w:rsidRPr="002661A8">
              <w:rPr>
                <w:noProof/>
              </w:rPr>
              <w:t>Solvency II</w:t>
            </w:r>
            <w:r w:rsidR="007C0760" w:rsidRPr="002661A8">
              <w:rPr>
                <w:noProof/>
              </w:rPr>
              <w:t xml:space="preserve"> </w:t>
            </w:r>
            <w:r w:rsidR="00F86AA0" w:rsidRPr="002661A8">
              <w:rPr>
                <w:noProof/>
              </w:rPr>
              <w:t>delegated act</w:t>
            </w:r>
            <w:r w:rsidR="00297016" w:rsidRPr="002661A8">
              <w:rPr>
                <w:rStyle w:val="FootnoteReference"/>
                <w:noProof/>
              </w:rPr>
              <w:footnoteReference w:id="119"/>
            </w:r>
            <w:r w:rsidR="004929C3" w:rsidRPr="002661A8">
              <w:rPr>
                <w:noProof/>
              </w:rPr>
              <w:t xml:space="preserve">) </w:t>
            </w:r>
            <w:r w:rsidR="003B25DF" w:rsidRPr="002661A8">
              <w:rPr>
                <w:noProof/>
              </w:rPr>
              <w:t>to grant appropriate treatment to exposures to CCPs</w:t>
            </w:r>
            <w:r w:rsidR="007C76A7" w:rsidRPr="002661A8">
              <w:rPr>
                <w:noProof/>
              </w:rPr>
              <w:t>, where the role of</w:t>
            </w:r>
            <w:r w:rsidR="00DF184E" w:rsidRPr="002661A8">
              <w:rPr>
                <w:noProof/>
              </w:rPr>
              <w:t xml:space="preserve"> </w:t>
            </w:r>
            <w:r w:rsidR="007C76A7" w:rsidRPr="002661A8">
              <w:rPr>
                <w:noProof/>
              </w:rPr>
              <w:t>a</w:t>
            </w:r>
            <w:r w:rsidR="00BF2996" w:rsidRPr="002661A8">
              <w:rPr>
                <w:noProof/>
              </w:rPr>
              <w:t xml:space="preserve"> CCP as a counterparty is not always taken into account</w:t>
            </w:r>
            <w:r w:rsidR="00204DB0">
              <w:rPr>
                <w:noProof/>
              </w:rPr>
              <w:t>. W</w:t>
            </w:r>
            <w:r w:rsidR="00C5501F">
              <w:rPr>
                <w:noProof/>
              </w:rPr>
              <w:t>hile the amendment</w:t>
            </w:r>
            <w:r w:rsidR="00204DB0">
              <w:rPr>
                <w:noProof/>
              </w:rPr>
              <w:t>s</w:t>
            </w:r>
            <w:r w:rsidR="00C5501F">
              <w:rPr>
                <w:noProof/>
              </w:rPr>
              <w:t xml:space="preserve"> of</w:t>
            </w:r>
            <w:r w:rsidR="0032705A">
              <w:rPr>
                <w:noProof/>
              </w:rPr>
              <w:t xml:space="preserve"> the</w:t>
            </w:r>
            <w:r w:rsidR="00C5501F">
              <w:rPr>
                <w:noProof/>
              </w:rPr>
              <w:t xml:space="preserve"> UCITS Directive and MMF Regulation concern central clearing by funds in general, whether directly or indirectly, the amendments to the Solvency II delegated regulation would address in particular the case of an insurance company wishing to become a direct clearing member of a CCP. </w:t>
            </w:r>
            <w:r w:rsidR="00625AE9">
              <w:rPr>
                <w:noProof/>
              </w:rPr>
              <w:t xml:space="preserve">In addition, the relevant clearing members and clients </w:t>
            </w:r>
            <w:r w:rsidR="00026397">
              <w:rPr>
                <w:noProof/>
              </w:rPr>
              <w:t>offering clearing services</w:t>
            </w:r>
            <w:r w:rsidR="00BD270E">
              <w:rPr>
                <w:noProof/>
              </w:rPr>
              <w:t xml:space="preserve"> could also be required </w:t>
            </w:r>
            <w:r w:rsidR="00625AE9">
              <w:rPr>
                <w:noProof/>
              </w:rPr>
              <w:t xml:space="preserve">to inform their clients of the possibility to clear at an EU CCP </w:t>
            </w:r>
            <w:r w:rsidR="00BF2996" w:rsidRPr="002661A8">
              <w:rPr>
                <w:noProof/>
              </w:rPr>
              <w:t xml:space="preserve">to </w:t>
            </w:r>
            <w:r w:rsidR="007C76A7" w:rsidRPr="002661A8">
              <w:rPr>
                <w:noProof/>
              </w:rPr>
              <w:t>en</w:t>
            </w:r>
            <w:r w:rsidR="00BF2996" w:rsidRPr="002661A8">
              <w:rPr>
                <w:noProof/>
              </w:rPr>
              <w:t xml:space="preserve">sure that clearing members offer clients the possibility to clear at an EU CCP where </w:t>
            </w:r>
            <w:r w:rsidR="007C76A7" w:rsidRPr="002661A8">
              <w:rPr>
                <w:noProof/>
              </w:rPr>
              <w:t>an</w:t>
            </w:r>
            <w:r w:rsidR="00BF2996" w:rsidRPr="002661A8">
              <w:rPr>
                <w:noProof/>
              </w:rPr>
              <w:t xml:space="preserve"> offer is available</w:t>
            </w:r>
            <w:r w:rsidR="004929C3" w:rsidRPr="002661A8">
              <w:rPr>
                <w:noProof/>
              </w:rPr>
              <w:t>.</w:t>
            </w:r>
          </w:p>
        </w:tc>
      </w:tr>
      <w:tr w:rsidR="0080089E" w:rsidRPr="002661A8" w14:paraId="10C43875" w14:textId="77777777" w:rsidTr="000914E4">
        <w:tc>
          <w:tcPr>
            <w:tcW w:w="1384" w:type="dxa"/>
          </w:tcPr>
          <w:p w14:paraId="13507CB8" w14:textId="45F0DDF2" w:rsidR="0080089E" w:rsidRPr="002661A8" w:rsidRDefault="0080089E" w:rsidP="00934309">
            <w:pPr>
              <w:spacing w:after="60"/>
              <w:outlineLvl w:val="2"/>
              <w:rPr>
                <w:b/>
                <w:noProof/>
              </w:rPr>
            </w:pPr>
            <w:r w:rsidRPr="002661A8">
              <w:rPr>
                <w:b/>
                <w:noProof/>
              </w:rPr>
              <w:t xml:space="preserve">Option </w:t>
            </w:r>
            <w:r w:rsidR="00A8027C">
              <w:rPr>
                <w:b/>
                <w:noProof/>
              </w:rPr>
              <w:t>B</w:t>
            </w:r>
            <w:r w:rsidR="00FB4E30" w:rsidRPr="002661A8">
              <w:rPr>
                <w:b/>
                <w:noProof/>
              </w:rPr>
              <w:t>6</w:t>
            </w:r>
            <w:r w:rsidRPr="002661A8">
              <w:rPr>
                <w:b/>
                <w:noProof/>
              </w:rPr>
              <w:t xml:space="preserve"> – </w:t>
            </w:r>
            <w:r w:rsidRPr="002661A8">
              <w:rPr>
                <w:noProof/>
              </w:rPr>
              <w:t xml:space="preserve">Combination of </w:t>
            </w:r>
            <w:r w:rsidR="004A1AF1" w:rsidRPr="002661A8">
              <w:rPr>
                <w:noProof/>
              </w:rPr>
              <w:t xml:space="preserve">all </w:t>
            </w:r>
            <w:r w:rsidR="004929C3" w:rsidRPr="002661A8">
              <w:rPr>
                <w:noProof/>
              </w:rPr>
              <w:t>options</w:t>
            </w:r>
          </w:p>
        </w:tc>
        <w:tc>
          <w:tcPr>
            <w:tcW w:w="7465" w:type="dxa"/>
          </w:tcPr>
          <w:p w14:paraId="11CD6C66" w14:textId="5A2E7719" w:rsidR="0080089E" w:rsidRPr="002661A8" w:rsidRDefault="00AF4B55" w:rsidP="00934309">
            <w:pPr>
              <w:spacing w:after="60"/>
              <w:ind w:right="-15"/>
              <w:jc w:val="both"/>
              <w:outlineLvl w:val="2"/>
              <w:rPr>
                <w:noProof/>
              </w:rPr>
            </w:pPr>
            <w:r w:rsidRPr="002661A8">
              <w:rPr>
                <w:noProof/>
              </w:rPr>
              <w:t xml:space="preserve">A variant of </w:t>
            </w:r>
            <w:r w:rsidR="00324A6E" w:rsidRPr="002661A8">
              <w:rPr>
                <w:noProof/>
              </w:rPr>
              <w:t xml:space="preserve">Option 2 </w:t>
            </w:r>
            <w:r w:rsidR="00AB6463" w:rsidRPr="002661A8">
              <w:rPr>
                <w:noProof/>
              </w:rPr>
              <w:t xml:space="preserve">(Pillar 2) </w:t>
            </w:r>
            <w:r w:rsidR="00204DB0">
              <w:rPr>
                <w:noProof/>
              </w:rPr>
              <w:t>c</w:t>
            </w:r>
            <w:r w:rsidRPr="002661A8">
              <w:rPr>
                <w:noProof/>
              </w:rPr>
              <w:t xml:space="preserve">ould be applied, together with </w:t>
            </w:r>
            <w:r w:rsidR="00324A6E" w:rsidRPr="002661A8">
              <w:rPr>
                <w:noProof/>
              </w:rPr>
              <w:t xml:space="preserve">an active account </w:t>
            </w:r>
            <w:r w:rsidRPr="002661A8">
              <w:rPr>
                <w:noProof/>
              </w:rPr>
              <w:t>(</w:t>
            </w:r>
            <w:r w:rsidR="00324A6E" w:rsidRPr="002661A8">
              <w:rPr>
                <w:noProof/>
              </w:rPr>
              <w:t xml:space="preserve">Option </w:t>
            </w:r>
            <w:r w:rsidR="002D5EA3" w:rsidRPr="002661A8">
              <w:rPr>
                <w:noProof/>
              </w:rPr>
              <w:t>3</w:t>
            </w:r>
            <w:r w:rsidRPr="002661A8">
              <w:rPr>
                <w:noProof/>
              </w:rPr>
              <w:t>)</w:t>
            </w:r>
            <w:r w:rsidR="00324A6E" w:rsidRPr="002661A8">
              <w:rPr>
                <w:noProof/>
              </w:rPr>
              <w:t xml:space="preserve">, to </w:t>
            </w:r>
            <w:r w:rsidR="00224775">
              <w:rPr>
                <w:noProof/>
              </w:rPr>
              <w:t>reduce</w:t>
            </w:r>
            <w:r w:rsidR="00224775" w:rsidRPr="002661A8">
              <w:rPr>
                <w:noProof/>
              </w:rPr>
              <w:t xml:space="preserve"> </w:t>
            </w:r>
            <w:r w:rsidR="00224775">
              <w:rPr>
                <w:noProof/>
              </w:rPr>
              <w:t xml:space="preserve">excessive </w:t>
            </w:r>
            <w:r w:rsidR="00324A6E" w:rsidRPr="002661A8">
              <w:rPr>
                <w:noProof/>
              </w:rPr>
              <w:t xml:space="preserve">exposures </w:t>
            </w:r>
            <w:r w:rsidR="00224775">
              <w:rPr>
                <w:noProof/>
              </w:rPr>
              <w:t>to third-country CCPs</w:t>
            </w:r>
            <w:r w:rsidR="0001636C" w:rsidRPr="002661A8">
              <w:rPr>
                <w:noProof/>
              </w:rPr>
              <w:t xml:space="preserve"> to protect the EU’s financial stability</w:t>
            </w:r>
            <w:r w:rsidR="00324A6E" w:rsidRPr="002661A8">
              <w:rPr>
                <w:noProof/>
              </w:rPr>
              <w:t>.</w:t>
            </w:r>
            <w:r w:rsidR="00376722" w:rsidRPr="002661A8">
              <w:rPr>
                <w:noProof/>
              </w:rPr>
              <w:t xml:space="preserve"> Option</w:t>
            </w:r>
            <w:r w:rsidR="004A1AF1" w:rsidRPr="002661A8">
              <w:rPr>
                <w:noProof/>
              </w:rPr>
              <w:t>s 4 and</w:t>
            </w:r>
            <w:r w:rsidR="00360B36" w:rsidRPr="002661A8">
              <w:rPr>
                <w:noProof/>
              </w:rPr>
              <w:t xml:space="preserve"> 5 </w:t>
            </w:r>
            <w:r w:rsidR="006236E8" w:rsidRPr="002661A8">
              <w:rPr>
                <w:noProof/>
              </w:rPr>
              <w:t>w</w:t>
            </w:r>
            <w:r w:rsidR="00360B36" w:rsidRPr="002661A8">
              <w:rPr>
                <w:noProof/>
              </w:rPr>
              <w:t xml:space="preserve">ould </w:t>
            </w:r>
            <w:r w:rsidR="00850316" w:rsidRPr="002661A8">
              <w:rPr>
                <w:noProof/>
              </w:rPr>
              <w:t xml:space="preserve">also </w:t>
            </w:r>
            <w:r w:rsidR="00360B36" w:rsidRPr="002661A8">
              <w:rPr>
                <w:noProof/>
              </w:rPr>
              <w:t>be put in place</w:t>
            </w:r>
            <w:r w:rsidR="0080089E" w:rsidRPr="002661A8">
              <w:rPr>
                <w:noProof/>
              </w:rPr>
              <w:t xml:space="preserve">. </w:t>
            </w:r>
          </w:p>
        </w:tc>
      </w:tr>
    </w:tbl>
    <w:p w14:paraId="43EE2804" w14:textId="16B54C84" w:rsidR="0080089E" w:rsidRPr="002661A8" w:rsidRDefault="008A60F0" w:rsidP="00ED5088">
      <w:pPr>
        <w:pStyle w:val="Heading1"/>
        <w:numPr>
          <w:ilvl w:val="2"/>
          <w:numId w:val="6"/>
        </w:numPr>
        <w:spacing w:after="120"/>
        <w:rPr>
          <w:rFonts w:eastAsiaTheme="minorEastAsia"/>
          <w:b w:val="0"/>
          <w:i/>
          <w:smallCaps w:val="0"/>
          <w:noProof/>
        </w:rPr>
      </w:pPr>
      <w:bookmarkStart w:id="733" w:name="_Toc104310001"/>
      <w:bookmarkStart w:id="734" w:name="_Toc105656442"/>
      <w:bookmarkStart w:id="735" w:name="_Toc106827842"/>
      <w:bookmarkStart w:id="736" w:name="_Toc106981718"/>
      <w:bookmarkStart w:id="737" w:name="_Toc107493858"/>
      <w:bookmarkStart w:id="738" w:name="_Toc107497894"/>
      <w:bookmarkStart w:id="739" w:name="_Toc107503447"/>
      <w:bookmarkStart w:id="740" w:name="_Toc107504595"/>
      <w:bookmarkStart w:id="741" w:name="_Toc107505440"/>
      <w:bookmarkStart w:id="742" w:name="_Toc107838916"/>
      <w:bookmarkStart w:id="743" w:name="_Toc107847011"/>
      <w:bookmarkStart w:id="744" w:name="_Toc107849248"/>
      <w:bookmarkStart w:id="745" w:name="_Toc107853695"/>
      <w:bookmarkStart w:id="746" w:name="_Toc108539590"/>
      <w:bookmarkStart w:id="747" w:name="_Toc108539812"/>
      <w:bookmarkStart w:id="748" w:name="_Toc108539930"/>
      <w:bookmarkStart w:id="749" w:name="_Toc109057388"/>
      <w:bookmarkStart w:id="750" w:name="_Toc109120754"/>
      <w:bookmarkStart w:id="751" w:name="_Toc109122389"/>
      <w:bookmarkStart w:id="752" w:name="_Toc109124102"/>
      <w:bookmarkStart w:id="753" w:name="_Toc109133126"/>
      <w:bookmarkStart w:id="754" w:name="_Toc109133302"/>
      <w:bookmarkStart w:id="755" w:name="_Toc120291660"/>
      <w:r w:rsidRPr="002661A8">
        <w:rPr>
          <w:b w:val="0"/>
          <w:i/>
          <w:smallCaps w:val="0"/>
          <w:noProof/>
        </w:rPr>
        <w:t>Enhance the assessment and management of cross-border risks</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14:paraId="795B8F2D" w14:textId="43E1783A" w:rsidR="000B5910" w:rsidRPr="002661A8" w:rsidRDefault="00733EF9" w:rsidP="00D6052F">
      <w:pPr>
        <w:pStyle w:val="Text1"/>
        <w:spacing w:after="120"/>
        <w:ind w:left="0"/>
        <w:rPr>
          <w:rFonts w:eastAsiaTheme="minorEastAsia"/>
          <w:noProof/>
        </w:rPr>
      </w:pPr>
      <w:bookmarkStart w:id="756" w:name="_Toc103337506"/>
      <w:bookmarkStart w:id="757" w:name="_Toc104310002"/>
      <w:r w:rsidRPr="002661A8">
        <w:rPr>
          <w:rFonts w:eastAsiaTheme="minorEastAsia"/>
          <w:noProof/>
        </w:rPr>
        <w:t xml:space="preserve">The objective is to </w:t>
      </w:r>
      <w:r w:rsidR="00E36E82" w:rsidRPr="002661A8">
        <w:rPr>
          <w:rFonts w:eastAsiaTheme="minorEastAsia"/>
          <w:noProof/>
        </w:rPr>
        <w:t>strengthen the framework for</w:t>
      </w:r>
      <w:r w:rsidRPr="002661A8">
        <w:rPr>
          <w:rFonts w:eastAsiaTheme="minorEastAsia"/>
          <w:noProof/>
        </w:rPr>
        <w:t xml:space="preserve"> </w:t>
      </w:r>
      <w:r w:rsidR="003605C6" w:rsidRPr="002661A8">
        <w:rPr>
          <w:rFonts w:eastAsiaTheme="minorEastAsia"/>
          <w:noProof/>
        </w:rPr>
        <w:t xml:space="preserve">assessing and </w:t>
      </w:r>
      <w:r w:rsidR="001540A4" w:rsidRPr="002661A8">
        <w:rPr>
          <w:rFonts w:eastAsiaTheme="minorEastAsia"/>
          <w:noProof/>
        </w:rPr>
        <w:t>managing</w:t>
      </w:r>
      <w:r w:rsidRPr="002661A8">
        <w:rPr>
          <w:rFonts w:eastAsiaTheme="minorEastAsia"/>
          <w:noProof/>
        </w:rPr>
        <w:t xml:space="preserve"> cross-border risks</w:t>
      </w:r>
      <w:r w:rsidR="00E36E82" w:rsidRPr="002661A8">
        <w:rPr>
          <w:rFonts w:eastAsiaTheme="minorEastAsia"/>
          <w:noProof/>
        </w:rPr>
        <w:t>,</w:t>
      </w:r>
      <w:r w:rsidRPr="002661A8">
        <w:rPr>
          <w:rFonts w:eastAsiaTheme="minorEastAsia"/>
          <w:noProof/>
        </w:rPr>
        <w:t xml:space="preserve"> thus </w:t>
      </w:r>
      <w:r w:rsidR="00E36E82" w:rsidRPr="002661A8">
        <w:rPr>
          <w:rFonts w:eastAsiaTheme="minorEastAsia"/>
          <w:noProof/>
        </w:rPr>
        <w:t>ensur</w:t>
      </w:r>
      <w:r w:rsidR="00A46D82" w:rsidRPr="002661A8">
        <w:rPr>
          <w:rFonts w:eastAsiaTheme="minorEastAsia"/>
          <w:noProof/>
        </w:rPr>
        <w:t>ing</w:t>
      </w:r>
      <w:r w:rsidRPr="002661A8">
        <w:rPr>
          <w:rFonts w:eastAsiaTheme="minorEastAsia"/>
          <w:noProof/>
        </w:rPr>
        <w:t xml:space="preserve"> financial stability. All options are alternatives.</w:t>
      </w:r>
      <w:bookmarkEnd w:id="756"/>
      <w:bookmarkEnd w:id="757"/>
    </w:p>
    <w:tbl>
      <w:tblPr>
        <w:tblStyle w:val="GridTable5Dark-Accent2"/>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18"/>
        <w:gridCol w:w="7513"/>
      </w:tblGrid>
      <w:tr w:rsidR="001E7D10" w:rsidRPr="002661A8" w14:paraId="6F48DE7E" w14:textId="77777777" w:rsidTr="00934309">
        <w:trPr>
          <w:cnfStyle w:val="100000000000" w:firstRow="1" w:lastRow="0" w:firstColumn="0" w:lastColumn="0" w:oddVBand="0" w:evenVBand="0" w:oddHBand="0" w:evenHBand="0" w:firstRowFirstColumn="0" w:firstRowLastColumn="0" w:lastRowFirstColumn="0" w:lastRowLastColumn="0"/>
        </w:trPr>
        <w:tc>
          <w:tcPr>
            <w:tcW w:w="1418" w:type="dxa"/>
            <w:shd w:val="clear" w:color="auto" w:fill="BFBFBF" w:themeFill="background1" w:themeFillShade="BF"/>
            <w:hideMark/>
          </w:tcPr>
          <w:p w14:paraId="5C5F7A45" w14:textId="77777777" w:rsidR="000B5910" w:rsidRPr="002661A8" w:rsidRDefault="000B5910" w:rsidP="003A09D4">
            <w:pPr>
              <w:keepNext/>
              <w:spacing w:after="60"/>
              <w:jc w:val="center"/>
              <w:outlineLvl w:val="2"/>
              <w:rPr>
                <w:rFonts w:ascii="Times New Roman" w:eastAsia="Times New Roman" w:hAnsi="Times New Roman" w:cs="Times New Roman"/>
                <w:noProof/>
                <w:color w:val="auto"/>
                <w:sz w:val="20"/>
                <w:szCs w:val="20"/>
              </w:rPr>
            </w:pPr>
            <w:r w:rsidRPr="002661A8">
              <w:rPr>
                <w:rFonts w:ascii="Times New Roman" w:eastAsia="Times New Roman" w:hAnsi="Times New Roman" w:cs="Times New Roman"/>
                <w:noProof/>
                <w:color w:val="auto"/>
                <w:sz w:val="20"/>
                <w:szCs w:val="20"/>
              </w:rPr>
              <w:t>Policy Option</w:t>
            </w:r>
          </w:p>
        </w:tc>
        <w:tc>
          <w:tcPr>
            <w:tcW w:w="7513" w:type="dxa"/>
            <w:shd w:val="clear" w:color="auto" w:fill="BFBFBF" w:themeFill="background1" w:themeFillShade="BF"/>
            <w:hideMark/>
          </w:tcPr>
          <w:p w14:paraId="55E28D05" w14:textId="320DE441" w:rsidR="000B5910" w:rsidRPr="002661A8" w:rsidRDefault="000B5910" w:rsidP="003A09D4">
            <w:pPr>
              <w:keepNext/>
              <w:spacing w:after="60"/>
              <w:jc w:val="center"/>
              <w:outlineLvl w:val="2"/>
              <w:rPr>
                <w:rFonts w:ascii="Times New Roman" w:eastAsia="Times New Roman" w:hAnsi="Times New Roman" w:cs="Times New Roman"/>
                <w:noProof/>
                <w:color w:val="auto"/>
                <w:sz w:val="20"/>
                <w:szCs w:val="20"/>
              </w:rPr>
            </w:pPr>
            <w:r w:rsidRPr="002661A8">
              <w:rPr>
                <w:rFonts w:ascii="Times New Roman" w:eastAsia="Times New Roman" w:hAnsi="Times New Roman" w:cs="Times New Roman"/>
                <w:noProof/>
                <w:color w:val="auto"/>
                <w:sz w:val="20"/>
                <w:szCs w:val="20"/>
              </w:rPr>
              <w:t>Description</w:t>
            </w:r>
          </w:p>
        </w:tc>
      </w:tr>
      <w:tr w:rsidR="001E7D10" w:rsidRPr="002661A8" w14:paraId="70BE18EA" w14:textId="77777777" w:rsidTr="00934309">
        <w:trPr>
          <w:cnfStyle w:val="000000100000" w:firstRow="0" w:lastRow="0" w:firstColumn="0" w:lastColumn="0" w:oddVBand="0" w:evenVBand="0" w:oddHBand="1" w:evenHBand="0" w:firstRowFirstColumn="0" w:firstRowLastColumn="0" w:lastRowFirstColumn="0" w:lastRowLastColumn="0"/>
          <w:trHeight w:val="288"/>
        </w:trPr>
        <w:tc>
          <w:tcPr>
            <w:tcW w:w="1418" w:type="dxa"/>
            <w:shd w:val="clear" w:color="auto" w:fill="FFFFFF" w:themeFill="background1"/>
            <w:hideMark/>
          </w:tcPr>
          <w:p w14:paraId="598C7445" w14:textId="3413FBAC" w:rsidR="000B5910" w:rsidRPr="002661A8" w:rsidRDefault="000B5910" w:rsidP="003A09D4">
            <w:pPr>
              <w:spacing w:after="60"/>
              <w:rPr>
                <w:rFonts w:ascii="Times New Roman" w:hAnsi="Times New Roman" w:cs="Times New Roman"/>
                <w:noProof/>
                <w:sz w:val="20"/>
                <w:szCs w:val="20"/>
              </w:rPr>
            </w:pPr>
            <w:r w:rsidRPr="002661A8">
              <w:rPr>
                <w:rFonts w:ascii="Times New Roman" w:hAnsi="Times New Roman" w:cs="Times New Roman"/>
                <w:b/>
                <w:noProof/>
                <w:sz w:val="20"/>
                <w:szCs w:val="20"/>
              </w:rPr>
              <w:t xml:space="preserve">Option </w:t>
            </w:r>
            <w:r w:rsidR="00A8027C">
              <w:rPr>
                <w:rFonts w:ascii="Times New Roman" w:hAnsi="Times New Roman" w:cs="Times New Roman"/>
                <w:b/>
                <w:noProof/>
                <w:sz w:val="20"/>
                <w:szCs w:val="20"/>
              </w:rPr>
              <w:t>C</w:t>
            </w:r>
            <w:r w:rsidRPr="002661A8">
              <w:rPr>
                <w:rFonts w:ascii="Times New Roman" w:hAnsi="Times New Roman" w:cs="Times New Roman"/>
                <w:b/>
                <w:noProof/>
                <w:sz w:val="20"/>
                <w:szCs w:val="20"/>
              </w:rPr>
              <w:t>1</w:t>
            </w:r>
            <w:r w:rsidRPr="002661A8">
              <w:rPr>
                <w:rFonts w:ascii="Times New Roman" w:hAnsi="Times New Roman" w:cs="Times New Roman"/>
                <w:noProof/>
                <w:sz w:val="20"/>
                <w:szCs w:val="20"/>
              </w:rPr>
              <w:t>: Do nothing</w:t>
            </w:r>
          </w:p>
        </w:tc>
        <w:tc>
          <w:tcPr>
            <w:tcW w:w="7513" w:type="dxa"/>
            <w:shd w:val="clear" w:color="auto" w:fill="FFFFFF" w:themeFill="background1"/>
            <w:hideMark/>
          </w:tcPr>
          <w:p w14:paraId="7C555580" w14:textId="4F15B398" w:rsidR="000B5910" w:rsidRPr="002661A8" w:rsidRDefault="000B5910" w:rsidP="0065602B">
            <w:pPr>
              <w:tabs>
                <w:tab w:val="left" w:pos="2302"/>
              </w:tabs>
              <w:spacing w:after="60"/>
              <w:jc w:val="both"/>
              <w:rPr>
                <w:rFonts w:ascii="Times New Roman" w:eastAsia="Times New Roman" w:hAnsi="Times New Roman" w:cs="Times New Roman"/>
                <w:noProof/>
                <w:sz w:val="20"/>
                <w:szCs w:val="20"/>
              </w:rPr>
            </w:pPr>
            <w:r w:rsidRPr="002661A8">
              <w:rPr>
                <w:rFonts w:ascii="Times New Roman" w:eastAsia="Times New Roman" w:hAnsi="Times New Roman" w:cs="Times New Roman"/>
                <w:noProof/>
                <w:sz w:val="20"/>
                <w:szCs w:val="20"/>
              </w:rPr>
              <w:t xml:space="preserve">This is the baseline scenario (see </w:t>
            </w:r>
            <w:hyperlink w:anchor="_What_is_the" w:history="1">
              <w:r w:rsidR="007C2883" w:rsidRPr="002661A8">
                <w:rPr>
                  <w:rStyle w:val="Hyperlink"/>
                  <w:rFonts w:ascii="Times New Roman" w:eastAsia="Times New Roman" w:hAnsi="Times New Roman" w:cs="Times New Roman"/>
                  <w:noProof/>
                  <w:sz w:val="20"/>
                  <w:szCs w:val="20"/>
                </w:rPr>
                <w:t>S</w:t>
              </w:r>
              <w:r w:rsidRPr="002661A8">
                <w:rPr>
                  <w:rStyle w:val="Hyperlink"/>
                  <w:rFonts w:ascii="Times New Roman" w:eastAsia="Times New Roman" w:hAnsi="Times New Roman" w:cs="Times New Roman"/>
                  <w:noProof/>
                  <w:sz w:val="20"/>
                  <w:szCs w:val="20"/>
                </w:rPr>
                <w:t xml:space="preserve">ection </w:t>
              </w:r>
              <w:r w:rsidR="0065602B" w:rsidRPr="002661A8">
                <w:rPr>
                  <w:rStyle w:val="Hyperlink"/>
                  <w:rFonts w:ascii="Times New Roman" w:eastAsia="Times New Roman" w:hAnsi="Times New Roman" w:cs="Times New Roman"/>
                  <w:noProof/>
                  <w:sz w:val="20"/>
                  <w:szCs w:val="20"/>
                </w:rPr>
                <w:t>6.1</w:t>
              </w:r>
            </w:hyperlink>
            <w:r w:rsidRPr="002661A8">
              <w:rPr>
                <w:rFonts w:ascii="Times New Roman" w:eastAsia="Times New Roman" w:hAnsi="Times New Roman" w:cs="Times New Roman"/>
                <w:noProof/>
                <w:sz w:val="20"/>
                <w:szCs w:val="20"/>
              </w:rPr>
              <w:t>).</w:t>
            </w:r>
          </w:p>
        </w:tc>
      </w:tr>
      <w:tr w:rsidR="001E7D10" w:rsidRPr="002661A8" w14:paraId="59BE66B5" w14:textId="77777777" w:rsidTr="00934309">
        <w:trPr>
          <w:trHeight w:val="288"/>
        </w:trPr>
        <w:tc>
          <w:tcPr>
            <w:tcW w:w="1418" w:type="dxa"/>
            <w:shd w:val="clear" w:color="auto" w:fill="FFFFFF" w:themeFill="background1"/>
          </w:tcPr>
          <w:p w14:paraId="47CECE4E" w14:textId="209B0B02" w:rsidR="000B5910" w:rsidRPr="002661A8" w:rsidRDefault="000B5910" w:rsidP="003A09D4">
            <w:pPr>
              <w:spacing w:after="60"/>
              <w:rPr>
                <w:rFonts w:ascii="Times New Roman" w:hAnsi="Times New Roman" w:cs="Times New Roman"/>
                <w:b/>
                <w:noProof/>
                <w:sz w:val="20"/>
                <w:szCs w:val="20"/>
              </w:rPr>
            </w:pPr>
            <w:r w:rsidRPr="002661A8">
              <w:rPr>
                <w:rFonts w:ascii="Times New Roman" w:hAnsi="Times New Roman" w:cs="Times New Roman"/>
                <w:b/>
                <w:noProof/>
                <w:sz w:val="20"/>
                <w:szCs w:val="20"/>
              </w:rPr>
              <w:t xml:space="preserve">Option </w:t>
            </w:r>
            <w:r w:rsidR="00A8027C">
              <w:rPr>
                <w:rFonts w:ascii="Times New Roman" w:hAnsi="Times New Roman" w:cs="Times New Roman"/>
                <w:b/>
                <w:noProof/>
                <w:sz w:val="20"/>
                <w:szCs w:val="20"/>
              </w:rPr>
              <w:t>C</w:t>
            </w:r>
            <w:r w:rsidRPr="002661A8">
              <w:rPr>
                <w:rFonts w:ascii="Times New Roman" w:hAnsi="Times New Roman" w:cs="Times New Roman"/>
                <w:b/>
                <w:noProof/>
                <w:sz w:val="20"/>
                <w:szCs w:val="20"/>
              </w:rPr>
              <w:t xml:space="preserve">2: </w:t>
            </w:r>
            <w:r w:rsidRPr="002661A8">
              <w:rPr>
                <w:rFonts w:ascii="Times New Roman" w:hAnsi="Times New Roman" w:cs="Times New Roman"/>
                <w:noProof/>
                <w:sz w:val="20"/>
                <w:szCs w:val="20"/>
              </w:rPr>
              <w:t>Targeted amendments to the current supervisory framework</w:t>
            </w:r>
          </w:p>
        </w:tc>
        <w:tc>
          <w:tcPr>
            <w:tcW w:w="7513" w:type="dxa"/>
            <w:shd w:val="clear" w:color="auto" w:fill="FFFFFF" w:themeFill="background1"/>
          </w:tcPr>
          <w:p w14:paraId="63CD6591" w14:textId="33D81B87" w:rsidR="000B5910" w:rsidRPr="002661A8" w:rsidRDefault="00FE0BFC" w:rsidP="00746C05">
            <w:pPr>
              <w:spacing w:after="60"/>
              <w:jc w:val="both"/>
              <w:rPr>
                <w:rFonts w:ascii="Times New Roman" w:eastAsia="Times New Roman" w:hAnsi="Times New Roman" w:cs="Times New Roman"/>
                <w:noProof/>
                <w:sz w:val="20"/>
                <w:szCs w:val="20"/>
              </w:rPr>
            </w:pPr>
            <w:r w:rsidRPr="002661A8">
              <w:rPr>
                <w:rFonts w:ascii="Times New Roman" w:eastAsia="Times New Roman" w:hAnsi="Times New Roman" w:cs="Times New Roman"/>
                <w:noProof/>
                <w:sz w:val="20"/>
                <w:szCs w:val="20"/>
              </w:rPr>
              <w:t>NCAs</w:t>
            </w:r>
            <w:r w:rsidR="000B5910" w:rsidRPr="002661A8">
              <w:rPr>
                <w:rFonts w:ascii="Times New Roman" w:eastAsia="Times New Roman" w:hAnsi="Times New Roman" w:cs="Times New Roman"/>
                <w:noProof/>
                <w:sz w:val="20"/>
                <w:szCs w:val="20"/>
              </w:rPr>
              <w:t xml:space="preserve"> would remain responsible for adopting supervisory decisions, with greater input from EU </w:t>
            </w:r>
            <w:r w:rsidRPr="002661A8">
              <w:rPr>
                <w:rFonts w:ascii="Times New Roman" w:eastAsia="Times New Roman" w:hAnsi="Times New Roman" w:cs="Times New Roman"/>
                <w:noProof/>
                <w:sz w:val="20"/>
                <w:szCs w:val="20"/>
              </w:rPr>
              <w:t>bodies</w:t>
            </w:r>
            <w:r w:rsidR="000B5910" w:rsidRPr="002661A8">
              <w:rPr>
                <w:rFonts w:ascii="Times New Roman" w:eastAsia="Times New Roman" w:hAnsi="Times New Roman" w:cs="Times New Roman"/>
                <w:noProof/>
                <w:sz w:val="20"/>
                <w:szCs w:val="20"/>
              </w:rPr>
              <w:t>. Targeted amendments could include</w:t>
            </w:r>
            <w:r w:rsidR="00AE590B" w:rsidRPr="002661A8">
              <w:rPr>
                <w:rFonts w:ascii="Times New Roman" w:eastAsia="Times New Roman" w:hAnsi="Times New Roman" w:cs="Times New Roman"/>
                <w:noProof/>
                <w:sz w:val="20"/>
                <w:szCs w:val="20"/>
              </w:rPr>
              <w:t xml:space="preserve"> (individually or complementar</w:t>
            </w:r>
            <w:r w:rsidR="00041125" w:rsidRPr="002661A8">
              <w:rPr>
                <w:rFonts w:ascii="Times New Roman" w:eastAsia="Times New Roman" w:hAnsi="Times New Roman" w:cs="Times New Roman"/>
                <w:noProof/>
                <w:sz w:val="20"/>
                <w:szCs w:val="20"/>
              </w:rPr>
              <w:t>il</w:t>
            </w:r>
            <w:r w:rsidR="00AE590B" w:rsidRPr="002661A8">
              <w:rPr>
                <w:rFonts w:ascii="Times New Roman" w:eastAsia="Times New Roman" w:hAnsi="Times New Roman" w:cs="Times New Roman"/>
                <w:noProof/>
                <w:sz w:val="20"/>
                <w:szCs w:val="20"/>
              </w:rPr>
              <w:t>y)</w:t>
            </w:r>
            <w:r w:rsidR="000B5910" w:rsidRPr="002661A8">
              <w:rPr>
                <w:rFonts w:ascii="Times New Roman" w:eastAsia="Times New Roman" w:hAnsi="Times New Roman" w:cs="Times New Roman"/>
                <w:noProof/>
                <w:sz w:val="20"/>
                <w:szCs w:val="20"/>
              </w:rPr>
              <w:t xml:space="preserve">: </w:t>
            </w:r>
            <w:r w:rsidR="00FF2EC3">
              <w:rPr>
                <w:rFonts w:ascii="Times New Roman" w:eastAsia="Times New Roman" w:hAnsi="Times New Roman" w:cs="Times New Roman"/>
                <w:noProof/>
                <w:sz w:val="20"/>
                <w:szCs w:val="20"/>
              </w:rPr>
              <w:t>(</w:t>
            </w:r>
            <w:r w:rsidR="00037292">
              <w:rPr>
                <w:rFonts w:ascii="Times New Roman" w:eastAsia="Times New Roman" w:hAnsi="Times New Roman" w:cs="Times New Roman"/>
                <w:noProof/>
                <w:sz w:val="20"/>
                <w:szCs w:val="20"/>
              </w:rPr>
              <w:t>1</w:t>
            </w:r>
            <w:r w:rsidR="00FF2EC3">
              <w:rPr>
                <w:rFonts w:ascii="Times New Roman" w:eastAsia="Times New Roman" w:hAnsi="Times New Roman" w:cs="Times New Roman"/>
                <w:noProof/>
                <w:sz w:val="20"/>
                <w:szCs w:val="20"/>
              </w:rPr>
              <w:t xml:space="preserve">) </w:t>
            </w:r>
            <w:r w:rsidR="000B5910" w:rsidRPr="002661A8">
              <w:rPr>
                <w:rFonts w:ascii="Times New Roman" w:eastAsia="Times New Roman" w:hAnsi="Times New Roman" w:cs="Times New Roman"/>
                <w:noProof/>
                <w:sz w:val="20"/>
                <w:szCs w:val="20"/>
              </w:rPr>
              <w:t xml:space="preserve">strengthening EU input in the adoption of decisions by </w:t>
            </w:r>
            <w:r w:rsidR="00746C05" w:rsidRPr="002661A8">
              <w:rPr>
                <w:rFonts w:ascii="Times New Roman" w:eastAsia="Times New Roman" w:hAnsi="Times New Roman" w:cs="Times New Roman"/>
                <w:noProof/>
                <w:sz w:val="20"/>
                <w:szCs w:val="20"/>
              </w:rPr>
              <w:t>NCAs</w:t>
            </w:r>
            <w:r w:rsidR="000B5910" w:rsidRPr="002661A8">
              <w:rPr>
                <w:rFonts w:ascii="Times New Roman" w:eastAsia="Times New Roman" w:hAnsi="Times New Roman" w:cs="Times New Roman"/>
                <w:noProof/>
                <w:sz w:val="20"/>
                <w:szCs w:val="20"/>
              </w:rPr>
              <w:t xml:space="preserve"> (e.g. by</w:t>
            </w:r>
            <w:r w:rsidR="000B5910" w:rsidRPr="002661A8" w:rsidDel="003548F8">
              <w:rPr>
                <w:rFonts w:ascii="Times New Roman" w:eastAsia="Times New Roman" w:hAnsi="Times New Roman" w:cs="Times New Roman"/>
                <w:noProof/>
                <w:sz w:val="20"/>
                <w:szCs w:val="20"/>
              </w:rPr>
              <w:t xml:space="preserve"> </w:t>
            </w:r>
            <w:r w:rsidR="003548F8" w:rsidRPr="002661A8">
              <w:rPr>
                <w:rFonts w:ascii="Times New Roman" w:eastAsia="Times New Roman" w:hAnsi="Times New Roman" w:cs="Times New Roman"/>
                <w:noProof/>
                <w:sz w:val="20"/>
                <w:szCs w:val="20"/>
              </w:rPr>
              <w:t>extending</w:t>
            </w:r>
            <w:r w:rsidR="000B5910" w:rsidRPr="002661A8">
              <w:rPr>
                <w:rFonts w:ascii="Times New Roman" w:eastAsia="Times New Roman" w:hAnsi="Times New Roman" w:cs="Times New Roman"/>
                <w:noProof/>
                <w:sz w:val="20"/>
                <w:szCs w:val="20"/>
              </w:rPr>
              <w:t xml:space="preserve"> the supervisory areas </w:t>
            </w:r>
            <w:r w:rsidR="0065602B" w:rsidRPr="002661A8">
              <w:rPr>
                <w:rFonts w:ascii="Times New Roman" w:eastAsia="Times New Roman" w:hAnsi="Times New Roman" w:cs="Times New Roman"/>
                <w:noProof/>
                <w:sz w:val="20"/>
                <w:szCs w:val="20"/>
              </w:rPr>
              <w:t xml:space="preserve">for which an ESMA opinion is required, such </w:t>
            </w:r>
            <w:r w:rsidR="000B5910" w:rsidRPr="002661A8" w:rsidDel="0065602B">
              <w:rPr>
                <w:rFonts w:ascii="Times New Roman" w:eastAsia="Times New Roman" w:hAnsi="Times New Roman" w:cs="Times New Roman"/>
                <w:noProof/>
                <w:sz w:val="20"/>
                <w:szCs w:val="20"/>
              </w:rPr>
              <w:t>as</w:t>
            </w:r>
            <w:r w:rsidR="000B5910" w:rsidRPr="002661A8">
              <w:rPr>
                <w:rFonts w:ascii="Times New Roman" w:eastAsia="Times New Roman" w:hAnsi="Times New Roman" w:cs="Times New Roman"/>
                <w:noProof/>
                <w:sz w:val="20"/>
                <w:szCs w:val="20"/>
              </w:rPr>
              <w:t xml:space="preserve"> withdrawal of authorisation, annual review and evaluation without affecting the overall timeframe of the process</w:t>
            </w:r>
            <w:r w:rsidR="00037292">
              <w:rPr>
                <w:rFonts w:ascii="Times New Roman" w:eastAsia="Times New Roman" w:hAnsi="Times New Roman" w:cs="Times New Roman"/>
                <w:noProof/>
                <w:sz w:val="20"/>
                <w:szCs w:val="20"/>
              </w:rPr>
              <w:t xml:space="preserve">, </w:t>
            </w:r>
            <w:r w:rsidR="000B5910" w:rsidRPr="002661A8">
              <w:rPr>
                <w:rFonts w:ascii="Times New Roman" w:eastAsia="Times New Roman" w:hAnsi="Times New Roman" w:cs="Times New Roman"/>
                <w:noProof/>
                <w:sz w:val="20"/>
                <w:szCs w:val="20"/>
              </w:rPr>
              <w:t xml:space="preserve">empowering ESMA to publish the fact that a </w:t>
            </w:r>
            <w:r w:rsidR="00746C05" w:rsidRPr="002661A8">
              <w:rPr>
                <w:rFonts w:ascii="Times New Roman" w:eastAsia="Times New Roman" w:hAnsi="Times New Roman" w:cs="Times New Roman"/>
                <w:noProof/>
                <w:sz w:val="20"/>
                <w:szCs w:val="20"/>
              </w:rPr>
              <w:t>NCA</w:t>
            </w:r>
            <w:r w:rsidR="000B5910" w:rsidRPr="002661A8">
              <w:rPr>
                <w:rFonts w:ascii="Times New Roman" w:eastAsia="Times New Roman" w:hAnsi="Times New Roman" w:cs="Times New Roman"/>
                <w:noProof/>
                <w:sz w:val="20"/>
                <w:szCs w:val="20"/>
              </w:rPr>
              <w:t xml:space="preserve"> has not complied with an ESMA opinion </w:t>
            </w:r>
            <w:r w:rsidR="00037292">
              <w:rPr>
                <w:rFonts w:ascii="Times New Roman" w:eastAsia="Times New Roman" w:hAnsi="Times New Roman" w:cs="Times New Roman"/>
                <w:noProof/>
                <w:sz w:val="20"/>
                <w:szCs w:val="20"/>
              </w:rPr>
              <w:t xml:space="preserve">and </w:t>
            </w:r>
            <w:r w:rsidR="000B5910" w:rsidRPr="002661A8">
              <w:rPr>
                <w:rFonts w:ascii="Times New Roman" w:eastAsia="Times New Roman" w:hAnsi="Times New Roman" w:cs="Times New Roman"/>
                <w:noProof/>
                <w:sz w:val="20"/>
                <w:szCs w:val="20"/>
              </w:rPr>
              <w:t>giving the right to central banks of issue to participate to the CCP Supervisory Committee meetings on more topics</w:t>
            </w:r>
            <w:r w:rsidR="00E21608">
              <w:rPr>
                <w:rFonts w:ascii="Times New Roman" w:eastAsia="Times New Roman" w:hAnsi="Times New Roman" w:cs="Times New Roman"/>
                <w:noProof/>
                <w:sz w:val="20"/>
                <w:szCs w:val="20"/>
              </w:rPr>
              <w:t>)</w:t>
            </w:r>
            <w:r w:rsidR="000B5910" w:rsidRPr="002661A8">
              <w:rPr>
                <w:rFonts w:ascii="Times New Roman" w:eastAsia="Times New Roman" w:hAnsi="Times New Roman" w:cs="Times New Roman"/>
                <w:noProof/>
                <w:sz w:val="20"/>
                <w:szCs w:val="20"/>
              </w:rPr>
              <w:t xml:space="preserve">; </w:t>
            </w:r>
            <w:r w:rsidR="00FF2EC3">
              <w:rPr>
                <w:rFonts w:ascii="Times New Roman" w:eastAsia="Times New Roman" w:hAnsi="Times New Roman" w:cs="Times New Roman"/>
                <w:noProof/>
                <w:sz w:val="20"/>
                <w:szCs w:val="20"/>
              </w:rPr>
              <w:t>(</w:t>
            </w:r>
            <w:r w:rsidR="00037292">
              <w:rPr>
                <w:rFonts w:ascii="Times New Roman" w:eastAsia="Times New Roman" w:hAnsi="Times New Roman" w:cs="Times New Roman"/>
                <w:noProof/>
                <w:sz w:val="20"/>
                <w:szCs w:val="20"/>
              </w:rPr>
              <w:t>2</w:t>
            </w:r>
            <w:r w:rsidR="00FF2EC3">
              <w:rPr>
                <w:rFonts w:ascii="Times New Roman" w:eastAsia="Times New Roman" w:hAnsi="Times New Roman" w:cs="Times New Roman"/>
                <w:noProof/>
                <w:sz w:val="20"/>
                <w:szCs w:val="20"/>
              </w:rPr>
              <w:t xml:space="preserve">) </w:t>
            </w:r>
            <w:r w:rsidR="000B5910" w:rsidRPr="002661A8">
              <w:rPr>
                <w:rFonts w:ascii="Times New Roman" w:eastAsia="Times New Roman" w:hAnsi="Times New Roman" w:cs="Times New Roman"/>
                <w:noProof/>
                <w:sz w:val="20"/>
                <w:szCs w:val="20"/>
              </w:rPr>
              <w:t xml:space="preserve">establishing joint supervisory teams; </w:t>
            </w:r>
            <w:r w:rsidR="00037292">
              <w:rPr>
                <w:rFonts w:ascii="Times New Roman" w:eastAsia="Times New Roman" w:hAnsi="Times New Roman" w:cs="Times New Roman"/>
                <w:noProof/>
                <w:sz w:val="20"/>
                <w:szCs w:val="20"/>
              </w:rPr>
              <w:t xml:space="preserve">(3) </w:t>
            </w:r>
            <w:r w:rsidR="000B5910" w:rsidRPr="002661A8">
              <w:rPr>
                <w:rFonts w:ascii="Times New Roman" w:eastAsia="Times New Roman" w:hAnsi="Times New Roman" w:cs="Times New Roman"/>
                <w:noProof/>
                <w:sz w:val="20"/>
                <w:szCs w:val="20"/>
              </w:rPr>
              <w:t xml:space="preserve">strengthening the role of ESMA in </w:t>
            </w:r>
            <w:r w:rsidR="00037292" w:rsidRPr="002661A8">
              <w:rPr>
                <w:rFonts w:ascii="Times New Roman" w:eastAsia="Times New Roman" w:hAnsi="Times New Roman" w:cs="Times New Roman"/>
                <w:noProof/>
                <w:sz w:val="20"/>
                <w:szCs w:val="20"/>
              </w:rPr>
              <w:t xml:space="preserve">cross-sectoral </w:t>
            </w:r>
            <w:r w:rsidR="000B5910" w:rsidRPr="002661A8">
              <w:rPr>
                <w:rFonts w:ascii="Times New Roman" w:eastAsia="Times New Roman" w:hAnsi="Times New Roman" w:cs="Times New Roman"/>
                <w:noProof/>
                <w:sz w:val="20"/>
                <w:szCs w:val="20"/>
              </w:rPr>
              <w:t>emergency situations;</w:t>
            </w:r>
            <w:r w:rsidR="0065602B" w:rsidRPr="002661A8">
              <w:rPr>
                <w:rFonts w:ascii="Times New Roman" w:eastAsia="Times New Roman" w:hAnsi="Times New Roman" w:cs="Times New Roman"/>
                <w:noProof/>
                <w:sz w:val="20"/>
                <w:szCs w:val="20"/>
              </w:rPr>
              <w:t xml:space="preserve"> </w:t>
            </w:r>
            <w:r w:rsidR="00FF2EC3">
              <w:rPr>
                <w:rFonts w:ascii="Times New Roman" w:eastAsia="Times New Roman" w:hAnsi="Times New Roman" w:cs="Times New Roman"/>
                <w:noProof/>
                <w:sz w:val="20"/>
                <w:szCs w:val="20"/>
              </w:rPr>
              <w:t>(</w:t>
            </w:r>
            <w:r w:rsidR="00037292">
              <w:rPr>
                <w:rFonts w:ascii="Times New Roman" w:eastAsia="Times New Roman" w:hAnsi="Times New Roman" w:cs="Times New Roman"/>
                <w:noProof/>
                <w:sz w:val="20"/>
                <w:szCs w:val="20"/>
              </w:rPr>
              <w:t>4</w:t>
            </w:r>
            <w:r w:rsidR="00FF2EC3">
              <w:rPr>
                <w:rFonts w:ascii="Times New Roman" w:eastAsia="Times New Roman" w:hAnsi="Times New Roman" w:cs="Times New Roman"/>
                <w:noProof/>
                <w:sz w:val="20"/>
                <w:szCs w:val="20"/>
              </w:rPr>
              <w:t>) establishing a Joint Monitoring Mechanism (</w:t>
            </w:r>
            <w:r w:rsidR="00E21608">
              <w:rPr>
                <w:rFonts w:ascii="Times New Roman" w:eastAsia="Times New Roman" w:hAnsi="Times New Roman" w:cs="Times New Roman"/>
                <w:noProof/>
                <w:sz w:val="20"/>
                <w:szCs w:val="20"/>
              </w:rPr>
              <w:t xml:space="preserve">comprising amongst others the </w:t>
            </w:r>
            <w:r w:rsidR="00FF2EC3">
              <w:rPr>
                <w:rFonts w:ascii="Times New Roman" w:eastAsia="Times New Roman" w:hAnsi="Times New Roman" w:cs="Times New Roman"/>
                <w:noProof/>
                <w:sz w:val="20"/>
                <w:szCs w:val="20"/>
              </w:rPr>
              <w:t xml:space="preserve">ESAs, </w:t>
            </w:r>
            <w:r w:rsidR="00E21608">
              <w:rPr>
                <w:rFonts w:ascii="Times New Roman" w:eastAsia="Times New Roman" w:hAnsi="Times New Roman" w:cs="Times New Roman"/>
                <w:noProof/>
                <w:sz w:val="20"/>
                <w:szCs w:val="20"/>
              </w:rPr>
              <w:t xml:space="preserve">the </w:t>
            </w:r>
            <w:r w:rsidR="00FF2EC3">
              <w:rPr>
                <w:rFonts w:ascii="Times New Roman" w:eastAsia="Times New Roman" w:hAnsi="Times New Roman" w:cs="Times New Roman"/>
                <w:noProof/>
                <w:sz w:val="20"/>
                <w:szCs w:val="20"/>
              </w:rPr>
              <w:t xml:space="preserve">ECB, </w:t>
            </w:r>
            <w:r w:rsidR="00E21608">
              <w:rPr>
                <w:rFonts w:ascii="Times New Roman" w:eastAsia="Times New Roman" w:hAnsi="Times New Roman" w:cs="Times New Roman"/>
                <w:noProof/>
                <w:sz w:val="20"/>
                <w:szCs w:val="20"/>
              </w:rPr>
              <w:t xml:space="preserve">the </w:t>
            </w:r>
            <w:r w:rsidR="005D6D2A">
              <w:rPr>
                <w:rFonts w:ascii="Times New Roman" w:eastAsia="Times New Roman" w:hAnsi="Times New Roman" w:cs="Times New Roman"/>
                <w:noProof/>
                <w:sz w:val="20"/>
                <w:szCs w:val="20"/>
              </w:rPr>
              <w:t>SSM,</w:t>
            </w:r>
            <w:r w:rsidR="00FF2EC3">
              <w:rPr>
                <w:rFonts w:ascii="Times New Roman" w:eastAsia="Times New Roman" w:hAnsi="Times New Roman" w:cs="Times New Roman"/>
                <w:noProof/>
                <w:sz w:val="20"/>
                <w:szCs w:val="20"/>
              </w:rPr>
              <w:t xml:space="preserve"> </w:t>
            </w:r>
            <w:r w:rsidR="00E21608">
              <w:rPr>
                <w:rFonts w:ascii="Times New Roman" w:eastAsia="Times New Roman" w:hAnsi="Times New Roman" w:cs="Times New Roman"/>
                <w:noProof/>
                <w:sz w:val="20"/>
                <w:szCs w:val="20"/>
              </w:rPr>
              <w:t xml:space="preserve">the </w:t>
            </w:r>
            <w:r w:rsidR="00FF2EC3">
              <w:rPr>
                <w:rFonts w:ascii="Times New Roman" w:eastAsia="Times New Roman" w:hAnsi="Times New Roman" w:cs="Times New Roman"/>
                <w:noProof/>
                <w:sz w:val="20"/>
                <w:szCs w:val="20"/>
              </w:rPr>
              <w:t>ESRB</w:t>
            </w:r>
            <w:r w:rsidR="005D6D2A">
              <w:rPr>
                <w:rFonts w:ascii="Times New Roman" w:eastAsia="Times New Roman" w:hAnsi="Times New Roman" w:cs="Times New Roman"/>
                <w:noProof/>
                <w:sz w:val="20"/>
                <w:szCs w:val="20"/>
              </w:rPr>
              <w:t xml:space="preserve"> and the Commission</w:t>
            </w:r>
            <w:r w:rsidR="00FF2EC3">
              <w:rPr>
                <w:rFonts w:ascii="Times New Roman" w:eastAsia="Times New Roman" w:hAnsi="Times New Roman" w:cs="Times New Roman"/>
                <w:noProof/>
                <w:sz w:val="20"/>
                <w:szCs w:val="20"/>
              </w:rPr>
              <w:t xml:space="preserve">) to </w:t>
            </w:r>
            <w:r w:rsidR="00EC1987">
              <w:rPr>
                <w:rFonts w:ascii="Times New Roman" w:eastAsia="Times New Roman" w:hAnsi="Times New Roman" w:cs="Times New Roman"/>
                <w:noProof/>
                <w:sz w:val="20"/>
                <w:szCs w:val="20"/>
              </w:rPr>
              <w:t xml:space="preserve">, e.g. </w:t>
            </w:r>
            <w:r w:rsidR="005D6D2A">
              <w:rPr>
                <w:rFonts w:ascii="Times New Roman" w:eastAsia="Times New Roman" w:hAnsi="Times New Roman" w:cs="Times New Roman"/>
                <w:noProof/>
                <w:sz w:val="20"/>
                <w:szCs w:val="20"/>
              </w:rPr>
              <w:t xml:space="preserve">monitor at EU level </w:t>
            </w:r>
            <w:r w:rsidR="000B5910" w:rsidRPr="002661A8">
              <w:rPr>
                <w:rFonts w:ascii="Times New Roman" w:eastAsia="Times New Roman" w:hAnsi="Times New Roman" w:cs="Times New Roman"/>
                <w:noProof/>
                <w:sz w:val="20"/>
                <w:szCs w:val="20"/>
              </w:rPr>
              <w:t>the transfer of EU firms’ exposure</w:t>
            </w:r>
            <w:r w:rsidR="0065602B" w:rsidRPr="002661A8">
              <w:rPr>
                <w:rFonts w:ascii="Times New Roman" w:eastAsia="Times New Roman" w:hAnsi="Times New Roman" w:cs="Times New Roman"/>
                <w:noProof/>
                <w:sz w:val="20"/>
                <w:szCs w:val="20"/>
              </w:rPr>
              <w:t>s</w:t>
            </w:r>
            <w:r w:rsidR="000B5910" w:rsidRPr="002661A8">
              <w:rPr>
                <w:rFonts w:ascii="Times New Roman" w:eastAsia="Times New Roman" w:hAnsi="Times New Roman" w:cs="Times New Roman"/>
                <w:noProof/>
                <w:sz w:val="20"/>
                <w:szCs w:val="20"/>
              </w:rPr>
              <w:t xml:space="preserve"> from Tier 2 CCPs to EU CCPs</w:t>
            </w:r>
            <w:r w:rsidR="005D6D2A">
              <w:rPr>
                <w:rFonts w:ascii="Times New Roman" w:eastAsia="Times New Roman" w:hAnsi="Times New Roman" w:cs="Times New Roman"/>
                <w:noProof/>
                <w:sz w:val="20"/>
                <w:szCs w:val="20"/>
              </w:rPr>
              <w:t xml:space="preserve"> and </w:t>
            </w:r>
            <w:r w:rsidR="005D6D2A" w:rsidRPr="005D6D2A">
              <w:rPr>
                <w:rFonts w:ascii="Times New Roman" w:eastAsia="Times New Roman" w:hAnsi="Times New Roman" w:cs="Times New Roman"/>
                <w:noProof/>
                <w:sz w:val="20"/>
                <w:szCs w:val="20"/>
              </w:rPr>
              <w:t>client clearing relationships</w:t>
            </w:r>
            <w:r w:rsidR="005D6D2A">
              <w:rPr>
                <w:rFonts w:ascii="Times New Roman" w:eastAsia="Times New Roman" w:hAnsi="Times New Roman" w:cs="Times New Roman"/>
                <w:noProof/>
                <w:sz w:val="20"/>
                <w:szCs w:val="20"/>
              </w:rPr>
              <w:t>;</w:t>
            </w:r>
            <w:r w:rsidR="005D6D2A" w:rsidRPr="005D6D2A">
              <w:rPr>
                <w:rFonts w:ascii="Times New Roman" w:eastAsia="Times New Roman" w:hAnsi="Times New Roman" w:cs="Times New Roman"/>
                <w:noProof/>
                <w:sz w:val="20"/>
                <w:szCs w:val="20"/>
              </w:rPr>
              <w:t xml:space="preserve"> contribute to the development of Union-wide assessments of the resilience of CCPs  focussing on liquidity risks concerning CCPs</w:t>
            </w:r>
            <w:r w:rsidR="005D6D2A">
              <w:rPr>
                <w:rFonts w:ascii="Times New Roman" w:eastAsia="Times New Roman" w:hAnsi="Times New Roman" w:cs="Times New Roman"/>
                <w:noProof/>
                <w:sz w:val="20"/>
                <w:szCs w:val="20"/>
              </w:rPr>
              <w:t xml:space="preserve">, clearing members and clients; </w:t>
            </w:r>
            <w:r w:rsidR="005D6D2A" w:rsidRPr="005D6D2A">
              <w:rPr>
                <w:rFonts w:ascii="Times New Roman" w:eastAsia="Times New Roman" w:hAnsi="Times New Roman" w:cs="Times New Roman"/>
                <w:noProof/>
                <w:sz w:val="20"/>
                <w:szCs w:val="20"/>
              </w:rPr>
              <w:t xml:space="preserve">identify concentration risks, in particular in client clearing, due to the integration of Union financial markets, including where several CCPs, clearing members or clients </w:t>
            </w:r>
            <w:r w:rsidR="005D6D2A">
              <w:rPr>
                <w:rFonts w:ascii="Times New Roman" w:eastAsia="Times New Roman" w:hAnsi="Times New Roman" w:cs="Times New Roman"/>
                <w:noProof/>
                <w:sz w:val="20"/>
                <w:szCs w:val="20"/>
              </w:rPr>
              <w:t xml:space="preserve">use the same service providers; </w:t>
            </w:r>
            <w:r w:rsidR="005D6D2A" w:rsidRPr="005D6D2A">
              <w:rPr>
                <w:rFonts w:ascii="Times New Roman" w:eastAsia="Times New Roman" w:hAnsi="Times New Roman" w:cs="Times New Roman"/>
                <w:noProof/>
                <w:sz w:val="20"/>
                <w:szCs w:val="20"/>
              </w:rPr>
              <w:t>monitor the effectiveness of the measures aimed at improving t</w:t>
            </w:r>
            <w:r w:rsidR="005D6D2A">
              <w:rPr>
                <w:rFonts w:ascii="Times New Roman" w:eastAsia="Times New Roman" w:hAnsi="Times New Roman" w:cs="Times New Roman"/>
                <w:noProof/>
                <w:sz w:val="20"/>
                <w:szCs w:val="20"/>
              </w:rPr>
              <w:t xml:space="preserve">he attractiveness of EU CCPs, </w:t>
            </w:r>
            <w:r w:rsidR="005D6D2A" w:rsidRPr="005D6D2A">
              <w:rPr>
                <w:rFonts w:ascii="Times New Roman" w:eastAsia="Times New Roman" w:hAnsi="Times New Roman" w:cs="Times New Roman"/>
                <w:noProof/>
                <w:sz w:val="20"/>
                <w:szCs w:val="20"/>
              </w:rPr>
              <w:t xml:space="preserve">encouraging clearing at </w:t>
            </w:r>
            <w:r w:rsidR="005D6D2A">
              <w:rPr>
                <w:rFonts w:ascii="Times New Roman" w:eastAsia="Times New Roman" w:hAnsi="Times New Roman" w:cs="Times New Roman"/>
                <w:noProof/>
                <w:sz w:val="20"/>
                <w:szCs w:val="20"/>
              </w:rPr>
              <w:t>EU</w:t>
            </w:r>
            <w:r w:rsidR="005D6D2A" w:rsidRPr="005D6D2A">
              <w:rPr>
                <w:rFonts w:ascii="Times New Roman" w:eastAsia="Times New Roman" w:hAnsi="Times New Roman" w:cs="Times New Roman"/>
                <w:noProof/>
                <w:sz w:val="20"/>
                <w:szCs w:val="20"/>
              </w:rPr>
              <w:t xml:space="preserve"> CCPs and enhancing </w:t>
            </w:r>
            <w:r w:rsidR="005D6D2A">
              <w:rPr>
                <w:rFonts w:ascii="Times New Roman" w:eastAsia="Times New Roman" w:hAnsi="Times New Roman" w:cs="Times New Roman"/>
                <w:noProof/>
                <w:sz w:val="20"/>
                <w:szCs w:val="20"/>
              </w:rPr>
              <w:t>the monitoring of cross-border risks</w:t>
            </w:r>
            <w:r w:rsidR="000B5910" w:rsidRPr="002661A8">
              <w:rPr>
                <w:rFonts w:ascii="Times New Roman" w:eastAsia="Times New Roman" w:hAnsi="Times New Roman" w:cs="Times New Roman"/>
                <w:noProof/>
                <w:sz w:val="20"/>
                <w:szCs w:val="20"/>
              </w:rPr>
              <w:t>.</w:t>
            </w:r>
            <w:r w:rsidR="00037292">
              <w:rPr>
                <w:rFonts w:ascii="Times New Roman" w:eastAsia="Times New Roman" w:hAnsi="Times New Roman" w:cs="Times New Roman"/>
                <w:noProof/>
                <w:sz w:val="20"/>
                <w:szCs w:val="20"/>
              </w:rPr>
              <w:t xml:space="preserve"> </w:t>
            </w:r>
            <w:r w:rsidR="00205677" w:rsidRPr="00205677">
              <w:rPr>
                <w:rFonts w:ascii="Times New Roman" w:eastAsia="Times New Roman" w:hAnsi="Times New Roman" w:cs="Times New Roman"/>
                <w:noProof/>
                <w:sz w:val="20"/>
                <w:szCs w:val="20"/>
              </w:rPr>
              <w:t>ESMA, in cooperation with the other bodies participating to the Joint Monitoring Mechanism, could be requested to submit an annual report on the results of the monitoring activity. In addition</w:t>
            </w:r>
            <w:r w:rsidR="00205677">
              <w:rPr>
                <w:rFonts w:ascii="Times New Roman" w:eastAsia="Times New Roman" w:hAnsi="Times New Roman" w:cs="Times New Roman"/>
                <w:noProof/>
                <w:sz w:val="20"/>
                <w:szCs w:val="20"/>
              </w:rPr>
              <w:t>,</w:t>
            </w:r>
            <w:r w:rsidR="00205677" w:rsidRPr="00205677">
              <w:rPr>
                <w:rFonts w:ascii="Times New Roman" w:eastAsia="Times New Roman" w:hAnsi="Times New Roman" w:cs="Times New Roman"/>
                <w:noProof/>
                <w:sz w:val="20"/>
                <w:szCs w:val="20"/>
              </w:rPr>
              <w:t xml:space="preserve"> if ESMA were to identify that competent authorities fail to ensure compliance with </w:t>
            </w:r>
            <w:r w:rsidR="00205677">
              <w:rPr>
                <w:rFonts w:ascii="Times New Roman" w:eastAsia="Times New Roman" w:hAnsi="Times New Roman" w:cs="Times New Roman"/>
                <w:noProof/>
                <w:sz w:val="20"/>
                <w:szCs w:val="20"/>
              </w:rPr>
              <w:t xml:space="preserve">potential requirements on clearing at EU CCPs, </w:t>
            </w:r>
            <w:r w:rsidR="00205677" w:rsidRPr="00205677">
              <w:rPr>
                <w:rFonts w:ascii="Times New Roman" w:eastAsia="Times New Roman" w:hAnsi="Times New Roman" w:cs="Times New Roman"/>
                <w:noProof/>
                <w:sz w:val="20"/>
                <w:szCs w:val="20"/>
              </w:rPr>
              <w:t xml:space="preserve">ESMA could have the option to issue guidelines or recommendations or to take any other action. Finally, ESMA could </w:t>
            </w:r>
            <w:r w:rsidR="00205677">
              <w:rPr>
                <w:rFonts w:ascii="Times New Roman" w:eastAsia="Times New Roman" w:hAnsi="Times New Roman" w:cs="Times New Roman"/>
                <w:noProof/>
                <w:sz w:val="20"/>
                <w:szCs w:val="20"/>
              </w:rPr>
              <w:t xml:space="preserve">also be requested to review the </w:t>
            </w:r>
            <w:r w:rsidR="00205677" w:rsidRPr="00205677">
              <w:rPr>
                <w:rFonts w:ascii="Times New Roman" w:eastAsia="Times New Roman" w:hAnsi="Times New Roman" w:cs="Times New Roman"/>
                <w:noProof/>
                <w:sz w:val="20"/>
                <w:szCs w:val="20"/>
              </w:rPr>
              <w:t xml:space="preserve">proportion of </w:t>
            </w:r>
            <w:r w:rsidR="00205677">
              <w:rPr>
                <w:rFonts w:ascii="Times New Roman" w:eastAsia="Times New Roman" w:hAnsi="Times New Roman" w:cs="Times New Roman"/>
                <w:noProof/>
                <w:sz w:val="20"/>
                <w:szCs w:val="20"/>
              </w:rPr>
              <w:t xml:space="preserve">the </w:t>
            </w:r>
            <w:r w:rsidR="00205677" w:rsidRPr="00205677">
              <w:rPr>
                <w:rFonts w:ascii="Times New Roman" w:eastAsia="Times New Roman" w:hAnsi="Times New Roman" w:cs="Times New Roman"/>
                <w:noProof/>
                <w:sz w:val="20"/>
                <w:szCs w:val="20"/>
              </w:rPr>
              <w:t xml:space="preserve">activity to be </w:t>
            </w:r>
            <w:r w:rsidR="00205677">
              <w:rPr>
                <w:rFonts w:ascii="Times New Roman" w:eastAsia="Times New Roman" w:hAnsi="Times New Roman" w:cs="Times New Roman"/>
                <w:noProof/>
                <w:sz w:val="20"/>
                <w:szCs w:val="20"/>
              </w:rPr>
              <w:t xml:space="preserve">cleared </w:t>
            </w:r>
            <w:r w:rsidR="00205677" w:rsidRPr="00205677">
              <w:rPr>
                <w:rFonts w:ascii="Times New Roman" w:eastAsia="Times New Roman" w:hAnsi="Times New Roman" w:cs="Times New Roman"/>
                <w:noProof/>
                <w:sz w:val="20"/>
                <w:szCs w:val="20"/>
              </w:rPr>
              <w:t>in active accounts.</w:t>
            </w:r>
          </w:p>
        </w:tc>
      </w:tr>
      <w:tr w:rsidR="001E7D10" w:rsidRPr="002661A8" w14:paraId="6E0E8100" w14:textId="77777777" w:rsidTr="00934309">
        <w:trPr>
          <w:cnfStyle w:val="000000100000" w:firstRow="0" w:lastRow="0" w:firstColumn="0" w:lastColumn="0" w:oddVBand="0" w:evenVBand="0" w:oddHBand="1" w:evenHBand="0" w:firstRowFirstColumn="0" w:firstRowLastColumn="0" w:lastRowFirstColumn="0" w:lastRowLastColumn="0"/>
        </w:trPr>
        <w:tc>
          <w:tcPr>
            <w:tcW w:w="1418" w:type="dxa"/>
            <w:shd w:val="clear" w:color="auto" w:fill="FFFFFF" w:themeFill="background1"/>
            <w:hideMark/>
          </w:tcPr>
          <w:p w14:paraId="78771155" w14:textId="7A62E0D2" w:rsidR="000B5910" w:rsidRPr="002661A8" w:rsidRDefault="000B5910" w:rsidP="003A09D4">
            <w:pPr>
              <w:spacing w:after="120"/>
              <w:rPr>
                <w:rFonts w:ascii="Times New Roman" w:hAnsi="Times New Roman" w:cs="Times New Roman"/>
                <w:b/>
                <w:noProof/>
                <w:sz w:val="20"/>
                <w:szCs w:val="20"/>
                <w:lang w:val="fr-BE"/>
              </w:rPr>
            </w:pPr>
            <w:r w:rsidRPr="002661A8">
              <w:rPr>
                <w:rFonts w:ascii="Times New Roman" w:hAnsi="Times New Roman" w:cs="Times New Roman"/>
                <w:b/>
                <w:noProof/>
                <w:sz w:val="20"/>
                <w:szCs w:val="20"/>
                <w:lang w:val="fr-BE"/>
              </w:rPr>
              <w:t xml:space="preserve">Option </w:t>
            </w:r>
            <w:r w:rsidR="00A8027C">
              <w:rPr>
                <w:rFonts w:ascii="Times New Roman" w:hAnsi="Times New Roman" w:cs="Times New Roman"/>
                <w:b/>
                <w:noProof/>
                <w:sz w:val="20"/>
                <w:szCs w:val="20"/>
                <w:lang w:val="fr-BE"/>
              </w:rPr>
              <w:t>C</w:t>
            </w:r>
            <w:r w:rsidRPr="002661A8">
              <w:rPr>
                <w:rFonts w:ascii="Times New Roman" w:hAnsi="Times New Roman" w:cs="Times New Roman"/>
                <w:b/>
                <w:noProof/>
                <w:sz w:val="20"/>
                <w:szCs w:val="20"/>
                <w:lang w:val="fr-BE"/>
              </w:rPr>
              <w:t>3</w:t>
            </w:r>
            <w:r w:rsidRPr="002661A8">
              <w:rPr>
                <w:rFonts w:ascii="Times New Roman" w:hAnsi="Times New Roman" w:cs="Times New Roman"/>
                <w:noProof/>
                <w:sz w:val="20"/>
                <w:szCs w:val="20"/>
                <w:lang w:val="fr-BE"/>
              </w:rPr>
              <w:t>: Centralise EU CCP supervision</w:t>
            </w:r>
          </w:p>
        </w:tc>
        <w:tc>
          <w:tcPr>
            <w:tcW w:w="7513" w:type="dxa"/>
            <w:shd w:val="clear" w:color="auto" w:fill="FFFFFF" w:themeFill="background1"/>
            <w:hideMark/>
          </w:tcPr>
          <w:p w14:paraId="0AE0D315" w14:textId="51893997" w:rsidR="000B5910" w:rsidRPr="002661A8" w:rsidRDefault="000B5910" w:rsidP="0065602B">
            <w:pPr>
              <w:keepNext/>
              <w:spacing w:after="120"/>
              <w:jc w:val="both"/>
              <w:outlineLvl w:val="2"/>
              <w:rPr>
                <w:rFonts w:ascii="Times New Roman" w:eastAsia="Times New Roman" w:hAnsi="Times New Roman" w:cs="Times New Roman"/>
                <w:noProof/>
                <w:sz w:val="20"/>
                <w:szCs w:val="20"/>
              </w:rPr>
            </w:pPr>
            <w:r w:rsidRPr="002661A8">
              <w:rPr>
                <w:rFonts w:ascii="Times New Roman" w:eastAsia="Times New Roman" w:hAnsi="Times New Roman" w:cs="Times New Roman"/>
                <w:noProof/>
                <w:sz w:val="20"/>
                <w:szCs w:val="20"/>
              </w:rPr>
              <w:t>A single supervisor would be established for EU CCPs</w:t>
            </w:r>
            <w:r w:rsidR="0065602B" w:rsidRPr="002661A8">
              <w:rPr>
                <w:rFonts w:ascii="Times New Roman" w:eastAsia="Times New Roman" w:hAnsi="Times New Roman" w:cs="Times New Roman"/>
                <w:noProof/>
                <w:sz w:val="20"/>
                <w:szCs w:val="20"/>
              </w:rPr>
              <w:t>; it</w:t>
            </w:r>
            <w:r w:rsidRPr="002661A8">
              <w:rPr>
                <w:rFonts w:ascii="Times New Roman" w:eastAsia="Times New Roman" w:hAnsi="Times New Roman" w:cs="Times New Roman"/>
                <w:noProof/>
                <w:sz w:val="20"/>
                <w:szCs w:val="20"/>
              </w:rPr>
              <w:t xml:space="preserve"> could be ESMA, </w:t>
            </w:r>
            <w:r w:rsidR="00E026E6" w:rsidRPr="002661A8">
              <w:rPr>
                <w:rFonts w:ascii="Times New Roman" w:eastAsia="Times New Roman" w:hAnsi="Times New Roman" w:cs="Times New Roman"/>
                <w:noProof/>
                <w:sz w:val="20"/>
                <w:szCs w:val="20"/>
              </w:rPr>
              <w:t xml:space="preserve">considering its </w:t>
            </w:r>
            <w:r w:rsidR="00466F00" w:rsidRPr="002661A8">
              <w:rPr>
                <w:rFonts w:ascii="Times New Roman" w:eastAsia="Times New Roman" w:hAnsi="Times New Roman" w:cs="Times New Roman"/>
                <w:noProof/>
                <w:sz w:val="20"/>
                <w:szCs w:val="20"/>
              </w:rPr>
              <w:t xml:space="preserve">current involvement in the </w:t>
            </w:r>
            <w:r w:rsidRPr="002661A8">
              <w:rPr>
                <w:rFonts w:ascii="Times New Roman" w:eastAsia="Times New Roman" w:hAnsi="Times New Roman" w:cs="Times New Roman"/>
                <w:noProof/>
                <w:sz w:val="20"/>
                <w:szCs w:val="20"/>
              </w:rPr>
              <w:t>supervis</w:t>
            </w:r>
            <w:r w:rsidR="00466F00" w:rsidRPr="002661A8">
              <w:rPr>
                <w:rFonts w:ascii="Times New Roman" w:eastAsia="Times New Roman" w:hAnsi="Times New Roman" w:cs="Times New Roman"/>
                <w:noProof/>
                <w:sz w:val="20"/>
                <w:szCs w:val="20"/>
              </w:rPr>
              <w:t>ion</w:t>
            </w:r>
            <w:r w:rsidRPr="002661A8">
              <w:rPr>
                <w:rFonts w:ascii="Times New Roman" w:eastAsia="Times New Roman" w:hAnsi="Times New Roman" w:cs="Times New Roman"/>
                <w:noProof/>
                <w:sz w:val="20"/>
                <w:szCs w:val="20"/>
              </w:rPr>
              <w:t xml:space="preserve"> </w:t>
            </w:r>
            <w:r w:rsidR="00466F00" w:rsidRPr="002661A8">
              <w:rPr>
                <w:rFonts w:ascii="Times New Roman" w:eastAsia="Times New Roman" w:hAnsi="Times New Roman" w:cs="Times New Roman"/>
                <w:noProof/>
                <w:sz w:val="20"/>
                <w:szCs w:val="20"/>
              </w:rPr>
              <w:t>of</w:t>
            </w:r>
            <w:r w:rsidRPr="002661A8">
              <w:rPr>
                <w:rFonts w:ascii="Times New Roman" w:eastAsia="Times New Roman" w:hAnsi="Times New Roman" w:cs="Times New Roman"/>
                <w:noProof/>
                <w:sz w:val="20"/>
                <w:szCs w:val="20"/>
              </w:rPr>
              <w:t xml:space="preserve"> EU CCPs and </w:t>
            </w:r>
            <w:r w:rsidR="00466F00" w:rsidRPr="002661A8">
              <w:rPr>
                <w:rFonts w:ascii="Times New Roman" w:eastAsia="Times New Roman" w:hAnsi="Times New Roman" w:cs="Times New Roman"/>
                <w:noProof/>
                <w:sz w:val="20"/>
                <w:szCs w:val="20"/>
              </w:rPr>
              <w:t xml:space="preserve">that it </w:t>
            </w:r>
            <w:r w:rsidRPr="002661A8">
              <w:rPr>
                <w:rFonts w:ascii="Times New Roman" w:eastAsia="Times New Roman" w:hAnsi="Times New Roman" w:cs="Times New Roman"/>
                <w:noProof/>
                <w:sz w:val="20"/>
                <w:szCs w:val="20"/>
              </w:rPr>
              <w:t xml:space="preserve">is the </w:t>
            </w:r>
            <w:r w:rsidR="00466F00" w:rsidRPr="002661A8">
              <w:rPr>
                <w:rFonts w:ascii="Times New Roman" w:eastAsia="Times New Roman" w:hAnsi="Times New Roman" w:cs="Times New Roman"/>
                <w:noProof/>
                <w:sz w:val="20"/>
                <w:szCs w:val="20"/>
              </w:rPr>
              <w:t xml:space="preserve">EU </w:t>
            </w:r>
            <w:r w:rsidRPr="002661A8">
              <w:rPr>
                <w:rFonts w:ascii="Times New Roman" w:eastAsia="Times New Roman" w:hAnsi="Times New Roman" w:cs="Times New Roman"/>
                <w:noProof/>
                <w:sz w:val="20"/>
                <w:szCs w:val="20"/>
              </w:rPr>
              <w:t xml:space="preserve">supervisor of Tier 2 CCPs under EMIR 2.2. </w:t>
            </w:r>
            <w:r w:rsidR="00AE590B" w:rsidRPr="002661A8">
              <w:rPr>
                <w:rFonts w:ascii="Times New Roman" w:eastAsia="Times New Roman" w:hAnsi="Times New Roman" w:cs="Times New Roman"/>
                <w:noProof/>
                <w:sz w:val="20"/>
                <w:szCs w:val="20"/>
              </w:rPr>
              <w:t xml:space="preserve">There are two possibilities (mutually exclusive) as to the </w:t>
            </w:r>
            <w:r w:rsidR="0065602B" w:rsidRPr="002661A8">
              <w:rPr>
                <w:rFonts w:ascii="Times New Roman" w:eastAsia="Times New Roman" w:hAnsi="Times New Roman" w:cs="Times New Roman"/>
                <w:noProof/>
                <w:sz w:val="20"/>
                <w:szCs w:val="20"/>
              </w:rPr>
              <w:t>scope of</w:t>
            </w:r>
            <w:r w:rsidR="00AE590B" w:rsidRPr="002661A8">
              <w:rPr>
                <w:rFonts w:ascii="Times New Roman" w:eastAsia="Times New Roman" w:hAnsi="Times New Roman" w:cs="Times New Roman"/>
                <w:noProof/>
                <w:sz w:val="20"/>
                <w:szCs w:val="20"/>
              </w:rPr>
              <w:t xml:space="preserve"> </w:t>
            </w:r>
            <w:r w:rsidRPr="002661A8">
              <w:rPr>
                <w:rFonts w:ascii="Times New Roman" w:eastAsia="Times New Roman" w:hAnsi="Times New Roman" w:cs="Times New Roman"/>
                <w:noProof/>
                <w:sz w:val="20"/>
                <w:szCs w:val="20"/>
              </w:rPr>
              <w:t>ESMA</w:t>
            </w:r>
            <w:r w:rsidR="00AE590B" w:rsidRPr="002661A8">
              <w:rPr>
                <w:rFonts w:ascii="Times New Roman" w:eastAsia="Times New Roman" w:hAnsi="Times New Roman" w:cs="Times New Roman"/>
                <w:noProof/>
                <w:sz w:val="20"/>
                <w:szCs w:val="20"/>
              </w:rPr>
              <w:t>’s</w:t>
            </w:r>
            <w:r w:rsidRPr="002661A8">
              <w:rPr>
                <w:rFonts w:ascii="Times New Roman" w:eastAsia="Times New Roman" w:hAnsi="Times New Roman" w:cs="Times New Roman"/>
                <w:noProof/>
                <w:sz w:val="20"/>
                <w:szCs w:val="20"/>
              </w:rPr>
              <w:t xml:space="preserve"> direct supervision</w:t>
            </w:r>
            <w:r w:rsidR="00AE590B" w:rsidRPr="002661A8">
              <w:rPr>
                <w:rFonts w:ascii="Times New Roman" w:eastAsia="Times New Roman" w:hAnsi="Times New Roman" w:cs="Times New Roman"/>
                <w:noProof/>
                <w:sz w:val="20"/>
                <w:szCs w:val="20"/>
              </w:rPr>
              <w:t>:</w:t>
            </w:r>
            <w:r w:rsidRPr="002661A8">
              <w:rPr>
                <w:rFonts w:ascii="Times New Roman" w:eastAsia="Times New Roman" w:hAnsi="Times New Roman" w:cs="Times New Roman"/>
                <w:noProof/>
                <w:sz w:val="20"/>
                <w:szCs w:val="20"/>
              </w:rPr>
              <w:t xml:space="preserve"> all </w:t>
            </w:r>
            <w:r w:rsidR="00AE590B" w:rsidRPr="002661A8">
              <w:rPr>
                <w:rFonts w:ascii="Times New Roman" w:eastAsia="Times New Roman" w:hAnsi="Times New Roman" w:cs="Times New Roman"/>
                <w:noProof/>
                <w:sz w:val="20"/>
                <w:szCs w:val="20"/>
              </w:rPr>
              <w:t xml:space="preserve">EU CCPs </w:t>
            </w:r>
            <w:r w:rsidRPr="002661A8">
              <w:rPr>
                <w:rFonts w:ascii="Times New Roman" w:eastAsia="Times New Roman" w:hAnsi="Times New Roman" w:cs="Times New Roman"/>
                <w:noProof/>
                <w:sz w:val="20"/>
                <w:szCs w:val="20"/>
              </w:rPr>
              <w:t xml:space="preserve">or certain </w:t>
            </w:r>
            <w:r w:rsidR="00AE590B" w:rsidRPr="002661A8">
              <w:rPr>
                <w:rFonts w:ascii="Times New Roman" w:eastAsia="Times New Roman" w:hAnsi="Times New Roman" w:cs="Times New Roman"/>
                <w:noProof/>
                <w:sz w:val="20"/>
                <w:szCs w:val="20"/>
              </w:rPr>
              <w:t xml:space="preserve">EU </w:t>
            </w:r>
            <w:r w:rsidRPr="002661A8">
              <w:rPr>
                <w:rFonts w:ascii="Times New Roman" w:eastAsia="Times New Roman" w:hAnsi="Times New Roman" w:cs="Times New Roman"/>
                <w:noProof/>
                <w:sz w:val="20"/>
                <w:szCs w:val="20"/>
              </w:rPr>
              <w:t>CCPs</w:t>
            </w:r>
            <w:r w:rsidR="00AE590B" w:rsidRPr="002661A8">
              <w:rPr>
                <w:rFonts w:ascii="Times New Roman" w:eastAsia="Times New Roman" w:hAnsi="Times New Roman" w:cs="Times New Roman"/>
                <w:noProof/>
                <w:sz w:val="20"/>
                <w:szCs w:val="20"/>
              </w:rPr>
              <w:t>, on the basis of certain criteria (e.g. size, interconnectedness). ESMA’s powers could</w:t>
            </w:r>
            <w:r w:rsidRPr="002661A8">
              <w:rPr>
                <w:rFonts w:ascii="Times New Roman" w:eastAsia="Times New Roman" w:hAnsi="Times New Roman" w:cs="Times New Roman"/>
                <w:noProof/>
                <w:sz w:val="20"/>
                <w:szCs w:val="20"/>
              </w:rPr>
              <w:t xml:space="preserve"> includ</w:t>
            </w:r>
            <w:r w:rsidR="00AE590B" w:rsidRPr="002661A8">
              <w:rPr>
                <w:rFonts w:ascii="Times New Roman" w:eastAsia="Times New Roman" w:hAnsi="Times New Roman" w:cs="Times New Roman"/>
                <w:noProof/>
                <w:sz w:val="20"/>
                <w:szCs w:val="20"/>
              </w:rPr>
              <w:t>e</w:t>
            </w:r>
            <w:r w:rsidRPr="002661A8">
              <w:rPr>
                <w:rFonts w:ascii="Times New Roman" w:eastAsia="Times New Roman" w:hAnsi="Times New Roman" w:cs="Times New Roman"/>
                <w:noProof/>
                <w:sz w:val="20"/>
                <w:szCs w:val="20"/>
              </w:rPr>
              <w:t xml:space="preserve"> </w:t>
            </w:r>
            <w:r w:rsidR="00AE590B" w:rsidRPr="002661A8">
              <w:rPr>
                <w:rFonts w:ascii="Times New Roman" w:eastAsia="Times New Roman" w:hAnsi="Times New Roman" w:cs="Times New Roman"/>
                <w:noProof/>
                <w:sz w:val="20"/>
                <w:szCs w:val="20"/>
              </w:rPr>
              <w:t>the</w:t>
            </w:r>
            <w:r w:rsidRPr="002661A8">
              <w:rPr>
                <w:rFonts w:ascii="Times New Roman" w:eastAsia="Times New Roman" w:hAnsi="Times New Roman" w:cs="Times New Roman"/>
                <w:noProof/>
                <w:sz w:val="20"/>
                <w:szCs w:val="20"/>
              </w:rPr>
              <w:t xml:space="preserve"> power to grant</w:t>
            </w:r>
            <w:r w:rsidR="00466F00" w:rsidRPr="002661A8">
              <w:rPr>
                <w:rFonts w:ascii="Times New Roman" w:eastAsia="Times New Roman" w:hAnsi="Times New Roman" w:cs="Times New Roman"/>
                <w:noProof/>
                <w:sz w:val="20"/>
                <w:szCs w:val="20"/>
              </w:rPr>
              <w:t>/</w:t>
            </w:r>
            <w:r w:rsidRPr="002661A8">
              <w:rPr>
                <w:rFonts w:ascii="Times New Roman" w:eastAsia="Times New Roman" w:hAnsi="Times New Roman" w:cs="Times New Roman"/>
                <w:noProof/>
                <w:sz w:val="20"/>
                <w:szCs w:val="20"/>
              </w:rPr>
              <w:t xml:space="preserve"> withdraw authorisation, approve the extension of services or activities</w:t>
            </w:r>
            <w:r w:rsidR="00466F00" w:rsidRPr="002661A8">
              <w:rPr>
                <w:rFonts w:ascii="Times New Roman" w:eastAsia="Times New Roman" w:hAnsi="Times New Roman" w:cs="Times New Roman"/>
                <w:noProof/>
                <w:sz w:val="20"/>
                <w:szCs w:val="20"/>
              </w:rPr>
              <w:t>,</w:t>
            </w:r>
            <w:r w:rsidRPr="002661A8">
              <w:rPr>
                <w:rFonts w:ascii="Times New Roman" w:eastAsia="Times New Roman" w:hAnsi="Times New Roman" w:cs="Times New Roman"/>
                <w:noProof/>
                <w:sz w:val="20"/>
                <w:szCs w:val="20"/>
              </w:rPr>
              <w:t xml:space="preserve"> validate changes to models. For those CCPs </w:t>
            </w:r>
            <w:r w:rsidR="00466F00" w:rsidRPr="002661A8">
              <w:rPr>
                <w:rFonts w:ascii="Times New Roman" w:eastAsia="Times New Roman" w:hAnsi="Times New Roman" w:cs="Times New Roman"/>
                <w:noProof/>
                <w:sz w:val="20"/>
                <w:szCs w:val="20"/>
              </w:rPr>
              <w:t>for</w:t>
            </w:r>
            <w:r w:rsidRPr="002661A8">
              <w:rPr>
                <w:rFonts w:ascii="Times New Roman" w:eastAsia="Times New Roman" w:hAnsi="Times New Roman" w:cs="Times New Roman"/>
                <w:noProof/>
                <w:sz w:val="20"/>
                <w:szCs w:val="20"/>
              </w:rPr>
              <w:t xml:space="preserve"> which ESMA would be the single supervisor, </w:t>
            </w:r>
            <w:r w:rsidR="00E026E6" w:rsidRPr="002661A8">
              <w:rPr>
                <w:rFonts w:ascii="Times New Roman" w:eastAsia="Times New Roman" w:hAnsi="Times New Roman" w:cs="Times New Roman"/>
                <w:noProof/>
                <w:sz w:val="20"/>
                <w:szCs w:val="20"/>
              </w:rPr>
              <w:t>NCAs</w:t>
            </w:r>
            <w:r w:rsidRPr="002661A8">
              <w:rPr>
                <w:rFonts w:ascii="Times New Roman" w:eastAsia="Times New Roman" w:hAnsi="Times New Roman" w:cs="Times New Roman"/>
                <w:noProof/>
                <w:sz w:val="20"/>
                <w:szCs w:val="20"/>
              </w:rPr>
              <w:t xml:space="preserve"> would have no powers. In</w:t>
            </w:r>
            <w:r w:rsidRPr="002661A8" w:rsidDel="0065602B">
              <w:rPr>
                <w:rFonts w:ascii="Times New Roman" w:eastAsia="Times New Roman" w:hAnsi="Times New Roman" w:cs="Times New Roman"/>
                <w:noProof/>
                <w:sz w:val="20"/>
                <w:szCs w:val="20"/>
              </w:rPr>
              <w:t xml:space="preserve"> </w:t>
            </w:r>
            <w:r w:rsidR="0065602B" w:rsidRPr="002661A8">
              <w:rPr>
                <w:rFonts w:ascii="Times New Roman" w:eastAsia="Times New Roman" w:hAnsi="Times New Roman" w:cs="Times New Roman"/>
                <w:noProof/>
                <w:sz w:val="20"/>
                <w:szCs w:val="20"/>
              </w:rPr>
              <w:t xml:space="preserve">its </w:t>
            </w:r>
            <w:r w:rsidRPr="002661A8">
              <w:rPr>
                <w:rFonts w:ascii="Times New Roman" w:eastAsia="Times New Roman" w:hAnsi="Times New Roman" w:cs="Times New Roman"/>
                <w:noProof/>
                <w:sz w:val="20"/>
                <w:szCs w:val="20"/>
              </w:rPr>
              <w:t>tasks, ESMA could be required to cooperate closely with other bodies, e.g. the ESCB.</w:t>
            </w:r>
            <w:r w:rsidR="005C2F86" w:rsidRPr="002661A8">
              <w:rPr>
                <w:rFonts w:ascii="Times New Roman" w:eastAsia="Times New Roman" w:hAnsi="Times New Roman" w:cs="Times New Roman"/>
                <w:noProof/>
                <w:sz w:val="20"/>
                <w:szCs w:val="20"/>
              </w:rPr>
              <w:t xml:space="preserve"> N</w:t>
            </w:r>
            <w:r w:rsidRPr="002661A8">
              <w:rPr>
                <w:rFonts w:ascii="Times New Roman" w:eastAsia="Times New Roman" w:hAnsi="Times New Roman" w:cs="Times New Roman"/>
                <w:noProof/>
                <w:sz w:val="20"/>
                <w:szCs w:val="20"/>
              </w:rPr>
              <w:t>o authority</w:t>
            </w:r>
            <w:r w:rsidRPr="002661A8" w:rsidDel="00EF662B">
              <w:rPr>
                <w:rFonts w:ascii="Times New Roman" w:eastAsia="Times New Roman" w:hAnsi="Times New Roman" w:cs="Times New Roman"/>
                <w:noProof/>
                <w:sz w:val="20"/>
                <w:szCs w:val="20"/>
              </w:rPr>
              <w:t xml:space="preserve"> would have binding powers over the single </w:t>
            </w:r>
            <w:r w:rsidRPr="002661A8">
              <w:rPr>
                <w:rFonts w:ascii="Times New Roman" w:eastAsia="Times New Roman" w:hAnsi="Times New Roman" w:cs="Times New Roman"/>
                <w:noProof/>
                <w:sz w:val="20"/>
                <w:szCs w:val="20"/>
              </w:rPr>
              <w:t xml:space="preserve">supervisor. </w:t>
            </w:r>
          </w:p>
        </w:tc>
      </w:tr>
    </w:tbl>
    <w:p w14:paraId="7FBFE5AC" w14:textId="09F41104" w:rsidR="00733EF9" w:rsidRPr="002661A8" w:rsidRDefault="00733EF9" w:rsidP="004126BA">
      <w:pPr>
        <w:pStyle w:val="Text1"/>
        <w:spacing w:after="0"/>
        <w:ind w:left="0"/>
        <w:rPr>
          <w:rFonts w:eastAsiaTheme="minorEastAsia"/>
          <w:b/>
          <w:smallCaps/>
          <w:noProof/>
          <w:sz w:val="16"/>
          <w:szCs w:val="16"/>
        </w:rPr>
      </w:pPr>
    </w:p>
    <w:p w14:paraId="3DE0CE32" w14:textId="6A67202B" w:rsidR="002316B6" w:rsidRPr="002661A8" w:rsidRDefault="002316B6" w:rsidP="00ED5088">
      <w:pPr>
        <w:pStyle w:val="Heading1"/>
        <w:numPr>
          <w:ilvl w:val="1"/>
          <w:numId w:val="6"/>
        </w:numPr>
        <w:spacing w:before="0" w:after="120"/>
        <w:rPr>
          <w:smallCaps w:val="0"/>
          <w:noProof/>
        </w:rPr>
      </w:pPr>
      <w:bookmarkStart w:id="758" w:name="_Toc103337508"/>
      <w:bookmarkStart w:id="759" w:name="_Toc104310003"/>
      <w:bookmarkStart w:id="760" w:name="_Toc105656443"/>
      <w:bookmarkStart w:id="761" w:name="_Toc106827843"/>
      <w:bookmarkStart w:id="762" w:name="_Toc106981719"/>
      <w:bookmarkStart w:id="763" w:name="_Toc107493859"/>
      <w:bookmarkStart w:id="764" w:name="_Toc107497895"/>
      <w:bookmarkStart w:id="765" w:name="_Toc107503448"/>
      <w:bookmarkStart w:id="766" w:name="_Toc107504596"/>
      <w:bookmarkStart w:id="767" w:name="_Toc107505441"/>
      <w:bookmarkStart w:id="768" w:name="_Toc107838917"/>
      <w:bookmarkStart w:id="769" w:name="_Toc107847012"/>
      <w:bookmarkStart w:id="770" w:name="_Toc107849249"/>
      <w:bookmarkStart w:id="771" w:name="_Toc107853696"/>
      <w:bookmarkStart w:id="772" w:name="_Toc108539813"/>
      <w:bookmarkStart w:id="773" w:name="_Toc108539931"/>
      <w:bookmarkStart w:id="774" w:name="_Toc109057389"/>
      <w:bookmarkStart w:id="775" w:name="_Toc109120755"/>
      <w:bookmarkStart w:id="776" w:name="_Toc109122390"/>
      <w:bookmarkStart w:id="777" w:name="_Toc109133127"/>
      <w:bookmarkStart w:id="778" w:name="_Toc120291661"/>
      <w:r w:rsidRPr="002661A8">
        <w:rPr>
          <w:smallCaps w:val="0"/>
          <w:noProof/>
        </w:rPr>
        <w:t>Options discarded at an early stage</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0C15C9BC" w14:textId="0217BB8B" w:rsidR="002316B6" w:rsidRPr="002661A8" w:rsidRDefault="004468D7" w:rsidP="00C6400B">
      <w:pPr>
        <w:pStyle w:val="Text2"/>
        <w:spacing w:after="120"/>
        <w:ind w:left="0"/>
        <w:rPr>
          <w:noProof/>
        </w:rPr>
      </w:pPr>
      <w:r w:rsidRPr="002661A8">
        <w:rPr>
          <w:noProof/>
        </w:rPr>
        <w:t xml:space="preserve">The following </w:t>
      </w:r>
      <w:r w:rsidR="00816FA6" w:rsidRPr="002661A8">
        <w:rPr>
          <w:noProof/>
        </w:rPr>
        <w:t xml:space="preserve">options </w:t>
      </w:r>
      <w:r w:rsidR="00E17E28" w:rsidRPr="002661A8">
        <w:rPr>
          <w:noProof/>
        </w:rPr>
        <w:t>were</w:t>
      </w:r>
      <w:r w:rsidR="00816FA6" w:rsidRPr="002661A8">
        <w:rPr>
          <w:noProof/>
        </w:rPr>
        <w:t xml:space="preserve"> discarded at an early stage as inconsistent with the EU legal framework or with financial stability considerations, which are at the heart of EMIR and of this initiative</w:t>
      </w:r>
      <w:r w:rsidR="00BC7533" w:rsidRPr="002661A8">
        <w:rPr>
          <w:noProof/>
          <w:lang w:val="en-IE"/>
        </w:rPr>
        <w:t xml:space="preserve">: on the supply side, </w:t>
      </w:r>
      <w:r w:rsidR="00BC7533" w:rsidRPr="002661A8">
        <w:rPr>
          <w:noProof/>
        </w:rPr>
        <w:t xml:space="preserve">granting all EU CCPs the same access to central bank liquidity facilities, irrespective of the need for a banking licence and extending the operating hours of payment systems (Target 2) beyond the current closing time, as these fall under the competence of central banks; and on the demand side, broadening the scope of products under the clearing obligation and introducing an obligation to clear all derivative transactions at EU CCPs and/or Tier 1 CCPs. </w:t>
      </w:r>
      <w:r w:rsidR="003535C6" w:rsidRPr="0039661C">
        <w:rPr>
          <w:noProof/>
        </w:rPr>
        <w:t xml:space="preserve">Also the options of global coordination and a permanent equivalence decision </w:t>
      </w:r>
      <w:r w:rsidR="0006591C">
        <w:rPr>
          <w:noProof/>
        </w:rPr>
        <w:t>for UK CCPs</w:t>
      </w:r>
      <w:r w:rsidR="003535C6" w:rsidRPr="0039661C">
        <w:rPr>
          <w:noProof/>
        </w:rPr>
        <w:t xml:space="preserve"> have been discarded at an early stage</w:t>
      </w:r>
      <w:r w:rsidR="003535C6">
        <w:rPr>
          <w:noProof/>
        </w:rPr>
        <w:t xml:space="preserve">. </w:t>
      </w:r>
      <w:r w:rsidR="00BC7533" w:rsidRPr="002661A8">
        <w:rPr>
          <w:noProof/>
        </w:rPr>
        <w:t xml:space="preserve">Annex </w:t>
      </w:r>
      <w:r w:rsidRPr="002661A8">
        <w:rPr>
          <w:noProof/>
        </w:rPr>
        <w:t>6</w:t>
      </w:r>
      <w:r w:rsidR="00BC7533" w:rsidRPr="002661A8">
        <w:rPr>
          <w:noProof/>
        </w:rPr>
        <w:t xml:space="preserve"> explains </w:t>
      </w:r>
      <w:r w:rsidR="006922A1" w:rsidRPr="002661A8">
        <w:rPr>
          <w:noProof/>
        </w:rPr>
        <w:t>the</w:t>
      </w:r>
      <w:r w:rsidR="00BC7533" w:rsidRPr="002661A8">
        <w:rPr>
          <w:noProof/>
        </w:rPr>
        <w:t xml:space="preserve"> rationale for not further assessing these options. </w:t>
      </w:r>
    </w:p>
    <w:p w14:paraId="66EBE2B4" w14:textId="66D5C5B0" w:rsidR="006B087E" w:rsidRPr="002661A8" w:rsidRDefault="3FA542DF" w:rsidP="00ED5088">
      <w:pPr>
        <w:pStyle w:val="Heading1"/>
        <w:numPr>
          <w:ilvl w:val="0"/>
          <w:numId w:val="6"/>
        </w:numPr>
        <w:spacing w:before="0" w:after="120"/>
        <w:rPr>
          <w:noProof/>
        </w:rPr>
      </w:pPr>
      <w:bookmarkStart w:id="779" w:name="_What_are_the_1"/>
      <w:bookmarkStart w:id="780" w:name="_Toc103337509"/>
      <w:bookmarkStart w:id="781" w:name="_Toc104310004"/>
      <w:bookmarkStart w:id="782" w:name="_Toc105656444"/>
      <w:bookmarkStart w:id="783" w:name="_Toc106827844"/>
      <w:bookmarkStart w:id="784" w:name="_Toc106981720"/>
      <w:bookmarkStart w:id="785" w:name="_Toc107493860"/>
      <w:bookmarkStart w:id="786" w:name="_Toc107497896"/>
      <w:bookmarkStart w:id="787" w:name="_Toc107503449"/>
      <w:bookmarkStart w:id="788" w:name="_Toc107504597"/>
      <w:bookmarkStart w:id="789" w:name="_Toc107505442"/>
      <w:bookmarkStart w:id="790" w:name="_Toc107838918"/>
      <w:bookmarkStart w:id="791" w:name="_Toc107847013"/>
      <w:bookmarkStart w:id="792" w:name="_Toc107849250"/>
      <w:bookmarkStart w:id="793" w:name="_Toc107853697"/>
      <w:bookmarkStart w:id="794" w:name="_Toc108539814"/>
      <w:bookmarkStart w:id="795" w:name="_Toc108539932"/>
      <w:bookmarkStart w:id="796" w:name="_Toc109057390"/>
      <w:bookmarkStart w:id="797" w:name="_Toc109120756"/>
      <w:bookmarkStart w:id="798" w:name="_Toc109122391"/>
      <w:bookmarkStart w:id="799" w:name="_Toc109133128"/>
      <w:bookmarkStart w:id="800" w:name="_Toc120291662"/>
      <w:bookmarkEnd w:id="779"/>
      <w:r w:rsidRPr="002661A8">
        <w:rPr>
          <w:noProof/>
        </w:rPr>
        <w:t>What are the impacts of the options</w:t>
      </w:r>
      <w:r w:rsidR="00B11922" w:rsidRPr="002661A8">
        <w:rPr>
          <w:noProof/>
        </w:rPr>
        <w:t xml:space="preserve"> and how do </w:t>
      </w:r>
      <w:r w:rsidR="00055C17" w:rsidRPr="002661A8">
        <w:rPr>
          <w:noProof/>
        </w:rPr>
        <w:t>they</w:t>
      </w:r>
      <w:r w:rsidR="00B11922" w:rsidRPr="002661A8">
        <w:rPr>
          <w:noProof/>
        </w:rPr>
        <w:t xml:space="preserve"> compare</w:t>
      </w:r>
      <w:r w:rsidRPr="002661A8">
        <w:rPr>
          <w:noProof/>
        </w:rPr>
        <w:t>?</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08558385" w14:textId="67F467EB" w:rsidR="00CB492E" w:rsidRPr="002661A8" w:rsidRDefault="00A33F73" w:rsidP="00E36E82">
      <w:pPr>
        <w:pStyle w:val="Text2"/>
        <w:spacing w:after="120"/>
        <w:ind w:left="0"/>
        <w:rPr>
          <w:noProof/>
        </w:rPr>
      </w:pPr>
      <w:bookmarkStart w:id="801" w:name="_Toc103337510"/>
      <w:r w:rsidRPr="002661A8">
        <w:rPr>
          <w:noProof/>
        </w:rPr>
        <w:t xml:space="preserve">This </w:t>
      </w:r>
      <w:r w:rsidR="006D3D9A" w:rsidRPr="002661A8">
        <w:rPr>
          <w:noProof/>
        </w:rPr>
        <w:t>s</w:t>
      </w:r>
      <w:r w:rsidRPr="002661A8">
        <w:rPr>
          <w:noProof/>
        </w:rPr>
        <w:t>ection describes the impact</w:t>
      </w:r>
      <w:r w:rsidR="00A63FC1" w:rsidRPr="002661A8">
        <w:rPr>
          <w:noProof/>
        </w:rPr>
        <w:t>s</w:t>
      </w:r>
      <w:r w:rsidRPr="002661A8">
        <w:rPr>
          <w:noProof/>
        </w:rPr>
        <w:t xml:space="preserve"> of each policy option </w:t>
      </w:r>
      <w:r w:rsidR="00E018AF" w:rsidRPr="002661A8">
        <w:rPr>
          <w:noProof/>
        </w:rPr>
        <w:t xml:space="preserve">and compares </w:t>
      </w:r>
      <w:r w:rsidR="00007C18" w:rsidRPr="002661A8">
        <w:rPr>
          <w:noProof/>
        </w:rPr>
        <w:t>them</w:t>
      </w:r>
      <w:r w:rsidR="00A63FC1" w:rsidRPr="002661A8">
        <w:rPr>
          <w:noProof/>
        </w:rPr>
        <w:t xml:space="preserve"> in terms of</w:t>
      </w:r>
      <w:r w:rsidR="00DF1370" w:rsidRPr="002661A8">
        <w:rPr>
          <w:b/>
          <w:noProof/>
        </w:rPr>
        <w:t xml:space="preserve"> </w:t>
      </w:r>
      <w:bookmarkEnd w:id="801"/>
      <w:r w:rsidR="00CB492E" w:rsidRPr="002661A8">
        <w:rPr>
          <w:noProof/>
        </w:rPr>
        <w:t>effectiveness in meeting the</w:t>
      </w:r>
      <w:r w:rsidR="00A63FC1" w:rsidRPr="002661A8">
        <w:rPr>
          <w:noProof/>
        </w:rPr>
        <w:t xml:space="preserve"> three</w:t>
      </w:r>
      <w:r w:rsidR="00CB492E" w:rsidRPr="002661A8">
        <w:rPr>
          <w:noProof/>
        </w:rPr>
        <w:t xml:space="preserve"> specific objectives</w:t>
      </w:r>
      <w:r w:rsidR="00A63FC1" w:rsidRPr="002661A8">
        <w:rPr>
          <w:noProof/>
        </w:rPr>
        <w:t xml:space="preserve"> (supply side</w:t>
      </w:r>
      <w:r w:rsidR="00823180" w:rsidRPr="002661A8">
        <w:rPr>
          <w:noProof/>
        </w:rPr>
        <w:t xml:space="preserve">, </w:t>
      </w:r>
      <w:r w:rsidR="00A63FC1" w:rsidRPr="002661A8">
        <w:rPr>
          <w:noProof/>
        </w:rPr>
        <w:t>demand side</w:t>
      </w:r>
      <w:r w:rsidR="00823180" w:rsidRPr="002661A8">
        <w:rPr>
          <w:noProof/>
        </w:rPr>
        <w:t>,</w:t>
      </w:r>
      <w:r w:rsidR="00A63FC1" w:rsidRPr="002661A8">
        <w:rPr>
          <w:noProof/>
        </w:rPr>
        <w:t xml:space="preserve"> consideration of cross-border risks)</w:t>
      </w:r>
      <w:r w:rsidR="00CB492E" w:rsidRPr="002661A8">
        <w:rPr>
          <w:noProof/>
        </w:rPr>
        <w:t>, coherence with the EU framework</w:t>
      </w:r>
      <w:r w:rsidR="006D3D9A" w:rsidRPr="002661A8">
        <w:rPr>
          <w:noProof/>
        </w:rPr>
        <w:t xml:space="preserve"> and </w:t>
      </w:r>
      <w:r w:rsidR="00E018AF" w:rsidRPr="002661A8">
        <w:rPr>
          <w:noProof/>
        </w:rPr>
        <w:t>efficiency</w:t>
      </w:r>
      <w:r w:rsidR="006D3D9A" w:rsidRPr="002661A8">
        <w:rPr>
          <w:noProof/>
        </w:rPr>
        <w:t xml:space="preserve"> (cost effectiveness). It also provides </w:t>
      </w:r>
      <w:r w:rsidR="00CB492E" w:rsidRPr="002661A8">
        <w:rPr>
          <w:noProof/>
        </w:rPr>
        <w:t>the rationale for selecting each preferred option.</w:t>
      </w:r>
      <w:bookmarkStart w:id="802" w:name="_Toc90573453"/>
    </w:p>
    <w:p w14:paraId="027A27C2" w14:textId="1876E78A" w:rsidR="004929C3" w:rsidRPr="002661A8" w:rsidRDefault="000B50BC" w:rsidP="00ED5088">
      <w:pPr>
        <w:pStyle w:val="Heading1"/>
        <w:numPr>
          <w:ilvl w:val="1"/>
          <w:numId w:val="6"/>
        </w:numPr>
        <w:spacing w:before="0" w:after="120"/>
        <w:rPr>
          <w:noProof/>
        </w:rPr>
      </w:pPr>
      <w:bookmarkStart w:id="803" w:name="_Toc103337511"/>
      <w:bookmarkStart w:id="804" w:name="_Toc104310005"/>
      <w:bookmarkStart w:id="805" w:name="_Toc105656445"/>
      <w:bookmarkStart w:id="806" w:name="_Toc106827845"/>
      <w:bookmarkStart w:id="807" w:name="_Toc106981721"/>
      <w:bookmarkStart w:id="808" w:name="_Toc107493861"/>
      <w:bookmarkStart w:id="809" w:name="_Toc107497897"/>
      <w:bookmarkStart w:id="810" w:name="_Toc107503450"/>
      <w:bookmarkStart w:id="811" w:name="_Toc107504598"/>
      <w:bookmarkStart w:id="812" w:name="_Toc107505443"/>
      <w:bookmarkStart w:id="813" w:name="_Toc107838919"/>
      <w:bookmarkStart w:id="814" w:name="_Toc107847014"/>
      <w:bookmarkStart w:id="815" w:name="_Toc107849251"/>
      <w:bookmarkStart w:id="816" w:name="_Toc107853698"/>
      <w:bookmarkStart w:id="817" w:name="_Toc107865292"/>
      <w:bookmarkStart w:id="818" w:name="_Toc108539815"/>
      <w:bookmarkStart w:id="819" w:name="_Toc108539933"/>
      <w:bookmarkStart w:id="820" w:name="_Toc109057391"/>
      <w:bookmarkStart w:id="821" w:name="_Toc109120757"/>
      <w:bookmarkStart w:id="822" w:name="_Toc109122392"/>
      <w:bookmarkStart w:id="823" w:name="_Toc109133129"/>
      <w:bookmarkStart w:id="824" w:name="_Toc120291663"/>
      <w:r>
        <w:rPr>
          <w:rFonts w:eastAsiaTheme="minorEastAsia"/>
          <w:smallCaps w:val="0"/>
          <w:noProof/>
        </w:rPr>
        <w:t xml:space="preserve">A - </w:t>
      </w:r>
      <w:r w:rsidR="00055C17" w:rsidRPr="002661A8">
        <w:rPr>
          <w:rFonts w:eastAsiaTheme="minorEastAsia"/>
          <w:smallCaps w:val="0"/>
          <w:noProof/>
        </w:rPr>
        <w:t>M</w:t>
      </w:r>
      <w:r w:rsidR="004929C3" w:rsidRPr="002661A8">
        <w:rPr>
          <w:smallCaps w:val="0"/>
          <w:noProof/>
        </w:rPr>
        <w:t xml:space="preserve">easures </w:t>
      </w:r>
      <w:bookmarkEnd w:id="803"/>
      <w:r w:rsidR="00711B4B" w:rsidRPr="002661A8">
        <w:rPr>
          <w:smallCaps w:val="0"/>
          <w:noProof/>
        </w:rPr>
        <w:t xml:space="preserve">to improve the </w:t>
      </w:r>
      <w:r w:rsidR="000914E4" w:rsidRPr="002661A8">
        <w:rPr>
          <w:smallCaps w:val="0"/>
          <w:noProof/>
        </w:rPr>
        <w:t xml:space="preserve">attractiveness </w:t>
      </w:r>
      <w:r w:rsidR="00711B4B" w:rsidRPr="002661A8">
        <w:rPr>
          <w:smallCaps w:val="0"/>
          <w:noProof/>
        </w:rPr>
        <w:t>of EU CCPs</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536817D7" w14:textId="6875C4A8" w:rsidR="004929C3" w:rsidRPr="002661A8" w:rsidRDefault="004929C3" w:rsidP="00ED5088">
      <w:pPr>
        <w:pStyle w:val="Heading1"/>
        <w:numPr>
          <w:ilvl w:val="2"/>
          <w:numId w:val="6"/>
        </w:numPr>
        <w:spacing w:before="0" w:after="120"/>
        <w:rPr>
          <w:b w:val="0"/>
          <w:i/>
          <w:smallCaps w:val="0"/>
          <w:noProof/>
        </w:rPr>
      </w:pPr>
      <w:bookmarkStart w:id="825" w:name="_Toc103337512"/>
      <w:bookmarkStart w:id="826" w:name="_Toc104310006"/>
      <w:bookmarkStart w:id="827" w:name="_Toc105656446"/>
      <w:bookmarkStart w:id="828" w:name="_Toc106827846"/>
      <w:bookmarkStart w:id="829" w:name="_Toc106981722"/>
      <w:bookmarkStart w:id="830" w:name="_Toc107493862"/>
      <w:bookmarkStart w:id="831" w:name="_Toc107497898"/>
      <w:bookmarkStart w:id="832" w:name="_Toc107503451"/>
      <w:bookmarkStart w:id="833" w:name="_Toc107504599"/>
      <w:bookmarkStart w:id="834" w:name="_Toc107505444"/>
      <w:bookmarkStart w:id="835" w:name="_Toc107838920"/>
      <w:bookmarkStart w:id="836" w:name="_Toc107847015"/>
      <w:bookmarkStart w:id="837" w:name="_Toc107849252"/>
      <w:bookmarkStart w:id="838" w:name="_Toc107853699"/>
      <w:bookmarkStart w:id="839" w:name="_Toc107865293"/>
      <w:bookmarkStart w:id="840" w:name="_Toc108418502"/>
      <w:bookmarkStart w:id="841" w:name="_Toc108539594"/>
      <w:bookmarkStart w:id="842" w:name="_Toc108539816"/>
      <w:bookmarkStart w:id="843" w:name="_Toc108539934"/>
      <w:bookmarkStart w:id="844" w:name="_Toc108540013"/>
      <w:bookmarkStart w:id="845" w:name="_Toc109057392"/>
      <w:bookmarkStart w:id="846" w:name="_Toc109120758"/>
      <w:bookmarkStart w:id="847" w:name="_Toc109122393"/>
      <w:bookmarkStart w:id="848" w:name="_Toc109124106"/>
      <w:bookmarkStart w:id="849" w:name="_Toc109133130"/>
      <w:bookmarkStart w:id="850" w:name="_Toc109133306"/>
      <w:bookmarkStart w:id="851" w:name="_Toc120291664"/>
      <w:r w:rsidRPr="002661A8">
        <w:rPr>
          <w:b w:val="0"/>
          <w:i/>
          <w:smallCaps w:val="0"/>
          <w:noProof/>
        </w:rPr>
        <w:t xml:space="preserve">Option </w:t>
      </w:r>
      <w:r w:rsidR="00A8027C">
        <w:rPr>
          <w:b w:val="0"/>
          <w:i/>
          <w:smallCaps w:val="0"/>
          <w:noProof/>
        </w:rPr>
        <w:t>A</w:t>
      </w:r>
      <w:r w:rsidRPr="002661A8">
        <w:rPr>
          <w:b w:val="0"/>
          <w:i/>
          <w:smallCaps w:val="0"/>
          <w:noProof/>
        </w:rPr>
        <w:t>2 – Simplify the procedures for launching products and changing models and parameters</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74A46D17" w14:textId="5625E726" w:rsidR="004929C3" w:rsidRPr="002661A8" w:rsidRDefault="004929C3" w:rsidP="00E36E82">
      <w:pPr>
        <w:spacing w:after="120" w:line="240" w:lineRule="auto"/>
        <w:jc w:val="both"/>
        <w:rPr>
          <w:rFonts w:ascii="Times New Roman" w:hAnsi="Times New Roman" w:cs="Times New Roman"/>
          <w:noProof/>
          <w:sz w:val="24"/>
          <w:szCs w:val="24"/>
          <w:u w:val="single"/>
        </w:rPr>
      </w:pPr>
      <w:r w:rsidRPr="002661A8">
        <w:rPr>
          <w:rFonts w:ascii="Times New Roman" w:hAnsi="Times New Roman" w:cs="Times New Roman"/>
          <w:noProof/>
          <w:sz w:val="24"/>
          <w:szCs w:val="24"/>
          <w:u w:val="single"/>
        </w:rPr>
        <w:t xml:space="preserve">Effectiveness in meeting the specific objectives </w:t>
      </w:r>
    </w:p>
    <w:p w14:paraId="5E5EC1DC" w14:textId="77777777" w:rsidR="00F6107C" w:rsidRDefault="00074FEE" w:rsidP="00E36E82">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Simplifying the procedures for launching new products and changing risk models and parameters would contribute to ensuring shorter time to market. </w:t>
      </w:r>
    </w:p>
    <w:p w14:paraId="6E699811" w14:textId="3B96409B" w:rsidR="007A1867" w:rsidRDefault="00F6107C" w:rsidP="00E36E82">
      <w:pPr>
        <w:spacing w:after="120" w:line="240" w:lineRule="auto"/>
        <w:jc w:val="both"/>
        <w:rPr>
          <w:rFonts w:ascii="Times New Roman" w:hAnsi="Times New Roman" w:cs="Times New Roman"/>
          <w:noProof/>
          <w:sz w:val="24"/>
          <w:szCs w:val="24"/>
        </w:rPr>
      </w:pPr>
      <w:r w:rsidRPr="003776A4">
        <w:rPr>
          <w:rFonts w:ascii="Times New Roman" w:hAnsi="Times New Roman" w:cs="Times New Roman"/>
          <w:noProof/>
          <w:sz w:val="24"/>
          <w:szCs w:val="24"/>
        </w:rPr>
        <w:t>In the targeted consultation</w:t>
      </w:r>
      <w:r w:rsidRPr="00E11BC4">
        <w:rPr>
          <w:rFonts w:ascii="Times New Roman" w:hAnsi="Times New Roman" w:cs="Times New Roman"/>
          <w:noProof/>
          <w:sz w:val="24"/>
          <w:szCs w:val="24"/>
        </w:rPr>
        <w:t>, CCPs were of the view that regulatory compliance costs were high and procedures time consuming due to the current structure of the authorisation process.</w:t>
      </w:r>
      <w:r>
        <w:rPr>
          <w:rStyle w:val="FootnoteReference"/>
          <w:rFonts w:ascii="Times New Roman" w:hAnsi="Times New Roman" w:cs="Times New Roman"/>
          <w:noProof/>
          <w:sz w:val="24"/>
          <w:szCs w:val="24"/>
        </w:rPr>
        <w:footnoteReference w:id="120"/>
      </w:r>
      <w:r w:rsidR="0084008D" w:rsidRPr="00AF56CE">
        <w:rPr>
          <w:rFonts w:ascii="Times New Roman" w:eastAsia="Calibri" w:hAnsi="Times New Roman" w:cs="Times New Roman"/>
          <w:noProof/>
          <w:sz w:val="24"/>
          <w:szCs w:val="24"/>
        </w:rPr>
        <w:t xml:space="preserve">The majority of stakeholders </w:t>
      </w:r>
      <w:r w:rsidR="0084008D" w:rsidRPr="00AF56CE">
        <w:rPr>
          <w:rFonts w:ascii="Times New Roman" w:hAnsi="Times New Roman" w:cs="Times New Roman"/>
          <w:noProof/>
          <w:sz w:val="24"/>
          <w:szCs w:val="24"/>
          <w:lang w:val="en-IE"/>
        </w:rPr>
        <w:t xml:space="preserve">(90%, i.e. 20 out of 22 respondents) </w:t>
      </w:r>
      <w:r w:rsidR="00DD1DA7">
        <w:rPr>
          <w:rFonts w:ascii="Times New Roman" w:hAnsi="Times New Roman" w:cs="Times New Roman"/>
          <w:noProof/>
          <w:sz w:val="24"/>
          <w:szCs w:val="24"/>
          <w:lang w:val="en-IE"/>
        </w:rPr>
        <w:t>supported</w:t>
      </w:r>
      <w:r w:rsidR="0084008D" w:rsidRPr="00AF56CE">
        <w:rPr>
          <w:rFonts w:ascii="Times New Roman" w:hAnsi="Times New Roman" w:cs="Times New Roman"/>
          <w:noProof/>
          <w:sz w:val="24"/>
          <w:szCs w:val="24"/>
          <w:lang w:val="en-IE"/>
        </w:rPr>
        <w:t xml:space="preserve"> </w:t>
      </w:r>
      <w:r w:rsidR="00DD1DA7">
        <w:rPr>
          <w:rFonts w:ascii="Times New Roman" w:hAnsi="Times New Roman" w:cs="Times New Roman"/>
          <w:noProof/>
          <w:sz w:val="24"/>
          <w:szCs w:val="24"/>
          <w:lang w:val="en-IE"/>
        </w:rPr>
        <w:t>facilitating and</w:t>
      </w:r>
      <w:r w:rsidR="0084008D" w:rsidRPr="00AF56CE">
        <w:rPr>
          <w:rFonts w:ascii="Times New Roman" w:hAnsi="Times New Roman" w:cs="Times New Roman"/>
          <w:noProof/>
          <w:sz w:val="24"/>
          <w:szCs w:val="24"/>
          <w:lang w:val="en-IE"/>
        </w:rPr>
        <w:t xml:space="preserve"> speeding up the approval process for new products. Respondents (mainly CCPs, but also two business associations, a central bank and a national supervisory authority of a Member State) </w:t>
      </w:r>
      <w:r w:rsidR="00DD1DA7">
        <w:rPr>
          <w:rFonts w:ascii="Times New Roman" w:hAnsi="Times New Roman" w:cs="Times New Roman"/>
          <w:noProof/>
          <w:sz w:val="24"/>
          <w:szCs w:val="24"/>
          <w:lang w:val="en-IE"/>
        </w:rPr>
        <w:t>pointed to the need to clarify</w:t>
      </w:r>
      <w:r w:rsidR="0084008D" w:rsidRPr="00AF56CE">
        <w:rPr>
          <w:rFonts w:ascii="Times New Roman" w:hAnsi="Times New Roman" w:cs="Times New Roman"/>
          <w:noProof/>
          <w:sz w:val="24"/>
          <w:szCs w:val="24"/>
          <w:lang w:val="en-IE"/>
        </w:rPr>
        <w:t xml:space="preserve"> the </w:t>
      </w:r>
      <w:r w:rsidR="00DD1DA7">
        <w:rPr>
          <w:rFonts w:ascii="Times New Roman" w:hAnsi="Times New Roman" w:cs="Times New Roman"/>
          <w:noProof/>
          <w:sz w:val="24"/>
          <w:szCs w:val="24"/>
          <w:lang w:val="en-IE"/>
        </w:rPr>
        <w:t>procedures</w:t>
      </w:r>
      <w:r w:rsidR="00DD1DA7" w:rsidRPr="00AF56CE">
        <w:rPr>
          <w:rFonts w:ascii="Times New Roman" w:hAnsi="Times New Roman" w:cs="Times New Roman"/>
          <w:noProof/>
          <w:sz w:val="24"/>
          <w:szCs w:val="24"/>
          <w:lang w:val="en-IE"/>
        </w:rPr>
        <w:t xml:space="preserve"> </w:t>
      </w:r>
      <w:r w:rsidR="0084008D" w:rsidRPr="00AF56CE">
        <w:rPr>
          <w:rFonts w:ascii="Times New Roman" w:hAnsi="Times New Roman" w:cs="Times New Roman"/>
          <w:noProof/>
          <w:sz w:val="24"/>
          <w:szCs w:val="24"/>
          <w:lang w:val="en-IE"/>
        </w:rPr>
        <w:t>as well as the requested documentation</w:t>
      </w:r>
      <w:r w:rsidR="00DD1DA7">
        <w:rPr>
          <w:rFonts w:ascii="Times New Roman" w:hAnsi="Times New Roman" w:cs="Times New Roman"/>
          <w:noProof/>
          <w:sz w:val="24"/>
          <w:szCs w:val="24"/>
          <w:lang w:val="en-IE"/>
        </w:rPr>
        <w:t xml:space="preserve">, underling the </w:t>
      </w:r>
      <w:r w:rsidR="0084008D" w:rsidRPr="00AF56CE">
        <w:rPr>
          <w:rFonts w:ascii="Times New Roman" w:hAnsi="Times New Roman" w:cs="Times New Roman"/>
          <w:noProof/>
          <w:sz w:val="24"/>
          <w:szCs w:val="24"/>
          <w:lang w:val="en-IE"/>
        </w:rPr>
        <w:t>complex</w:t>
      </w:r>
      <w:r w:rsidR="00DD1DA7">
        <w:rPr>
          <w:rFonts w:ascii="Times New Roman" w:hAnsi="Times New Roman" w:cs="Times New Roman"/>
          <w:noProof/>
          <w:sz w:val="24"/>
          <w:szCs w:val="24"/>
          <w:lang w:val="en-IE"/>
        </w:rPr>
        <w:t>ity</w:t>
      </w:r>
      <w:r w:rsidR="0084008D" w:rsidRPr="00AF56CE">
        <w:rPr>
          <w:rFonts w:ascii="Times New Roman" w:hAnsi="Times New Roman" w:cs="Times New Roman"/>
          <w:noProof/>
          <w:sz w:val="24"/>
          <w:szCs w:val="24"/>
          <w:lang w:val="en-IE"/>
        </w:rPr>
        <w:t xml:space="preserve"> and lack of clear timelines. Three public authorities agreed that there is room for a faster approval process for certain initiatives. </w:t>
      </w:r>
      <w:r w:rsidR="00EF2FAF">
        <w:rPr>
          <w:rFonts w:ascii="Times New Roman" w:hAnsi="Times New Roman" w:cs="Times New Roman"/>
          <w:noProof/>
          <w:sz w:val="24"/>
          <w:szCs w:val="24"/>
        </w:rPr>
        <w:t xml:space="preserve">In the meeting with Member States on 16 June 2022, </w:t>
      </w:r>
      <w:r w:rsidR="00EF2FAF" w:rsidRPr="00C12DEC">
        <w:rPr>
          <w:rFonts w:ascii="Times New Roman" w:hAnsi="Times New Roman" w:cs="Times New Roman"/>
          <w:noProof/>
          <w:sz w:val="24"/>
          <w:szCs w:val="24"/>
        </w:rPr>
        <w:t xml:space="preserve">Member States agreed </w:t>
      </w:r>
      <w:r w:rsidR="00EF2FAF">
        <w:rPr>
          <w:rFonts w:ascii="Times New Roman" w:hAnsi="Times New Roman" w:cs="Times New Roman"/>
          <w:noProof/>
          <w:sz w:val="24"/>
          <w:szCs w:val="24"/>
        </w:rPr>
        <w:t xml:space="preserve">in general </w:t>
      </w:r>
      <w:r w:rsidR="00EF2FAF" w:rsidRPr="00C12DEC">
        <w:rPr>
          <w:rFonts w:ascii="Times New Roman" w:hAnsi="Times New Roman" w:cs="Times New Roman"/>
          <w:noProof/>
          <w:sz w:val="24"/>
          <w:szCs w:val="24"/>
        </w:rPr>
        <w:t>that procedures under Article 15 and 49 EMIR should be more efficient and the processes improved.</w:t>
      </w:r>
      <w:r w:rsidR="00EF2FAF">
        <w:rPr>
          <w:rStyle w:val="FootnoteReference"/>
          <w:rFonts w:ascii="Times New Roman" w:hAnsi="Times New Roman" w:cs="Times New Roman"/>
          <w:noProof/>
          <w:sz w:val="24"/>
          <w:szCs w:val="24"/>
        </w:rPr>
        <w:footnoteReference w:id="121"/>
      </w:r>
      <w:r w:rsidR="00EF2FAF">
        <w:rPr>
          <w:rFonts w:ascii="Times New Roman" w:hAnsi="Times New Roman" w:cs="Times New Roman"/>
          <w:noProof/>
          <w:sz w:val="24"/>
          <w:szCs w:val="24"/>
        </w:rPr>
        <w:t xml:space="preserve"> </w:t>
      </w:r>
    </w:p>
    <w:p w14:paraId="3805A0A4" w14:textId="08F0DADA" w:rsidR="0049210C" w:rsidRPr="00C446AB" w:rsidRDefault="007A1867" w:rsidP="00E36E82">
      <w:pPr>
        <w:spacing w:after="120" w:line="240" w:lineRule="auto"/>
        <w:jc w:val="both"/>
        <w:rPr>
          <w:rFonts w:ascii="Times New Roman" w:eastAsia="Calibri" w:hAnsi="Times New Roman" w:cs="Times New Roman"/>
          <w:noProof/>
          <w:sz w:val="24"/>
          <w:szCs w:val="24"/>
        </w:rPr>
      </w:pPr>
      <w:r w:rsidRPr="0049210C">
        <w:rPr>
          <w:rFonts w:ascii="Times New Roman" w:eastAsia="Calibri" w:hAnsi="Times New Roman" w:cs="Times New Roman"/>
          <w:noProof/>
          <w:sz w:val="24"/>
          <w:szCs w:val="24"/>
        </w:rPr>
        <w:t>Before EMIR 2.2, Article 49</w:t>
      </w:r>
      <w:r w:rsidR="0049210C" w:rsidRPr="0049210C">
        <w:rPr>
          <w:rFonts w:ascii="Times New Roman" w:eastAsia="Calibri" w:hAnsi="Times New Roman" w:cs="Times New Roman"/>
          <w:noProof/>
          <w:sz w:val="24"/>
          <w:szCs w:val="24"/>
        </w:rPr>
        <w:t>, for example,</w:t>
      </w:r>
      <w:r w:rsidRPr="0049210C">
        <w:rPr>
          <w:rFonts w:ascii="Times New Roman" w:eastAsia="Calibri" w:hAnsi="Times New Roman" w:cs="Times New Roman"/>
          <w:noProof/>
          <w:sz w:val="24"/>
          <w:szCs w:val="24"/>
        </w:rPr>
        <w:t xml:space="preserve"> required, in addition to an independent validation to be obtained by the CCP, two separate validations by the NCA and ESMA of significant changes to the models and parameters. </w:t>
      </w:r>
      <w:r w:rsidR="0006591C">
        <w:rPr>
          <w:rFonts w:ascii="Times New Roman" w:eastAsia="Calibri" w:hAnsi="Times New Roman" w:cs="Times New Roman"/>
          <w:noProof/>
          <w:sz w:val="24"/>
          <w:szCs w:val="24"/>
        </w:rPr>
        <w:t xml:space="preserve">The Commission </w:t>
      </w:r>
      <w:r w:rsidRPr="0049210C">
        <w:rPr>
          <w:rFonts w:ascii="Times New Roman" w:eastAsia="Calibri" w:hAnsi="Times New Roman" w:cs="Times New Roman"/>
          <w:noProof/>
          <w:sz w:val="24"/>
          <w:szCs w:val="24"/>
        </w:rPr>
        <w:t>EMIR 2.2</w:t>
      </w:r>
      <w:r w:rsidR="0006591C">
        <w:rPr>
          <w:rFonts w:ascii="Times New Roman" w:eastAsia="Calibri" w:hAnsi="Times New Roman" w:cs="Times New Roman"/>
          <w:noProof/>
          <w:sz w:val="24"/>
          <w:szCs w:val="24"/>
        </w:rPr>
        <w:t xml:space="preserve"> proposal</w:t>
      </w:r>
      <w:r w:rsidRPr="0049210C">
        <w:rPr>
          <w:rFonts w:ascii="Times New Roman" w:eastAsia="Calibri" w:hAnsi="Times New Roman" w:cs="Times New Roman"/>
          <w:noProof/>
          <w:sz w:val="24"/>
          <w:szCs w:val="24"/>
        </w:rPr>
        <w:t xml:space="preserve"> sought to clarify the conditions under which a CCP may obtain the validation of significant changes to its adopted models and parameters, simplifying the process. This proposal was however amended in the negotiations</w:t>
      </w:r>
      <w:r w:rsidR="0006591C">
        <w:rPr>
          <w:rFonts w:ascii="Times New Roman" w:eastAsia="Calibri" w:hAnsi="Times New Roman" w:cs="Times New Roman"/>
          <w:noProof/>
          <w:sz w:val="24"/>
          <w:szCs w:val="24"/>
        </w:rPr>
        <w:t xml:space="preserve"> by the co-legislators</w:t>
      </w:r>
      <w:r w:rsidRPr="0049210C">
        <w:rPr>
          <w:rFonts w:ascii="Times New Roman" w:eastAsia="Calibri" w:hAnsi="Times New Roman" w:cs="Times New Roman"/>
          <w:noProof/>
          <w:sz w:val="24"/>
          <w:szCs w:val="24"/>
        </w:rPr>
        <w:t>, and the end result gives rise to multiple</w:t>
      </w:r>
      <w:r w:rsidR="0049210C" w:rsidRPr="0049210C">
        <w:rPr>
          <w:rFonts w:ascii="Times New Roman" w:eastAsia="Calibri" w:hAnsi="Times New Roman" w:cs="Times New Roman"/>
          <w:noProof/>
          <w:sz w:val="24"/>
          <w:szCs w:val="24"/>
        </w:rPr>
        <w:t xml:space="preserve"> consecutive processes, assessing first if the change is significant or not to determine the appropriate process and then another process to validate the change. The process for launching new products faces similar, but not identical challenges</w:t>
      </w:r>
      <w:r w:rsidR="0049210C">
        <w:rPr>
          <w:rFonts w:ascii="Times New Roman" w:eastAsia="Calibri" w:hAnsi="Times New Roman" w:cs="Times New Roman"/>
          <w:noProof/>
          <w:sz w:val="24"/>
          <w:szCs w:val="24"/>
        </w:rPr>
        <w:t xml:space="preserve">, in particular the lengthy procedures </w:t>
      </w:r>
      <w:r w:rsidR="0006591C">
        <w:rPr>
          <w:rFonts w:ascii="Times New Roman" w:eastAsia="Calibri" w:hAnsi="Times New Roman" w:cs="Times New Roman"/>
          <w:noProof/>
          <w:sz w:val="24"/>
          <w:szCs w:val="24"/>
        </w:rPr>
        <w:t xml:space="preserve">for the determination of the completeness of an application </w:t>
      </w:r>
      <w:r w:rsidR="0049210C">
        <w:rPr>
          <w:rFonts w:ascii="Times New Roman" w:eastAsia="Calibri" w:hAnsi="Times New Roman" w:cs="Times New Roman"/>
          <w:noProof/>
          <w:sz w:val="24"/>
          <w:szCs w:val="24"/>
        </w:rPr>
        <w:t xml:space="preserve">which can last for several years before the official </w:t>
      </w:r>
      <w:r w:rsidR="0006591C">
        <w:rPr>
          <w:rFonts w:ascii="Times New Roman" w:eastAsia="Calibri" w:hAnsi="Times New Roman" w:cs="Times New Roman"/>
          <w:noProof/>
          <w:sz w:val="24"/>
          <w:szCs w:val="24"/>
        </w:rPr>
        <w:t xml:space="preserve">approval </w:t>
      </w:r>
      <w:r w:rsidR="0049210C">
        <w:rPr>
          <w:rFonts w:ascii="Times New Roman" w:eastAsia="Calibri" w:hAnsi="Times New Roman" w:cs="Times New Roman"/>
          <w:noProof/>
          <w:sz w:val="24"/>
          <w:szCs w:val="24"/>
        </w:rPr>
        <w:t>procedure starts</w:t>
      </w:r>
      <w:r w:rsidR="0049210C" w:rsidRPr="0049210C">
        <w:rPr>
          <w:rFonts w:ascii="Times New Roman" w:eastAsia="Calibri" w:hAnsi="Times New Roman" w:cs="Times New Roman"/>
          <w:noProof/>
          <w:sz w:val="24"/>
          <w:szCs w:val="24"/>
        </w:rPr>
        <w:t>.</w:t>
      </w:r>
    </w:p>
    <w:p w14:paraId="0EC26E17" w14:textId="20748090" w:rsidR="00A610D3" w:rsidRDefault="0049210C" w:rsidP="00E36E82">
      <w:pPr>
        <w:spacing w:after="120" w:line="240" w:lineRule="auto"/>
        <w:jc w:val="both"/>
        <w:rPr>
          <w:noProof/>
        </w:rPr>
      </w:pPr>
      <w:r>
        <w:rPr>
          <w:rFonts w:ascii="Times New Roman" w:hAnsi="Times New Roman" w:cs="Times New Roman"/>
          <w:noProof/>
          <w:sz w:val="24"/>
          <w:szCs w:val="24"/>
        </w:rPr>
        <w:t>U</w:t>
      </w:r>
      <w:r w:rsidR="00FF249F" w:rsidRPr="002661A8">
        <w:rPr>
          <w:rFonts w:ascii="Times New Roman" w:hAnsi="Times New Roman" w:cs="Times New Roman"/>
          <w:noProof/>
          <w:sz w:val="24"/>
          <w:szCs w:val="24"/>
        </w:rPr>
        <w:t>nder this option</w:t>
      </w:r>
      <w:r w:rsidR="00745FBF" w:rsidRPr="002661A8">
        <w:rPr>
          <w:rFonts w:ascii="Times New Roman" w:hAnsi="Times New Roman" w:cs="Times New Roman"/>
          <w:noProof/>
          <w:sz w:val="24"/>
          <w:szCs w:val="24"/>
        </w:rPr>
        <w:t>,</w:t>
      </w:r>
      <w:r w:rsidR="00FF249F" w:rsidRPr="002661A8">
        <w:rPr>
          <w:rFonts w:ascii="Times New Roman" w:hAnsi="Times New Roman" w:cs="Times New Roman"/>
          <w:noProof/>
          <w:sz w:val="24"/>
          <w:szCs w:val="24"/>
        </w:rPr>
        <w:t xml:space="preserve"> </w:t>
      </w:r>
      <w:r>
        <w:rPr>
          <w:rFonts w:ascii="Times New Roman" w:hAnsi="Times New Roman" w:cs="Times New Roman"/>
          <w:noProof/>
          <w:sz w:val="24"/>
          <w:szCs w:val="24"/>
        </w:rPr>
        <w:t xml:space="preserve">the process for extending </w:t>
      </w:r>
      <w:r w:rsidR="0006591C">
        <w:rPr>
          <w:rFonts w:ascii="Times New Roman" w:hAnsi="Times New Roman" w:cs="Times New Roman"/>
          <w:noProof/>
          <w:sz w:val="24"/>
          <w:szCs w:val="24"/>
        </w:rPr>
        <w:t>a CCP’s</w:t>
      </w:r>
      <w:r>
        <w:rPr>
          <w:rFonts w:ascii="Times New Roman" w:hAnsi="Times New Roman" w:cs="Times New Roman"/>
          <w:noProof/>
          <w:sz w:val="24"/>
          <w:szCs w:val="24"/>
        </w:rPr>
        <w:t xml:space="preserve"> services </w:t>
      </w:r>
      <w:r w:rsidR="0006591C">
        <w:rPr>
          <w:rFonts w:ascii="Times New Roman" w:hAnsi="Times New Roman" w:cs="Times New Roman"/>
          <w:noProof/>
          <w:sz w:val="24"/>
          <w:szCs w:val="24"/>
        </w:rPr>
        <w:t>or activities</w:t>
      </w:r>
      <w:r>
        <w:rPr>
          <w:rFonts w:ascii="Times New Roman" w:hAnsi="Times New Roman" w:cs="Times New Roman"/>
          <w:noProof/>
          <w:sz w:val="24"/>
          <w:szCs w:val="24"/>
        </w:rPr>
        <w:t xml:space="preserve"> and </w:t>
      </w:r>
      <w:r w:rsidR="0006591C">
        <w:rPr>
          <w:rFonts w:ascii="Times New Roman" w:hAnsi="Times New Roman" w:cs="Times New Roman"/>
          <w:noProof/>
          <w:sz w:val="24"/>
          <w:szCs w:val="24"/>
        </w:rPr>
        <w:t>introducing changes to risk</w:t>
      </w:r>
      <w:r>
        <w:rPr>
          <w:rFonts w:ascii="Times New Roman" w:hAnsi="Times New Roman" w:cs="Times New Roman"/>
          <w:noProof/>
          <w:sz w:val="24"/>
          <w:szCs w:val="24"/>
        </w:rPr>
        <w:t xml:space="preserve"> model</w:t>
      </w:r>
      <w:r w:rsidR="0006591C">
        <w:rPr>
          <w:rFonts w:ascii="Times New Roman" w:hAnsi="Times New Roman" w:cs="Times New Roman"/>
          <w:noProof/>
          <w:sz w:val="24"/>
          <w:szCs w:val="24"/>
        </w:rPr>
        <w:t xml:space="preserve">s </w:t>
      </w:r>
      <w:r>
        <w:rPr>
          <w:rFonts w:ascii="Times New Roman" w:hAnsi="Times New Roman" w:cs="Times New Roman"/>
          <w:noProof/>
          <w:sz w:val="24"/>
          <w:szCs w:val="24"/>
        </w:rPr>
        <w:t>would be</w:t>
      </w:r>
      <w:r w:rsidR="000923BE" w:rsidRPr="002661A8">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simplified, and shortened. This would offer</w:t>
      </w:r>
      <w:r w:rsidR="0078184A" w:rsidRPr="002661A8">
        <w:rPr>
          <w:rFonts w:ascii="Times New Roman" w:eastAsia="Calibri" w:hAnsi="Times New Roman" w:cs="Times New Roman"/>
          <w:noProof/>
          <w:sz w:val="24"/>
          <w:szCs w:val="24"/>
        </w:rPr>
        <w:t xml:space="preserve"> </w:t>
      </w:r>
      <w:r w:rsidR="000923BE" w:rsidRPr="002661A8">
        <w:rPr>
          <w:rFonts w:ascii="Times New Roman" w:eastAsia="Calibri" w:hAnsi="Times New Roman" w:cs="Times New Roman"/>
          <w:noProof/>
          <w:sz w:val="24"/>
          <w:szCs w:val="24"/>
        </w:rPr>
        <w:t xml:space="preserve">CCPs </w:t>
      </w:r>
      <w:r>
        <w:rPr>
          <w:rFonts w:ascii="Times New Roman" w:eastAsia="Calibri" w:hAnsi="Times New Roman" w:cs="Times New Roman"/>
          <w:noProof/>
          <w:sz w:val="24"/>
          <w:szCs w:val="24"/>
        </w:rPr>
        <w:t>greater certainty and predictability. Technical rules (</w:t>
      </w:r>
      <w:r w:rsidR="0006591C">
        <w:rPr>
          <w:rFonts w:ascii="Times New Roman" w:eastAsia="Calibri" w:hAnsi="Times New Roman" w:cs="Times New Roman"/>
          <w:noProof/>
          <w:sz w:val="24"/>
          <w:szCs w:val="24"/>
        </w:rPr>
        <w:t xml:space="preserve">draft RTS and ITS prepared by ESMA to be </w:t>
      </w:r>
      <w:r w:rsidR="00C54746">
        <w:rPr>
          <w:rFonts w:ascii="Times New Roman" w:eastAsia="Calibri" w:hAnsi="Times New Roman" w:cs="Times New Roman"/>
          <w:noProof/>
          <w:sz w:val="24"/>
          <w:szCs w:val="24"/>
        </w:rPr>
        <w:t>adopted</w:t>
      </w:r>
      <w:r w:rsidR="0006591C">
        <w:rPr>
          <w:rFonts w:ascii="Times New Roman" w:eastAsia="Calibri" w:hAnsi="Times New Roman" w:cs="Times New Roman"/>
          <w:noProof/>
          <w:sz w:val="24"/>
          <w:szCs w:val="24"/>
        </w:rPr>
        <w:t xml:space="preserve"> by the Commission</w:t>
      </w:r>
      <w:r>
        <w:rPr>
          <w:rFonts w:ascii="Times New Roman" w:eastAsia="Calibri" w:hAnsi="Times New Roman" w:cs="Times New Roman"/>
          <w:noProof/>
          <w:sz w:val="24"/>
          <w:szCs w:val="24"/>
        </w:rPr>
        <w:t xml:space="preserve">) could specify the </w:t>
      </w:r>
      <w:r w:rsidR="00F62120">
        <w:rPr>
          <w:rFonts w:ascii="Times New Roman" w:eastAsia="Calibri" w:hAnsi="Times New Roman" w:cs="Times New Roman"/>
          <w:noProof/>
          <w:sz w:val="24"/>
          <w:szCs w:val="24"/>
        </w:rPr>
        <w:t xml:space="preserve">precise </w:t>
      </w:r>
      <w:r>
        <w:rPr>
          <w:rFonts w:ascii="Times New Roman" w:eastAsia="Calibri" w:hAnsi="Times New Roman" w:cs="Times New Roman"/>
          <w:noProof/>
          <w:sz w:val="24"/>
          <w:szCs w:val="24"/>
        </w:rPr>
        <w:t>content and format of the exact</w:t>
      </w:r>
      <w:r w:rsidR="000923BE" w:rsidRPr="002661A8">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 xml:space="preserve">documents to be provided </w:t>
      </w:r>
      <w:r w:rsidR="00091519">
        <w:rPr>
          <w:rFonts w:ascii="Times New Roman" w:eastAsia="Calibri" w:hAnsi="Times New Roman" w:cs="Times New Roman"/>
          <w:noProof/>
          <w:sz w:val="24"/>
          <w:szCs w:val="24"/>
        </w:rPr>
        <w:t>for an application</w:t>
      </w:r>
      <w:r w:rsidR="0059610E">
        <w:rPr>
          <w:rFonts w:ascii="Times New Roman" w:eastAsia="Calibri" w:hAnsi="Times New Roman" w:cs="Times New Roman"/>
          <w:noProof/>
          <w:sz w:val="24"/>
          <w:szCs w:val="24"/>
        </w:rPr>
        <w:t>,</w:t>
      </w:r>
      <w:r w:rsidR="00091519">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reducing the number of questions</w:t>
      </w:r>
      <w:r w:rsidR="00F62120">
        <w:rPr>
          <w:rFonts w:ascii="Times New Roman" w:eastAsia="Calibri" w:hAnsi="Times New Roman" w:cs="Times New Roman"/>
          <w:noProof/>
          <w:sz w:val="24"/>
          <w:szCs w:val="24"/>
        </w:rPr>
        <w:t xml:space="preserve"> that need to be asked and consequently, reducing the timeframe further</w:t>
      </w:r>
      <w:r w:rsidR="000923BE" w:rsidRPr="002661A8">
        <w:rPr>
          <w:rFonts w:ascii="Times New Roman" w:eastAsia="Calibri" w:hAnsi="Times New Roman" w:cs="Times New Roman"/>
          <w:noProof/>
          <w:sz w:val="24"/>
          <w:szCs w:val="24"/>
        </w:rPr>
        <w:t>. This should reduc</w:t>
      </w:r>
      <w:r w:rsidR="00103546" w:rsidRPr="002661A8">
        <w:rPr>
          <w:rFonts w:ascii="Times New Roman" w:eastAsia="Calibri" w:hAnsi="Times New Roman" w:cs="Times New Roman"/>
          <w:noProof/>
          <w:sz w:val="24"/>
          <w:szCs w:val="24"/>
        </w:rPr>
        <w:t>e</w:t>
      </w:r>
      <w:r w:rsidR="000923BE" w:rsidRPr="002661A8">
        <w:rPr>
          <w:rFonts w:ascii="Times New Roman" w:eastAsia="Calibri" w:hAnsi="Times New Roman" w:cs="Times New Roman"/>
          <w:noProof/>
          <w:sz w:val="24"/>
          <w:szCs w:val="24"/>
        </w:rPr>
        <w:t xml:space="preserve"> the number of </w:t>
      </w:r>
      <w:r w:rsidR="002612E3" w:rsidRPr="002661A8">
        <w:rPr>
          <w:rFonts w:ascii="Times New Roman" w:eastAsia="Calibri" w:hAnsi="Times New Roman" w:cs="Times New Roman"/>
          <w:noProof/>
          <w:sz w:val="24"/>
          <w:szCs w:val="24"/>
        </w:rPr>
        <w:t xml:space="preserve">cases </w:t>
      </w:r>
      <w:r w:rsidR="000923BE" w:rsidRPr="002661A8">
        <w:rPr>
          <w:rFonts w:ascii="Times New Roman" w:eastAsia="Calibri" w:hAnsi="Times New Roman" w:cs="Times New Roman"/>
          <w:noProof/>
          <w:sz w:val="24"/>
          <w:szCs w:val="24"/>
        </w:rPr>
        <w:t>where additional documents ar</w:t>
      </w:r>
      <w:r w:rsidR="00A53C6F" w:rsidRPr="002661A8">
        <w:rPr>
          <w:rFonts w:ascii="Times New Roman" w:eastAsia="Calibri" w:hAnsi="Times New Roman" w:cs="Times New Roman"/>
          <w:noProof/>
          <w:sz w:val="24"/>
          <w:szCs w:val="24"/>
        </w:rPr>
        <w:t>e requested</w:t>
      </w:r>
      <w:r w:rsidR="00A53C6F" w:rsidRPr="002661A8" w:rsidDel="00C04E5B">
        <w:rPr>
          <w:rFonts w:ascii="Times New Roman" w:eastAsia="Calibri" w:hAnsi="Times New Roman" w:cs="Times New Roman"/>
          <w:noProof/>
          <w:sz w:val="24"/>
          <w:szCs w:val="24"/>
        </w:rPr>
        <w:t xml:space="preserve"> </w:t>
      </w:r>
      <w:r w:rsidR="00F60EC8" w:rsidRPr="002661A8">
        <w:rPr>
          <w:rFonts w:ascii="Times New Roman" w:eastAsia="Calibri" w:hAnsi="Times New Roman" w:cs="Times New Roman"/>
          <w:noProof/>
          <w:sz w:val="24"/>
          <w:szCs w:val="24"/>
        </w:rPr>
        <w:t xml:space="preserve">and/or </w:t>
      </w:r>
      <w:r w:rsidR="00A53C6F" w:rsidRPr="002661A8">
        <w:rPr>
          <w:rFonts w:ascii="Times New Roman" w:eastAsia="Calibri" w:hAnsi="Times New Roman" w:cs="Times New Roman"/>
          <w:noProof/>
          <w:sz w:val="24"/>
          <w:szCs w:val="24"/>
        </w:rPr>
        <w:t>applications</w:t>
      </w:r>
      <w:r w:rsidR="00F60EC8" w:rsidRPr="002661A8">
        <w:rPr>
          <w:rFonts w:ascii="Times New Roman" w:eastAsia="Calibri" w:hAnsi="Times New Roman" w:cs="Times New Roman"/>
          <w:noProof/>
          <w:sz w:val="24"/>
          <w:szCs w:val="24"/>
        </w:rPr>
        <w:t xml:space="preserve"> are refused and have to be re</w:t>
      </w:r>
      <w:r w:rsidR="00A53C6F" w:rsidRPr="002661A8">
        <w:rPr>
          <w:rFonts w:ascii="Times New Roman" w:eastAsia="Calibri" w:hAnsi="Times New Roman" w:cs="Times New Roman"/>
          <w:noProof/>
          <w:sz w:val="24"/>
          <w:szCs w:val="24"/>
        </w:rPr>
        <w:t>-submitted,</w:t>
      </w:r>
      <w:r w:rsidR="00F60EC8" w:rsidRPr="002661A8">
        <w:rPr>
          <w:rFonts w:ascii="Times New Roman" w:eastAsia="Calibri" w:hAnsi="Times New Roman" w:cs="Times New Roman"/>
          <w:noProof/>
          <w:sz w:val="24"/>
          <w:szCs w:val="24"/>
        </w:rPr>
        <w:t xml:space="preserve"> </w:t>
      </w:r>
      <w:r w:rsidR="000923BE" w:rsidRPr="002661A8">
        <w:rPr>
          <w:rFonts w:ascii="Times New Roman" w:eastAsia="Calibri" w:hAnsi="Times New Roman" w:cs="Times New Roman"/>
          <w:noProof/>
          <w:sz w:val="24"/>
          <w:szCs w:val="24"/>
        </w:rPr>
        <w:t xml:space="preserve">avoiding delays. </w:t>
      </w:r>
      <w:r w:rsidR="00237791" w:rsidRPr="002661A8">
        <w:rPr>
          <w:rFonts w:ascii="Times New Roman" w:eastAsia="Calibri" w:hAnsi="Times New Roman" w:cs="Times New Roman"/>
          <w:noProof/>
          <w:sz w:val="24"/>
          <w:szCs w:val="24"/>
        </w:rPr>
        <w:t>New IT tools</w:t>
      </w:r>
      <w:r w:rsidR="00A63FC1" w:rsidRPr="002661A8">
        <w:rPr>
          <w:rFonts w:ascii="Times New Roman" w:eastAsia="Calibri" w:hAnsi="Times New Roman" w:cs="Times New Roman"/>
          <w:noProof/>
          <w:sz w:val="24"/>
          <w:szCs w:val="24"/>
        </w:rPr>
        <w:t xml:space="preserve"> w</w:t>
      </w:r>
      <w:r w:rsidR="000923BE" w:rsidRPr="002661A8">
        <w:rPr>
          <w:rFonts w:ascii="Times New Roman" w:eastAsia="Calibri" w:hAnsi="Times New Roman" w:cs="Times New Roman"/>
          <w:noProof/>
          <w:sz w:val="24"/>
          <w:szCs w:val="24"/>
        </w:rPr>
        <w:t>ould facilitate information</w:t>
      </w:r>
      <w:r w:rsidR="00103546" w:rsidRPr="002661A8">
        <w:rPr>
          <w:rFonts w:ascii="Times New Roman" w:eastAsia="Calibri" w:hAnsi="Times New Roman" w:cs="Times New Roman"/>
          <w:noProof/>
          <w:sz w:val="24"/>
          <w:szCs w:val="24"/>
        </w:rPr>
        <w:t>-</w:t>
      </w:r>
      <w:r w:rsidR="000923BE" w:rsidRPr="002661A8">
        <w:rPr>
          <w:rFonts w:ascii="Times New Roman" w:eastAsia="Calibri" w:hAnsi="Times New Roman" w:cs="Times New Roman"/>
          <w:noProof/>
          <w:sz w:val="24"/>
          <w:szCs w:val="24"/>
        </w:rPr>
        <w:t xml:space="preserve">sharing among </w:t>
      </w:r>
      <w:r w:rsidR="00A63FC1" w:rsidRPr="002661A8">
        <w:rPr>
          <w:rFonts w:ascii="Times New Roman" w:eastAsia="Calibri" w:hAnsi="Times New Roman" w:cs="Times New Roman"/>
          <w:noProof/>
          <w:sz w:val="24"/>
          <w:szCs w:val="24"/>
        </w:rPr>
        <w:t xml:space="preserve">relevant </w:t>
      </w:r>
      <w:r w:rsidR="000923BE" w:rsidRPr="002661A8">
        <w:rPr>
          <w:rFonts w:ascii="Times New Roman" w:eastAsia="Calibri" w:hAnsi="Times New Roman" w:cs="Times New Roman"/>
          <w:noProof/>
          <w:sz w:val="24"/>
          <w:szCs w:val="24"/>
        </w:rPr>
        <w:t>authorities</w:t>
      </w:r>
      <w:r w:rsidR="004917AF" w:rsidRPr="002661A8">
        <w:rPr>
          <w:rFonts w:ascii="Times New Roman" w:eastAsia="Calibri" w:hAnsi="Times New Roman" w:cs="Times New Roman"/>
          <w:noProof/>
          <w:sz w:val="24"/>
          <w:szCs w:val="24"/>
        </w:rPr>
        <w:t xml:space="preserve">, the college and </w:t>
      </w:r>
      <w:r w:rsidR="00897490" w:rsidRPr="002661A8">
        <w:rPr>
          <w:rFonts w:ascii="Times New Roman" w:eastAsia="Calibri" w:hAnsi="Times New Roman" w:cs="Times New Roman"/>
          <w:noProof/>
          <w:sz w:val="24"/>
          <w:szCs w:val="24"/>
        </w:rPr>
        <w:t>ESMA</w:t>
      </w:r>
      <w:r w:rsidR="004917AF" w:rsidRPr="002661A8">
        <w:rPr>
          <w:rFonts w:ascii="Times New Roman" w:eastAsia="Calibri" w:hAnsi="Times New Roman" w:cs="Times New Roman"/>
          <w:noProof/>
          <w:sz w:val="24"/>
          <w:szCs w:val="24"/>
        </w:rPr>
        <w:t xml:space="preserve">, </w:t>
      </w:r>
      <w:r w:rsidR="000923BE" w:rsidRPr="002661A8">
        <w:rPr>
          <w:rFonts w:ascii="Times New Roman" w:eastAsia="Calibri" w:hAnsi="Times New Roman" w:cs="Times New Roman"/>
          <w:noProof/>
          <w:sz w:val="24"/>
          <w:szCs w:val="24"/>
        </w:rPr>
        <w:t>allow</w:t>
      </w:r>
      <w:r w:rsidR="004917AF" w:rsidRPr="002661A8">
        <w:rPr>
          <w:rFonts w:ascii="Times New Roman" w:eastAsia="Calibri" w:hAnsi="Times New Roman" w:cs="Times New Roman"/>
          <w:noProof/>
          <w:sz w:val="24"/>
          <w:szCs w:val="24"/>
        </w:rPr>
        <w:t>ing</w:t>
      </w:r>
      <w:r w:rsidR="000923BE" w:rsidRPr="002661A8">
        <w:rPr>
          <w:rFonts w:ascii="Times New Roman" w:eastAsia="Calibri" w:hAnsi="Times New Roman" w:cs="Times New Roman"/>
          <w:noProof/>
          <w:sz w:val="24"/>
          <w:szCs w:val="24"/>
        </w:rPr>
        <w:t xml:space="preserve"> them to do their assessments in parallel (instead of in sequence) and coordinate requests for additional information. </w:t>
      </w:r>
      <w:r w:rsidR="00DF1370" w:rsidRPr="002661A8">
        <w:rPr>
          <w:rFonts w:ascii="Times New Roman" w:eastAsia="Calibri" w:hAnsi="Times New Roman" w:cs="Times New Roman"/>
          <w:noProof/>
          <w:sz w:val="24"/>
          <w:szCs w:val="24"/>
        </w:rPr>
        <w:t>Streamlining the involvement of the various</w:t>
      </w:r>
      <w:r w:rsidR="000923BE" w:rsidRPr="002661A8">
        <w:rPr>
          <w:rFonts w:ascii="Times New Roman" w:eastAsia="Calibri" w:hAnsi="Times New Roman" w:cs="Times New Roman"/>
          <w:noProof/>
          <w:sz w:val="24"/>
          <w:szCs w:val="24"/>
        </w:rPr>
        <w:t xml:space="preserve"> actors would </w:t>
      </w:r>
      <w:r w:rsidR="00F60EC8" w:rsidRPr="002661A8">
        <w:rPr>
          <w:rFonts w:ascii="Times New Roman" w:eastAsia="Calibri" w:hAnsi="Times New Roman" w:cs="Times New Roman"/>
          <w:noProof/>
          <w:sz w:val="24"/>
          <w:szCs w:val="24"/>
        </w:rPr>
        <w:t xml:space="preserve">also </w:t>
      </w:r>
      <w:r w:rsidR="000923BE" w:rsidRPr="002661A8">
        <w:rPr>
          <w:rFonts w:ascii="Times New Roman" w:eastAsia="Calibri" w:hAnsi="Times New Roman" w:cs="Times New Roman"/>
          <w:noProof/>
          <w:sz w:val="24"/>
          <w:szCs w:val="24"/>
        </w:rPr>
        <w:t>simplify the process</w:t>
      </w:r>
      <w:r w:rsidR="00A972FF" w:rsidRPr="002661A8">
        <w:rPr>
          <w:rFonts w:ascii="Times New Roman" w:eastAsia="Calibri" w:hAnsi="Times New Roman" w:cs="Times New Roman"/>
          <w:noProof/>
          <w:sz w:val="24"/>
          <w:szCs w:val="24"/>
        </w:rPr>
        <w:t xml:space="preserve"> and enable EU CCPs to bring their products to market </w:t>
      </w:r>
      <w:r w:rsidR="00897490" w:rsidRPr="002661A8">
        <w:rPr>
          <w:rFonts w:ascii="Times New Roman" w:eastAsia="Calibri" w:hAnsi="Times New Roman" w:cs="Times New Roman"/>
          <w:noProof/>
          <w:sz w:val="24"/>
          <w:szCs w:val="24"/>
        </w:rPr>
        <w:t>quicker</w:t>
      </w:r>
      <w:r w:rsidR="00A972FF" w:rsidRPr="002661A8">
        <w:rPr>
          <w:rFonts w:ascii="Times New Roman" w:eastAsia="Calibri" w:hAnsi="Times New Roman" w:cs="Times New Roman"/>
          <w:noProof/>
          <w:sz w:val="24"/>
          <w:szCs w:val="24"/>
        </w:rPr>
        <w:t>, and at lower cost, and to react faster to changing market conditions</w:t>
      </w:r>
      <w:r w:rsidR="000923BE" w:rsidRPr="002661A8">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Similarly, this option would bring greater certainty to CCPs about which model changes need to be approved and which ones not, saving CCPs time and investments.</w:t>
      </w:r>
      <w:r w:rsidR="00BC78A5" w:rsidRPr="00BC78A5">
        <w:rPr>
          <w:noProof/>
        </w:rPr>
        <w:t xml:space="preserve"> </w:t>
      </w:r>
    </w:p>
    <w:p w14:paraId="30EBD81D" w14:textId="4B79E99D" w:rsidR="00A819B0" w:rsidRDefault="00A819B0" w:rsidP="00E36E82">
      <w:pPr>
        <w:spacing w:after="120" w:line="240" w:lineRule="auto"/>
        <w:jc w:val="both"/>
        <w:rPr>
          <w:rFonts w:ascii="Times New Roman" w:eastAsia="Calibri" w:hAnsi="Times New Roman" w:cs="Times New Roman"/>
          <w:noProof/>
          <w:sz w:val="24"/>
          <w:szCs w:val="24"/>
        </w:rPr>
      </w:pPr>
      <w:r w:rsidRPr="00A819B0">
        <w:rPr>
          <w:rFonts w:ascii="Times New Roman" w:eastAsia="Calibri" w:hAnsi="Times New Roman" w:cs="Times New Roman"/>
          <w:noProof/>
          <w:sz w:val="24"/>
          <w:szCs w:val="24"/>
        </w:rPr>
        <w:t xml:space="preserve">In the meeting with Member States on 16 June 2022, most representatives who expressed their view favoured exploring the setting up of a single point of contact where all CCP submissions could take place via a single digital platform and be immediately shared with the national competent authority (NCA), ESMA and the other authorities involved in that CCP’s supervision (e.g. college members). This would ensure work can be conducted in parallel, possibly shortening the process considerably. Another option that most Member States who expressed an opinion considered worth exploring further was to standardise more the documentation to be submitted by EU CCPs.  </w:t>
      </w:r>
    </w:p>
    <w:p w14:paraId="79299A9D" w14:textId="5BDBDB6E" w:rsidR="00F60EC8" w:rsidRPr="002661A8" w:rsidRDefault="005936DD" w:rsidP="00E36E82">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All those changes </w:t>
      </w:r>
      <w:r w:rsidR="000923BE" w:rsidRPr="002661A8">
        <w:rPr>
          <w:rFonts w:ascii="Times New Roman" w:eastAsia="Calibri" w:hAnsi="Times New Roman" w:cs="Times New Roman"/>
          <w:noProof/>
          <w:sz w:val="24"/>
          <w:szCs w:val="24"/>
        </w:rPr>
        <w:t>would enhanc</w:t>
      </w:r>
      <w:r w:rsidR="00E52DDE" w:rsidRPr="002661A8">
        <w:rPr>
          <w:rFonts w:ascii="Times New Roman" w:eastAsia="Calibri" w:hAnsi="Times New Roman" w:cs="Times New Roman"/>
          <w:noProof/>
          <w:sz w:val="24"/>
          <w:szCs w:val="24"/>
        </w:rPr>
        <w:t>e</w:t>
      </w:r>
      <w:r w:rsidR="000923BE" w:rsidRPr="002661A8">
        <w:rPr>
          <w:rFonts w:ascii="Times New Roman" w:eastAsia="Calibri" w:hAnsi="Times New Roman" w:cs="Times New Roman"/>
          <w:noProof/>
          <w:sz w:val="24"/>
          <w:szCs w:val="24"/>
        </w:rPr>
        <w:t xml:space="preserve"> the ability of EU CCPs to compete internationally</w:t>
      </w:r>
      <w:r w:rsidR="00FF249F" w:rsidRPr="002661A8">
        <w:rPr>
          <w:rFonts w:ascii="Times New Roman" w:eastAsia="Calibri" w:hAnsi="Times New Roman" w:cs="Times New Roman"/>
          <w:noProof/>
          <w:sz w:val="24"/>
          <w:szCs w:val="24"/>
        </w:rPr>
        <w:t xml:space="preserve"> and</w:t>
      </w:r>
      <w:r w:rsidR="00E52DDE" w:rsidRPr="002661A8">
        <w:rPr>
          <w:rFonts w:ascii="Times New Roman" w:eastAsia="Calibri" w:hAnsi="Times New Roman" w:cs="Times New Roman"/>
          <w:noProof/>
          <w:sz w:val="24"/>
          <w:szCs w:val="24"/>
        </w:rPr>
        <w:t xml:space="preserve"> would </w:t>
      </w:r>
      <w:r w:rsidR="002612E3" w:rsidRPr="002661A8">
        <w:rPr>
          <w:rFonts w:ascii="Times New Roman" w:eastAsia="Calibri" w:hAnsi="Times New Roman" w:cs="Times New Roman"/>
          <w:noProof/>
          <w:sz w:val="24"/>
          <w:szCs w:val="24"/>
        </w:rPr>
        <w:t>not</w:t>
      </w:r>
      <w:r w:rsidR="00F60EC8" w:rsidRPr="002661A8">
        <w:rPr>
          <w:rFonts w:ascii="Times New Roman" w:eastAsia="Calibri" w:hAnsi="Times New Roman" w:cs="Times New Roman"/>
          <w:noProof/>
          <w:sz w:val="24"/>
          <w:szCs w:val="24"/>
        </w:rPr>
        <w:t xml:space="preserve"> </w:t>
      </w:r>
      <w:r w:rsidR="00E52DDE" w:rsidRPr="002661A8">
        <w:rPr>
          <w:rFonts w:ascii="Times New Roman" w:eastAsia="Calibri" w:hAnsi="Times New Roman" w:cs="Times New Roman"/>
          <w:noProof/>
          <w:sz w:val="24"/>
          <w:szCs w:val="24"/>
        </w:rPr>
        <w:t>compromis</w:t>
      </w:r>
      <w:r w:rsidR="002612E3" w:rsidRPr="002661A8">
        <w:rPr>
          <w:rFonts w:ascii="Times New Roman" w:eastAsia="Calibri" w:hAnsi="Times New Roman" w:cs="Times New Roman"/>
          <w:noProof/>
          <w:sz w:val="24"/>
          <w:szCs w:val="24"/>
        </w:rPr>
        <w:t>e</w:t>
      </w:r>
      <w:r w:rsidR="00F60EC8" w:rsidRPr="002661A8">
        <w:rPr>
          <w:rFonts w:ascii="Times New Roman" w:eastAsia="Calibri" w:hAnsi="Times New Roman" w:cs="Times New Roman"/>
          <w:noProof/>
          <w:sz w:val="24"/>
          <w:szCs w:val="24"/>
        </w:rPr>
        <w:t xml:space="preserve"> financial stability</w:t>
      </w:r>
      <w:r w:rsidR="006621E8" w:rsidRPr="002661A8">
        <w:rPr>
          <w:rFonts w:ascii="Times New Roman" w:eastAsia="Calibri" w:hAnsi="Times New Roman" w:cs="Times New Roman"/>
          <w:noProof/>
          <w:sz w:val="24"/>
          <w:szCs w:val="24"/>
        </w:rPr>
        <w:t>, as the necessary checks would remain in place</w:t>
      </w:r>
      <w:r w:rsidR="00C54746">
        <w:rPr>
          <w:rFonts w:ascii="Times New Roman" w:eastAsia="Calibri" w:hAnsi="Times New Roman" w:cs="Times New Roman"/>
          <w:noProof/>
          <w:sz w:val="24"/>
          <w:szCs w:val="24"/>
        </w:rPr>
        <w:t>, but more proportionate and efficient where justified</w:t>
      </w:r>
      <w:r w:rsidR="000923BE" w:rsidRPr="002661A8">
        <w:rPr>
          <w:rFonts w:ascii="Times New Roman" w:eastAsia="Calibri" w:hAnsi="Times New Roman" w:cs="Times New Roman"/>
          <w:noProof/>
          <w:sz w:val="24"/>
          <w:szCs w:val="24"/>
        </w:rPr>
        <w:t xml:space="preserve">. </w:t>
      </w:r>
      <w:r w:rsidR="000923BE" w:rsidRPr="00153A50">
        <w:rPr>
          <w:rFonts w:ascii="Times New Roman" w:eastAsia="Calibri" w:hAnsi="Times New Roman" w:cs="Times New Roman"/>
          <w:noProof/>
          <w:sz w:val="24"/>
          <w:szCs w:val="24"/>
        </w:rPr>
        <w:t xml:space="preserve">However, this option </w:t>
      </w:r>
      <w:r w:rsidR="007F2BC9" w:rsidRPr="00153A50">
        <w:rPr>
          <w:rFonts w:ascii="Times New Roman" w:eastAsia="Calibri" w:hAnsi="Times New Roman" w:cs="Times New Roman"/>
          <w:noProof/>
          <w:sz w:val="24"/>
          <w:szCs w:val="24"/>
        </w:rPr>
        <w:t>does not address</w:t>
      </w:r>
      <w:r w:rsidR="000923BE" w:rsidRPr="00153A50" w:rsidDel="00F6626B">
        <w:rPr>
          <w:rFonts w:ascii="Times New Roman" w:eastAsia="Calibri" w:hAnsi="Times New Roman" w:cs="Times New Roman"/>
          <w:noProof/>
          <w:sz w:val="24"/>
          <w:szCs w:val="24"/>
        </w:rPr>
        <w:t xml:space="preserve"> </w:t>
      </w:r>
      <w:r w:rsidR="000923BE" w:rsidRPr="00153A50">
        <w:rPr>
          <w:rFonts w:ascii="Times New Roman" w:eastAsia="Calibri" w:hAnsi="Times New Roman" w:cs="Times New Roman"/>
          <w:noProof/>
          <w:sz w:val="24"/>
          <w:szCs w:val="24"/>
        </w:rPr>
        <w:t>new activities or changes that are of lower impact/less significant</w:t>
      </w:r>
      <w:r w:rsidR="00361C10" w:rsidRPr="00153A50">
        <w:rPr>
          <w:rFonts w:ascii="Times New Roman" w:eastAsia="Calibri" w:hAnsi="Times New Roman" w:cs="Times New Roman"/>
          <w:noProof/>
          <w:sz w:val="24"/>
          <w:szCs w:val="24"/>
        </w:rPr>
        <w:t>,</w:t>
      </w:r>
      <w:r w:rsidR="000923BE" w:rsidRPr="00153A50">
        <w:rPr>
          <w:rFonts w:ascii="Times New Roman" w:eastAsia="Calibri" w:hAnsi="Times New Roman" w:cs="Times New Roman"/>
          <w:noProof/>
          <w:sz w:val="24"/>
          <w:szCs w:val="24"/>
        </w:rPr>
        <w:t xml:space="preserve"> </w:t>
      </w:r>
      <w:r w:rsidR="00361C10" w:rsidRPr="00153A50">
        <w:rPr>
          <w:rFonts w:ascii="Times New Roman" w:eastAsia="Calibri" w:hAnsi="Times New Roman" w:cs="Times New Roman"/>
          <w:noProof/>
          <w:sz w:val="24"/>
          <w:szCs w:val="24"/>
        </w:rPr>
        <w:t>which</w:t>
      </w:r>
      <w:r w:rsidR="000923BE" w:rsidRPr="00153A50">
        <w:rPr>
          <w:rFonts w:ascii="Times New Roman" w:eastAsia="Calibri" w:hAnsi="Times New Roman" w:cs="Times New Roman"/>
          <w:noProof/>
          <w:sz w:val="24"/>
          <w:szCs w:val="24"/>
        </w:rPr>
        <w:t xml:space="preserve"> may deserve a</w:t>
      </w:r>
      <w:r w:rsidR="00103546" w:rsidRPr="00153A50">
        <w:rPr>
          <w:rFonts w:ascii="Times New Roman" w:eastAsia="Calibri" w:hAnsi="Times New Roman" w:cs="Times New Roman"/>
          <w:noProof/>
          <w:sz w:val="24"/>
          <w:szCs w:val="24"/>
        </w:rPr>
        <w:t>n even</w:t>
      </w:r>
      <w:r w:rsidR="000923BE" w:rsidRPr="00153A50">
        <w:rPr>
          <w:rFonts w:ascii="Times New Roman" w:eastAsia="Calibri" w:hAnsi="Times New Roman" w:cs="Times New Roman"/>
          <w:noProof/>
          <w:sz w:val="24"/>
          <w:szCs w:val="24"/>
        </w:rPr>
        <w:t xml:space="preserve"> simpler procedure</w:t>
      </w:r>
      <w:r w:rsidR="00FF249F" w:rsidRPr="00153A50">
        <w:rPr>
          <w:rFonts w:ascii="Times New Roman" w:eastAsia="Calibri" w:hAnsi="Times New Roman" w:cs="Times New Roman"/>
          <w:noProof/>
          <w:sz w:val="24"/>
          <w:szCs w:val="24"/>
        </w:rPr>
        <w:t xml:space="preserve"> as highlighted in the </w:t>
      </w:r>
      <w:r w:rsidR="00F6626B" w:rsidRPr="00153A50">
        <w:rPr>
          <w:rFonts w:ascii="Times New Roman" w:eastAsia="Calibri" w:hAnsi="Times New Roman" w:cs="Times New Roman"/>
          <w:noProof/>
          <w:sz w:val="24"/>
          <w:szCs w:val="24"/>
        </w:rPr>
        <w:t xml:space="preserve">targeted </w:t>
      </w:r>
      <w:r w:rsidR="00FF249F" w:rsidRPr="00153A50">
        <w:rPr>
          <w:rFonts w:ascii="Times New Roman" w:eastAsia="Calibri" w:hAnsi="Times New Roman" w:cs="Times New Roman"/>
          <w:noProof/>
          <w:sz w:val="24"/>
          <w:szCs w:val="24"/>
        </w:rPr>
        <w:t>consultation</w:t>
      </w:r>
      <w:r w:rsidR="00E026E6" w:rsidRPr="00153A50">
        <w:rPr>
          <w:rFonts w:ascii="Times New Roman" w:eastAsia="Calibri" w:hAnsi="Times New Roman" w:cs="Times New Roman"/>
          <w:noProof/>
          <w:sz w:val="24"/>
          <w:szCs w:val="24"/>
        </w:rPr>
        <w:t>.</w:t>
      </w:r>
      <w:r w:rsidR="00FF249F" w:rsidRPr="00153A50">
        <w:rPr>
          <w:rStyle w:val="FootnoteReference"/>
          <w:rFonts w:ascii="Times New Roman" w:eastAsia="Calibri" w:hAnsi="Times New Roman" w:cs="Times New Roman"/>
          <w:noProof/>
          <w:sz w:val="24"/>
          <w:szCs w:val="24"/>
        </w:rPr>
        <w:footnoteReference w:id="122"/>
      </w:r>
    </w:p>
    <w:p w14:paraId="41E424AD" w14:textId="6B082714" w:rsidR="00C047E6" w:rsidRPr="002661A8" w:rsidRDefault="00F60EC8" w:rsidP="00E36E82">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EU CCPs that can compete for business more efficiently should </w:t>
      </w:r>
      <w:r w:rsidR="00A53C6F" w:rsidRPr="002661A8">
        <w:rPr>
          <w:rFonts w:ascii="Times New Roman" w:eastAsia="Calibri" w:hAnsi="Times New Roman" w:cs="Times New Roman"/>
          <w:noProof/>
          <w:sz w:val="24"/>
          <w:szCs w:val="24"/>
        </w:rPr>
        <w:t>be able to</w:t>
      </w:r>
      <w:r w:rsidRPr="002661A8">
        <w:rPr>
          <w:rFonts w:ascii="Times New Roman" w:eastAsia="Calibri" w:hAnsi="Times New Roman" w:cs="Times New Roman"/>
          <w:noProof/>
          <w:sz w:val="24"/>
          <w:szCs w:val="24"/>
        </w:rPr>
        <w:t xml:space="preserve"> attract business, as a number of market participants underlined th</w:t>
      </w:r>
      <w:r w:rsidR="00C047E6" w:rsidRPr="002661A8">
        <w:rPr>
          <w:rFonts w:ascii="Times New Roman" w:eastAsia="Calibri" w:hAnsi="Times New Roman" w:cs="Times New Roman"/>
          <w:noProof/>
          <w:sz w:val="24"/>
          <w:szCs w:val="24"/>
        </w:rPr>
        <w:t>at the availability of a wider range of products in EU CCPs.</w:t>
      </w:r>
      <w:r w:rsidR="00C047E6" w:rsidRPr="002661A8">
        <w:rPr>
          <w:rStyle w:val="FootnoteReference"/>
          <w:rFonts w:ascii="Times New Roman" w:eastAsia="Calibri" w:hAnsi="Times New Roman" w:cs="Times New Roman"/>
          <w:noProof/>
          <w:sz w:val="24"/>
          <w:szCs w:val="24"/>
        </w:rPr>
        <w:footnoteReference w:id="123"/>
      </w:r>
      <w:r w:rsidR="000C5DFA" w:rsidRPr="002661A8">
        <w:rPr>
          <w:rFonts w:ascii="Times New Roman" w:eastAsia="Calibri" w:hAnsi="Times New Roman" w:cs="Times New Roman"/>
          <w:noProof/>
          <w:sz w:val="24"/>
          <w:szCs w:val="24"/>
        </w:rPr>
        <w:t xml:space="preserve"> </w:t>
      </w:r>
      <w:r w:rsidR="00767D3C">
        <w:rPr>
          <w:rFonts w:ascii="Times New Roman" w:eastAsia="Calibri" w:hAnsi="Times New Roman" w:cs="Times New Roman"/>
          <w:noProof/>
          <w:sz w:val="24"/>
          <w:szCs w:val="24"/>
        </w:rPr>
        <w:t>The</w:t>
      </w:r>
      <w:r w:rsidR="00091519">
        <w:rPr>
          <w:rFonts w:ascii="Times New Roman" w:eastAsia="Calibri" w:hAnsi="Times New Roman" w:cs="Times New Roman"/>
          <w:noProof/>
          <w:sz w:val="24"/>
          <w:szCs w:val="24"/>
        </w:rPr>
        <w:t xml:space="preserve"> increased market offer </w:t>
      </w:r>
      <w:r w:rsidR="00767D3C">
        <w:rPr>
          <w:rFonts w:ascii="Times New Roman" w:eastAsia="Calibri" w:hAnsi="Times New Roman" w:cs="Times New Roman"/>
          <w:noProof/>
          <w:sz w:val="24"/>
          <w:szCs w:val="24"/>
        </w:rPr>
        <w:t xml:space="preserve">could with time </w:t>
      </w:r>
      <w:r w:rsidR="00AD1041" w:rsidRPr="002661A8">
        <w:rPr>
          <w:rFonts w:ascii="Times New Roman" w:eastAsia="Calibri" w:hAnsi="Times New Roman" w:cs="Times New Roman"/>
          <w:noProof/>
          <w:sz w:val="24"/>
          <w:szCs w:val="24"/>
        </w:rPr>
        <w:t xml:space="preserve">contribute to achieving the second specific objective of encouraging clearing in EU CCPs, </w:t>
      </w:r>
      <w:r w:rsidR="00A972FF" w:rsidRPr="002661A8">
        <w:rPr>
          <w:rFonts w:ascii="Times New Roman" w:eastAsia="Calibri" w:hAnsi="Times New Roman" w:cs="Times New Roman"/>
          <w:noProof/>
          <w:sz w:val="24"/>
          <w:szCs w:val="24"/>
        </w:rPr>
        <w:t xml:space="preserve">and </w:t>
      </w:r>
      <w:r w:rsidR="00767D3C" w:rsidRPr="00767D3C">
        <w:rPr>
          <w:rFonts w:ascii="Times New Roman" w:eastAsia="Calibri" w:hAnsi="Times New Roman" w:cs="Times New Roman"/>
          <w:noProof/>
          <w:sz w:val="24"/>
          <w:szCs w:val="24"/>
        </w:rPr>
        <w:t>could indirectly lead to a</w:t>
      </w:r>
      <w:r w:rsidR="00767D3C" w:rsidRPr="002661A8">
        <w:rPr>
          <w:rFonts w:ascii="Times New Roman" w:eastAsia="Calibri" w:hAnsi="Times New Roman" w:cs="Times New Roman"/>
          <w:noProof/>
          <w:sz w:val="24"/>
          <w:szCs w:val="24"/>
        </w:rPr>
        <w:t xml:space="preserve"> </w:t>
      </w:r>
      <w:r w:rsidR="00AD1041" w:rsidRPr="002661A8">
        <w:rPr>
          <w:rFonts w:ascii="Times New Roman" w:eastAsia="Calibri" w:hAnsi="Times New Roman" w:cs="Times New Roman"/>
          <w:noProof/>
          <w:sz w:val="24"/>
          <w:szCs w:val="24"/>
        </w:rPr>
        <w:t>reduc</w:t>
      </w:r>
      <w:r w:rsidR="00767D3C">
        <w:rPr>
          <w:rFonts w:ascii="Times New Roman" w:eastAsia="Calibri" w:hAnsi="Times New Roman" w:cs="Times New Roman"/>
          <w:noProof/>
          <w:sz w:val="24"/>
          <w:szCs w:val="24"/>
        </w:rPr>
        <w:t>tion</w:t>
      </w:r>
      <w:r w:rsidR="00AD1041" w:rsidRPr="002661A8">
        <w:rPr>
          <w:rFonts w:ascii="Times New Roman" w:eastAsia="Calibri" w:hAnsi="Times New Roman" w:cs="Times New Roman"/>
          <w:noProof/>
          <w:sz w:val="24"/>
          <w:szCs w:val="24"/>
        </w:rPr>
        <w:t xml:space="preserve"> </w:t>
      </w:r>
      <w:r w:rsidR="00767D3C">
        <w:rPr>
          <w:rFonts w:ascii="Times New Roman" w:eastAsia="Calibri" w:hAnsi="Times New Roman" w:cs="Times New Roman"/>
          <w:noProof/>
          <w:sz w:val="24"/>
          <w:szCs w:val="24"/>
        </w:rPr>
        <w:t xml:space="preserve">of </w:t>
      </w:r>
      <w:r w:rsidRPr="002661A8">
        <w:rPr>
          <w:rFonts w:ascii="Times New Roman" w:eastAsia="Calibri" w:hAnsi="Times New Roman" w:cs="Times New Roman"/>
          <w:noProof/>
          <w:sz w:val="24"/>
          <w:szCs w:val="24"/>
        </w:rPr>
        <w:t xml:space="preserve">the </w:t>
      </w:r>
      <w:r w:rsidR="00035044" w:rsidRPr="002661A8">
        <w:rPr>
          <w:rFonts w:ascii="Times New Roman" w:eastAsia="Calibri" w:hAnsi="Times New Roman" w:cs="Times New Roman"/>
          <w:noProof/>
          <w:sz w:val="24"/>
          <w:szCs w:val="24"/>
        </w:rPr>
        <w:t xml:space="preserve">over-reliance </w:t>
      </w:r>
      <w:r w:rsidRPr="002661A8">
        <w:rPr>
          <w:rFonts w:ascii="Times New Roman" w:eastAsia="Calibri" w:hAnsi="Times New Roman" w:cs="Times New Roman"/>
          <w:noProof/>
          <w:sz w:val="24"/>
          <w:szCs w:val="24"/>
        </w:rPr>
        <w:t xml:space="preserve">on third-country CCPs and </w:t>
      </w:r>
      <w:r w:rsidR="00103546" w:rsidRPr="002661A8">
        <w:rPr>
          <w:rFonts w:ascii="Times New Roman" w:eastAsia="Calibri" w:hAnsi="Times New Roman" w:cs="Times New Roman"/>
          <w:noProof/>
          <w:sz w:val="24"/>
          <w:szCs w:val="24"/>
        </w:rPr>
        <w:t xml:space="preserve">the ensuing </w:t>
      </w:r>
      <w:r w:rsidRPr="002661A8">
        <w:rPr>
          <w:rFonts w:ascii="Times New Roman" w:eastAsia="Calibri" w:hAnsi="Times New Roman" w:cs="Times New Roman"/>
          <w:noProof/>
          <w:sz w:val="24"/>
          <w:szCs w:val="24"/>
        </w:rPr>
        <w:t xml:space="preserve">risks to financial stability. </w:t>
      </w:r>
    </w:p>
    <w:p w14:paraId="50FBEEBB" w14:textId="45108680" w:rsidR="000923BE" w:rsidRPr="002661A8" w:rsidRDefault="00F60EC8" w:rsidP="00E36E82">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In terms of </w:t>
      </w:r>
      <w:r w:rsidR="00AD1041" w:rsidRPr="002661A8">
        <w:rPr>
          <w:rFonts w:ascii="Times New Roman" w:eastAsia="Calibri" w:hAnsi="Times New Roman" w:cs="Times New Roman"/>
          <w:noProof/>
          <w:sz w:val="24"/>
          <w:szCs w:val="24"/>
        </w:rPr>
        <w:t xml:space="preserve">the third specific objective (i.e. </w:t>
      </w:r>
      <w:r w:rsidR="009F7D16" w:rsidRPr="002661A8">
        <w:rPr>
          <w:rFonts w:ascii="Times New Roman" w:eastAsia="Calibri" w:hAnsi="Times New Roman" w:cs="Times New Roman"/>
          <w:noProof/>
          <w:sz w:val="24"/>
          <w:szCs w:val="24"/>
        </w:rPr>
        <w:t>consideration of cross border risks</w:t>
      </w:r>
      <w:r w:rsidR="006532A2" w:rsidRPr="002661A8">
        <w:rPr>
          <w:rFonts w:ascii="Times New Roman" w:eastAsia="Calibri" w:hAnsi="Times New Roman" w:cs="Times New Roman"/>
          <w:noProof/>
          <w:sz w:val="24"/>
          <w:szCs w:val="24"/>
        </w:rPr>
        <w:t>)</w:t>
      </w:r>
      <w:r w:rsidR="009F7D16" w:rsidRPr="002661A8">
        <w:rPr>
          <w:rFonts w:ascii="Times New Roman" w:eastAsia="Calibri" w:hAnsi="Times New Roman" w:cs="Times New Roman"/>
          <w:noProof/>
          <w:sz w:val="24"/>
          <w:szCs w:val="24"/>
        </w:rPr>
        <w:t xml:space="preserve">, this option could </w:t>
      </w:r>
      <w:r w:rsidR="006F6A3C" w:rsidRPr="002661A8">
        <w:rPr>
          <w:rFonts w:ascii="Times New Roman" w:eastAsia="Calibri" w:hAnsi="Times New Roman" w:cs="Times New Roman"/>
          <w:noProof/>
          <w:sz w:val="24"/>
          <w:szCs w:val="24"/>
        </w:rPr>
        <w:t xml:space="preserve">broaden the choice of market participants </w:t>
      </w:r>
      <w:r w:rsidR="002612E3" w:rsidRPr="002661A8">
        <w:rPr>
          <w:rFonts w:ascii="Times New Roman" w:eastAsia="Calibri" w:hAnsi="Times New Roman" w:cs="Times New Roman"/>
          <w:noProof/>
          <w:sz w:val="24"/>
          <w:szCs w:val="24"/>
        </w:rPr>
        <w:t>for</w:t>
      </w:r>
      <w:r w:rsidR="006F6A3C" w:rsidRPr="002661A8">
        <w:rPr>
          <w:rFonts w:ascii="Times New Roman" w:eastAsia="Calibri" w:hAnsi="Times New Roman" w:cs="Times New Roman"/>
          <w:noProof/>
          <w:sz w:val="24"/>
          <w:szCs w:val="24"/>
        </w:rPr>
        <w:t xml:space="preserve"> where to clear</w:t>
      </w:r>
      <w:r w:rsidR="009F7D16" w:rsidRPr="002661A8">
        <w:rPr>
          <w:rFonts w:ascii="Times New Roman" w:eastAsia="Calibri" w:hAnsi="Times New Roman" w:cs="Times New Roman"/>
          <w:noProof/>
          <w:sz w:val="24"/>
          <w:szCs w:val="24"/>
        </w:rPr>
        <w:t xml:space="preserve">, </w:t>
      </w:r>
      <w:r w:rsidR="006F6A3C" w:rsidRPr="002661A8">
        <w:rPr>
          <w:rFonts w:ascii="Times New Roman" w:eastAsia="Calibri" w:hAnsi="Times New Roman" w:cs="Times New Roman"/>
          <w:noProof/>
          <w:sz w:val="24"/>
          <w:szCs w:val="24"/>
        </w:rPr>
        <w:t xml:space="preserve">offering alternatives to the benefit of </w:t>
      </w:r>
      <w:r w:rsidR="007A0DF6" w:rsidRPr="002661A8">
        <w:rPr>
          <w:rFonts w:ascii="Times New Roman" w:eastAsia="Calibri" w:hAnsi="Times New Roman" w:cs="Times New Roman"/>
          <w:noProof/>
          <w:sz w:val="24"/>
          <w:szCs w:val="24"/>
        </w:rPr>
        <w:t xml:space="preserve">financial stability and possibly </w:t>
      </w:r>
      <w:r w:rsidR="002612E3" w:rsidRPr="002661A8">
        <w:rPr>
          <w:rFonts w:ascii="Times New Roman" w:eastAsia="Calibri" w:hAnsi="Times New Roman" w:cs="Times New Roman"/>
          <w:noProof/>
          <w:sz w:val="24"/>
          <w:szCs w:val="24"/>
        </w:rPr>
        <w:t>helping to</w:t>
      </w:r>
      <w:r w:rsidR="007A0DF6" w:rsidRPr="002661A8">
        <w:rPr>
          <w:rFonts w:ascii="Times New Roman" w:eastAsia="Calibri" w:hAnsi="Times New Roman" w:cs="Times New Roman"/>
          <w:noProof/>
          <w:sz w:val="24"/>
          <w:szCs w:val="24"/>
        </w:rPr>
        <w:t xml:space="preserve"> reduc</w:t>
      </w:r>
      <w:r w:rsidR="002612E3" w:rsidRPr="002661A8">
        <w:rPr>
          <w:rFonts w:ascii="Times New Roman" w:eastAsia="Calibri" w:hAnsi="Times New Roman" w:cs="Times New Roman"/>
          <w:noProof/>
          <w:sz w:val="24"/>
          <w:szCs w:val="24"/>
        </w:rPr>
        <w:t>e the</w:t>
      </w:r>
      <w:r w:rsidR="007A0DF6" w:rsidRPr="002661A8">
        <w:rPr>
          <w:rFonts w:ascii="Times New Roman" w:eastAsia="Calibri" w:hAnsi="Times New Roman" w:cs="Times New Roman"/>
          <w:noProof/>
          <w:sz w:val="24"/>
          <w:szCs w:val="24"/>
        </w:rPr>
        <w:t xml:space="preserve"> over-reliance on third-country CCPs. However, this option</w:t>
      </w:r>
      <w:r w:rsidR="009F7D16" w:rsidRPr="002661A8">
        <w:rPr>
          <w:rFonts w:ascii="Times New Roman" w:eastAsia="Calibri" w:hAnsi="Times New Roman" w:cs="Times New Roman"/>
          <w:noProof/>
          <w:sz w:val="24"/>
          <w:szCs w:val="24"/>
        </w:rPr>
        <w:t xml:space="preserve"> would not </w:t>
      </w:r>
      <w:r w:rsidR="007A0DF6" w:rsidRPr="002661A8">
        <w:rPr>
          <w:rFonts w:ascii="Times New Roman" w:eastAsia="Calibri" w:hAnsi="Times New Roman" w:cs="Times New Roman"/>
          <w:noProof/>
          <w:sz w:val="24"/>
          <w:szCs w:val="24"/>
        </w:rPr>
        <w:t xml:space="preserve">address directly </w:t>
      </w:r>
      <w:r w:rsidR="009F7D16" w:rsidRPr="002661A8">
        <w:rPr>
          <w:rFonts w:ascii="Times New Roman" w:eastAsia="Calibri" w:hAnsi="Times New Roman" w:cs="Times New Roman"/>
          <w:noProof/>
          <w:sz w:val="24"/>
          <w:szCs w:val="24"/>
        </w:rPr>
        <w:t xml:space="preserve">the </w:t>
      </w:r>
      <w:r w:rsidR="007A0DF6" w:rsidRPr="002661A8">
        <w:rPr>
          <w:rFonts w:ascii="Times New Roman" w:eastAsia="Calibri" w:hAnsi="Times New Roman" w:cs="Times New Roman"/>
          <w:noProof/>
          <w:sz w:val="24"/>
          <w:szCs w:val="24"/>
        </w:rPr>
        <w:t xml:space="preserve">need </w:t>
      </w:r>
      <w:r w:rsidR="00F6626B" w:rsidRPr="002661A8">
        <w:rPr>
          <w:rFonts w:ascii="Times New Roman" w:eastAsia="Calibri" w:hAnsi="Times New Roman" w:cs="Times New Roman"/>
          <w:noProof/>
          <w:sz w:val="24"/>
          <w:szCs w:val="24"/>
        </w:rPr>
        <w:t xml:space="preserve">to enhance the assessment and management of </w:t>
      </w:r>
      <w:r w:rsidR="00DF1370" w:rsidRPr="002661A8">
        <w:rPr>
          <w:rFonts w:ascii="Times New Roman" w:eastAsia="Calibri" w:hAnsi="Times New Roman" w:cs="Times New Roman"/>
          <w:noProof/>
          <w:sz w:val="24"/>
          <w:szCs w:val="24"/>
        </w:rPr>
        <w:t>cross-bo</w:t>
      </w:r>
      <w:r w:rsidR="000B7018" w:rsidRPr="002661A8">
        <w:rPr>
          <w:rFonts w:ascii="Times New Roman" w:eastAsia="Calibri" w:hAnsi="Times New Roman" w:cs="Times New Roman"/>
          <w:noProof/>
          <w:sz w:val="24"/>
          <w:szCs w:val="24"/>
        </w:rPr>
        <w:t>r</w:t>
      </w:r>
      <w:r w:rsidR="00DF1370" w:rsidRPr="002661A8">
        <w:rPr>
          <w:rFonts w:ascii="Times New Roman" w:eastAsia="Calibri" w:hAnsi="Times New Roman" w:cs="Times New Roman"/>
          <w:noProof/>
          <w:sz w:val="24"/>
          <w:szCs w:val="24"/>
        </w:rPr>
        <w:t xml:space="preserve">der </w:t>
      </w:r>
      <w:r w:rsidR="009F7D16" w:rsidRPr="002661A8">
        <w:rPr>
          <w:rFonts w:ascii="Times New Roman" w:eastAsia="Calibri" w:hAnsi="Times New Roman" w:cs="Times New Roman"/>
          <w:noProof/>
          <w:sz w:val="24"/>
          <w:szCs w:val="24"/>
        </w:rPr>
        <w:t>risks.</w:t>
      </w:r>
    </w:p>
    <w:p w14:paraId="6C026415" w14:textId="77777777" w:rsidR="000923BE" w:rsidRPr="002661A8" w:rsidRDefault="000923BE" w:rsidP="000923BE">
      <w:pPr>
        <w:tabs>
          <w:tab w:val="left" w:pos="2302"/>
        </w:tabs>
        <w:spacing w:after="120" w:line="240" w:lineRule="auto"/>
        <w:jc w:val="both"/>
        <w:rPr>
          <w:rFonts w:ascii="Times New Roman" w:eastAsia="Times New Roman" w:hAnsi="Times New Roman" w:cs="Times New Roman"/>
          <w:noProof/>
          <w:sz w:val="24"/>
          <w:szCs w:val="24"/>
          <w:u w:val="single"/>
        </w:rPr>
      </w:pPr>
      <w:r w:rsidRPr="002661A8">
        <w:rPr>
          <w:rFonts w:ascii="Times New Roman" w:eastAsia="Times New Roman" w:hAnsi="Times New Roman" w:cs="Times New Roman"/>
          <w:noProof/>
          <w:sz w:val="24"/>
          <w:szCs w:val="24"/>
          <w:u w:val="single"/>
        </w:rPr>
        <w:t>Coherence</w:t>
      </w:r>
    </w:p>
    <w:p w14:paraId="32C6744A" w14:textId="7ACEC921" w:rsidR="000923BE" w:rsidRPr="002661A8" w:rsidRDefault="000923BE" w:rsidP="00E36E82">
      <w:pPr>
        <w:spacing w:after="120" w:line="240" w:lineRule="auto"/>
        <w:jc w:val="both"/>
        <w:rPr>
          <w:rStyle w:val="CommentReference"/>
          <w:noProof/>
        </w:rPr>
      </w:pPr>
      <w:r w:rsidRPr="002661A8">
        <w:rPr>
          <w:rFonts w:ascii="Times New Roman" w:eastAsia="Calibri" w:hAnsi="Times New Roman" w:cs="Times New Roman"/>
          <w:noProof/>
          <w:sz w:val="24"/>
          <w:szCs w:val="24"/>
        </w:rPr>
        <w:t xml:space="preserve">This option </w:t>
      </w:r>
      <w:r w:rsidR="00B9677C" w:rsidRPr="002661A8">
        <w:rPr>
          <w:rFonts w:ascii="Times New Roman" w:eastAsia="Calibri" w:hAnsi="Times New Roman" w:cs="Times New Roman"/>
          <w:noProof/>
          <w:sz w:val="24"/>
          <w:szCs w:val="24"/>
        </w:rPr>
        <w:t xml:space="preserve">would </w:t>
      </w:r>
      <w:r w:rsidRPr="002661A8">
        <w:rPr>
          <w:rFonts w:ascii="Times New Roman" w:eastAsia="Calibri" w:hAnsi="Times New Roman" w:cs="Times New Roman"/>
          <w:noProof/>
          <w:sz w:val="24"/>
          <w:szCs w:val="24"/>
        </w:rPr>
        <w:t xml:space="preserve">streamline the procedures </w:t>
      </w:r>
      <w:r w:rsidR="005176B8" w:rsidRPr="002661A8">
        <w:rPr>
          <w:rFonts w:ascii="Times New Roman" w:eastAsia="Calibri" w:hAnsi="Times New Roman" w:cs="Times New Roman"/>
          <w:noProof/>
          <w:sz w:val="24"/>
          <w:szCs w:val="24"/>
        </w:rPr>
        <w:t xml:space="preserve">for CCPs </w:t>
      </w:r>
      <w:r w:rsidRPr="002661A8">
        <w:rPr>
          <w:rFonts w:ascii="Times New Roman" w:eastAsia="Calibri" w:hAnsi="Times New Roman" w:cs="Times New Roman"/>
          <w:noProof/>
          <w:sz w:val="24"/>
          <w:szCs w:val="24"/>
        </w:rPr>
        <w:t xml:space="preserve">to launch new activities and change risk models and parameters. </w:t>
      </w:r>
      <w:r w:rsidR="005176B8" w:rsidRPr="002661A8">
        <w:rPr>
          <w:rFonts w:ascii="Times New Roman" w:eastAsia="Calibri" w:hAnsi="Times New Roman" w:cs="Times New Roman"/>
          <w:noProof/>
          <w:sz w:val="24"/>
          <w:szCs w:val="24"/>
        </w:rPr>
        <w:t>As such</w:t>
      </w:r>
      <w:r w:rsidRPr="002661A8">
        <w:rPr>
          <w:rFonts w:ascii="Times New Roman" w:eastAsia="Calibri" w:hAnsi="Times New Roman" w:cs="Times New Roman"/>
          <w:noProof/>
          <w:sz w:val="24"/>
          <w:szCs w:val="24"/>
        </w:rPr>
        <w:t xml:space="preserve">, it also fully </w:t>
      </w:r>
      <w:r w:rsidR="00FE2CA1" w:rsidRPr="002661A8">
        <w:rPr>
          <w:rFonts w:ascii="Times New Roman" w:eastAsia="Calibri" w:hAnsi="Times New Roman" w:cs="Times New Roman"/>
          <w:noProof/>
          <w:sz w:val="24"/>
          <w:szCs w:val="24"/>
        </w:rPr>
        <w:t>contributes to</w:t>
      </w:r>
      <w:r w:rsidRPr="002661A8">
        <w:rPr>
          <w:rFonts w:ascii="Times New Roman" w:eastAsia="Calibri" w:hAnsi="Times New Roman" w:cs="Times New Roman"/>
          <w:noProof/>
          <w:sz w:val="24"/>
          <w:szCs w:val="24"/>
        </w:rPr>
        <w:t xml:space="preserve"> the objective of strengthening the </w:t>
      </w:r>
      <w:r w:rsidR="00C5309D" w:rsidRPr="002661A8">
        <w:rPr>
          <w:rFonts w:ascii="Times New Roman" w:eastAsia="Calibri" w:hAnsi="Times New Roman" w:cs="Times New Roman"/>
          <w:noProof/>
          <w:sz w:val="24"/>
          <w:szCs w:val="24"/>
        </w:rPr>
        <w:t>CMU</w:t>
      </w:r>
      <w:r w:rsidRPr="002661A8">
        <w:rPr>
          <w:rFonts w:ascii="Times New Roman" w:eastAsia="Calibri" w:hAnsi="Times New Roman" w:cs="Times New Roman"/>
          <w:noProof/>
          <w:sz w:val="24"/>
          <w:szCs w:val="24"/>
        </w:rPr>
        <w:t xml:space="preserve"> by </w:t>
      </w:r>
      <w:r w:rsidR="00FD2039" w:rsidRPr="002661A8">
        <w:rPr>
          <w:rFonts w:ascii="Times New Roman" w:eastAsia="Calibri" w:hAnsi="Times New Roman" w:cs="Times New Roman"/>
          <w:noProof/>
          <w:sz w:val="24"/>
          <w:szCs w:val="24"/>
        </w:rPr>
        <w:t>building</w:t>
      </w:r>
      <w:r w:rsidRPr="002661A8">
        <w:rPr>
          <w:rFonts w:ascii="Times New Roman" w:eastAsia="Calibri" w:hAnsi="Times New Roman" w:cs="Times New Roman"/>
          <w:noProof/>
          <w:sz w:val="24"/>
          <w:szCs w:val="24"/>
        </w:rPr>
        <w:t xml:space="preserve"> efficient </w:t>
      </w:r>
      <w:r w:rsidR="00C70A17" w:rsidRPr="002661A8">
        <w:rPr>
          <w:rFonts w:ascii="Times New Roman" w:eastAsia="Calibri" w:hAnsi="Times New Roman" w:cs="Times New Roman"/>
          <w:noProof/>
          <w:sz w:val="24"/>
          <w:szCs w:val="24"/>
        </w:rPr>
        <w:t>market infrastructure</w:t>
      </w:r>
      <w:r w:rsidR="002612E3" w:rsidRPr="002661A8">
        <w:rPr>
          <w:rFonts w:ascii="Times New Roman" w:eastAsia="Calibri" w:hAnsi="Times New Roman" w:cs="Times New Roman"/>
          <w:noProof/>
          <w:sz w:val="24"/>
          <w:szCs w:val="24"/>
        </w:rPr>
        <w:t>s</w:t>
      </w:r>
      <w:r w:rsidR="00FD2039" w:rsidRPr="002661A8">
        <w:rPr>
          <w:rFonts w:ascii="Times New Roman" w:eastAsia="Calibri" w:hAnsi="Times New Roman" w:cs="Times New Roman"/>
          <w:noProof/>
          <w:sz w:val="24"/>
          <w:szCs w:val="24"/>
        </w:rPr>
        <w:t xml:space="preserve">. In addition, fostering digitalisation of procedures </w:t>
      </w:r>
      <w:r w:rsidR="00DF1370" w:rsidRPr="002661A8">
        <w:rPr>
          <w:rFonts w:ascii="Times New Roman" w:eastAsia="Calibri" w:hAnsi="Times New Roman" w:cs="Times New Roman"/>
          <w:noProof/>
          <w:sz w:val="24"/>
          <w:szCs w:val="24"/>
        </w:rPr>
        <w:t>is</w:t>
      </w:r>
      <w:r w:rsidR="00FD2039" w:rsidRPr="002661A8">
        <w:rPr>
          <w:rFonts w:ascii="Times New Roman" w:eastAsia="Calibri" w:hAnsi="Times New Roman" w:cs="Times New Roman"/>
          <w:noProof/>
          <w:sz w:val="24"/>
          <w:szCs w:val="24"/>
        </w:rPr>
        <w:t xml:space="preserve"> consistent with </w:t>
      </w:r>
      <w:r w:rsidR="001152AE" w:rsidRPr="002661A8">
        <w:rPr>
          <w:rFonts w:ascii="Times New Roman" w:eastAsia="Calibri" w:hAnsi="Times New Roman" w:cs="Times New Roman"/>
          <w:noProof/>
          <w:sz w:val="24"/>
          <w:szCs w:val="24"/>
        </w:rPr>
        <w:t>EU policies in the field of digitalisation</w:t>
      </w:r>
      <w:r w:rsidRPr="002661A8">
        <w:rPr>
          <w:rFonts w:ascii="Times New Roman" w:eastAsia="Calibri" w:hAnsi="Times New Roman" w:cs="Times New Roman"/>
          <w:noProof/>
          <w:sz w:val="24"/>
          <w:szCs w:val="24"/>
        </w:rPr>
        <w:t xml:space="preserve">. </w:t>
      </w:r>
      <w:r w:rsidR="00A1357F" w:rsidRPr="002661A8">
        <w:rPr>
          <w:rFonts w:ascii="Times New Roman" w:eastAsia="Calibri" w:hAnsi="Times New Roman" w:cs="Times New Roman"/>
          <w:noProof/>
          <w:sz w:val="24"/>
          <w:szCs w:val="24"/>
        </w:rPr>
        <w:t xml:space="preserve">This option </w:t>
      </w:r>
      <w:r w:rsidR="00CF180A">
        <w:rPr>
          <w:rFonts w:ascii="Times New Roman" w:eastAsia="Calibri" w:hAnsi="Times New Roman" w:cs="Times New Roman"/>
          <w:noProof/>
          <w:sz w:val="24"/>
          <w:szCs w:val="24"/>
        </w:rPr>
        <w:t>is coherent with</w:t>
      </w:r>
      <w:r w:rsidR="00A1357F" w:rsidRPr="002661A8">
        <w:rPr>
          <w:rFonts w:ascii="Times New Roman" w:eastAsia="Calibri" w:hAnsi="Times New Roman" w:cs="Times New Roman"/>
          <w:noProof/>
          <w:sz w:val="24"/>
          <w:szCs w:val="24"/>
        </w:rPr>
        <w:t xml:space="preserve"> financial stability</w:t>
      </w:r>
      <w:r w:rsidR="00713212" w:rsidRPr="002661A8">
        <w:rPr>
          <w:rFonts w:ascii="Times New Roman" w:eastAsia="Calibri" w:hAnsi="Times New Roman" w:cs="Times New Roman"/>
          <w:noProof/>
          <w:sz w:val="24"/>
          <w:szCs w:val="24"/>
        </w:rPr>
        <w:t xml:space="preserve"> objectives</w:t>
      </w:r>
      <w:r w:rsidR="00A16EAC" w:rsidRPr="002661A8">
        <w:rPr>
          <w:rFonts w:ascii="Times New Roman" w:eastAsia="Calibri" w:hAnsi="Times New Roman" w:cs="Times New Roman"/>
          <w:noProof/>
          <w:sz w:val="24"/>
          <w:szCs w:val="24"/>
        </w:rPr>
        <w:t xml:space="preserve">: </w:t>
      </w:r>
      <w:r w:rsidR="00E2714A" w:rsidRPr="002661A8">
        <w:rPr>
          <w:rFonts w:ascii="Times New Roman" w:eastAsia="Calibri" w:hAnsi="Times New Roman" w:cs="Times New Roman"/>
          <w:noProof/>
          <w:sz w:val="24"/>
          <w:szCs w:val="24"/>
        </w:rPr>
        <w:t>CCPs’</w:t>
      </w:r>
      <w:r w:rsidR="006328F3" w:rsidRPr="002661A8">
        <w:rPr>
          <w:rFonts w:ascii="Times New Roman" w:eastAsia="Calibri" w:hAnsi="Times New Roman" w:cs="Times New Roman"/>
          <w:noProof/>
          <w:sz w:val="24"/>
          <w:szCs w:val="24"/>
        </w:rPr>
        <w:t xml:space="preserve"> </w:t>
      </w:r>
      <w:r w:rsidR="00E2714A" w:rsidRPr="002661A8">
        <w:rPr>
          <w:rFonts w:ascii="Times New Roman" w:eastAsia="Calibri" w:hAnsi="Times New Roman" w:cs="Times New Roman"/>
          <w:noProof/>
          <w:sz w:val="24"/>
          <w:szCs w:val="24"/>
        </w:rPr>
        <w:t xml:space="preserve">proposed initiatives </w:t>
      </w:r>
      <w:r w:rsidR="00F21992">
        <w:rPr>
          <w:rFonts w:ascii="Times New Roman" w:eastAsia="Calibri" w:hAnsi="Times New Roman" w:cs="Times New Roman"/>
          <w:noProof/>
          <w:sz w:val="24"/>
          <w:szCs w:val="24"/>
        </w:rPr>
        <w:t>should not endanger financial stability as they will</w:t>
      </w:r>
      <w:r w:rsidR="00F21992" w:rsidRPr="002661A8">
        <w:rPr>
          <w:rFonts w:ascii="Times New Roman" w:eastAsia="Calibri" w:hAnsi="Times New Roman" w:cs="Times New Roman"/>
          <w:noProof/>
          <w:sz w:val="24"/>
          <w:szCs w:val="24"/>
        </w:rPr>
        <w:t xml:space="preserve"> </w:t>
      </w:r>
      <w:r w:rsidR="00E2714A" w:rsidRPr="002661A8">
        <w:rPr>
          <w:rFonts w:ascii="Times New Roman" w:eastAsia="Calibri" w:hAnsi="Times New Roman" w:cs="Times New Roman"/>
          <w:noProof/>
          <w:sz w:val="24"/>
          <w:szCs w:val="24"/>
        </w:rPr>
        <w:t xml:space="preserve">be </w:t>
      </w:r>
      <w:r w:rsidR="006328F3" w:rsidRPr="002661A8">
        <w:rPr>
          <w:rFonts w:ascii="Times New Roman" w:eastAsia="Calibri" w:hAnsi="Times New Roman" w:cs="Times New Roman"/>
          <w:noProof/>
          <w:sz w:val="24"/>
          <w:szCs w:val="24"/>
        </w:rPr>
        <w:t xml:space="preserve">reviewed by </w:t>
      </w:r>
      <w:r w:rsidR="00B9677C" w:rsidRPr="002661A8">
        <w:rPr>
          <w:rFonts w:ascii="Times New Roman" w:eastAsia="Calibri" w:hAnsi="Times New Roman" w:cs="Times New Roman"/>
          <w:noProof/>
          <w:sz w:val="24"/>
          <w:szCs w:val="24"/>
        </w:rPr>
        <w:t>the</w:t>
      </w:r>
      <w:r w:rsidR="006328F3" w:rsidRPr="002661A8">
        <w:rPr>
          <w:rFonts w:ascii="Times New Roman" w:eastAsia="Calibri" w:hAnsi="Times New Roman" w:cs="Times New Roman"/>
          <w:noProof/>
          <w:sz w:val="24"/>
          <w:szCs w:val="24"/>
        </w:rPr>
        <w:t xml:space="preserve"> supervisors</w:t>
      </w:r>
      <w:r w:rsidR="00E2714A" w:rsidRPr="002661A8">
        <w:rPr>
          <w:rFonts w:ascii="Times New Roman" w:eastAsia="Calibri" w:hAnsi="Times New Roman" w:cs="Times New Roman"/>
          <w:noProof/>
          <w:sz w:val="24"/>
          <w:szCs w:val="24"/>
        </w:rPr>
        <w:t xml:space="preserve">. </w:t>
      </w:r>
    </w:p>
    <w:p w14:paraId="5FBA84A8" w14:textId="77777777" w:rsidR="00A8027C" w:rsidRPr="002661A8" w:rsidRDefault="00A8027C" w:rsidP="00A8027C">
      <w:pPr>
        <w:tabs>
          <w:tab w:val="left" w:pos="2302"/>
        </w:tabs>
        <w:spacing w:after="120" w:line="240" w:lineRule="auto"/>
        <w:jc w:val="both"/>
        <w:rPr>
          <w:rFonts w:ascii="Times New Roman" w:eastAsia="Times New Roman" w:hAnsi="Times New Roman" w:cs="Times New Roman"/>
          <w:noProof/>
          <w:sz w:val="24"/>
          <w:szCs w:val="24"/>
          <w:u w:val="single"/>
        </w:rPr>
      </w:pPr>
      <w:r>
        <w:rPr>
          <w:rFonts w:ascii="Times New Roman" w:eastAsia="Times New Roman" w:hAnsi="Times New Roman" w:cs="Times New Roman"/>
          <w:noProof/>
          <w:sz w:val="24"/>
          <w:szCs w:val="24"/>
          <w:u w:val="single"/>
        </w:rPr>
        <w:t>Assessment of the impacts by stakeholder group</w:t>
      </w:r>
    </w:p>
    <w:p w14:paraId="0A7A9477" w14:textId="44C024EE" w:rsidR="0017431A" w:rsidRPr="002661A8" w:rsidRDefault="0017431A" w:rsidP="0017431A">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b/>
          <w:noProof/>
          <w:sz w:val="24"/>
          <w:szCs w:val="24"/>
        </w:rPr>
        <w:t>EU CCPs</w:t>
      </w:r>
      <w:r w:rsidRPr="002661A8">
        <w:rPr>
          <w:rFonts w:ascii="Times New Roman" w:eastAsia="Calibri" w:hAnsi="Times New Roman" w:cs="Times New Roman"/>
          <w:noProof/>
          <w:sz w:val="24"/>
          <w:szCs w:val="24"/>
        </w:rPr>
        <w:t xml:space="preserve"> </w:t>
      </w:r>
      <w:r w:rsidR="006A6036" w:rsidRPr="002661A8">
        <w:rPr>
          <w:rFonts w:ascii="Times New Roman" w:eastAsia="Calibri" w:hAnsi="Times New Roman" w:cs="Times New Roman"/>
          <w:noProof/>
          <w:sz w:val="24"/>
          <w:szCs w:val="24"/>
        </w:rPr>
        <w:t>could</w:t>
      </w:r>
      <w:r w:rsidRPr="002661A8">
        <w:rPr>
          <w:rFonts w:ascii="Times New Roman" w:eastAsia="Calibri" w:hAnsi="Times New Roman" w:cs="Times New Roman"/>
          <w:noProof/>
          <w:sz w:val="24"/>
          <w:szCs w:val="24"/>
        </w:rPr>
        <w:t xml:space="preserve"> launch new initiatives and change risk models </w:t>
      </w:r>
      <w:r w:rsidR="00897490" w:rsidRPr="002661A8">
        <w:rPr>
          <w:rFonts w:ascii="Times New Roman" w:eastAsia="Calibri" w:hAnsi="Times New Roman" w:cs="Times New Roman"/>
          <w:noProof/>
          <w:sz w:val="24"/>
          <w:szCs w:val="24"/>
        </w:rPr>
        <w:t>quicker</w:t>
      </w:r>
      <w:r w:rsidRPr="002661A8">
        <w:rPr>
          <w:rFonts w:ascii="Times New Roman" w:eastAsia="Calibri" w:hAnsi="Times New Roman" w:cs="Times New Roman"/>
          <w:noProof/>
          <w:sz w:val="24"/>
          <w:szCs w:val="24"/>
        </w:rPr>
        <w:t xml:space="preserve">, increasing their </w:t>
      </w:r>
      <w:r w:rsidR="002612E3" w:rsidRPr="002661A8">
        <w:rPr>
          <w:rFonts w:ascii="Times New Roman" w:eastAsia="Calibri" w:hAnsi="Times New Roman" w:cs="Times New Roman"/>
          <w:noProof/>
          <w:sz w:val="24"/>
          <w:szCs w:val="24"/>
        </w:rPr>
        <w:t xml:space="preserve">ability </w:t>
      </w:r>
      <w:r w:rsidRPr="002661A8">
        <w:rPr>
          <w:rFonts w:ascii="Times New Roman" w:eastAsia="Calibri" w:hAnsi="Times New Roman" w:cs="Times New Roman"/>
          <w:noProof/>
          <w:sz w:val="24"/>
          <w:szCs w:val="24"/>
        </w:rPr>
        <w:t xml:space="preserve">to expand business and compete internationally. They would have </w:t>
      </w:r>
      <w:r w:rsidR="002612E3" w:rsidRPr="002661A8">
        <w:rPr>
          <w:rFonts w:ascii="Times New Roman" w:eastAsia="Calibri" w:hAnsi="Times New Roman" w:cs="Times New Roman"/>
          <w:noProof/>
          <w:sz w:val="24"/>
          <w:szCs w:val="24"/>
        </w:rPr>
        <w:t xml:space="preserve">more </w:t>
      </w:r>
      <w:r w:rsidRPr="002661A8">
        <w:rPr>
          <w:rFonts w:ascii="Times New Roman" w:eastAsia="Calibri" w:hAnsi="Times New Roman" w:cs="Times New Roman"/>
          <w:noProof/>
          <w:sz w:val="24"/>
          <w:szCs w:val="24"/>
        </w:rPr>
        <w:t xml:space="preserve">certainty about the </w:t>
      </w:r>
      <w:r w:rsidR="00E278AE">
        <w:rPr>
          <w:rFonts w:ascii="Times New Roman" w:eastAsia="Calibri" w:hAnsi="Times New Roman" w:cs="Times New Roman"/>
          <w:noProof/>
          <w:sz w:val="24"/>
          <w:szCs w:val="24"/>
        </w:rPr>
        <w:t xml:space="preserve">approval </w:t>
      </w:r>
      <w:r w:rsidRPr="002661A8">
        <w:rPr>
          <w:rFonts w:ascii="Times New Roman" w:eastAsia="Calibri" w:hAnsi="Times New Roman" w:cs="Times New Roman"/>
          <w:noProof/>
          <w:sz w:val="24"/>
          <w:szCs w:val="24"/>
        </w:rPr>
        <w:t>procedure</w:t>
      </w:r>
      <w:r w:rsidR="00E278AE">
        <w:rPr>
          <w:rFonts w:ascii="Times New Roman" w:eastAsia="Calibri" w:hAnsi="Times New Roman" w:cs="Times New Roman"/>
          <w:noProof/>
          <w:sz w:val="24"/>
          <w:szCs w:val="24"/>
        </w:rPr>
        <w:t>s</w:t>
      </w:r>
      <w:r w:rsidRPr="002661A8">
        <w:rPr>
          <w:rFonts w:ascii="Times New Roman" w:eastAsia="Calibri" w:hAnsi="Times New Roman" w:cs="Times New Roman"/>
          <w:noProof/>
          <w:sz w:val="24"/>
          <w:szCs w:val="24"/>
        </w:rPr>
        <w:t>, including documents needed</w:t>
      </w:r>
      <w:r w:rsidR="002612E3" w:rsidRPr="002661A8">
        <w:rPr>
          <w:rFonts w:ascii="Times New Roman" w:eastAsia="Calibri" w:hAnsi="Times New Roman" w:cs="Times New Roman"/>
          <w:noProof/>
          <w:sz w:val="24"/>
          <w:szCs w:val="24"/>
        </w:rPr>
        <w:t xml:space="preserve"> and timelines. </w:t>
      </w:r>
      <w:r w:rsidRPr="002661A8">
        <w:rPr>
          <w:rFonts w:ascii="Times New Roman" w:eastAsia="Calibri" w:hAnsi="Times New Roman" w:cs="Times New Roman"/>
          <w:noProof/>
          <w:sz w:val="24"/>
          <w:szCs w:val="24"/>
        </w:rPr>
        <w:t>This would increase efficiency in the use of resources by CCPs</w:t>
      </w:r>
      <w:r w:rsidR="002612E3" w:rsidRPr="002661A8">
        <w:rPr>
          <w:rFonts w:ascii="Times New Roman" w:eastAsia="Calibri" w:hAnsi="Times New Roman" w:cs="Times New Roman"/>
          <w:noProof/>
          <w:sz w:val="24"/>
          <w:szCs w:val="24"/>
        </w:rPr>
        <w:t>, freeing up</w:t>
      </w:r>
      <w:r w:rsidRPr="002661A8">
        <w:rPr>
          <w:rFonts w:ascii="Times New Roman" w:eastAsia="Calibri" w:hAnsi="Times New Roman" w:cs="Times New Roman"/>
          <w:noProof/>
          <w:sz w:val="24"/>
          <w:szCs w:val="24"/>
        </w:rPr>
        <w:t xml:space="preserve"> capital and human resources for other projects and tasks, </w:t>
      </w:r>
      <w:r w:rsidR="002612E3" w:rsidRPr="002661A8">
        <w:rPr>
          <w:rFonts w:ascii="Times New Roman" w:eastAsia="Calibri" w:hAnsi="Times New Roman" w:cs="Times New Roman"/>
          <w:noProof/>
          <w:sz w:val="24"/>
          <w:szCs w:val="24"/>
        </w:rPr>
        <w:t xml:space="preserve">and putting them </w:t>
      </w:r>
      <w:r w:rsidRPr="002661A8">
        <w:rPr>
          <w:rFonts w:ascii="Times New Roman" w:eastAsia="Calibri" w:hAnsi="Times New Roman" w:cs="Times New Roman"/>
          <w:noProof/>
          <w:sz w:val="24"/>
          <w:szCs w:val="24"/>
        </w:rPr>
        <w:t xml:space="preserve">in a better position to </w:t>
      </w:r>
      <w:r w:rsidR="00C61DA3" w:rsidRPr="002661A8">
        <w:rPr>
          <w:rFonts w:ascii="Times New Roman" w:eastAsia="Calibri" w:hAnsi="Times New Roman" w:cs="Times New Roman"/>
          <w:noProof/>
          <w:sz w:val="24"/>
          <w:szCs w:val="24"/>
        </w:rPr>
        <w:t>bring new products to market</w:t>
      </w:r>
      <w:r w:rsidRPr="002661A8">
        <w:rPr>
          <w:rFonts w:ascii="Times New Roman" w:eastAsia="Calibri" w:hAnsi="Times New Roman" w:cs="Times New Roman"/>
          <w:noProof/>
          <w:sz w:val="24"/>
          <w:szCs w:val="24"/>
        </w:rPr>
        <w:t xml:space="preserve">. They would also benefit from </w:t>
      </w:r>
      <w:r w:rsidR="002612E3" w:rsidRPr="002661A8">
        <w:rPr>
          <w:rFonts w:ascii="Times New Roman" w:eastAsia="Calibri" w:hAnsi="Times New Roman" w:cs="Times New Roman"/>
          <w:noProof/>
          <w:sz w:val="24"/>
          <w:szCs w:val="24"/>
        </w:rPr>
        <w:t xml:space="preserve">more </w:t>
      </w:r>
      <w:r w:rsidRPr="002661A8">
        <w:rPr>
          <w:rFonts w:ascii="Times New Roman" w:eastAsia="Calibri" w:hAnsi="Times New Roman" w:cs="Times New Roman"/>
          <w:noProof/>
          <w:sz w:val="24"/>
          <w:szCs w:val="24"/>
        </w:rPr>
        <w:t xml:space="preserve">certainty </w:t>
      </w:r>
      <w:r w:rsidR="002612E3" w:rsidRPr="002661A8">
        <w:rPr>
          <w:rFonts w:ascii="Times New Roman" w:eastAsia="Calibri" w:hAnsi="Times New Roman" w:cs="Times New Roman"/>
          <w:noProof/>
          <w:sz w:val="24"/>
          <w:szCs w:val="24"/>
        </w:rPr>
        <w:t>on the timelines</w:t>
      </w:r>
      <w:r w:rsidRPr="002661A8">
        <w:rPr>
          <w:rFonts w:ascii="Times New Roman" w:eastAsia="Calibri" w:hAnsi="Times New Roman" w:cs="Times New Roman"/>
          <w:noProof/>
          <w:sz w:val="24"/>
          <w:szCs w:val="24"/>
        </w:rPr>
        <w:t xml:space="preserve"> to operational</w:t>
      </w:r>
      <w:r w:rsidR="002612E3" w:rsidRPr="002661A8">
        <w:rPr>
          <w:rFonts w:ascii="Times New Roman" w:eastAsia="Calibri" w:hAnsi="Times New Roman" w:cs="Times New Roman"/>
          <w:noProof/>
          <w:sz w:val="24"/>
          <w:szCs w:val="24"/>
        </w:rPr>
        <w:t>ise their products</w:t>
      </w:r>
      <w:r w:rsidRPr="002661A8">
        <w:rPr>
          <w:rFonts w:ascii="Times New Roman" w:eastAsia="Calibri" w:hAnsi="Times New Roman" w:cs="Times New Roman"/>
          <w:noProof/>
          <w:sz w:val="24"/>
          <w:szCs w:val="24"/>
        </w:rPr>
        <w:t>, reduc</w:t>
      </w:r>
      <w:r w:rsidR="002612E3" w:rsidRPr="002661A8">
        <w:rPr>
          <w:rFonts w:ascii="Times New Roman" w:eastAsia="Calibri" w:hAnsi="Times New Roman" w:cs="Times New Roman"/>
          <w:noProof/>
          <w:sz w:val="24"/>
          <w:szCs w:val="24"/>
        </w:rPr>
        <w:t>ing</w:t>
      </w:r>
      <w:r w:rsidRPr="002661A8">
        <w:rPr>
          <w:rFonts w:ascii="Times New Roman" w:eastAsia="Calibri" w:hAnsi="Times New Roman" w:cs="Times New Roman"/>
          <w:noProof/>
          <w:sz w:val="24"/>
          <w:szCs w:val="24"/>
        </w:rPr>
        <w:t xml:space="preserve"> disincentives to bring new products to market. </w:t>
      </w:r>
      <w:r w:rsidR="002612E3" w:rsidRPr="002661A8">
        <w:rPr>
          <w:rFonts w:ascii="Times New Roman" w:eastAsia="Calibri" w:hAnsi="Times New Roman" w:cs="Times New Roman"/>
          <w:noProof/>
          <w:sz w:val="24"/>
          <w:szCs w:val="24"/>
        </w:rPr>
        <w:t>T</w:t>
      </w:r>
      <w:r w:rsidRPr="002661A8">
        <w:rPr>
          <w:rFonts w:ascii="Times New Roman" w:eastAsia="Calibri" w:hAnsi="Times New Roman" w:cs="Times New Roman"/>
          <w:noProof/>
          <w:sz w:val="24"/>
          <w:szCs w:val="24"/>
        </w:rPr>
        <w:t xml:space="preserve">his would </w:t>
      </w:r>
      <w:r w:rsidR="00897490" w:rsidRPr="002661A8">
        <w:rPr>
          <w:rFonts w:ascii="Times New Roman" w:eastAsia="Calibri" w:hAnsi="Times New Roman" w:cs="Times New Roman"/>
          <w:noProof/>
          <w:sz w:val="24"/>
          <w:szCs w:val="24"/>
        </w:rPr>
        <w:t>lower the risk</w:t>
      </w:r>
      <w:r w:rsidRPr="002661A8">
        <w:rPr>
          <w:rFonts w:ascii="Times New Roman" w:eastAsia="Calibri" w:hAnsi="Times New Roman" w:cs="Times New Roman"/>
          <w:noProof/>
          <w:sz w:val="24"/>
          <w:szCs w:val="24"/>
        </w:rPr>
        <w:t xml:space="preserve"> of losing business to third-country competitors</w:t>
      </w:r>
      <w:r w:rsidR="00C70A17"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which can go through faster procedures.</w:t>
      </w:r>
      <w:r w:rsidR="00C70A17" w:rsidRPr="002661A8">
        <w:rPr>
          <w:rFonts w:ascii="Times New Roman" w:eastAsia="Calibri" w:hAnsi="Times New Roman" w:cs="Times New Roman"/>
          <w:noProof/>
          <w:sz w:val="24"/>
          <w:szCs w:val="24"/>
        </w:rPr>
        <w:t xml:space="preserve"> There will be also some administrative cost savings from the simplified processes, although these are expected to be smaller in comparison with the reduction of opportunity costs described above.</w:t>
      </w:r>
      <w:r w:rsidRPr="002661A8">
        <w:rPr>
          <w:rFonts w:ascii="Times New Roman" w:eastAsia="Calibri" w:hAnsi="Times New Roman" w:cs="Times New Roman"/>
          <w:noProof/>
          <w:sz w:val="24"/>
          <w:szCs w:val="24"/>
        </w:rPr>
        <w:t xml:space="preserve"> </w:t>
      </w:r>
      <w:r w:rsidR="009D09CF">
        <w:rPr>
          <w:rFonts w:ascii="Times New Roman" w:eastAsia="Calibri" w:hAnsi="Times New Roman" w:cs="Times New Roman"/>
          <w:noProof/>
          <w:sz w:val="24"/>
          <w:szCs w:val="24"/>
        </w:rPr>
        <w:t>They can be estimated to 0.5 FTE per CCP on average (some CCPs being smaller and less prone to launching new products on a regular basis).</w:t>
      </w:r>
      <w:r w:rsidRPr="002661A8">
        <w:rPr>
          <w:rFonts w:ascii="Times New Roman" w:eastAsia="Calibri" w:hAnsi="Times New Roman" w:cs="Times New Roman"/>
          <w:noProof/>
          <w:sz w:val="24"/>
          <w:szCs w:val="24"/>
        </w:rPr>
        <w:t xml:space="preserve"> These benefits would be ongoing. Additionally, shortening the procedures may contribute to safer CCPs</w:t>
      </w:r>
      <w:r w:rsidR="0089604E" w:rsidRPr="002661A8">
        <w:rPr>
          <w:rFonts w:ascii="Times New Roman" w:eastAsia="Calibri" w:hAnsi="Times New Roman" w:cs="Times New Roman"/>
          <w:noProof/>
          <w:sz w:val="24"/>
          <w:szCs w:val="24"/>
        </w:rPr>
        <w:t>:</w:t>
      </w:r>
      <w:r w:rsidRPr="002661A8">
        <w:rPr>
          <w:rFonts w:ascii="Times New Roman" w:eastAsia="Calibri" w:hAnsi="Times New Roman" w:cs="Times New Roman"/>
          <w:noProof/>
          <w:sz w:val="24"/>
          <w:szCs w:val="24"/>
        </w:rPr>
        <w:t xml:space="preserve"> </w:t>
      </w:r>
      <w:r w:rsidR="0089604E" w:rsidRPr="002661A8">
        <w:rPr>
          <w:rFonts w:ascii="Times New Roman" w:eastAsia="Calibri" w:hAnsi="Times New Roman" w:cs="Times New Roman"/>
          <w:noProof/>
          <w:sz w:val="24"/>
          <w:szCs w:val="24"/>
        </w:rPr>
        <w:t>t</w:t>
      </w:r>
      <w:r w:rsidRPr="002661A8">
        <w:rPr>
          <w:rFonts w:ascii="Times New Roman" w:eastAsia="Calibri" w:hAnsi="Times New Roman" w:cs="Times New Roman"/>
          <w:noProof/>
          <w:sz w:val="24"/>
          <w:szCs w:val="24"/>
        </w:rPr>
        <w:t xml:space="preserve">ime is key when CCPs have to adjust their risk models to changes of external market conditions. </w:t>
      </w:r>
    </w:p>
    <w:p w14:paraId="21FD386C" w14:textId="6C446BBE" w:rsidR="0017431A" w:rsidRPr="002661A8" w:rsidRDefault="0017431A" w:rsidP="0017431A">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b/>
          <w:noProof/>
          <w:sz w:val="24"/>
          <w:szCs w:val="24"/>
        </w:rPr>
        <w:t>Clearing members</w:t>
      </w:r>
      <w:r w:rsidRPr="002661A8">
        <w:rPr>
          <w:rFonts w:ascii="Times New Roman" w:eastAsia="Calibri" w:hAnsi="Times New Roman" w:cs="Times New Roman"/>
          <w:noProof/>
          <w:sz w:val="24"/>
          <w:szCs w:val="24"/>
        </w:rPr>
        <w:t xml:space="preserve"> </w:t>
      </w:r>
      <w:r w:rsidR="006A6036" w:rsidRPr="002661A8">
        <w:rPr>
          <w:rFonts w:ascii="Times New Roman" w:eastAsia="Calibri" w:hAnsi="Times New Roman" w:cs="Times New Roman"/>
          <w:noProof/>
          <w:sz w:val="24"/>
          <w:szCs w:val="24"/>
        </w:rPr>
        <w:t>could</w:t>
      </w:r>
      <w:r w:rsidRPr="002661A8">
        <w:rPr>
          <w:rFonts w:ascii="Times New Roman" w:eastAsia="Calibri" w:hAnsi="Times New Roman" w:cs="Times New Roman"/>
          <w:noProof/>
          <w:sz w:val="24"/>
          <w:szCs w:val="24"/>
        </w:rPr>
        <w:t xml:space="preserve"> benefit from greater offer by CCPs, in a faster way, and would thus have more choices where to clear. More competition could be spurred </w:t>
      </w:r>
      <w:r w:rsidR="00F63D89" w:rsidRPr="002661A8">
        <w:rPr>
          <w:rFonts w:ascii="Times New Roman" w:eastAsia="Calibri" w:hAnsi="Times New Roman" w:cs="Times New Roman"/>
          <w:noProof/>
          <w:sz w:val="24"/>
          <w:szCs w:val="24"/>
        </w:rPr>
        <w:t xml:space="preserve">amongst </w:t>
      </w:r>
      <w:r w:rsidRPr="002661A8">
        <w:rPr>
          <w:rFonts w:ascii="Times New Roman" w:eastAsia="Calibri" w:hAnsi="Times New Roman" w:cs="Times New Roman"/>
          <w:noProof/>
          <w:sz w:val="24"/>
          <w:szCs w:val="24"/>
        </w:rPr>
        <w:t>CCP</w:t>
      </w:r>
      <w:r w:rsidR="00F63D89" w:rsidRPr="002661A8">
        <w:rPr>
          <w:rFonts w:ascii="Times New Roman" w:eastAsia="Calibri" w:hAnsi="Times New Roman" w:cs="Times New Roman"/>
          <w:noProof/>
          <w:sz w:val="24"/>
          <w:szCs w:val="24"/>
        </w:rPr>
        <w:t>s</w:t>
      </w:r>
      <w:r w:rsidRPr="002661A8">
        <w:rPr>
          <w:rFonts w:ascii="Times New Roman" w:eastAsia="Calibri" w:hAnsi="Times New Roman" w:cs="Times New Roman"/>
          <w:noProof/>
          <w:sz w:val="24"/>
          <w:szCs w:val="24"/>
        </w:rPr>
        <w:t xml:space="preserve">, thus potentially triggering a virtuous circle with increasing opportunities for clearing members. In addition, the reduction of regulatory costs incurred by CCPs </w:t>
      </w:r>
      <w:r w:rsidR="0035375B" w:rsidRPr="002661A8">
        <w:rPr>
          <w:rFonts w:ascii="Times New Roman" w:eastAsia="Calibri" w:hAnsi="Times New Roman" w:cs="Times New Roman"/>
          <w:noProof/>
          <w:sz w:val="24"/>
          <w:szCs w:val="24"/>
        </w:rPr>
        <w:t xml:space="preserve">and the increased competition </w:t>
      </w:r>
      <w:r w:rsidRPr="002661A8">
        <w:rPr>
          <w:rFonts w:ascii="Times New Roman" w:eastAsia="Calibri" w:hAnsi="Times New Roman" w:cs="Times New Roman"/>
          <w:noProof/>
          <w:sz w:val="24"/>
          <w:szCs w:val="24"/>
        </w:rPr>
        <w:t xml:space="preserve">could lead to a </w:t>
      </w:r>
      <w:r w:rsidR="00C43394" w:rsidRPr="002661A8">
        <w:rPr>
          <w:rFonts w:ascii="Times New Roman" w:eastAsia="Calibri" w:hAnsi="Times New Roman" w:cs="Times New Roman"/>
          <w:noProof/>
          <w:sz w:val="24"/>
          <w:szCs w:val="24"/>
        </w:rPr>
        <w:t>reduced</w:t>
      </w:r>
      <w:r w:rsidRPr="002661A8">
        <w:rPr>
          <w:rFonts w:ascii="Times New Roman" w:eastAsia="Calibri" w:hAnsi="Times New Roman" w:cs="Times New Roman"/>
          <w:noProof/>
          <w:sz w:val="24"/>
          <w:szCs w:val="24"/>
        </w:rPr>
        <w:t xml:space="preserve"> cost of clearing for clearing members. Clarity over CCPs’ launch dates for a specific service or activity would reduce legal uncertainty and implementation costs (e.g. IT adaptations, need to maintain dual CCP set-up, adjustment of procedures and contracts with customers) for clearing members. These benefits would be ongoing.</w:t>
      </w:r>
      <w:r w:rsidR="00055C17"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 xml:space="preserve">Like clearing members, </w:t>
      </w:r>
      <w:r w:rsidRPr="002661A8">
        <w:rPr>
          <w:rFonts w:ascii="Times New Roman" w:eastAsia="Calibri" w:hAnsi="Times New Roman" w:cs="Times New Roman"/>
          <w:b/>
          <w:noProof/>
          <w:sz w:val="24"/>
          <w:szCs w:val="24"/>
        </w:rPr>
        <w:t>clients</w:t>
      </w:r>
      <w:r w:rsidRPr="002661A8">
        <w:rPr>
          <w:rFonts w:ascii="Times New Roman" w:eastAsia="Calibri" w:hAnsi="Times New Roman" w:cs="Times New Roman"/>
          <w:noProof/>
          <w:sz w:val="24"/>
          <w:szCs w:val="24"/>
        </w:rPr>
        <w:t xml:space="preserve"> </w:t>
      </w:r>
      <w:r w:rsidR="003548F8" w:rsidRPr="002661A8">
        <w:rPr>
          <w:rFonts w:ascii="Times New Roman" w:eastAsia="Calibri" w:hAnsi="Times New Roman" w:cs="Times New Roman"/>
          <w:noProof/>
          <w:sz w:val="24"/>
          <w:szCs w:val="24"/>
        </w:rPr>
        <w:t>too</w:t>
      </w:r>
      <w:r w:rsidRPr="002661A8">
        <w:rPr>
          <w:rFonts w:ascii="Times New Roman" w:eastAsia="Calibri" w:hAnsi="Times New Roman" w:cs="Times New Roman"/>
          <w:noProof/>
          <w:sz w:val="24"/>
          <w:szCs w:val="24"/>
        </w:rPr>
        <w:t xml:space="preserve"> </w:t>
      </w:r>
      <w:r w:rsidR="006A6036" w:rsidRPr="002661A8">
        <w:rPr>
          <w:rFonts w:ascii="Times New Roman" w:eastAsia="Calibri" w:hAnsi="Times New Roman" w:cs="Times New Roman"/>
          <w:noProof/>
          <w:sz w:val="24"/>
          <w:szCs w:val="24"/>
        </w:rPr>
        <w:t>could</w:t>
      </w:r>
      <w:r w:rsidRPr="002661A8">
        <w:rPr>
          <w:rFonts w:ascii="Times New Roman" w:eastAsia="Calibri" w:hAnsi="Times New Roman" w:cs="Times New Roman"/>
          <w:noProof/>
          <w:sz w:val="24"/>
          <w:szCs w:val="24"/>
        </w:rPr>
        <w:t xml:space="preserve"> benefit from greater offer by CCPs and would have more choices where to clear</w:t>
      </w:r>
      <w:r w:rsidR="001D605D" w:rsidRPr="002661A8">
        <w:rPr>
          <w:rFonts w:ascii="Times New Roman" w:eastAsia="Calibri" w:hAnsi="Times New Roman" w:cs="Times New Roman"/>
          <w:noProof/>
          <w:sz w:val="24"/>
          <w:szCs w:val="24"/>
        </w:rPr>
        <w:t>,</w:t>
      </w:r>
      <w:r w:rsidRPr="002661A8">
        <w:rPr>
          <w:rFonts w:ascii="Times New Roman" w:eastAsia="Calibri" w:hAnsi="Times New Roman" w:cs="Times New Roman"/>
          <w:noProof/>
          <w:sz w:val="24"/>
          <w:szCs w:val="24"/>
        </w:rPr>
        <w:t xml:space="preserve"> with reduced costs. Th</w:t>
      </w:r>
      <w:r w:rsidR="00F63D89" w:rsidRPr="002661A8">
        <w:rPr>
          <w:rFonts w:ascii="Times New Roman" w:eastAsia="Calibri" w:hAnsi="Times New Roman" w:cs="Times New Roman"/>
          <w:noProof/>
          <w:sz w:val="24"/>
          <w:szCs w:val="24"/>
        </w:rPr>
        <w:t>ese</w:t>
      </w:r>
      <w:r w:rsidRPr="002661A8">
        <w:rPr>
          <w:rFonts w:ascii="Times New Roman" w:eastAsia="Calibri" w:hAnsi="Times New Roman" w:cs="Times New Roman"/>
          <w:noProof/>
          <w:sz w:val="24"/>
          <w:szCs w:val="24"/>
        </w:rPr>
        <w:t xml:space="preserve"> benefit</w:t>
      </w:r>
      <w:r w:rsidR="00F63D89" w:rsidRPr="002661A8">
        <w:rPr>
          <w:rFonts w:ascii="Times New Roman" w:eastAsia="Calibri" w:hAnsi="Times New Roman" w:cs="Times New Roman"/>
          <w:noProof/>
          <w:sz w:val="24"/>
          <w:szCs w:val="24"/>
        </w:rPr>
        <w:t>s</w:t>
      </w:r>
      <w:r w:rsidRPr="002661A8">
        <w:rPr>
          <w:rFonts w:ascii="Times New Roman" w:eastAsia="Calibri" w:hAnsi="Times New Roman" w:cs="Times New Roman"/>
          <w:noProof/>
          <w:sz w:val="24"/>
          <w:szCs w:val="24"/>
        </w:rPr>
        <w:t xml:space="preserve"> would be ongoing.</w:t>
      </w:r>
    </w:p>
    <w:p w14:paraId="0A6A3F49" w14:textId="4DEBDEA6" w:rsidR="0017431A" w:rsidRPr="002661A8" w:rsidRDefault="00455E97" w:rsidP="0017431A">
      <w:pPr>
        <w:spacing w:after="120" w:line="240" w:lineRule="auto"/>
        <w:jc w:val="both"/>
        <w:rPr>
          <w:noProof/>
        </w:rPr>
      </w:pPr>
      <w:r w:rsidRPr="002661A8">
        <w:rPr>
          <w:rFonts w:ascii="Times New Roman" w:eastAsia="Calibri" w:hAnsi="Times New Roman" w:cs="Times New Roman"/>
          <w:noProof/>
          <w:sz w:val="24"/>
          <w:szCs w:val="24"/>
        </w:rPr>
        <w:t>CCPs</w:t>
      </w:r>
      <w:r w:rsidR="00746C05" w:rsidRPr="002661A8">
        <w:rPr>
          <w:rFonts w:ascii="Times New Roman" w:eastAsia="Calibri" w:hAnsi="Times New Roman" w:cs="Times New Roman"/>
          <w:noProof/>
          <w:sz w:val="24"/>
          <w:szCs w:val="24"/>
        </w:rPr>
        <w:t>’</w:t>
      </w:r>
      <w:r w:rsidRPr="002661A8">
        <w:rPr>
          <w:rFonts w:ascii="Times New Roman" w:eastAsia="Calibri" w:hAnsi="Times New Roman" w:cs="Times New Roman"/>
          <w:noProof/>
          <w:sz w:val="24"/>
          <w:szCs w:val="24"/>
        </w:rPr>
        <w:t xml:space="preserve"> </w:t>
      </w:r>
      <w:r w:rsidR="00746C05" w:rsidRPr="002661A8">
        <w:rPr>
          <w:rFonts w:ascii="Times New Roman" w:eastAsia="Calibri" w:hAnsi="Times New Roman" w:cs="Times New Roman"/>
          <w:b/>
          <w:bCs/>
          <w:noProof/>
          <w:sz w:val="24"/>
          <w:szCs w:val="24"/>
        </w:rPr>
        <w:t>NCAs</w:t>
      </w:r>
      <w:r w:rsidR="0017431A" w:rsidRPr="002661A8">
        <w:rPr>
          <w:rFonts w:ascii="Times New Roman" w:eastAsia="Calibri" w:hAnsi="Times New Roman" w:cs="Times New Roman"/>
          <w:noProof/>
          <w:sz w:val="24"/>
          <w:szCs w:val="24"/>
        </w:rPr>
        <w:t xml:space="preserve"> would </w:t>
      </w:r>
      <w:r w:rsidR="001D605D" w:rsidRPr="002661A8">
        <w:rPr>
          <w:rFonts w:ascii="Times New Roman" w:eastAsia="Calibri" w:hAnsi="Times New Roman" w:cs="Times New Roman"/>
          <w:noProof/>
          <w:sz w:val="24"/>
          <w:szCs w:val="24"/>
        </w:rPr>
        <w:t xml:space="preserve">benefit from </w:t>
      </w:r>
      <w:r w:rsidRPr="002661A8">
        <w:rPr>
          <w:rFonts w:ascii="Times New Roman" w:eastAsia="Calibri" w:hAnsi="Times New Roman" w:cs="Times New Roman"/>
          <w:noProof/>
          <w:sz w:val="24"/>
          <w:szCs w:val="24"/>
        </w:rPr>
        <w:t xml:space="preserve">more </w:t>
      </w:r>
      <w:r w:rsidR="001D605D" w:rsidRPr="002661A8">
        <w:rPr>
          <w:rFonts w:ascii="Times New Roman" w:eastAsia="Calibri" w:hAnsi="Times New Roman" w:cs="Times New Roman"/>
          <w:noProof/>
          <w:sz w:val="24"/>
          <w:szCs w:val="24"/>
        </w:rPr>
        <w:t xml:space="preserve">efficiencies </w:t>
      </w:r>
      <w:r w:rsidRPr="002661A8">
        <w:rPr>
          <w:rFonts w:ascii="Times New Roman" w:eastAsia="Calibri" w:hAnsi="Times New Roman" w:cs="Times New Roman"/>
          <w:noProof/>
          <w:sz w:val="24"/>
          <w:szCs w:val="24"/>
        </w:rPr>
        <w:t xml:space="preserve">by </w:t>
      </w:r>
      <w:r w:rsidR="001D605D" w:rsidRPr="002661A8">
        <w:rPr>
          <w:rFonts w:ascii="Times New Roman" w:eastAsia="Calibri" w:hAnsi="Times New Roman" w:cs="Times New Roman"/>
          <w:noProof/>
          <w:sz w:val="24"/>
          <w:szCs w:val="24"/>
        </w:rPr>
        <w:t>us</w:t>
      </w:r>
      <w:r w:rsidRPr="002661A8">
        <w:rPr>
          <w:rFonts w:ascii="Times New Roman" w:eastAsia="Calibri" w:hAnsi="Times New Roman" w:cs="Times New Roman"/>
          <w:noProof/>
          <w:sz w:val="24"/>
          <w:szCs w:val="24"/>
        </w:rPr>
        <w:t>ing</w:t>
      </w:r>
      <w:r w:rsidR="001D605D" w:rsidRPr="002661A8">
        <w:rPr>
          <w:rFonts w:ascii="Times New Roman" w:eastAsia="Calibri" w:hAnsi="Times New Roman" w:cs="Times New Roman"/>
          <w:noProof/>
          <w:sz w:val="24"/>
          <w:szCs w:val="24"/>
        </w:rPr>
        <w:t xml:space="preserve"> new IT tools and from standardised requirements for the application documents. These benefits would be ongoing. At the same time, they c</w:t>
      </w:r>
      <w:r w:rsidR="0017431A" w:rsidRPr="002661A8">
        <w:rPr>
          <w:rFonts w:ascii="Times New Roman" w:eastAsia="Calibri" w:hAnsi="Times New Roman" w:cs="Times New Roman"/>
          <w:noProof/>
          <w:sz w:val="24"/>
          <w:szCs w:val="24"/>
        </w:rPr>
        <w:t xml:space="preserve">ould be more restrained in the time they have at their disposal to assess </w:t>
      </w:r>
      <w:r w:rsidR="00E278AE">
        <w:rPr>
          <w:rFonts w:ascii="Times New Roman" w:eastAsia="Calibri" w:hAnsi="Times New Roman" w:cs="Times New Roman"/>
          <w:noProof/>
          <w:sz w:val="24"/>
          <w:szCs w:val="24"/>
        </w:rPr>
        <w:t xml:space="preserve">applications for </w:t>
      </w:r>
      <w:r w:rsidR="0017431A" w:rsidRPr="002661A8">
        <w:rPr>
          <w:rFonts w:ascii="Times New Roman" w:eastAsia="Calibri" w:hAnsi="Times New Roman" w:cs="Times New Roman"/>
          <w:noProof/>
          <w:sz w:val="24"/>
          <w:szCs w:val="24"/>
        </w:rPr>
        <w:t>extension of activities and changes to models</w:t>
      </w:r>
      <w:r w:rsidR="005D76EA" w:rsidRPr="002661A8">
        <w:rPr>
          <w:rFonts w:ascii="Times New Roman" w:eastAsia="Calibri" w:hAnsi="Times New Roman" w:cs="Times New Roman"/>
          <w:noProof/>
          <w:sz w:val="24"/>
          <w:szCs w:val="24"/>
        </w:rPr>
        <w:t>, which may imply further resources</w:t>
      </w:r>
      <w:r w:rsidR="0017431A" w:rsidRPr="002661A8">
        <w:rPr>
          <w:rFonts w:ascii="Times New Roman" w:eastAsia="Calibri" w:hAnsi="Times New Roman" w:cs="Times New Roman"/>
          <w:noProof/>
          <w:sz w:val="24"/>
          <w:szCs w:val="24"/>
        </w:rPr>
        <w:t xml:space="preserve">. Shorter timelines may be even harder to meet in case more requests for the approval of new projects are submitted by CCPs, as a result of a greater trend towards innovation which would be spurred by the measures included in this option. These costs would be ongoing. As regards </w:t>
      </w:r>
      <w:r w:rsidR="001D605D" w:rsidRPr="002661A8">
        <w:rPr>
          <w:rFonts w:ascii="Times New Roman" w:eastAsia="Calibri" w:hAnsi="Times New Roman" w:cs="Times New Roman"/>
          <w:noProof/>
          <w:sz w:val="24"/>
          <w:szCs w:val="24"/>
        </w:rPr>
        <w:t>the</w:t>
      </w:r>
      <w:r w:rsidR="0017431A" w:rsidRPr="002661A8">
        <w:rPr>
          <w:rFonts w:ascii="Times New Roman" w:eastAsia="Calibri" w:hAnsi="Times New Roman" w:cs="Times New Roman"/>
          <w:noProof/>
          <w:sz w:val="24"/>
          <w:szCs w:val="24"/>
        </w:rPr>
        <w:t xml:space="preserve"> new IT tools, </w:t>
      </w:r>
      <w:r w:rsidR="00746C05" w:rsidRPr="002661A8">
        <w:rPr>
          <w:rFonts w:ascii="Times New Roman" w:eastAsia="Calibri" w:hAnsi="Times New Roman" w:cs="Times New Roman"/>
          <w:noProof/>
          <w:sz w:val="24"/>
          <w:szCs w:val="24"/>
        </w:rPr>
        <w:t>NCAs</w:t>
      </w:r>
      <w:r w:rsidR="0017431A" w:rsidRPr="002661A8">
        <w:rPr>
          <w:rFonts w:ascii="Times New Roman" w:eastAsia="Calibri" w:hAnsi="Times New Roman" w:cs="Times New Roman"/>
          <w:noProof/>
          <w:sz w:val="24"/>
          <w:szCs w:val="24"/>
        </w:rPr>
        <w:t xml:space="preserve"> would have to bear costs </w:t>
      </w:r>
      <w:r w:rsidR="0035375B" w:rsidRPr="002661A8">
        <w:rPr>
          <w:rFonts w:ascii="Times New Roman" w:eastAsia="Calibri" w:hAnsi="Times New Roman" w:cs="Times New Roman"/>
          <w:noProof/>
          <w:sz w:val="24"/>
          <w:szCs w:val="24"/>
        </w:rPr>
        <w:t>of</w:t>
      </w:r>
      <w:r w:rsidR="0017431A" w:rsidRPr="002661A8">
        <w:rPr>
          <w:rFonts w:ascii="Times New Roman" w:eastAsia="Calibri" w:hAnsi="Times New Roman" w:cs="Times New Roman"/>
          <w:noProof/>
          <w:sz w:val="24"/>
          <w:szCs w:val="24"/>
        </w:rPr>
        <w:t xml:space="preserve"> set</w:t>
      </w:r>
      <w:r w:rsidR="0035375B" w:rsidRPr="002661A8">
        <w:rPr>
          <w:rFonts w:ascii="Times New Roman" w:eastAsia="Calibri" w:hAnsi="Times New Roman" w:cs="Times New Roman"/>
          <w:noProof/>
          <w:sz w:val="24"/>
          <w:szCs w:val="24"/>
        </w:rPr>
        <w:t>ting</w:t>
      </w:r>
      <w:r w:rsidR="0017431A" w:rsidRPr="002661A8">
        <w:rPr>
          <w:rFonts w:ascii="Times New Roman" w:eastAsia="Calibri" w:hAnsi="Times New Roman" w:cs="Times New Roman"/>
          <w:noProof/>
          <w:sz w:val="24"/>
          <w:szCs w:val="24"/>
        </w:rPr>
        <w:t xml:space="preserve"> up specific IT facilities</w:t>
      </w:r>
      <w:r w:rsidR="001D605D" w:rsidRPr="002661A8">
        <w:rPr>
          <w:rFonts w:ascii="Times New Roman" w:eastAsia="Calibri" w:hAnsi="Times New Roman" w:cs="Times New Roman"/>
          <w:noProof/>
          <w:sz w:val="24"/>
          <w:szCs w:val="24"/>
        </w:rPr>
        <w:t>,</w:t>
      </w:r>
      <w:r w:rsidR="0017431A" w:rsidRPr="002661A8">
        <w:rPr>
          <w:rFonts w:ascii="Times New Roman" w:eastAsia="Calibri" w:hAnsi="Times New Roman" w:cs="Times New Roman"/>
          <w:noProof/>
          <w:sz w:val="24"/>
          <w:szCs w:val="24"/>
        </w:rPr>
        <w:t xml:space="preserve"> or connect</w:t>
      </w:r>
      <w:r w:rsidR="0035375B" w:rsidRPr="002661A8">
        <w:rPr>
          <w:rFonts w:ascii="Times New Roman" w:eastAsia="Calibri" w:hAnsi="Times New Roman" w:cs="Times New Roman"/>
          <w:noProof/>
          <w:sz w:val="24"/>
          <w:szCs w:val="24"/>
        </w:rPr>
        <w:t>ing</w:t>
      </w:r>
      <w:r w:rsidR="0017431A" w:rsidRPr="002661A8">
        <w:rPr>
          <w:rFonts w:ascii="Times New Roman" w:eastAsia="Calibri" w:hAnsi="Times New Roman" w:cs="Times New Roman"/>
          <w:noProof/>
          <w:sz w:val="24"/>
          <w:szCs w:val="24"/>
        </w:rPr>
        <w:t xml:space="preserve"> to central IT facilities which could be established jointly</w:t>
      </w:r>
      <w:r w:rsidRPr="002661A8">
        <w:rPr>
          <w:rFonts w:ascii="Times New Roman" w:eastAsia="Calibri" w:hAnsi="Times New Roman" w:cs="Times New Roman"/>
          <w:noProof/>
          <w:sz w:val="24"/>
          <w:szCs w:val="24"/>
        </w:rPr>
        <w:t>,</w:t>
      </w:r>
      <w:r w:rsidR="001D605D" w:rsidRPr="002661A8">
        <w:rPr>
          <w:rFonts w:ascii="Times New Roman" w:eastAsia="Calibri" w:hAnsi="Times New Roman" w:cs="Times New Roman"/>
          <w:noProof/>
          <w:sz w:val="24"/>
          <w:szCs w:val="24"/>
        </w:rPr>
        <w:t xml:space="preserve"> </w:t>
      </w:r>
      <w:r w:rsidR="0017431A" w:rsidRPr="002661A8">
        <w:rPr>
          <w:rFonts w:ascii="Times New Roman" w:eastAsia="Calibri" w:hAnsi="Times New Roman" w:cs="Times New Roman"/>
          <w:noProof/>
          <w:sz w:val="24"/>
          <w:szCs w:val="24"/>
        </w:rPr>
        <w:t xml:space="preserve">e.g. using ESMA as a central IT hub. Doing so </w:t>
      </w:r>
      <w:r w:rsidR="0035375B" w:rsidRPr="002661A8">
        <w:rPr>
          <w:rFonts w:ascii="Times New Roman" w:eastAsia="Calibri" w:hAnsi="Times New Roman" w:cs="Times New Roman"/>
          <w:noProof/>
          <w:sz w:val="24"/>
          <w:szCs w:val="24"/>
        </w:rPr>
        <w:t>could mitigate</w:t>
      </w:r>
      <w:r w:rsidR="0017431A" w:rsidRPr="002661A8">
        <w:rPr>
          <w:rFonts w:ascii="Times New Roman" w:eastAsia="Calibri" w:hAnsi="Times New Roman" w:cs="Times New Roman"/>
          <w:noProof/>
          <w:sz w:val="24"/>
          <w:szCs w:val="24"/>
        </w:rPr>
        <w:t xml:space="preserve"> the cost</w:t>
      </w:r>
      <w:r w:rsidR="0035375B" w:rsidRPr="002661A8">
        <w:rPr>
          <w:rFonts w:ascii="Times New Roman" w:eastAsia="Calibri" w:hAnsi="Times New Roman" w:cs="Times New Roman"/>
          <w:noProof/>
          <w:sz w:val="24"/>
          <w:szCs w:val="24"/>
        </w:rPr>
        <w:t xml:space="preserve"> impact on</w:t>
      </w:r>
      <w:r w:rsidR="0017431A" w:rsidRPr="002661A8">
        <w:rPr>
          <w:rFonts w:ascii="Times New Roman" w:eastAsia="Calibri" w:hAnsi="Times New Roman" w:cs="Times New Roman"/>
          <w:noProof/>
          <w:sz w:val="24"/>
          <w:szCs w:val="24"/>
        </w:rPr>
        <w:t xml:space="preserve"> individual national supervisory authorit</w:t>
      </w:r>
      <w:r w:rsidR="001D605D" w:rsidRPr="002661A8">
        <w:rPr>
          <w:rFonts w:ascii="Times New Roman" w:eastAsia="Calibri" w:hAnsi="Times New Roman" w:cs="Times New Roman"/>
          <w:noProof/>
          <w:sz w:val="24"/>
          <w:szCs w:val="24"/>
        </w:rPr>
        <w:t>ies</w:t>
      </w:r>
      <w:r w:rsidR="0017431A" w:rsidRPr="002661A8">
        <w:rPr>
          <w:rFonts w:ascii="Times New Roman" w:eastAsia="Calibri" w:hAnsi="Times New Roman" w:cs="Times New Roman"/>
          <w:noProof/>
          <w:sz w:val="24"/>
          <w:szCs w:val="24"/>
        </w:rPr>
        <w:t>. Th</w:t>
      </w:r>
      <w:r w:rsidR="001D605D" w:rsidRPr="002661A8">
        <w:rPr>
          <w:rFonts w:ascii="Times New Roman" w:eastAsia="Calibri" w:hAnsi="Times New Roman" w:cs="Times New Roman"/>
          <w:noProof/>
          <w:sz w:val="24"/>
          <w:szCs w:val="24"/>
        </w:rPr>
        <w:t>e cost of the IT tools</w:t>
      </w:r>
      <w:r w:rsidR="0017431A" w:rsidRPr="002661A8">
        <w:rPr>
          <w:rFonts w:ascii="Times New Roman" w:eastAsia="Calibri" w:hAnsi="Times New Roman" w:cs="Times New Roman"/>
          <w:noProof/>
          <w:sz w:val="24"/>
          <w:szCs w:val="24"/>
        </w:rPr>
        <w:t xml:space="preserve"> would be</w:t>
      </w:r>
      <w:r w:rsidR="0035375B" w:rsidRPr="002661A8">
        <w:rPr>
          <w:rFonts w:ascii="Times New Roman" w:eastAsia="Calibri" w:hAnsi="Times New Roman" w:cs="Times New Roman"/>
          <w:noProof/>
          <w:sz w:val="24"/>
          <w:szCs w:val="24"/>
        </w:rPr>
        <w:t xml:space="preserve"> mainly</w:t>
      </w:r>
      <w:r w:rsidR="0017431A" w:rsidRPr="002661A8">
        <w:rPr>
          <w:rFonts w:ascii="Times New Roman" w:eastAsia="Calibri" w:hAnsi="Times New Roman" w:cs="Times New Roman"/>
          <w:noProof/>
          <w:sz w:val="24"/>
          <w:szCs w:val="24"/>
        </w:rPr>
        <w:t xml:space="preserve"> one-off (</w:t>
      </w:r>
      <w:r w:rsidR="0035375B" w:rsidRPr="002661A8">
        <w:rPr>
          <w:rFonts w:ascii="Times New Roman" w:eastAsia="Calibri" w:hAnsi="Times New Roman" w:cs="Times New Roman"/>
          <w:noProof/>
          <w:sz w:val="24"/>
          <w:szCs w:val="24"/>
        </w:rPr>
        <w:t>development</w:t>
      </w:r>
      <w:r w:rsidR="0017431A" w:rsidRPr="002661A8">
        <w:rPr>
          <w:rFonts w:ascii="Times New Roman" w:eastAsia="Calibri" w:hAnsi="Times New Roman" w:cs="Times New Roman"/>
          <w:noProof/>
          <w:sz w:val="24"/>
          <w:szCs w:val="24"/>
        </w:rPr>
        <w:t>)</w:t>
      </w:r>
      <w:r w:rsidR="0035375B" w:rsidRPr="002661A8">
        <w:rPr>
          <w:rFonts w:ascii="Times New Roman" w:eastAsia="Calibri" w:hAnsi="Times New Roman" w:cs="Times New Roman"/>
          <w:noProof/>
          <w:sz w:val="24"/>
          <w:szCs w:val="24"/>
        </w:rPr>
        <w:t>, with a smaller part ongoing (maintenance and updating)</w:t>
      </w:r>
      <w:r w:rsidR="0017431A" w:rsidRPr="002661A8">
        <w:rPr>
          <w:rFonts w:ascii="Times New Roman" w:eastAsia="Calibri" w:hAnsi="Times New Roman" w:cs="Times New Roman"/>
          <w:noProof/>
          <w:sz w:val="24"/>
          <w:szCs w:val="24"/>
        </w:rPr>
        <w:t xml:space="preserve">. </w:t>
      </w:r>
    </w:p>
    <w:p w14:paraId="290A81E7" w14:textId="05417A1B" w:rsidR="0017431A" w:rsidRPr="002661A8" w:rsidRDefault="00D15A40" w:rsidP="0017431A">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As regards </w:t>
      </w:r>
      <w:r w:rsidR="0017431A" w:rsidRPr="002661A8">
        <w:rPr>
          <w:rFonts w:ascii="Times New Roman" w:eastAsia="Calibri" w:hAnsi="Times New Roman" w:cs="Times New Roman"/>
          <w:b/>
          <w:noProof/>
          <w:sz w:val="24"/>
          <w:szCs w:val="24"/>
        </w:rPr>
        <w:t>ESMA</w:t>
      </w:r>
      <w:r w:rsidRPr="002661A8">
        <w:rPr>
          <w:rFonts w:ascii="Times New Roman" w:eastAsia="Calibri" w:hAnsi="Times New Roman" w:cs="Times New Roman"/>
          <w:noProof/>
          <w:sz w:val="24"/>
          <w:szCs w:val="24"/>
        </w:rPr>
        <w:t xml:space="preserve">, </w:t>
      </w:r>
      <w:r w:rsidR="0017431A" w:rsidRPr="002661A8">
        <w:rPr>
          <w:rFonts w:ascii="Times New Roman" w:eastAsia="Calibri" w:hAnsi="Times New Roman" w:cs="Times New Roman"/>
          <w:noProof/>
          <w:sz w:val="24"/>
          <w:szCs w:val="24"/>
        </w:rPr>
        <w:t xml:space="preserve">the procedures should be shorter and simpler and more standardised documents should be submitted, which should </w:t>
      </w:r>
      <w:r w:rsidR="00FA19F2" w:rsidRPr="002661A8">
        <w:rPr>
          <w:rFonts w:ascii="Times New Roman" w:eastAsia="Calibri" w:hAnsi="Times New Roman" w:cs="Times New Roman"/>
          <w:noProof/>
          <w:sz w:val="24"/>
          <w:szCs w:val="24"/>
        </w:rPr>
        <w:t xml:space="preserve">help </w:t>
      </w:r>
      <w:r w:rsidR="0017431A" w:rsidRPr="002661A8">
        <w:rPr>
          <w:rFonts w:ascii="Times New Roman" w:eastAsia="Calibri" w:hAnsi="Times New Roman" w:cs="Times New Roman"/>
          <w:noProof/>
          <w:sz w:val="24"/>
          <w:szCs w:val="24"/>
        </w:rPr>
        <w:t>to reduc</w:t>
      </w:r>
      <w:r w:rsidR="00FA19F2" w:rsidRPr="002661A8">
        <w:rPr>
          <w:rFonts w:ascii="Times New Roman" w:eastAsia="Calibri" w:hAnsi="Times New Roman" w:cs="Times New Roman"/>
          <w:noProof/>
          <w:sz w:val="24"/>
          <w:szCs w:val="24"/>
        </w:rPr>
        <w:t>e</w:t>
      </w:r>
      <w:r w:rsidR="0017431A" w:rsidRPr="002661A8">
        <w:rPr>
          <w:rFonts w:ascii="Times New Roman" w:eastAsia="Calibri" w:hAnsi="Times New Roman" w:cs="Times New Roman"/>
          <w:noProof/>
          <w:sz w:val="24"/>
          <w:szCs w:val="24"/>
        </w:rPr>
        <w:t xml:space="preserve"> or simplify </w:t>
      </w:r>
      <w:r w:rsidR="00FA19F2" w:rsidRPr="002661A8">
        <w:rPr>
          <w:rFonts w:ascii="Times New Roman" w:eastAsia="Calibri" w:hAnsi="Times New Roman" w:cs="Times New Roman"/>
          <w:noProof/>
          <w:sz w:val="24"/>
          <w:szCs w:val="24"/>
        </w:rPr>
        <w:t>ESMA’s</w:t>
      </w:r>
      <w:r w:rsidR="0017431A" w:rsidRPr="002661A8">
        <w:rPr>
          <w:rFonts w:ascii="Times New Roman" w:eastAsia="Calibri" w:hAnsi="Times New Roman" w:cs="Times New Roman"/>
          <w:noProof/>
          <w:sz w:val="24"/>
          <w:szCs w:val="24"/>
        </w:rPr>
        <w:t xml:space="preserve"> work. ESMA would also benefit from greater efficiencies </w:t>
      </w:r>
      <w:r w:rsidR="00567C06" w:rsidRPr="002661A8">
        <w:rPr>
          <w:rFonts w:ascii="Times New Roman" w:eastAsia="Calibri" w:hAnsi="Times New Roman" w:cs="Times New Roman"/>
          <w:noProof/>
          <w:sz w:val="24"/>
          <w:szCs w:val="24"/>
        </w:rPr>
        <w:t>by</w:t>
      </w:r>
      <w:r w:rsidR="0017431A" w:rsidRPr="002661A8">
        <w:rPr>
          <w:rFonts w:ascii="Times New Roman" w:eastAsia="Calibri" w:hAnsi="Times New Roman" w:cs="Times New Roman"/>
          <w:noProof/>
          <w:sz w:val="24"/>
          <w:szCs w:val="24"/>
        </w:rPr>
        <w:t xml:space="preserve"> us</w:t>
      </w:r>
      <w:r w:rsidR="00567C06" w:rsidRPr="002661A8">
        <w:rPr>
          <w:rFonts w:ascii="Times New Roman" w:eastAsia="Calibri" w:hAnsi="Times New Roman" w:cs="Times New Roman"/>
          <w:noProof/>
          <w:sz w:val="24"/>
          <w:szCs w:val="24"/>
        </w:rPr>
        <w:t>ing</w:t>
      </w:r>
      <w:r w:rsidR="0017431A" w:rsidRPr="002661A8">
        <w:rPr>
          <w:rFonts w:ascii="Times New Roman" w:eastAsia="Calibri" w:hAnsi="Times New Roman" w:cs="Times New Roman"/>
          <w:noProof/>
          <w:sz w:val="24"/>
          <w:szCs w:val="24"/>
        </w:rPr>
        <w:t xml:space="preserve"> new IT tools. These benefits would be ongoing. </w:t>
      </w:r>
      <w:r w:rsidR="00E671B2" w:rsidRPr="002661A8">
        <w:rPr>
          <w:rFonts w:ascii="Times New Roman" w:eastAsia="Calibri" w:hAnsi="Times New Roman" w:cs="Times New Roman"/>
          <w:noProof/>
          <w:sz w:val="24"/>
          <w:szCs w:val="24"/>
        </w:rPr>
        <w:t>M</w:t>
      </w:r>
      <w:r w:rsidR="0017431A" w:rsidRPr="002661A8">
        <w:rPr>
          <w:rFonts w:ascii="Times New Roman" w:eastAsia="Calibri" w:hAnsi="Times New Roman" w:cs="Times New Roman"/>
          <w:noProof/>
          <w:sz w:val="24"/>
          <w:szCs w:val="24"/>
        </w:rPr>
        <w:t>ore requests by CCPs to extend services may ensue as an indirect impact</w:t>
      </w:r>
      <w:r w:rsidR="00E671B2" w:rsidRPr="002661A8">
        <w:rPr>
          <w:rFonts w:ascii="Times New Roman" w:eastAsia="Calibri" w:hAnsi="Times New Roman" w:cs="Times New Roman"/>
          <w:noProof/>
          <w:sz w:val="24"/>
          <w:szCs w:val="24"/>
        </w:rPr>
        <w:t xml:space="preserve"> which may</w:t>
      </w:r>
      <w:r w:rsidR="00672FC6" w:rsidRPr="002661A8">
        <w:rPr>
          <w:rFonts w:ascii="Times New Roman" w:eastAsia="Calibri" w:hAnsi="Times New Roman" w:cs="Times New Roman"/>
          <w:noProof/>
          <w:sz w:val="24"/>
          <w:szCs w:val="24"/>
        </w:rPr>
        <w:t xml:space="preserve"> </w:t>
      </w:r>
      <w:r w:rsidR="0035375B" w:rsidRPr="002661A8">
        <w:rPr>
          <w:rFonts w:ascii="Times New Roman" w:eastAsia="Calibri" w:hAnsi="Times New Roman" w:cs="Times New Roman"/>
          <w:noProof/>
          <w:sz w:val="24"/>
          <w:szCs w:val="24"/>
        </w:rPr>
        <w:t>somewhat increase</w:t>
      </w:r>
      <w:r w:rsidR="0017431A" w:rsidRPr="002661A8">
        <w:rPr>
          <w:rFonts w:ascii="Times New Roman" w:eastAsia="Calibri" w:hAnsi="Times New Roman" w:cs="Times New Roman"/>
          <w:noProof/>
          <w:sz w:val="24"/>
          <w:szCs w:val="24"/>
        </w:rPr>
        <w:t xml:space="preserve"> </w:t>
      </w:r>
      <w:r w:rsidR="0035375B" w:rsidRPr="002661A8">
        <w:rPr>
          <w:rFonts w:ascii="Times New Roman" w:eastAsia="Calibri" w:hAnsi="Times New Roman" w:cs="Times New Roman"/>
          <w:noProof/>
          <w:sz w:val="24"/>
          <w:szCs w:val="24"/>
        </w:rPr>
        <w:t xml:space="preserve">ongoing </w:t>
      </w:r>
      <w:r w:rsidR="0017431A" w:rsidRPr="002661A8">
        <w:rPr>
          <w:rFonts w:ascii="Times New Roman" w:eastAsia="Calibri" w:hAnsi="Times New Roman" w:cs="Times New Roman"/>
          <w:noProof/>
          <w:sz w:val="24"/>
          <w:szCs w:val="24"/>
        </w:rPr>
        <w:t xml:space="preserve">costs. As regards the new IT tools, ESMA would have to bear costs related to </w:t>
      </w:r>
      <w:r w:rsidR="00E278AE">
        <w:rPr>
          <w:rFonts w:ascii="Times New Roman" w:eastAsia="Calibri" w:hAnsi="Times New Roman" w:cs="Times New Roman"/>
          <w:noProof/>
          <w:sz w:val="24"/>
          <w:szCs w:val="24"/>
        </w:rPr>
        <w:t>the</w:t>
      </w:r>
      <w:r w:rsidR="00E278AE" w:rsidRPr="002661A8">
        <w:rPr>
          <w:rFonts w:ascii="Times New Roman" w:eastAsia="Calibri" w:hAnsi="Times New Roman" w:cs="Times New Roman"/>
          <w:noProof/>
          <w:sz w:val="24"/>
          <w:szCs w:val="24"/>
        </w:rPr>
        <w:t xml:space="preserve"> </w:t>
      </w:r>
      <w:r w:rsidR="0017431A" w:rsidRPr="002661A8">
        <w:rPr>
          <w:rFonts w:ascii="Times New Roman" w:eastAsia="Calibri" w:hAnsi="Times New Roman" w:cs="Times New Roman"/>
          <w:noProof/>
          <w:sz w:val="24"/>
          <w:szCs w:val="24"/>
        </w:rPr>
        <w:t xml:space="preserve">technical and operational setup only if it used the same tools for its own purposes. Should ESMA operate IT tools on behalf of </w:t>
      </w:r>
      <w:r w:rsidR="0017431A" w:rsidRPr="002661A8" w:rsidDel="00E278AE">
        <w:rPr>
          <w:rFonts w:ascii="Times New Roman" w:eastAsia="Calibri" w:hAnsi="Times New Roman" w:cs="Times New Roman"/>
          <w:noProof/>
          <w:sz w:val="24"/>
          <w:szCs w:val="24"/>
        </w:rPr>
        <w:t>national supervisory authorities</w:t>
      </w:r>
      <w:r w:rsidR="0017431A" w:rsidRPr="002661A8">
        <w:rPr>
          <w:rFonts w:ascii="Times New Roman" w:eastAsia="Calibri" w:hAnsi="Times New Roman" w:cs="Times New Roman"/>
          <w:noProof/>
          <w:sz w:val="24"/>
          <w:szCs w:val="24"/>
        </w:rPr>
        <w:t>, such authorities would have to refund ESMA’s expenditures. This cost would be one-off, but maintenance costs would be ongoing.</w:t>
      </w:r>
    </w:p>
    <w:p w14:paraId="0267FBB3" w14:textId="711FDF94" w:rsidR="000923BE" w:rsidRPr="002661A8" w:rsidRDefault="000923BE" w:rsidP="00ED5088">
      <w:pPr>
        <w:pStyle w:val="Heading1"/>
        <w:numPr>
          <w:ilvl w:val="2"/>
          <w:numId w:val="6"/>
        </w:numPr>
        <w:spacing w:before="0" w:after="120"/>
        <w:rPr>
          <w:i/>
          <w:noProof/>
        </w:rPr>
      </w:pPr>
      <w:bookmarkStart w:id="852" w:name="_Toc105656447"/>
      <w:bookmarkStart w:id="853" w:name="_Toc106827847"/>
      <w:bookmarkStart w:id="854" w:name="_Toc106981723"/>
      <w:bookmarkStart w:id="855" w:name="_Toc107493863"/>
      <w:bookmarkStart w:id="856" w:name="_Toc107497899"/>
      <w:bookmarkStart w:id="857" w:name="_Toc107503452"/>
      <w:bookmarkStart w:id="858" w:name="_Toc107504600"/>
      <w:bookmarkStart w:id="859" w:name="_Toc107505445"/>
      <w:bookmarkStart w:id="860" w:name="_Toc108539595"/>
      <w:bookmarkStart w:id="861" w:name="_Toc108539817"/>
      <w:bookmarkStart w:id="862" w:name="_Toc108539935"/>
      <w:bookmarkStart w:id="863" w:name="_Toc108540014"/>
      <w:bookmarkStart w:id="864" w:name="_Toc109057393"/>
      <w:bookmarkStart w:id="865" w:name="_Toc109120759"/>
      <w:bookmarkStart w:id="866" w:name="_Toc109122394"/>
      <w:bookmarkStart w:id="867" w:name="_Toc109124107"/>
      <w:bookmarkStart w:id="868" w:name="_Toc109133131"/>
      <w:bookmarkStart w:id="869" w:name="_Toc109133307"/>
      <w:bookmarkStart w:id="870" w:name="_Toc120291665"/>
      <w:bookmarkStart w:id="871" w:name="_Toc104310007"/>
      <w:bookmarkStart w:id="872" w:name="_Toc107838921"/>
      <w:bookmarkStart w:id="873" w:name="_Toc107847016"/>
      <w:bookmarkStart w:id="874" w:name="_Toc107849253"/>
      <w:bookmarkStart w:id="875" w:name="_Toc107853700"/>
      <w:bookmarkStart w:id="876" w:name="_Toc107865294"/>
      <w:bookmarkStart w:id="877" w:name="_Toc108418503"/>
      <w:r w:rsidRPr="002661A8">
        <w:rPr>
          <w:b w:val="0"/>
          <w:i/>
          <w:smallCaps w:val="0"/>
          <w:noProof/>
        </w:rPr>
        <w:t xml:space="preserve">Option </w:t>
      </w:r>
      <w:r w:rsidR="00A8027C">
        <w:rPr>
          <w:b w:val="0"/>
          <w:i/>
          <w:smallCaps w:val="0"/>
          <w:noProof/>
        </w:rPr>
        <w:t>A</w:t>
      </w:r>
      <w:r w:rsidRPr="002661A8">
        <w:rPr>
          <w:b w:val="0"/>
          <w:i/>
          <w:smallCaps w:val="0"/>
          <w:noProof/>
        </w:rPr>
        <w:t>3 – Introduce an ex-post approval</w:t>
      </w:r>
      <w:r w:rsidR="001312D9" w:rsidRPr="002661A8">
        <w:rPr>
          <w:b w:val="0"/>
          <w:i/>
          <w:smallCaps w:val="0"/>
          <w:noProof/>
        </w:rPr>
        <w:t>/</w:t>
      </w:r>
      <w:r w:rsidR="0084008D">
        <w:rPr>
          <w:b w:val="0"/>
          <w:i/>
          <w:smallCaps w:val="0"/>
          <w:noProof/>
        </w:rPr>
        <w:t>non-objection procedure/</w:t>
      </w:r>
      <w:r w:rsidR="001312D9" w:rsidRPr="002661A8">
        <w:rPr>
          <w:b w:val="0"/>
          <w:i/>
          <w:smallCaps w:val="0"/>
          <w:noProof/>
        </w:rPr>
        <w:t>review</w:t>
      </w:r>
      <w:r w:rsidR="001312D9" w:rsidRPr="002661A8">
        <w:rPr>
          <w:noProof/>
        </w:rPr>
        <w:t xml:space="preserve"> </w:t>
      </w:r>
      <w:r w:rsidR="001312D9" w:rsidRPr="002661A8">
        <w:rPr>
          <w:b w:val="0"/>
          <w:i/>
          <w:smallCaps w:val="0"/>
          <w:noProof/>
        </w:rPr>
        <w:t>for certain changes</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r w:rsidR="001312D9" w:rsidRPr="002661A8">
        <w:rPr>
          <w:i/>
          <w:noProof/>
        </w:rPr>
        <w:t xml:space="preserve"> </w:t>
      </w:r>
      <w:bookmarkEnd w:id="871"/>
      <w:bookmarkEnd w:id="872"/>
      <w:bookmarkEnd w:id="873"/>
      <w:bookmarkEnd w:id="874"/>
      <w:bookmarkEnd w:id="875"/>
      <w:bookmarkEnd w:id="876"/>
      <w:bookmarkEnd w:id="877"/>
    </w:p>
    <w:p w14:paraId="6A2FBA12" w14:textId="7D114013" w:rsidR="000923BE" w:rsidRPr="002661A8" w:rsidRDefault="000923BE" w:rsidP="003E58F2">
      <w:pPr>
        <w:spacing w:after="120" w:line="240" w:lineRule="auto"/>
        <w:jc w:val="both"/>
        <w:rPr>
          <w:rFonts w:ascii="Times New Roman" w:eastAsia="Calibri" w:hAnsi="Times New Roman" w:cs="Times New Roman"/>
          <w:noProof/>
          <w:sz w:val="24"/>
          <w:szCs w:val="24"/>
          <w:u w:val="single"/>
        </w:rPr>
      </w:pPr>
      <w:r w:rsidRPr="002661A8">
        <w:rPr>
          <w:rFonts w:ascii="Times New Roman" w:eastAsia="Calibri" w:hAnsi="Times New Roman" w:cs="Times New Roman"/>
          <w:noProof/>
          <w:sz w:val="24"/>
          <w:szCs w:val="24"/>
          <w:u w:val="single"/>
        </w:rPr>
        <w:t xml:space="preserve">Effectiveness in meeting the specific objectives </w:t>
      </w:r>
    </w:p>
    <w:p w14:paraId="24B4B5E4" w14:textId="70A61D18" w:rsidR="00153A50" w:rsidRDefault="00E278AE" w:rsidP="003E58F2">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Certain</w:t>
      </w:r>
      <w:r w:rsidRPr="002661A8">
        <w:rPr>
          <w:rFonts w:ascii="Times New Roman" w:eastAsia="Calibri" w:hAnsi="Times New Roman" w:cs="Times New Roman"/>
          <w:noProof/>
          <w:sz w:val="24"/>
          <w:szCs w:val="24"/>
        </w:rPr>
        <w:t xml:space="preserve"> </w:t>
      </w:r>
      <w:r w:rsidR="000923BE" w:rsidRPr="002661A8">
        <w:rPr>
          <w:rFonts w:ascii="Times New Roman" w:eastAsia="Calibri" w:hAnsi="Times New Roman" w:cs="Times New Roman"/>
          <w:noProof/>
          <w:sz w:val="24"/>
          <w:szCs w:val="24"/>
        </w:rPr>
        <w:t>new activities (</w:t>
      </w:r>
      <w:r w:rsidR="00C60CAB" w:rsidRPr="002661A8">
        <w:rPr>
          <w:rFonts w:ascii="Times New Roman" w:eastAsia="Calibri" w:hAnsi="Times New Roman" w:cs="Times New Roman"/>
          <w:noProof/>
          <w:sz w:val="24"/>
          <w:szCs w:val="24"/>
        </w:rPr>
        <w:t xml:space="preserve">e.g. </w:t>
      </w:r>
      <w:r w:rsidR="000923BE" w:rsidRPr="002661A8">
        <w:rPr>
          <w:rFonts w:ascii="Times New Roman" w:eastAsia="Calibri" w:hAnsi="Times New Roman" w:cs="Times New Roman"/>
          <w:noProof/>
          <w:sz w:val="24"/>
          <w:szCs w:val="24"/>
        </w:rPr>
        <w:t xml:space="preserve">new products or services in an asset class a CCP is authorised to offer; new </w:t>
      </w:r>
      <w:r w:rsidR="00153A50">
        <w:rPr>
          <w:rFonts w:ascii="Times New Roman" w:eastAsia="Calibri" w:hAnsi="Times New Roman" w:cs="Times New Roman"/>
          <w:noProof/>
          <w:sz w:val="24"/>
          <w:szCs w:val="24"/>
        </w:rPr>
        <w:t xml:space="preserve">EU </w:t>
      </w:r>
      <w:r w:rsidR="000923BE" w:rsidRPr="002661A8">
        <w:rPr>
          <w:rFonts w:ascii="Times New Roman" w:eastAsia="Calibri" w:hAnsi="Times New Roman" w:cs="Times New Roman"/>
          <w:noProof/>
          <w:sz w:val="24"/>
          <w:szCs w:val="24"/>
        </w:rPr>
        <w:t xml:space="preserve">currency in case of an already multi-currency CCP) and changes in risk models </w:t>
      </w:r>
      <w:r w:rsidR="00BE4B15">
        <w:rPr>
          <w:rFonts w:ascii="Times New Roman" w:eastAsia="Calibri" w:hAnsi="Times New Roman" w:cs="Times New Roman"/>
          <w:noProof/>
          <w:sz w:val="24"/>
          <w:szCs w:val="24"/>
        </w:rPr>
        <w:t xml:space="preserve">which </w:t>
      </w:r>
      <w:r w:rsidR="006E0A92">
        <w:rPr>
          <w:rFonts w:ascii="Times New Roman" w:eastAsia="Calibri" w:hAnsi="Times New Roman" w:cs="Times New Roman"/>
          <w:noProof/>
          <w:sz w:val="24"/>
          <w:szCs w:val="24"/>
        </w:rPr>
        <w:t xml:space="preserve">do no not qualify as significant, could be assessed in accordance with </w:t>
      </w:r>
      <w:r w:rsidR="007864B4">
        <w:rPr>
          <w:rFonts w:ascii="Times New Roman" w:eastAsia="Calibri" w:hAnsi="Times New Roman" w:cs="Times New Roman"/>
          <w:noProof/>
          <w:sz w:val="24"/>
          <w:szCs w:val="24"/>
        </w:rPr>
        <w:t>non-objection</w:t>
      </w:r>
      <w:r w:rsidR="00BE4B15">
        <w:rPr>
          <w:rFonts w:ascii="Times New Roman" w:eastAsia="Calibri" w:hAnsi="Times New Roman" w:cs="Times New Roman"/>
          <w:noProof/>
          <w:sz w:val="24"/>
          <w:szCs w:val="24"/>
        </w:rPr>
        <w:t xml:space="preserve"> procedure</w:t>
      </w:r>
      <w:r w:rsidR="006E0A92">
        <w:rPr>
          <w:rFonts w:ascii="Times New Roman" w:eastAsia="Calibri" w:hAnsi="Times New Roman" w:cs="Times New Roman"/>
          <w:noProof/>
          <w:sz w:val="24"/>
          <w:szCs w:val="24"/>
        </w:rPr>
        <w:t>s</w:t>
      </w:r>
      <w:r w:rsidR="00BE4B15">
        <w:rPr>
          <w:rFonts w:ascii="Times New Roman" w:eastAsia="Calibri" w:hAnsi="Times New Roman" w:cs="Times New Roman"/>
          <w:noProof/>
          <w:sz w:val="24"/>
          <w:szCs w:val="24"/>
        </w:rPr>
        <w:t xml:space="preserve"> or validation</w:t>
      </w:r>
      <w:r w:rsidR="006E0A92">
        <w:rPr>
          <w:rFonts w:ascii="Times New Roman" w:eastAsia="Calibri" w:hAnsi="Times New Roman" w:cs="Times New Roman"/>
          <w:noProof/>
          <w:sz w:val="24"/>
          <w:szCs w:val="24"/>
        </w:rPr>
        <w:t>s</w:t>
      </w:r>
      <w:r w:rsidR="00BE4B15">
        <w:rPr>
          <w:rFonts w:ascii="Times New Roman" w:eastAsia="Calibri" w:hAnsi="Times New Roman" w:cs="Times New Roman"/>
          <w:noProof/>
          <w:sz w:val="24"/>
          <w:szCs w:val="24"/>
        </w:rPr>
        <w:t>,</w:t>
      </w:r>
      <w:r w:rsidR="00BE4B15" w:rsidRPr="002661A8">
        <w:rPr>
          <w:rFonts w:ascii="Times New Roman" w:eastAsia="Calibri" w:hAnsi="Times New Roman" w:cs="Times New Roman"/>
          <w:noProof/>
          <w:sz w:val="24"/>
          <w:szCs w:val="24"/>
        </w:rPr>
        <w:t xml:space="preserve"> </w:t>
      </w:r>
      <w:r w:rsidR="00691B27">
        <w:rPr>
          <w:rFonts w:ascii="Times New Roman" w:eastAsia="Calibri" w:hAnsi="Times New Roman" w:cs="Times New Roman"/>
          <w:noProof/>
          <w:sz w:val="24"/>
          <w:szCs w:val="24"/>
        </w:rPr>
        <w:t>where</w:t>
      </w:r>
      <w:r w:rsidR="006E0A92">
        <w:rPr>
          <w:rFonts w:ascii="Times New Roman" w:eastAsia="Calibri" w:hAnsi="Times New Roman" w:cs="Times New Roman"/>
          <w:noProof/>
          <w:sz w:val="24"/>
          <w:szCs w:val="24"/>
        </w:rPr>
        <w:t>,</w:t>
      </w:r>
      <w:r w:rsidR="00691B27">
        <w:rPr>
          <w:rFonts w:ascii="Times New Roman" w:eastAsia="Calibri" w:hAnsi="Times New Roman" w:cs="Times New Roman"/>
          <w:noProof/>
          <w:sz w:val="24"/>
          <w:szCs w:val="24"/>
        </w:rPr>
        <w:t xml:space="preserve"> </w:t>
      </w:r>
      <w:r w:rsidR="006E0A92">
        <w:rPr>
          <w:rFonts w:ascii="Times New Roman" w:eastAsia="Calibri" w:hAnsi="Times New Roman" w:cs="Times New Roman"/>
          <w:noProof/>
          <w:sz w:val="24"/>
          <w:szCs w:val="24"/>
        </w:rPr>
        <w:t>within a certain period of time, the application will be deemed to have been approved unless</w:t>
      </w:r>
      <w:r w:rsidR="00691B27">
        <w:rPr>
          <w:rFonts w:ascii="Times New Roman" w:eastAsia="Calibri" w:hAnsi="Times New Roman" w:cs="Times New Roman"/>
          <w:noProof/>
          <w:sz w:val="24"/>
          <w:szCs w:val="24"/>
        </w:rPr>
        <w:t xml:space="preserve"> the NCA</w:t>
      </w:r>
      <w:r>
        <w:rPr>
          <w:rFonts w:ascii="Times New Roman" w:eastAsia="Calibri" w:hAnsi="Times New Roman" w:cs="Times New Roman"/>
          <w:noProof/>
          <w:sz w:val="24"/>
          <w:szCs w:val="24"/>
        </w:rPr>
        <w:t xml:space="preserve"> (</w:t>
      </w:r>
      <w:r w:rsidR="00253718">
        <w:rPr>
          <w:rFonts w:ascii="Times New Roman" w:eastAsia="Calibri" w:hAnsi="Times New Roman" w:cs="Times New Roman"/>
          <w:noProof/>
          <w:sz w:val="24"/>
          <w:szCs w:val="24"/>
        </w:rPr>
        <w:t>and</w:t>
      </w:r>
      <w:r>
        <w:rPr>
          <w:rFonts w:ascii="Times New Roman" w:eastAsia="Calibri" w:hAnsi="Times New Roman" w:cs="Times New Roman"/>
          <w:noProof/>
          <w:sz w:val="24"/>
          <w:szCs w:val="24"/>
        </w:rPr>
        <w:t xml:space="preserve"> ESMA for risk models)</w:t>
      </w:r>
      <w:r w:rsidR="00691B27">
        <w:rPr>
          <w:rFonts w:ascii="Times New Roman" w:eastAsia="Calibri" w:hAnsi="Times New Roman" w:cs="Times New Roman"/>
          <w:noProof/>
          <w:sz w:val="24"/>
          <w:szCs w:val="24"/>
        </w:rPr>
        <w:t xml:space="preserve"> object</w:t>
      </w:r>
      <w:r w:rsidR="00A40B31">
        <w:rPr>
          <w:rFonts w:ascii="Times New Roman" w:eastAsia="Calibri" w:hAnsi="Times New Roman" w:cs="Times New Roman"/>
          <w:noProof/>
          <w:sz w:val="24"/>
          <w:szCs w:val="24"/>
        </w:rPr>
        <w:t>s</w:t>
      </w:r>
      <w:r w:rsidR="00691B27">
        <w:rPr>
          <w:rFonts w:ascii="Times New Roman" w:eastAsia="Calibri" w:hAnsi="Times New Roman" w:cs="Times New Roman"/>
          <w:noProof/>
          <w:sz w:val="24"/>
          <w:szCs w:val="24"/>
        </w:rPr>
        <w:t xml:space="preserve"> to the change. </w:t>
      </w:r>
    </w:p>
    <w:p w14:paraId="414A0ACB" w14:textId="4CA8C098" w:rsidR="001861F0" w:rsidRDefault="00D5754D" w:rsidP="003E58F2">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w:t>
      </w:r>
      <w:r w:rsidR="00691B27">
        <w:rPr>
          <w:rFonts w:ascii="Times New Roman" w:eastAsia="Calibri" w:hAnsi="Times New Roman" w:cs="Times New Roman"/>
          <w:noProof/>
          <w:sz w:val="24"/>
          <w:szCs w:val="24"/>
        </w:rPr>
        <w:t xml:space="preserve">n extension of services </w:t>
      </w:r>
      <w:r w:rsidR="00BE4B15">
        <w:rPr>
          <w:rFonts w:ascii="Times New Roman" w:eastAsia="Calibri" w:hAnsi="Times New Roman" w:cs="Times New Roman"/>
          <w:noProof/>
          <w:sz w:val="24"/>
          <w:szCs w:val="24"/>
        </w:rPr>
        <w:t xml:space="preserve">or model changes </w:t>
      </w:r>
      <w:r w:rsidR="00691B27">
        <w:rPr>
          <w:rFonts w:ascii="Times New Roman" w:eastAsia="Calibri" w:hAnsi="Times New Roman" w:cs="Times New Roman"/>
          <w:noProof/>
          <w:sz w:val="24"/>
          <w:szCs w:val="24"/>
        </w:rPr>
        <w:t>qualifying for a</w:t>
      </w:r>
      <w:r w:rsidR="001611AA">
        <w:rPr>
          <w:rFonts w:ascii="Times New Roman" w:eastAsia="Calibri" w:hAnsi="Times New Roman" w:cs="Times New Roman"/>
          <w:noProof/>
          <w:sz w:val="24"/>
          <w:szCs w:val="24"/>
        </w:rPr>
        <w:t>n</w:t>
      </w:r>
      <w:r w:rsidR="00691B27">
        <w:rPr>
          <w:rFonts w:ascii="Times New Roman" w:eastAsia="Calibri" w:hAnsi="Times New Roman" w:cs="Times New Roman"/>
          <w:noProof/>
          <w:sz w:val="24"/>
          <w:szCs w:val="24"/>
        </w:rPr>
        <w:t xml:space="preserve"> </w:t>
      </w:r>
      <w:r w:rsidR="00AF56CE">
        <w:rPr>
          <w:rFonts w:ascii="Times New Roman" w:eastAsia="Calibri" w:hAnsi="Times New Roman" w:cs="Times New Roman"/>
          <w:noProof/>
          <w:sz w:val="24"/>
          <w:szCs w:val="24"/>
        </w:rPr>
        <w:t>ex-post review/</w:t>
      </w:r>
      <w:r w:rsidR="00691B27">
        <w:rPr>
          <w:rFonts w:ascii="Times New Roman" w:eastAsia="Calibri" w:hAnsi="Times New Roman" w:cs="Times New Roman"/>
          <w:noProof/>
          <w:sz w:val="24"/>
          <w:szCs w:val="24"/>
        </w:rPr>
        <w:t xml:space="preserve">non-objection procedure </w:t>
      </w:r>
      <w:r w:rsidR="00BE4B15">
        <w:rPr>
          <w:rFonts w:ascii="Times New Roman" w:eastAsia="Calibri" w:hAnsi="Times New Roman" w:cs="Times New Roman"/>
          <w:noProof/>
          <w:sz w:val="24"/>
          <w:szCs w:val="24"/>
        </w:rPr>
        <w:t xml:space="preserve">or validation </w:t>
      </w:r>
      <w:r w:rsidR="000923BE" w:rsidRPr="002661A8">
        <w:rPr>
          <w:rFonts w:ascii="Times New Roman" w:eastAsia="Calibri" w:hAnsi="Times New Roman" w:cs="Times New Roman"/>
          <w:noProof/>
          <w:sz w:val="24"/>
          <w:szCs w:val="24"/>
        </w:rPr>
        <w:t xml:space="preserve">would be notified by the CCP to the </w:t>
      </w:r>
      <w:r w:rsidR="00746C05" w:rsidRPr="002661A8">
        <w:rPr>
          <w:rFonts w:ascii="Times New Roman" w:eastAsia="Calibri" w:hAnsi="Times New Roman" w:cs="Times New Roman"/>
          <w:noProof/>
          <w:sz w:val="24"/>
          <w:szCs w:val="24"/>
        </w:rPr>
        <w:t>NCA</w:t>
      </w:r>
      <w:r w:rsidR="00DA7C7C">
        <w:rPr>
          <w:rFonts w:ascii="Times New Roman" w:eastAsia="Calibri" w:hAnsi="Times New Roman" w:cs="Times New Roman"/>
          <w:noProof/>
          <w:sz w:val="24"/>
          <w:szCs w:val="24"/>
        </w:rPr>
        <w:t>, the college</w:t>
      </w:r>
      <w:r w:rsidR="00044823" w:rsidRPr="002661A8">
        <w:rPr>
          <w:rFonts w:ascii="Times New Roman" w:eastAsia="Calibri" w:hAnsi="Times New Roman" w:cs="Times New Roman"/>
          <w:noProof/>
          <w:sz w:val="24"/>
          <w:szCs w:val="24"/>
        </w:rPr>
        <w:t xml:space="preserve"> </w:t>
      </w:r>
      <w:r w:rsidR="000923BE" w:rsidRPr="002661A8">
        <w:rPr>
          <w:rFonts w:ascii="Times New Roman" w:eastAsia="Calibri" w:hAnsi="Times New Roman" w:cs="Times New Roman"/>
          <w:noProof/>
          <w:sz w:val="24"/>
          <w:szCs w:val="24"/>
        </w:rPr>
        <w:t>and ESMA</w:t>
      </w:r>
      <w:r w:rsidR="00F00DBE">
        <w:rPr>
          <w:rFonts w:ascii="Times New Roman" w:eastAsia="Calibri" w:hAnsi="Times New Roman" w:cs="Times New Roman"/>
          <w:noProof/>
          <w:sz w:val="24"/>
          <w:szCs w:val="24"/>
        </w:rPr>
        <w:t>. In some of those cases, where the change is very likely not significant or not raising the risk within the CCP, the CCP could be allowed</w:t>
      </w:r>
      <w:r>
        <w:rPr>
          <w:rFonts w:ascii="Times New Roman" w:eastAsia="Calibri" w:hAnsi="Times New Roman" w:cs="Times New Roman"/>
          <w:noProof/>
          <w:sz w:val="24"/>
          <w:szCs w:val="24"/>
        </w:rPr>
        <w:t>,</w:t>
      </w:r>
      <w:r w:rsidR="00F00DBE">
        <w:rPr>
          <w:rFonts w:ascii="Times New Roman" w:eastAsia="Calibri" w:hAnsi="Times New Roman" w:cs="Times New Roman"/>
          <w:noProof/>
          <w:sz w:val="24"/>
          <w:szCs w:val="24"/>
        </w:rPr>
        <w:t xml:space="preserve"> </w:t>
      </w:r>
      <w:r w:rsidR="00F00DBE" w:rsidDel="00D5754D">
        <w:rPr>
          <w:rFonts w:ascii="Times New Roman" w:eastAsia="Calibri" w:hAnsi="Times New Roman" w:cs="Times New Roman"/>
          <w:noProof/>
          <w:sz w:val="24"/>
          <w:szCs w:val="24"/>
        </w:rPr>
        <w:t xml:space="preserve">to </w:t>
      </w:r>
      <w:r w:rsidR="00F00DBE" w:rsidRPr="00F00DBE">
        <w:rPr>
          <w:rFonts w:ascii="Times New Roman" w:eastAsia="Calibri" w:hAnsi="Times New Roman" w:cs="Times New Roman"/>
          <w:noProof/>
          <w:sz w:val="24"/>
          <w:szCs w:val="24"/>
        </w:rPr>
        <w:t>provide</w:t>
      </w:r>
      <w:r w:rsidR="00F00DBE" w:rsidRPr="00F00DBE" w:rsidDel="00D5754D">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the services</w:t>
      </w:r>
      <w:r w:rsidRPr="00F00DBE">
        <w:rPr>
          <w:rFonts w:ascii="Times New Roman" w:eastAsia="Calibri" w:hAnsi="Times New Roman" w:cs="Times New Roman"/>
          <w:noProof/>
          <w:sz w:val="24"/>
          <w:szCs w:val="24"/>
        </w:rPr>
        <w:t xml:space="preserve"> </w:t>
      </w:r>
      <w:r w:rsidR="00F00DBE" w:rsidRPr="00F00DBE">
        <w:rPr>
          <w:rFonts w:ascii="Times New Roman" w:eastAsia="Calibri" w:hAnsi="Times New Roman" w:cs="Times New Roman"/>
          <w:noProof/>
          <w:sz w:val="24"/>
          <w:szCs w:val="24"/>
        </w:rPr>
        <w:t>or apply the model change</w:t>
      </w:r>
      <w:r w:rsidR="00F00DBE">
        <w:rPr>
          <w:rFonts w:ascii="Times New Roman" w:eastAsia="Calibri" w:hAnsi="Times New Roman" w:cs="Times New Roman"/>
          <w:noProof/>
          <w:sz w:val="24"/>
          <w:szCs w:val="24"/>
        </w:rPr>
        <w:t>s</w:t>
      </w:r>
      <w:r>
        <w:rPr>
          <w:rFonts w:ascii="Times New Roman" w:eastAsia="Calibri" w:hAnsi="Times New Roman" w:cs="Times New Roman"/>
          <w:noProof/>
          <w:sz w:val="24"/>
          <w:szCs w:val="24"/>
        </w:rPr>
        <w:t xml:space="preserve"> as soon as it submits its application</w:t>
      </w:r>
      <w:r w:rsidR="00BE4B15">
        <w:rPr>
          <w:rFonts w:ascii="Times New Roman" w:eastAsia="Calibri" w:hAnsi="Times New Roman" w:cs="Times New Roman"/>
          <w:noProof/>
          <w:sz w:val="24"/>
          <w:szCs w:val="24"/>
        </w:rPr>
        <w:t xml:space="preserve">. However, </w:t>
      </w:r>
      <w:r w:rsidR="007864B4">
        <w:rPr>
          <w:rFonts w:ascii="Times New Roman" w:eastAsia="Calibri" w:hAnsi="Times New Roman" w:cs="Times New Roman"/>
          <w:noProof/>
          <w:sz w:val="24"/>
          <w:szCs w:val="24"/>
        </w:rPr>
        <w:t>if</w:t>
      </w:r>
      <w:r w:rsidR="00BE4B15">
        <w:rPr>
          <w:rFonts w:ascii="Times New Roman" w:eastAsia="Calibri" w:hAnsi="Times New Roman" w:cs="Times New Roman"/>
          <w:noProof/>
          <w:sz w:val="24"/>
          <w:szCs w:val="24"/>
        </w:rPr>
        <w:t xml:space="preserve"> the </w:t>
      </w:r>
      <w:r w:rsidR="007864B4">
        <w:rPr>
          <w:rFonts w:ascii="Times New Roman" w:eastAsia="Calibri" w:hAnsi="Times New Roman" w:cs="Times New Roman"/>
          <w:noProof/>
          <w:sz w:val="24"/>
          <w:szCs w:val="24"/>
        </w:rPr>
        <w:t>NCA objected by the end of the non-objection period,</w:t>
      </w:r>
      <w:r w:rsidR="00BE4B15">
        <w:rPr>
          <w:rFonts w:ascii="Times New Roman" w:eastAsia="Calibri" w:hAnsi="Times New Roman" w:cs="Times New Roman"/>
          <w:noProof/>
          <w:sz w:val="24"/>
          <w:szCs w:val="24"/>
        </w:rPr>
        <w:t xml:space="preserve"> the CCP </w:t>
      </w:r>
      <w:r w:rsidR="007864B4">
        <w:rPr>
          <w:rFonts w:ascii="Times New Roman" w:eastAsia="Calibri" w:hAnsi="Times New Roman" w:cs="Times New Roman"/>
          <w:noProof/>
          <w:sz w:val="24"/>
          <w:szCs w:val="24"/>
        </w:rPr>
        <w:t>would have to stop</w:t>
      </w:r>
      <w:r w:rsidR="00BE4B15">
        <w:rPr>
          <w:rFonts w:ascii="Times New Roman" w:eastAsia="Calibri" w:hAnsi="Times New Roman" w:cs="Times New Roman"/>
          <w:noProof/>
          <w:sz w:val="24"/>
          <w:szCs w:val="24"/>
        </w:rPr>
        <w:t xml:space="preserve"> offer</w:t>
      </w:r>
      <w:r w:rsidR="007864B4">
        <w:rPr>
          <w:rFonts w:ascii="Times New Roman" w:eastAsia="Calibri" w:hAnsi="Times New Roman" w:cs="Times New Roman"/>
          <w:noProof/>
          <w:sz w:val="24"/>
          <w:szCs w:val="24"/>
        </w:rPr>
        <w:t>ing</w:t>
      </w:r>
      <w:r w:rsidR="00BE4B15">
        <w:rPr>
          <w:rFonts w:ascii="Times New Roman" w:eastAsia="Calibri" w:hAnsi="Times New Roman" w:cs="Times New Roman"/>
          <w:noProof/>
          <w:sz w:val="24"/>
          <w:szCs w:val="24"/>
        </w:rPr>
        <w:t xml:space="preserve"> this clearing services or us</w:t>
      </w:r>
      <w:r w:rsidR="007864B4">
        <w:rPr>
          <w:rFonts w:ascii="Times New Roman" w:eastAsia="Calibri" w:hAnsi="Times New Roman" w:cs="Times New Roman"/>
          <w:noProof/>
          <w:sz w:val="24"/>
          <w:szCs w:val="24"/>
        </w:rPr>
        <w:t>ing</w:t>
      </w:r>
      <w:r w:rsidR="00BE4B15">
        <w:rPr>
          <w:rFonts w:ascii="Times New Roman" w:eastAsia="Calibri" w:hAnsi="Times New Roman" w:cs="Times New Roman"/>
          <w:noProof/>
          <w:sz w:val="24"/>
          <w:szCs w:val="24"/>
        </w:rPr>
        <w:t xml:space="preserve"> the new model</w:t>
      </w:r>
      <w:r w:rsidR="001C57A7">
        <w:rPr>
          <w:rFonts w:ascii="Times New Roman" w:eastAsia="Calibri" w:hAnsi="Times New Roman" w:cs="Times New Roman"/>
          <w:noProof/>
          <w:sz w:val="24"/>
          <w:szCs w:val="24"/>
        </w:rPr>
        <w:t>.</w:t>
      </w:r>
    </w:p>
    <w:p w14:paraId="546D3129" w14:textId="6EFBC028" w:rsidR="00226200" w:rsidRDefault="001861F0" w:rsidP="003E58F2">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To implement those changes </w:t>
      </w:r>
      <w:r w:rsidR="0059117C">
        <w:rPr>
          <w:rFonts w:ascii="Times New Roman" w:eastAsia="Calibri" w:hAnsi="Times New Roman" w:cs="Times New Roman"/>
          <w:noProof/>
          <w:sz w:val="24"/>
          <w:szCs w:val="24"/>
        </w:rPr>
        <w:t>different</w:t>
      </w:r>
      <w:r>
        <w:rPr>
          <w:rFonts w:ascii="Times New Roman" w:eastAsia="Calibri" w:hAnsi="Times New Roman" w:cs="Times New Roman"/>
          <w:noProof/>
          <w:sz w:val="24"/>
          <w:szCs w:val="24"/>
        </w:rPr>
        <w:t xml:space="preserve"> options could be used, </w:t>
      </w:r>
      <w:r w:rsidR="00C04126">
        <w:rPr>
          <w:rFonts w:ascii="Times New Roman" w:eastAsia="Calibri" w:hAnsi="Times New Roman" w:cs="Times New Roman"/>
          <w:noProof/>
          <w:sz w:val="24"/>
          <w:szCs w:val="24"/>
        </w:rPr>
        <w:t xml:space="preserve">including </w:t>
      </w:r>
      <w:r>
        <w:rPr>
          <w:rFonts w:ascii="Times New Roman" w:eastAsia="Calibri" w:hAnsi="Times New Roman" w:cs="Times New Roman"/>
          <w:noProof/>
          <w:sz w:val="24"/>
          <w:szCs w:val="24"/>
        </w:rPr>
        <w:t xml:space="preserve">a </w:t>
      </w:r>
      <w:r w:rsidR="001611AA">
        <w:rPr>
          <w:rFonts w:ascii="Times New Roman" w:eastAsia="Calibri" w:hAnsi="Times New Roman" w:cs="Times New Roman"/>
          <w:noProof/>
          <w:sz w:val="24"/>
          <w:szCs w:val="24"/>
        </w:rPr>
        <w:t>combination</w:t>
      </w:r>
      <w:r>
        <w:rPr>
          <w:rFonts w:ascii="Times New Roman" w:eastAsia="Calibri" w:hAnsi="Times New Roman" w:cs="Times New Roman"/>
          <w:noProof/>
          <w:sz w:val="24"/>
          <w:szCs w:val="24"/>
        </w:rPr>
        <w:t xml:space="preserve"> between targeted changes under EMIR and empowerments </w:t>
      </w:r>
      <w:r w:rsidR="00727CF3">
        <w:rPr>
          <w:rFonts w:ascii="Times New Roman" w:eastAsia="Calibri" w:hAnsi="Times New Roman" w:cs="Times New Roman"/>
          <w:noProof/>
          <w:sz w:val="24"/>
          <w:szCs w:val="24"/>
        </w:rPr>
        <w:t xml:space="preserve">in the form of a </w:t>
      </w:r>
      <w:r w:rsidR="002D28FF">
        <w:rPr>
          <w:rFonts w:ascii="Times New Roman" w:eastAsia="Calibri" w:hAnsi="Times New Roman" w:cs="Times New Roman"/>
          <w:noProof/>
          <w:sz w:val="24"/>
          <w:szCs w:val="24"/>
        </w:rPr>
        <w:t>delegated act</w:t>
      </w:r>
      <w:r w:rsidR="00C04126">
        <w:rPr>
          <w:rFonts w:ascii="Times New Roman" w:eastAsia="Calibri" w:hAnsi="Times New Roman" w:cs="Times New Roman"/>
          <w:noProof/>
          <w:sz w:val="24"/>
          <w:szCs w:val="24"/>
        </w:rPr>
        <w:t>:</w:t>
      </w:r>
      <w:r w:rsidR="002D28FF" w:rsidDel="00C04126">
        <w:rPr>
          <w:rFonts w:ascii="Times New Roman" w:eastAsia="Calibri" w:hAnsi="Times New Roman" w:cs="Times New Roman"/>
          <w:noProof/>
          <w:sz w:val="24"/>
          <w:szCs w:val="24"/>
        </w:rPr>
        <w:t xml:space="preserve"> </w:t>
      </w:r>
      <w:r w:rsidR="002D28FF">
        <w:rPr>
          <w:rFonts w:ascii="Times New Roman" w:eastAsia="Calibri" w:hAnsi="Times New Roman" w:cs="Times New Roman"/>
          <w:noProof/>
          <w:sz w:val="24"/>
          <w:szCs w:val="24"/>
        </w:rPr>
        <w:t xml:space="preserve">targeted changes </w:t>
      </w:r>
      <w:r w:rsidR="001C57A7">
        <w:rPr>
          <w:rFonts w:ascii="Times New Roman" w:eastAsia="Calibri" w:hAnsi="Times New Roman" w:cs="Times New Roman"/>
          <w:noProof/>
          <w:sz w:val="24"/>
          <w:szCs w:val="24"/>
        </w:rPr>
        <w:t>c</w:t>
      </w:r>
      <w:r w:rsidR="002D28FF">
        <w:rPr>
          <w:rFonts w:ascii="Times New Roman" w:eastAsia="Calibri" w:hAnsi="Times New Roman" w:cs="Times New Roman"/>
          <w:noProof/>
          <w:sz w:val="24"/>
          <w:szCs w:val="24"/>
        </w:rPr>
        <w:t xml:space="preserve">ould be included in EMIR to provide for the ex-post/non-objection procedure and complemented by </w:t>
      </w:r>
      <w:r w:rsidR="00C04126">
        <w:rPr>
          <w:rFonts w:ascii="Times New Roman" w:eastAsia="Calibri" w:hAnsi="Times New Roman" w:cs="Times New Roman"/>
          <w:noProof/>
          <w:sz w:val="24"/>
          <w:szCs w:val="24"/>
        </w:rPr>
        <w:t>level 2 acts</w:t>
      </w:r>
      <w:r w:rsidR="001C57A7">
        <w:rPr>
          <w:rFonts w:ascii="Times New Roman" w:eastAsia="Calibri" w:hAnsi="Times New Roman" w:cs="Times New Roman"/>
          <w:noProof/>
          <w:sz w:val="24"/>
          <w:szCs w:val="24"/>
        </w:rPr>
        <w:t xml:space="preserve"> (RTS and ITS) </w:t>
      </w:r>
      <w:r w:rsidR="002D28FF">
        <w:rPr>
          <w:rFonts w:ascii="Times New Roman" w:eastAsia="Calibri" w:hAnsi="Times New Roman" w:cs="Times New Roman"/>
          <w:noProof/>
          <w:sz w:val="24"/>
          <w:szCs w:val="24"/>
        </w:rPr>
        <w:t xml:space="preserve">to further specify the list of non-material changes </w:t>
      </w:r>
      <w:r w:rsidR="00C04126">
        <w:rPr>
          <w:rFonts w:ascii="Times New Roman" w:eastAsia="Calibri" w:hAnsi="Times New Roman" w:cs="Times New Roman"/>
          <w:noProof/>
          <w:sz w:val="24"/>
          <w:szCs w:val="24"/>
        </w:rPr>
        <w:t xml:space="preserve">for which </w:t>
      </w:r>
      <w:r w:rsidR="002D28FF">
        <w:rPr>
          <w:rFonts w:ascii="Times New Roman" w:eastAsia="Calibri" w:hAnsi="Times New Roman" w:cs="Times New Roman"/>
          <w:noProof/>
          <w:sz w:val="24"/>
          <w:szCs w:val="24"/>
        </w:rPr>
        <w:t xml:space="preserve">the ex-post/non-objection procedure </w:t>
      </w:r>
      <w:r w:rsidR="00C04126">
        <w:rPr>
          <w:rFonts w:ascii="Times New Roman" w:eastAsia="Calibri" w:hAnsi="Times New Roman" w:cs="Times New Roman"/>
          <w:noProof/>
          <w:sz w:val="24"/>
          <w:szCs w:val="24"/>
        </w:rPr>
        <w:t>could</w:t>
      </w:r>
      <w:r w:rsidR="002D28FF">
        <w:rPr>
          <w:rFonts w:ascii="Times New Roman" w:eastAsia="Calibri" w:hAnsi="Times New Roman" w:cs="Times New Roman"/>
          <w:noProof/>
          <w:sz w:val="24"/>
          <w:szCs w:val="24"/>
        </w:rPr>
        <w:t xml:space="preserve"> apply</w:t>
      </w:r>
      <w:r w:rsidR="00BE4B15">
        <w:rPr>
          <w:rFonts w:ascii="Times New Roman" w:eastAsia="Calibri" w:hAnsi="Times New Roman" w:cs="Times New Roman"/>
          <w:noProof/>
          <w:sz w:val="24"/>
          <w:szCs w:val="24"/>
        </w:rPr>
        <w:t>.</w:t>
      </w:r>
      <w:r w:rsidR="002D28FF" w:rsidRPr="002661A8" w:rsidDel="002D28FF">
        <w:rPr>
          <w:rFonts w:ascii="Times New Roman" w:eastAsia="Calibri" w:hAnsi="Times New Roman" w:cs="Times New Roman"/>
          <w:noProof/>
          <w:sz w:val="24"/>
          <w:szCs w:val="24"/>
        </w:rPr>
        <w:t xml:space="preserve"> </w:t>
      </w:r>
      <w:r w:rsidR="00F86618">
        <w:rPr>
          <w:rFonts w:ascii="Times New Roman" w:eastAsia="Calibri" w:hAnsi="Times New Roman" w:cs="Times New Roman"/>
          <w:noProof/>
          <w:sz w:val="24"/>
          <w:szCs w:val="24"/>
        </w:rPr>
        <w:t>The cost and risk</w:t>
      </w:r>
      <w:r w:rsidR="00C04126">
        <w:rPr>
          <w:rFonts w:ascii="Times New Roman" w:eastAsia="Calibri" w:hAnsi="Times New Roman" w:cs="Times New Roman"/>
          <w:noProof/>
          <w:sz w:val="24"/>
          <w:szCs w:val="24"/>
        </w:rPr>
        <w:t>s</w:t>
      </w:r>
      <w:r w:rsidR="00F86618">
        <w:rPr>
          <w:rFonts w:ascii="Times New Roman" w:eastAsia="Calibri" w:hAnsi="Times New Roman" w:cs="Times New Roman"/>
          <w:noProof/>
          <w:sz w:val="24"/>
          <w:szCs w:val="24"/>
        </w:rPr>
        <w:t xml:space="preserve"> to the CCP </w:t>
      </w:r>
      <w:r w:rsidR="00C04126">
        <w:rPr>
          <w:rFonts w:ascii="Times New Roman" w:eastAsia="Calibri" w:hAnsi="Times New Roman" w:cs="Times New Roman"/>
          <w:noProof/>
          <w:sz w:val="24"/>
          <w:szCs w:val="24"/>
        </w:rPr>
        <w:t xml:space="preserve">in that case </w:t>
      </w:r>
      <w:r w:rsidR="001C57A7">
        <w:rPr>
          <w:rFonts w:ascii="Times New Roman" w:eastAsia="Calibri" w:hAnsi="Times New Roman" w:cs="Times New Roman"/>
          <w:noProof/>
          <w:sz w:val="24"/>
          <w:szCs w:val="24"/>
        </w:rPr>
        <w:t>would appear to be</w:t>
      </w:r>
      <w:r w:rsidR="00BE4B15">
        <w:rPr>
          <w:rFonts w:ascii="Times New Roman" w:eastAsia="Calibri" w:hAnsi="Times New Roman" w:cs="Times New Roman"/>
          <w:noProof/>
          <w:sz w:val="24"/>
          <w:szCs w:val="24"/>
        </w:rPr>
        <w:t xml:space="preserve"> lim</w:t>
      </w:r>
      <w:r w:rsidR="00F60A62">
        <w:rPr>
          <w:rFonts w:ascii="Times New Roman" w:eastAsia="Calibri" w:hAnsi="Times New Roman" w:cs="Times New Roman"/>
          <w:noProof/>
          <w:sz w:val="24"/>
          <w:szCs w:val="24"/>
        </w:rPr>
        <w:t>i</w:t>
      </w:r>
      <w:r w:rsidR="00BE4B15">
        <w:rPr>
          <w:rFonts w:ascii="Times New Roman" w:eastAsia="Calibri" w:hAnsi="Times New Roman" w:cs="Times New Roman"/>
          <w:noProof/>
          <w:sz w:val="24"/>
          <w:szCs w:val="24"/>
        </w:rPr>
        <w:t>ted</w:t>
      </w:r>
      <w:r w:rsidR="00F86618">
        <w:rPr>
          <w:rFonts w:ascii="Times New Roman" w:eastAsia="Calibri" w:hAnsi="Times New Roman" w:cs="Times New Roman"/>
          <w:noProof/>
          <w:sz w:val="24"/>
          <w:szCs w:val="24"/>
        </w:rPr>
        <w:t>. This is due to the understanding that a CCP would only start offering clearing</w:t>
      </w:r>
      <w:r w:rsidR="00691B27">
        <w:rPr>
          <w:rFonts w:ascii="Times New Roman" w:eastAsia="Calibri" w:hAnsi="Times New Roman" w:cs="Times New Roman"/>
          <w:noProof/>
          <w:sz w:val="24"/>
          <w:szCs w:val="24"/>
        </w:rPr>
        <w:t xml:space="preserve"> or applying a model change</w:t>
      </w:r>
      <w:r w:rsidR="00F86618">
        <w:rPr>
          <w:rFonts w:ascii="Times New Roman" w:eastAsia="Calibri" w:hAnsi="Times New Roman" w:cs="Times New Roman"/>
          <w:noProof/>
          <w:sz w:val="24"/>
          <w:szCs w:val="24"/>
        </w:rPr>
        <w:t>, without an approval, when the CCP is sure that the offer would clearly fall under the non-objection procedure</w:t>
      </w:r>
      <w:r w:rsidR="00691B27">
        <w:rPr>
          <w:rFonts w:ascii="Times New Roman" w:eastAsia="Calibri" w:hAnsi="Times New Roman" w:cs="Times New Roman"/>
          <w:noProof/>
          <w:sz w:val="24"/>
          <w:szCs w:val="24"/>
        </w:rPr>
        <w:t xml:space="preserve"> or validation</w:t>
      </w:r>
      <w:r w:rsidR="00F86618">
        <w:rPr>
          <w:rFonts w:ascii="Times New Roman" w:eastAsia="Calibri" w:hAnsi="Times New Roman" w:cs="Times New Roman"/>
          <w:noProof/>
          <w:sz w:val="24"/>
          <w:szCs w:val="24"/>
        </w:rPr>
        <w:t xml:space="preserve">, and if unsure, the CCP would wait a short period of time for this to be confirmed. </w:t>
      </w:r>
    </w:p>
    <w:p w14:paraId="039E941D" w14:textId="1DC4C448" w:rsidR="00301425" w:rsidRPr="002661A8" w:rsidRDefault="000923BE" w:rsidP="003E58F2">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This option would simp</w:t>
      </w:r>
      <w:r w:rsidR="00212AA3" w:rsidRPr="002661A8">
        <w:rPr>
          <w:rFonts w:ascii="Times New Roman" w:eastAsia="Calibri" w:hAnsi="Times New Roman" w:cs="Times New Roman"/>
          <w:noProof/>
          <w:sz w:val="24"/>
          <w:szCs w:val="24"/>
        </w:rPr>
        <w:t>lify</w:t>
      </w:r>
      <w:r w:rsidRPr="002661A8">
        <w:rPr>
          <w:rFonts w:ascii="Times New Roman" w:eastAsia="Calibri" w:hAnsi="Times New Roman" w:cs="Times New Roman"/>
          <w:noProof/>
          <w:sz w:val="24"/>
          <w:szCs w:val="24"/>
        </w:rPr>
        <w:t xml:space="preserve"> the framework and clarify which changes require a full procedure and which ones do not, thus also fostering harmonisation</w:t>
      </w:r>
      <w:r w:rsidR="00871285" w:rsidRPr="002661A8">
        <w:rPr>
          <w:rFonts w:ascii="Times New Roman" w:eastAsia="Calibri" w:hAnsi="Times New Roman" w:cs="Times New Roman"/>
          <w:noProof/>
          <w:sz w:val="24"/>
          <w:szCs w:val="24"/>
        </w:rPr>
        <w:t>.</w:t>
      </w:r>
      <w:r w:rsidR="00387954"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 xml:space="preserve">It would avoid </w:t>
      </w:r>
      <w:r w:rsidR="002B5021" w:rsidRPr="002661A8">
        <w:rPr>
          <w:rFonts w:ascii="Times New Roman" w:eastAsia="Calibri" w:hAnsi="Times New Roman" w:cs="Times New Roman"/>
          <w:noProof/>
          <w:sz w:val="24"/>
          <w:szCs w:val="24"/>
        </w:rPr>
        <w:t>unnecessarily</w:t>
      </w:r>
      <w:r w:rsidRPr="002661A8">
        <w:rPr>
          <w:rFonts w:ascii="Times New Roman" w:eastAsia="Calibri" w:hAnsi="Times New Roman" w:cs="Times New Roman"/>
          <w:noProof/>
          <w:sz w:val="24"/>
          <w:szCs w:val="24"/>
        </w:rPr>
        <w:t xml:space="preserve"> burdensome procedures </w:t>
      </w:r>
      <w:r w:rsidR="00787C96" w:rsidRPr="002661A8">
        <w:rPr>
          <w:rFonts w:ascii="Times New Roman" w:eastAsia="Calibri" w:hAnsi="Times New Roman" w:cs="Times New Roman"/>
          <w:noProof/>
          <w:sz w:val="24"/>
          <w:szCs w:val="24"/>
        </w:rPr>
        <w:t xml:space="preserve">and ensuing administrative and opportunity costs </w:t>
      </w:r>
      <w:r w:rsidR="00301425" w:rsidRPr="002661A8">
        <w:rPr>
          <w:rFonts w:ascii="Times New Roman" w:eastAsia="Calibri" w:hAnsi="Times New Roman" w:cs="Times New Roman"/>
          <w:noProof/>
          <w:sz w:val="24"/>
          <w:szCs w:val="24"/>
        </w:rPr>
        <w:t>and</w:t>
      </w:r>
      <w:r w:rsidR="00787C96" w:rsidRPr="002661A8">
        <w:rPr>
          <w:rFonts w:ascii="Times New Roman" w:eastAsia="Calibri" w:hAnsi="Times New Roman" w:cs="Times New Roman"/>
          <w:noProof/>
          <w:sz w:val="24"/>
          <w:szCs w:val="24"/>
        </w:rPr>
        <w:t xml:space="preserve"> thus</w:t>
      </w:r>
      <w:r w:rsidR="00301425" w:rsidRPr="002661A8">
        <w:rPr>
          <w:rFonts w:ascii="Times New Roman" w:eastAsia="Calibri" w:hAnsi="Times New Roman" w:cs="Times New Roman"/>
          <w:noProof/>
          <w:sz w:val="24"/>
          <w:szCs w:val="24"/>
        </w:rPr>
        <w:t xml:space="preserve"> contribute to enhancing </w:t>
      </w:r>
      <w:r w:rsidR="00212AA3" w:rsidRPr="002661A8">
        <w:rPr>
          <w:rFonts w:ascii="Times New Roman" w:eastAsia="Calibri" w:hAnsi="Times New Roman" w:cs="Times New Roman"/>
          <w:noProof/>
          <w:sz w:val="24"/>
          <w:szCs w:val="24"/>
        </w:rPr>
        <w:t xml:space="preserve">the attractiveness </w:t>
      </w:r>
      <w:r w:rsidR="00301425" w:rsidRPr="002661A8">
        <w:rPr>
          <w:rFonts w:ascii="Times New Roman" w:eastAsia="Calibri" w:hAnsi="Times New Roman" w:cs="Times New Roman"/>
          <w:noProof/>
          <w:sz w:val="24"/>
          <w:szCs w:val="24"/>
        </w:rPr>
        <w:t>of EU CCPs</w:t>
      </w:r>
      <w:r w:rsidRPr="002661A8">
        <w:rPr>
          <w:rFonts w:ascii="Times New Roman" w:eastAsia="Calibri" w:hAnsi="Times New Roman" w:cs="Times New Roman"/>
          <w:noProof/>
          <w:sz w:val="24"/>
          <w:szCs w:val="24"/>
        </w:rPr>
        <w:t>. However, this option alone would not simplif</w:t>
      </w:r>
      <w:r w:rsidR="00212AA3" w:rsidRPr="002661A8">
        <w:rPr>
          <w:rFonts w:ascii="Times New Roman" w:eastAsia="Calibri" w:hAnsi="Times New Roman" w:cs="Times New Roman"/>
          <w:noProof/>
          <w:sz w:val="24"/>
          <w:szCs w:val="24"/>
        </w:rPr>
        <w:t>y</w:t>
      </w:r>
      <w:r w:rsidRPr="002661A8">
        <w:rPr>
          <w:rFonts w:ascii="Times New Roman" w:eastAsia="Calibri" w:hAnsi="Times New Roman" w:cs="Times New Roman"/>
          <w:noProof/>
          <w:sz w:val="24"/>
          <w:szCs w:val="24"/>
        </w:rPr>
        <w:t xml:space="preserve"> procedures </w:t>
      </w:r>
      <w:r w:rsidR="00301425" w:rsidRPr="002661A8">
        <w:rPr>
          <w:rFonts w:ascii="Times New Roman" w:eastAsia="Calibri" w:hAnsi="Times New Roman" w:cs="Times New Roman"/>
          <w:noProof/>
          <w:sz w:val="24"/>
          <w:szCs w:val="24"/>
        </w:rPr>
        <w:t>in</w:t>
      </w:r>
      <w:r w:rsidRPr="002661A8">
        <w:rPr>
          <w:rFonts w:ascii="Times New Roman" w:eastAsia="Calibri" w:hAnsi="Times New Roman" w:cs="Times New Roman"/>
          <w:noProof/>
          <w:sz w:val="24"/>
          <w:szCs w:val="24"/>
        </w:rPr>
        <w:t xml:space="preserve"> all cases, but only </w:t>
      </w:r>
      <w:r w:rsidR="00212AA3" w:rsidRPr="002661A8">
        <w:rPr>
          <w:rFonts w:ascii="Times New Roman" w:eastAsia="Calibri" w:hAnsi="Times New Roman" w:cs="Times New Roman"/>
          <w:noProof/>
          <w:sz w:val="24"/>
          <w:szCs w:val="24"/>
        </w:rPr>
        <w:t>where</w:t>
      </w:r>
      <w:r w:rsidRPr="002661A8">
        <w:rPr>
          <w:rFonts w:ascii="Times New Roman" w:eastAsia="Calibri" w:hAnsi="Times New Roman" w:cs="Times New Roman"/>
          <w:noProof/>
          <w:sz w:val="24"/>
          <w:szCs w:val="24"/>
        </w:rPr>
        <w:t xml:space="preserve"> changes are less </w:t>
      </w:r>
      <w:r w:rsidR="00823180" w:rsidRPr="002661A8">
        <w:rPr>
          <w:rFonts w:ascii="Times New Roman" w:eastAsia="Calibri" w:hAnsi="Times New Roman" w:cs="Times New Roman"/>
          <w:noProof/>
          <w:sz w:val="24"/>
          <w:szCs w:val="24"/>
        </w:rPr>
        <w:t xml:space="preserve">significant from a </w:t>
      </w:r>
      <w:r w:rsidR="00DA7C7C">
        <w:rPr>
          <w:rFonts w:ascii="Times New Roman" w:eastAsia="Calibri" w:hAnsi="Times New Roman" w:cs="Times New Roman"/>
          <w:noProof/>
          <w:sz w:val="24"/>
          <w:szCs w:val="24"/>
        </w:rPr>
        <w:t xml:space="preserve">CCP risk and </w:t>
      </w:r>
      <w:r w:rsidR="00823180" w:rsidRPr="002661A8">
        <w:rPr>
          <w:rFonts w:ascii="Times New Roman" w:eastAsia="Calibri" w:hAnsi="Times New Roman" w:cs="Times New Roman"/>
          <w:noProof/>
          <w:sz w:val="24"/>
          <w:szCs w:val="24"/>
        </w:rPr>
        <w:t>financial stability perspective</w:t>
      </w:r>
      <w:r w:rsidRPr="002661A8">
        <w:rPr>
          <w:rFonts w:ascii="Times New Roman" w:eastAsia="Calibri" w:hAnsi="Times New Roman" w:cs="Times New Roman"/>
          <w:noProof/>
          <w:sz w:val="24"/>
          <w:szCs w:val="24"/>
        </w:rPr>
        <w:t xml:space="preserve">: as such, it would only partially meet the specific objective of improving the </w:t>
      </w:r>
      <w:r w:rsidR="00FE4BB5" w:rsidRPr="002661A8">
        <w:rPr>
          <w:rFonts w:ascii="Times New Roman" w:eastAsia="Calibri" w:hAnsi="Times New Roman" w:cs="Times New Roman"/>
          <w:noProof/>
          <w:sz w:val="24"/>
          <w:szCs w:val="24"/>
        </w:rPr>
        <w:t>attractiveness</w:t>
      </w:r>
      <w:r w:rsidRPr="002661A8">
        <w:rPr>
          <w:rFonts w:ascii="Times New Roman" w:eastAsia="Calibri" w:hAnsi="Times New Roman" w:cs="Times New Roman"/>
          <w:noProof/>
          <w:sz w:val="24"/>
          <w:szCs w:val="24"/>
        </w:rPr>
        <w:t xml:space="preserve"> of EU CCPs.</w:t>
      </w:r>
      <w:r w:rsidR="005A1DEC" w:rsidRPr="002661A8">
        <w:rPr>
          <w:rFonts w:ascii="Times New Roman" w:eastAsia="Calibri" w:hAnsi="Times New Roman" w:cs="Times New Roman"/>
          <w:noProof/>
          <w:sz w:val="24"/>
          <w:szCs w:val="24"/>
        </w:rPr>
        <w:t xml:space="preserve"> By increasing the </w:t>
      </w:r>
      <w:r w:rsidR="00301425" w:rsidRPr="002661A8">
        <w:rPr>
          <w:rFonts w:ascii="Times New Roman" w:eastAsia="Calibri" w:hAnsi="Times New Roman" w:cs="Times New Roman"/>
          <w:noProof/>
          <w:sz w:val="24"/>
          <w:szCs w:val="24"/>
        </w:rPr>
        <w:t xml:space="preserve">attractiveness </w:t>
      </w:r>
      <w:r w:rsidR="005A1DEC" w:rsidRPr="002661A8">
        <w:rPr>
          <w:rFonts w:ascii="Times New Roman" w:eastAsia="Calibri" w:hAnsi="Times New Roman" w:cs="Times New Roman"/>
          <w:noProof/>
          <w:sz w:val="24"/>
          <w:szCs w:val="24"/>
        </w:rPr>
        <w:t xml:space="preserve">of EU CCPs, this option </w:t>
      </w:r>
      <w:r w:rsidR="001F1357" w:rsidRPr="002661A8">
        <w:rPr>
          <w:rFonts w:ascii="Times New Roman" w:eastAsia="Calibri" w:hAnsi="Times New Roman" w:cs="Times New Roman"/>
          <w:noProof/>
          <w:sz w:val="24"/>
          <w:szCs w:val="24"/>
        </w:rPr>
        <w:t xml:space="preserve">could </w:t>
      </w:r>
      <w:r w:rsidR="00212AA3" w:rsidRPr="002661A8">
        <w:rPr>
          <w:rFonts w:ascii="Times New Roman" w:eastAsia="Calibri" w:hAnsi="Times New Roman" w:cs="Times New Roman"/>
          <w:noProof/>
          <w:sz w:val="24"/>
          <w:szCs w:val="24"/>
        </w:rPr>
        <w:t xml:space="preserve">indirectly </w:t>
      </w:r>
      <w:r w:rsidR="005A1DEC" w:rsidRPr="002661A8">
        <w:rPr>
          <w:rFonts w:ascii="Times New Roman" w:eastAsia="Calibri" w:hAnsi="Times New Roman" w:cs="Times New Roman"/>
          <w:noProof/>
          <w:sz w:val="24"/>
          <w:szCs w:val="24"/>
        </w:rPr>
        <w:t xml:space="preserve">lead to a reduction of </w:t>
      </w:r>
      <w:r w:rsidR="001F1357" w:rsidRPr="002661A8">
        <w:rPr>
          <w:rFonts w:ascii="Times New Roman" w:eastAsia="Calibri" w:hAnsi="Times New Roman" w:cs="Times New Roman"/>
          <w:noProof/>
          <w:sz w:val="24"/>
          <w:szCs w:val="24"/>
        </w:rPr>
        <w:t>the over-reliance on third-country CCPs and the related risks</w:t>
      </w:r>
      <w:r w:rsidR="005A1DEC" w:rsidRPr="002661A8">
        <w:rPr>
          <w:rFonts w:ascii="Times New Roman" w:eastAsia="Calibri" w:hAnsi="Times New Roman" w:cs="Times New Roman"/>
          <w:noProof/>
          <w:sz w:val="24"/>
          <w:szCs w:val="24"/>
        </w:rPr>
        <w:t xml:space="preserve"> and </w:t>
      </w:r>
      <w:r w:rsidR="0054146F">
        <w:rPr>
          <w:rFonts w:ascii="Times New Roman" w:eastAsia="Calibri" w:hAnsi="Times New Roman" w:cs="Times New Roman"/>
          <w:noProof/>
          <w:sz w:val="24"/>
          <w:szCs w:val="24"/>
        </w:rPr>
        <w:t xml:space="preserve">to </w:t>
      </w:r>
      <w:r w:rsidR="005A1DEC" w:rsidRPr="002661A8">
        <w:rPr>
          <w:rFonts w:ascii="Times New Roman" w:eastAsia="Calibri" w:hAnsi="Times New Roman" w:cs="Times New Roman"/>
          <w:noProof/>
          <w:sz w:val="24"/>
          <w:szCs w:val="24"/>
        </w:rPr>
        <w:t>an increase in clearing activity at EU CCPs</w:t>
      </w:r>
      <w:r w:rsidR="001F1357" w:rsidRPr="002661A8">
        <w:rPr>
          <w:rFonts w:ascii="Times New Roman" w:eastAsia="Calibri" w:hAnsi="Times New Roman" w:cs="Times New Roman"/>
          <w:noProof/>
          <w:sz w:val="24"/>
          <w:szCs w:val="24"/>
        </w:rPr>
        <w:t>. However, it would no</w:t>
      </w:r>
      <w:r w:rsidR="00F42982" w:rsidRPr="002661A8">
        <w:rPr>
          <w:rFonts w:ascii="Times New Roman" w:eastAsia="Calibri" w:hAnsi="Times New Roman" w:cs="Times New Roman"/>
          <w:noProof/>
          <w:sz w:val="24"/>
          <w:szCs w:val="24"/>
        </w:rPr>
        <w:t>t</w:t>
      </w:r>
      <w:r w:rsidR="001F1357" w:rsidRPr="002661A8">
        <w:rPr>
          <w:rFonts w:ascii="Times New Roman" w:eastAsia="Calibri" w:hAnsi="Times New Roman" w:cs="Times New Roman"/>
          <w:noProof/>
          <w:sz w:val="24"/>
          <w:szCs w:val="24"/>
        </w:rPr>
        <w:t xml:space="preserve"> specific</w:t>
      </w:r>
      <w:r w:rsidR="00F42982" w:rsidRPr="002661A8">
        <w:rPr>
          <w:rFonts w:ascii="Times New Roman" w:eastAsia="Calibri" w:hAnsi="Times New Roman" w:cs="Times New Roman"/>
          <w:noProof/>
          <w:sz w:val="24"/>
          <w:szCs w:val="24"/>
        </w:rPr>
        <w:t xml:space="preserve">ally </w:t>
      </w:r>
      <w:r w:rsidR="00853F46" w:rsidRPr="002661A8">
        <w:rPr>
          <w:rFonts w:ascii="Times New Roman" w:eastAsia="Calibri" w:hAnsi="Times New Roman" w:cs="Times New Roman"/>
          <w:noProof/>
          <w:sz w:val="24"/>
          <w:szCs w:val="24"/>
        </w:rPr>
        <w:t xml:space="preserve">address the need for better </w:t>
      </w:r>
      <w:r w:rsidR="005A1DEC" w:rsidRPr="002661A8">
        <w:rPr>
          <w:rFonts w:ascii="Times New Roman" w:eastAsia="Calibri" w:hAnsi="Times New Roman" w:cs="Times New Roman"/>
          <w:noProof/>
          <w:sz w:val="24"/>
          <w:szCs w:val="24"/>
        </w:rPr>
        <w:t>consideration of</w:t>
      </w:r>
      <w:r w:rsidR="00853F46" w:rsidRPr="002661A8">
        <w:rPr>
          <w:rFonts w:ascii="Times New Roman" w:eastAsia="Calibri" w:hAnsi="Times New Roman" w:cs="Times New Roman"/>
          <w:noProof/>
          <w:sz w:val="24"/>
          <w:szCs w:val="24"/>
        </w:rPr>
        <w:t xml:space="preserve"> cross-border risks</w:t>
      </w:r>
      <w:r w:rsidR="005A1DEC" w:rsidRPr="002661A8">
        <w:rPr>
          <w:rFonts w:ascii="Times New Roman" w:eastAsia="Calibri" w:hAnsi="Times New Roman" w:cs="Times New Roman"/>
          <w:noProof/>
          <w:sz w:val="24"/>
          <w:szCs w:val="24"/>
        </w:rPr>
        <w:t xml:space="preserve"> that such increased intra-EU clearing activity would necessitate</w:t>
      </w:r>
      <w:r w:rsidR="001F1357" w:rsidRPr="002661A8">
        <w:rPr>
          <w:rFonts w:ascii="Times New Roman" w:eastAsia="Calibri" w:hAnsi="Times New Roman" w:cs="Times New Roman"/>
          <w:noProof/>
          <w:sz w:val="24"/>
          <w:szCs w:val="24"/>
        </w:rPr>
        <w:t xml:space="preserve">. </w:t>
      </w:r>
    </w:p>
    <w:p w14:paraId="462E8CB6" w14:textId="61C975B3" w:rsidR="006F7134" w:rsidRPr="002661A8" w:rsidRDefault="006F7134" w:rsidP="006F7134">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In the targeted consultation, </w:t>
      </w:r>
      <w:r w:rsidR="002241F7">
        <w:rPr>
          <w:rFonts w:ascii="Times New Roman" w:eastAsia="Calibri" w:hAnsi="Times New Roman" w:cs="Times New Roman"/>
          <w:noProof/>
          <w:sz w:val="24"/>
          <w:szCs w:val="24"/>
        </w:rPr>
        <w:t>there was broad support for</w:t>
      </w:r>
      <w:r>
        <w:rPr>
          <w:rFonts w:ascii="Times New Roman" w:eastAsia="Calibri" w:hAnsi="Times New Roman" w:cs="Times New Roman"/>
          <w:noProof/>
          <w:sz w:val="24"/>
          <w:szCs w:val="24"/>
        </w:rPr>
        <w:t xml:space="preserve"> an ex-post approval </w:t>
      </w:r>
      <w:r w:rsidR="002241F7">
        <w:rPr>
          <w:rFonts w:ascii="Times New Roman" w:eastAsia="Calibri" w:hAnsi="Times New Roman" w:cs="Times New Roman"/>
          <w:noProof/>
          <w:sz w:val="24"/>
          <w:szCs w:val="24"/>
        </w:rPr>
        <w:t>with</w:t>
      </w:r>
      <w:r>
        <w:rPr>
          <w:rFonts w:ascii="Times New Roman" w:eastAsia="Calibri" w:hAnsi="Times New Roman" w:cs="Times New Roman"/>
          <w:noProof/>
          <w:sz w:val="24"/>
          <w:szCs w:val="24"/>
        </w:rPr>
        <w:t xml:space="preserve"> 65% of stakeholders</w:t>
      </w:r>
      <w:r w:rsidR="002241F7">
        <w:rPr>
          <w:rFonts w:ascii="Times New Roman" w:eastAsia="Calibri" w:hAnsi="Times New Roman" w:cs="Times New Roman"/>
          <w:noProof/>
          <w:sz w:val="24"/>
          <w:szCs w:val="24"/>
        </w:rPr>
        <w:t xml:space="preserve"> supporting its introduction, at least</w:t>
      </w:r>
      <w:r w:rsidRPr="006F7134">
        <w:rPr>
          <w:rFonts w:ascii="Times New Roman" w:eastAsia="Calibri" w:hAnsi="Times New Roman" w:cs="Times New Roman"/>
          <w:noProof/>
          <w:sz w:val="24"/>
          <w:szCs w:val="24"/>
        </w:rPr>
        <w:t xml:space="preserve"> for some types of changes. </w:t>
      </w:r>
      <w:r w:rsidR="002241F7">
        <w:rPr>
          <w:rFonts w:ascii="Times New Roman" w:eastAsia="Calibri" w:hAnsi="Times New Roman" w:cs="Times New Roman"/>
          <w:noProof/>
          <w:sz w:val="24"/>
          <w:szCs w:val="24"/>
        </w:rPr>
        <w:t>On the details of how to operationalise such an approach, views differed considerably: two</w:t>
      </w:r>
      <w:r w:rsidRPr="006F7134">
        <w:rPr>
          <w:rFonts w:ascii="Times New Roman" w:eastAsia="Calibri" w:hAnsi="Times New Roman" w:cs="Times New Roman"/>
          <w:noProof/>
          <w:sz w:val="24"/>
          <w:szCs w:val="24"/>
        </w:rPr>
        <w:t xml:space="preserve"> CCPs propose</w:t>
      </w:r>
      <w:r w:rsidR="00047AAD">
        <w:rPr>
          <w:rFonts w:ascii="Times New Roman" w:eastAsia="Calibri" w:hAnsi="Times New Roman" w:cs="Times New Roman"/>
          <w:noProof/>
          <w:sz w:val="24"/>
          <w:szCs w:val="24"/>
        </w:rPr>
        <w:t>d</w:t>
      </w:r>
      <w:r w:rsidRPr="006F7134">
        <w:rPr>
          <w:rFonts w:ascii="Times New Roman" w:eastAsia="Calibri" w:hAnsi="Times New Roman" w:cs="Times New Roman"/>
          <w:noProof/>
          <w:sz w:val="24"/>
          <w:szCs w:val="24"/>
        </w:rPr>
        <w:t xml:space="preserve"> that changes should be classified ex ante into minor/medium/big and the level of involvement of the authorities should follow as a consequence</w:t>
      </w:r>
      <w:r w:rsidR="002241F7">
        <w:rPr>
          <w:rFonts w:ascii="Times New Roman" w:eastAsia="Calibri" w:hAnsi="Times New Roman" w:cs="Times New Roman"/>
          <w:noProof/>
          <w:sz w:val="24"/>
          <w:szCs w:val="24"/>
        </w:rPr>
        <w:t>;</w:t>
      </w:r>
      <w:r w:rsidRPr="006F7134">
        <w:rPr>
          <w:rFonts w:ascii="Times New Roman" w:eastAsia="Calibri" w:hAnsi="Times New Roman" w:cs="Times New Roman"/>
          <w:noProof/>
          <w:sz w:val="24"/>
          <w:szCs w:val="24"/>
        </w:rPr>
        <w:t xml:space="preserve"> 2 </w:t>
      </w:r>
      <w:r>
        <w:rPr>
          <w:rFonts w:ascii="Times New Roman" w:eastAsia="Calibri" w:hAnsi="Times New Roman" w:cs="Times New Roman"/>
          <w:noProof/>
          <w:sz w:val="24"/>
          <w:szCs w:val="24"/>
        </w:rPr>
        <w:t xml:space="preserve">other </w:t>
      </w:r>
      <w:r w:rsidRPr="006F7134">
        <w:rPr>
          <w:rFonts w:ascii="Times New Roman" w:eastAsia="Calibri" w:hAnsi="Times New Roman" w:cs="Times New Roman"/>
          <w:noProof/>
          <w:sz w:val="24"/>
          <w:szCs w:val="24"/>
        </w:rPr>
        <w:t>respondents (</w:t>
      </w:r>
      <w:r w:rsidR="002241F7">
        <w:rPr>
          <w:rFonts w:ascii="Times New Roman" w:eastAsia="Calibri" w:hAnsi="Times New Roman" w:cs="Times New Roman"/>
          <w:noProof/>
          <w:sz w:val="24"/>
          <w:szCs w:val="24"/>
        </w:rPr>
        <w:t>an</w:t>
      </w:r>
      <w:r w:rsidRPr="006F7134">
        <w:rPr>
          <w:rFonts w:ascii="Times New Roman" w:eastAsia="Calibri" w:hAnsi="Times New Roman" w:cs="Times New Roman"/>
          <w:noProof/>
          <w:sz w:val="24"/>
          <w:szCs w:val="24"/>
        </w:rPr>
        <w:t xml:space="preserve"> NCA and </w:t>
      </w:r>
      <w:r w:rsidR="002241F7">
        <w:rPr>
          <w:rFonts w:ascii="Times New Roman" w:eastAsia="Calibri" w:hAnsi="Times New Roman" w:cs="Times New Roman"/>
          <w:noProof/>
          <w:sz w:val="24"/>
          <w:szCs w:val="24"/>
        </w:rPr>
        <w:t>a</w:t>
      </w:r>
      <w:r w:rsidRPr="006F7134">
        <w:rPr>
          <w:rFonts w:ascii="Times New Roman" w:eastAsia="Calibri" w:hAnsi="Times New Roman" w:cs="Times New Roman"/>
          <w:noProof/>
          <w:sz w:val="24"/>
          <w:szCs w:val="24"/>
        </w:rPr>
        <w:t xml:space="preserve"> CCP) propose</w:t>
      </w:r>
      <w:r w:rsidR="00047AAD">
        <w:rPr>
          <w:rFonts w:ascii="Times New Roman" w:eastAsia="Calibri" w:hAnsi="Times New Roman" w:cs="Times New Roman"/>
          <w:noProof/>
          <w:sz w:val="24"/>
          <w:szCs w:val="24"/>
        </w:rPr>
        <w:t>d</w:t>
      </w:r>
      <w:r w:rsidRPr="006F7134">
        <w:rPr>
          <w:rFonts w:ascii="Times New Roman" w:eastAsia="Calibri" w:hAnsi="Times New Roman" w:cs="Times New Roman"/>
          <w:noProof/>
          <w:sz w:val="24"/>
          <w:szCs w:val="24"/>
        </w:rPr>
        <w:t xml:space="preserve"> that assessment of the introduced changes take</w:t>
      </w:r>
      <w:r w:rsidR="00047AAD">
        <w:rPr>
          <w:rFonts w:ascii="Times New Roman" w:eastAsia="Calibri" w:hAnsi="Times New Roman" w:cs="Times New Roman"/>
          <w:noProof/>
          <w:sz w:val="24"/>
          <w:szCs w:val="24"/>
        </w:rPr>
        <w:t>s</w:t>
      </w:r>
      <w:r w:rsidRPr="006F7134">
        <w:rPr>
          <w:rFonts w:ascii="Times New Roman" w:eastAsia="Calibri" w:hAnsi="Times New Roman" w:cs="Times New Roman"/>
          <w:noProof/>
          <w:sz w:val="24"/>
          <w:szCs w:val="24"/>
        </w:rPr>
        <w:t xml:space="preserve"> place ex post</w:t>
      </w:r>
      <w:r w:rsidR="002241F7">
        <w:rPr>
          <w:rFonts w:ascii="Times New Roman" w:eastAsia="Calibri" w:hAnsi="Times New Roman" w:cs="Times New Roman"/>
          <w:noProof/>
          <w:sz w:val="24"/>
          <w:szCs w:val="24"/>
        </w:rPr>
        <w:t>;</w:t>
      </w:r>
      <w:r w:rsidR="002241F7" w:rsidRPr="002241F7">
        <w:rPr>
          <w:rFonts w:ascii="Times New Roman" w:eastAsia="Calibri" w:hAnsi="Times New Roman" w:cs="Times New Roman"/>
          <w:noProof/>
          <w:sz w:val="24"/>
          <w:szCs w:val="24"/>
        </w:rPr>
        <w:t xml:space="preserve"> </w:t>
      </w:r>
      <w:r w:rsidR="002241F7">
        <w:rPr>
          <w:rFonts w:ascii="Times New Roman" w:eastAsia="Calibri" w:hAnsi="Times New Roman" w:cs="Times New Roman"/>
          <w:noProof/>
          <w:sz w:val="24"/>
          <w:szCs w:val="24"/>
        </w:rPr>
        <w:t>another</w:t>
      </w:r>
      <w:r>
        <w:rPr>
          <w:rFonts w:ascii="Times New Roman" w:eastAsia="Calibri" w:hAnsi="Times New Roman" w:cs="Times New Roman"/>
          <w:noProof/>
          <w:sz w:val="24"/>
          <w:szCs w:val="24"/>
        </w:rPr>
        <w:t xml:space="preserve"> </w:t>
      </w:r>
      <w:r w:rsidRPr="006F7134">
        <w:rPr>
          <w:rFonts w:ascii="Times New Roman" w:eastAsia="Calibri" w:hAnsi="Times New Roman" w:cs="Times New Roman"/>
          <w:noProof/>
          <w:sz w:val="24"/>
          <w:szCs w:val="24"/>
        </w:rPr>
        <w:t>NCA propose</w:t>
      </w:r>
      <w:r w:rsidR="00047AAD">
        <w:rPr>
          <w:rFonts w:ascii="Times New Roman" w:eastAsia="Calibri" w:hAnsi="Times New Roman" w:cs="Times New Roman"/>
          <w:noProof/>
          <w:sz w:val="24"/>
          <w:szCs w:val="24"/>
        </w:rPr>
        <w:t>d</w:t>
      </w:r>
      <w:r w:rsidRPr="006F7134">
        <w:rPr>
          <w:rFonts w:ascii="Times New Roman" w:eastAsia="Calibri" w:hAnsi="Times New Roman" w:cs="Times New Roman"/>
          <w:noProof/>
          <w:sz w:val="24"/>
          <w:szCs w:val="24"/>
        </w:rPr>
        <w:t xml:space="preserve"> that the NCA deals with the procedures and ESMA validates ex post and possibly issues recommendations to the CCPs.</w:t>
      </w:r>
      <w:r>
        <w:rPr>
          <w:rFonts w:ascii="Times New Roman" w:eastAsia="Calibri" w:hAnsi="Times New Roman" w:cs="Times New Roman"/>
          <w:noProof/>
          <w:sz w:val="24"/>
          <w:szCs w:val="24"/>
        </w:rPr>
        <w:t xml:space="preserve"> Another public stakeholder, who provided feedback on a confidential basis,</w:t>
      </w:r>
      <w:r w:rsidRPr="006F7134">
        <w:rPr>
          <w:rFonts w:ascii="Times New Roman" w:eastAsia="Calibri" w:hAnsi="Times New Roman" w:cs="Times New Roman"/>
          <w:noProof/>
          <w:sz w:val="24"/>
          <w:szCs w:val="24"/>
        </w:rPr>
        <w:t xml:space="preserve"> state</w:t>
      </w:r>
      <w:r>
        <w:rPr>
          <w:rFonts w:ascii="Times New Roman" w:eastAsia="Calibri" w:hAnsi="Times New Roman" w:cs="Times New Roman"/>
          <w:noProof/>
          <w:sz w:val="24"/>
          <w:szCs w:val="24"/>
        </w:rPr>
        <w:t>d</w:t>
      </w:r>
      <w:r w:rsidRPr="006F7134">
        <w:rPr>
          <w:rFonts w:ascii="Times New Roman" w:eastAsia="Calibri" w:hAnsi="Times New Roman" w:cs="Times New Roman"/>
          <w:noProof/>
          <w:sz w:val="24"/>
          <w:szCs w:val="24"/>
        </w:rPr>
        <w:t xml:space="preserve"> that an ex-post approval for risk models should only be </w:t>
      </w:r>
      <w:r w:rsidR="00047AAD">
        <w:rPr>
          <w:rFonts w:ascii="Times New Roman" w:eastAsia="Calibri" w:hAnsi="Times New Roman" w:cs="Times New Roman"/>
          <w:noProof/>
          <w:sz w:val="24"/>
          <w:szCs w:val="24"/>
        </w:rPr>
        <w:t>available</w:t>
      </w:r>
      <w:r w:rsidRPr="006F7134">
        <w:rPr>
          <w:rFonts w:ascii="Times New Roman" w:eastAsia="Calibri" w:hAnsi="Times New Roman" w:cs="Times New Roman"/>
          <w:noProof/>
          <w:sz w:val="24"/>
          <w:szCs w:val="24"/>
        </w:rPr>
        <w:t xml:space="preserve"> for changes which clear</w:t>
      </w:r>
      <w:r w:rsidR="00047AAD">
        <w:rPr>
          <w:rFonts w:ascii="Times New Roman" w:eastAsia="Calibri" w:hAnsi="Times New Roman" w:cs="Times New Roman"/>
          <w:noProof/>
          <w:sz w:val="24"/>
          <w:szCs w:val="24"/>
        </w:rPr>
        <w:t>ly</w:t>
      </w:r>
      <w:r w:rsidRPr="006F7134">
        <w:rPr>
          <w:rFonts w:ascii="Times New Roman" w:eastAsia="Calibri" w:hAnsi="Times New Roman" w:cs="Times New Roman"/>
          <w:noProof/>
          <w:sz w:val="24"/>
          <w:szCs w:val="24"/>
        </w:rPr>
        <w:t xml:space="preserve"> enhance risk management.</w:t>
      </w:r>
      <w:r w:rsidR="002241F7">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 xml:space="preserve">However, </w:t>
      </w:r>
      <w:r w:rsidR="002241F7">
        <w:rPr>
          <w:rFonts w:ascii="Times New Roman" w:eastAsia="Calibri" w:hAnsi="Times New Roman" w:cs="Times New Roman"/>
          <w:noProof/>
          <w:sz w:val="24"/>
          <w:szCs w:val="24"/>
        </w:rPr>
        <w:t>one</w:t>
      </w:r>
      <w:r w:rsidRPr="006F7134">
        <w:rPr>
          <w:rFonts w:ascii="Times New Roman" w:eastAsia="Calibri" w:hAnsi="Times New Roman" w:cs="Times New Roman"/>
          <w:noProof/>
          <w:sz w:val="24"/>
          <w:szCs w:val="24"/>
        </w:rPr>
        <w:t xml:space="preserve"> association </w:t>
      </w:r>
      <w:r w:rsidR="00047AAD">
        <w:rPr>
          <w:rFonts w:ascii="Times New Roman" w:eastAsia="Calibri" w:hAnsi="Times New Roman" w:cs="Times New Roman"/>
          <w:noProof/>
          <w:sz w:val="24"/>
          <w:szCs w:val="24"/>
        </w:rPr>
        <w:t>did</w:t>
      </w:r>
      <w:r w:rsidR="00047AAD" w:rsidRPr="006F7134">
        <w:rPr>
          <w:rFonts w:ascii="Times New Roman" w:eastAsia="Calibri" w:hAnsi="Times New Roman" w:cs="Times New Roman"/>
          <w:noProof/>
          <w:sz w:val="24"/>
          <w:szCs w:val="24"/>
        </w:rPr>
        <w:t xml:space="preserve"> </w:t>
      </w:r>
      <w:r w:rsidRPr="006F7134">
        <w:rPr>
          <w:rFonts w:ascii="Times New Roman" w:eastAsia="Calibri" w:hAnsi="Times New Roman" w:cs="Times New Roman"/>
          <w:noProof/>
          <w:sz w:val="24"/>
          <w:szCs w:val="24"/>
        </w:rPr>
        <w:t>not support ex-post approval</w:t>
      </w:r>
      <w:r w:rsidR="002241F7">
        <w:rPr>
          <w:rFonts w:ascii="Times New Roman" w:eastAsia="Calibri" w:hAnsi="Times New Roman" w:cs="Times New Roman"/>
          <w:noProof/>
          <w:sz w:val="24"/>
          <w:szCs w:val="24"/>
        </w:rPr>
        <w:t xml:space="preserve">, preferring instead </w:t>
      </w:r>
      <w:r w:rsidRPr="006F7134">
        <w:rPr>
          <w:rFonts w:ascii="Times New Roman" w:eastAsia="Calibri" w:hAnsi="Times New Roman" w:cs="Times New Roman"/>
          <w:noProof/>
          <w:sz w:val="24"/>
          <w:szCs w:val="24"/>
        </w:rPr>
        <w:t>an earlier involvement of the authorities in the development of the proposed changes.</w:t>
      </w:r>
      <w:r>
        <w:rPr>
          <w:rFonts w:ascii="Times New Roman" w:eastAsia="Calibri" w:hAnsi="Times New Roman" w:cs="Times New Roman"/>
          <w:noProof/>
          <w:sz w:val="24"/>
          <w:szCs w:val="24"/>
        </w:rPr>
        <w:t xml:space="preserve"> </w:t>
      </w:r>
    </w:p>
    <w:p w14:paraId="1EB59FC9" w14:textId="3D382C54" w:rsidR="00EF2FAF" w:rsidRPr="002661A8" w:rsidRDefault="00EF2FAF" w:rsidP="00EF2FAF">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the meeting with Member States on 16 June 2022, several</w:t>
      </w:r>
      <w:r w:rsidRPr="00BF1D55">
        <w:rPr>
          <w:rFonts w:ascii="Times New Roman" w:eastAsia="Calibri" w:hAnsi="Times New Roman" w:cs="Times New Roman"/>
          <w:noProof/>
          <w:sz w:val="24"/>
          <w:szCs w:val="24"/>
        </w:rPr>
        <w:t xml:space="preserve"> Member States suggested </w:t>
      </w:r>
      <w:r>
        <w:rPr>
          <w:rFonts w:ascii="Times New Roman" w:eastAsia="Calibri" w:hAnsi="Times New Roman" w:cs="Times New Roman"/>
          <w:noProof/>
          <w:sz w:val="24"/>
          <w:szCs w:val="24"/>
        </w:rPr>
        <w:t>explor</w:t>
      </w:r>
      <w:r w:rsidR="00BE3B33">
        <w:rPr>
          <w:rFonts w:ascii="Times New Roman" w:eastAsia="Calibri" w:hAnsi="Times New Roman" w:cs="Times New Roman"/>
          <w:noProof/>
          <w:sz w:val="24"/>
          <w:szCs w:val="24"/>
        </w:rPr>
        <w:t>ing</w:t>
      </w:r>
      <w:r>
        <w:rPr>
          <w:rFonts w:ascii="Times New Roman" w:eastAsia="Calibri" w:hAnsi="Times New Roman" w:cs="Times New Roman"/>
          <w:noProof/>
          <w:sz w:val="24"/>
          <w:szCs w:val="24"/>
        </w:rPr>
        <w:t xml:space="preserve"> an</w:t>
      </w:r>
      <w:r w:rsidRPr="00BF1D55">
        <w:rPr>
          <w:rFonts w:ascii="Times New Roman" w:eastAsia="Calibri" w:hAnsi="Times New Roman" w:cs="Times New Roman"/>
          <w:noProof/>
          <w:sz w:val="24"/>
          <w:szCs w:val="24"/>
        </w:rPr>
        <w:t xml:space="preserve"> ex-post approval/review as done in other jurisdictions </w:t>
      </w:r>
      <w:r w:rsidR="00BE3B33">
        <w:rPr>
          <w:rFonts w:ascii="Times New Roman" w:eastAsia="Calibri" w:hAnsi="Times New Roman" w:cs="Times New Roman"/>
          <w:noProof/>
          <w:sz w:val="24"/>
          <w:szCs w:val="24"/>
        </w:rPr>
        <w:t>to</w:t>
      </w:r>
      <w:r w:rsidRPr="00BF1D55">
        <w:rPr>
          <w:rFonts w:ascii="Times New Roman" w:eastAsia="Calibri" w:hAnsi="Times New Roman" w:cs="Times New Roman"/>
          <w:noProof/>
          <w:sz w:val="24"/>
          <w:szCs w:val="24"/>
        </w:rPr>
        <w:t xml:space="preserve"> allow CCPs to launch new products in asset classes already cleared under an ex-post approval/review process as well as a self-certification process for some rules changes. Member States </w:t>
      </w:r>
      <w:r>
        <w:rPr>
          <w:rFonts w:ascii="Times New Roman" w:eastAsia="Calibri" w:hAnsi="Times New Roman" w:cs="Times New Roman"/>
          <w:noProof/>
          <w:sz w:val="24"/>
          <w:szCs w:val="24"/>
        </w:rPr>
        <w:t>also</w:t>
      </w:r>
      <w:r w:rsidRPr="00BF1D55">
        <w:rPr>
          <w:rFonts w:ascii="Times New Roman" w:eastAsia="Calibri" w:hAnsi="Times New Roman" w:cs="Times New Roman"/>
          <w:noProof/>
          <w:sz w:val="24"/>
          <w:szCs w:val="24"/>
        </w:rPr>
        <w:t xml:space="preserve"> pointed to the need to carefully frame such approaches. One Member State highlighted that this option should only be available if non systemic risks are concerned.</w:t>
      </w:r>
    </w:p>
    <w:p w14:paraId="25509E7F" w14:textId="77777777" w:rsidR="000923BE" w:rsidRPr="002661A8" w:rsidRDefault="000923BE" w:rsidP="000923BE">
      <w:pPr>
        <w:tabs>
          <w:tab w:val="left" w:pos="2302"/>
        </w:tabs>
        <w:spacing w:after="120" w:line="240" w:lineRule="auto"/>
        <w:jc w:val="both"/>
        <w:rPr>
          <w:rFonts w:ascii="Times New Roman" w:eastAsia="Times New Roman" w:hAnsi="Times New Roman" w:cs="Times New Roman"/>
          <w:noProof/>
          <w:sz w:val="24"/>
          <w:szCs w:val="24"/>
          <w:u w:val="single"/>
        </w:rPr>
      </w:pPr>
      <w:r w:rsidRPr="002661A8">
        <w:rPr>
          <w:rFonts w:ascii="Times New Roman" w:eastAsia="Times New Roman" w:hAnsi="Times New Roman" w:cs="Times New Roman"/>
          <w:noProof/>
          <w:sz w:val="24"/>
          <w:szCs w:val="24"/>
          <w:u w:val="single"/>
        </w:rPr>
        <w:t>Coherence</w:t>
      </w:r>
    </w:p>
    <w:p w14:paraId="20DD23CA" w14:textId="448C2BFC" w:rsidR="000923BE" w:rsidRPr="002661A8" w:rsidRDefault="000923BE" w:rsidP="000F733C">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This option</w:t>
      </w:r>
      <w:r w:rsidR="008B7698" w:rsidRPr="002661A8">
        <w:rPr>
          <w:rFonts w:ascii="Times New Roman" w:eastAsia="Calibri" w:hAnsi="Times New Roman" w:cs="Times New Roman"/>
          <w:noProof/>
          <w:sz w:val="24"/>
          <w:szCs w:val="24"/>
        </w:rPr>
        <w:t xml:space="preserve"> </w:t>
      </w:r>
      <w:r w:rsidR="00B36046" w:rsidRPr="002661A8">
        <w:rPr>
          <w:rFonts w:ascii="Times New Roman" w:eastAsia="Calibri" w:hAnsi="Times New Roman" w:cs="Times New Roman"/>
          <w:noProof/>
          <w:sz w:val="24"/>
          <w:szCs w:val="24"/>
        </w:rPr>
        <w:t xml:space="preserve">fully </w:t>
      </w:r>
      <w:r w:rsidR="00DF0529" w:rsidRPr="002661A8">
        <w:rPr>
          <w:rFonts w:ascii="Times New Roman" w:eastAsia="Calibri" w:hAnsi="Times New Roman" w:cs="Times New Roman"/>
          <w:noProof/>
          <w:sz w:val="24"/>
          <w:szCs w:val="24"/>
        </w:rPr>
        <w:t>contributes to</w:t>
      </w:r>
      <w:r w:rsidR="00B36046" w:rsidRPr="002661A8">
        <w:rPr>
          <w:rFonts w:ascii="Times New Roman" w:eastAsia="Calibri" w:hAnsi="Times New Roman" w:cs="Times New Roman"/>
          <w:noProof/>
          <w:sz w:val="24"/>
          <w:szCs w:val="24"/>
        </w:rPr>
        <w:t xml:space="preserve"> strengthening the CMU by relying on efficient and competitive CCPs, while</w:t>
      </w:r>
      <w:r w:rsidR="00713212" w:rsidRPr="002661A8">
        <w:rPr>
          <w:rFonts w:ascii="Times New Roman" w:eastAsia="Calibri" w:hAnsi="Times New Roman" w:cs="Times New Roman"/>
          <w:noProof/>
          <w:sz w:val="24"/>
          <w:szCs w:val="24"/>
        </w:rPr>
        <w:t xml:space="preserve"> remain</w:t>
      </w:r>
      <w:r w:rsidR="00B36046" w:rsidRPr="002661A8">
        <w:rPr>
          <w:rFonts w:ascii="Times New Roman" w:eastAsia="Calibri" w:hAnsi="Times New Roman" w:cs="Times New Roman"/>
          <w:noProof/>
          <w:sz w:val="24"/>
          <w:szCs w:val="24"/>
        </w:rPr>
        <w:t>ing</w:t>
      </w:r>
      <w:r w:rsidR="00713212" w:rsidRPr="002661A8">
        <w:rPr>
          <w:rFonts w:ascii="Times New Roman" w:eastAsia="Calibri" w:hAnsi="Times New Roman" w:cs="Times New Roman"/>
          <w:noProof/>
          <w:sz w:val="24"/>
          <w:szCs w:val="24"/>
        </w:rPr>
        <w:t xml:space="preserve"> coherent with financial stability objectives</w:t>
      </w:r>
      <w:r w:rsidR="00B36046" w:rsidRPr="002661A8">
        <w:rPr>
          <w:rFonts w:ascii="Times New Roman" w:eastAsia="Calibri" w:hAnsi="Times New Roman" w:cs="Times New Roman"/>
          <w:noProof/>
          <w:sz w:val="24"/>
          <w:szCs w:val="24"/>
        </w:rPr>
        <w:t xml:space="preserve"> as</w:t>
      </w:r>
      <w:r w:rsidR="00713212" w:rsidRPr="002661A8">
        <w:rPr>
          <w:rFonts w:ascii="Times New Roman" w:eastAsia="Calibri" w:hAnsi="Times New Roman" w:cs="Times New Roman"/>
          <w:noProof/>
          <w:sz w:val="24"/>
          <w:szCs w:val="24"/>
        </w:rPr>
        <w:t xml:space="preserve"> it would concern initiatives for which a full approval procedure </w:t>
      </w:r>
      <w:r w:rsidR="00B36046" w:rsidRPr="002661A8">
        <w:rPr>
          <w:rFonts w:ascii="Times New Roman" w:eastAsia="Calibri" w:hAnsi="Times New Roman" w:cs="Times New Roman"/>
          <w:noProof/>
          <w:sz w:val="24"/>
          <w:szCs w:val="24"/>
        </w:rPr>
        <w:t xml:space="preserve">has been identified as </w:t>
      </w:r>
      <w:r w:rsidR="00713212" w:rsidRPr="002661A8">
        <w:rPr>
          <w:rFonts w:ascii="Times New Roman" w:eastAsia="Calibri" w:hAnsi="Times New Roman" w:cs="Times New Roman"/>
          <w:noProof/>
          <w:sz w:val="24"/>
          <w:szCs w:val="24"/>
        </w:rPr>
        <w:t>disproportionate</w:t>
      </w:r>
      <w:r w:rsidR="00B36046" w:rsidRPr="002661A8">
        <w:rPr>
          <w:rFonts w:ascii="Times New Roman" w:eastAsia="Calibri" w:hAnsi="Times New Roman" w:cs="Times New Roman"/>
          <w:noProof/>
          <w:sz w:val="24"/>
          <w:szCs w:val="24"/>
        </w:rPr>
        <w:t>.</w:t>
      </w:r>
      <w:r w:rsidR="00713212" w:rsidRPr="002661A8">
        <w:rPr>
          <w:rFonts w:ascii="Times New Roman" w:eastAsia="Calibri" w:hAnsi="Times New Roman" w:cs="Times New Roman"/>
          <w:noProof/>
          <w:sz w:val="24"/>
          <w:szCs w:val="24"/>
        </w:rPr>
        <w:t xml:space="preserve"> </w:t>
      </w:r>
      <w:r w:rsidR="00B36046" w:rsidRPr="002661A8">
        <w:rPr>
          <w:rFonts w:ascii="Times New Roman" w:eastAsia="Calibri" w:hAnsi="Times New Roman" w:cs="Times New Roman"/>
          <w:noProof/>
          <w:sz w:val="24"/>
          <w:szCs w:val="24"/>
        </w:rPr>
        <w:t>I</w:t>
      </w:r>
      <w:r w:rsidR="00713212" w:rsidRPr="002661A8">
        <w:rPr>
          <w:rFonts w:ascii="Times New Roman" w:eastAsia="Calibri" w:hAnsi="Times New Roman" w:cs="Times New Roman"/>
          <w:noProof/>
          <w:sz w:val="24"/>
          <w:szCs w:val="24"/>
        </w:rPr>
        <w:t xml:space="preserve">n addition, it is expected to better allow CCPs to update risk models timely, which is key for proper management of risks. </w:t>
      </w:r>
    </w:p>
    <w:p w14:paraId="14E004CA" w14:textId="77777777" w:rsidR="00A8027C" w:rsidRPr="002661A8" w:rsidRDefault="00A8027C" w:rsidP="00A8027C">
      <w:pPr>
        <w:tabs>
          <w:tab w:val="left" w:pos="2302"/>
        </w:tabs>
        <w:spacing w:after="120" w:line="240" w:lineRule="auto"/>
        <w:jc w:val="both"/>
        <w:rPr>
          <w:rFonts w:ascii="Times New Roman" w:eastAsia="Times New Roman" w:hAnsi="Times New Roman" w:cs="Times New Roman"/>
          <w:noProof/>
          <w:sz w:val="24"/>
          <w:szCs w:val="24"/>
          <w:u w:val="single"/>
        </w:rPr>
      </w:pPr>
      <w:r>
        <w:rPr>
          <w:rFonts w:ascii="Times New Roman" w:eastAsia="Times New Roman" w:hAnsi="Times New Roman" w:cs="Times New Roman"/>
          <w:noProof/>
          <w:sz w:val="24"/>
          <w:szCs w:val="24"/>
          <w:u w:val="single"/>
        </w:rPr>
        <w:t>Assessment of the impacts by stakeholder group</w:t>
      </w:r>
    </w:p>
    <w:p w14:paraId="17E84FB5" w14:textId="667FCCF9" w:rsidR="00773B80" w:rsidRPr="002661A8" w:rsidRDefault="00773B80" w:rsidP="00773B80">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b/>
          <w:noProof/>
          <w:sz w:val="24"/>
          <w:szCs w:val="24"/>
        </w:rPr>
        <w:t>EU CCPs</w:t>
      </w:r>
      <w:r w:rsidRPr="002661A8">
        <w:rPr>
          <w:rFonts w:ascii="Times New Roman" w:eastAsia="Calibri" w:hAnsi="Times New Roman" w:cs="Times New Roman"/>
          <w:noProof/>
          <w:sz w:val="24"/>
          <w:szCs w:val="24"/>
        </w:rPr>
        <w:t xml:space="preserve"> </w:t>
      </w:r>
      <w:r w:rsidR="006A6036" w:rsidRPr="002661A8">
        <w:rPr>
          <w:rFonts w:ascii="Times New Roman" w:eastAsia="Calibri" w:hAnsi="Times New Roman" w:cs="Times New Roman"/>
          <w:noProof/>
          <w:sz w:val="24"/>
          <w:szCs w:val="24"/>
        </w:rPr>
        <w:t xml:space="preserve">could </w:t>
      </w:r>
      <w:r w:rsidRPr="002661A8">
        <w:rPr>
          <w:rFonts w:ascii="Times New Roman" w:eastAsia="Calibri" w:hAnsi="Times New Roman" w:cs="Times New Roman"/>
          <w:noProof/>
          <w:sz w:val="24"/>
          <w:szCs w:val="24"/>
        </w:rPr>
        <w:t xml:space="preserve">launch new </w:t>
      </w:r>
      <w:r w:rsidR="005176B8" w:rsidRPr="002661A8">
        <w:rPr>
          <w:rFonts w:ascii="Times New Roman" w:eastAsia="Calibri" w:hAnsi="Times New Roman" w:cs="Times New Roman"/>
          <w:noProof/>
          <w:sz w:val="24"/>
          <w:szCs w:val="24"/>
        </w:rPr>
        <w:t>non-major</w:t>
      </w:r>
      <w:r w:rsidRPr="002661A8">
        <w:rPr>
          <w:rFonts w:ascii="Times New Roman" w:eastAsia="Calibri" w:hAnsi="Times New Roman" w:cs="Times New Roman"/>
          <w:noProof/>
          <w:sz w:val="24"/>
          <w:szCs w:val="24"/>
        </w:rPr>
        <w:t xml:space="preserve"> initiatives and bring non-significant changes to risk models much faster</w:t>
      </w:r>
      <w:r w:rsidR="00C73952" w:rsidRPr="002661A8">
        <w:rPr>
          <w:rStyle w:val="FootnoteReference"/>
          <w:rFonts w:ascii="Times New Roman" w:eastAsia="Calibri" w:hAnsi="Times New Roman" w:cs="Times New Roman"/>
          <w:noProof/>
          <w:sz w:val="24"/>
          <w:szCs w:val="24"/>
        </w:rPr>
        <w:footnoteReference w:id="124"/>
      </w:r>
      <w:r w:rsidRPr="002661A8">
        <w:rPr>
          <w:rFonts w:ascii="Times New Roman" w:eastAsia="Calibri" w:hAnsi="Times New Roman" w:cs="Times New Roman"/>
          <w:noProof/>
          <w:sz w:val="24"/>
          <w:szCs w:val="24"/>
        </w:rPr>
        <w:t xml:space="preserve">, increasing their potential to expand their business and compete internationally. This option would also enhance clarity as to when faster procedures are appropriate and applicable: in this way, the time and resources used </w:t>
      </w:r>
      <w:r w:rsidR="00C73952" w:rsidRPr="002661A8">
        <w:rPr>
          <w:rFonts w:ascii="Times New Roman" w:eastAsia="Calibri" w:hAnsi="Times New Roman" w:cs="Times New Roman"/>
          <w:noProof/>
          <w:sz w:val="24"/>
          <w:szCs w:val="24"/>
        </w:rPr>
        <w:t xml:space="preserve">by CCPs </w:t>
      </w:r>
      <w:r w:rsidRPr="002661A8">
        <w:rPr>
          <w:rFonts w:ascii="Times New Roman" w:eastAsia="Calibri" w:hAnsi="Times New Roman" w:cs="Times New Roman"/>
          <w:noProof/>
          <w:sz w:val="24"/>
          <w:szCs w:val="24"/>
        </w:rPr>
        <w:t xml:space="preserve">to </w:t>
      </w:r>
      <w:r w:rsidR="00047AAD">
        <w:rPr>
          <w:rFonts w:ascii="Times New Roman" w:eastAsia="Calibri" w:hAnsi="Times New Roman" w:cs="Times New Roman"/>
          <w:noProof/>
          <w:sz w:val="24"/>
          <w:szCs w:val="24"/>
        </w:rPr>
        <w:t>assess</w:t>
      </w:r>
      <w:r w:rsidRPr="002661A8">
        <w:rPr>
          <w:rFonts w:ascii="Times New Roman" w:eastAsia="Calibri" w:hAnsi="Times New Roman" w:cs="Times New Roman"/>
          <w:noProof/>
          <w:sz w:val="24"/>
          <w:szCs w:val="24"/>
        </w:rPr>
        <w:t xml:space="preserve"> whether a change is significant or not</w:t>
      </w:r>
      <w:r w:rsidR="00C73952"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 xml:space="preserve">would be reduced if not completely saved, and resources </w:t>
      </w:r>
      <w:r w:rsidR="00047AAD">
        <w:rPr>
          <w:rFonts w:ascii="Times New Roman" w:eastAsia="Calibri" w:hAnsi="Times New Roman" w:cs="Times New Roman"/>
          <w:noProof/>
          <w:sz w:val="24"/>
          <w:szCs w:val="24"/>
        </w:rPr>
        <w:t>would not be wasted</w:t>
      </w:r>
      <w:r w:rsidRPr="002661A8" w:rsidDel="00047AAD">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 xml:space="preserve">to follow long procedures when not necessary. In addition, like option </w:t>
      </w:r>
      <w:r w:rsidR="00FF2EC3">
        <w:rPr>
          <w:rFonts w:ascii="Times New Roman" w:eastAsia="Calibri" w:hAnsi="Times New Roman" w:cs="Times New Roman"/>
          <w:noProof/>
          <w:sz w:val="24"/>
          <w:szCs w:val="24"/>
        </w:rPr>
        <w:t>A</w:t>
      </w:r>
      <w:r w:rsidR="008405DA">
        <w:rPr>
          <w:rFonts w:ascii="Times New Roman" w:eastAsia="Calibri" w:hAnsi="Times New Roman" w:cs="Times New Roman"/>
          <w:noProof/>
          <w:sz w:val="24"/>
          <w:szCs w:val="24"/>
        </w:rPr>
        <w:t>2</w:t>
      </w:r>
      <w:r w:rsidRPr="002661A8">
        <w:rPr>
          <w:rFonts w:ascii="Times New Roman" w:eastAsia="Calibri" w:hAnsi="Times New Roman" w:cs="Times New Roman"/>
          <w:noProof/>
          <w:sz w:val="24"/>
          <w:szCs w:val="24"/>
        </w:rPr>
        <w:t>, this option would reduce the probability of losing business to competitors while waiting for regulatory approvals. These benefits would be ongoing. CCPs estimate that an ex-post approval process could lead to economies of at least 25% compared to the current procedures.</w:t>
      </w:r>
      <w:r w:rsidRPr="002661A8">
        <w:rPr>
          <w:rStyle w:val="FootnoteReference"/>
          <w:rFonts w:ascii="Times New Roman" w:eastAsia="Calibri" w:hAnsi="Times New Roman" w:cs="Times New Roman"/>
          <w:noProof/>
          <w:sz w:val="24"/>
          <w:szCs w:val="24"/>
        </w:rPr>
        <w:footnoteReference w:id="125"/>
      </w:r>
      <w:r w:rsidR="009D09CF">
        <w:rPr>
          <w:rFonts w:ascii="Times New Roman" w:eastAsia="Calibri" w:hAnsi="Times New Roman" w:cs="Times New Roman"/>
          <w:noProof/>
          <w:sz w:val="24"/>
          <w:szCs w:val="24"/>
        </w:rPr>
        <w:t xml:space="preserve"> </w:t>
      </w:r>
      <w:r w:rsidR="00A13482">
        <w:rPr>
          <w:rFonts w:ascii="Times New Roman" w:eastAsia="Calibri" w:hAnsi="Times New Roman" w:cs="Times New Roman"/>
          <w:noProof/>
          <w:sz w:val="24"/>
          <w:szCs w:val="24"/>
        </w:rPr>
        <w:t>While the current cost of procedures is unknown, t</w:t>
      </w:r>
      <w:r w:rsidR="009D09CF">
        <w:rPr>
          <w:rFonts w:ascii="Times New Roman" w:eastAsia="Calibri" w:hAnsi="Times New Roman" w:cs="Times New Roman"/>
          <w:noProof/>
          <w:sz w:val="24"/>
          <w:szCs w:val="24"/>
        </w:rPr>
        <w:t xml:space="preserve">he </w:t>
      </w:r>
      <w:r w:rsidR="00A13482">
        <w:rPr>
          <w:rFonts w:ascii="Times New Roman" w:eastAsia="Calibri" w:hAnsi="Times New Roman" w:cs="Times New Roman"/>
          <w:noProof/>
          <w:sz w:val="24"/>
          <w:szCs w:val="24"/>
        </w:rPr>
        <w:t xml:space="preserve">cost reduction can be estimated to be between EUR </w:t>
      </w:r>
      <w:r w:rsidR="00A05C84">
        <w:rPr>
          <w:rFonts w:ascii="Times New Roman" w:eastAsia="Calibri" w:hAnsi="Times New Roman" w:cs="Times New Roman"/>
          <w:noProof/>
          <w:sz w:val="24"/>
          <w:szCs w:val="24"/>
        </w:rPr>
        <w:t xml:space="preserve">5 </w:t>
      </w:r>
      <w:r w:rsidR="00A13482">
        <w:rPr>
          <w:rFonts w:ascii="Times New Roman" w:eastAsia="Calibri" w:hAnsi="Times New Roman" w:cs="Times New Roman"/>
          <w:noProof/>
          <w:sz w:val="24"/>
          <w:szCs w:val="24"/>
        </w:rPr>
        <w:t xml:space="preserve">million and EUR </w:t>
      </w:r>
      <w:r w:rsidR="00A05C84">
        <w:rPr>
          <w:rFonts w:ascii="Times New Roman" w:eastAsia="Calibri" w:hAnsi="Times New Roman" w:cs="Times New Roman"/>
          <w:noProof/>
          <w:sz w:val="24"/>
          <w:szCs w:val="24"/>
        </w:rPr>
        <w:t xml:space="preserve">15 </w:t>
      </w:r>
      <w:r w:rsidR="00A13482">
        <w:rPr>
          <w:rFonts w:ascii="Times New Roman" w:eastAsia="Calibri" w:hAnsi="Times New Roman" w:cs="Times New Roman"/>
          <w:noProof/>
          <w:sz w:val="24"/>
          <w:szCs w:val="24"/>
        </w:rPr>
        <w:t>million per year over all EU CCPs.</w:t>
      </w:r>
    </w:p>
    <w:p w14:paraId="19EBDEDE" w14:textId="768FBB83" w:rsidR="00773B80" w:rsidRPr="002661A8" w:rsidRDefault="00773B80" w:rsidP="00773B80">
      <w:pPr>
        <w:spacing w:after="120" w:line="240" w:lineRule="auto"/>
        <w:jc w:val="both"/>
        <w:rPr>
          <w:rFonts w:ascii="Times New Roman" w:eastAsia="Calibri" w:hAnsi="Times New Roman" w:cs="Times New Roman"/>
          <w:b/>
          <w:noProof/>
          <w:sz w:val="24"/>
          <w:szCs w:val="24"/>
        </w:rPr>
      </w:pPr>
      <w:r w:rsidRPr="002661A8">
        <w:rPr>
          <w:rFonts w:ascii="Times New Roman" w:eastAsia="Calibri" w:hAnsi="Times New Roman" w:cs="Times New Roman"/>
          <w:noProof/>
          <w:sz w:val="24"/>
          <w:szCs w:val="24"/>
        </w:rPr>
        <w:t xml:space="preserve">As </w:t>
      </w:r>
      <w:r w:rsidR="00502CB3" w:rsidRPr="002661A8">
        <w:rPr>
          <w:rFonts w:ascii="Times New Roman" w:eastAsia="Calibri" w:hAnsi="Times New Roman" w:cs="Times New Roman"/>
          <w:noProof/>
          <w:sz w:val="24"/>
          <w:szCs w:val="24"/>
        </w:rPr>
        <w:t>under</w:t>
      </w:r>
      <w:r w:rsidRPr="002661A8">
        <w:rPr>
          <w:rFonts w:ascii="Times New Roman" w:eastAsia="Calibri" w:hAnsi="Times New Roman" w:cs="Times New Roman"/>
          <w:noProof/>
          <w:sz w:val="24"/>
          <w:szCs w:val="24"/>
        </w:rPr>
        <w:t xml:space="preserve"> option </w:t>
      </w:r>
      <w:r w:rsidR="00FF2EC3">
        <w:rPr>
          <w:rFonts w:ascii="Times New Roman" w:eastAsia="Calibri" w:hAnsi="Times New Roman" w:cs="Times New Roman"/>
          <w:noProof/>
          <w:sz w:val="24"/>
          <w:szCs w:val="24"/>
        </w:rPr>
        <w:t>A</w:t>
      </w:r>
      <w:r w:rsidRPr="002661A8">
        <w:rPr>
          <w:rFonts w:ascii="Times New Roman" w:eastAsia="Calibri" w:hAnsi="Times New Roman" w:cs="Times New Roman"/>
          <w:noProof/>
          <w:sz w:val="24"/>
          <w:szCs w:val="24"/>
        </w:rPr>
        <w:t xml:space="preserve">2, </w:t>
      </w:r>
      <w:r w:rsidRPr="002661A8">
        <w:rPr>
          <w:rFonts w:ascii="Times New Roman" w:eastAsia="Calibri" w:hAnsi="Times New Roman" w:cs="Times New Roman"/>
          <w:b/>
          <w:noProof/>
          <w:sz w:val="24"/>
          <w:szCs w:val="24"/>
        </w:rPr>
        <w:t xml:space="preserve">clearing members </w:t>
      </w:r>
      <w:r w:rsidR="006A6036" w:rsidRPr="002661A8">
        <w:rPr>
          <w:rFonts w:ascii="Times New Roman" w:eastAsia="Calibri" w:hAnsi="Times New Roman" w:cs="Times New Roman"/>
          <w:noProof/>
          <w:sz w:val="24"/>
          <w:szCs w:val="24"/>
        </w:rPr>
        <w:t>could</w:t>
      </w:r>
      <w:r w:rsidRPr="002661A8">
        <w:rPr>
          <w:rFonts w:ascii="Times New Roman" w:eastAsia="Calibri" w:hAnsi="Times New Roman" w:cs="Times New Roman"/>
          <w:noProof/>
          <w:sz w:val="24"/>
          <w:szCs w:val="24"/>
        </w:rPr>
        <w:t xml:space="preserve"> benefit from </w:t>
      </w:r>
      <w:r w:rsidR="00502CB3" w:rsidRPr="002661A8">
        <w:rPr>
          <w:rFonts w:ascii="Times New Roman" w:eastAsia="Calibri" w:hAnsi="Times New Roman" w:cs="Times New Roman"/>
          <w:noProof/>
          <w:sz w:val="24"/>
          <w:szCs w:val="24"/>
        </w:rPr>
        <w:t>improved</w:t>
      </w:r>
      <w:r w:rsidRPr="002661A8">
        <w:rPr>
          <w:rFonts w:ascii="Times New Roman" w:eastAsia="Calibri" w:hAnsi="Times New Roman" w:cs="Times New Roman"/>
          <w:noProof/>
          <w:sz w:val="24"/>
          <w:szCs w:val="24"/>
        </w:rPr>
        <w:t xml:space="preserve"> offer by CCPs in a faster way and would have </w:t>
      </w:r>
      <w:r w:rsidR="00502CB3" w:rsidRPr="002661A8">
        <w:rPr>
          <w:rFonts w:ascii="Times New Roman" w:eastAsia="Calibri" w:hAnsi="Times New Roman" w:cs="Times New Roman"/>
          <w:noProof/>
          <w:sz w:val="24"/>
          <w:szCs w:val="24"/>
        </w:rPr>
        <w:t>better</w:t>
      </w:r>
      <w:r w:rsidRPr="002661A8">
        <w:rPr>
          <w:rFonts w:ascii="Times New Roman" w:eastAsia="Calibri" w:hAnsi="Times New Roman" w:cs="Times New Roman"/>
          <w:noProof/>
          <w:sz w:val="24"/>
          <w:szCs w:val="24"/>
        </w:rPr>
        <w:t xml:space="preserve"> choices where to clear. Even though this would be true for certain types of initiatives/changes only, such initiatives could encompass, e.g. the addition of a new currency, which is an important aspect when comparing the offer of EU CCPs with the offer of other third-country CCPs. The reduction of regulatory costs incurred by CCPs could also lead to </w:t>
      </w:r>
      <w:r w:rsidR="00C43394" w:rsidRPr="002661A8">
        <w:rPr>
          <w:rFonts w:ascii="Times New Roman" w:eastAsia="Calibri" w:hAnsi="Times New Roman" w:cs="Times New Roman"/>
          <w:noProof/>
          <w:sz w:val="24"/>
          <w:szCs w:val="24"/>
        </w:rPr>
        <w:t>reduced</w:t>
      </w:r>
      <w:r w:rsidRPr="002661A8">
        <w:rPr>
          <w:rFonts w:ascii="Times New Roman" w:eastAsia="Calibri" w:hAnsi="Times New Roman" w:cs="Times New Roman"/>
          <w:noProof/>
          <w:sz w:val="24"/>
          <w:szCs w:val="24"/>
        </w:rPr>
        <w:t xml:space="preserve"> cost of clearing for clearing members. Clarity over CCPs’ launch dates for a specific service or activity would reduce legal uncertainty and additional implementation costs (e.g. IT adaptations, need to maintain dual CCP set-up, adjustment of procedures and contracts with customers) for clearing members. These benefit would be ongoing.</w:t>
      </w:r>
      <w:r w:rsidR="00044823" w:rsidRPr="002661A8">
        <w:rPr>
          <w:rFonts w:ascii="Times New Roman" w:eastAsia="Calibri" w:hAnsi="Times New Roman" w:cs="Times New Roman"/>
          <w:b/>
          <w:bCs/>
          <w:noProof/>
          <w:sz w:val="24"/>
          <w:szCs w:val="24"/>
        </w:rPr>
        <w:t xml:space="preserve"> </w:t>
      </w:r>
      <w:r w:rsidRPr="002661A8">
        <w:rPr>
          <w:rFonts w:ascii="Times New Roman" w:eastAsia="Calibri" w:hAnsi="Times New Roman" w:cs="Times New Roman"/>
          <w:b/>
          <w:bCs/>
          <w:noProof/>
          <w:sz w:val="24"/>
          <w:szCs w:val="24"/>
        </w:rPr>
        <w:t>Clients</w:t>
      </w:r>
      <w:r w:rsidRPr="002661A8">
        <w:rPr>
          <w:rFonts w:ascii="Times New Roman" w:eastAsia="Calibri" w:hAnsi="Times New Roman" w:cs="Times New Roman"/>
          <w:noProof/>
          <w:sz w:val="24"/>
          <w:szCs w:val="24"/>
        </w:rPr>
        <w:t xml:space="preserve"> would </w:t>
      </w:r>
      <w:r w:rsidR="00D630B5" w:rsidRPr="002661A8">
        <w:rPr>
          <w:rFonts w:ascii="Times New Roman" w:eastAsia="Calibri" w:hAnsi="Times New Roman" w:cs="Times New Roman"/>
          <w:noProof/>
          <w:sz w:val="24"/>
          <w:szCs w:val="24"/>
        </w:rPr>
        <w:t>benefit similarly as</w:t>
      </w:r>
      <w:r w:rsidRPr="002661A8">
        <w:rPr>
          <w:rFonts w:ascii="Times New Roman" w:eastAsia="Calibri" w:hAnsi="Times New Roman" w:cs="Times New Roman"/>
          <w:noProof/>
          <w:sz w:val="24"/>
          <w:szCs w:val="24"/>
        </w:rPr>
        <w:t xml:space="preserve"> clearing members</w:t>
      </w:r>
      <w:r w:rsidRPr="002661A8" w:rsidDel="00D630B5">
        <w:rPr>
          <w:rFonts w:ascii="Times New Roman" w:eastAsia="Calibri" w:hAnsi="Times New Roman" w:cs="Times New Roman"/>
          <w:noProof/>
          <w:sz w:val="24"/>
          <w:szCs w:val="24"/>
        </w:rPr>
        <w:t xml:space="preserve"> </w:t>
      </w:r>
      <w:r w:rsidR="00D630B5" w:rsidRPr="002661A8">
        <w:rPr>
          <w:rFonts w:ascii="Times New Roman" w:eastAsia="Calibri" w:hAnsi="Times New Roman" w:cs="Times New Roman"/>
          <w:noProof/>
          <w:sz w:val="24"/>
          <w:szCs w:val="24"/>
        </w:rPr>
        <w:t xml:space="preserve">(also </w:t>
      </w:r>
      <w:r w:rsidRPr="002661A8">
        <w:rPr>
          <w:rFonts w:ascii="Times New Roman" w:eastAsia="Calibri" w:hAnsi="Times New Roman" w:cs="Times New Roman"/>
          <w:noProof/>
          <w:sz w:val="24"/>
          <w:szCs w:val="24"/>
        </w:rPr>
        <w:t>ongoing</w:t>
      </w:r>
      <w:r w:rsidR="00D630B5" w:rsidRPr="002661A8">
        <w:rPr>
          <w:rFonts w:ascii="Times New Roman" w:eastAsia="Calibri" w:hAnsi="Times New Roman" w:cs="Times New Roman"/>
          <w:noProof/>
          <w:sz w:val="24"/>
          <w:szCs w:val="24"/>
        </w:rPr>
        <w:t>)</w:t>
      </w:r>
      <w:r w:rsidRPr="002661A8">
        <w:rPr>
          <w:rFonts w:ascii="Times New Roman" w:eastAsia="Calibri" w:hAnsi="Times New Roman" w:cs="Times New Roman"/>
          <w:noProof/>
          <w:sz w:val="24"/>
          <w:szCs w:val="24"/>
        </w:rPr>
        <w:t>.</w:t>
      </w:r>
    </w:p>
    <w:p w14:paraId="156C0515" w14:textId="6B05CE61" w:rsidR="00773B80" w:rsidRPr="002661A8" w:rsidRDefault="00746C05" w:rsidP="000F733C">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b/>
          <w:bCs/>
          <w:noProof/>
          <w:sz w:val="24"/>
          <w:szCs w:val="24"/>
        </w:rPr>
        <w:t xml:space="preserve">CCPs’ NCAs </w:t>
      </w:r>
      <w:r w:rsidR="00773B80" w:rsidRPr="002661A8">
        <w:rPr>
          <w:rFonts w:ascii="Times New Roman" w:eastAsia="Calibri" w:hAnsi="Times New Roman" w:cs="Times New Roman"/>
          <w:noProof/>
          <w:sz w:val="24"/>
          <w:szCs w:val="24"/>
        </w:rPr>
        <w:t xml:space="preserve">would benefit from more clarity as to when a proposed initiative can be considered as minor/less significant. A </w:t>
      </w:r>
      <w:r w:rsidR="00044823" w:rsidRPr="002661A8">
        <w:rPr>
          <w:rFonts w:ascii="Times New Roman" w:eastAsia="Calibri" w:hAnsi="Times New Roman" w:cs="Times New Roman"/>
          <w:noProof/>
          <w:sz w:val="24"/>
          <w:szCs w:val="24"/>
        </w:rPr>
        <w:t xml:space="preserve">more </w:t>
      </w:r>
      <w:r w:rsidR="00773B80" w:rsidRPr="002661A8">
        <w:rPr>
          <w:rFonts w:ascii="Times New Roman" w:eastAsia="Calibri" w:hAnsi="Times New Roman" w:cs="Times New Roman"/>
          <w:noProof/>
          <w:sz w:val="24"/>
          <w:szCs w:val="24"/>
        </w:rPr>
        <w:t xml:space="preserve">harmonised approach </w:t>
      </w:r>
      <w:r w:rsidR="00044823" w:rsidRPr="002661A8">
        <w:rPr>
          <w:rFonts w:ascii="Times New Roman" w:eastAsia="Calibri" w:hAnsi="Times New Roman" w:cs="Times New Roman"/>
          <w:noProof/>
          <w:sz w:val="24"/>
          <w:szCs w:val="24"/>
        </w:rPr>
        <w:t>is</w:t>
      </w:r>
      <w:r w:rsidR="00773B80" w:rsidRPr="002661A8">
        <w:rPr>
          <w:rFonts w:ascii="Times New Roman" w:eastAsia="Calibri" w:hAnsi="Times New Roman" w:cs="Times New Roman"/>
          <w:noProof/>
          <w:sz w:val="24"/>
          <w:szCs w:val="24"/>
        </w:rPr>
        <w:t xml:space="preserve"> likely to save</w:t>
      </w:r>
      <w:r w:rsidR="00044823"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NCA</w:t>
      </w:r>
      <w:r w:rsidR="00044823" w:rsidRPr="002661A8">
        <w:rPr>
          <w:rFonts w:ascii="Times New Roman" w:eastAsia="Calibri" w:hAnsi="Times New Roman" w:cs="Times New Roman"/>
          <w:noProof/>
          <w:sz w:val="24"/>
          <w:szCs w:val="24"/>
        </w:rPr>
        <w:t>s’</w:t>
      </w:r>
      <w:r w:rsidR="00773B80" w:rsidRPr="002661A8">
        <w:rPr>
          <w:rFonts w:ascii="Times New Roman" w:eastAsia="Calibri" w:hAnsi="Times New Roman" w:cs="Times New Roman"/>
          <w:noProof/>
          <w:sz w:val="24"/>
          <w:szCs w:val="24"/>
        </w:rPr>
        <w:t xml:space="preserve"> resources and time spent in assessing, e.g. </w:t>
      </w:r>
      <w:r w:rsidR="003577FA" w:rsidRPr="002661A8">
        <w:rPr>
          <w:rFonts w:ascii="Times New Roman" w:eastAsia="Calibri" w:hAnsi="Times New Roman" w:cs="Times New Roman"/>
          <w:noProof/>
          <w:sz w:val="24"/>
          <w:szCs w:val="24"/>
        </w:rPr>
        <w:t>if</w:t>
      </w:r>
      <w:r w:rsidR="00773B80" w:rsidRPr="002661A8">
        <w:rPr>
          <w:rFonts w:ascii="Times New Roman" w:eastAsia="Calibri" w:hAnsi="Times New Roman" w:cs="Times New Roman"/>
          <w:noProof/>
          <w:sz w:val="24"/>
          <w:szCs w:val="24"/>
        </w:rPr>
        <w:t xml:space="preserve"> an extension of authorisation is required. This benefit would be ongoing. </w:t>
      </w:r>
      <w:r w:rsidR="00773B80" w:rsidRPr="002661A8">
        <w:rPr>
          <w:rFonts w:ascii="Times New Roman" w:eastAsia="Calibri" w:hAnsi="Times New Roman" w:cs="Times New Roman"/>
          <w:b/>
          <w:noProof/>
          <w:sz w:val="24"/>
          <w:szCs w:val="24"/>
        </w:rPr>
        <w:t>ESMA</w:t>
      </w:r>
      <w:r w:rsidR="00773B80" w:rsidRPr="002661A8" w:rsidDel="00B8152C">
        <w:rPr>
          <w:rFonts w:ascii="Times New Roman" w:eastAsia="Calibri" w:hAnsi="Times New Roman" w:cs="Times New Roman"/>
          <w:noProof/>
          <w:sz w:val="24"/>
          <w:szCs w:val="24"/>
        </w:rPr>
        <w:t xml:space="preserve"> would </w:t>
      </w:r>
      <w:r w:rsidR="00B8152C" w:rsidRPr="002661A8">
        <w:rPr>
          <w:rFonts w:ascii="Times New Roman" w:eastAsia="Calibri" w:hAnsi="Times New Roman" w:cs="Times New Roman"/>
          <w:noProof/>
          <w:sz w:val="24"/>
          <w:szCs w:val="24"/>
        </w:rPr>
        <w:t>also have similar ongoing benefits in terms of resources</w:t>
      </w:r>
      <w:r w:rsidR="00773B80" w:rsidRPr="002661A8">
        <w:rPr>
          <w:rFonts w:ascii="Times New Roman" w:eastAsia="Calibri" w:hAnsi="Times New Roman" w:cs="Times New Roman"/>
          <w:noProof/>
          <w:sz w:val="24"/>
          <w:szCs w:val="24"/>
        </w:rPr>
        <w:t>.</w:t>
      </w:r>
    </w:p>
    <w:p w14:paraId="0861D8FA" w14:textId="24C27135" w:rsidR="000923BE" w:rsidRPr="002661A8" w:rsidRDefault="000923BE" w:rsidP="00ED5088">
      <w:pPr>
        <w:pStyle w:val="Heading1"/>
        <w:numPr>
          <w:ilvl w:val="2"/>
          <w:numId w:val="6"/>
        </w:numPr>
        <w:spacing w:before="0" w:after="120"/>
        <w:rPr>
          <w:i/>
          <w:noProof/>
        </w:rPr>
      </w:pPr>
      <w:bookmarkStart w:id="878" w:name="_Toc104310008"/>
      <w:bookmarkStart w:id="879" w:name="_Toc105656448"/>
      <w:bookmarkStart w:id="880" w:name="_Toc106827848"/>
      <w:bookmarkStart w:id="881" w:name="_Toc106981724"/>
      <w:bookmarkStart w:id="882" w:name="_Toc107493864"/>
      <w:bookmarkStart w:id="883" w:name="_Toc107497900"/>
      <w:bookmarkStart w:id="884" w:name="_Toc107503453"/>
      <w:bookmarkStart w:id="885" w:name="_Toc107504601"/>
      <w:bookmarkStart w:id="886" w:name="_Toc107505446"/>
      <w:bookmarkStart w:id="887" w:name="_Toc107838922"/>
      <w:bookmarkStart w:id="888" w:name="_Toc107847017"/>
      <w:bookmarkStart w:id="889" w:name="_Toc107849254"/>
      <w:bookmarkStart w:id="890" w:name="_Toc107853701"/>
      <w:bookmarkStart w:id="891" w:name="_Toc107865295"/>
      <w:bookmarkStart w:id="892" w:name="_Toc108418504"/>
      <w:bookmarkStart w:id="893" w:name="_Toc108539596"/>
      <w:bookmarkStart w:id="894" w:name="_Toc108539818"/>
      <w:bookmarkStart w:id="895" w:name="_Toc108539936"/>
      <w:bookmarkStart w:id="896" w:name="_Toc108540015"/>
      <w:bookmarkStart w:id="897" w:name="_Toc109057394"/>
      <w:bookmarkStart w:id="898" w:name="_Toc109120760"/>
      <w:bookmarkStart w:id="899" w:name="_Toc109122395"/>
      <w:bookmarkStart w:id="900" w:name="_Toc109124108"/>
      <w:bookmarkStart w:id="901" w:name="_Toc109133132"/>
      <w:bookmarkStart w:id="902" w:name="_Toc109133308"/>
      <w:bookmarkStart w:id="903" w:name="_Toc120291666"/>
      <w:r w:rsidRPr="002661A8">
        <w:rPr>
          <w:b w:val="0"/>
          <w:i/>
          <w:smallCaps w:val="0"/>
          <w:noProof/>
        </w:rPr>
        <w:t xml:space="preserve">Option </w:t>
      </w:r>
      <w:r w:rsidR="00A8027C">
        <w:rPr>
          <w:b w:val="0"/>
          <w:i/>
          <w:smallCaps w:val="0"/>
          <w:noProof/>
        </w:rPr>
        <w:t>A</w:t>
      </w:r>
      <w:r w:rsidRPr="002661A8">
        <w:rPr>
          <w:b w:val="0"/>
          <w:i/>
          <w:smallCaps w:val="0"/>
          <w:noProof/>
        </w:rPr>
        <w:t xml:space="preserve">4 – Combination of Options </w:t>
      </w:r>
      <w:r w:rsidR="00A8027C">
        <w:rPr>
          <w:b w:val="0"/>
          <w:i/>
          <w:smallCaps w:val="0"/>
          <w:noProof/>
        </w:rPr>
        <w:t>A</w:t>
      </w:r>
      <w:r w:rsidRPr="002661A8">
        <w:rPr>
          <w:b w:val="0"/>
          <w:i/>
          <w:smallCaps w:val="0"/>
          <w:noProof/>
        </w:rPr>
        <w:t xml:space="preserve">2 and </w:t>
      </w:r>
      <w:r w:rsidR="00A8027C">
        <w:rPr>
          <w:b w:val="0"/>
          <w:i/>
          <w:smallCaps w:val="0"/>
          <w:noProof/>
        </w:rPr>
        <w:t>A</w:t>
      </w:r>
      <w:r w:rsidRPr="002661A8">
        <w:rPr>
          <w:b w:val="0"/>
          <w:i/>
          <w:smallCaps w:val="0"/>
          <w:noProof/>
        </w:rPr>
        <w:t>3</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2CCDA18C" w14:textId="19D41882" w:rsidR="000923BE" w:rsidRPr="002661A8" w:rsidRDefault="000923BE" w:rsidP="00E36E82">
      <w:pPr>
        <w:spacing w:after="120" w:line="240" w:lineRule="auto"/>
        <w:jc w:val="both"/>
        <w:rPr>
          <w:rFonts w:ascii="Times New Roman" w:eastAsia="Calibri" w:hAnsi="Times New Roman" w:cs="Times New Roman"/>
          <w:noProof/>
          <w:sz w:val="24"/>
          <w:szCs w:val="24"/>
          <w:u w:val="single"/>
        </w:rPr>
      </w:pPr>
      <w:r w:rsidRPr="002661A8">
        <w:rPr>
          <w:rFonts w:ascii="Times New Roman" w:eastAsia="Calibri" w:hAnsi="Times New Roman" w:cs="Times New Roman"/>
          <w:noProof/>
          <w:sz w:val="24"/>
          <w:szCs w:val="24"/>
          <w:u w:val="single"/>
        </w:rPr>
        <w:t xml:space="preserve">Effectiveness in meeting the specific objectives </w:t>
      </w:r>
    </w:p>
    <w:p w14:paraId="2153840F" w14:textId="77777777" w:rsidR="006B7D06" w:rsidRDefault="000923BE" w:rsidP="00201C1C">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Combining Options </w:t>
      </w:r>
      <w:r w:rsidR="00FF2EC3">
        <w:rPr>
          <w:rFonts w:ascii="Times New Roman" w:eastAsia="Calibri" w:hAnsi="Times New Roman" w:cs="Times New Roman"/>
          <w:noProof/>
          <w:sz w:val="24"/>
          <w:szCs w:val="24"/>
        </w:rPr>
        <w:t>A</w:t>
      </w:r>
      <w:r w:rsidRPr="002661A8">
        <w:rPr>
          <w:rFonts w:ascii="Times New Roman" w:eastAsia="Calibri" w:hAnsi="Times New Roman" w:cs="Times New Roman"/>
          <w:noProof/>
          <w:sz w:val="24"/>
          <w:szCs w:val="24"/>
        </w:rPr>
        <w:t xml:space="preserve">2 and </w:t>
      </w:r>
      <w:r w:rsidR="00FF2EC3">
        <w:rPr>
          <w:rFonts w:ascii="Times New Roman" w:eastAsia="Calibri" w:hAnsi="Times New Roman" w:cs="Times New Roman"/>
          <w:noProof/>
          <w:sz w:val="24"/>
          <w:szCs w:val="24"/>
        </w:rPr>
        <w:t>A</w:t>
      </w:r>
      <w:r w:rsidRPr="002661A8">
        <w:rPr>
          <w:rFonts w:ascii="Times New Roman" w:eastAsia="Calibri" w:hAnsi="Times New Roman" w:cs="Times New Roman"/>
          <w:noProof/>
          <w:sz w:val="24"/>
          <w:szCs w:val="24"/>
        </w:rPr>
        <w:t>3 would simplif</w:t>
      </w:r>
      <w:r w:rsidR="003D2B46" w:rsidRPr="002661A8">
        <w:rPr>
          <w:rFonts w:ascii="Times New Roman" w:eastAsia="Calibri" w:hAnsi="Times New Roman" w:cs="Times New Roman"/>
          <w:noProof/>
          <w:sz w:val="24"/>
          <w:szCs w:val="24"/>
        </w:rPr>
        <w:t>y</w:t>
      </w:r>
      <w:r w:rsidRPr="002661A8">
        <w:rPr>
          <w:rFonts w:ascii="Times New Roman" w:eastAsia="Calibri" w:hAnsi="Times New Roman" w:cs="Times New Roman"/>
          <w:noProof/>
          <w:sz w:val="24"/>
          <w:szCs w:val="24"/>
        </w:rPr>
        <w:t xml:space="preserve"> the current procedures to </w:t>
      </w:r>
      <w:r w:rsidR="003D2B46" w:rsidRPr="002661A8">
        <w:rPr>
          <w:rFonts w:ascii="Times New Roman" w:eastAsia="Calibri" w:hAnsi="Times New Roman" w:cs="Times New Roman"/>
          <w:noProof/>
          <w:sz w:val="24"/>
          <w:szCs w:val="24"/>
        </w:rPr>
        <w:t>a greater extent</w:t>
      </w:r>
      <w:r w:rsidRPr="002661A8">
        <w:rPr>
          <w:rFonts w:ascii="Times New Roman" w:eastAsia="Calibri" w:hAnsi="Times New Roman" w:cs="Times New Roman"/>
          <w:noProof/>
          <w:sz w:val="24"/>
          <w:szCs w:val="24"/>
        </w:rPr>
        <w:t xml:space="preserve"> while preserving financial stability. It would</w:t>
      </w:r>
      <w:r w:rsidR="003D2B46" w:rsidRPr="002661A8" w:rsidDel="005F791D">
        <w:rPr>
          <w:rFonts w:ascii="Times New Roman" w:eastAsia="Calibri" w:hAnsi="Times New Roman" w:cs="Times New Roman"/>
          <w:noProof/>
          <w:sz w:val="24"/>
          <w:szCs w:val="24"/>
        </w:rPr>
        <w:t xml:space="preserve"> </w:t>
      </w:r>
      <w:r w:rsidR="005F791D" w:rsidRPr="002661A8">
        <w:rPr>
          <w:rFonts w:ascii="Times New Roman" w:eastAsia="Calibri" w:hAnsi="Times New Roman" w:cs="Times New Roman"/>
          <w:noProof/>
          <w:sz w:val="24"/>
          <w:szCs w:val="24"/>
        </w:rPr>
        <w:t xml:space="preserve">thus </w:t>
      </w:r>
      <w:r w:rsidRPr="002661A8">
        <w:rPr>
          <w:rFonts w:ascii="Times New Roman" w:eastAsia="Calibri" w:hAnsi="Times New Roman" w:cs="Times New Roman"/>
          <w:noProof/>
          <w:sz w:val="24"/>
          <w:szCs w:val="24"/>
        </w:rPr>
        <w:t xml:space="preserve">achieve the first specific objective to </w:t>
      </w:r>
      <w:r w:rsidR="003D2B46" w:rsidRPr="002661A8">
        <w:rPr>
          <w:rFonts w:ascii="Times New Roman" w:eastAsia="Calibri" w:hAnsi="Times New Roman" w:cs="Times New Roman"/>
          <w:noProof/>
          <w:sz w:val="24"/>
          <w:szCs w:val="24"/>
        </w:rPr>
        <w:t xml:space="preserve">a </w:t>
      </w:r>
      <w:r w:rsidRPr="002661A8">
        <w:rPr>
          <w:rFonts w:ascii="Times New Roman" w:eastAsia="Calibri" w:hAnsi="Times New Roman" w:cs="Times New Roman"/>
          <w:noProof/>
          <w:sz w:val="24"/>
          <w:szCs w:val="24"/>
        </w:rPr>
        <w:t>fulle</w:t>
      </w:r>
      <w:r w:rsidR="003D2B46" w:rsidRPr="002661A8">
        <w:rPr>
          <w:rFonts w:ascii="Times New Roman" w:eastAsia="Calibri" w:hAnsi="Times New Roman" w:cs="Times New Roman"/>
          <w:noProof/>
          <w:sz w:val="24"/>
          <w:szCs w:val="24"/>
        </w:rPr>
        <w:t>r</w:t>
      </w:r>
      <w:r w:rsidRPr="002661A8">
        <w:rPr>
          <w:rFonts w:ascii="Times New Roman" w:eastAsia="Calibri" w:hAnsi="Times New Roman" w:cs="Times New Roman"/>
          <w:noProof/>
          <w:sz w:val="24"/>
          <w:szCs w:val="24"/>
        </w:rPr>
        <w:t xml:space="preserve"> extent</w:t>
      </w:r>
      <w:r w:rsidR="00F75D78" w:rsidRPr="002661A8">
        <w:rPr>
          <w:rFonts w:ascii="Times New Roman" w:eastAsia="Calibri" w:hAnsi="Times New Roman" w:cs="Times New Roman"/>
          <w:noProof/>
          <w:sz w:val="24"/>
          <w:szCs w:val="24"/>
        </w:rPr>
        <w:t xml:space="preserve"> than those options individually</w:t>
      </w:r>
      <w:r w:rsidRPr="002661A8">
        <w:rPr>
          <w:rFonts w:ascii="Times New Roman" w:eastAsia="Calibri" w:hAnsi="Times New Roman" w:cs="Times New Roman"/>
          <w:noProof/>
          <w:sz w:val="24"/>
          <w:szCs w:val="24"/>
        </w:rPr>
        <w:t>.</w:t>
      </w:r>
      <w:r w:rsidR="00D630B5" w:rsidRPr="002661A8">
        <w:rPr>
          <w:rFonts w:ascii="Times New Roman" w:eastAsia="Calibri" w:hAnsi="Times New Roman" w:cs="Times New Roman"/>
          <w:noProof/>
          <w:sz w:val="24"/>
          <w:szCs w:val="24"/>
        </w:rPr>
        <w:t xml:space="preserve"> </w:t>
      </w:r>
    </w:p>
    <w:p w14:paraId="13E9838B" w14:textId="239FF310" w:rsidR="006B7D06" w:rsidRDefault="006B7D06" w:rsidP="00201C1C">
      <w:pPr>
        <w:spacing w:after="120" w:line="240" w:lineRule="auto"/>
        <w:jc w:val="both"/>
        <w:rPr>
          <w:rFonts w:ascii="Times New Roman" w:eastAsia="Calibri" w:hAnsi="Times New Roman" w:cs="Times New Roman"/>
          <w:noProof/>
          <w:sz w:val="24"/>
          <w:szCs w:val="24"/>
        </w:rPr>
      </w:pPr>
      <w:r w:rsidRPr="00BC78A5">
        <w:rPr>
          <w:rFonts w:ascii="Times New Roman" w:eastAsia="Calibri" w:hAnsi="Times New Roman" w:cs="Times New Roman"/>
          <w:noProof/>
          <w:sz w:val="24"/>
          <w:szCs w:val="24"/>
        </w:rPr>
        <w:t>The approximate range of</w:t>
      </w:r>
      <w:r>
        <w:rPr>
          <w:rFonts w:ascii="Times New Roman" w:eastAsia="Calibri" w:hAnsi="Times New Roman" w:cs="Times New Roman"/>
          <w:noProof/>
          <w:sz w:val="24"/>
          <w:szCs w:val="24"/>
        </w:rPr>
        <w:t xml:space="preserve"> related</w:t>
      </w:r>
      <w:r w:rsidRPr="00BC78A5">
        <w:rPr>
          <w:rFonts w:ascii="Times New Roman" w:eastAsia="Calibri" w:hAnsi="Times New Roman" w:cs="Times New Roman"/>
          <w:noProof/>
          <w:sz w:val="24"/>
          <w:szCs w:val="24"/>
        </w:rPr>
        <w:t xml:space="preserve"> cost savings</w:t>
      </w:r>
      <w:r>
        <w:rPr>
          <w:rFonts w:ascii="Times New Roman" w:eastAsia="Calibri" w:hAnsi="Times New Roman" w:cs="Times New Roman"/>
          <w:noProof/>
          <w:sz w:val="24"/>
          <w:szCs w:val="24"/>
        </w:rPr>
        <w:t xml:space="preserve"> of combined options A2 and A3</w:t>
      </w:r>
      <w:r w:rsidRPr="00BC78A5">
        <w:rPr>
          <w:rFonts w:ascii="Times New Roman" w:eastAsia="Calibri" w:hAnsi="Times New Roman" w:cs="Times New Roman"/>
          <w:noProof/>
          <w:sz w:val="24"/>
          <w:szCs w:val="24"/>
        </w:rPr>
        <w:t xml:space="preserve"> has been estimated based on interactions with stakeholders and several assumptions which were needed to extrapolate the effects to the whole EU. This cost saving is of an administrative nature and thus counts under the “one in, one out” approach as an “out” in the range of approx. EUR 5 million to EUR 15 million (EU total). This is likely to be concentrated in few EU CCPs (as few EU CCPs might bring new products to the market in a given year</w:t>
      </w:r>
      <w:r>
        <w:rPr>
          <w:rFonts w:ascii="Times New Roman" w:eastAsia="Calibri" w:hAnsi="Times New Roman" w:cs="Times New Roman"/>
          <w:noProof/>
          <w:sz w:val="24"/>
          <w:szCs w:val="24"/>
        </w:rPr>
        <w:t xml:space="preserve">; </w:t>
      </w:r>
      <w:r w:rsidRPr="00BC78A5">
        <w:rPr>
          <w:rFonts w:ascii="Times New Roman" w:eastAsia="Calibri" w:hAnsi="Times New Roman" w:cs="Times New Roman"/>
          <w:noProof/>
          <w:sz w:val="24"/>
          <w:szCs w:val="24"/>
        </w:rPr>
        <w:t xml:space="preserve">for more details on the estimates, see Annex </w:t>
      </w:r>
      <w:r w:rsidR="001B4DD6">
        <w:rPr>
          <w:rFonts w:ascii="Times New Roman" w:eastAsia="Calibri" w:hAnsi="Times New Roman" w:cs="Times New Roman"/>
          <w:noProof/>
          <w:sz w:val="24"/>
          <w:szCs w:val="24"/>
        </w:rPr>
        <w:t>3</w:t>
      </w:r>
      <w:r w:rsidRPr="00BC78A5">
        <w:rPr>
          <w:rFonts w:ascii="Times New Roman" w:eastAsia="Calibri" w:hAnsi="Times New Roman" w:cs="Times New Roman"/>
          <w:noProof/>
          <w:sz w:val="24"/>
          <w:szCs w:val="24"/>
        </w:rPr>
        <w:t xml:space="preserve">, Table I). </w:t>
      </w:r>
    </w:p>
    <w:p w14:paraId="62726B0F" w14:textId="468FC0F0" w:rsidR="00201C1C" w:rsidRPr="002661A8" w:rsidRDefault="00D630B5" w:rsidP="00201C1C">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Both options can be combined seamlessly and the positive impacts </w:t>
      </w:r>
      <w:r w:rsidR="00FE4BB5" w:rsidRPr="002661A8">
        <w:rPr>
          <w:rFonts w:ascii="Times New Roman" w:eastAsia="Calibri" w:hAnsi="Times New Roman" w:cs="Times New Roman"/>
          <w:noProof/>
          <w:sz w:val="24"/>
          <w:szCs w:val="24"/>
        </w:rPr>
        <w:t>on the attractiveness</w:t>
      </w:r>
      <w:r w:rsidRPr="002661A8">
        <w:rPr>
          <w:rFonts w:ascii="Times New Roman" w:eastAsia="Calibri" w:hAnsi="Times New Roman" w:cs="Times New Roman"/>
          <w:noProof/>
          <w:sz w:val="24"/>
          <w:szCs w:val="24"/>
        </w:rPr>
        <w:t xml:space="preserve"> of EU CCPs are considered additive. </w:t>
      </w:r>
      <w:r w:rsidR="00201C1C" w:rsidRPr="002661A8">
        <w:rPr>
          <w:rFonts w:ascii="Times New Roman" w:eastAsia="Calibri" w:hAnsi="Times New Roman" w:cs="Times New Roman"/>
          <w:noProof/>
          <w:sz w:val="24"/>
          <w:szCs w:val="24"/>
        </w:rPr>
        <w:t xml:space="preserve">As regards the objective of encouraging clearing in the EU, this option </w:t>
      </w:r>
      <w:r w:rsidRPr="002661A8">
        <w:rPr>
          <w:rFonts w:ascii="Times New Roman" w:eastAsia="Calibri" w:hAnsi="Times New Roman" w:cs="Times New Roman"/>
          <w:noProof/>
          <w:sz w:val="24"/>
          <w:szCs w:val="24"/>
        </w:rPr>
        <w:t>would</w:t>
      </w:r>
      <w:r w:rsidR="00201C1C" w:rsidRPr="002661A8">
        <w:rPr>
          <w:rFonts w:ascii="Times New Roman" w:eastAsia="Calibri" w:hAnsi="Times New Roman" w:cs="Times New Roman"/>
          <w:noProof/>
          <w:sz w:val="24"/>
          <w:szCs w:val="24"/>
        </w:rPr>
        <w:t xml:space="preserve"> </w:t>
      </w:r>
      <w:r w:rsidR="00A378E8" w:rsidRPr="002661A8">
        <w:rPr>
          <w:rFonts w:ascii="Times New Roman" w:eastAsia="Calibri" w:hAnsi="Times New Roman" w:cs="Times New Roman"/>
          <w:noProof/>
          <w:sz w:val="24"/>
          <w:szCs w:val="24"/>
        </w:rPr>
        <w:t xml:space="preserve">also contribute to it as it would </w:t>
      </w:r>
      <w:r w:rsidR="00201C1C" w:rsidRPr="002661A8">
        <w:rPr>
          <w:rFonts w:ascii="Times New Roman" w:eastAsia="Calibri" w:hAnsi="Times New Roman" w:cs="Times New Roman"/>
          <w:noProof/>
          <w:sz w:val="24"/>
          <w:szCs w:val="24"/>
        </w:rPr>
        <w:t>increas</w:t>
      </w:r>
      <w:r w:rsidRPr="002661A8">
        <w:rPr>
          <w:rFonts w:ascii="Times New Roman" w:eastAsia="Calibri" w:hAnsi="Times New Roman" w:cs="Times New Roman"/>
          <w:noProof/>
          <w:sz w:val="24"/>
          <w:szCs w:val="24"/>
        </w:rPr>
        <w:t>e</w:t>
      </w:r>
      <w:r w:rsidR="00201C1C" w:rsidRPr="002661A8">
        <w:rPr>
          <w:rFonts w:ascii="Times New Roman" w:eastAsia="Calibri" w:hAnsi="Times New Roman" w:cs="Times New Roman"/>
          <w:noProof/>
          <w:sz w:val="24"/>
          <w:szCs w:val="24"/>
        </w:rPr>
        <w:t xml:space="preserve"> </w:t>
      </w:r>
      <w:r w:rsidR="00FE4BB5" w:rsidRPr="002661A8">
        <w:rPr>
          <w:rFonts w:ascii="Times New Roman" w:eastAsia="Calibri" w:hAnsi="Times New Roman" w:cs="Times New Roman"/>
          <w:noProof/>
          <w:sz w:val="24"/>
          <w:szCs w:val="24"/>
        </w:rPr>
        <w:t>the attractiveness</w:t>
      </w:r>
      <w:r w:rsidR="00201C1C" w:rsidRPr="002661A8">
        <w:rPr>
          <w:rFonts w:ascii="Times New Roman" w:eastAsia="Calibri" w:hAnsi="Times New Roman" w:cs="Times New Roman"/>
          <w:noProof/>
          <w:sz w:val="24"/>
          <w:szCs w:val="24"/>
        </w:rPr>
        <w:t xml:space="preserve"> of EU CCPs for market participants</w:t>
      </w:r>
      <w:r w:rsidRPr="002661A8">
        <w:rPr>
          <w:rFonts w:ascii="Times New Roman" w:eastAsia="Calibri" w:hAnsi="Times New Roman" w:cs="Times New Roman"/>
          <w:noProof/>
          <w:sz w:val="24"/>
          <w:szCs w:val="24"/>
        </w:rPr>
        <w:t xml:space="preserve"> (as evidenced by stakeholder replies)</w:t>
      </w:r>
      <w:r w:rsidR="00201C1C" w:rsidRPr="002661A8">
        <w:rPr>
          <w:rFonts w:ascii="Times New Roman" w:eastAsia="Calibri" w:hAnsi="Times New Roman" w:cs="Times New Roman"/>
          <w:noProof/>
          <w:sz w:val="24"/>
          <w:szCs w:val="24"/>
        </w:rPr>
        <w:t>.</w:t>
      </w:r>
      <w:r w:rsidRPr="002661A8" w:rsidDel="00A378E8">
        <w:rPr>
          <w:rFonts w:ascii="Times New Roman" w:eastAsia="Calibri" w:hAnsi="Times New Roman" w:cs="Times New Roman"/>
          <w:noProof/>
          <w:sz w:val="24"/>
          <w:szCs w:val="24"/>
        </w:rPr>
        <w:t xml:space="preserve"> </w:t>
      </w:r>
      <w:r w:rsidR="00A378E8" w:rsidRPr="002661A8">
        <w:rPr>
          <w:rFonts w:ascii="Times New Roman" w:eastAsia="Calibri" w:hAnsi="Times New Roman" w:cs="Times New Roman"/>
          <w:noProof/>
          <w:sz w:val="24"/>
          <w:szCs w:val="24"/>
        </w:rPr>
        <w:t>Finally, i</w:t>
      </w:r>
      <w:r w:rsidR="00201C1C" w:rsidRPr="002661A8">
        <w:rPr>
          <w:rFonts w:ascii="Times New Roman" w:eastAsia="Calibri" w:hAnsi="Times New Roman" w:cs="Times New Roman"/>
          <w:noProof/>
          <w:sz w:val="24"/>
          <w:szCs w:val="24"/>
        </w:rPr>
        <w:t>n terms of the</w:t>
      </w:r>
      <w:r w:rsidR="00A378E8" w:rsidRPr="002661A8">
        <w:rPr>
          <w:rFonts w:ascii="Times New Roman" w:eastAsia="Calibri" w:hAnsi="Times New Roman" w:cs="Times New Roman"/>
          <w:noProof/>
          <w:sz w:val="24"/>
          <w:szCs w:val="24"/>
        </w:rPr>
        <w:t xml:space="preserve"> third</w:t>
      </w:r>
      <w:r w:rsidR="00201C1C" w:rsidRPr="002661A8">
        <w:rPr>
          <w:rFonts w:ascii="Times New Roman" w:eastAsia="Calibri" w:hAnsi="Times New Roman" w:cs="Times New Roman"/>
          <w:noProof/>
          <w:sz w:val="24"/>
          <w:szCs w:val="24"/>
        </w:rPr>
        <w:t xml:space="preserve"> specific objective (i.e. consideration of cross border risks), while this option could broaden the choice of financial market participants as to where to clear, thus offering alternatives also to the benefit of financial stability, it would not </w:t>
      </w:r>
      <w:r w:rsidR="00502CB3" w:rsidRPr="002661A8">
        <w:rPr>
          <w:rFonts w:ascii="Times New Roman" w:eastAsia="Calibri" w:hAnsi="Times New Roman" w:cs="Times New Roman"/>
          <w:noProof/>
          <w:sz w:val="24"/>
          <w:szCs w:val="24"/>
        </w:rPr>
        <w:t>specifically address</w:t>
      </w:r>
      <w:r w:rsidR="00201C1C" w:rsidRPr="002661A8">
        <w:rPr>
          <w:rFonts w:ascii="Times New Roman" w:eastAsia="Calibri" w:hAnsi="Times New Roman" w:cs="Times New Roman"/>
          <w:noProof/>
          <w:sz w:val="24"/>
          <w:szCs w:val="24"/>
        </w:rPr>
        <w:t xml:space="preserve"> the </w:t>
      </w:r>
      <w:r w:rsidR="00502CB3" w:rsidRPr="002661A8">
        <w:rPr>
          <w:rFonts w:ascii="Times New Roman" w:eastAsia="Calibri" w:hAnsi="Times New Roman" w:cs="Times New Roman"/>
          <w:noProof/>
          <w:sz w:val="24"/>
          <w:szCs w:val="24"/>
        </w:rPr>
        <w:t xml:space="preserve">need </w:t>
      </w:r>
      <w:r w:rsidR="00A378E8" w:rsidRPr="002661A8">
        <w:rPr>
          <w:rFonts w:ascii="Times New Roman" w:eastAsia="Calibri" w:hAnsi="Times New Roman" w:cs="Times New Roman"/>
          <w:noProof/>
          <w:sz w:val="24"/>
          <w:szCs w:val="24"/>
        </w:rPr>
        <w:t xml:space="preserve">to enhance the assessment and management of </w:t>
      </w:r>
      <w:r w:rsidR="00502CB3" w:rsidRPr="002661A8">
        <w:rPr>
          <w:rFonts w:ascii="Times New Roman" w:eastAsia="Calibri" w:hAnsi="Times New Roman" w:cs="Times New Roman"/>
          <w:noProof/>
          <w:sz w:val="24"/>
          <w:szCs w:val="24"/>
        </w:rPr>
        <w:t>cross-border</w:t>
      </w:r>
      <w:r w:rsidR="00201C1C" w:rsidRPr="002661A8">
        <w:rPr>
          <w:rFonts w:ascii="Times New Roman" w:eastAsia="Calibri" w:hAnsi="Times New Roman" w:cs="Times New Roman"/>
          <w:noProof/>
          <w:sz w:val="24"/>
          <w:szCs w:val="24"/>
        </w:rPr>
        <w:t xml:space="preserve"> risks.</w:t>
      </w:r>
      <w:r w:rsidR="00502CB3" w:rsidRPr="002661A8">
        <w:rPr>
          <w:rFonts w:ascii="Times New Roman" w:eastAsia="Calibri" w:hAnsi="Times New Roman" w:cs="Times New Roman"/>
          <w:noProof/>
          <w:sz w:val="24"/>
          <w:szCs w:val="24"/>
        </w:rPr>
        <w:t xml:space="preserve"> </w:t>
      </w:r>
    </w:p>
    <w:p w14:paraId="180EF3A4" w14:textId="77777777" w:rsidR="000923BE" w:rsidRPr="002661A8" w:rsidRDefault="000923BE" w:rsidP="000923BE">
      <w:pPr>
        <w:tabs>
          <w:tab w:val="left" w:pos="2302"/>
        </w:tabs>
        <w:spacing w:after="120" w:line="240" w:lineRule="auto"/>
        <w:jc w:val="both"/>
        <w:rPr>
          <w:rFonts w:ascii="Times New Roman" w:eastAsia="Times New Roman" w:hAnsi="Times New Roman" w:cs="Times New Roman"/>
          <w:noProof/>
          <w:sz w:val="24"/>
          <w:szCs w:val="24"/>
          <w:u w:val="single"/>
        </w:rPr>
      </w:pPr>
      <w:r w:rsidRPr="002661A8">
        <w:rPr>
          <w:rFonts w:ascii="Times New Roman" w:eastAsia="Times New Roman" w:hAnsi="Times New Roman" w:cs="Times New Roman"/>
          <w:noProof/>
          <w:sz w:val="24"/>
          <w:szCs w:val="24"/>
          <w:u w:val="single"/>
        </w:rPr>
        <w:t>Coherence</w:t>
      </w:r>
    </w:p>
    <w:p w14:paraId="58D7E460" w14:textId="714E3AEF" w:rsidR="00B429E1" w:rsidRPr="002661A8" w:rsidRDefault="000923BE" w:rsidP="007A546F">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This option </w:t>
      </w:r>
      <w:r w:rsidR="00FE2CA1" w:rsidRPr="002661A8">
        <w:rPr>
          <w:rFonts w:ascii="Times New Roman" w:eastAsia="Calibri" w:hAnsi="Times New Roman" w:cs="Times New Roman"/>
          <w:noProof/>
          <w:sz w:val="24"/>
          <w:szCs w:val="24"/>
        </w:rPr>
        <w:t>contributes to</w:t>
      </w:r>
      <w:r w:rsidRPr="002661A8">
        <w:rPr>
          <w:rFonts w:ascii="Times New Roman" w:eastAsia="Calibri" w:hAnsi="Times New Roman" w:cs="Times New Roman"/>
          <w:noProof/>
          <w:sz w:val="24"/>
          <w:szCs w:val="24"/>
        </w:rPr>
        <w:t xml:space="preserve"> strengthening the </w:t>
      </w:r>
      <w:r w:rsidR="00663570" w:rsidRPr="002661A8">
        <w:rPr>
          <w:rFonts w:ascii="Times New Roman" w:eastAsia="Calibri" w:hAnsi="Times New Roman" w:cs="Times New Roman"/>
          <w:noProof/>
          <w:sz w:val="24"/>
          <w:szCs w:val="24"/>
        </w:rPr>
        <w:t>CMU</w:t>
      </w:r>
      <w:r w:rsidRPr="002661A8">
        <w:rPr>
          <w:rFonts w:ascii="Times New Roman" w:eastAsia="Calibri" w:hAnsi="Times New Roman" w:cs="Times New Roman"/>
          <w:noProof/>
          <w:sz w:val="24"/>
          <w:szCs w:val="24"/>
        </w:rPr>
        <w:t xml:space="preserve"> </w:t>
      </w:r>
      <w:r w:rsidR="00EF33F9" w:rsidRPr="002661A8">
        <w:rPr>
          <w:rFonts w:ascii="Times New Roman" w:eastAsia="Calibri" w:hAnsi="Times New Roman" w:cs="Times New Roman"/>
          <w:noProof/>
          <w:sz w:val="24"/>
          <w:szCs w:val="24"/>
        </w:rPr>
        <w:t>through</w:t>
      </w:r>
      <w:r w:rsidRPr="002661A8">
        <w:rPr>
          <w:rFonts w:ascii="Times New Roman" w:eastAsia="Calibri" w:hAnsi="Times New Roman" w:cs="Times New Roman"/>
          <w:noProof/>
          <w:sz w:val="24"/>
          <w:szCs w:val="24"/>
        </w:rPr>
        <w:t xml:space="preserve"> efficient and competitive CCPs. </w:t>
      </w:r>
      <w:r w:rsidR="00D94D00" w:rsidRPr="002661A8">
        <w:rPr>
          <w:rFonts w:ascii="Times New Roman" w:eastAsia="Calibri" w:hAnsi="Times New Roman" w:cs="Times New Roman"/>
          <w:noProof/>
          <w:sz w:val="24"/>
          <w:szCs w:val="24"/>
        </w:rPr>
        <w:t xml:space="preserve">It </w:t>
      </w:r>
      <w:r w:rsidR="00FE2CA1" w:rsidRPr="002661A8">
        <w:rPr>
          <w:rFonts w:ascii="Times New Roman" w:eastAsia="Calibri" w:hAnsi="Times New Roman" w:cs="Times New Roman"/>
          <w:noProof/>
          <w:sz w:val="24"/>
          <w:szCs w:val="24"/>
        </w:rPr>
        <w:t>also contributes to</w:t>
      </w:r>
      <w:r w:rsidR="00D94D00" w:rsidRPr="002661A8">
        <w:rPr>
          <w:rFonts w:ascii="Times New Roman" w:eastAsia="Calibri" w:hAnsi="Times New Roman" w:cs="Times New Roman"/>
          <w:noProof/>
          <w:sz w:val="24"/>
          <w:szCs w:val="24"/>
        </w:rPr>
        <w:t xml:space="preserve"> financial stability, as illustrated above.</w:t>
      </w:r>
      <w:r w:rsidRPr="002661A8">
        <w:rPr>
          <w:rFonts w:ascii="Times New Roman" w:eastAsia="Calibri" w:hAnsi="Times New Roman" w:cs="Times New Roman"/>
          <w:noProof/>
          <w:sz w:val="24"/>
          <w:szCs w:val="24"/>
        </w:rPr>
        <w:t xml:space="preserve"> </w:t>
      </w:r>
      <w:r w:rsidR="00522C65" w:rsidRPr="002661A8">
        <w:rPr>
          <w:rFonts w:ascii="Times New Roman" w:eastAsia="Calibri" w:hAnsi="Times New Roman" w:cs="Times New Roman"/>
          <w:noProof/>
          <w:sz w:val="24"/>
          <w:szCs w:val="24"/>
        </w:rPr>
        <w:t xml:space="preserve">In addition, fostering digitalisation of procedures and setting up a “single point of contact” would be consistent with EU policies in the field of digitalisation. </w:t>
      </w:r>
    </w:p>
    <w:p w14:paraId="7F499ACF" w14:textId="77777777" w:rsidR="00A8027C" w:rsidRPr="002661A8" w:rsidRDefault="00A8027C" w:rsidP="00A8027C">
      <w:pPr>
        <w:tabs>
          <w:tab w:val="left" w:pos="2302"/>
        </w:tabs>
        <w:spacing w:after="120" w:line="240" w:lineRule="auto"/>
        <w:jc w:val="both"/>
        <w:rPr>
          <w:rFonts w:ascii="Times New Roman" w:eastAsia="Times New Roman" w:hAnsi="Times New Roman" w:cs="Times New Roman"/>
          <w:noProof/>
          <w:sz w:val="24"/>
          <w:szCs w:val="24"/>
          <w:u w:val="single"/>
        </w:rPr>
      </w:pPr>
      <w:r>
        <w:rPr>
          <w:rFonts w:ascii="Times New Roman" w:eastAsia="Times New Roman" w:hAnsi="Times New Roman" w:cs="Times New Roman"/>
          <w:noProof/>
          <w:sz w:val="24"/>
          <w:szCs w:val="24"/>
          <w:u w:val="single"/>
        </w:rPr>
        <w:t>Assessment of the impacts by stakeholder group</w:t>
      </w:r>
    </w:p>
    <w:p w14:paraId="28E309F7" w14:textId="2B170F52" w:rsidR="00773B80" w:rsidRPr="002661A8" w:rsidRDefault="00773B80" w:rsidP="00773B80">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b/>
          <w:noProof/>
          <w:sz w:val="24"/>
          <w:szCs w:val="24"/>
        </w:rPr>
        <w:t>EU CCPs</w:t>
      </w:r>
      <w:r w:rsidRPr="002661A8">
        <w:rPr>
          <w:rFonts w:ascii="Times New Roman" w:eastAsia="Calibri" w:hAnsi="Times New Roman" w:cs="Times New Roman"/>
          <w:noProof/>
          <w:sz w:val="24"/>
          <w:szCs w:val="24"/>
        </w:rPr>
        <w:t xml:space="preserve"> </w:t>
      </w:r>
      <w:r w:rsidR="006A6036" w:rsidRPr="002661A8">
        <w:rPr>
          <w:rFonts w:ascii="Times New Roman" w:eastAsia="Calibri" w:hAnsi="Times New Roman" w:cs="Times New Roman"/>
          <w:noProof/>
          <w:sz w:val="24"/>
          <w:szCs w:val="24"/>
        </w:rPr>
        <w:t>could</w:t>
      </w:r>
      <w:r w:rsidRPr="002661A8">
        <w:rPr>
          <w:rFonts w:ascii="Times New Roman" w:eastAsia="Calibri" w:hAnsi="Times New Roman" w:cs="Times New Roman"/>
          <w:noProof/>
          <w:sz w:val="24"/>
          <w:szCs w:val="24"/>
        </w:rPr>
        <w:t xml:space="preserve"> launch new initiatives and change risk models </w:t>
      </w:r>
      <w:r w:rsidR="009D217A" w:rsidRPr="002661A8">
        <w:rPr>
          <w:rFonts w:ascii="Times New Roman" w:eastAsia="Calibri" w:hAnsi="Times New Roman" w:cs="Times New Roman"/>
          <w:noProof/>
          <w:sz w:val="24"/>
          <w:szCs w:val="24"/>
        </w:rPr>
        <w:t>sooner</w:t>
      </w:r>
      <w:r w:rsidRPr="002661A8">
        <w:rPr>
          <w:rFonts w:ascii="Times New Roman" w:eastAsia="Calibri" w:hAnsi="Times New Roman" w:cs="Times New Roman"/>
          <w:noProof/>
          <w:sz w:val="24"/>
          <w:szCs w:val="24"/>
        </w:rPr>
        <w:t xml:space="preserve">, </w:t>
      </w:r>
      <w:r w:rsidR="00A361AD" w:rsidRPr="002661A8">
        <w:rPr>
          <w:rFonts w:ascii="Times New Roman" w:eastAsia="Calibri" w:hAnsi="Times New Roman" w:cs="Times New Roman"/>
          <w:noProof/>
          <w:sz w:val="24"/>
          <w:szCs w:val="24"/>
        </w:rPr>
        <w:t xml:space="preserve">as well as benefit from a faster approval for certain initiatives, </w:t>
      </w:r>
      <w:r w:rsidRPr="002661A8">
        <w:rPr>
          <w:rFonts w:ascii="Times New Roman" w:eastAsia="Calibri" w:hAnsi="Times New Roman" w:cs="Times New Roman"/>
          <w:noProof/>
          <w:sz w:val="24"/>
          <w:szCs w:val="24"/>
        </w:rPr>
        <w:t xml:space="preserve">reducing their compliance costs </w:t>
      </w:r>
      <w:r w:rsidR="002762A4" w:rsidRPr="002661A8">
        <w:rPr>
          <w:rFonts w:ascii="Times New Roman" w:eastAsia="Calibri" w:hAnsi="Times New Roman" w:cs="Times New Roman"/>
          <w:noProof/>
          <w:sz w:val="24"/>
          <w:szCs w:val="24"/>
        </w:rPr>
        <w:t xml:space="preserve">in the range of EUR </w:t>
      </w:r>
      <w:r w:rsidR="009D09CF">
        <w:rPr>
          <w:rFonts w:ascii="Times New Roman" w:eastAsia="Calibri" w:hAnsi="Times New Roman" w:cs="Times New Roman"/>
          <w:noProof/>
          <w:sz w:val="24"/>
          <w:szCs w:val="24"/>
        </w:rPr>
        <w:t>5</w:t>
      </w:r>
      <w:r w:rsidR="009D09CF" w:rsidRPr="002661A8">
        <w:rPr>
          <w:rFonts w:ascii="Times New Roman" w:eastAsia="Calibri" w:hAnsi="Times New Roman" w:cs="Times New Roman"/>
          <w:noProof/>
          <w:sz w:val="24"/>
          <w:szCs w:val="24"/>
        </w:rPr>
        <w:t xml:space="preserve"> </w:t>
      </w:r>
      <w:r w:rsidR="002762A4" w:rsidRPr="002661A8">
        <w:rPr>
          <w:rFonts w:ascii="Times New Roman" w:eastAsia="Calibri" w:hAnsi="Times New Roman" w:cs="Times New Roman"/>
          <w:noProof/>
          <w:sz w:val="24"/>
          <w:szCs w:val="24"/>
        </w:rPr>
        <w:t xml:space="preserve">million to EUR </w:t>
      </w:r>
      <w:r w:rsidR="009D09CF" w:rsidRPr="002661A8">
        <w:rPr>
          <w:rFonts w:ascii="Times New Roman" w:eastAsia="Calibri" w:hAnsi="Times New Roman" w:cs="Times New Roman"/>
          <w:noProof/>
          <w:sz w:val="24"/>
          <w:szCs w:val="24"/>
        </w:rPr>
        <w:t>1</w:t>
      </w:r>
      <w:r w:rsidR="009D09CF">
        <w:rPr>
          <w:rFonts w:ascii="Times New Roman" w:eastAsia="Calibri" w:hAnsi="Times New Roman" w:cs="Times New Roman"/>
          <w:noProof/>
          <w:sz w:val="24"/>
          <w:szCs w:val="24"/>
        </w:rPr>
        <w:t>5</w:t>
      </w:r>
      <w:r w:rsidR="009D09CF" w:rsidRPr="002661A8">
        <w:rPr>
          <w:rFonts w:ascii="Times New Roman" w:eastAsia="Calibri" w:hAnsi="Times New Roman" w:cs="Times New Roman"/>
          <w:noProof/>
          <w:sz w:val="24"/>
          <w:szCs w:val="24"/>
        </w:rPr>
        <w:t xml:space="preserve"> </w:t>
      </w:r>
      <w:r w:rsidR="002762A4" w:rsidRPr="002661A8">
        <w:rPr>
          <w:rFonts w:ascii="Times New Roman" w:eastAsia="Calibri" w:hAnsi="Times New Roman" w:cs="Times New Roman"/>
          <w:noProof/>
          <w:sz w:val="24"/>
          <w:szCs w:val="24"/>
        </w:rPr>
        <w:t>million per year (see Annex 3)</w:t>
      </w:r>
      <w:r w:rsidRPr="002661A8">
        <w:rPr>
          <w:rFonts w:ascii="Times New Roman" w:eastAsia="Calibri" w:hAnsi="Times New Roman" w:cs="Times New Roman"/>
          <w:noProof/>
          <w:sz w:val="24"/>
          <w:szCs w:val="24"/>
        </w:rPr>
        <w:t xml:space="preserve"> and increasing their potential to expand their business and compete internationally. They would have greater certainty about the whole procedure, including the documents needed. This would increase the efficien</w:t>
      </w:r>
      <w:r w:rsidR="002612E3" w:rsidRPr="002661A8">
        <w:rPr>
          <w:rFonts w:ascii="Times New Roman" w:eastAsia="Calibri" w:hAnsi="Times New Roman" w:cs="Times New Roman"/>
          <w:noProof/>
          <w:sz w:val="24"/>
          <w:szCs w:val="24"/>
        </w:rPr>
        <w:t>t u</w:t>
      </w:r>
      <w:r w:rsidRPr="002661A8">
        <w:rPr>
          <w:rFonts w:ascii="Times New Roman" w:eastAsia="Calibri" w:hAnsi="Times New Roman" w:cs="Times New Roman"/>
          <w:noProof/>
          <w:sz w:val="24"/>
          <w:szCs w:val="24"/>
        </w:rPr>
        <w:t>se of CCPs’ resources.</w:t>
      </w:r>
      <w:r w:rsidRPr="002661A8" w:rsidDel="00EB2538">
        <w:rPr>
          <w:rFonts w:ascii="Times New Roman" w:eastAsia="Calibri" w:hAnsi="Times New Roman" w:cs="Times New Roman"/>
          <w:noProof/>
          <w:sz w:val="24"/>
          <w:szCs w:val="24"/>
        </w:rPr>
        <w:t xml:space="preserve"> </w:t>
      </w:r>
      <w:r w:rsidR="00EB2538" w:rsidRPr="002661A8">
        <w:rPr>
          <w:rFonts w:ascii="Times New Roman" w:eastAsia="Calibri" w:hAnsi="Times New Roman" w:cs="Times New Roman"/>
          <w:noProof/>
          <w:sz w:val="24"/>
          <w:szCs w:val="24"/>
        </w:rPr>
        <w:t xml:space="preserve">CCPs </w:t>
      </w:r>
      <w:r w:rsidRPr="002661A8">
        <w:rPr>
          <w:rFonts w:ascii="Times New Roman" w:eastAsia="Calibri" w:hAnsi="Times New Roman" w:cs="Times New Roman"/>
          <w:noProof/>
          <w:sz w:val="24"/>
          <w:szCs w:val="24"/>
        </w:rPr>
        <w:t xml:space="preserve">would also benefit from greater certainty as to the time necessary for their planned initiatives to become operational, </w:t>
      </w:r>
      <w:r w:rsidR="00F164B5" w:rsidRPr="002661A8">
        <w:rPr>
          <w:rFonts w:ascii="Times New Roman" w:eastAsia="Calibri" w:hAnsi="Times New Roman" w:cs="Times New Roman"/>
          <w:noProof/>
          <w:sz w:val="24"/>
          <w:szCs w:val="24"/>
        </w:rPr>
        <w:t xml:space="preserve">which is expected to </w:t>
      </w:r>
      <w:r w:rsidRPr="002661A8">
        <w:rPr>
          <w:rFonts w:ascii="Times New Roman" w:eastAsia="Calibri" w:hAnsi="Times New Roman" w:cs="Times New Roman"/>
          <w:noProof/>
          <w:sz w:val="24"/>
          <w:szCs w:val="24"/>
        </w:rPr>
        <w:t>reduc</w:t>
      </w:r>
      <w:r w:rsidR="00F164B5" w:rsidRPr="002661A8">
        <w:rPr>
          <w:rFonts w:ascii="Times New Roman" w:eastAsia="Calibri" w:hAnsi="Times New Roman" w:cs="Times New Roman"/>
          <w:noProof/>
          <w:sz w:val="24"/>
          <w:szCs w:val="24"/>
        </w:rPr>
        <w:t>e</w:t>
      </w:r>
      <w:r w:rsidRPr="002661A8">
        <w:rPr>
          <w:rFonts w:ascii="Times New Roman" w:eastAsia="Calibri" w:hAnsi="Times New Roman" w:cs="Times New Roman"/>
          <w:noProof/>
          <w:sz w:val="24"/>
          <w:szCs w:val="24"/>
        </w:rPr>
        <w:t xml:space="preserve"> </w:t>
      </w:r>
      <w:r w:rsidR="00F164B5" w:rsidRPr="002661A8">
        <w:rPr>
          <w:rFonts w:ascii="Times New Roman" w:eastAsia="Calibri" w:hAnsi="Times New Roman" w:cs="Times New Roman"/>
          <w:noProof/>
          <w:sz w:val="24"/>
          <w:szCs w:val="24"/>
        </w:rPr>
        <w:t xml:space="preserve">existing </w:t>
      </w:r>
      <w:r w:rsidRPr="002661A8">
        <w:rPr>
          <w:rFonts w:ascii="Times New Roman" w:eastAsia="Calibri" w:hAnsi="Times New Roman" w:cs="Times New Roman"/>
          <w:noProof/>
          <w:sz w:val="24"/>
          <w:szCs w:val="24"/>
        </w:rPr>
        <w:t xml:space="preserve">disincentives to </w:t>
      </w:r>
      <w:r w:rsidR="00823180" w:rsidRPr="002661A8">
        <w:rPr>
          <w:rFonts w:ascii="Times New Roman" w:eastAsia="Calibri" w:hAnsi="Times New Roman" w:cs="Times New Roman"/>
          <w:noProof/>
          <w:sz w:val="24"/>
          <w:szCs w:val="24"/>
        </w:rPr>
        <w:t>bring new products to the market</w:t>
      </w:r>
      <w:r w:rsidRPr="002661A8">
        <w:rPr>
          <w:rFonts w:ascii="Times New Roman" w:eastAsia="Calibri" w:hAnsi="Times New Roman" w:cs="Times New Roman"/>
          <w:noProof/>
          <w:sz w:val="24"/>
          <w:szCs w:val="24"/>
        </w:rPr>
        <w:t xml:space="preserve">. All this </w:t>
      </w:r>
      <w:r w:rsidR="00B91111" w:rsidRPr="002661A8">
        <w:rPr>
          <w:rFonts w:ascii="Times New Roman" w:eastAsia="Calibri" w:hAnsi="Times New Roman" w:cs="Times New Roman"/>
          <w:noProof/>
          <w:sz w:val="24"/>
          <w:szCs w:val="24"/>
        </w:rPr>
        <w:t>c</w:t>
      </w:r>
      <w:r w:rsidR="002612E3" w:rsidRPr="002661A8">
        <w:rPr>
          <w:rFonts w:ascii="Times New Roman" w:eastAsia="Calibri" w:hAnsi="Times New Roman" w:cs="Times New Roman"/>
          <w:noProof/>
          <w:sz w:val="24"/>
          <w:szCs w:val="24"/>
        </w:rPr>
        <w:t>ould</w:t>
      </w:r>
      <w:r w:rsidR="00F164B5" w:rsidRPr="002661A8">
        <w:rPr>
          <w:rFonts w:ascii="Times New Roman" w:eastAsia="Calibri" w:hAnsi="Times New Roman" w:cs="Times New Roman"/>
          <w:noProof/>
          <w:sz w:val="24"/>
          <w:szCs w:val="24"/>
        </w:rPr>
        <w:t xml:space="preserve"> </w:t>
      </w:r>
      <w:r w:rsidR="007B6860" w:rsidRPr="002661A8">
        <w:rPr>
          <w:rFonts w:ascii="Times New Roman" w:eastAsia="Calibri" w:hAnsi="Times New Roman" w:cs="Times New Roman"/>
          <w:noProof/>
          <w:sz w:val="24"/>
          <w:szCs w:val="24"/>
        </w:rPr>
        <w:t xml:space="preserve">rather significantly </w:t>
      </w:r>
      <w:r w:rsidR="00F164B5" w:rsidRPr="002661A8">
        <w:rPr>
          <w:rFonts w:ascii="Times New Roman" w:eastAsia="Calibri" w:hAnsi="Times New Roman" w:cs="Times New Roman"/>
          <w:noProof/>
          <w:sz w:val="24"/>
          <w:szCs w:val="24"/>
        </w:rPr>
        <w:t>reduce opportunity costs for EU CCPs, i.e.</w:t>
      </w:r>
      <w:r w:rsidRPr="002661A8">
        <w:rPr>
          <w:rFonts w:ascii="Times New Roman" w:eastAsia="Calibri" w:hAnsi="Times New Roman" w:cs="Times New Roman"/>
          <w:noProof/>
          <w:sz w:val="24"/>
          <w:szCs w:val="24"/>
        </w:rPr>
        <w:t xml:space="preserve"> </w:t>
      </w:r>
      <w:r w:rsidR="00F164B5" w:rsidRPr="002661A8">
        <w:rPr>
          <w:rFonts w:ascii="Times New Roman" w:eastAsia="Calibri" w:hAnsi="Times New Roman" w:cs="Times New Roman"/>
          <w:noProof/>
          <w:sz w:val="24"/>
          <w:szCs w:val="24"/>
        </w:rPr>
        <w:t>the</w:t>
      </w:r>
      <w:r w:rsidRPr="002661A8">
        <w:rPr>
          <w:rFonts w:ascii="Times New Roman" w:eastAsia="Calibri" w:hAnsi="Times New Roman" w:cs="Times New Roman"/>
          <w:noProof/>
          <w:sz w:val="24"/>
          <w:szCs w:val="24"/>
        </w:rPr>
        <w:t xml:space="preserve"> probability of losing business to the benefit of third-country competitors. These benefits would be ongoing.</w:t>
      </w:r>
    </w:p>
    <w:p w14:paraId="4C8B8B0C" w14:textId="0768066D" w:rsidR="00773B80" w:rsidRPr="002661A8" w:rsidRDefault="00773B80" w:rsidP="00773B80">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b/>
          <w:bCs/>
          <w:noProof/>
          <w:sz w:val="24"/>
          <w:szCs w:val="24"/>
        </w:rPr>
        <w:t>Clearing</w:t>
      </w:r>
      <w:r w:rsidRPr="002661A8">
        <w:rPr>
          <w:rFonts w:ascii="Times New Roman" w:eastAsia="Calibri" w:hAnsi="Times New Roman" w:cs="Times New Roman"/>
          <w:b/>
          <w:noProof/>
          <w:sz w:val="24"/>
          <w:szCs w:val="24"/>
        </w:rPr>
        <w:t xml:space="preserve"> members</w:t>
      </w:r>
      <w:r w:rsidRPr="002661A8">
        <w:rPr>
          <w:rFonts w:ascii="Times New Roman" w:eastAsia="Calibri" w:hAnsi="Times New Roman" w:cs="Times New Roman"/>
          <w:noProof/>
          <w:sz w:val="24"/>
          <w:szCs w:val="24"/>
        </w:rPr>
        <w:t xml:space="preserve"> </w:t>
      </w:r>
      <w:r w:rsidR="006A6036" w:rsidRPr="002661A8">
        <w:rPr>
          <w:rFonts w:ascii="Times New Roman" w:eastAsia="Calibri" w:hAnsi="Times New Roman" w:cs="Times New Roman"/>
          <w:noProof/>
          <w:sz w:val="24"/>
          <w:szCs w:val="24"/>
        </w:rPr>
        <w:t>could</w:t>
      </w:r>
      <w:r w:rsidRPr="002661A8">
        <w:rPr>
          <w:rFonts w:ascii="Times New Roman" w:eastAsia="Calibri" w:hAnsi="Times New Roman" w:cs="Times New Roman"/>
          <w:noProof/>
          <w:sz w:val="24"/>
          <w:szCs w:val="24"/>
        </w:rPr>
        <w:t xml:space="preserve"> benefit to </w:t>
      </w:r>
      <w:r w:rsidR="00A4179D" w:rsidRPr="002661A8">
        <w:rPr>
          <w:rFonts w:ascii="Times New Roman" w:eastAsia="Calibri" w:hAnsi="Times New Roman" w:cs="Times New Roman"/>
          <w:noProof/>
          <w:sz w:val="24"/>
          <w:szCs w:val="24"/>
        </w:rPr>
        <w:t>a large</w:t>
      </w:r>
      <w:r w:rsidRPr="002661A8">
        <w:rPr>
          <w:rFonts w:ascii="Times New Roman" w:eastAsia="Calibri" w:hAnsi="Times New Roman" w:cs="Times New Roman"/>
          <w:noProof/>
          <w:sz w:val="24"/>
          <w:szCs w:val="24"/>
        </w:rPr>
        <w:t xml:space="preserve"> extent from </w:t>
      </w:r>
      <w:r w:rsidR="00EB2538" w:rsidRPr="002661A8">
        <w:rPr>
          <w:rFonts w:ascii="Times New Roman" w:eastAsia="Calibri" w:hAnsi="Times New Roman" w:cs="Times New Roman"/>
          <w:noProof/>
          <w:sz w:val="24"/>
          <w:szCs w:val="24"/>
        </w:rPr>
        <w:t xml:space="preserve">the </w:t>
      </w:r>
      <w:r w:rsidRPr="002661A8">
        <w:rPr>
          <w:rFonts w:ascii="Times New Roman" w:eastAsia="Calibri" w:hAnsi="Times New Roman" w:cs="Times New Roman"/>
          <w:noProof/>
          <w:sz w:val="24"/>
          <w:szCs w:val="24"/>
        </w:rPr>
        <w:t xml:space="preserve">enhanced offering capacity by EU CCPs and </w:t>
      </w:r>
      <w:r w:rsidR="002612E3" w:rsidRPr="002661A8">
        <w:rPr>
          <w:rFonts w:ascii="Times New Roman" w:eastAsia="Calibri" w:hAnsi="Times New Roman" w:cs="Times New Roman"/>
          <w:noProof/>
          <w:sz w:val="24"/>
          <w:szCs w:val="24"/>
        </w:rPr>
        <w:t xml:space="preserve">the quicker </w:t>
      </w:r>
      <w:r w:rsidRPr="002661A8">
        <w:rPr>
          <w:rFonts w:ascii="Times New Roman" w:eastAsia="Calibri" w:hAnsi="Times New Roman" w:cs="Times New Roman"/>
          <w:noProof/>
          <w:sz w:val="24"/>
          <w:szCs w:val="24"/>
        </w:rPr>
        <w:t>time to market</w:t>
      </w:r>
      <w:r w:rsidR="00A4179D" w:rsidRPr="002661A8">
        <w:rPr>
          <w:rFonts w:ascii="Times New Roman" w:eastAsia="Calibri" w:hAnsi="Times New Roman" w:cs="Times New Roman"/>
          <w:noProof/>
          <w:sz w:val="24"/>
          <w:szCs w:val="24"/>
        </w:rPr>
        <w:t xml:space="preserve"> </w:t>
      </w:r>
      <w:r w:rsidR="002612E3" w:rsidRPr="002661A8">
        <w:rPr>
          <w:rFonts w:ascii="Times New Roman" w:eastAsia="Calibri" w:hAnsi="Times New Roman" w:cs="Times New Roman"/>
          <w:noProof/>
          <w:sz w:val="24"/>
          <w:szCs w:val="24"/>
        </w:rPr>
        <w:t>for new</w:t>
      </w:r>
      <w:r w:rsidR="00A4179D" w:rsidRPr="002661A8">
        <w:rPr>
          <w:rFonts w:ascii="Times New Roman" w:eastAsia="Calibri" w:hAnsi="Times New Roman" w:cs="Times New Roman"/>
          <w:noProof/>
          <w:sz w:val="24"/>
          <w:szCs w:val="24"/>
        </w:rPr>
        <w:t xml:space="preserve"> clearing </w:t>
      </w:r>
      <w:r w:rsidR="002612E3" w:rsidRPr="002661A8">
        <w:rPr>
          <w:rFonts w:ascii="Times New Roman" w:eastAsia="Calibri" w:hAnsi="Times New Roman" w:cs="Times New Roman"/>
          <w:noProof/>
          <w:sz w:val="24"/>
          <w:szCs w:val="24"/>
        </w:rPr>
        <w:t>services</w:t>
      </w:r>
      <w:r w:rsidR="00A4179D" w:rsidRPr="002661A8">
        <w:rPr>
          <w:rFonts w:ascii="Times New Roman" w:eastAsia="Calibri" w:hAnsi="Times New Roman" w:cs="Times New Roman"/>
          <w:noProof/>
          <w:sz w:val="24"/>
          <w:szCs w:val="24"/>
        </w:rPr>
        <w:t xml:space="preserve"> over time</w:t>
      </w:r>
      <w:r w:rsidRPr="002661A8">
        <w:rPr>
          <w:rFonts w:ascii="Times New Roman" w:eastAsia="Calibri" w:hAnsi="Times New Roman" w:cs="Times New Roman"/>
          <w:noProof/>
          <w:sz w:val="24"/>
          <w:szCs w:val="24"/>
        </w:rPr>
        <w:t xml:space="preserve">. More competition could be </w:t>
      </w:r>
      <w:r w:rsidR="002612E3" w:rsidRPr="002661A8">
        <w:rPr>
          <w:rFonts w:ascii="Times New Roman" w:eastAsia="Calibri" w:hAnsi="Times New Roman" w:cs="Times New Roman"/>
          <w:noProof/>
          <w:sz w:val="24"/>
          <w:szCs w:val="24"/>
        </w:rPr>
        <w:t>stimulated</w:t>
      </w:r>
      <w:r w:rsidRPr="002661A8">
        <w:rPr>
          <w:rFonts w:ascii="Times New Roman" w:eastAsia="Calibri" w:hAnsi="Times New Roman" w:cs="Times New Roman"/>
          <w:noProof/>
          <w:sz w:val="24"/>
          <w:szCs w:val="24"/>
        </w:rPr>
        <w:t>, thus potentially triggering a virtuous circle with increasing opportunities for clearing members. The reduction of regulatory costs incurred by CCPs</w:t>
      </w:r>
      <w:r w:rsidR="00A4179D" w:rsidRPr="002661A8">
        <w:rPr>
          <w:rFonts w:ascii="Times New Roman" w:eastAsia="Calibri" w:hAnsi="Times New Roman" w:cs="Times New Roman"/>
          <w:noProof/>
          <w:sz w:val="24"/>
          <w:szCs w:val="24"/>
        </w:rPr>
        <w:t>, combined with higher competition,</w:t>
      </w:r>
      <w:r w:rsidRPr="002661A8">
        <w:rPr>
          <w:rFonts w:ascii="Times New Roman" w:eastAsia="Calibri" w:hAnsi="Times New Roman" w:cs="Times New Roman"/>
          <w:noProof/>
          <w:sz w:val="24"/>
          <w:szCs w:val="24"/>
        </w:rPr>
        <w:t xml:space="preserve"> could also </w:t>
      </w:r>
      <w:r w:rsidR="002612E3" w:rsidRPr="002661A8">
        <w:rPr>
          <w:rFonts w:ascii="Times New Roman" w:eastAsia="Calibri" w:hAnsi="Times New Roman" w:cs="Times New Roman"/>
          <w:noProof/>
          <w:sz w:val="24"/>
          <w:szCs w:val="24"/>
        </w:rPr>
        <w:t xml:space="preserve">theoretically </w:t>
      </w:r>
      <w:r w:rsidRPr="002661A8">
        <w:rPr>
          <w:rFonts w:ascii="Times New Roman" w:eastAsia="Calibri" w:hAnsi="Times New Roman" w:cs="Times New Roman"/>
          <w:noProof/>
          <w:sz w:val="24"/>
          <w:szCs w:val="24"/>
        </w:rPr>
        <w:t>lead to reduc</w:t>
      </w:r>
      <w:r w:rsidR="00C43394" w:rsidRPr="002661A8">
        <w:rPr>
          <w:rFonts w:ascii="Times New Roman" w:eastAsia="Calibri" w:hAnsi="Times New Roman" w:cs="Times New Roman"/>
          <w:noProof/>
          <w:sz w:val="24"/>
          <w:szCs w:val="24"/>
        </w:rPr>
        <w:t>ed</w:t>
      </w:r>
      <w:r w:rsidRPr="002661A8">
        <w:rPr>
          <w:rFonts w:ascii="Times New Roman" w:eastAsia="Calibri" w:hAnsi="Times New Roman" w:cs="Times New Roman"/>
          <w:noProof/>
          <w:sz w:val="24"/>
          <w:szCs w:val="24"/>
        </w:rPr>
        <w:t xml:space="preserve"> cost of clearing for clearing members. Clarity over CCPs’ launch dates for a specific service or activity would reduce legal </w:t>
      </w:r>
      <w:r w:rsidR="002612E3" w:rsidRPr="002661A8">
        <w:rPr>
          <w:rFonts w:ascii="Times New Roman" w:eastAsia="Calibri" w:hAnsi="Times New Roman" w:cs="Times New Roman"/>
          <w:noProof/>
          <w:sz w:val="24"/>
          <w:szCs w:val="24"/>
        </w:rPr>
        <w:t xml:space="preserve">and operational </w:t>
      </w:r>
      <w:r w:rsidRPr="002661A8">
        <w:rPr>
          <w:rFonts w:ascii="Times New Roman" w:eastAsia="Calibri" w:hAnsi="Times New Roman" w:cs="Times New Roman"/>
          <w:noProof/>
          <w:sz w:val="24"/>
          <w:szCs w:val="24"/>
        </w:rPr>
        <w:t xml:space="preserve">uncertainty and implementation costs (e.g. IT adaptations, dual CCP set-up, </w:t>
      </w:r>
      <w:r w:rsidR="002612E3" w:rsidRPr="002661A8">
        <w:rPr>
          <w:rFonts w:ascii="Times New Roman" w:eastAsia="Calibri" w:hAnsi="Times New Roman" w:cs="Times New Roman"/>
          <w:noProof/>
          <w:sz w:val="24"/>
          <w:szCs w:val="24"/>
        </w:rPr>
        <w:t>changes to</w:t>
      </w:r>
      <w:r w:rsidRPr="002661A8">
        <w:rPr>
          <w:rFonts w:ascii="Times New Roman" w:eastAsia="Calibri" w:hAnsi="Times New Roman" w:cs="Times New Roman"/>
          <w:noProof/>
          <w:sz w:val="24"/>
          <w:szCs w:val="24"/>
        </w:rPr>
        <w:t xml:space="preserve"> procedures and contracts with customers) for clearing members. These benefits would be ongoing.</w:t>
      </w:r>
      <w:r w:rsidR="002612E3" w:rsidRPr="002661A8">
        <w:rPr>
          <w:rFonts w:ascii="Times New Roman" w:eastAsia="Calibri" w:hAnsi="Times New Roman" w:cs="Times New Roman"/>
          <w:noProof/>
          <w:sz w:val="24"/>
          <w:szCs w:val="24"/>
        </w:rPr>
        <w:t xml:space="preserve"> </w:t>
      </w:r>
      <w:r w:rsidR="00A4179D" w:rsidRPr="002661A8">
        <w:rPr>
          <w:rFonts w:ascii="Times New Roman" w:eastAsia="Calibri" w:hAnsi="Times New Roman" w:cs="Times New Roman"/>
          <w:b/>
          <w:noProof/>
          <w:sz w:val="24"/>
          <w:szCs w:val="24"/>
        </w:rPr>
        <w:t>C</w:t>
      </w:r>
      <w:r w:rsidRPr="002661A8">
        <w:rPr>
          <w:rFonts w:ascii="Times New Roman" w:eastAsia="Calibri" w:hAnsi="Times New Roman" w:cs="Times New Roman"/>
          <w:b/>
          <w:noProof/>
          <w:sz w:val="24"/>
          <w:szCs w:val="24"/>
        </w:rPr>
        <w:t>lients</w:t>
      </w:r>
      <w:r w:rsidR="00365582" w:rsidRPr="00625B8F">
        <w:rPr>
          <w:rFonts w:ascii="Times New Roman" w:eastAsia="Calibri" w:hAnsi="Times New Roman" w:cs="Times New Roman"/>
          <w:noProof/>
          <w:sz w:val="24"/>
          <w:szCs w:val="24"/>
        </w:rPr>
        <w:t>,</w:t>
      </w:r>
      <w:r w:rsidR="00A4179D" w:rsidRPr="002661A8">
        <w:rPr>
          <w:rFonts w:ascii="Times New Roman" w:eastAsia="Calibri" w:hAnsi="Times New Roman" w:cs="Times New Roman"/>
          <w:noProof/>
          <w:sz w:val="24"/>
          <w:szCs w:val="24"/>
        </w:rPr>
        <w:t xml:space="preserve"> similarly to clearing members</w:t>
      </w:r>
      <w:r w:rsidR="00365582">
        <w:rPr>
          <w:rFonts w:ascii="Times New Roman" w:eastAsia="Calibri" w:hAnsi="Times New Roman" w:cs="Times New Roman"/>
          <w:noProof/>
          <w:sz w:val="24"/>
          <w:szCs w:val="24"/>
        </w:rPr>
        <w:t>,</w:t>
      </w:r>
      <w:r w:rsidRPr="002661A8" w:rsidDel="00A4179D">
        <w:rPr>
          <w:rFonts w:ascii="Times New Roman" w:eastAsia="Calibri" w:hAnsi="Times New Roman" w:cs="Times New Roman"/>
          <w:noProof/>
          <w:sz w:val="24"/>
          <w:szCs w:val="24"/>
        </w:rPr>
        <w:t xml:space="preserve"> </w:t>
      </w:r>
      <w:r w:rsidR="00365582" w:rsidRPr="002661A8">
        <w:rPr>
          <w:rFonts w:ascii="Times New Roman" w:eastAsia="Calibri" w:hAnsi="Times New Roman" w:cs="Times New Roman"/>
          <w:noProof/>
          <w:sz w:val="24"/>
          <w:szCs w:val="24"/>
        </w:rPr>
        <w:t>would benefit</w:t>
      </w:r>
      <w:r w:rsidRPr="002661A8" w:rsidDel="00A4179D">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 xml:space="preserve">from enhanced offering capacity by EU CCPs and enhanced time to market. These benefits would be ongoing. </w:t>
      </w:r>
    </w:p>
    <w:p w14:paraId="20621C36" w14:textId="3CCB343A" w:rsidR="00773B80" w:rsidRPr="002661A8" w:rsidRDefault="00746C05" w:rsidP="00773B80">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b/>
          <w:bCs/>
          <w:noProof/>
          <w:sz w:val="24"/>
          <w:szCs w:val="24"/>
        </w:rPr>
        <w:t xml:space="preserve">CCPs’ NCAs </w:t>
      </w:r>
      <w:r w:rsidR="00EB2538" w:rsidRPr="002661A8">
        <w:rPr>
          <w:rFonts w:ascii="Times New Roman" w:eastAsia="Calibri" w:hAnsi="Times New Roman" w:cs="Times New Roman"/>
          <w:noProof/>
          <w:sz w:val="24"/>
          <w:szCs w:val="24"/>
        </w:rPr>
        <w:t>c</w:t>
      </w:r>
      <w:r w:rsidR="00773B80" w:rsidRPr="002661A8">
        <w:rPr>
          <w:rFonts w:ascii="Times New Roman" w:eastAsia="Calibri" w:hAnsi="Times New Roman" w:cs="Times New Roman"/>
          <w:noProof/>
          <w:sz w:val="24"/>
          <w:szCs w:val="24"/>
        </w:rPr>
        <w:t>ould be more restrained in the time they have</w:t>
      </w:r>
      <w:r w:rsidR="00773B80" w:rsidRPr="002661A8" w:rsidDel="00EB2538">
        <w:rPr>
          <w:rFonts w:ascii="Times New Roman" w:eastAsia="Calibri" w:hAnsi="Times New Roman" w:cs="Times New Roman"/>
          <w:noProof/>
          <w:sz w:val="24"/>
          <w:szCs w:val="24"/>
        </w:rPr>
        <w:t xml:space="preserve"> </w:t>
      </w:r>
      <w:r w:rsidR="00773B80" w:rsidRPr="002661A8">
        <w:rPr>
          <w:rFonts w:ascii="Times New Roman" w:eastAsia="Calibri" w:hAnsi="Times New Roman" w:cs="Times New Roman"/>
          <w:noProof/>
          <w:sz w:val="24"/>
          <w:szCs w:val="24"/>
        </w:rPr>
        <w:t>to assess extensions of activities and changes to models</w:t>
      </w:r>
      <w:r w:rsidR="00927F6B" w:rsidRPr="002661A8">
        <w:rPr>
          <w:rFonts w:ascii="Times New Roman" w:eastAsia="Calibri" w:hAnsi="Times New Roman" w:cs="Times New Roman"/>
          <w:noProof/>
          <w:sz w:val="24"/>
          <w:szCs w:val="24"/>
        </w:rPr>
        <w:t xml:space="preserve"> and this is likely to </w:t>
      </w:r>
      <w:r w:rsidR="00F66F4C" w:rsidRPr="002661A8">
        <w:rPr>
          <w:rFonts w:ascii="Times New Roman" w:eastAsia="Calibri" w:hAnsi="Times New Roman" w:cs="Times New Roman"/>
          <w:noProof/>
          <w:sz w:val="24"/>
          <w:szCs w:val="24"/>
        </w:rPr>
        <w:t>have some</w:t>
      </w:r>
      <w:r w:rsidR="00927F6B" w:rsidRPr="002661A8">
        <w:rPr>
          <w:rFonts w:ascii="Times New Roman" w:eastAsia="Calibri" w:hAnsi="Times New Roman" w:cs="Times New Roman"/>
          <w:noProof/>
          <w:sz w:val="24"/>
          <w:szCs w:val="24"/>
        </w:rPr>
        <w:t xml:space="preserve"> resource implications</w:t>
      </w:r>
      <w:r w:rsidR="00773B80" w:rsidRPr="002661A8">
        <w:rPr>
          <w:rFonts w:ascii="Times New Roman" w:eastAsia="Calibri" w:hAnsi="Times New Roman" w:cs="Times New Roman"/>
          <w:noProof/>
          <w:sz w:val="24"/>
          <w:szCs w:val="24"/>
        </w:rPr>
        <w:t xml:space="preserve">. Such shorter timelines may </w:t>
      </w:r>
      <w:r w:rsidR="00927F6B" w:rsidRPr="002661A8">
        <w:rPr>
          <w:rFonts w:ascii="Times New Roman" w:eastAsia="Calibri" w:hAnsi="Times New Roman" w:cs="Times New Roman"/>
          <w:noProof/>
          <w:sz w:val="24"/>
          <w:szCs w:val="24"/>
        </w:rPr>
        <w:t xml:space="preserve">also </w:t>
      </w:r>
      <w:r w:rsidR="00365582" w:rsidRPr="002661A8">
        <w:rPr>
          <w:rFonts w:ascii="Times New Roman" w:eastAsia="Calibri" w:hAnsi="Times New Roman" w:cs="Times New Roman"/>
          <w:noProof/>
          <w:sz w:val="24"/>
          <w:szCs w:val="24"/>
        </w:rPr>
        <w:t>be</w:t>
      </w:r>
      <w:r w:rsidR="00927F6B" w:rsidRPr="002661A8">
        <w:rPr>
          <w:rFonts w:ascii="Times New Roman" w:eastAsia="Calibri" w:hAnsi="Times New Roman" w:cs="Times New Roman"/>
          <w:noProof/>
          <w:sz w:val="24"/>
          <w:szCs w:val="24"/>
        </w:rPr>
        <w:t xml:space="preserve"> more challenging</w:t>
      </w:r>
      <w:r w:rsidR="00773B80" w:rsidRPr="002661A8">
        <w:rPr>
          <w:rFonts w:ascii="Times New Roman" w:eastAsia="Calibri" w:hAnsi="Times New Roman" w:cs="Times New Roman"/>
          <w:noProof/>
          <w:sz w:val="24"/>
          <w:szCs w:val="24"/>
        </w:rPr>
        <w:t xml:space="preserve"> to meet in case more requests for the approval of new projects are submitted by CCPs, as a result of a greater trend towards innovation which would be spurred by the measures included in this option. These costs would be ongoing. As regards using new IT tools, national supervisors would have to bear costs </w:t>
      </w:r>
      <w:r w:rsidR="00927F6B" w:rsidRPr="002661A8">
        <w:rPr>
          <w:rFonts w:ascii="Times New Roman" w:eastAsia="Calibri" w:hAnsi="Times New Roman" w:cs="Times New Roman"/>
          <w:noProof/>
          <w:sz w:val="24"/>
          <w:szCs w:val="24"/>
        </w:rPr>
        <w:t>of setting</w:t>
      </w:r>
      <w:r w:rsidR="00773B80" w:rsidRPr="002661A8">
        <w:rPr>
          <w:rFonts w:ascii="Times New Roman" w:eastAsia="Calibri" w:hAnsi="Times New Roman" w:cs="Times New Roman"/>
          <w:noProof/>
          <w:sz w:val="24"/>
          <w:szCs w:val="24"/>
        </w:rPr>
        <w:t xml:space="preserve"> up specific IT facilities or connect</w:t>
      </w:r>
      <w:r w:rsidR="00927F6B" w:rsidRPr="002661A8">
        <w:rPr>
          <w:rFonts w:ascii="Times New Roman" w:eastAsia="Calibri" w:hAnsi="Times New Roman" w:cs="Times New Roman"/>
          <w:noProof/>
          <w:sz w:val="24"/>
          <w:szCs w:val="24"/>
        </w:rPr>
        <w:t>ing</w:t>
      </w:r>
      <w:r w:rsidR="00773B80" w:rsidRPr="002661A8">
        <w:rPr>
          <w:rFonts w:ascii="Times New Roman" w:eastAsia="Calibri" w:hAnsi="Times New Roman" w:cs="Times New Roman"/>
          <w:noProof/>
          <w:sz w:val="24"/>
          <w:szCs w:val="24"/>
        </w:rPr>
        <w:t xml:space="preserve"> to central IT facilities. This cost would be </w:t>
      </w:r>
      <w:r w:rsidR="00927F6B" w:rsidRPr="002661A8">
        <w:rPr>
          <w:rFonts w:ascii="Times New Roman" w:eastAsia="Calibri" w:hAnsi="Times New Roman" w:cs="Times New Roman"/>
          <w:noProof/>
          <w:sz w:val="24"/>
          <w:szCs w:val="24"/>
        </w:rPr>
        <w:t xml:space="preserve">mainly </w:t>
      </w:r>
      <w:r w:rsidR="00773B80" w:rsidRPr="002661A8">
        <w:rPr>
          <w:rFonts w:ascii="Times New Roman" w:eastAsia="Calibri" w:hAnsi="Times New Roman" w:cs="Times New Roman"/>
          <w:noProof/>
          <w:sz w:val="24"/>
          <w:szCs w:val="24"/>
        </w:rPr>
        <w:t>one-off</w:t>
      </w:r>
      <w:r w:rsidR="00927F6B" w:rsidRPr="002661A8">
        <w:rPr>
          <w:rFonts w:ascii="Times New Roman" w:eastAsia="Calibri" w:hAnsi="Times New Roman" w:cs="Times New Roman"/>
          <w:noProof/>
          <w:sz w:val="24"/>
          <w:szCs w:val="24"/>
        </w:rPr>
        <w:t xml:space="preserve"> (with some ongoing costs of maintenance and updating)</w:t>
      </w:r>
      <w:r w:rsidR="00773B80" w:rsidRPr="002661A8">
        <w:rPr>
          <w:rFonts w:ascii="Times New Roman" w:eastAsia="Calibri" w:hAnsi="Times New Roman" w:cs="Times New Roman"/>
          <w:noProof/>
          <w:sz w:val="24"/>
          <w:szCs w:val="24"/>
        </w:rPr>
        <w:t xml:space="preserve">. At the same time, </w:t>
      </w:r>
      <w:r w:rsidR="00927F6B" w:rsidRPr="002661A8">
        <w:rPr>
          <w:rFonts w:ascii="Times New Roman" w:eastAsia="Calibri" w:hAnsi="Times New Roman" w:cs="Times New Roman"/>
          <w:noProof/>
          <w:sz w:val="24"/>
          <w:szCs w:val="24"/>
        </w:rPr>
        <w:t xml:space="preserve">costs to </w:t>
      </w:r>
      <w:r w:rsidR="00773B80" w:rsidRPr="002661A8">
        <w:rPr>
          <w:rFonts w:ascii="Times New Roman" w:eastAsia="Calibri" w:hAnsi="Times New Roman" w:cs="Times New Roman"/>
          <w:noProof/>
          <w:sz w:val="24"/>
          <w:szCs w:val="24"/>
        </w:rPr>
        <w:t xml:space="preserve">national supervisors </w:t>
      </w:r>
      <w:r w:rsidR="00927F6B" w:rsidRPr="002661A8">
        <w:rPr>
          <w:rFonts w:ascii="Times New Roman" w:eastAsia="Calibri" w:hAnsi="Times New Roman" w:cs="Times New Roman"/>
          <w:noProof/>
          <w:sz w:val="24"/>
          <w:szCs w:val="24"/>
        </w:rPr>
        <w:t>could be partially mitigated by</w:t>
      </w:r>
      <w:r w:rsidR="00773B80" w:rsidRPr="002661A8">
        <w:rPr>
          <w:rFonts w:ascii="Times New Roman" w:eastAsia="Calibri" w:hAnsi="Times New Roman" w:cs="Times New Roman"/>
          <w:noProof/>
          <w:sz w:val="24"/>
          <w:szCs w:val="24"/>
        </w:rPr>
        <w:t xml:space="preserve"> greater efficiencies through the use of the new IT tools and clarity as to “minor” initiatives and these </w:t>
      </w:r>
      <w:r w:rsidR="00927F6B" w:rsidRPr="002661A8">
        <w:rPr>
          <w:rFonts w:ascii="Times New Roman" w:eastAsia="Calibri" w:hAnsi="Times New Roman" w:cs="Times New Roman"/>
          <w:noProof/>
          <w:sz w:val="24"/>
          <w:szCs w:val="24"/>
        </w:rPr>
        <w:t xml:space="preserve">effects </w:t>
      </w:r>
      <w:r w:rsidR="00773B80" w:rsidRPr="002661A8">
        <w:rPr>
          <w:rFonts w:ascii="Times New Roman" w:eastAsia="Calibri" w:hAnsi="Times New Roman" w:cs="Times New Roman"/>
          <w:noProof/>
          <w:sz w:val="24"/>
          <w:szCs w:val="24"/>
        </w:rPr>
        <w:t xml:space="preserve">would be ongoing. </w:t>
      </w:r>
      <w:r w:rsidR="00365582">
        <w:rPr>
          <w:rFonts w:ascii="Times New Roman" w:eastAsia="Calibri" w:hAnsi="Times New Roman" w:cs="Times New Roman"/>
          <w:noProof/>
          <w:sz w:val="24"/>
          <w:szCs w:val="24"/>
        </w:rPr>
        <w:t xml:space="preserve"> </w:t>
      </w:r>
    </w:p>
    <w:p w14:paraId="48E461F5" w14:textId="64ABF726" w:rsidR="00773B80" w:rsidRPr="002661A8" w:rsidRDefault="00773B80" w:rsidP="007A546F">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Depending on the details of a proposal, this could have </w:t>
      </w:r>
      <w:r w:rsidR="00EF33F9" w:rsidRPr="002661A8">
        <w:rPr>
          <w:rFonts w:ascii="Times New Roman" w:eastAsia="Calibri" w:hAnsi="Times New Roman" w:cs="Times New Roman"/>
          <w:noProof/>
          <w:sz w:val="24"/>
          <w:szCs w:val="24"/>
        </w:rPr>
        <w:t>several</w:t>
      </w:r>
      <w:r w:rsidRPr="002661A8">
        <w:rPr>
          <w:rFonts w:ascii="Times New Roman" w:eastAsia="Calibri" w:hAnsi="Times New Roman" w:cs="Times New Roman"/>
          <w:noProof/>
          <w:sz w:val="24"/>
          <w:szCs w:val="24"/>
        </w:rPr>
        <w:t xml:space="preserve"> impacts on </w:t>
      </w:r>
      <w:r w:rsidRPr="002661A8">
        <w:rPr>
          <w:rFonts w:ascii="Times New Roman" w:eastAsia="Calibri" w:hAnsi="Times New Roman" w:cs="Times New Roman"/>
          <w:b/>
          <w:noProof/>
          <w:sz w:val="24"/>
          <w:szCs w:val="24"/>
        </w:rPr>
        <w:t>ESMA</w:t>
      </w:r>
      <w:r w:rsidRPr="002661A8">
        <w:rPr>
          <w:rFonts w:ascii="Times New Roman" w:eastAsia="Calibri" w:hAnsi="Times New Roman" w:cs="Times New Roman"/>
          <w:noProof/>
          <w:sz w:val="24"/>
          <w:szCs w:val="24"/>
        </w:rPr>
        <w:t xml:space="preserve">. </w:t>
      </w:r>
      <w:r w:rsidR="009F1831" w:rsidRPr="002661A8">
        <w:rPr>
          <w:rFonts w:ascii="Times New Roman" w:eastAsia="Calibri" w:hAnsi="Times New Roman" w:cs="Times New Roman"/>
          <w:noProof/>
          <w:sz w:val="24"/>
          <w:szCs w:val="24"/>
        </w:rPr>
        <w:t>T</w:t>
      </w:r>
      <w:r w:rsidRPr="002661A8">
        <w:rPr>
          <w:rFonts w:ascii="Times New Roman" w:eastAsia="Calibri" w:hAnsi="Times New Roman" w:cs="Times New Roman"/>
          <w:noProof/>
          <w:sz w:val="24"/>
          <w:szCs w:val="24"/>
        </w:rPr>
        <w:t>he procedures should be shorter and simpler</w:t>
      </w:r>
      <w:r w:rsidR="00365582">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 xml:space="preserve">and more standardised documents should be submitted, </w:t>
      </w:r>
      <w:r w:rsidR="002144E6" w:rsidRPr="002661A8">
        <w:rPr>
          <w:rFonts w:ascii="Times New Roman" w:eastAsia="Calibri" w:hAnsi="Times New Roman" w:cs="Times New Roman"/>
          <w:noProof/>
          <w:sz w:val="24"/>
          <w:szCs w:val="24"/>
        </w:rPr>
        <w:t>helping</w:t>
      </w:r>
      <w:r w:rsidRPr="002661A8">
        <w:rPr>
          <w:rFonts w:ascii="Times New Roman" w:eastAsia="Calibri" w:hAnsi="Times New Roman" w:cs="Times New Roman"/>
          <w:noProof/>
          <w:sz w:val="24"/>
          <w:szCs w:val="24"/>
        </w:rPr>
        <w:t xml:space="preserve"> reduc</w:t>
      </w:r>
      <w:r w:rsidR="00FA19F2" w:rsidRPr="002661A8">
        <w:rPr>
          <w:rFonts w:ascii="Times New Roman" w:eastAsia="Calibri" w:hAnsi="Times New Roman" w:cs="Times New Roman"/>
          <w:noProof/>
          <w:sz w:val="24"/>
          <w:szCs w:val="24"/>
        </w:rPr>
        <w:t>e</w:t>
      </w:r>
      <w:r w:rsidRPr="002661A8">
        <w:rPr>
          <w:rFonts w:ascii="Times New Roman" w:eastAsia="Calibri" w:hAnsi="Times New Roman" w:cs="Times New Roman"/>
          <w:noProof/>
          <w:sz w:val="24"/>
          <w:szCs w:val="24"/>
        </w:rPr>
        <w:t xml:space="preserve"> or simplify</w:t>
      </w:r>
      <w:r w:rsidR="00FA19F2" w:rsidRPr="002661A8">
        <w:rPr>
          <w:rFonts w:ascii="Times New Roman" w:eastAsia="Calibri" w:hAnsi="Times New Roman" w:cs="Times New Roman"/>
          <w:noProof/>
          <w:sz w:val="24"/>
          <w:szCs w:val="24"/>
        </w:rPr>
        <w:t xml:space="preserve"> ESMA’s</w:t>
      </w:r>
      <w:r w:rsidRPr="002661A8">
        <w:rPr>
          <w:rFonts w:ascii="Times New Roman" w:eastAsia="Calibri" w:hAnsi="Times New Roman" w:cs="Times New Roman"/>
          <w:noProof/>
          <w:sz w:val="24"/>
          <w:szCs w:val="24"/>
        </w:rPr>
        <w:t xml:space="preserve"> work as well. ESMA would also benefit from greater efficiencies </w:t>
      </w:r>
      <w:r w:rsidR="00943D15" w:rsidRPr="002661A8">
        <w:rPr>
          <w:rFonts w:ascii="Times New Roman" w:eastAsia="Calibri" w:hAnsi="Times New Roman" w:cs="Times New Roman"/>
          <w:noProof/>
          <w:sz w:val="24"/>
          <w:szCs w:val="24"/>
        </w:rPr>
        <w:t>by using</w:t>
      </w:r>
      <w:r w:rsidRPr="002661A8">
        <w:rPr>
          <w:rFonts w:ascii="Times New Roman" w:eastAsia="Calibri" w:hAnsi="Times New Roman" w:cs="Times New Roman"/>
          <w:noProof/>
          <w:sz w:val="24"/>
          <w:szCs w:val="24"/>
        </w:rPr>
        <w:t xml:space="preserve"> new IT tools. These benefits would be ongoing. </w:t>
      </w:r>
      <w:r w:rsidR="00E671B2" w:rsidRPr="002661A8">
        <w:rPr>
          <w:rFonts w:ascii="Times New Roman" w:eastAsia="Calibri" w:hAnsi="Times New Roman" w:cs="Times New Roman"/>
          <w:noProof/>
          <w:sz w:val="24"/>
          <w:szCs w:val="24"/>
        </w:rPr>
        <w:t>P</w:t>
      </w:r>
      <w:r w:rsidRPr="002661A8">
        <w:rPr>
          <w:rFonts w:ascii="Times New Roman" w:eastAsia="Calibri" w:hAnsi="Times New Roman" w:cs="Times New Roman"/>
          <w:noProof/>
          <w:sz w:val="24"/>
          <w:szCs w:val="24"/>
        </w:rPr>
        <w:t>otentially more requests by CCPs to extend services may ensue as an indirect impact</w:t>
      </w:r>
      <w:r w:rsidR="00E671B2" w:rsidRPr="002661A8">
        <w:rPr>
          <w:rFonts w:ascii="Times New Roman" w:eastAsia="Calibri" w:hAnsi="Times New Roman" w:cs="Times New Roman"/>
          <w:noProof/>
          <w:sz w:val="24"/>
          <w:szCs w:val="24"/>
        </w:rPr>
        <w:t xml:space="preserve">, with the related </w:t>
      </w:r>
      <w:r w:rsidRPr="002661A8">
        <w:rPr>
          <w:rFonts w:ascii="Times New Roman" w:eastAsia="Calibri" w:hAnsi="Times New Roman" w:cs="Times New Roman"/>
          <w:noProof/>
          <w:sz w:val="24"/>
          <w:szCs w:val="24"/>
        </w:rPr>
        <w:t>costs be</w:t>
      </w:r>
      <w:r w:rsidR="00E671B2" w:rsidRPr="002661A8">
        <w:rPr>
          <w:rFonts w:ascii="Times New Roman" w:eastAsia="Calibri" w:hAnsi="Times New Roman" w:cs="Times New Roman"/>
          <w:noProof/>
          <w:sz w:val="24"/>
          <w:szCs w:val="24"/>
        </w:rPr>
        <w:t>ing</w:t>
      </w:r>
      <w:r w:rsidRPr="002661A8">
        <w:rPr>
          <w:rFonts w:ascii="Times New Roman" w:eastAsia="Calibri" w:hAnsi="Times New Roman" w:cs="Times New Roman"/>
          <w:noProof/>
          <w:sz w:val="24"/>
          <w:szCs w:val="24"/>
        </w:rPr>
        <w:t xml:space="preserve"> ongoing. Should ESMA operate IT tools on behalf of national supervisory authorities, such authorities would have to refund ESMA’s expenditures. This cost would be</w:t>
      </w:r>
      <w:r w:rsidR="00927F6B" w:rsidRPr="002661A8">
        <w:rPr>
          <w:rFonts w:ascii="Times New Roman" w:eastAsia="Calibri" w:hAnsi="Times New Roman" w:cs="Times New Roman"/>
          <w:noProof/>
          <w:sz w:val="24"/>
          <w:szCs w:val="24"/>
        </w:rPr>
        <w:t xml:space="preserve"> mainly</w:t>
      </w:r>
      <w:r w:rsidRPr="002661A8">
        <w:rPr>
          <w:rFonts w:ascii="Times New Roman" w:eastAsia="Calibri" w:hAnsi="Times New Roman" w:cs="Times New Roman"/>
          <w:noProof/>
          <w:sz w:val="24"/>
          <w:szCs w:val="24"/>
        </w:rPr>
        <w:t xml:space="preserve"> one-off, </w:t>
      </w:r>
      <w:r w:rsidR="00927F6B" w:rsidRPr="002661A8">
        <w:rPr>
          <w:rFonts w:ascii="Times New Roman" w:eastAsia="Calibri" w:hAnsi="Times New Roman" w:cs="Times New Roman"/>
          <w:noProof/>
          <w:sz w:val="24"/>
          <w:szCs w:val="24"/>
        </w:rPr>
        <w:t xml:space="preserve">with more moderate ongoing costs of </w:t>
      </w:r>
      <w:r w:rsidRPr="002661A8">
        <w:rPr>
          <w:rFonts w:ascii="Times New Roman" w:eastAsia="Calibri" w:hAnsi="Times New Roman" w:cs="Times New Roman"/>
          <w:noProof/>
          <w:sz w:val="24"/>
          <w:szCs w:val="24"/>
        </w:rPr>
        <w:t xml:space="preserve">maintenance </w:t>
      </w:r>
      <w:r w:rsidR="00927F6B" w:rsidRPr="002661A8">
        <w:rPr>
          <w:rFonts w:ascii="Times New Roman" w:eastAsia="Calibri" w:hAnsi="Times New Roman" w:cs="Times New Roman"/>
          <w:noProof/>
          <w:sz w:val="24"/>
          <w:szCs w:val="24"/>
        </w:rPr>
        <w:t>and updating</w:t>
      </w:r>
      <w:r w:rsidRPr="002661A8">
        <w:rPr>
          <w:rFonts w:ascii="Times New Roman" w:eastAsia="Calibri" w:hAnsi="Times New Roman" w:cs="Times New Roman"/>
          <w:noProof/>
          <w:sz w:val="24"/>
          <w:szCs w:val="24"/>
        </w:rPr>
        <w:t>.</w:t>
      </w:r>
    </w:p>
    <w:p w14:paraId="3DB9F90E" w14:textId="3FD13F3F" w:rsidR="000923BE" w:rsidRPr="002661A8" w:rsidRDefault="000923BE" w:rsidP="00ED5088">
      <w:pPr>
        <w:pStyle w:val="Heading1"/>
        <w:numPr>
          <w:ilvl w:val="2"/>
          <w:numId w:val="6"/>
        </w:numPr>
        <w:spacing w:before="0" w:after="120"/>
        <w:rPr>
          <w:i/>
          <w:noProof/>
        </w:rPr>
      </w:pPr>
      <w:bookmarkStart w:id="904" w:name="_Toc104310009"/>
      <w:bookmarkStart w:id="905" w:name="_Toc105656449"/>
      <w:bookmarkStart w:id="906" w:name="_Toc106827849"/>
      <w:bookmarkStart w:id="907" w:name="_Toc106981725"/>
      <w:bookmarkStart w:id="908" w:name="_Toc107493865"/>
      <w:bookmarkStart w:id="909" w:name="_Toc107497901"/>
      <w:bookmarkStart w:id="910" w:name="_Toc107503454"/>
      <w:bookmarkStart w:id="911" w:name="_Toc107504602"/>
      <w:bookmarkStart w:id="912" w:name="_Toc107505447"/>
      <w:bookmarkStart w:id="913" w:name="_Toc107838923"/>
      <w:bookmarkStart w:id="914" w:name="_Toc107847018"/>
      <w:bookmarkStart w:id="915" w:name="_Toc107849255"/>
      <w:bookmarkStart w:id="916" w:name="_Toc107853702"/>
      <w:bookmarkStart w:id="917" w:name="_Toc108418505"/>
      <w:bookmarkStart w:id="918" w:name="_Toc108539597"/>
      <w:bookmarkStart w:id="919" w:name="_Toc108539819"/>
      <w:bookmarkStart w:id="920" w:name="_Toc108539937"/>
      <w:bookmarkStart w:id="921" w:name="_Toc109057395"/>
      <w:bookmarkStart w:id="922" w:name="_Toc109120761"/>
      <w:bookmarkStart w:id="923" w:name="_Toc109122396"/>
      <w:bookmarkStart w:id="924" w:name="_Toc109124109"/>
      <w:bookmarkStart w:id="925" w:name="_Toc109133133"/>
      <w:bookmarkStart w:id="926" w:name="_Toc109133309"/>
      <w:bookmarkStart w:id="927" w:name="_Toc120291667"/>
      <w:r w:rsidRPr="002661A8">
        <w:rPr>
          <w:b w:val="0"/>
          <w:i/>
          <w:smallCaps w:val="0"/>
          <w:noProof/>
        </w:rPr>
        <w:t>Choice of preferred option.</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14:paraId="2294684D" w14:textId="35613BDB" w:rsidR="000923BE" w:rsidRPr="002661A8" w:rsidRDefault="000923BE" w:rsidP="000923BE">
      <w:pPr>
        <w:tabs>
          <w:tab w:val="left" w:pos="2302"/>
        </w:tabs>
        <w:spacing w:after="120" w:line="240" w:lineRule="auto"/>
        <w:jc w:val="both"/>
        <w:rPr>
          <w:rFonts w:ascii="Times New Roman" w:eastAsia="Times New Roman" w:hAnsi="Times New Roman" w:cs="Times New Roman"/>
          <w:bCs/>
          <w:noProof/>
          <w:sz w:val="24"/>
          <w:szCs w:val="24"/>
          <w:lang w:eastAsia="en-GB"/>
        </w:rPr>
      </w:pPr>
      <w:r w:rsidRPr="00BE3B33">
        <w:rPr>
          <w:rFonts w:ascii="Times New Roman" w:eastAsia="Times New Roman" w:hAnsi="Times New Roman" w:cs="Times New Roman"/>
          <w:noProof/>
          <w:sz w:val="24"/>
          <w:szCs w:val="24"/>
          <w:lang w:eastAsia="en-GB"/>
        </w:rPr>
        <w:t xml:space="preserve">Option </w:t>
      </w:r>
      <w:r w:rsidR="00FF2EC3" w:rsidRPr="00BE3B33">
        <w:rPr>
          <w:rFonts w:ascii="Times New Roman" w:eastAsia="Times New Roman" w:hAnsi="Times New Roman" w:cs="Times New Roman"/>
          <w:noProof/>
          <w:sz w:val="24"/>
          <w:szCs w:val="24"/>
          <w:lang w:eastAsia="en-GB"/>
        </w:rPr>
        <w:t>A</w:t>
      </w:r>
      <w:r w:rsidRPr="00BE3B33">
        <w:rPr>
          <w:rFonts w:ascii="Times New Roman" w:eastAsia="Times New Roman" w:hAnsi="Times New Roman" w:cs="Times New Roman"/>
          <w:noProof/>
          <w:sz w:val="24"/>
          <w:szCs w:val="24"/>
          <w:lang w:eastAsia="en-GB"/>
        </w:rPr>
        <w:t>2</w:t>
      </w:r>
      <w:r w:rsidRPr="002661A8">
        <w:rPr>
          <w:rFonts w:ascii="Times New Roman" w:eastAsia="Times New Roman" w:hAnsi="Times New Roman" w:cs="Times New Roman"/>
          <w:noProof/>
          <w:sz w:val="24"/>
          <w:szCs w:val="24"/>
          <w:lang w:eastAsia="en-GB"/>
        </w:rPr>
        <w:t xml:space="preserve"> </w:t>
      </w:r>
      <w:r w:rsidR="003548F8" w:rsidRPr="002661A8">
        <w:rPr>
          <w:rFonts w:ascii="Times New Roman" w:eastAsia="Times New Roman" w:hAnsi="Times New Roman" w:cs="Times New Roman"/>
          <w:noProof/>
          <w:sz w:val="24"/>
          <w:szCs w:val="24"/>
          <w:lang w:eastAsia="en-GB"/>
        </w:rPr>
        <w:t>alone</w:t>
      </w:r>
      <w:r w:rsidRPr="002661A8">
        <w:rPr>
          <w:rFonts w:ascii="Times New Roman" w:eastAsia="Times New Roman" w:hAnsi="Times New Roman" w:cs="Times New Roman"/>
          <w:noProof/>
          <w:sz w:val="24"/>
          <w:szCs w:val="24"/>
          <w:lang w:eastAsia="en-GB"/>
        </w:rPr>
        <w:t xml:space="preserve"> would</w:t>
      </w:r>
      <w:r w:rsidRPr="002661A8" w:rsidDel="005E2F69">
        <w:rPr>
          <w:rFonts w:ascii="Times New Roman" w:eastAsia="Times New Roman" w:hAnsi="Times New Roman" w:cs="Times New Roman"/>
          <w:noProof/>
          <w:sz w:val="24"/>
          <w:szCs w:val="24"/>
          <w:lang w:eastAsia="en-GB"/>
        </w:rPr>
        <w:t xml:space="preserve"> </w:t>
      </w:r>
      <w:r w:rsidRPr="002661A8">
        <w:rPr>
          <w:rFonts w:ascii="Times New Roman" w:eastAsia="Times New Roman" w:hAnsi="Times New Roman" w:cs="Times New Roman"/>
          <w:noProof/>
          <w:sz w:val="24"/>
          <w:szCs w:val="24"/>
          <w:lang w:eastAsia="en-GB"/>
        </w:rPr>
        <w:t xml:space="preserve">partially meet the objective of </w:t>
      </w:r>
      <w:r w:rsidRPr="002661A8">
        <w:rPr>
          <w:rFonts w:ascii="Times New Roman" w:eastAsia="Times New Roman" w:hAnsi="Times New Roman" w:cs="Times New Roman"/>
          <w:noProof/>
          <w:sz w:val="24"/>
          <w:szCs w:val="24"/>
        </w:rPr>
        <w:t xml:space="preserve">enhancing </w:t>
      </w:r>
      <w:r w:rsidR="00E671B2" w:rsidRPr="002661A8">
        <w:rPr>
          <w:rFonts w:ascii="Times New Roman" w:eastAsia="Times New Roman" w:hAnsi="Times New Roman" w:cs="Times New Roman"/>
          <w:noProof/>
          <w:sz w:val="24"/>
          <w:szCs w:val="24"/>
        </w:rPr>
        <w:t xml:space="preserve">EU CCPs’ </w:t>
      </w:r>
      <w:r w:rsidRPr="002661A8">
        <w:rPr>
          <w:rFonts w:ascii="Times New Roman" w:eastAsia="Times New Roman" w:hAnsi="Times New Roman" w:cs="Times New Roman"/>
          <w:noProof/>
          <w:sz w:val="24"/>
          <w:szCs w:val="24"/>
        </w:rPr>
        <w:t>ability to compete internationally</w:t>
      </w:r>
      <w:r w:rsidRPr="002661A8">
        <w:rPr>
          <w:rFonts w:ascii="Times New Roman" w:eastAsia="Times New Roman" w:hAnsi="Times New Roman" w:cs="Times New Roman"/>
          <w:noProof/>
          <w:sz w:val="24"/>
          <w:szCs w:val="24"/>
          <w:lang w:eastAsia="en-GB"/>
        </w:rPr>
        <w:t xml:space="preserve">, as </w:t>
      </w:r>
      <w:r w:rsidR="00E671B2" w:rsidRPr="002661A8">
        <w:rPr>
          <w:rFonts w:ascii="Times New Roman" w:eastAsia="Times New Roman" w:hAnsi="Times New Roman" w:cs="Times New Roman"/>
          <w:noProof/>
          <w:sz w:val="24"/>
          <w:szCs w:val="24"/>
          <w:lang w:eastAsia="en-GB"/>
        </w:rPr>
        <w:t xml:space="preserve">it would streamline </w:t>
      </w:r>
      <w:r w:rsidRPr="002661A8">
        <w:rPr>
          <w:rFonts w:ascii="Times New Roman" w:eastAsia="Times New Roman" w:hAnsi="Times New Roman" w:cs="Times New Roman"/>
          <w:noProof/>
          <w:sz w:val="24"/>
          <w:szCs w:val="24"/>
          <w:lang w:eastAsia="en-GB"/>
        </w:rPr>
        <w:t>the procedure</w:t>
      </w:r>
      <w:r w:rsidR="00E671B2" w:rsidRPr="002661A8">
        <w:rPr>
          <w:rFonts w:ascii="Times New Roman" w:eastAsia="Times New Roman" w:hAnsi="Times New Roman" w:cs="Times New Roman"/>
          <w:noProof/>
          <w:sz w:val="24"/>
          <w:szCs w:val="24"/>
          <w:lang w:eastAsia="en-GB"/>
        </w:rPr>
        <w:t>s</w:t>
      </w:r>
      <w:r w:rsidRPr="002661A8">
        <w:rPr>
          <w:rFonts w:ascii="Times New Roman" w:eastAsia="Times New Roman" w:hAnsi="Times New Roman" w:cs="Times New Roman"/>
          <w:noProof/>
          <w:sz w:val="24"/>
          <w:szCs w:val="24"/>
          <w:lang w:eastAsia="en-GB"/>
        </w:rPr>
        <w:t xml:space="preserve"> </w:t>
      </w:r>
      <w:r w:rsidR="00E671B2" w:rsidRPr="002661A8">
        <w:rPr>
          <w:rFonts w:ascii="Times New Roman" w:eastAsia="Times New Roman" w:hAnsi="Times New Roman" w:cs="Times New Roman"/>
          <w:noProof/>
          <w:sz w:val="24"/>
          <w:szCs w:val="24"/>
          <w:lang w:eastAsia="en-GB"/>
        </w:rPr>
        <w:t>of Articles 1</w:t>
      </w:r>
      <w:r w:rsidR="00B35B85">
        <w:rPr>
          <w:rFonts w:ascii="Times New Roman" w:eastAsia="Times New Roman" w:hAnsi="Times New Roman" w:cs="Times New Roman"/>
          <w:noProof/>
          <w:sz w:val="24"/>
          <w:szCs w:val="24"/>
          <w:lang w:eastAsia="en-GB"/>
        </w:rPr>
        <w:t>7</w:t>
      </w:r>
      <w:r w:rsidR="00E671B2" w:rsidRPr="002661A8">
        <w:rPr>
          <w:rFonts w:ascii="Times New Roman" w:eastAsia="Times New Roman" w:hAnsi="Times New Roman" w:cs="Times New Roman"/>
          <w:noProof/>
          <w:sz w:val="24"/>
          <w:szCs w:val="24"/>
          <w:lang w:eastAsia="en-GB"/>
        </w:rPr>
        <w:t xml:space="preserve"> and 49 of EMIR</w:t>
      </w:r>
      <w:r w:rsidRPr="002661A8">
        <w:rPr>
          <w:rFonts w:ascii="Times New Roman" w:eastAsia="Times New Roman" w:hAnsi="Times New Roman" w:cs="Times New Roman"/>
          <w:noProof/>
          <w:sz w:val="24"/>
          <w:szCs w:val="24"/>
          <w:lang w:eastAsia="en-GB"/>
        </w:rPr>
        <w:t xml:space="preserve">, but would not set out a simplified process for proposed activities and changes </w:t>
      </w:r>
      <w:r w:rsidR="00E671B2" w:rsidRPr="002661A8">
        <w:rPr>
          <w:rFonts w:ascii="Times New Roman" w:eastAsia="Times New Roman" w:hAnsi="Times New Roman" w:cs="Times New Roman"/>
          <w:noProof/>
          <w:sz w:val="24"/>
          <w:szCs w:val="24"/>
          <w:lang w:eastAsia="en-GB"/>
        </w:rPr>
        <w:t>that</w:t>
      </w:r>
      <w:r w:rsidR="003E4D28" w:rsidRPr="002661A8">
        <w:rPr>
          <w:rFonts w:ascii="Times New Roman" w:eastAsia="Times New Roman" w:hAnsi="Times New Roman" w:cs="Times New Roman"/>
          <w:noProof/>
          <w:sz w:val="24"/>
          <w:szCs w:val="24"/>
          <w:lang w:eastAsia="en-GB"/>
        </w:rPr>
        <w:t xml:space="preserve"> are clearly less significant from a financial stability perspective</w:t>
      </w:r>
      <w:r w:rsidRPr="002661A8">
        <w:rPr>
          <w:rFonts w:ascii="Times New Roman" w:eastAsia="Times New Roman" w:hAnsi="Times New Roman" w:cs="Times New Roman"/>
          <w:noProof/>
          <w:sz w:val="24"/>
          <w:szCs w:val="24"/>
          <w:lang w:eastAsia="en-GB"/>
        </w:rPr>
        <w:t xml:space="preserve">. </w:t>
      </w:r>
      <w:r w:rsidRPr="002661A8">
        <w:rPr>
          <w:rFonts w:ascii="Times New Roman" w:eastAsia="Times New Roman" w:hAnsi="Times New Roman" w:cs="Times New Roman"/>
          <w:i/>
          <w:noProof/>
          <w:sz w:val="24"/>
          <w:szCs w:val="24"/>
        </w:rPr>
        <w:t xml:space="preserve">Option </w:t>
      </w:r>
      <w:r w:rsidR="00FF2EC3">
        <w:rPr>
          <w:rFonts w:ascii="Times New Roman" w:eastAsia="Times New Roman" w:hAnsi="Times New Roman" w:cs="Times New Roman"/>
          <w:i/>
          <w:noProof/>
          <w:sz w:val="24"/>
          <w:szCs w:val="24"/>
        </w:rPr>
        <w:t>A</w:t>
      </w:r>
      <w:r w:rsidRPr="002661A8">
        <w:rPr>
          <w:rFonts w:ascii="Times New Roman" w:eastAsia="Times New Roman" w:hAnsi="Times New Roman" w:cs="Times New Roman"/>
          <w:i/>
          <w:noProof/>
          <w:sz w:val="24"/>
          <w:szCs w:val="24"/>
        </w:rPr>
        <w:t>3</w:t>
      </w:r>
      <w:r w:rsidRPr="002661A8">
        <w:rPr>
          <w:rFonts w:ascii="Times New Roman" w:eastAsia="Times New Roman" w:hAnsi="Times New Roman" w:cs="Times New Roman"/>
          <w:noProof/>
          <w:sz w:val="24"/>
          <w:szCs w:val="24"/>
        </w:rPr>
        <w:t xml:space="preserve"> </w:t>
      </w:r>
      <w:r w:rsidR="003548F8" w:rsidRPr="002661A8">
        <w:rPr>
          <w:rFonts w:ascii="Times New Roman" w:eastAsia="Times New Roman" w:hAnsi="Times New Roman" w:cs="Times New Roman"/>
          <w:noProof/>
          <w:sz w:val="24"/>
          <w:szCs w:val="24"/>
        </w:rPr>
        <w:t>alone</w:t>
      </w:r>
      <w:r w:rsidRPr="002661A8">
        <w:rPr>
          <w:rFonts w:ascii="Times New Roman" w:eastAsia="Times New Roman" w:hAnsi="Times New Roman" w:cs="Times New Roman"/>
          <w:noProof/>
          <w:sz w:val="24"/>
          <w:szCs w:val="24"/>
        </w:rPr>
        <w:t xml:space="preserve"> </w:t>
      </w:r>
      <w:r w:rsidR="005E2F69" w:rsidRPr="002661A8">
        <w:rPr>
          <w:rFonts w:ascii="Times New Roman" w:eastAsia="Times New Roman" w:hAnsi="Times New Roman" w:cs="Times New Roman"/>
          <w:noProof/>
          <w:sz w:val="24"/>
          <w:szCs w:val="24"/>
        </w:rPr>
        <w:t xml:space="preserve">would </w:t>
      </w:r>
      <w:r w:rsidRPr="002661A8">
        <w:rPr>
          <w:rFonts w:ascii="Times New Roman" w:eastAsia="Times New Roman" w:hAnsi="Times New Roman" w:cs="Times New Roman"/>
          <w:noProof/>
          <w:sz w:val="24"/>
          <w:szCs w:val="24"/>
        </w:rPr>
        <w:t>also</w:t>
      </w:r>
      <w:r w:rsidRPr="002661A8" w:rsidDel="005E2F69">
        <w:rPr>
          <w:rFonts w:ascii="Times New Roman" w:eastAsia="Times New Roman" w:hAnsi="Times New Roman" w:cs="Times New Roman"/>
          <w:noProof/>
          <w:sz w:val="24"/>
          <w:szCs w:val="24"/>
        </w:rPr>
        <w:t xml:space="preserve"> </w:t>
      </w:r>
      <w:r w:rsidRPr="002661A8">
        <w:rPr>
          <w:rFonts w:ascii="Times New Roman" w:eastAsia="Times New Roman" w:hAnsi="Times New Roman" w:cs="Times New Roman"/>
          <w:noProof/>
          <w:sz w:val="24"/>
          <w:szCs w:val="24"/>
          <w:lang w:eastAsia="en-GB"/>
        </w:rPr>
        <w:t xml:space="preserve">partially meet the objective, as </w:t>
      </w:r>
      <w:r w:rsidRPr="002661A8">
        <w:rPr>
          <w:rFonts w:ascii="Times New Roman" w:eastAsia="Times New Roman" w:hAnsi="Times New Roman" w:cs="Times New Roman"/>
          <w:noProof/>
          <w:sz w:val="24"/>
          <w:szCs w:val="24"/>
        </w:rPr>
        <w:t xml:space="preserve">it only addresses the cases of proposed activities and changes to models deserving a fast procedure. </w:t>
      </w:r>
      <w:r w:rsidR="009D7E55" w:rsidRPr="002661A8">
        <w:rPr>
          <w:rFonts w:ascii="Times New Roman" w:eastAsia="Times New Roman" w:hAnsi="Times New Roman" w:cs="Times New Roman"/>
          <w:noProof/>
          <w:sz w:val="24"/>
          <w:szCs w:val="24"/>
        </w:rPr>
        <w:t xml:space="preserve">The combination of options </w:t>
      </w:r>
      <w:r w:rsidR="00FF2EC3">
        <w:rPr>
          <w:rFonts w:ascii="Times New Roman" w:eastAsia="Times New Roman" w:hAnsi="Times New Roman" w:cs="Times New Roman"/>
          <w:noProof/>
          <w:sz w:val="24"/>
          <w:szCs w:val="24"/>
        </w:rPr>
        <w:t>A</w:t>
      </w:r>
      <w:r w:rsidR="009D7E55" w:rsidRPr="002661A8">
        <w:rPr>
          <w:rFonts w:ascii="Times New Roman" w:eastAsia="Times New Roman" w:hAnsi="Times New Roman" w:cs="Times New Roman"/>
          <w:noProof/>
          <w:sz w:val="24"/>
          <w:szCs w:val="24"/>
        </w:rPr>
        <w:t xml:space="preserve">2 and </w:t>
      </w:r>
      <w:r w:rsidR="00FF2EC3">
        <w:rPr>
          <w:rFonts w:ascii="Times New Roman" w:eastAsia="Times New Roman" w:hAnsi="Times New Roman" w:cs="Times New Roman"/>
          <w:noProof/>
          <w:sz w:val="24"/>
          <w:szCs w:val="24"/>
        </w:rPr>
        <w:t>A</w:t>
      </w:r>
      <w:r w:rsidR="009D7E55" w:rsidRPr="002661A8">
        <w:rPr>
          <w:rFonts w:ascii="Times New Roman" w:eastAsia="Times New Roman" w:hAnsi="Times New Roman" w:cs="Times New Roman"/>
          <w:noProof/>
          <w:sz w:val="24"/>
          <w:szCs w:val="24"/>
        </w:rPr>
        <w:t>3, i.e.</w:t>
      </w:r>
      <w:r w:rsidRPr="002661A8">
        <w:rPr>
          <w:rFonts w:ascii="Times New Roman" w:eastAsia="Times New Roman" w:hAnsi="Times New Roman" w:cs="Times New Roman"/>
          <w:noProof/>
          <w:sz w:val="24"/>
          <w:szCs w:val="24"/>
        </w:rPr>
        <w:t xml:space="preserve"> </w:t>
      </w:r>
      <w:r w:rsidRPr="002661A8">
        <w:rPr>
          <w:rFonts w:ascii="Times New Roman" w:eastAsia="Times New Roman" w:hAnsi="Times New Roman" w:cs="Times New Roman"/>
          <w:b/>
          <w:noProof/>
          <w:sz w:val="24"/>
          <w:szCs w:val="24"/>
          <w:lang w:eastAsia="en-GB"/>
        </w:rPr>
        <w:t xml:space="preserve">Option </w:t>
      </w:r>
      <w:r w:rsidR="00FF2EC3">
        <w:rPr>
          <w:rFonts w:ascii="Times New Roman" w:eastAsia="Times New Roman" w:hAnsi="Times New Roman" w:cs="Times New Roman"/>
          <w:b/>
          <w:noProof/>
          <w:sz w:val="24"/>
          <w:szCs w:val="24"/>
          <w:lang w:eastAsia="en-GB"/>
        </w:rPr>
        <w:t>A</w:t>
      </w:r>
      <w:r w:rsidRPr="002661A8">
        <w:rPr>
          <w:rFonts w:ascii="Times New Roman" w:eastAsia="Times New Roman" w:hAnsi="Times New Roman" w:cs="Times New Roman"/>
          <w:b/>
          <w:noProof/>
          <w:sz w:val="24"/>
          <w:szCs w:val="24"/>
          <w:lang w:eastAsia="en-GB"/>
        </w:rPr>
        <w:t>4</w:t>
      </w:r>
      <w:r w:rsidRPr="002661A8">
        <w:rPr>
          <w:rFonts w:ascii="Times New Roman" w:eastAsia="Times New Roman" w:hAnsi="Times New Roman" w:cs="Times New Roman"/>
          <w:noProof/>
          <w:sz w:val="24"/>
          <w:szCs w:val="24"/>
          <w:lang w:eastAsia="en-GB"/>
        </w:rPr>
        <w:t xml:space="preserve">, would </w:t>
      </w:r>
      <w:r w:rsidR="00B80F5E" w:rsidRPr="002661A8">
        <w:rPr>
          <w:rFonts w:ascii="Times New Roman" w:eastAsia="Times New Roman" w:hAnsi="Times New Roman" w:cs="Times New Roman"/>
          <w:noProof/>
          <w:sz w:val="24"/>
          <w:szCs w:val="24"/>
          <w:lang w:eastAsia="en-GB"/>
        </w:rPr>
        <w:t xml:space="preserve">be the most effective in </w:t>
      </w:r>
      <w:r w:rsidRPr="002661A8">
        <w:rPr>
          <w:rFonts w:ascii="Times New Roman" w:eastAsia="Times New Roman" w:hAnsi="Times New Roman" w:cs="Times New Roman"/>
          <w:noProof/>
          <w:sz w:val="24"/>
          <w:szCs w:val="24"/>
          <w:lang w:eastAsia="en-GB"/>
        </w:rPr>
        <w:t>meet</w:t>
      </w:r>
      <w:r w:rsidR="00B80F5E" w:rsidRPr="002661A8">
        <w:rPr>
          <w:rFonts w:ascii="Times New Roman" w:eastAsia="Times New Roman" w:hAnsi="Times New Roman" w:cs="Times New Roman"/>
          <w:noProof/>
          <w:sz w:val="24"/>
          <w:szCs w:val="24"/>
          <w:lang w:eastAsia="en-GB"/>
        </w:rPr>
        <w:t>ing</w:t>
      </w:r>
      <w:r w:rsidRPr="002661A8">
        <w:rPr>
          <w:rFonts w:ascii="Times New Roman" w:eastAsia="Times New Roman" w:hAnsi="Times New Roman" w:cs="Times New Roman"/>
          <w:noProof/>
          <w:sz w:val="24"/>
          <w:szCs w:val="24"/>
          <w:lang w:eastAsia="en-GB"/>
        </w:rPr>
        <w:t xml:space="preserve"> the</w:t>
      </w:r>
      <w:r w:rsidR="005E2F69" w:rsidRPr="002661A8">
        <w:rPr>
          <w:rFonts w:ascii="Times New Roman" w:eastAsia="Times New Roman" w:hAnsi="Times New Roman" w:cs="Times New Roman"/>
          <w:noProof/>
          <w:sz w:val="24"/>
          <w:szCs w:val="24"/>
          <w:lang w:eastAsia="en-GB"/>
        </w:rPr>
        <w:t xml:space="preserve"> first</w:t>
      </w:r>
      <w:r w:rsidRPr="002661A8">
        <w:rPr>
          <w:rFonts w:ascii="Times New Roman" w:eastAsia="Times New Roman" w:hAnsi="Times New Roman" w:cs="Times New Roman"/>
          <w:noProof/>
          <w:sz w:val="24"/>
          <w:szCs w:val="24"/>
          <w:lang w:eastAsia="en-GB"/>
        </w:rPr>
        <w:t xml:space="preserve"> specific objective </w:t>
      </w:r>
      <w:r w:rsidR="008829C9" w:rsidRPr="002661A8">
        <w:rPr>
          <w:rFonts w:ascii="Times New Roman" w:eastAsia="Times New Roman" w:hAnsi="Times New Roman" w:cs="Times New Roman"/>
          <w:noProof/>
          <w:sz w:val="24"/>
          <w:szCs w:val="24"/>
          <w:lang w:eastAsia="en-GB"/>
        </w:rPr>
        <w:t xml:space="preserve">and would </w:t>
      </w:r>
      <w:r w:rsidR="00475CC5" w:rsidRPr="002661A8">
        <w:rPr>
          <w:rFonts w:ascii="Times New Roman" w:eastAsia="Times New Roman" w:hAnsi="Times New Roman" w:cs="Times New Roman"/>
          <w:noProof/>
          <w:sz w:val="24"/>
          <w:szCs w:val="24"/>
          <w:lang w:eastAsia="en-GB"/>
        </w:rPr>
        <w:t xml:space="preserve">also be </w:t>
      </w:r>
      <w:r w:rsidR="005E2F69" w:rsidRPr="002661A8">
        <w:rPr>
          <w:rFonts w:ascii="Times New Roman" w:eastAsia="Times New Roman" w:hAnsi="Times New Roman" w:cs="Times New Roman"/>
          <w:noProof/>
          <w:sz w:val="24"/>
          <w:szCs w:val="24"/>
          <w:lang w:eastAsia="en-GB"/>
        </w:rPr>
        <w:t xml:space="preserve">the most </w:t>
      </w:r>
      <w:r w:rsidR="00475CC5" w:rsidRPr="002661A8">
        <w:rPr>
          <w:rFonts w:ascii="Times New Roman" w:eastAsia="Times New Roman" w:hAnsi="Times New Roman" w:cs="Times New Roman"/>
          <w:noProof/>
          <w:sz w:val="24"/>
          <w:szCs w:val="24"/>
          <w:lang w:eastAsia="en-GB"/>
        </w:rPr>
        <w:t xml:space="preserve">efficient </w:t>
      </w:r>
      <w:r w:rsidR="00E02B72" w:rsidRPr="002661A8">
        <w:rPr>
          <w:rFonts w:ascii="Times New Roman" w:eastAsia="Times New Roman" w:hAnsi="Times New Roman" w:cs="Times New Roman"/>
          <w:noProof/>
          <w:sz w:val="24"/>
          <w:szCs w:val="24"/>
          <w:lang w:eastAsia="en-GB"/>
        </w:rPr>
        <w:t>in</w:t>
      </w:r>
      <w:r w:rsidR="005E2F69" w:rsidRPr="002661A8">
        <w:rPr>
          <w:rFonts w:ascii="Times New Roman" w:eastAsia="Times New Roman" w:hAnsi="Times New Roman" w:cs="Times New Roman"/>
          <w:noProof/>
          <w:sz w:val="24"/>
          <w:szCs w:val="24"/>
          <w:lang w:eastAsia="en-GB"/>
        </w:rPr>
        <w:t xml:space="preserve"> delivering greater cost saving</w:t>
      </w:r>
      <w:r w:rsidR="00E02B72" w:rsidRPr="002661A8">
        <w:rPr>
          <w:rFonts w:ascii="Times New Roman" w:eastAsia="Times New Roman" w:hAnsi="Times New Roman" w:cs="Times New Roman"/>
          <w:noProof/>
          <w:sz w:val="24"/>
          <w:szCs w:val="24"/>
          <w:lang w:eastAsia="en-GB"/>
        </w:rPr>
        <w:t>s</w:t>
      </w:r>
      <w:r w:rsidR="005E2F69" w:rsidRPr="002661A8">
        <w:rPr>
          <w:rFonts w:ascii="Times New Roman" w:eastAsia="Times New Roman" w:hAnsi="Times New Roman" w:cs="Times New Roman"/>
          <w:noProof/>
          <w:sz w:val="24"/>
          <w:szCs w:val="24"/>
          <w:lang w:eastAsia="en-GB"/>
        </w:rPr>
        <w:t xml:space="preserve"> than each option </w:t>
      </w:r>
      <w:r w:rsidR="00E671B2" w:rsidRPr="002661A8">
        <w:rPr>
          <w:rFonts w:ascii="Times New Roman" w:eastAsia="Times New Roman" w:hAnsi="Times New Roman" w:cs="Times New Roman"/>
          <w:noProof/>
          <w:sz w:val="24"/>
          <w:szCs w:val="24"/>
          <w:lang w:eastAsia="en-GB"/>
        </w:rPr>
        <w:t>individually</w:t>
      </w:r>
      <w:r w:rsidR="00475CC5" w:rsidRPr="002661A8">
        <w:rPr>
          <w:rFonts w:ascii="Times New Roman" w:eastAsia="Times New Roman" w:hAnsi="Times New Roman" w:cs="Times New Roman"/>
          <w:noProof/>
          <w:sz w:val="24"/>
          <w:szCs w:val="24"/>
          <w:lang w:eastAsia="en-GB"/>
        </w:rPr>
        <w:t>.</w:t>
      </w:r>
      <w:r w:rsidR="00E671B2" w:rsidRPr="002661A8">
        <w:rPr>
          <w:rFonts w:ascii="Times New Roman" w:eastAsia="Times New Roman" w:hAnsi="Times New Roman" w:cs="Times New Roman"/>
          <w:noProof/>
          <w:sz w:val="24"/>
          <w:szCs w:val="24"/>
          <w:lang w:eastAsia="en-GB"/>
        </w:rPr>
        <w:t xml:space="preserve"> </w:t>
      </w:r>
      <w:r w:rsidR="00B35B85">
        <w:rPr>
          <w:rFonts w:ascii="Times New Roman" w:eastAsia="Times New Roman" w:hAnsi="Times New Roman" w:cs="Times New Roman"/>
          <w:noProof/>
          <w:sz w:val="24"/>
          <w:szCs w:val="24"/>
          <w:lang w:eastAsia="en-GB"/>
        </w:rPr>
        <w:t xml:space="preserve">This </w:t>
      </w:r>
      <w:r w:rsidR="00365582">
        <w:rPr>
          <w:rFonts w:ascii="Times New Roman" w:eastAsia="Times New Roman" w:hAnsi="Times New Roman" w:cs="Times New Roman"/>
          <w:noProof/>
          <w:sz w:val="24"/>
          <w:szCs w:val="24"/>
          <w:lang w:eastAsia="en-GB"/>
        </w:rPr>
        <w:t>o</w:t>
      </w:r>
      <w:r w:rsidR="00B35B85">
        <w:rPr>
          <w:rFonts w:ascii="Times New Roman" w:eastAsia="Times New Roman" w:hAnsi="Times New Roman" w:cs="Times New Roman"/>
          <w:noProof/>
          <w:sz w:val="24"/>
          <w:szCs w:val="24"/>
          <w:lang w:eastAsia="en-GB"/>
        </w:rPr>
        <w:t xml:space="preserve">ption could therefore be implemented by targeted changes to </w:t>
      </w:r>
      <w:r w:rsidR="00A87A4F">
        <w:rPr>
          <w:rFonts w:ascii="Times New Roman" w:eastAsia="Times New Roman" w:hAnsi="Times New Roman" w:cs="Times New Roman"/>
          <w:noProof/>
          <w:sz w:val="24"/>
          <w:szCs w:val="24"/>
          <w:lang w:eastAsia="en-GB"/>
        </w:rPr>
        <w:t>EMIR</w:t>
      </w:r>
      <w:r w:rsidR="00B35B85">
        <w:rPr>
          <w:rFonts w:ascii="Times New Roman" w:eastAsia="Times New Roman" w:hAnsi="Times New Roman" w:cs="Times New Roman"/>
          <w:noProof/>
          <w:sz w:val="24"/>
          <w:szCs w:val="24"/>
          <w:lang w:eastAsia="en-GB"/>
        </w:rPr>
        <w:t xml:space="preserve"> to both streamline procedures and to </w:t>
      </w:r>
      <w:r w:rsidR="00365582">
        <w:rPr>
          <w:rFonts w:ascii="Times New Roman" w:eastAsia="Times New Roman" w:hAnsi="Times New Roman" w:cs="Times New Roman"/>
          <w:noProof/>
          <w:sz w:val="24"/>
          <w:szCs w:val="24"/>
          <w:lang w:eastAsia="en-GB"/>
        </w:rPr>
        <w:t xml:space="preserve">introduce </w:t>
      </w:r>
      <w:r w:rsidR="00B35B85">
        <w:rPr>
          <w:rFonts w:ascii="Times New Roman" w:eastAsia="Times New Roman" w:hAnsi="Times New Roman" w:cs="Times New Roman"/>
          <w:noProof/>
          <w:sz w:val="24"/>
          <w:szCs w:val="24"/>
          <w:lang w:eastAsia="en-GB"/>
        </w:rPr>
        <w:t>an ex-post, fast track or non-objection procedure for changes being considered non-significant or non-material. To implement the streamlined procedures, RTSs and ITSs could be used to describe the documents</w:t>
      </w:r>
      <w:r w:rsidR="00365582">
        <w:rPr>
          <w:rFonts w:ascii="Times New Roman" w:eastAsia="Times New Roman" w:hAnsi="Times New Roman" w:cs="Times New Roman"/>
          <w:noProof/>
          <w:sz w:val="24"/>
          <w:szCs w:val="24"/>
          <w:lang w:eastAsia="en-GB"/>
        </w:rPr>
        <w:t xml:space="preserve"> CCPs need to submit when applying as well as those documents’</w:t>
      </w:r>
      <w:r w:rsidR="00B35B85">
        <w:rPr>
          <w:rFonts w:ascii="Times New Roman" w:eastAsia="Times New Roman" w:hAnsi="Times New Roman" w:cs="Times New Roman"/>
          <w:noProof/>
          <w:sz w:val="24"/>
          <w:szCs w:val="24"/>
          <w:lang w:eastAsia="en-GB"/>
        </w:rPr>
        <w:t xml:space="preserve"> content and form. </w:t>
      </w:r>
      <w:r w:rsidR="00A87A4F">
        <w:rPr>
          <w:rFonts w:ascii="Times New Roman" w:eastAsia="Times New Roman" w:hAnsi="Times New Roman" w:cs="Times New Roman"/>
          <w:noProof/>
          <w:sz w:val="24"/>
          <w:szCs w:val="24"/>
          <w:lang w:eastAsia="en-GB"/>
        </w:rPr>
        <w:t>To ensure the process evolves with the market</w:t>
      </w:r>
      <w:r w:rsidR="00365582">
        <w:rPr>
          <w:rFonts w:ascii="Times New Roman" w:eastAsia="Times New Roman" w:hAnsi="Times New Roman" w:cs="Times New Roman"/>
          <w:noProof/>
          <w:sz w:val="24"/>
          <w:szCs w:val="24"/>
          <w:lang w:eastAsia="en-GB"/>
        </w:rPr>
        <w:t>, the Commission could be empowered to adopt</w:t>
      </w:r>
      <w:r w:rsidR="00A87A4F">
        <w:rPr>
          <w:rFonts w:ascii="Times New Roman" w:eastAsia="Times New Roman" w:hAnsi="Times New Roman" w:cs="Times New Roman"/>
          <w:noProof/>
          <w:sz w:val="24"/>
          <w:szCs w:val="24"/>
          <w:lang w:eastAsia="en-GB"/>
        </w:rPr>
        <w:t xml:space="preserve"> a delegated act to </w:t>
      </w:r>
      <w:r w:rsidR="00365582">
        <w:rPr>
          <w:rFonts w:ascii="Times New Roman" w:eastAsia="Times New Roman" w:hAnsi="Times New Roman" w:cs="Times New Roman"/>
          <w:noProof/>
          <w:sz w:val="24"/>
          <w:szCs w:val="24"/>
          <w:lang w:eastAsia="en-GB"/>
        </w:rPr>
        <w:t>amend</w:t>
      </w:r>
      <w:r w:rsidR="00A87A4F">
        <w:rPr>
          <w:rFonts w:ascii="Times New Roman" w:eastAsia="Times New Roman" w:hAnsi="Times New Roman" w:cs="Times New Roman"/>
          <w:noProof/>
          <w:sz w:val="24"/>
          <w:szCs w:val="24"/>
          <w:lang w:eastAsia="en-GB"/>
        </w:rPr>
        <w:t xml:space="preserve"> t</w:t>
      </w:r>
      <w:r w:rsidR="00365582">
        <w:rPr>
          <w:rFonts w:ascii="Times New Roman" w:eastAsia="Times New Roman" w:hAnsi="Times New Roman" w:cs="Times New Roman"/>
          <w:noProof/>
          <w:sz w:val="24"/>
          <w:szCs w:val="24"/>
          <w:lang w:eastAsia="en-GB"/>
        </w:rPr>
        <w:t>he</w:t>
      </w:r>
      <w:r w:rsidR="00A87A4F">
        <w:rPr>
          <w:rFonts w:ascii="Times New Roman" w:eastAsia="Times New Roman" w:hAnsi="Times New Roman" w:cs="Times New Roman"/>
          <w:noProof/>
          <w:sz w:val="24"/>
          <w:szCs w:val="24"/>
          <w:lang w:eastAsia="en-GB"/>
        </w:rPr>
        <w:t xml:space="preserve"> list describing non-material changes. </w:t>
      </w:r>
      <w:r w:rsidR="00E671B2" w:rsidRPr="002661A8">
        <w:rPr>
          <w:rFonts w:ascii="Times New Roman" w:eastAsia="Times New Roman" w:hAnsi="Times New Roman" w:cs="Times New Roman"/>
          <w:noProof/>
          <w:sz w:val="24"/>
          <w:szCs w:val="24"/>
          <w:lang w:eastAsia="en-GB"/>
        </w:rPr>
        <w:t xml:space="preserve">The precise impact of Option </w:t>
      </w:r>
      <w:r w:rsidR="00FF2EC3">
        <w:rPr>
          <w:rFonts w:ascii="Times New Roman" w:eastAsia="Times New Roman" w:hAnsi="Times New Roman" w:cs="Times New Roman"/>
          <w:noProof/>
          <w:sz w:val="24"/>
          <w:szCs w:val="24"/>
          <w:lang w:eastAsia="en-GB"/>
        </w:rPr>
        <w:t>A</w:t>
      </w:r>
      <w:r w:rsidR="00E671B2" w:rsidRPr="002661A8">
        <w:rPr>
          <w:rFonts w:ascii="Times New Roman" w:eastAsia="Times New Roman" w:hAnsi="Times New Roman" w:cs="Times New Roman"/>
          <w:noProof/>
          <w:sz w:val="24"/>
          <w:szCs w:val="24"/>
          <w:lang w:eastAsia="en-GB"/>
        </w:rPr>
        <w:t xml:space="preserve">4 on stakeholders will depend on which procedures (i.e. streamlined under option </w:t>
      </w:r>
      <w:r w:rsidR="00FF2EC3">
        <w:rPr>
          <w:rFonts w:ascii="Times New Roman" w:eastAsia="Times New Roman" w:hAnsi="Times New Roman" w:cs="Times New Roman"/>
          <w:noProof/>
          <w:sz w:val="24"/>
          <w:szCs w:val="24"/>
          <w:lang w:eastAsia="en-GB"/>
        </w:rPr>
        <w:t>A</w:t>
      </w:r>
      <w:r w:rsidR="00E671B2" w:rsidRPr="002661A8">
        <w:rPr>
          <w:rFonts w:ascii="Times New Roman" w:eastAsia="Times New Roman" w:hAnsi="Times New Roman" w:cs="Times New Roman"/>
          <w:noProof/>
          <w:sz w:val="24"/>
          <w:szCs w:val="24"/>
          <w:lang w:eastAsia="en-GB"/>
        </w:rPr>
        <w:t xml:space="preserve">2 or “fast-track” under option </w:t>
      </w:r>
      <w:r w:rsidR="00FF2EC3">
        <w:rPr>
          <w:rFonts w:ascii="Times New Roman" w:eastAsia="Times New Roman" w:hAnsi="Times New Roman" w:cs="Times New Roman"/>
          <w:noProof/>
          <w:sz w:val="24"/>
          <w:szCs w:val="24"/>
          <w:lang w:eastAsia="en-GB"/>
        </w:rPr>
        <w:t>A</w:t>
      </w:r>
      <w:r w:rsidR="00E671B2" w:rsidRPr="002661A8">
        <w:rPr>
          <w:rFonts w:ascii="Times New Roman" w:eastAsia="Times New Roman" w:hAnsi="Times New Roman" w:cs="Times New Roman"/>
          <w:noProof/>
          <w:sz w:val="24"/>
          <w:szCs w:val="24"/>
          <w:lang w:eastAsia="en-GB"/>
        </w:rPr>
        <w:t>3) will be used in practice more; for the purposes of this assessment it is assumed that they are both used equa</w:t>
      </w:r>
      <w:r w:rsidR="00E02B72" w:rsidRPr="002661A8">
        <w:rPr>
          <w:rFonts w:ascii="Times New Roman" w:eastAsia="Times New Roman" w:hAnsi="Times New Roman" w:cs="Times New Roman"/>
          <w:noProof/>
          <w:sz w:val="24"/>
          <w:szCs w:val="24"/>
          <w:lang w:eastAsia="en-GB"/>
        </w:rPr>
        <w:t>l</w:t>
      </w:r>
      <w:r w:rsidR="00E671B2" w:rsidRPr="002661A8">
        <w:rPr>
          <w:rFonts w:ascii="Times New Roman" w:eastAsia="Times New Roman" w:hAnsi="Times New Roman" w:cs="Times New Roman"/>
          <w:noProof/>
          <w:sz w:val="24"/>
          <w:szCs w:val="24"/>
          <w:lang w:eastAsia="en-GB"/>
        </w:rPr>
        <w:t>ly.</w:t>
      </w:r>
      <w:r w:rsidR="008829C9" w:rsidRPr="002661A8">
        <w:rPr>
          <w:rFonts w:ascii="Times New Roman" w:eastAsia="Times New Roman" w:hAnsi="Times New Roman" w:cs="Times New Roman"/>
          <w:b/>
          <w:noProof/>
          <w:sz w:val="24"/>
          <w:szCs w:val="24"/>
          <w:lang w:eastAsia="en-GB"/>
        </w:rPr>
        <w:t xml:space="preserve"> </w:t>
      </w:r>
      <w:r w:rsidR="00E02B72" w:rsidRPr="002661A8">
        <w:rPr>
          <w:rFonts w:ascii="Times New Roman" w:eastAsia="Times New Roman" w:hAnsi="Times New Roman" w:cs="Times New Roman"/>
          <w:noProof/>
          <w:sz w:val="24"/>
          <w:szCs w:val="24"/>
          <w:lang w:eastAsia="en-GB"/>
        </w:rPr>
        <w:t>O</w:t>
      </w:r>
      <w:r w:rsidRPr="002661A8">
        <w:rPr>
          <w:rFonts w:ascii="Times New Roman" w:eastAsia="Times New Roman" w:hAnsi="Times New Roman" w:cs="Times New Roman"/>
          <w:noProof/>
          <w:sz w:val="24"/>
          <w:szCs w:val="24"/>
          <w:lang w:eastAsia="en-GB"/>
        </w:rPr>
        <w:t>ption</w:t>
      </w:r>
      <w:r w:rsidRPr="002661A8" w:rsidDel="005F7A6F">
        <w:rPr>
          <w:rFonts w:ascii="Times New Roman" w:eastAsia="Times New Roman" w:hAnsi="Times New Roman" w:cs="Times New Roman"/>
          <w:noProof/>
          <w:sz w:val="24"/>
          <w:szCs w:val="24"/>
          <w:lang w:eastAsia="en-GB"/>
        </w:rPr>
        <w:t xml:space="preserve"> </w:t>
      </w:r>
      <w:r w:rsidR="00FF2EC3">
        <w:rPr>
          <w:rFonts w:ascii="Times New Roman" w:eastAsia="Times New Roman" w:hAnsi="Times New Roman" w:cs="Times New Roman"/>
          <w:noProof/>
          <w:sz w:val="24"/>
          <w:szCs w:val="24"/>
          <w:lang w:eastAsia="en-GB"/>
        </w:rPr>
        <w:t>A</w:t>
      </w:r>
      <w:r w:rsidR="00E02B72" w:rsidRPr="002661A8">
        <w:rPr>
          <w:rFonts w:ascii="Times New Roman" w:eastAsia="Times New Roman" w:hAnsi="Times New Roman" w:cs="Times New Roman"/>
          <w:noProof/>
          <w:sz w:val="24"/>
          <w:szCs w:val="24"/>
          <w:lang w:eastAsia="en-GB"/>
        </w:rPr>
        <w:t xml:space="preserve">4 </w:t>
      </w:r>
      <w:r w:rsidRPr="002661A8">
        <w:rPr>
          <w:rFonts w:ascii="Times New Roman" w:eastAsia="Times New Roman" w:hAnsi="Times New Roman" w:cs="Times New Roman"/>
          <w:noProof/>
          <w:sz w:val="24"/>
          <w:szCs w:val="24"/>
          <w:lang w:eastAsia="en-GB"/>
        </w:rPr>
        <w:t xml:space="preserve">would </w:t>
      </w:r>
      <w:r w:rsidR="00475CC5" w:rsidRPr="002661A8">
        <w:rPr>
          <w:rFonts w:ascii="Times New Roman" w:eastAsia="Times New Roman" w:hAnsi="Times New Roman" w:cs="Times New Roman"/>
          <w:noProof/>
          <w:sz w:val="24"/>
          <w:szCs w:val="24"/>
          <w:lang w:eastAsia="en-GB"/>
        </w:rPr>
        <w:t xml:space="preserve">also </w:t>
      </w:r>
      <w:r w:rsidRPr="002661A8">
        <w:rPr>
          <w:rFonts w:ascii="Times New Roman" w:eastAsia="Times New Roman" w:hAnsi="Times New Roman" w:cs="Times New Roman"/>
          <w:noProof/>
          <w:sz w:val="24"/>
          <w:szCs w:val="24"/>
          <w:lang w:eastAsia="en-GB"/>
        </w:rPr>
        <w:t>be co</w:t>
      </w:r>
      <w:r w:rsidR="00B80F5E" w:rsidRPr="002661A8">
        <w:rPr>
          <w:rFonts w:ascii="Times New Roman" w:eastAsia="Times New Roman" w:hAnsi="Times New Roman" w:cs="Times New Roman"/>
          <w:noProof/>
          <w:sz w:val="24"/>
          <w:szCs w:val="24"/>
          <w:lang w:eastAsia="en-GB"/>
        </w:rPr>
        <w:t>herent</w:t>
      </w:r>
      <w:r w:rsidRPr="002661A8">
        <w:rPr>
          <w:rFonts w:ascii="Times New Roman" w:eastAsia="Times New Roman" w:hAnsi="Times New Roman" w:cs="Times New Roman"/>
          <w:noProof/>
          <w:sz w:val="24"/>
          <w:szCs w:val="24"/>
          <w:lang w:eastAsia="en-GB"/>
        </w:rPr>
        <w:t xml:space="preserve"> as it would enhance the CMU and </w:t>
      </w:r>
      <w:r w:rsidR="005E2F69" w:rsidRPr="002661A8">
        <w:rPr>
          <w:rFonts w:ascii="Times New Roman" w:eastAsia="Times New Roman" w:hAnsi="Times New Roman" w:cs="Times New Roman"/>
          <w:noProof/>
          <w:sz w:val="24"/>
          <w:szCs w:val="24"/>
          <w:lang w:eastAsia="en-GB"/>
        </w:rPr>
        <w:t>be aligned with Commission aims to safeguard financial stability and foster digitalisation</w:t>
      </w:r>
      <w:r w:rsidRPr="002661A8">
        <w:rPr>
          <w:rFonts w:ascii="Times New Roman" w:eastAsia="Times New Roman" w:hAnsi="Times New Roman" w:cs="Times New Roman"/>
          <w:noProof/>
          <w:sz w:val="24"/>
          <w:szCs w:val="24"/>
          <w:lang w:eastAsia="en-GB"/>
        </w:rPr>
        <w:t>.</w:t>
      </w:r>
      <w:r w:rsidR="00475CC5" w:rsidRPr="002661A8">
        <w:rPr>
          <w:rFonts w:ascii="Times New Roman" w:eastAsia="Times New Roman" w:hAnsi="Times New Roman" w:cs="Times New Roman"/>
          <w:noProof/>
          <w:sz w:val="24"/>
          <w:szCs w:val="24"/>
          <w:lang w:eastAsia="en-GB"/>
        </w:rPr>
        <w:t xml:space="preserve"> </w:t>
      </w:r>
      <w:r w:rsidR="00475CC5" w:rsidRPr="002661A8">
        <w:rPr>
          <w:rFonts w:ascii="Times New Roman" w:eastAsia="Times New Roman" w:hAnsi="Times New Roman" w:cs="Times New Roman"/>
          <w:bCs/>
          <w:noProof/>
          <w:sz w:val="24"/>
          <w:szCs w:val="24"/>
          <w:lang w:eastAsia="en-GB"/>
        </w:rPr>
        <w:t>Hence, it is the preferred policy option.</w:t>
      </w:r>
      <w:r w:rsidR="00475CC5" w:rsidRPr="002661A8" w:rsidDel="00475CC5">
        <w:rPr>
          <w:rStyle w:val="CommentReference"/>
          <w:bCs/>
          <w:noProof/>
        </w:rPr>
        <w:t xml:space="preserve"> </w:t>
      </w:r>
    </w:p>
    <w:tbl>
      <w:tblPr>
        <w:tblStyle w:val="TableGrid"/>
        <w:tblW w:w="0" w:type="auto"/>
        <w:jc w:val="center"/>
        <w:tblLook w:val="04A0" w:firstRow="1" w:lastRow="0" w:firstColumn="1" w:lastColumn="0" w:noHBand="0" w:noVBand="1"/>
      </w:tblPr>
      <w:tblGrid>
        <w:gridCol w:w="1526"/>
        <w:gridCol w:w="1305"/>
        <w:gridCol w:w="1083"/>
        <w:gridCol w:w="2213"/>
        <w:gridCol w:w="1415"/>
        <w:gridCol w:w="1101"/>
      </w:tblGrid>
      <w:tr w:rsidR="00533790" w:rsidRPr="002661A8" w14:paraId="172785F3" w14:textId="77777777" w:rsidTr="00934309">
        <w:trPr>
          <w:jc w:val="center"/>
        </w:trPr>
        <w:tc>
          <w:tcPr>
            <w:tcW w:w="1526" w:type="dxa"/>
            <w:vAlign w:val="center"/>
          </w:tcPr>
          <w:p w14:paraId="32722020" w14:textId="77777777" w:rsidR="000923BE" w:rsidRPr="002661A8" w:rsidRDefault="000923BE" w:rsidP="00E82C74">
            <w:pPr>
              <w:tabs>
                <w:tab w:val="left" w:pos="2302"/>
              </w:tabs>
              <w:jc w:val="center"/>
              <w:rPr>
                <w:noProof/>
              </w:rPr>
            </w:pPr>
          </w:p>
        </w:tc>
        <w:tc>
          <w:tcPr>
            <w:tcW w:w="4536" w:type="dxa"/>
            <w:gridSpan w:val="3"/>
            <w:vAlign w:val="center"/>
          </w:tcPr>
          <w:p w14:paraId="5F473068" w14:textId="77777777" w:rsidR="000923BE" w:rsidRPr="002661A8" w:rsidRDefault="000923BE" w:rsidP="00E82C74">
            <w:pPr>
              <w:tabs>
                <w:tab w:val="left" w:pos="2302"/>
              </w:tabs>
              <w:jc w:val="center"/>
              <w:rPr>
                <w:noProof/>
              </w:rPr>
            </w:pPr>
            <w:r w:rsidRPr="002661A8">
              <w:rPr>
                <w:noProof/>
              </w:rPr>
              <w:t>Effectiveness</w:t>
            </w:r>
          </w:p>
        </w:tc>
        <w:tc>
          <w:tcPr>
            <w:tcW w:w="1415" w:type="dxa"/>
            <w:vAlign w:val="center"/>
          </w:tcPr>
          <w:p w14:paraId="4918FC3E" w14:textId="437240FA" w:rsidR="000923BE" w:rsidRPr="002661A8" w:rsidRDefault="000923BE" w:rsidP="00E82C74">
            <w:pPr>
              <w:tabs>
                <w:tab w:val="left" w:pos="2302"/>
              </w:tabs>
              <w:jc w:val="center"/>
              <w:rPr>
                <w:noProof/>
              </w:rPr>
            </w:pPr>
            <w:r w:rsidRPr="002661A8">
              <w:rPr>
                <w:noProof/>
              </w:rPr>
              <w:t>Efficiency (cost-effectiveness)</w:t>
            </w:r>
          </w:p>
        </w:tc>
        <w:tc>
          <w:tcPr>
            <w:tcW w:w="1101" w:type="dxa"/>
            <w:vAlign w:val="center"/>
          </w:tcPr>
          <w:p w14:paraId="5E91B708" w14:textId="77777777" w:rsidR="000923BE" w:rsidRPr="002661A8" w:rsidRDefault="000923BE" w:rsidP="00E82C74">
            <w:pPr>
              <w:tabs>
                <w:tab w:val="left" w:pos="2302"/>
              </w:tabs>
              <w:jc w:val="center"/>
              <w:rPr>
                <w:noProof/>
              </w:rPr>
            </w:pPr>
            <w:r w:rsidRPr="002661A8">
              <w:rPr>
                <w:noProof/>
              </w:rPr>
              <w:t>Coherence</w:t>
            </w:r>
          </w:p>
        </w:tc>
      </w:tr>
      <w:tr w:rsidR="004B06AD" w:rsidRPr="002661A8" w14:paraId="601A0AEB" w14:textId="77777777" w:rsidTr="00934309">
        <w:trPr>
          <w:jc w:val="center"/>
        </w:trPr>
        <w:tc>
          <w:tcPr>
            <w:tcW w:w="1526" w:type="dxa"/>
          </w:tcPr>
          <w:p w14:paraId="624A7F29" w14:textId="77777777" w:rsidR="000923BE" w:rsidRPr="002661A8" w:rsidRDefault="000923BE" w:rsidP="00E82C74">
            <w:pPr>
              <w:tabs>
                <w:tab w:val="left" w:pos="2302"/>
              </w:tabs>
              <w:jc w:val="center"/>
              <w:rPr>
                <w:noProof/>
              </w:rPr>
            </w:pPr>
          </w:p>
        </w:tc>
        <w:tc>
          <w:tcPr>
            <w:tcW w:w="1240" w:type="dxa"/>
          </w:tcPr>
          <w:p w14:paraId="5EFD3776" w14:textId="43EE73B1" w:rsidR="000923BE" w:rsidRPr="002661A8" w:rsidRDefault="000923BE" w:rsidP="00E82C74">
            <w:pPr>
              <w:tabs>
                <w:tab w:val="left" w:pos="2302"/>
              </w:tabs>
              <w:jc w:val="center"/>
              <w:rPr>
                <w:noProof/>
              </w:rPr>
            </w:pPr>
            <w:r w:rsidRPr="002661A8">
              <w:rPr>
                <w:noProof/>
              </w:rPr>
              <w:t xml:space="preserve">Improve the </w:t>
            </w:r>
            <w:r w:rsidR="00FE4BB5" w:rsidRPr="002661A8">
              <w:rPr>
                <w:noProof/>
              </w:rPr>
              <w:t>attractiveness</w:t>
            </w:r>
            <w:r w:rsidRPr="002661A8">
              <w:rPr>
                <w:noProof/>
              </w:rPr>
              <w:t xml:space="preserve"> of EU CCPs</w:t>
            </w:r>
          </w:p>
        </w:tc>
        <w:tc>
          <w:tcPr>
            <w:tcW w:w="1083" w:type="dxa"/>
          </w:tcPr>
          <w:p w14:paraId="33459577" w14:textId="6F6CC205" w:rsidR="000923BE" w:rsidRPr="002661A8" w:rsidRDefault="000923BE" w:rsidP="00E82C74">
            <w:pPr>
              <w:tabs>
                <w:tab w:val="left" w:pos="2302"/>
              </w:tabs>
              <w:jc w:val="center"/>
              <w:rPr>
                <w:noProof/>
              </w:rPr>
            </w:pPr>
            <w:r w:rsidRPr="002661A8">
              <w:rPr>
                <w:noProof/>
              </w:rPr>
              <w:t>Encourage clearing in EU CCPs</w:t>
            </w:r>
          </w:p>
        </w:tc>
        <w:tc>
          <w:tcPr>
            <w:tcW w:w="2213" w:type="dxa"/>
          </w:tcPr>
          <w:p w14:paraId="0F83C9C7" w14:textId="27ACFDA4" w:rsidR="000923BE" w:rsidRPr="002661A8" w:rsidRDefault="008A60F0" w:rsidP="00E82C74">
            <w:pPr>
              <w:tabs>
                <w:tab w:val="left" w:pos="2302"/>
              </w:tabs>
              <w:jc w:val="center"/>
              <w:rPr>
                <w:noProof/>
              </w:rPr>
            </w:pPr>
            <w:r w:rsidRPr="002661A8">
              <w:rPr>
                <w:noProof/>
              </w:rPr>
              <w:t>Enhance the assessment and management of cross-border risks</w:t>
            </w:r>
          </w:p>
        </w:tc>
        <w:tc>
          <w:tcPr>
            <w:tcW w:w="1415" w:type="dxa"/>
          </w:tcPr>
          <w:p w14:paraId="4DE09F13" w14:textId="77777777" w:rsidR="000923BE" w:rsidRPr="002661A8" w:rsidRDefault="000923BE" w:rsidP="00E82C74">
            <w:pPr>
              <w:tabs>
                <w:tab w:val="left" w:pos="2302"/>
              </w:tabs>
              <w:jc w:val="center"/>
              <w:rPr>
                <w:noProof/>
              </w:rPr>
            </w:pPr>
          </w:p>
        </w:tc>
        <w:tc>
          <w:tcPr>
            <w:tcW w:w="1101" w:type="dxa"/>
          </w:tcPr>
          <w:p w14:paraId="3D437631" w14:textId="77777777" w:rsidR="000923BE" w:rsidRPr="002661A8" w:rsidRDefault="000923BE" w:rsidP="00E82C74">
            <w:pPr>
              <w:tabs>
                <w:tab w:val="left" w:pos="2302"/>
              </w:tabs>
              <w:jc w:val="center"/>
              <w:rPr>
                <w:noProof/>
              </w:rPr>
            </w:pPr>
          </w:p>
        </w:tc>
      </w:tr>
      <w:tr w:rsidR="004B06AD" w:rsidRPr="002661A8" w14:paraId="7ECE782F" w14:textId="77777777" w:rsidTr="00934309">
        <w:trPr>
          <w:jc w:val="center"/>
        </w:trPr>
        <w:tc>
          <w:tcPr>
            <w:tcW w:w="1526" w:type="dxa"/>
            <w:tcBorders>
              <w:top w:val="single" w:sz="4" w:space="0" w:color="auto"/>
              <w:left w:val="single" w:sz="4" w:space="0" w:color="auto"/>
              <w:bottom w:val="single" w:sz="4" w:space="0" w:color="auto"/>
              <w:right w:val="single" w:sz="4" w:space="0" w:color="auto"/>
            </w:tcBorders>
            <w:vAlign w:val="center"/>
          </w:tcPr>
          <w:p w14:paraId="28CE2D0B" w14:textId="7141221E" w:rsidR="000923BE" w:rsidRPr="002661A8" w:rsidRDefault="000923BE" w:rsidP="00E82C74">
            <w:pPr>
              <w:tabs>
                <w:tab w:val="left" w:pos="2302"/>
              </w:tabs>
              <w:jc w:val="center"/>
              <w:rPr>
                <w:noProof/>
              </w:rPr>
            </w:pPr>
            <w:r w:rsidRPr="002661A8">
              <w:rPr>
                <w:noProof/>
              </w:rPr>
              <w:t xml:space="preserve">Option </w:t>
            </w:r>
            <w:r w:rsidR="00A8027C">
              <w:rPr>
                <w:noProof/>
              </w:rPr>
              <w:t>A2</w:t>
            </w:r>
          </w:p>
        </w:tc>
        <w:tc>
          <w:tcPr>
            <w:tcW w:w="1240" w:type="dxa"/>
            <w:tcBorders>
              <w:top w:val="single" w:sz="4" w:space="0" w:color="auto"/>
              <w:left w:val="single" w:sz="4" w:space="0" w:color="auto"/>
              <w:bottom w:val="single" w:sz="4" w:space="0" w:color="auto"/>
              <w:right w:val="single" w:sz="4" w:space="0" w:color="auto"/>
            </w:tcBorders>
            <w:vAlign w:val="center"/>
          </w:tcPr>
          <w:p w14:paraId="08A2D997" w14:textId="77777777" w:rsidR="000923BE" w:rsidRPr="002661A8" w:rsidRDefault="000923BE" w:rsidP="00E82C74">
            <w:pPr>
              <w:tabs>
                <w:tab w:val="left" w:pos="2302"/>
              </w:tabs>
              <w:jc w:val="center"/>
              <w:rPr>
                <w:noProof/>
              </w:rPr>
            </w:pPr>
            <w:r w:rsidRPr="002661A8">
              <w:rPr>
                <w:noProof/>
              </w:rPr>
              <w:t>++</w:t>
            </w:r>
          </w:p>
        </w:tc>
        <w:tc>
          <w:tcPr>
            <w:tcW w:w="1083" w:type="dxa"/>
            <w:tcBorders>
              <w:top w:val="single" w:sz="4" w:space="0" w:color="auto"/>
              <w:left w:val="single" w:sz="4" w:space="0" w:color="auto"/>
              <w:bottom w:val="single" w:sz="4" w:space="0" w:color="auto"/>
              <w:right w:val="single" w:sz="4" w:space="0" w:color="auto"/>
            </w:tcBorders>
            <w:vAlign w:val="center"/>
          </w:tcPr>
          <w:p w14:paraId="6A821A1E" w14:textId="328B4722" w:rsidR="000923BE" w:rsidRPr="002661A8" w:rsidRDefault="000923BE" w:rsidP="00E82C74">
            <w:pPr>
              <w:tabs>
                <w:tab w:val="left" w:pos="2302"/>
              </w:tabs>
              <w:jc w:val="center"/>
              <w:rPr>
                <w:noProof/>
              </w:rPr>
            </w:pPr>
            <w:r w:rsidRPr="002661A8">
              <w:rPr>
                <w:noProof/>
              </w:rPr>
              <w:t>+</w:t>
            </w:r>
          </w:p>
        </w:tc>
        <w:tc>
          <w:tcPr>
            <w:tcW w:w="2213" w:type="dxa"/>
            <w:tcBorders>
              <w:top w:val="single" w:sz="4" w:space="0" w:color="auto"/>
              <w:left w:val="single" w:sz="4" w:space="0" w:color="auto"/>
              <w:bottom w:val="single" w:sz="4" w:space="0" w:color="auto"/>
              <w:right w:val="single" w:sz="4" w:space="0" w:color="auto"/>
            </w:tcBorders>
            <w:vAlign w:val="center"/>
          </w:tcPr>
          <w:p w14:paraId="1C30EDCE" w14:textId="36D07FF2" w:rsidR="000923BE" w:rsidRPr="002661A8" w:rsidRDefault="000923BE" w:rsidP="00E82C74">
            <w:pPr>
              <w:tabs>
                <w:tab w:val="left" w:pos="2302"/>
              </w:tabs>
              <w:jc w:val="center"/>
              <w:rPr>
                <w:noProof/>
              </w:rPr>
            </w:pPr>
            <w:r w:rsidRPr="002661A8">
              <w:rPr>
                <w:noProof/>
              </w:rPr>
              <w:t>+</w:t>
            </w:r>
          </w:p>
        </w:tc>
        <w:tc>
          <w:tcPr>
            <w:tcW w:w="1415" w:type="dxa"/>
            <w:tcBorders>
              <w:top w:val="single" w:sz="4" w:space="0" w:color="auto"/>
              <w:left w:val="single" w:sz="4" w:space="0" w:color="auto"/>
              <w:bottom w:val="single" w:sz="4" w:space="0" w:color="auto"/>
              <w:right w:val="single" w:sz="4" w:space="0" w:color="auto"/>
            </w:tcBorders>
            <w:vAlign w:val="center"/>
          </w:tcPr>
          <w:p w14:paraId="1C1FC9CF" w14:textId="74E91B48" w:rsidR="000923BE" w:rsidRPr="002661A8" w:rsidRDefault="00DA7B6B" w:rsidP="00E82C74">
            <w:pPr>
              <w:tabs>
                <w:tab w:val="left" w:pos="2302"/>
              </w:tabs>
              <w:jc w:val="center"/>
              <w:rPr>
                <w:noProof/>
              </w:rPr>
            </w:pPr>
            <w:r w:rsidRPr="002661A8">
              <w:rPr>
                <w:noProof/>
              </w:rPr>
              <w:t>++</w:t>
            </w:r>
          </w:p>
        </w:tc>
        <w:tc>
          <w:tcPr>
            <w:tcW w:w="1101" w:type="dxa"/>
            <w:tcBorders>
              <w:top w:val="single" w:sz="4" w:space="0" w:color="auto"/>
              <w:left w:val="single" w:sz="4" w:space="0" w:color="auto"/>
              <w:bottom w:val="single" w:sz="4" w:space="0" w:color="auto"/>
              <w:right w:val="single" w:sz="4" w:space="0" w:color="auto"/>
            </w:tcBorders>
            <w:vAlign w:val="center"/>
          </w:tcPr>
          <w:p w14:paraId="0A8DD91A" w14:textId="77777777" w:rsidR="000923BE" w:rsidRPr="002661A8" w:rsidRDefault="000923BE" w:rsidP="00E82C74">
            <w:pPr>
              <w:tabs>
                <w:tab w:val="left" w:pos="2302"/>
              </w:tabs>
              <w:jc w:val="center"/>
              <w:rPr>
                <w:noProof/>
              </w:rPr>
            </w:pPr>
            <w:r w:rsidRPr="002661A8">
              <w:rPr>
                <w:noProof/>
              </w:rPr>
              <w:t>++</w:t>
            </w:r>
          </w:p>
        </w:tc>
      </w:tr>
      <w:tr w:rsidR="002473C6" w:rsidRPr="002661A8" w14:paraId="312D8A8C" w14:textId="77777777" w:rsidTr="00934309">
        <w:trPr>
          <w:jc w:val="center"/>
        </w:trPr>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E596B0" w14:textId="11D60C59" w:rsidR="000923BE" w:rsidRPr="002661A8" w:rsidRDefault="000923BE" w:rsidP="00E82C74">
            <w:pPr>
              <w:tabs>
                <w:tab w:val="left" w:pos="2302"/>
              </w:tabs>
              <w:jc w:val="center"/>
              <w:rPr>
                <w:noProof/>
              </w:rPr>
            </w:pPr>
            <w:r w:rsidRPr="002661A8">
              <w:rPr>
                <w:noProof/>
              </w:rPr>
              <w:t xml:space="preserve">Option </w:t>
            </w:r>
            <w:r w:rsidR="00A8027C">
              <w:rPr>
                <w:noProof/>
              </w:rPr>
              <w:t>A</w:t>
            </w:r>
            <w:r w:rsidRPr="002661A8">
              <w:rPr>
                <w:noProof/>
              </w:rPr>
              <w:t>3</w:t>
            </w:r>
          </w:p>
        </w:tc>
        <w:tc>
          <w:tcPr>
            <w:tcW w:w="12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D2C244" w14:textId="4D8AADA6" w:rsidR="000923BE" w:rsidRPr="002661A8" w:rsidRDefault="000923BE" w:rsidP="00E82C74">
            <w:pPr>
              <w:tabs>
                <w:tab w:val="left" w:pos="2302"/>
              </w:tabs>
              <w:jc w:val="center"/>
              <w:rPr>
                <w:noProof/>
              </w:rPr>
            </w:pPr>
            <w:r w:rsidRPr="002661A8">
              <w:rPr>
                <w:noProof/>
              </w:rPr>
              <w:t>++</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38CDD" w14:textId="2434B2ED" w:rsidR="000923BE" w:rsidRPr="002661A8" w:rsidRDefault="000923BE" w:rsidP="00E82C74">
            <w:pPr>
              <w:tabs>
                <w:tab w:val="left" w:pos="2302"/>
              </w:tabs>
              <w:jc w:val="center"/>
              <w:rPr>
                <w:noProof/>
              </w:rPr>
            </w:pPr>
            <w:r w:rsidRPr="002661A8">
              <w:rPr>
                <w:noProof/>
              </w:rPr>
              <w:t>+</w:t>
            </w:r>
          </w:p>
        </w:tc>
        <w:tc>
          <w:tcPr>
            <w:tcW w:w="22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FABF7" w14:textId="363C64A6" w:rsidR="000923BE" w:rsidRPr="002661A8" w:rsidRDefault="006D78A1" w:rsidP="00E82C74">
            <w:pPr>
              <w:tabs>
                <w:tab w:val="left" w:pos="2302"/>
              </w:tabs>
              <w:jc w:val="center"/>
              <w:rPr>
                <w:noProof/>
              </w:rPr>
            </w:pPr>
            <w:r w:rsidRPr="002661A8">
              <w:rPr>
                <w:noProof/>
              </w:rPr>
              <w:t>+</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4E69E" w14:textId="1D17F03A" w:rsidR="000923BE" w:rsidRPr="002661A8" w:rsidRDefault="00DA7B6B" w:rsidP="00E82C74">
            <w:pPr>
              <w:tabs>
                <w:tab w:val="left" w:pos="2302"/>
              </w:tabs>
              <w:jc w:val="center"/>
              <w:rPr>
                <w:noProof/>
              </w:rPr>
            </w:pPr>
            <w:r w:rsidRPr="002661A8">
              <w:rPr>
                <w:noProof/>
              </w:rPr>
              <w:t>++</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0049B" w14:textId="3B5803DF" w:rsidR="000923BE" w:rsidRPr="002661A8" w:rsidRDefault="009D7E55" w:rsidP="00E82C74">
            <w:pPr>
              <w:tabs>
                <w:tab w:val="left" w:pos="2302"/>
              </w:tabs>
              <w:jc w:val="center"/>
              <w:rPr>
                <w:noProof/>
              </w:rPr>
            </w:pPr>
            <w:r w:rsidRPr="002661A8">
              <w:rPr>
                <w:noProof/>
              </w:rPr>
              <w:t>++</w:t>
            </w:r>
          </w:p>
        </w:tc>
      </w:tr>
      <w:tr w:rsidR="002473C6" w:rsidRPr="002661A8" w14:paraId="7AA5B00F" w14:textId="77777777" w:rsidTr="00934309">
        <w:trPr>
          <w:jc w:val="center"/>
        </w:trPr>
        <w:tc>
          <w:tcPr>
            <w:tcW w:w="1526" w:type="dxa"/>
            <w:tcBorders>
              <w:top w:val="single" w:sz="4" w:space="0" w:color="auto"/>
              <w:left w:val="single" w:sz="4" w:space="0" w:color="auto"/>
              <w:bottom w:val="single" w:sz="4" w:space="0" w:color="auto"/>
              <w:right w:val="single" w:sz="4" w:space="0" w:color="auto"/>
            </w:tcBorders>
            <w:shd w:val="clear" w:color="auto" w:fill="00B050"/>
            <w:vAlign w:val="center"/>
          </w:tcPr>
          <w:p w14:paraId="3B28E757" w14:textId="475ED3A7" w:rsidR="000923BE" w:rsidRPr="002661A8" w:rsidRDefault="000923BE" w:rsidP="00E82C74">
            <w:pPr>
              <w:tabs>
                <w:tab w:val="left" w:pos="2302"/>
              </w:tabs>
              <w:jc w:val="center"/>
              <w:rPr>
                <w:noProof/>
              </w:rPr>
            </w:pPr>
            <w:r w:rsidRPr="002661A8">
              <w:rPr>
                <w:noProof/>
              </w:rPr>
              <w:t xml:space="preserve">Option </w:t>
            </w:r>
            <w:r w:rsidR="00A8027C">
              <w:rPr>
                <w:noProof/>
              </w:rPr>
              <w:t>A</w:t>
            </w:r>
            <w:r w:rsidRPr="002661A8">
              <w:rPr>
                <w:noProof/>
              </w:rPr>
              <w:t>4</w:t>
            </w:r>
          </w:p>
        </w:tc>
        <w:tc>
          <w:tcPr>
            <w:tcW w:w="1240" w:type="dxa"/>
            <w:tcBorders>
              <w:top w:val="single" w:sz="4" w:space="0" w:color="auto"/>
              <w:left w:val="single" w:sz="4" w:space="0" w:color="auto"/>
              <w:bottom w:val="single" w:sz="4" w:space="0" w:color="auto"/>
              <w:right w:val="single" w:sz="4" w:space="0" w:color="auto"/>
            </w:tcBorders>
            <w:shd w:val="clear" w:color="auto" w:fill="00B050"/>
            <w:vAlign w:val="center"/>
          </w:tcPr>
          <w:p w14:paraId="2B3FBD36" w14:textId="77777777" w:rsidR="000923BE" w:rsidRPr="002661A8" w:rsidRDefault="000923BE" w:rsidP="00E82C74">
            <w:pPr>
              <w:tabs>
                <w:tab w:val="left" w:pos="2302"/>
              </w:tabs>
              <w:jc w:val="center"/>
              <w:rPr>
                <w:noProof/>
              </w:rPr>
            </w:pPr>
            <w:r w:rsidRPr="002661A8">
              <w:rPr>
                <w:noProof/>
              </w:rPr>
              <w:t>+++</w:t>
            </w:r>
          </w:p>
        </w:tc>
        <w:tc>
          <w:tcPr>
            <w:tcW w:w="1083" w:type="dxa"/>
            <w:tcBorders>
              <w:top w:val="single" w:sz="4" w:space="0" w:color="auto"/>
              <w:left w:val="single" w:sz="4" w:space="0" w:color="auto"/>
              <w:bottom w:val="single" w:sz="4" w:space="0" w:color="auto"/>
              <w:right w:val="single" w:sz="4" w:space="0" w:color="auto"/>
            </w:tcBorders>
            <w:shd w:val="clear" w:color="auto" w:fill="00B050"/>
            <w:vAlign w:val="center"/>
          </w:tcPr>
          <w:p w14:paraId="474A9AD5" w14:textId="77777777" w:rsidR="000923BE" w:rsidRPr="002661A8" w:rsidRDefault="000923BE" w:rsidP="00E82C74">
            <w:pPr>
              <w:tabs>
                <w:tab w:val="left" w:pos="2302"/>
              </w:tabs>
              <w:jc w:val="center"/>
              <w:rPr>
                <w:noProof/>
              </w:rPr>
            </w:pPr>
            <w:r w:rsidRPr="002661A8">
              <w:rPr>
                <w:noProof/>
              </w:rPr>
              <w:t>++</w:t>
            </w:r>
          </w:p>
        </w:tc>
        <w:tc>
          <w:tcPr>
            <w:tcW w:w="2213" w:type="dxa"/>
            <w:tcBorders>
              <w:top w:val="single" w:sz="4" w:space="0" w:color="auto"/>
              <w:left w:val="single" w:sz="4" w:space="0" w:color="auto"/>
              <w:bottom w:val="single" w:sz="4" w:space="0" w:color="auto"/>
              <w:right w:val="single" w:sz="4" w:space="0" w:color="auto"/>
            </w:tcBorders>
            <w:shd w:val="clear" w:color="auto" w:fill="00B050"/>
            <w:vAlign w:val="center"/>
          </w:tcPr>
          <w:p w14:paraId="1422AB88" w14:textId="77777777" w:rsidR="000923BE" w:rsidRPr="002661A8" w:rsidRDefault="000923BE" w:rsidP="00E82C74">
            <w:pPr>
              <w:tabs>
                <w:tab w:val="left" w:pos="2302"/>
              </w:tabs>
              <w:jc w:val="center"/>
              <w:rPr>
                <w:noProof/>
              </w:rPr>
            </w:pPr>
            <w:r w:rsidRPr="002661A8">
              <w:rPr>
                <w:noProof/>
              </w:rPr>
              <w:t>+</w:t>
            </w:r>
          </w:p>
        </w:tc>
        <w:tc>
          <w:tcPr>
            <w:tcW w:w="1415" w:type="dxa"/>
            <w:tcBorders>
              <w:top w:val="single" w:sz="4" w:space="0" w:color="auto"/>
              <w:left w:val="single" w:sz="4" w:space="0" w:color="auto"/>
              <w:bottom w:val="single" w:sz="4" w:space="0" w:color="auto"/>
              <w:right w:val="single" w:sz="4" w:space="0" w:color="auto"/>
            </w:tcBorders>
            <w:shd w:val="clear" w:color="auto" w:fill="00B050"/>
            <w:vAlign w:val="center"/>
          </w:tcPr>
          <w:p w14:paraId="111B4532" w14:textId="77777777" w:rsidR="000923BE" w:rsidRPr="002661A8" w:rsidRDefault="000923BE" w:rsidP="00E82C74">
            <w:pPr>
              <w:tabs>
                <w:tab w:val="left" w:pos="2302"/>
              </w:tabs>
              <w:jc w:val="center"/>
              <w:rPr>
                <w:noProof/>
              </w:rPr>
            </w:pPr>
            <w:r w:rsidRPr="002661A8">
              <w:rPr>
                <w:noProof/>
              </w:rPr>
              <w:t>+++</w:t>
            </w:r>
          </w:p>
        </w:tc>
        <w:tc>
          <w:tcPr>
            <w:tcW w:w="1101" w:type="dxa"/>
            <w:tcBorders>
              <w:top w:val="single" w:sz="4" w:space="0" w:color="auto"/>
              <w:left w:val="single" w:sz="4" w:space="0" w:color="auto"/>
              <w:bottom w:val="single" w:sz="4" w:space="0" w:color="auto"/>
              <w:right w:val="single" w:sz="4" w:space="0" w:color="auto"/>
            </w:tcBorders>
            <w:shd w:val="clear" w:color="auto" w:fill="00B050"/>
            <w:vAlign w:val="center"/>
          </w:tcPr>
          <w:p w14:paraId="5E3A38E6" w14:textId="49B857C0" w:rsidR="000923BE" w:rsidRPr="002661A8" w:rsidRDefault="000923BE" w:rsidP="00E82C74">
            <w:pPr>
              <w:tabs>
                <w:tab w:val="left" w:pos="2302"/>
              </w:tabs>
              <w:jc w:val="center"/>
              <w:rPr>
                <w:noProof/>
              </w:rPr>
            </w:pPr>
            <w:r w:rsidRPr="002661A8">
              <w:rPr>
                <w:noProof/>
              </w:rPr>
              <w:t>++</w:t>
            </w:r>
          </w:p>
        </w:tc>
      </w:tr>
    </w:tbl>
    <w:p w14:paraId="41602DDA" w14:textId="77777777" w:rsidR="000923BE" w:rsidRPr="002661A8" w:rsidRDefault="000923BE" w:rsidP="007A546F">
      <w:pPr>
        <w:spacing w:after="0" w:line="240" w:lineRule="auto"/>
        <w:jc w:val="both"/>
        <w:rPr>
          <w:rFonts w:ascii="Times New Roman" w:eastAsia="Calibri" w:hAnsi="Times New Roman" w:cs="Times New Roman"/>
          <w:noProof/>
          <w:sz w:val="12"/>
          <w:szCs w:val="12"/>
        </w:rPr>
      </w:pPr>
    </w:p>
    <w:tbl>
      <w:tblPr>
        <w:tblStyle w:val="TableGrid"/>
        <w:tblW w:w="0" w:type="auto"/>
        <w:jc w:val="center"/>
        <w:tblLook w:val="04A0" w:firstRow="1" w:lastRow="0" w:firstColumn="1" w:lastColumn="0" w:noHBand="0" w:noVBand="1"/>
      </w:tblPr>
      <w:tblGrid>
        <w:gridCol w:w="1759"/>
        <w:gridCol w:w="1429"/>
        <w:gridCol w:w="2028"/>
        <w:gridCol w:w="1646"/>
        <w:gridCol w:w="1972"/>
      </w:tblGrid>
      <w:tr w:rsidR="000923BE" w:rsidRPr="002661A8" w14:paraId="7C0C86E2" w14:textId="77777777" w:rsidTr="001F3FA6">
        <w:trPr>
          <w:jc w:val="center"/>
        </w:trPr>
        <w:tc>
          <w:tcPr>
            <w:tcW w:w="1759" w:type="dxa"/>
            <w:tcBorders>
              <w:top w:val="single" w:sz="4" w:space="0" w:color="auto"/>
              <w:left w:val="single" w:sz="4" w:space="0" w:color="auto"/>
              <w:bottom w:val="single" w:sz="4" w:space="0" w:color="auto"/>
              <w:right w:val="single" w:sz="4" w:space="0" w:color="auto"/>
            </w:tcBorders>
            <w:vAlign w:val="center"/>
          </w:tcPr>
          <w:p w14:paraId="21CBEE85" w14:textId="77777777" w:rsidR="000923BE" w:rsidRPr="002661A8" w:rsidRDefault="000923BE" w:rsidP="007A546F">
            <w:pPr>
              <w:jc w:val="center"/>
              <w:rPr>
                <w:noProof/>
              </w:rPr>
            </w:pPr>
          </w:p>
        </w:tc>
        <w:tc>
          <w:tcPr>
            <w:tcW w:w="7075" w:type="dxa"/>
            <w:gridSpan w:val="4"/>
            <w:tcBorders>
              <w:top w:val="single" w:sz="4" w:space="0" w:color="auto"/>
              <w:left w:val="single" w:sz="4" w:space="0" w:color="auto"/>
              <w:bottom w:val="single" w:sz="4" w:space="0" w:color="auto"/>
              <w:right w:val="single" w:sz="4" w:space="0" w:color="auto"/>
            </w:tcBorders>
          </w:tcPr>
          <w:p w14:paraId="278A347E" w14:textId="77777777" w:rsidR="000923BE" w:rsidRPr="002661A8" w:rsidRDefault="000923BE" w:rsidP="007A546F">
            <w:pPr>
              <w:jc w:val="center"/>
              <w:rPr>
                <w:noProof/>
              </w:rPr>
            </w:pPr>
            <w:r w:rsidRPr="002661A8">
              <w:rPr>
                <w:noProof/>
              </w:rPr>
              <w:t>Summary of winners and losers</w:t>
            </w:r>
          </w:p>
        </w:tc>
      </w:tr>
      <w:tr w:rsidR="00533790" w:rsidRPr="002661A8" w14:paraId="6A8F7B9B" w14:textId="77777777" w:rsidTr="001F3FA6">
        <w:trPr>
          <w:jc w:val="center"/>
        </w:trPr>
        <w:tc>
          <w:tcPr>
            <w:tcW w:w="1759" w:type="dxa"/>
            <w:tcBorders>
              <w:top w:val="single" w:sz="4" w:space="0" w:color="auto"/>
              <w:left w:val="single" w:sz="4" w:space="0" w:color="auto"/>
              <w:bottom w:val="single" w:sz="4" w:space="0" w:color="auto"/>
              <w:right w:val="single" w:sz="4" w:space="0" w:color="auto"/>
            </w:tcBorders>
            <w:vAlign w:val="center"/>
          </w:tcPr>
          <w:p w14:paraId="079F8663" w14:textId="77777777" w:rsidR="000923BE" w:rsidRPr="002661A8" w:rsidRDefault="000923BE" w:rsidP="007A546F">
            <w:pPr>
              <w:jc w:val="center"/>
              <w:rPr>
                <w:noProof/>
              </w:rPr>
            </w:pPr>
          </w:p>
        </w:tc>
        <w:tc>
          <w:tcPr>
            <w:tcW w:w="1429" w:type="dxa"/>
            <w:tcBorders>
              <w:top w:val="single" w:sz="4" w:space="0" w:color="auto"/>
              <w:left w:val="single" w:sz="4" w:space="0" w:color="auto"/>
              <w:bottom w:val="single" w:sz="4" w:space="0" w:color="auto"/>
              <w:right w:val="single" w:sz="4" w:space="0" w:color="auto"/>
            </w:tcBorders>
            <w:vAlign w:val="center"/>
            <w:hideMark/>
          </w:tcPr>
          <w:p w14:paraId="0DF3483A" w14:textId="400B4DB2" w:rsidR="000923BE" w:rsidRPr="002661A8" w:rsidRDefault="000923BE" w:rsidP="007A546F">
            <w:pPr>
              <w:jc w:val="center"/>
              <w:rPr>
                <w:noProof/>
              </w:rPr>
            </w:pPr>
            <w:r w:rsidRPr="002661A8">
              <w:rPr>
                <w:noProof/>
              </w:rPr>
              <w:t>CCPs</w:t>
            </w:r>
          </w:p>
        </w:tc>
        <w:tc>
          <w:tcPr>
            <w:tcW w:w="2028" w:type="dxa"/>
            <w:tcBorders>
              <w:top w:val="single" w:sz="4" w:space="0" w:color="auto"/>
              <w:left w:val="single" w:sz="4" w:space="0" w:color="auto"/>
              <w:bottom w:val="single" w:sz="4" w:space="0" w:color="auto"/>
              <w:right w:val="single" w:sz="4" w:space="0" w:color="auto"/>
            </w:tcBorders>
            <w:vAlign w:val="center"/>
            <w:hideMark/>
          </w:tcPr>
          <w:p w14:paraId="49269EC1" w14:textId="77777777" w:rsidR="000923BE" w:rsidRPr="002661A8" w:rsidRDefault="000923BE" w:rsidP="007A546F">
            <w:pPr>
              <w:jc w:val="center"/>
              <w:rPr>
                <w:noProof/>
              </w:rPr>
            </w:pPr>
            <w:r w:rsidRPr="002661A8">
              <w:rPr>
                <w:noProof/>
              </w:rPr>
              <w:t>Clearing Members</w:t>
            </w:r>
          </w:p>
        </w:tc>
        <w:tc>
          <w:tcPr>
            <w:tcW w:w="1646" w:type="dxa"/>
            <w:tcBorders>
              <w:top w:val="single" w:sz="4" w:space="0" w:color="auto"/>
              <w:left w:val="single" w:sz="4" w:space="0" w:color="auto"/>
              <w:bottom w:val="single" w:sz="4" w:space="0" w:color="auto"/>
              <w:right w:val="single" w:sz="4" w:space="0" w:color="auto"/>
            </w:tcBorders>
            <w:vAlign w:val="center"/>
          </w:tcPr>
          <w:p w14:paraId="69A5291A" w14:textId="77777777" w:rsidR="000923BE" w:rsidRPr="002661A8" w:rsidRDefault="000923BE" w:rsidP="007A546F">
            <w:pPr>
              <w:jc w:val="center"/>
              <w:rPr>
                <w:noProof/>
              </w:rPr>
            </w:pPr>
            <w:r w:rsidRPr="002661A8">
              <w:rPr>
                <w:noProof/>
              </w:rPr>
              <w:t>Clients</w:t>
            </w:r>
          </w:p>
        </w:tc>
        <w:tc>
          <w:tcPr>
            <w:tcW w:w="1972" w:type="dxa"/>
            <w:tcBorders>
              <w:top w:val="single" w:sz="4" w:space="0" w:color="auto"/>
              <w:left w:val="single" w:sz="4" w:space="0" w:color="auto"/>
              <w:bottom w:val="single" w:sz="4" w:space="0" w:color="auto"/>
              <w:right w:val="single" w:sz="4" w:space="0" w:color="auto"/>
            </w:tcBorders>
            <w:vAlign w:val="center"/>
            <w:hideMark/>
          </w:tcPr>
          <w:p w14:paraId="0026C63B" w14:textId="77777777" w:rsidR="000923BE" w:rsidRPr="002661A8" w:rsidRDefault="000923BE" w:rsidP="007A546F">
            <w:pPr>
              <w:jc w:val="center"/>
              <w:rPr>
                <w:noProof/>
              </w:rPr>
            </w:pPr>
            <w:r w:rsidRPr="002661A8">
              <w:rPr>
                <w:noProof/>
              </w:rPr>
              <w:t>Supervisory authorities</w:t>
            </w:r>
          </w:p>
        </w:tc>
      </w:tr>
      <w:tr w:rsidR="00533790" w:rsidRPr="002661A8" w14:paraId="1627A0F9" w14:textId="77777777" w:rsidTr="001F3FA6">
        <w:trPr>
          <w:jc w:val="center"/>
        </w:trPr>
        <w:tc>
          <w:tcPr>
            <w:tcW w:w="1759" w:type="dxa"/>
            <w:tcBorders>
              <w:top w:val="single" w:sz="4" w:space="0" w:color="auto"/>
              <w:left w:val="single" w:sz="4" w:space="0" w:color="auto"/>
              <w:bottom w:val="single" w:sz="4" w:space="0" w:color="auto"/>
              <w:right w:val="single" w:sz="4" w:space="0" w:color="auto"/>
            </w:tcBorders>
            <w:vAlign w:val="center"/>
            <w:hideMark/>
          </w:tcPr>
          <w:p w14:paraId="7E6B7EC9" w14:textId="61854E3D" w:rsidR="000923BE" w:rsidRPr="002661A8" w:rsidRDefault="000923BE" w:rsidP="007A546F">
            <w:pPr>
              <w:jc w:val="center"/>
              <w:rPr>
                <w:noProof/>
              </w:rPr>
            </w:pPr>
            <w:r w:rsidRPr="002661A8">
              <w:rPr>
                <w:noProof/>
              </w:rPr>
              <w:t xml:space="preserve">Option </w:t>
            </w:r>
            <w:r w:rsidR="00A8027C">
              <w:rPr>
                <w:noProof/>
              </w:rPr>
              <w:t>A</w:t>
            </w:r>
            <w:r w:rsidRPr="002661A8">
              <w:rPr>
                <w:noProof/>
              </w:rPr>
              <w:t>2</w:t>
            </w:r>
          </w:p>
        </w:tc>
        <w:tc>
          <w:tcPr>
            <w:tcW w:w="1429" w:type="dxa"/>
            <w:tcBorders>
              <w:top w:val="single" w:sz="4" w:space="0" w:color="auto"/>
              <w:left w:val="single" w:sz="4" w:space="0" w:color="auto"/>
              <w:bottom w:val="single" w:sz="4" w:space="0" w:color="auto"/>
              <w:right w:val="single" w:sz="4" w:space="0" w:color="auto"/>
            </w:tcBorders>
          </w:tcPr>
          <w:p w14:paraId="7CEBD555" w14:textId="2ACEE745" w:rsidR="000923BE" w:rsidRPr="002661A8" w:rsidRDefault="00C333AB" w:rsidP="007A546F">
            <w:pPr>
              <w:jc w:val="center"/>
              <w:rPr>
                <w:noProof/>
              </w:rPr>
            </w:pPr>
            <w:r w:rsidRPr="002661A8">
              <w:rPr>
                <w:noProof/>
              </w:rPr>
              <w:t>++</w:t>
            </w:r>
          </w:p>
        </w:tc>
        <w:tc>
          <w:tcPr>
            <w:tcW w:w="2028" w:type="dxa"/>
            <w:tcBorders>
              <w:top w:val="single" w:sz="4" w:space="0" w:color="auto"/>
              <w:left w:val="single" w:sz="4" w:space="0" w:color="auto"/>
              <w:bottom w:val="single" w:sz="4" w:space="0" w:color="auto"/>
              <w:right w:val="single" w:sz="4" w:space="0" w:color="auto"/>
            </w:tcBorders>
          </w:tcPr>
          <w:p w14:paraId="7E6428DE" w14:textId="3E48F159" w:rsidR="000923BE" w:rsidRPr="002661A8" w:rsidRDefault="000923BE" w:rsidP="007A546F">
            <w:pPr>
              <w:jc w:val="center"/>
              <w:rPr>
                <w:noProof/>
              </w:rPr>
            </w:pPr>
            <w:r w:rsidRPr="002661A8" w:rsidDel="005E2F69">
              <w:rPr>
                <w:noProof/>
              </w:rPr>
              <w:t>+</w:t>
            </w:r>
          </w:p>
        </w:tc>
        <w:tc>
          <w:tcPr>
            <w:tcW w:w="1646" w:type="dxa"/>
            <w:tcBorders>
              <w:top w:val="single" w:sz="4" w:space="0" w:color="auto"/>
              <w:left w:val="single" w:sz="4" w:space="0" w:color="auto"/>
              <w:bottom w:val="single" w:sz="4" w:space="0" w:color="auto"/>
              <w:right w:val="single" w:sz="4" w:space="0" w:color="auto"/>
            </w:tcBorders>
          </w:tcPr>
          <w:p w14:paraId="6380CAC0" w14:textId="0F5FAB7E" w:rsidR="000923BE" w:rsidRPr="002661A8" w:rsidRDefault="000923BE" w:rsidP="007A546F">
            <w:pPr>
              <w:jc w:val="center"/>
              <w:rPr>
                <w:b/>
                <w:noProof/>
              </w:rPr>
            </w:pPr>
            <w:r w:rsidRPr="002661A8" w:rsidDel="005E2F69">
              <w:rPr>
                <w:b/>
                <w:noProof/>
              </w:rPr>
              <w:t>+</w:t>
            </w:r>
          </w:p>
        </w:tc>
        <w:tc>
          <w:tcPr>
            <w:tcW w:w="1972" w:type="dxa"/>
            <w:tcBorders>
              <w:top w:val="single" w:sz="4" w:space="0" w:color="auto"/>
              <w:left w:val="single" w:sz="4" w:space="0" w:color="auto"/>
              <w:bottom w:val="single" w:sz="4" w:space="0" w:color="auto"/>
              <w:right w:val="single" w:sz="4" w:space="0" w:color="auto"/>
            </w:tcBorders>
          </w:tcPr>
          <w:p w14:paraId="5EEF1C90" w14:textId="617AAA8C" w:rsidR="000923BE" w:rsidRPr="002661A8" w:rsidRDefault="006D78A1" w:rsidP="007A546F">
            <w:pPr>
              <w:jc w:val="center"/>
              <w:rPr>
                <w:noProof/>
              </w:rPr>
            </w:pPr>
            <w:r w:rsidRPr="002661A8">
              <w:rPr>
                <w:noProof/>
              </w:rPr>
              <w:t>+</w:t>
            </w:r>
          </w:p>
        </w:tc>
      </w:tr>
      <w:tr w:rsidR="00533790" w:rsidRPr="002661A8" w14:paraId="5BDA7E00" w14:textId="77777777" w:rsidTr="001F3FA6">
        <w:trPr>
          <w:jc w:val="center"/>
        </w:trPr>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73013" w14:textId="2E9F5DA2" w:rsidR="000923BE" w:rsidRPr="002661A8" w:rsidRDefault="000923BE" w:rsidP="007A546F">
            <w:pPr>
              <w:jc w:val="center"/>
              <w:rPr>
                <w:noProof/>
              </w:rPr>
            </w:pPr>
            <w:r w:rsidRPr="002661A8">
              <w:rPr>
                <w:noProof/>
              </w:rPr>
              <w:t xml:space="preserve">Option </w:t>
            </w:r>
            <w:r w:rsidR="00A8027C">
              <w:rPr>
                <w:noProof/>
              </w:rPr>
              <w:t>A</w:t>
            </w:r>
            <w:r w:rsidRPr="002661A8">
              <w:rPr>
                <w:noProof/>
              </w:rPr>
              <w:t>3</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70DC048B" w14:textId="1352A3DF" w:rsidR="000923BE" w:rsidRPr="002661A8" w:rsidRDefault="00C333AB" w:rsidP="007A546F">
            <w:pPr>
              <w:jc w:val="center"/>
              <w:rPr>
                <w:noProof/>
              </w:rPr>
            </w:pPr>
            <w:r w:rsidRPr="002661A8">
              <w:rPr>
                <w:noProof/>
              </w:rPr>
              <w:t>++</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43A738D0" w14:textId="5A9B18EE" w:rsidR="000923BE" w:rsidRPr="002661A8" w:rsidRDefault="000923BE" w:rsidP="007A546F">
            <w:pPr>
              <w:jc w:val="center"/>
              <w:rPr>
                <w:noProof/>
              </w:rPr>
            </w:pPr>
            <w:r w:rsidRPr="002661A8" w:rsidDel="005E2F69">
              <w:rPr>
                <w:noProof/>
              </w:rPr>
              <w:t>+</w:t>
            </w:r>
          </w:p>
        </w:tc>
        <w:tc>
          <w:tcPr>
            <w:tcW w:w="1646" w:type="dxa"/>
            <w:tcBorders>
              <w:top w:val="single" w:sz="4" w:space="0" w:color="auto"/>
              <w:left w:val="single" w:sz="4" w:space="0" w:color="auto"/>
              <w:bottom w:val="single" w:sz="4" w:space="0" w:color="auto"/>
              <w:right w:val="single" w:sz="4" w:space="0" w:color="auto"/>
            </w:tcBorders>
          </w:tcPr>
          <w:p w14:paraId="013B6832" w14:textId="51E6701E" w:rsidR="000923BE" w:rsidRPr="002661A8" w:rsidRDefault="000923BE" w:rsidP="007A546F">
            <w:pPr>
              <w:jc w:val="center"/>
              <w:rPr>
                <w:b/>
                <w:noProof/>
              </w:rPr>
            </w:pPr>
            <w:r w:rsidRPr="002661A8" w:rsidDel="005E2F69">
              <w:rPr>
                <w:b/>
                <w:noProof/>
              </w:rPr>
              <w:t>+</w:t>
            </w:r>
          </w:p>
        </w:tc>
        <w:tc>
          <w:tcPr>
            <w:tcW w:w="1972" w:type="dxa"/>
            <w:tcBorders>
              <w:top w:val="single" w:sz="4" w:space="0" w:color="auto"/>
              <w:left w:val="single" w:sz="4" w:space="0" w:color="auto"/>
              <w:bottom w:val="single" w:sz="4" w:space="0" w:color="auto"/>
              <w:right w:val="single" w:sz="4" w:space="0" w:color="auto"/>
            </w:tcBorders>
            <w:shd w:val="clear" w:color="auto" w:fill="auto"/>
          </w:tcPr>
          <w:p w14:paraId="5F18F777" w14:textId="05B80309" w:rsidR="000923BE" w:rsidRPr="002661A8" w:rsidRDefault="006D78A1" w:rsidP="007A546F">
            <w:pPr>
              <w:jc w:val="center"/>
              <w:rPr>
                <w:noProof/>
              </w:rPr>
            </w:pPr>
            <w:r w:rsidRPr="002661A8">
              <w:rPr>
                <w:noProof/>
              </w:rPr>
              <w:t>+</w:t>
            </w:r>
          </w:p>
        </w:tc>
      </w:tr>
      <w:tr w:rsidR="00C82FAE" w:rsidRPr="002661A8" w14:paraId="365DA9C6" w14:textId="77777777" w:rsidTr="5C90553C">
        <w:trPr>
          <w:jc w:val="center"/>
        </w:trPr>
        <w:tc>
          <w:tcPr>
            <w:tcW w:w="1759" w:type="dxa"/>
            <w:tcBorders>
              <w:top w:val="single" w:sz="4" w:space="0" w:color="auto"/>
              <w:left w:val="single" w:sz="4" w:space="0" w:color="auto"/>
              <w:bottom w:val="single" w:sz="4" w:space="0" w:color="auto"/>
              <w:right w:val="single" w:sz="4" w:space="0" w:color="auto"/>
            </w:tcBorders>
            <w:shd w:val="clear" w:color="auto" w:fill="00B050"/>
            <w:vAlign w:val="center"/>
          </w:tcPr>
          <w:p w14:paraId="6820AF46" w14:textId="1F9492B4" w:rsidR="000923BE" w:rsidRPr="002661A8" w:rsidRDefault="000923BE" w:rsidP="007A546F">
            <w:pPr>
              <w:jc w:val="center"/>
              <w:rPr>
                <w:noProof/>
              </w:rPr>
            </w:pPr>
            <w:r w:rsidRPr="002661A8">
              <w:rPr>
                <w:noProof/>
              </w:rPr>
              <w:t xml:space="preserve">Option </w:t>
            </w:r>
            <w:r w:rsidR="00A8027C">
              <w:rPr>
                <w:noProof/>
              </w:rPr>
              <w:t>A</w:t>
            </w:r>
            <w:r w:rsidRPr="002661A8">
              <w:rPr>
                <w:noProof/>
              </w:rPr>
              <w:t>4</w:t>
            </w:r>
          </w:p>
        </w:tc>
        <w:tc>
          <w:tcPr>
            <w:tcW w:w="1429" w:type="dxa"/>
            <w:tcBorders>
              <w:top w:val="single" w:sz="4" w:space="0" w:color="auto"/>
              <w:left w:val="single" w:sz="4" w:space="0" w:color="auto"/>
              <w:bottom w:val="single" w:sz="4" w:space="0" w:color="auto"/>
              <w:right w:val="single" w:sz="4" w:space="0" w:color="auto"/>
            </w:tcBorders>
            <w:shd w:val="clear" w:color="auto" w:fill="00B050"/>
          </w:tcPr>
          <w:p w14:paraId="48F0F223" w14:textId="77777777" w:rsidR="000923BE" w:rsidRPr="002661A8" w:rsidRDefault="000923BE" w:rsidP="007A546F">
            <w:pPr>
              <w:jc w:val="center"/>
              <w:rPr>
                <w:b/>
                <w:noProof/>
              </w:rPr>
            </w:pPr>
            <w:r w:rsidRPr="002661A8">
              <w:rPr>
                <w:b/>
                <w:noProof/>
              </w:rPr>
              <w:t>+++</w:t>
            </w:r>
          </w:p>
        </w:tc>
        <w:tc>
          <w:tcPr>
            <w:tcW w:w="2028" w:type="dxa"/>
            <w:tcBorders>
              <w:top w:val="single" w:sz="4" w:space="0" w:color="auto"/>
              <w:left w:val="single" w:sz="4" w:space="0" w:color="auto"/>
              <w:bottom w:val="single" w:sz="4" w:space="0" w:color="auto"/>
              <w:right w:val="single" w:sz="4" w:space="0" w:color="auto"/>
            </w:tcBorders>
            <w:shd w:val="clear" w:color="auto" w:fill="00B050"/>
          </w:tcPr>
          <w:p w14:paraId="5E85FD28" w14:textId="77777777" w:rsidR="000923BE" w:rsidRPr="002661A8" w:rsidRDefault="000923BE" w:rsidP="007A546F">
            <w:pPr>
              <w:jc w:val="center"/>
              <w:rPr>
                <w:b/>
                <w:noProof/>
              </w:rPr>
            </w:pPr>
            <w:r w:rsidRPr="002661A8">
              <w:rPr>
                <w:b/>
                <w:noProof/>
              </w:rPr>
              <w:t>++</w:t>
            </w:r>
          </w:p>
        </w:tc>
        <w:tc>
          <w:tcPr>
            <w:tcW w:w="1646" w:type="dxa"/>
            <w:tcBorders>
              <w:top w:val="single" w:sz="4" w:space="0" w:color="auto"/>
              <w:left w:val="single" w:sz="4" w:space="0" w:color="auto"/>
              <w:bottom w:val="single" w:sz="4" w:space="0" w:color="auto"/>
              <w:right w:val="single" w:sz="4" w:space="0" w:color="auto"/>
            </w:tcBorders>
            <w:shd w:val="clear" w:color="auto" w:fill="00B050"/>
          </w:tcPr>
          <w:p w14:paraId="554DDC91" w14:textId="77777777" w:rsidR="000923BE" w:rsidRPr="002661A8" w:rsidRDefault="000923BE" w:rsidP="007A546F">
            <w:pPr>
              <w:jc w:val="center"/>
              <w:rPr>
                <w:b/>
                <w:noProof/>
              </w:rPr>
            </w:pPr>
            <w:r w:rsidRPr="002661A8">
              <w:rPr>
                <w:b/>
                <w:noProof/>
              </w:rPr>
              <w:t>++</w:t>
            </w:r>
          </w:p>
        </w:tc>
        <w:tc>
          <w:tcPr>
            <w:tcW w:w="1972" w:type="dxa"/>
            <w:tcBorders>
              <w:top w:val="single" w:sz="4" w:space="0" w:color="auto"/>
              <w:left w:val="single" w:sz="4" w:space="0" w:color="auto"/>
              <w:bottom w:val="single" w:sz="4" w:space="0" w:color="auto"/>
              <w:right w:val="single" w:sz="4" w:space="0" w:color="auto"/>
            </w:tcBorders>
            <w:shd w:val="clear" w:color="auto" w:fill="00B050"/>
          </w:tcPr>
          <w:p w14:paraId="27139C3D" w14:textId="6A0B0DF0" w:rsidR="000923BE" w:rsidRPr="002661A8" w:rsidRDefault="006D78A1" w:rsidP="007A546F">
            <w:pPr>
              <w:jc w:val="center"/>
              <w:rPr>
                <w:b/>
                <w:noProof/>
              </w:rPr>
            </w:pPr>
            <w:r w:rsidRPr="002661A8">
              <w:rPr>
                <w:b/>
                <w:noProof/>
              </w:rPr>
              <w:t>+</w:t>
            </w:r>
          </w:p>
        </w:tc>
      </w:tr>
    </w:tbl>
    <w:p w14:paraId="4246F40F" w14:textId="77777777" w:rsidR="000923BE" w:rsidRPr="002661A8" w:rsidRDefault="000923BE" w:rsidP="000923BE">
      <w:pPr>
        <w:tabs>
          <w:tab w:val="left" w:pos="2302"/>
        </w:tabs>
        <w:spacing w:after="0" w:line="240" w:lineRule="auto"/>
        <w:jc w:val="both"/>
        <w:rPr>
          <w:rFonts w:ascii="Times New Roman" w:eastAsia="Times New Roman" w:hAnsi="Times New Roman" w:cs="Times New Roman"/>
          <w:noProof/>
          <w:sz w:val="12"/>
          <w:szCs w:val="12"/>
        </w:rPr>
      </w:pPr>
    </w:p>
    <w:p w14:paraId="370DC934" w14:textId="7FDCE594" w:rsidR="000923BE" w:rsidRPr="002661A8" w:rsidRDefault="000923BE" w:rsidP="007A546F">
      <w:pPr>
        <w:pBdr>
          <w:top w:val="single" w:sz="4" w:space="1" w:color="auto"/>
          <w:left w:val="single" w:sz="4" w:space="4" w:color="auto"/>
          <w:bottom w:val="single" w:sz="4" w:space="1" w:color="auto"/>
          <w:right w:val="single" w:sz="4" w:space="4" w:color="auto"/>
        </w:pBdr>
        <w:spacing w:line="240" w:lineRule="auto"/>
        <w:ind w:left="709" w:hanging="709"/>
        <w:jc w:val="both"/>
        <w:rPr>
          <w:rFonts w:ascii="Times New Roman" w:eastAsia="Calibri" w:hAnsi="Times New Roman" w:cs="Times New Roman"/>
          <w:noProof/>
          <w:sz w:val="20"/>
          <w:szCs w:val="20"/>
        </w:rPr>
      </w:pPr>
      <w:r w:rsidRPr="002661A8">
        <w:rPr>
          <w:rFonts w:ascii="Times New Roman" w:eastAsia="Calibri" w:hAnsi="Times New Roman" w:cs="Times New Roman"/>
          <w:b/>
          <w:noProof/>
          <w:sz w:val="20"/>
          <w:szCs w:val="20"/>
          <w:u w:val="single"/>
        </w:rPr>
        <w:t>Legend</w:t>
      </w:r>
      <w:r w:rsidRPr="002661A8">
        <w:rPr>
          <w:rFonts w:ascii="Times New Roman" w:eastAsia="Calibri" w:hAnsi="Times New Roman" w:cs="Times New Roman"/>
          <w:noProof/>
          <w:sz w:val="20"/>
          <w:szCs w:val="20"/>
        </w:rPr>
        <w:t xml:space="preserve">: </w:t>
      </w:r>
      <w:r w:rsidRPr="002661A8">
        <w:rPr>
          <w:rFonts w:ascii="Times New Roman" w:eastAsia="Calibri" w:hAnsi="Times New Roman" w:cs="Times New Roman"/>
          <w:b/>
          <w:noProof/>
          <w:sz w:val="20"/>
          <w:szCs w:val="20"/>
        </w:rPr>
        <w:t>+++</w:t>
      </w:r>
      <w:r w:rsidRPr="002661A8">
        <w:rPr>
          <w:rFonts w:ascii="Times New Roman" w:eastAsia="Calibri" w:hAnsi="Times New Roman" w:cs="Times New Roman"/>
          <w:noProof/>
          <w:sz w:val="20"/>
          <w:szCs w:val="20"/>
        </w:rPr>
        <w:t xml:space="preserve"> = Very positive</w:t>
      </w:r>
      <w:r w:rsidRPr="002661A8">
        <w:rPr>
          <w:rFonts w:ascii="Times New Roman" w:eastAsia="Calibri" w:hAnsi="Times New Roman" w:cs="Times New Roman"/>
          <w:noProof/>
          <w:sz w:val="20"/>
          <w:szCs w:val="20"/>
        </w:rPr>
        <w:tab/>
      </w:r>
      <w:r w:rsidRPr="002661A8">
        <w:rPr>
          <w:rFonts w:ascii="Times New Roman" w:eastAsia="Calibri" w:hAnsi="Times New Roman" w:cs="Times New Roman"/>
          <w:b/>
          <w:noProof/>
          <w:sz w:val="20"/>
          <w:szCs w:val="20"/>
        </w:rPr>
        <w:t>++</w:t>
      </w:r>
      <w:r w:rsidRPr="002661A8">
        <w:rPr>
          <w:rFonts w:ascii="Times New Roman" w:eastAsia="Calibri" w:hAnsi="Times New Roman" w:cs="Times New Roman"/>
          <w:noProof/>
          <w:sz w:val="20"/>
          <w:szCs w:val="20"/>
        </w:rPr>
        <w:t xml:space="preserve"> = Positive</w:t>
      </w:r>
      <w:r w:rsidRPr="002661A8">
        <w:rPr>
          <w:rFonts w:ascii="Times New Roman" w:eastAsia="Calibri" w:hAnsi="Times New Roman" w:cs="Times New Roman"/>
          <w:noProof/>
          <w:sz w:val="20"/>
          <w:szCs w:val="20"/>
        </w:rPr>
        <w:tab/>
      </w:r>
      <w:r w:rsidRPr="002661A8">
        <w:rPr>
          <w:rFonts w:ascii="Times New Roman" w:eastAsia="Calibri" w:hAnsi="Times New Roman" w:cs="Times New Roman"/>
          <w:b/>
          <w:noProof/>
          <w:sz w:val="20"/>
          <w:szCs w:val="20"/>
        </w:rPr>
        <w:t>+</w:t>
      </w:r>
      <w:r w:rsidRPr="002661A8">
        <w:rPr>
          <w:rFonts w:ascii="Times New Roman" w:eastAsia="Calibri" w:hAnsi="Times New Roman" w:cs="Times New Roman"/>
          <w:noProof/>
          <w:sz w:val="20"/>
          <w:szCs w:val="20"/>
        </w:rPr>
        <w:t xml:space="preserve"> = Slightly positive </w:t>
      </w:r>
      <w:r w:rsidRPr="002661A8">
        <w:rPr>
          <w:rFonts w:ascii="Times New Roman" w:eastAsia="Calibri" w:hAnsi="Times New Roman" w:cs="Times New Roman"/>
          <w:noProof/>
          <w:sz w:val="20"/>
          <w:szCs w:val="20"/>
        </w:rPr>
        <w:tab/>
      </w:r>
      <w:r w:rsidRPr="002661A8">
        <w:rPr>
          <w:rFonts w:ascii="Times New Roman" w:eastAsia="Calibri" w:hAnsi="Times New Roman" w:cs="Times New Roman"/>
          <w:b/>
          <w:noProof/>
          <w:sz w:val="20"/>
          <w:szCs w:val="20"/>
        </w:rPr>
        <w:t xml:space="preserve">+/- </w:t>
      </w:r>
      <w:r w:rsidRPr="002661A8">
        <w:rPr>
          <w:rFonts w:ascii="Times New Roman" w:eastAsia="Calibri" w:hAnsi="Times New Roman" w:cs="Times New Roman"/>
          <w:noProof/>
          <w:sz w:val="20"/>
          <w:szCs w:val="20"/>
        </w:rPr>
        <w:t xml:space="preserve">= Mixed effect               </w:t>
      </w:r>
      <w:r w:rsidRPr="002661A8">
        <w:rPr>
          <w:rFonts w:ascii="Times New Roman" w:eastAsia="Calibri" w:hAnsi="Times New Roman" w:cs="Times New Roman"/>
          <w:b/>
          <w:noProof/>
          <w:sz w:val="20"/>
          <w:szCs w:val="20"/>
        </w:rPr>
        <w:t>0</w:t>
      </w:r>
      <w:r w:rsidRPr="002661A8">
        <w:rPr>
          <w:rFonts w:ascii="Times New Roman" w:eastAsia="Calibri" w:hAnsi="Times New Roman" w:cs="Times New Roman"/>
          <w:noProof/>
          <w:sz w:val="20"/>
          <w:szCs w:val="20"/>
        </w:rPr>
        <w:t xml:space="preserve"> = no effect</w:t>
      </w:r>
      <w:r w:rsidRPr="002661A8">
        <w:rPr>
          <w:rFonts w:ascii="Times New Roman" w:eastAsia="Calibri" w:hAnsi="Times New Roman" w:cs="Times New Roman"/>
          <w:noProof/>
          <w:sz w:val="20"/>
          <w:szCs w:val="20"/>
        </w:rPr>
        <w:tab/>
      </w:r>
      <w:r w:rsidRPr="002661A8">
        <w:rPr>
          <w:rFonts w:ascii="Times New Roman" w:eastAsia="Calibri" w:hAnsi="Times New Roman" w:cs="Times New Roman"/>
          <w:b/>
          <w:noProof/>
          <w:sz w:val="20"/>
          <w:szCs w:val="20"/>
        </w:rPr>
        <w:t>-</w:t>
      </w:r>
      <w:r w:rsidRPr="002661A8">
        <w:rPr>
          <w:rFonts w:ascii="Times New Roman" w:eastAsia="Calibri" w:hAnsi="Times New Roman" w:cs="Times New Roman"/>
          <w:noProof/>
          <w:sz w:val="20"/>
          <w:szCs w:val="20"/>
        </w:rPr>
        <w:t xml:space="preserve"> = Slightly negative</w:t>
      </w:r>
      <w:r w:rsidRPr="002661A8">
        <w:rPr>
          <w:rFonts w:ascii="Times New Roman" w:eastAsia="Calibri" w:hAnsi="Times New Roman" w:cs="Times New Roman"/>
          <w:noProof/>
          <w:sz w:val="20"/>
          <w:szCs w:val="20"/>
        </w:rPr>
        <w:tab/>
      </w:r>
      <w:r w:rsidRPr="002661A8">
        <w:rPr>
          <w:rFonts w:ascii="Times New Roman" w:eastAsia="Calibri" w:hAnsi="Times New Roman" w:cs="Times New Roman"/>
          <w:b/>
          <w:noProof/>
          <w:sz w:val="20"/>
          <w:szCs w:val="20"/>
        </w:rPr>
        <w:t>--</w:t>
      </w:r>
      <w:r w:rsidRPr="002661A8">
        <w:rPr>
          <w:rFonts w:ascii="Times New Roman" w:eastAsia="Calibri" w:hAnsi="Times New Roman" w:cs="Times New Roman"/>
          <w:noProof/>
          <w:sz w:val="20"/>
          <w:szCs w:val="20"/>
        </w:rPr>
        <w:t xml:space="preserve"> = Negative</w:t>
      </w:r>
      <w:r w:rsidRPr="002661A8">
        <w:rPr>
          <w:rFonts w:ascii="Times New Roman" w:eastAsia="Calibri" w:hAnsi="Times New Roman" w:cs="Times New Roman"/>
          <w:noProof/>
          <w:sz w:val="20"/>
          <w:szCs w:val="20"/>
        </w:rPr>
        <w:tab/>
      </w:r>
      <w:r w:rsidRPr="002661A8">
        <w:rPr>
          <w:rFonts w:ascii="Times New Roman" w:eastAsia="Calibri" w:hAnsi="Times New Roman" w:cs="Times New Roman"/>
          <w:b/>
          <w:noProof/>
          <w:sz w:val="20"/>
          <w:szCs w:val="20"/>
        </w:rPr>
        <w:t>---</w:t>
      </w:r>
      <w:r w:rsidRPr="002661A8">
        <w:rPr>
          <w:rFonts w:ascii="Times New Roman" w:eastAsia="Calibri" w:hAnsi="Times New Roman" w:cs="Times New Roman"/>
          <w:noProof/>
          <w:sz w:val="20"/>
          <w:szCs w:val="20"/>
        </w:rPr>
        <w:t xml:space="preserve"> = very negative</w:t>
      </w:r>
    </w:p>
    <w:p w14:paraId="5E4F9297" w14:textId="6E9BE205" w:rsidR="000923BE" w:rsidRPr="002661A8" w:rsidRDefault="000B50BC" w:rsidP="00ED5088">
      <w:pPr>
        <w:pStyle w:val="Heading1"/>
        <w:numPr>
          <w:ilvl w:val="1"/>
          <w:numId w:val="6"/>
        </w:numPr>
        <w:spacing w:before="0" w:after="120"/>
        <w:rPr>
          <w:b w:val="0"/>
          <w:noProof/>
        </w:rPr>
      </w:pPr>
      <w:bookmarkStart w:id="928" w:name="_Measures_to_encourage"/>
      <w:bookmarkStart w:id="929" w:name="_Toc83227168"/>
      <w:bookmarkStart w:id="930" w:name="_Toc83227851"/>
      <w:bookmarkStart w:id="931" w:name="_Toc83229474"/>
      <w:bookmarkStart w:id="932" w:name="_Toc83740973"/>
      <w:bookmarkStart w:id="933" w:name="_Toc83741105"/>
      <w:bookmarkStart w:id="934" w:name="_Toc90571149"/>
      <w:bookmarkStart w:id="935" w:name="_Toc90910816"/>
      <w:bookmarkStart w:id="936" w:name="_Toc90911897"/>
      <w:bookmarkStart w:id="937" w:name="_Toc90914756"/>
      <w:bookmarkStart w:id="938" w:name="_Toc90995540"/>
      <w:bookmarkStart w:id="939" w:name="_Toc90998263"/>
      <w:bookmarkStart w:id="940" w:name="_Toc92819186"/>
      <w:bookmarkStart w:id="941" w:name="_Toc103337513"/>
      <w:bookmarkStart w:id="942" w:name="_Toc104310010"/>
      <w:bookmarkStart w:id="943" w:name="_Toc105656450"/>
      <w:bookmarkStart w:id="944" w:name="_Toc106827850"/>
      <w:bookmarkStart w:id="945" w:name="_Toc106981726"/>
      <w:bookmarkStart w:id="946" w:name="_Toc107493866"/>
      <w:bookmarkStart w:id="947" w:name="_Toc107497902"/>
      <w:bookmarkStart w:id="948" w:name="_Toc107503455"/>
      <w:bookmarkStart w:id="949" w:name="_Toc107504603"/>
      <w:bookmarkStart w:id="950" w:name="_Toc107505448"/>
      <w:bookmarkStart w:id="951" w:name="_Toc107838924"/>
      <w:bookmarkStart w:id="952" w:name="_Toc107847019"/>
      <w:bookmarkStart w:id="953" w:name="_Toc107849256"/>
      <w:bookmarkStart w:id="954" w:name="_Toc107853703"/>
      <w:bookmarkStart w:id="955" w:name="_Toc108539820"/>
      <w:bookmarkStart w:id="956" w:name="_Toc108539938"/>
      <w:bookmarkStart w:id="957" w:name="_Toc109057396"/>
      <w:bookmarkStart w:id="958" w:name="_Toc109120762"/>
      <w:bookmarkStart w:id="959" w:name="_Toc109122397"/>
      <w:bookmarkStart w:id="960" w:name="_Toc109133134"/>
      <w:bookmarkStart w:id="961" w:name="_Toc120291668"/>
      <w:bookmarkEnd w:id="928"/>
      <w:r>
        <w:rPr>
          <w:smallCaps w:val="0"/>
          <w:noProof/>
        </w:rPr>
        <w:t xml:space="preserve">B - </w:t>
      </w:r>
      <w:r w:rsidR="00055C17" w:rsidRPr="002661A8">
        <w:rPr>
          <w:smallCaps w:val="0"/>
          <w:noProof/>
        </w:rPr>
        <w:t>Measures to encourage clearing in the EU</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r w:rsidR="0006526D" w:rsidRPr="002661A8">
        <w:rPr>
          <w:smallCaps w:val="0"/>
          <w:noProof/>
        </w:rPr>
        <w:t xml:space="preserve"> </w:t>
      </w:r>
    </w:p>
    <w:p w14:paraId="2DB78E49" w14:textId="08282E3F" w:rsidR="000923BE" w:rsidRPr="002661A8" w:rsidRDefault="000923BE" w:rsidP="00ED5088">
      <w:pPr>
        <w:pStyle w:val="Heading1"/>
        <w:numPr>
          <w:ilvl w:val="2"/>
          <w:numId w:val="6"/>
        </w:numPr>
        <w:spacing w:before="0" w:after="120"/>
        <w:rPr>
          <w:i/>
          <w:noProof/>
        </w:rPr>
      </w:pPr>
      <w:bookmarkStart w:id="962" w:name="_Toc104310011"/>
      <w:bookmarkStart w:id="963" w:name="_Toc105656451"/>
      <w:bookmarkStart w:id="964" w:name="_Toc107838925"/>
      <w:bookmarkStart w:id="965" w:name="_Toc107847020"/>
      <w:bookmarkStart w:id="966" w:name="_Toc107849257"/>
      <w:bookmarkStart w:id="967" w:name="_Toc107853704"/>
      <w:bookmarkStart w:id="968" w:name="_Toc107865298"/>
      <w:bookmarkStart w:id="969" w:name="_Toc108418507"/>
      <w:bookmarkStart w:id="970" w:name="_Toc108539599"/>
      <w:bookmarkStart w:id="971" w:name="_Toc108539821"/>
      <w:bookmarkStart w:id="972" w:name="_Toc108539939"/>
      <w:bookmarkStart w:id="973" w:name="_Toc108540018"/>
      <w:bookmarkStart w:id="974" w:name="_Toc109057397"/>
      <w:bookmarkStart w:id="975" w:name="_Toc109120763"/>
      <w:bookmarkStart w:id="976" w:name="_Toc109122398"/>
      <w:bookmarkStart w:id="977" w:name="_Toc109124111"/>
      <w:bookmarkStart w:id="978" w:name="_Toc109133135"/>
      <w:bookmarkStart w:id="979" w:name="_Toc109133311"/>
      <w:bookmarkStart w:id="980" w:name="_Toc120291669"/>
      <w:bookmarkStart w:id="981" w:name="_Toc83227169"/>
      <w:bookmarkStart w:id="982" w:name="_Toc83227852"/>
      <w:bookmarkStart w:id="983" w:name="_Toc83229475"/>
      <w:bookmarkStart w:id="984" w:name="_Toc83277621"/>
      <w:bookmarkStart w:id="985" w:name="_Toc83740974"/>
      <w:bookmarkStart w:id="986" w:name="_Toc83741106"/>
      <w:bookmarkStart w:id="987" w:name="_Toc83744507"/>
      <w:bookmarkStart w:id="988" w:name="_Toc90571150"/>
      <w:bookmarkStart w:id="989" w:name="_Toc90910817"/>
      <w:bookmarkStart w:id="990" w:name="_Toc90911898"/>
      <w:bookmarkStart w:id="991" w:name="_Toc90914757"/>
      <w:bookmarkStart w:id="992" w:name="_Toc90919887"/>
      <w:bookmarkStart w:id="993" w:name="_Toc90995541"/>
      <w:bookmarkStart w:id="994" w:name="_Toc90998264"/>
      <w:bookmarkStart w:id="995" w:name="_Toc92819187"/>
      <w:bookmarkStart w:id="996" w:name="_Toc106827851"/>
      <w:bookmarkStart w:id="997" w:name="_Toc106981727"/>
      <w:bookmarkStart w:id="998" w:name="_Toc107493867"/>
      <w:bookmarkStart w:id="999" w:name="_Toc107497903"/>
      <w:bookmarkStart w:id="1000" w:name="_Toc107503456"/>
      <w:bookmarkStart w:id="1001" w:name="_Toc107504604"/>
      <w:bookmarkStart w:id="1002" w:name="_Toc107505449"/>
      <w:bookmarkStart w:id="1003" w:name="_Hlk106909552"/>
      <w:r w:rsidRPr="002661A8">
        <w:rPr>
          <w:b w:val="0"/>
          <w:i/>
          <w:smallCaps w:val="0"/>
          <w:noProof/>
        </w:rPr>
        <w:t xml:space="preserve">Option </w:t>
      </w:r>
      <w:r w:rsidR="00A8027C">
        <w:rPr>
          <w:b w:val="0"/>
          <w:i/>
          <w:smallCaps w:val="0"/>
          <w:noProof/>
        </w:rPr>
        <w:t>B</w:t>
      </w:r>
      <w:r w:rsidRPr="002661A8">
        <w:rPr>
          <w:b w:val="0"/>
          <w:i/>
          <w:smallCaps w:val="0"/>
          <w:noProof/>
        </w:rPr>
        <w:t>2 - Limit/dis</w:t>
      </w:r>
      <w:r w:rsidR="000658C2" w:rsidRPr="002661A8">
        <w:rPr>
          <w:b w:val="0"/>
          <w:i/>
          <w:smallCaps w:val="0"/>
          <w:noProof/>
        </w:rPr>
        <w:t>-</w:t>
      </w:r>
      <w:r w:rsidRPr="002661A8">
        <w:rPr>
          <w:b w:val="0"/>
          <w:i/>
          <w:smallCaps w:val="0"/>
          <w:noProof/>
        </w:rPr>
        <w:t xml:space="preserve">incentivise banks’ </w:t>
      </w:r>
      <w:r w:rsidR="008F4457" w:rsidRPr="002661A8">
        <w:rPr>
          <w:b w:val="0"/>
          <w:i/>
          <w:smallCaps w:val="0"/>
          <w:noProof/>
        </w:rPr>
        <w:t xml:space="preserve">excessive </w:t>
      </w:r>
      <w:r w:rsidRPr="002661A8">
        <w:rPr>
          <w:b w:val="0"/>
          <w:i/>
          <w:smallCaps w:val="0"/>
          <w:noProof/>
        </w:rPr>
        <w:t>exposures to</w:t>
      </w:r>
      <w:r w:rsidR="00CD5229" w:rsidRPr="002661A8">
        <w:rPr>
          <w:b w:val="0"/>
          <w:i/>
          <w:smallCaps w:val="0"/>
          <w:noProof/>
        </w:rPr>
        <w:t xml:space="preserve"> </w:t>
      </w:r>
      <w:r w:rsidRPr="002661A8">
        <w:rPr>
          <w:b w:val="0"/>
          <w:i/>
          <w:smallCaps w:val="0"/>
          <w:noProof/>
        </w:rPr>
        <w:t>CCPs</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r w:rsidRPr="002661A8">
        <w:rPr>
          <w:i/>
          <w:noProof/>
        </w:rPr>
        <w:t xml:space="preserve"> </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75DA61C7" w14:textId="4A41BD2E" w:rsidR="000923BE" w:rsidRPr="002661A8" w:rsidRDefault="000923BE" w:rsidP="008331A8">
      <w:pPr>
        <w:tabs>
          <w:tab w:val="left" w:pos="2302"/>
        </w:tabs>
        <w:spacing w:after="120" w:line="240" w:lineRule="auto"/>
        <w:jc w:val="both"/>
        <w:rPr>
          <w:rFonts w:ascii="Times New Roman" w:eastAsia="Calibri" w:hAnsi="Times New Roman" w:cs="Times New Roman"/>
          <w:noProof/>
          <w:sz w:val="24"/>
          <w:szCs w:val="24"/>
          <w:u w:val="single"/>
        </w:rPr>
      </w:pPr>
      <w:r w:rsidRPr="002661A8">
        <w:rPr>
          <w:rFonts w:ascii="Times New Roman" w:eastAsia="Calibri" w:hAnsi="Times New Roman" w:cs="Times New Roman"/>
          <w:noProof/>
          <w:sz w:val="24"/>
          <w:szCs w:val="24"/>
          <w:u w:val="single"/>
        </w:rPr>
        <w:t>Effectiveness in meeting the specific objectives</w:t>
      </w:r>
    </w:p>
    <w:p w14:paraId="7FB247B2" w14:textId="77777777" w:rsidR="006D1DBA" w:rsidRDefault="000923BE" w:rsidP="008331A8">
      <w:pPr>
        <w:tabs>
          <w:tab w:val="left" w:pos="2302"/>
        </w:tabs>
        <w:spacing w:after="120" w:line="240" w:lineRule="auto"/>
        <w:jc w:val="both"/>
        <w:rPr>
          <w:rFonts w:ascii="Times New Roman" w:eastAsia="Calibri" w:hAnsi="Times New Roman" w:cs="Times New Roman"/>
          <w:noProof/>
          <w:sz w:val="24"/>
          <w:szCs w:val="24"/>
        </w:rPr>
      </w:pPr>
      <w:bookmarkStart w:id="1004" w:name="_Hlk106909780"/>
      <w:r w:rsidRPr="002661A8">
        <w:rPr>
          <w:rFonts w:ascii="Times New Roman" w:eastAsia="Calibri" w:hAnsi="Times New Roman" w:cs="Times New Roman"/>
          <w:noProof/>
          <w:sz w:val="24"/>
          <w:szCs w:val="24"/>
        </w:rPr>
        <w:t>Banks and investment firms</w:t>
      </w:r>
      <w:r w:rsidR="0018675E">
        <w:rPr>
          <w:rStyle w:val="FootnoteReference"/>
          <w:rFonts w:ascii="Times New Roman" w:eastAsia="Calibri" w:hAnsi="Times New Roman" w:cs="Times New Roman"/>
          <w:noProof/>
          <w:sz w:val="24"/>
          <w:szCs w:val="24"/>
        </w:rPr>
        <w:footnoteReference w:id="126"/>
      </w:r>
      <w:r w:rsidR="003050B3" w:rsidRPr="002661A8">
        <w:rPr>
          <w:rFonts w:ascii="Times New Roman" w:eastAsia="Calibri" w:hAnsi="Times New Roman" w:cs="Times New Roman"/>
          <w:noProof/>
          <w:sz w:val="24"/>
          <w:szCs w:val="24"/>
        </w:rPr>
        <w:t>, mostly the larger ones,</w:t>
      </w:r>
      <w:r w:rsidRPr="002661A8">
        <w:rPr>
          <w:rFonts w:ascii="Times New Roman" w:eastAsia="Calibri" w:hAnsi="Times New Roman" w:cs="Times New Roman"/>
          <w:noProof/>
          <w:sz w:val="24"/>
          <w:szCs w:val="24"/>
        </w:rPr>
        <w:t xml:space="preserve"> are </w:t>
      </w:r>
      <w:r w:rsidRPr="002661A8" w:rsidDel="0032097B">
        <w:rPr>
          <w:rFonts w:ascii="Times New Roman" w:eastAsia="Calibri" w:hAnsi="Times New Roman" w:cs="Times New Roman"/>
          <w:noProof/>
          <w:sz w:val="24"/>
          <w:szCs w:val="24"/>
        </w:rPr>
        <w:t xml:space="preserve">the </w:t>
      </w:r>
      <w:r w:rsidRPr="002661A8">
        <w:rPr>
          <w:rFonts w:ascii="Times New Roman" w:eastAsia="Calibri" w:hAnsi="Times New Roman" w:cs="Times New Roman"/>
          <w:noProof/>
          <w:sz w:val="24"/>
          <w:szCs w:val="24"/>
        </w:rPr>
        <w:t>main clearing members.</w:t>
      </w:r>
      <w:r w:rsidR="0032097B" w:rsidRPr="002661A8">
        <w:rPr>
          <w:rFonts w:ascii="Times New Roman" w:eastAsia="Calibri" w:hAnsi="Times New Roman" w:cs="Times New Roman"/>
          <w:noProof/>
          <w:sz w:val="24"/>
          <w:szCs w:val="24"/>
        </w:rPr>
        <w:t xml:space="preserve"> </w:t>
      </w:r>
      <w:r w:rsidR="003050B3" w:rsidRPr="002661A8">
        <w:rPr>
          <w:rFonts w:ascii="Times New Roman" w:eastAsia="Calibri" w:hAnsi="Times New Roman" w:cs="Times New Roman"/>
          <w:noProof/>
          <w:sz w:val="24"/>
          <w:szCs w:val="24"/>
        </w:rPr>
        <w:t xml:space="preserve">Smaller undertakings would be clients, clearing through clearing members. </w:t>
      </w:r>
      <w:r w:rsidRPr="002661A8" w:rsidDel="0032097B">
        <w:rPr>
          <w:rFonts w:ascii="Times New Roman" w:eastAsia="Calibri" w:hAnsi="Times New Roman" w:cs="Times New Roman"/>
          <w:noProof/>
          <w:sz w:val="24"/>
          <w:szCs w:val="24"/>
        </w:rPr>
        <w:t>As such, requirements targeting</w:t>
      </w:r>
      <w:r w:rsidR="00DB1899" w:rsidRPr="002661A8">
        <w:rPr>
          <w:rFonts w:ascii="Times New Roman" w:eastAsia="Calibri" w:hAnsi="Times New Roman" w:cs="Times New Roman"/>
          <w:noProof/>
          <w:sz w:val="24"/>
          <w:szCs w:val="24"/>
        </w:rPr>
        <w:t xml:space="preserve"> </w:t>
      </w:r>
      <w:r w:rsidR="002612E3" w:rsidRPr="002661A8">
        <w:rPr>
          <w:rFonts w:ascii="Times New Roman" w:eastAsia="Calibri" w:hAnsi="Times New Roman" w:cs="Times New Roman"/>
          <w:noProof/>
          <w:sz w:val="24"/>
          <w:szCs w:val="24"/>
        </w:rPr>
        <w:t>banks and investment firms</w:t>
      </w:r>
      <w:r w:rsidR="002612E3" w:rsidRPr="002661A8" w:rsidDel="0032097B">
        <w:rPr>
          <w:rFonts w:ascii="Times New Roman" w:eastAsia="Calibri" w:hAnsi="Times New Roman" w:cs="Times New Roman"/>
          <w:noProof/>
          <w:sz w:val="24"/>
          <w:szCs w:val="24"/>
        </w:rPr>
        <w:t xml:space="preserve"> </w:t>
      </w:r>
      <w:r w:rsidR="00F97DF8" w:rsidRPr="002661A8">
        <w:rPr>
          <w:rFonts w:ascii="Times New Roman" w:eastAsia="Calibri" w:hAnsi="Times New Roman" w:cs="Times New Roman"/>
          <w:noProof/>
          <w:sz w:val="24"/>
          <w:szCs w:val="24"/>
        </w:rPr>
        <w:t xml:space="preserve">would </w:t>
      </w:r>
      <w:r w:rsidR="00CF180A">
        <w:rPr>
          <w:rFonts w:ascii="Times New Roman" w:eastAsia="Calibri" w:hAnsi="Times New Roman" w:cs="Times New Roman"/>
          <w:noProof/>
          <w:sz w:val="24"/>
          <w:szCs w:val="24"/>
        </w:rPr>
        <w:t>influence</w:t>
      </w:r>
      <w:r w:rsidR="00F8421D">
        <w:rPr>
          <w:rFonts w:ascii="Times New Roman" w:eastAsia="Calibri" w:hAnsi="Times New Roman" w:cs="Times New Roman"/>
          <w:noProof/>
          <w:sz w:val="24"/>
          <w:szCs w:val="24"/>
        </w:rPr>
        <w:t xml:space="preserve"> the </w:t>
      </w:r>
      <w:r w:rsidR="00F97DF8" w:rsidRPr="002661A8">
        <w:rPr>
          <w:rFonts w:ascii="Times New Roman" w:eastAsia="Calibri" w:hAnsi="Times New Roman" w:cs="Times New Roman"/>
          <w:noProof/>
          <w:sz w:val="24"/>
          <w:szCs w:val="24"/>
        </w:rPr>
        <w:t>demand for clearing services</w:t>
      </w:r>
      <w:r w:rsidR="00F8421D">
        <w:rPr>
          <w:rFonts w:ascii="Times New Roman" w:eastAsia="Calibri" w:hAnsi="Times New Roman" w:cs="Times New Roman"/>
          <w:noProof/>
          <w:sz w:val="24"/>
          <w:szCs w:val="24"/>
        </w:rPr>
        <w:t xml:space="preserve"> </w:t>
      </w:r>
      <w:r w:rsidR="00F97DF8" w:rsidRPr="002661A8" w:rsidDel="00F8421D">
        <w:rPr>
          <w:rFonts w:ascii="Times New Roman" w:eastAsia="Calibri" w:hAnsi="Times New Roman" w:cs="Times New Roman"/>
          <w:noProof/>
          <w:sz w:val="24"/>
          <w:szCs w:val="24"/>
        </w:rPr>
        <w:t xml:space="preserve">and play a role </w:t>
      </w:r>
      <w:r w:rsidRPr="002661A8" w:rsidDel="00F8421D">
        <w:rPr>
          <w:rFonts w:ascii="Times New Roman" w:eastAsia="Calibri" w:hAnsi="Times New Roman" w:cs="Times New Roman"/>
          <w:noProof/>
          <w:sz w:val="24"/>
          <w:szCs w:val="24"/>
        </w:rPr>
        <w:t xml:space="preserve">in reducing </w:t>
      </w:r>
      <w:r w:rsidR="0032097B" w:rsidRPr="002661A8" w:rsidDel="00F8421D">
        <w:rPr>
          <w:rFonts w:ascii="Times New Roman" w:eastAsia="Calibri" w:hAnsi="Times New Roman" w:cs="Times New Roman"/>
          <w:noProof/>
          <w:sz w:val="24"/>
          <w:szCs w:val="24"/>
        </w:rPr>
        <w:t xml:space="preserve">the </w:t>
      </w:r>
      <w:r w:rsidRPr="002661A8" w:rsidDel="00F8421D">
        <w:rPr>
          <w:rFonts w:ascii="Times New Roman" w:eastAsia="Calibri" w:hAnsi="Times New Roman" w:cs="Times New Roman"/>
          <w:noProof/>
          <w:sz w:val="24"/>
          <w:szCs w:val="24"/>
        </w:rPr>
        <w:t xml:space="preserve">over-reliance on </w:t>
      </w:r>
      <w:r w:rsidR="00663570" w:rsidRPr="002661A8" w:rsidDel="00F8421D">
        <w:rPr>
          <w:rFonts w:ascii="Times New Roman" w:eastAsia="Calibri" w:hAnsi="Times New Roman" w:cs="Times New Roman"/>
          <w:noProof/>
          <w:sz w:val="24"/>
          <w:szCs w:val="24"/>
        </w:rPr>
        <w:t>Tier 2</w:t>
      </w:r>
      <w:r w:rsidR="0032097B" w:rsidRPr="002661A8" w:rsidDel="00F8421D">
        <w:rPr>
          <w:rFonts w:ascii="Times New Roman" w:eastAsia="Calibri" w:hAnsi="Times New Roman" w:cs="Times New Roman"/>
          <w:noProof/>
          <w:sz w:val="24"/>
          <w:szCs w:val="24"/>
        </w:rPr>
        <w:t xml:space="preserve"> </w:t>
      </w:r>
      <w:r w:rsidRPr="002661A8" w:rsidDel="00F8421D">
        <w:rPr>
          <w:rFonts w:ascii="Times New Roman" w:eastAsia="Calibri" w:hAnsi="Times New Roman" w:cs="Times New Roman"/>
          <w:noProof/>
          <w:sz w:val="24"/>
          <w:szCs w:val="24"/>
        </w:rPr>
        <w:t>CCPs</w:t>
      </w:r>
      <w:r w:rsidRPr="002661A8">
        <w:rPr>
          <w:rFonts w:ascii="Times New Roman" w:eastAsia="Calibri" w:hAnsi="Times New Roman" w:cs="Times New Roman"/>
          <w:noProof/>
          <w:sz w:val="24"/>
          <w:szCs w:val="24"/>
        </w:rPr>
        <w:t xml:space="preserve">. </w:t>
      </w:r>
      <w:bookmarkEnd w:id="1004"/>
    </w:p>
    <w:p w14:paraId="40AC57BA" w14:textId="7BF684EF" w:rsidR="00190B20" w:rsidRDefault="009C5D9B" w:rsidP="008331A8">
      <w:pPr>
        <w:tabs>
          <w:tab w:val="left" w:pos="2302"/>
        </w:tabs>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The </w:t>
      </w:r>
      <w:r w:rsidRPr="00BE3B33">
        <w:rPr>
          <w:rFonts w:ascii="Times New Roman" w:eastAsia="Calibri" w:hAnsi="Times New Roman" w:cs="Times New Roman"/>
          <w:b/>
          <w:noProof/>
          <w:sz w:val="24"/>
          <w:szCs w:val="24"/>
        </w:rPr>
        <w:t>first</w:t>
      </w:r>
      <w:r w:rsidR="000658C2" w:rsidRPr="00BE3B33" w:rsidDel="00365582">
        <w:rPr>
          <w:rFonts w:ascii="Times New Roman" w:eastAsia="Calibri" w:hAnsi="Times New Roman" w:cs="Times New Roman"/>
          <w:b/>
          <w:noProof/>
          <w:sz w:val="24"/>
          <w:szCs w:val="24"/>
        </w:rPr>
        <w:t xml:space="preserve"> </w:t>
      </w:r>
      <w:r w:rsidR="00365582" w:rsidRPr="00BE3B33">
        <w:rPr>
          <w:rFonts w:ascii="Times New Roman" w:eastAsia="Calibri" w:hAnsi="Times New Roman" w:cs="Times New Roman"/>
          <w:b/>
          <w:noProof/>
          <w:sz w:val="24"/>
          <w:szCs w:val="24"/>
        </w:rPr>
        <w:t>sub-option</w:t>
      </w:r>
      <w:r w:rsidR="000658C2" w:rsidRPr="00BE3B33">
        <w:rPr>
          <w:rFonts w:ascii="Times New Roman" w:eastAsia="Calibri" w:hAnsi="Times New Roman" w:cs="Times New Roman"/>
          <w:b/>
          <w:noProof/>
          <w:sz w:val="24"/>
          <w:szCs w:val="24"/>
        </w:rPr>
        <w:t xml:space="preserve"> </w:t>
      </w:r>
      <w:r w:rsidR="00FF2EC3" w:rsidRPr="00BE3B33">
        <w:rPr>
          <w:rFonts w:ascii="Times New Roman" w:eastAsia="Calibri" w:hAnsi="Times New Roman" w:cs="Times New Roman"/>
          <w:b/>
          <w:noProof/>
          <w:sz w:val="24"/>
          <w:szCs w:val="24"/>
        </w:rPr>
        <w:t>(Option B2.1)</w:t>
      </w:r>
      <w:r w:rsidR="000658C2"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 xml:space="preserve">would introduce </w:t>
      </w:r>
      <w:r w:rsidR="0032097B" w:rsidRPr="002661A8">
        <w:rPr>
          <w:rFonts w:ascii="Times New Roman" w:eastAsia="Calibri" w:hAnsi="Times New Roman" w:cs="Times New Roman"/>
          <w:noProof/>
          <w:sz w:val="24"/>
          <w:szCs w:val="24"/>
        </w:rPr>
        <w:t xml:space="preserve">a new specific </w:t>
      </w:r>
      <w:r w:rsidR="000923BE" w:rsidRPr="002661A8">
        <w:rPr>
          <w:rFonts w:ascii="Times New Roman" w:eastAsia="Calibri" w:hAnsi="Times New Roman" w:cs="Times New Roman"/>
          <w:noProof/>
          <w:sz w:val="24"/>
          <w:szCs w:val="24"/>
        </w:rPr>
        <w:t>large exposure limit</w:t>
      </w:r>
      <w:r w:rsidR="008F4457" w:rsidRPr="002661A8">
        <w:rPr>
          <w:rStyle w:val="FootnoteReference"/>
          <w:rFonts w:ascii="Times New Roman" w:eastAsia="Calibri" w:hAnsi="Times New Roman" w:cs="Times New Roman"/>
          <w:noProof/>
          <w:sz w:val="24"/>
          <w:szCs w:val="24"/>
        </w:rPr>
        <w:footnoteReference w:id="127"/>
      </w:r>
      <w:r w:rsidR="000923BE" w:rsidRPr="002661A8">
        <w:rPr>
          <w:rFonts w:ascii="Times New Roman" w:eastAsia="Calibri" w:hAnsi="Times New Roman" w:cs="Times New Roman"/>
          <w:noProof/>
          <w:sz w:val="24"/>
          <w:szCs w:val="24"/>
        </w:rPr>
        <w:t xml:space="preserve"> </w:t>
      </w:r>
      <w:r w:rsidR="002612E3" w:rsidRPr="002661A8">
        <w:rPr>
          <w:rFonts w:ascii="Times New Roman" w:hAnsi="Times New Roman" w:cs="Times New Roman"/>
          <w:noProof/>
          <w:sz w:val="24"/>
          <w:szCs w:val="24"/>
        </w:rPr>
        <w:t>to</w:t>
      </w:r>
      <w:r w:rsidR="008F4457" w:rsidRPr="002661A8">
        <w:rPr>
          <w:rFonts w:ascii="Times New Roman" w:hAnsi="Times New Roman" w:cs="Times New Roman"/>
          <w:noProof/>
          <w:sz w:val="24"/>
          <w:szCs w:val="24"/>
        </w:rPr>
        <w:t xml:space="preserve"> discourage banks from being heavily exposed to a single CCP</w:t>
      </w:r>
      <w:r w:rsidR="000658C2" w:rsidRPr="002661A8">
        <w:rPr>
          <w:rFonts w:ascii="Times New Roman" w:hAnsi="Times New Roman" w:cs="Times New Roman"/>
          <w:noProof/>
          <w:sz w:val="24"/>
          <w:szCs w:val="24"/>
        </w:rPr>
        <w:t xml:space="preserve"> (EU or third</w:t>
      </w:r>
      <w:r w:rsidR="00C97709" w:rsidRPr="002661A8">
        <w:rPr>
          <w:rFonts w:ascii="Times New Roman" w:hAnsi="Times New Roman" w:cs="Times New Roman"/>
          <w:noProof/>
          <w:sz w:val="24"/>
          <w:szCs w:val="24"/>
        </w:rPr>
        <w:t>-</w:t>
      </w:r>
      <w:r w:rsidR="000658C2" w:rsidRPr="002661A8">
        <w:rPr>
          <w:rFonts w:ascii="Times New Roman" w:hAnsi="Times New Roman" w:cs="Times New Roman"/>
          <w:noProof/>
          <w:sz w:val="24"/>
          <w:szCs w:val="24"/>
        </w:rPr>
        <w:t>country)</w:t>
      </w:r>
      <w:r w:rsidR="008F4457" w:rsidRPr="002661A8">
        <w:rPr>
          <w:rFonts w:ascii="Times New Roman" w:hAnsi="Times New Roman" w:cs="Times New Roman"/>
          <w:noProof/>
          <w:sz w:val="24"/>
          <w:szCs w:val="24"/>
        </w:rPr>
        <w:t>.</w:t>
      </w:r>
      <w:r w:rsidR="000923BE" w:rsidRPr="002661A8">
        <w:rPr>
          <w:rFonts w:ascii="Times New Roman" w:hAnsi="Times New Roman" w:cs="Times New Roman"/>
          <w:noProof/>
          <w:sz w:val="24"/>
          <w:szCs w:val="24"/>
        </w:rPr>
        <w:t xml:space="preserve"> </w:t>
      </w:r>
      <w:r w:rsidR="00956AB9" w:rsidRPr="002661A8">
        <w:rPr>
          <w:rFonts w:ascii="Times New Roman" w:eastAsia="Calibri" w:hAnsi="Times New Roman" w:cs="Times New Roman"/>
          <w:noProof/>
          <w:sz w:val="24"/>
          <w:szCs w:val="24"/>
        </w:rPr>
        <w:t>T</w:t>
      </w:r>
      <w:r w:rsidR="0032097B" w:rsidRPr="002661A8">
        <w:rPr>
          <w:rFonts w:ascii="Times New Roman" w:eastAsia="Calibri" w:hAnsi="Times New Roman" w:cs="Times New Roman"/>
          <w:noProof/>
          <w:sz w:val="24"/>
          <w:szCs w:val="24"/>
        </w:rPr>
        <w:t xml:space="preserve">his </w:t>
      </w:r>
      <w:r w:rsidR="000923BE" w:rsidRPr="002661A8">
        <w:rPr>
          <w:rFonts w:ascii="Times New Roman" w:eastAsia="Calibri" w:hAnsi="Times New Roman" w:cs="Times New Roman"/>
          <w:noProof/>
          <w:sz w:val="24"/>
          <w:szCs w:val="24"/>
        </w:rPr>
        <w:t xml:space="preserve">would </w:t>
      </w:r>
      <w:r w:rsidR="000658C2" w:rsidRPr="002661A8">
        <w:rPr>
          <w:rFonts w:ascii="Times New Roman" w:eastAsia="Calibri" w:hAnsi="Times New Roman" w:cs="Times New Roman"/>
          <w:noProof/>
          <w:sz w:val="24"/>
          <w:szCs w:val="24"/>
        </w:rPr>
        <w:t xml:space="preserve">be </w:t>
      </w:r>
      <w:r w:rsidR="0032097B" w:rsidRPr="002661A8">
        <w:rPr>
          <w:rFonts w:ascii="Times New Roman" w:eastAsia="Calibri" w:hAnsi="Times New Roman" w:cs="Times New Roman"/>
          <w:noProof/>
          <w:sz w:val="24"/>
          <w:szCs w:val="24"/>
        </w:rPr>
        <w:t>a</w:t>
      </w:r>
      <w:r w:rsidR="000923BE" w:rsidRPr="002661A8">
        <w:rPr>
          <w:rFonts w:ascii="Times New Roman" w:eastAsia="Calibri" w:hAnsi="Times New Roman" w:cs="Times New Roman"/>
          <w:noProof/>
          <w:sz w:val="24"/>
          <w:szCs w:val="24"/>
        </w:rPr>
        <w:t xml:space="preserve"> Pillar 1 requirement</w:t>
      </w:r>
      <w:r w:rsidR="00E02B72" w:rsidRPr="002661A8">
        <w:rPr>
          <w:rFonts w:ascii="Times New Roman" w:eastAsia="Calibri" w:hAnsi="Times New Roman" w:cs="Times New Roman"/>
          <w:noProof/>
          <w:sz w:val="24"/>
          <w:szCs w:val="24"/>
        </w:rPr>
        <w:t>,</w:t>
      </w:r>
      <w:r w:rsidR="0079700E" w:rsidRPr="002661A8">
        <w:rPr>
          <w:rStyle w:val="FootnoteReference"/>
          <w:rFonts w:ascii="Times New Roman" w:eastAsia="Calibri" w:hAnsi="Times New Roman" w:cs="Times New Roman"/>
          <w:noProof/>
          <w:sz w:val="24"/>
          <w:szCs w:val="24"/>
        </w:rPr>
        <w:footnoteReference w:id="128"/>
      </w:r>
      <w:r w:rsidR="0032097B" w:rsidRPr="002661A8">
        <w:rPr>
          <w:rFonts w:ascii="Times New Roman" w:eastAsia="Calibri" w:hAnsi="Times New Roman" w:cs="Times New Roman"/>
          <w:noProof/>
          <w:sz w:val="24"/>
          <w:szCs w:val="24"/>
        </w:rPr>
        <w:t xml:space="preserve"> directly applicable to EU </w:t>
      </w:r>
      <w:r w:rsidR="00E02B72" w:rsidRPr="002661A8">
        <w:rPr>
          <w:rFonts w:ascii="Times New Roman" w:eastAsia="Calibri" w:hAnsi="Times New Roman" w:cs="Times New Roman"/>
          <w:noProof/>
          <w:sz w:val="24"/>
          <w:szCs w:val="24"/>
        </w:rPr>
        <w:t>banks</w:t>
      </w:r>
      <w:r w:rsidR="000658C2" w:rsidRPr="002661A8">
        <w:rPr>
          <w:rFonts w:ascii="Times New Roman" w:eastAsia="Calibri" w:hAnsi="Times New Roman" w:cs="Times New Roman"/>
          <w:noProof/>
          <w:sz w:val="24"/>
          <w:szCs w:val="24"/>
        </w:rPr>
        <w:t xml:space="preserve">. In case of breach, and absent adequate remediation in a certain timeframe, it </w:t>
      </w:r>
      <w:r w:rsidR="0032097B" w:rsidRPr="002661A8">
        <w:rPr>
          <w:rFonts w:ascii="Times New Roman" w:eastAsia="Calibri" w:hAnsi="Times New Roman" w:cs="Times New Roman"/>
          <w:noProof/>
          <w:sz w:val="24"/>
          <w:szCs w:val="24"/>
        </w:rPr>
        <w:t>c</w:t>
      </w:r>
      <w:r w:rsidR="000923BE" w:rsidRPr="002661A8">
        <w:rPr>
          <w:rFonts w:ascii="Times New Roman" w:eastAsia="Calibri" w:hAnsi="Times New Roman" w:cs="Times New Roman"/>
          <w:noProof/>
          <w:sz w:val="24"/>
          <w:szCs w:val="24"/>
        </w:rPr>
        <w:t xml:space="preserve">ould lead to higher capital </w:t>
      </w:r>
      <w:r w:rsidR="001F0BE5" w:rsidRPr="002661A8">
        <w:rPr>
          <w:rFonts w:ascii="Times New Roman" w:eastAsia="Calibri" w:hAnsi="Times New Roman" w:cs="Times New Roman"/>
          <w:noProof/>
          <w:sz w:val="24"/>
          <w:szCs w:val="24"/>
        </w:rPr>
        <w:t>requirements</w:t>
      </w:r>
      <w:r w:rsidR="00154F23">
        <w:rPr>
          <w:rStyle w:val="FootnoteReference"/>
          <w:rFonts w:ascii="Times New Roman" w:eastAsia="Calibri" w:hAnsi="Times New Roman" w:cs="Times New Roman"/>
          <w:noProof/>
          <w:sz w:val="24"/>
          <w:szCs w:val="24"/>
        </w:rPr>
        <w:footnoteReference w:id="129"/>
      </w:r>
      <w:r w:rsidR="000923BE" w:rsidRPr="002661A8">
        <w:rPr>
          <w:rFonts w:ascii="Times New Roman" w:eastAsia="Calibri" w:hAnsi="Times New Roman" w:cs="Times New Roman"/>
          <w:noProof/>
          <w:sz w:val="24"/>
          <w:szCs w:val="24"/>
        </w:rPr>
        <w:t xml:space="preserve">. </w:t>
      </w:r>
      <w:r w:rsidR="0032097B" w:rsidRPr="002661A8">
        <w:rPr>
          <w:rFonts w:ascii="Times New Roman" w:eastAsia="Calibri" w:hAnsi="Times New Roman" w:cs="Times New Roman"/>
          <w:noProof/>
          <w:sz w:val="24"/>
          <w:szCs w:val="24"/>
        </w:rPr>
        <w:t xml:space="preserve">This new limit would incentivise EU </w:t>
      </w:r>
      <w:r w:rsidR="00E02B72" w:rsidRPr="002661A8">
        <w:rPr>
          <w:rFonts w:ascii="Times New Roman" w:eastAsia="Calibri" w:hAnsi="Times New Roman" w:cs="Times New Roman"/>
          <w:noProof/>
          <w:sz w:val="24"/>
          <w:szCs w:val="24"/>
        </w:rPr>
        <w:t>banks</w:t>
      </w:r>
      <w:r w:rsidR="0032097B" w:rsidRPr="002661A8">
        <w:rPr>
          <w:rFonts w:ascii="Times New Roman" w:eastAsia="Calibri" w:hAnsi="Times New Roman" w:cs="Times New Roman"/>
          <w:noProof/>
          <w:sz w:val="24"/>
          <w:szCs w:val="24"/>
        </w:rPr>
        <w:t xml:space="preserve"> to diversify their clearing activities across CCPs. While </w:t>
      </w:r>
      <w:r w:rsidR="002612E3" w:rsidRPr="002661A8">
        <w:rPr>
          <w:rFonts w:ascii="Times New Roman" w:eastAsia="Calibri" w:hAnsi="Times New Roman" w:cs="Times New Roman"/>
          <w:noProof/>
          <w:sz w:val="24"/>
          <w:szCs w:val="24"/>
        </w:rPr>
        <w:t xml:space="preserve">helping </w:t>
      </w:r>
      <w:r w:rsidR="0032097B" w:rsidRPr="002661A8">
        <w:rPr>
          <w:rFonts w:ascii="Times New Roman" w:eastAsia="Calibri" w:hAnsi="Times New Roman" w:cs="Times New Roman"/>
          <w:noProof/>
          <w:sz w:val="24"/>
          <w:szCs w:val="24"/>
        </w:rPr>
        <w:t>reduc</w:t>
      </w:r>
      <w:r w:rsidR="002612E3" w:rsidRPr="002661A8">
        <w:rPr>
          <w:rFonts w:ascii="Times New Roman" w:eastAsia="Calibri" w:hAnsi="Times New Roman" w:cs="Times New Roman"/>
          <w:noProof/>
          <w:sz w:val="24"/>
          <w:szCs w:val="24"/>
        </w:rPr>
        <w:t>e</w:t>
      </w:r>
      <w:r w:rsidR="0032097B" w:rsidRPr="002661A8">
        <w:rPr>
          <w:rFonts w:ascii="Times New Roman" w:eastAsia="Calibri" w:hAnsi="Times New Roman" w:cs="Times New Roman"/>
          <w:noProof/>
          <w:sz w:val="24"/>
          <w:szCs w:val="24"/>
        </w:rPr>
        <w:t xml:space="preserve"> the </w:t>
      </w:r>
      <w:r w:rsidR="00BB44BE" w:rsidRPr="002661A8">
        <w:rPr>
          <w:rFonts w:ascii="Times New Roman" w:eastAsia="Calibri" w:hAnsi="Times New Roman" w:cs="Times New Roman"/>
          <w:noProof/>
          <w:sz w:val="24"/>
          <w:szCs w:val="24"/>
        </w:rPr>
        <w:t xml:space="preserve">over-reliance </w:t>
      </w:r>
      <w:r w:rsidR="0032097B" w:rsidRPr="002661A8">
        <w:rPr>
          <w:rFonts w:ascii="Times New Roman" w:eastAsia="Calibri" w:hAnsi="Times New Roman" w:cs="Times New Roman"/>
          <w:noProof/>
          <w:sz w:val="24"/>
          <w:szCs w:val="24"/>
        </w:rPr>
        <w:t>on certain</w:t>
      </w:r>
      <w:r w:rsidR="00BB44BE" w:rsidRPr="002661A8">
        <w:rPr>
          <w:rFonts w:ascii="Times New Roman" w:eastAsia="Calibri" w:hAnsi="Times New Roman" w:cs="Times New Roman"/>
          <w:noProof/>
          <w:sz w:val="24"/>
          <w:szCs w:val="24"/>
        </w:rPr>
        <w:t xml:space="preserve"> systemic CCPs</w:t>
      </w:r>
      <w:r w:rsidR="0032097B" w:rsidRPr="002661A8">
        <w:rPr>
          <w:rFonts w:ascii="Times New Roman" w:eastAsia="Calibri" w:hAnsi="Times New Roman" w:cs="Times New Roman"/>
          <w:noProof/>
          <w:sz w:val="24"/>
          <w:szCs w:val="24"/>
        </w:rPr>
        <w:t>, this would not</w:t>
      </w:r>
      <w:r w:rsidR="00BB44BE" w:rsidRPr="002661A8">
        <w:rPr>
          <w:rFonts w:ascii="Times New Roman" w:eastAsia="Calibri" w:hAnsi="Times New Roman" w:cs="Times New Roman"/>
          <w:noProof/>
          <w:sz w:val="24"/>
          <w:szCs w:val="24"/>
        </w:rPr>
        <w:t xml:space="preserve"> </w:t>
      </w:r>
      <w:r w:rsidR="0063278C" w:rsidRPr="002661A8">
        <w:rPr>
          <w:rFonts w:ascii="Times New Roman" w:eastAsia="Calibri" w:hAnsi="Times New Roman" w:cs="Times New Roman"/>
          <w:noProof/>
          <w:sz w:val="24"/>
          <w:szCs w:val="24"/>
        </w:rPr>
        <w:t xml:space="preserve">necessarily </w:t>
      </w:r>
      <w:r w:rsidR="00A228DD">
        <w:rPr>
          <w:rFonts w:ascii="Times New Roman" w:eastAsia="Calibri" w:hAnsi="Times New Roman" w:cs="Times New Roman"/>
          <w:noProof/>
          <w:sz w:val="24"/>
          <w:szCs w:val="24"/>
        </w:rPr>
        <w:t>encourage</w:t>
      </w:r>
      <w:r w:rsidR="00FC11FF" w:rsidRPr="002661A8">
        <w:rPr>
          <w:rFonts w:ascii="Times New Roman" w:eastAsia="Calibri" w:hAnsi="Times New Roman" w:cs="Times New Roman"/>
          <w:noProof/>
          <w:sz w:val="24"/>
          <w:szCs w:val="24"/>
        </w:rPr>
        <w:t xml:space="preserve"> </w:t>
      </w:r>
      <w:r w:rsidR="00A228DD">
        <w:rPr>
          <w:rFonts w:ascii="Times New Roman" w:eastAsia="Calibri" w:hAnsi="Times New Roman" w:cs="Times New Roman"/>
          <w:noProof/>
          <w:sz w:val="24"/>
          <w:szCs w:val="24"/>
        </w:rPr>
        <w:t xml:space="preserve">clearing in </w:t>
      </w:r>
      <w:r w:rsidR="00FC11FF" w:rsidRPr="002661A8">
        <w:rPr>
          <w:rFonts w:ascii="Times New Roman" w:eastAsia="Calibri" w:hAnsi="Times New Roman" w:cs="Times New Roman"/>
          <w:noProof/>
          <w:sz w:val="24"/>
          <w:szCs w:val="24"/>
        </w:rPr>
        <w:t>EU CCPs</w:t>
      </w:r>
      <w:r w:rsidR="0063278C" w:rsidRPr="002661A8">
        <w:rPr>
          <w:rFonts w:ascii="Times New Roman" w:eastAsia="Calibri" w:hAnsi="Times New Roman" w:cs="Times New Roman"/>
          <w:noProof/>
          <w:sz w:val="24"/>
          <w:szCs w:val="24"/>
        </w:rPr>
        <w:t xml:space="preserve">, as exposures could be diversified among all available CCPs, including </w:t>
      </w:r>
      <w:r w:rsidR="002612E3" w:rsidRPr="002661A8">
        <w:rPr>
          <w:rFonts w:ascii="Times New Roman" w:eastAsia="Calibri" w:hAnsi="Times New Roman" w:cs="Times New Roman"/>
          <w:noProof/>
          <w:sz w:val="24"/>
          <w:szCs w:val="24"/>
        </w:rPr>
        <w:t xml:space="preserve">recognised </w:t>
      </w:r>
      <w:r w:rsidR="000658C2" w:rsidRPr="002661A8">
        <w:rPr>
          <w:rFonts w:ascii="Times New Roman" w:eastAsia="Calibri" w:hAnsi="Times New Roman" w:cs="Times New Roman"/>
          <w:noProof/>
          <w:sz w:val="24"/>
          <w:szCs w:val="24"/>
        </w:rPr>
        <w:t xml:space="preserve">third-country </w:t>
      </w:r>
      <w:r w:rsidR="002612E3" w:rsidRPr="002661A8">
        <w:rPr>
          <w:rFonts w:ascii="Times New Roman" w:eastAsia="Calibri" w:hAnsi="Times New Roman" w:cs="Times New Roman"/>
          <w:noProof/>
          <w:sz w:val="24"/>
          <w:szCs w:val="24"/>
        </w:rPr>
        <w:t>CCPs</w:t>
      </w:r>
      <w:r w:rsidR="00A228DD">
        <w:rPr>
          <w:rFonts w:ascii="Times New Roman" w:eastAsia="Calibri" w:hAnsi="Times New Roman" w:cs="Times New Roman"/>
          <w:noProof/>
          <w:sz w:val="24"/>
          <w:szCs w:val="24"/>
        </w:rPr>
        <w:t>, potentially increasing risks in other third-country CCPs</w:t>
      </w:r>
      <w:r w:rsidR="00BB44BE" w:rsidRPr="002661A8">
        <w:rPr>
          <w:rFonts w:ascii="Times New Roman" w:eastAsia="Calibri" w:hAnsi="Times New Roman" w:cs="Times New Roman"/>
          <w:noProof/>
          <w:sz w:val="24"/>
          <w:szCs w:val="24"/>
        </w:rPr>
        <w:t xml:space="preserve">. </w:t>
      </w:r>
      <w:r w:rsidR="00DB1899" w:rsidRPr="002661A8">
        <w:rPr>
          <w:rFonts w:ascii="Times New Roman" w:eastAsia="Calibri" w:hAnsi="Times New Roman" w:cs="Times New Roman"/>
          <w:noProof/>
          <w:sz w:val="24"/>
          <w:szCs w:val="24"/>
        </w:rPr>
        <w:t xml:space="preserve">In addition, </w:t>
      </w:r>
      <w:r w:rsidR="00411565" w:rsidRPr="002661A8">
        <w:rPr>
          <w:rFonts w:ascii="Times New Roman" w:eastAsia="Calibri" w:hAnsi="Times New Roman" w:cs="Times New Roman"/>
          <w:noProof/>
          <w:sz w:val="24"/>
          <w:szCs w:val="24"/>
        </w:rPr>
        <w:t xml:space="preserve">this option would introduce a hard limit that could </w:t>
      </w:r>
      <w:r w:rsidR="002612E3" w:rsidRPr="002661A8">
        <w:rPr>
          <w:rFonts w:ascii="Times New Roman" w:eastAsia="Calibri" w:hAnsi="Times New Roman" w:cs="Times New Roman"/>
          <w:noProof/>
          <w:sz w:val="24"/>
          <w:szCs w:val="24"/>
        </w:rPr>
        <w:t xml:space="preserve">impact </w:t>
      </w:r>
      <w:r w:rsidR="00411565" w:rsidRPr="002661A8">
        <w:rPr>
          <w:rFonts w:ascii="Times New Roman" w:eastAsia="Calibri" w:hAnsi="Times New Roman" w:cs="Times New Roman"/>
          <w:noProof/>
          <w:sz w:val="24"/>
          <w:szCs w:val="24"/>
        </w:rPr>
        <w:t xml:space="preserve">the trading capacity of </w:t>
      </w:r>
      <w:r w:rsidR="00EE6E58" w:rsidRPr="002661A8">
        <w:rPr>
          <w:rFonts w:ascii="Times New Roman" w:eastAsia="Calibri" w:hAnsi="Times New Roman" w:cs="Times New Roman"/>
          <w:noProof/>
          <w:sz w:val="24"/>
          <w:szCs w:val="24"/>
        </w:rPr>
        <w:t>banks</w:t>
      </w:r>
      <w:r w:rsidR="00411565" w:rsidRPr="002661A8">
        <w:rPr>
          <w:rFonts w:ascii="Times New Roman" w:eastAsia="Calibri" w:hAnsi="Times New Roman" w:cs="Times New Roman"/>
          <w:noProof/>
          <w:sz w:val="24"/>
          <w:szCs w:val="24"/>
        </w:rPr>
        <w:t>, particular</w:t>
      </w:r>
      <w:r w:rsidR="001A6579" w:rsidRPr="002661A8">
        <w:rPr>
          <w:rFonts w:ascii="Times New Roman" w:eastAsia="Calibri" w:hAnsi="Times New Roman" w:cs="Times New Roman"/>
          <w:noProof/>
          <w:sz w:val="24"/>
          <w:szCs w:val="24"/>
        </w:rPr>
        <w:t>ly</w:t>
      </w:r>
      <w:r w:rsidR="00411565" w:rsidRPr="002661A8">
        <w:rPr>
          <w:rFonts w:ascii="Times New Roman" w:eastAsia="Calibri" w:hAnsi="Times New Roman" w:cs="Times New Roman"/>
          <w:noProof/>
          <w:sz w:val="24"/>
          <w:szCs w:val="24"/>
        </w:rPr>
        <w:t xml:space="preserve"> market makers, and have detrimental effects on the liquidity and availability of certain markets</w:t>
      </w:r>
      <w:r w:rsidR="00134588" w:rsidRPr="002661A8">
        <w:rPr>
          <w:rFonts w:ascii="Times New Roman" w:eastAsia="Calibri" w:hAnsi="Times New Roman" w:cs="Times New Roman"/>
          <w:noProof/>
          <w:sz w:val="24"/>
          <w:szCs w:val="24"/>
        </w:rPr>
        <w:t>, in addition to potentially impacting netting sets</w:t>
      </w:r>
      <w:r w:rsidR="00411565" w:rsidRPr="002661A8">
        <w:rPr>
          <w:rFonts w:ascii="Times New Roman" w:eastAsia="Calibri" w:hAnsi="Times New Roman" w:cs="Times New Roman"/>
          <w:noProof/>
          <w:sz w:val="24"/>
          <w:szCs w:val="24"/>
        </w:rPr>
        <w:t xml:space="preserve">. Also, depending on the CCPs’ offer, adequate diversification may not be possible and </w:t>
      </w:r>
      <w:r w:rsidR="00DB1899" w:rsidRPr="002661A8">
        <w:rPr>
          <w:rFonts w:ascii="Times New Roman" w:eastAsia="Calibri" w:hAnsi="Times New Roman" w:cs="Times New Roman"/>
          <w:noProof/>
          <w:sz w:val="24"/>
          <w:szCs w:val="24"/>
        </w:rPr>
        <w:t>may</w:t>
      </w:r>
      <w:r w:rsidR="00411565" w:rsidRPr="002661A8">
        <w:rPr>
          <w:rFonts w:ascii="Times New Roman" w:eastAsia="Calibri" w:hAnsi="Times New Roman" w:cs="Times New Roman"/>
          <w:noProof/>
          <w:sz w:val="24"/>
          <w:szCs w:val="24"/>
        </w:rPr>
        <w:t xml:space="preserve"> force </w:t>
      </w:r>
      <w:r w:rsidR="00EE6E58" w:rsidRPr="002661A8">
        <w:rPr>
          <w:rFonts w:ascii="Times New Roman" w:eastAsia="Calibri" w:hAnsi="Times New Roman" w:cs="Times New Roman"/>
          <w:noProof/>
          <w:sz w:val="24"/>
          <w:szCs w:val="24"/>
        </w:rPr>
        <w:t>banks</w:t>
      </w:r>
      <w:r w:rsidR="00411565" w:rsidRPr="002661A8">
        <w:rPr>
          <w:rFonts w:ascii="Times New Roman" w:eastAsia="Calibri" w:hAnsi="Times New Roman" w:cs="Times New Roman"/>
          <w:noProof/>
          <w:sz w:val="24"/>
          <w:szCs w:val="24"/>
        </w:rPr>
        <w:t xml:space="preserve"> to face a surcharge in terms of capital requirements</w:t>
      </w:r>
      <w:r w:rsidR="0063278C" w:rsidRPr="002661A8">
        <w:rPr>
          <w:rFonts w:ascii="Times New Roman" w:eastAsia="Calibri" w:hAnsi="Times New Roman" w:cs="Times New Roman"/>
          <w:noProof/>
          <w:sz w:val="24"/>
          <w:szCs w:val="24"/>
        </w:rPr>
        <w:t xml:space="preserve"> for those clearing products where no (sufficient) substitutability is available</w:t>
      </w:r>
      <w:r w:rsidR="00530B31" w:rsidRPr="002661A8">
        <w:rPr>
          <w:rFonts w:ascii="Times New Roman" w:eastAsia="Calibri" w:hAnsi="Times New Roman" w:cs="Times New Roman"/>
          <w:noProof/>
          <w:sz w:val="24"/>
          <w:szCs w:val="24"/>
        </w:rPr>
        <w:t xml:space="preserve"> and until the offer develops</w:t>
      </w:r>
      <w:r w:rsidR="00411565" w:rsidRPr="002661A8">
        <w:rPr>
          <w:rFonts w:ascii="Times New Roman" w:eastAsia="Calibri" w:hAnsi="Times New Roman" w:cs="Times New Roman"/>
          <w:noProof/>
          <w:sz w:val="24"/>
          <w:szCs w:val="24"/>
        </w:rPr>
        <w:t xml:space="preserve">. </w:t>
      </w:r>
    </w:p>
    <w:p w14:paraId="48087484" w14:textId="3F7176A8" w:rsidR="00BB44BE" w:rsidRPr="002661A8" w:rsidRDefault="009A79AE" w:rsidP="008331A8">
      <w:pPr>
        <w:tabs>
          <w:tab w:val="left" w:pos="2302"/>
        </w:tabs>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In the </w:t>
      </w:r>
      <w:r w:rsidR="002612E3" w:rsidRPr="002661A8">
        <w:rPr>
          <w:rFonts w:ascii="Times New Roman" w:eastAsia="Calibri" w:hAnsi="Times New Roman" w:cs="Times New Roman"/>
          <w:noProof/>
          <w:sz w:val="24"/>
          <w:szCs w:val="24"/>
        </w:rPr>
        <w:t xml:space="preserve">targeted </w:t>
      </w:r>
      <w:r w:rsidR="00D16654" w:rsidRPr="002661A8">
        <w:rPr>
          <w:rFonts w:ascii="Times New Roman" w:eastAsia="Calibri" w:hAnsi="Times New Roman" w:cs="Times New Roman"/>
          <w:noProof/>
          <w:sz w:val="24"/>
          <w:szCs w:val="24"/>
        </w:rPr>
        <w:t xml:space="preserve">consultation </w:t>
      </w:r>
      <w:r w:rsidR="00D16654" w:rsidRPr="002661A8">
        <w:rPr>
          <w:rFonts w:ascii="Times New Roman" w:hAnsi="Times New Roman" w:cs="Times New Roman"/>
          <w:noProof/>
          <w:sz w:val="24"/>
          <w:szCs w:val="24"/>
        </w:rPr>
        <w:t>views were mixed regarding whether “targets” should be set</w:t>
      </w:r>
      <w:r w:rsidR="0017285E" w:rsidRPr="002661A8">
        <w:rPr>
          <w:rFonts w:ascii="Times New Roman" w:hAnsi="Times New Roman" w:cs="Times New Roman"/>
          <w:noProof/>
          <w:sz w:val="24"/>
          <w:szCs w:val="24"/>
        </w:rPr>
        <w:t xml:space="preserve">, however the majority of respondents to the consultation </w:t>
      </w:r>
      <w:r w:rsidR="00823180" w:rsidRPr="002661A8">
        <w:rPr>
          <w:rFonts w:ascii="Times New Roman" w:hAnsi="Times New Roman" w:cs="Times New Roman"/>
          <w:noProof/>
          <w:sz w:val="24"/>
          <w:szCs w:val="24"/>
        </w:rPr>
        <w:t>opposed</w:t>
      </w:r>
      <w:r w:rsidR="0017285E" w:rsidRPr="002661A8">
        <w:rPr>
          <w:rFonts w:ascii="Times New Roman" w:hAnsi="Times New Roman" w:cs="Times New Roman"/>
          <w:noProof/>
          <w:sz w:val="24"/>
          <w:szCs w:val="24"/>
        </w:rPr>
        <w:t xml:space="preserve"> “caps” on exposures to </w:t>
      </w:r>
      <w:r w:rsidR="00EE6E58" w:rsidRPr="002661A8">
        <w:rPr>
          <w:rFonts w:ascii="Times New Roman" w:hAnsi="Times New Roman" w:cs="Times New Roman"/>
          <w:noProof/>
          <w:sz w:val="24"/>
          <w:szCs w:val="24"/>
        </w:rPr>
        <w:t>Tier 2</w:t>
      </w:r>
      <w:r w:rsidR="0017285E" w:rsidRPr="002661A8">
        <w:rPr>
          <w:rFonts w:ascii="Times New Roman" w:hAnsi="Times New Roman" w:cs="Times New Roman"/>
          <w:noProof/>
          <w:sz w:val="24"/>
          <w:szCs w:val="24"/>
        </w:rPr>
        <w:t xml:space="preserve"> CCPs</w:t>
      </w:r>
      <w:r w:rsidR="0017285E" w:rsidRPr="002661A8">
        <w:rPr>
          <w:rStyle w:val="FootnoteReference"/>
          <w:rFonts w:ascii="Times New Roman" w:hAnsi="Times New Roman" w:cs="Times New Roman"/>
          <w:noProof/>
          <w:sz w:val="24"/>
          <w:szCs w:val="24"/>
        </w:rPr>
        <w:footnoteReference w:id="130"/>
      </w:r>
      <w:r w:rsidR="00D16654" w:rsidRPr="002661A8">
        <w:rPr>
          <w:rFonts w:ascii="Times New Roman" w:hAnsi="Times New Roman" w:cs="Times New Roman"/>
          <w:noProof/>
          <w:sz w:val="24"/>
          <w:szCs w:val="24"/>
        </w:rPr>
        <w:t xml:space="preserve">. </w:t>
      </w:r>
      <w:r w:rsidR="00411565" w:rsidRPr="002661A8" w:rsidDel="00F6107C">
        <w:rPr>
          <w:rFonts w:ascii="Times New Roman" w:eastAsia="Calibri" w:hAnsi="Times New Roman" w:cs="Times New Roman"/>
          <w:noProof/>
          <w:sz w:val="24"/>
          <w:szCs w:val="24"/>
        </w:rPr>
        <w:t xml:space="preserve">Considering these elements, </w:t>
      </w:r>
      <w:r w:rsidR="00134588" w:rsidRPr="002661A8" w:rsidDel="00F6107C">
        <w:rPr>
          <w:rFonts w:ascii="Times New Roman" w:eastAsia="Calibri" w:hAnsi="Times New Roman" w:cs="Times New Roman"/>
          <w:noProof/>
          <w:sz w:val="24"/>
          <w:szCs w:val="24"/>
        </w:rPr>
        <w:t xml:space="preserve">other </w:t>
      </w:r>
      <w:r w:rsidR="00411565" w:rsidRPr="002661A8" w:rsidDel="00F6107C">
        <w:rPr>
          <w:rFonts w:ascii="Times New Roman" w:eastAsia="Calibri" w:hAnsi="Times New Roman" w:cs="Times New Roman"/>
          <w:noProof/>
          <w:sz w:val="24"/>
          <w:szCs w:val="24"/>
        </w:rPr>
        <w:t>option</w:t>
      </w:r>
      <w:r w:rsidR="00134588" w:rsidRPr="002661A8" w:rsidDel="00F6107C">
        <w:rPr>
          <w:rFonts w:ascii="Times New Roman" w:eastAsia="Calibri" w:hAnsi="Times New Roman" w:cs="Times New Roman"/>
          <w:noProof/>
          <w:sz w:val="24"/>
          <w:szCs w:val="24"/>
        </w:rPr>
        <w:t>s</w:t>
      </w:r>
      <w:r w:rsidR="00411565" w:rsidRPr="002661A8" w:rsidDel="00F6107C">
        <w:rPr>
          <w:rFonts w:ascii="Times New Roman" w:eastAsia="Calibri" w:hAnsi="Times New Roman" w:cs="Times New Roman"/>
          <w:noProof/>
          <w:sz w:val="24"/>
          <w:szCs w:val="24"/>
        </w:rPr>
        <w:t xml:space="preserve"> may offer greater flexibility to accommodate a wider range of trading profiles</w:t>
      </w:r>
      <w:r w:rsidR="00154F23" w:rsidDel="00F6107C">
        <w:rPr>
          <w:rFonts w:ascii="Times New Roman" w:eastAsia="Calibri" w:hAnsi="Times New Roman" w:cs="Times New Roman"/>
          <w:noProof/>
          <w:sz w:val="24"/>
          <w:szCs w:val="24"/>
        </w:rPr>
        <w:t xml:space="preserve"> and </w:t>
      </w:r>
      <w:r w:rsidR="0018675E" w:rsidDel="00F6107C">
        <w:rPr>
          <w:rFonts w:ascii="Times New Roman" w:eastAsia="Calibri" w:hAnsi="Times New Roman" w:cs="Times New Roman"/>
          <w:noProof/>
          <w:sz w:val="24"/>
          <w:szCs w:val="24"/>
        </w:rPr>
        <w:t>may</w:t>
      </w:r>
      <w:r w:rsidR="00154F23" w:rsidDel="00F6107C">
        <w:rPr>
          <w:rFonts w:ascii="Times New Roman" w:eastAsia="Calibri" w:hAnsi="Times New Roman" w:cs="Times New Roman"/>
          <w:noProof/>
          <w:sz w:val="24"/>
          <w:szCs w:val="24"/>
        </w:rPr>
        <w:t xml:space="preserve"> be less disruptive in terms of </w:t>
      </w:r>
      <w:r w:rsidR="0018675E" w:rsidDel="00F6107C">
        <w:rPr>
          <w:rFonts w:ascii="Times New Roman" w:eastAsia="Calibri" w:hAnsi="Times New Roman" w:cs="Times New Roman"/>
          <w:noProof/>
          <w:sz w:val="24"/>
          <w:szCs w:val="24"/>
        </w:rPr>
        <w:t xml:space="preserve">trading </w:t>
      </w:r>
      <w:r w:rsidR="00154F23" w:rsidDel="00F6107C">
        <w:rPr>
          <w:rFonts w:ascii="Times New Roman" w:eastAsia="Calibri" w:hAnsi="Times New Roman" w:cs="Times New Roman"/>
          <w:noProof/>
          <w:sz w:val="24"/>
          <w:szCs w:val="24"/>
        </w:rPr>
        <w:t xml:space="preserve">activities, </w:t>
      </w:r>
      <w:r w:rsidR="0018675E" w:rsidDel="00F6107C">
        <w:rPr>
          <w:rFonts w:ascii="Times New Roman" w:eastAsia="Calibri" w:hAnsi="Times New Roman" w:cs="Times New Roman"/>
          <w:noProof/>
          <w:sz w:val="24"/>
          <w:szCs w:val="24"/>
        </w:rPr>
        <w:t>mak</w:t>
      </w:r>
      <w:r w:rsidR="00154F23" w:rsidDel="00F6107C">
        <w:rPr>
          <w:rFonts w:ascii="Times New Roman" w:eastAsia="Calibri" w:hAnsi="Times New Roman" w:cs="Times New Roman"/>
          <w:noProof/>
          <w:sz w:val="24"/>
          <w:szCs w:val="24"/>
        </w:rPr>
        <w:t xml:space="preserve">ing this sub-option </w:t>
      </w:r>
      <w:r w:rsidR="0018675E" w:rsidDel="00F6107C">
        <w:rPr>
          <w:rFonts w:ascii="Times New Roman" w:eastAsia="Calibri" w:hAnsi="Times New Roman" w:cs="Times New Roman"/>
          <w:noProof/>
          <w:sz w:val="24"/>
          <w:szCs w:val="24"/>
        </w:rPr>
        <w:t>less appealing</w:t>
      </w:r>
      <w:r w:rsidR="00411565" w:rsidRPr="002661A8" w:rsidDel="00F6107C">
        <w:rPr>
          <w:rFonts w:ascii="Times New Roman" w:eastAsia="Calibri" w:hAnsi="Times New Roman" w:cs="Times New Roman"/>
          <w:noProof/>
          <w:sz w:val="24"/>
          <w:szCs w:val="24"/>
        </w:rPr>
        <w:t>.</w:t>
      </w:r>
    </w:p>
    <w:p w14:paraId="37BEEBF1" w14:textId="228E27B5" w:rsidR="00772D02" w:rsidRDefault="00772D02" w:rsidP="00772D02">
      <w:pPr>
        <w:tabs>
          <w:tab w:val="left" w:pos="2302"/>
        </w:tabs>
        <w:spacing w:after="120" w:line="240" w:lineRule="auto"/>
        <w:jc w:val="both"/>
        <w:rPr>
          <w:rFonts w:ascii="Times New Roman" w:hAnsi="Times New Roman" w:cs="Times New Roman"/>
          <w:noProof/>
          <w:sz w:val="24"/>
          <w:szCs w:val="24"/>
        </w:rPr>
      </w:pPr>
      <w:r w:rsidRPr="00735452">
        <w:rPr>
          <w:rFonts w:ascii="Times New Roman" w:eastAsia="Calibri" w:hAnsi="Times New Roman" w:cs="Times New Roman"/>
          <w:noProof/>
          <w:sz w:val="24"/>
          <w:szCs w:val="24"/>
        </w:rPr>
        <w:t xml:space="preserve">The majority of respondents </w:t>
      </w:r>
      <w:r>
        <w:rPr>
          <w:rFonts w:ascii="Times New Roman" w:eastAsia="Calibri" w:hAnsi="Times New Roman" w:cs="Times New Roman"/>
          <w:noProof/>
          <w:sz w:val="24"/>
          <w:szCs w:val="24"/>
        </w:rPr>
        <w:t xml:space="preserve">to the targeted consultation that expressed an opinion </w:t>
      </w:r>
      <w:r w:rsidRPr="00735452">
        <w:rPr>
          <w:rFonts w:ascii="Times New Roman" w:eastAsia="Calibri" w:hAnsi="Times New Roman" w:cs="Times New Roman"/>
          <w:noProof/>
          <w:sz w:val="24"/>
          <w:szCs w:val="24"/>
        </w:rPr>
        <w:t>(70%, i.e. 19 out of 27 respondents) was against imposing higher capital requirements on Tier</w:t>
      </w:r>
      <w:r w:rsidR="00D1457A">
        <w:rPr>
          <w:rFonts w:ascii="Times New Roman" w:eastAsia="Calibri" w:hAnsi="Times New Roman" w:cs="Times New Roman"/>
          <w:noProof/>
          <w:sz w:val="24"/>
          <w:szCs w:val="24"/>
        </w:rPr>
        <w:t xml:space="preserve"> </w:t>
      </w:r>
      <w:r w:rsidRPr="00735452">
        <w:rPr>
          <w:rFonts w:ascii="Times New Roman" w:eastAsia="Calibri" w:hAnsi="Times New Roman" w:cs="Times New Roman"/>
          <w:noProof/>
          <w:sz w:val="24"/>
          <w:szCs w:val="24"/>
        </w:rPr>
        <w:t xml:space="preserve">2 CCPs. They argued that this could have negative effects on the international competitiveness of EU players due to the increased costs. Some respondents believed that, should such a measure be considered, it should only target the exposures to the services of the non-EU CCPs which were </w:t>
      </w:r>
      <w:r w:rsidR="001916A6">
        <w:rPr>
          <w:rFonts w:ascii="Times New Roman" w:eastAsia="Calibri" w:hAnsi="Times New Roman" w:cs="Times New Roman"/>
          <w:noProof/>
          <w:sz w:val="24"/>
          <w:szCs w:val="24"/>
        </w:rPr>
        <w:t>determined</w:t>
      </w:r>
      <w:r w:rsidR="001916A6" w:rsidRPr="00735452">
        <w:rPr>
          <w:rFonts w:ascii="Times New Roman" w:eastAsia="Calibri" w:hAnsi="Times New Roman" w:cs="Times New Roman"/>
          <w:noProof/>
          <w:sz w:val="24"/>
          <w:szCs w:val="24"/>
        </w:rPr>
        <w:t xml:space="preserve"> </w:t>
      </w:r>
      <w:r w:rsidRPr="00735452">
        <w:rPr>
          <w:rFonts w:ascii="Times New Roman" w:eastAsia="Calibri" w:hAnsi="Times New Roman" w:cs="Times New Roman"/>
          <w:noProof/>
          <w:sz w:val="24"/>
          <w:szCs w:val="24"/>
        </w:rPr>
        <w:t xml:space="preserve">as substantially systemic </w:t>
      </w:r>
      <w:r w:rsidR="001916A6">
        <w:rPr>
          <w:rFonts w:ascii="Times New Roman" w:eastAsia="Calibri" w:hAnsi="Times New Roman" w:cs="Times New Roman"/>
          <w:noProof/>
          <w:sz w:val="24"/>
          <w:szCs w:val="24"/>
        </w:rPr>
        <w:t>by ESMA</w:t>
      </w:r>
      <w:r w:rsidRPr="00735452">
        <w:rPr>
          <w:rFonts w:ascii="Times New Roman" w:eastAsia="Calibri" w:hAnsi="Times New Roman" w:cs="Times New Roman"/>
          <w:noProof/>
          <w:sz w:val="24"/>
          <w:szCs w:val="24"/>
        </w:rPr>
        <w:t xml:space="preserve"> and/or certain activities should possibly be exempted from the calculation. Others expressed support for higher capital requirements under the condition that they would be combined with other measures such as active account requirements and development of offer. The majority of respondents (80%, i.e. 16 out of 20 respondents) </w:t>
      </w:r>
      <w:r w:rsidR="001916A6">
        <w:rPr>
          <w:rFonts w:ascii="Times New Roman" w:eastAsia="Calibri" w:hAnsi="Times New Roman" w:cs="Times New Roman"/>
          <w:noProof/>
          <w:sz w:val="24"/>
          <w:szCs w:val="24"/>
        </w:rPr>
        <w:t>saw</w:t>
      </w:r>
      <w:r w:rsidR="001916A6" w:rsidRPr="00735452">
        <w:rPr>
          <w:rFonts w:ascii="Times New Roman" w:eastAsia="Calibri" w:hAnsi="Times New Roman" w:cs="Times New Roman"/>
          <w:noProof/>
          <w:sz w:val="24"/>
          <w:szCs w:val="24"/>
        </w:rPr>
        <w:t xml:space="preserve"> </w:t>
      </w:r>
      <w:r w:rsidRPr="00735452">
        <w:rPr>
          <w:rFonts w:ascii="Times New Roman" w:eastAsia="Calibri" w:hAnsi="Times New Roman" w:cs="Times New Roman"/>
          <w:noProof/>
          <w:sz w:val="24"/>
          <w:szCs w:val="24"/>
        </w:rPr>
        <w:t>a risk of participants relocating clearing to other non-EU jurisdictions if a higher capital requirement on excessive exposures to T2 CCPs is imposed.</w:t>
      </w:r>
      <w:r>
        <w:rPr>
          <w:rFonts w:ascii="Times New Roman" w:eastAsia="Calibri" w:hAnsi="Times New Roman" w:cs="Times New Roman"/>
          <w:noProof/>
          <w:sz w:val="24"/>
          <w:szCs w:val="24"/>
        </w:rPr>
        <w:t xml:space="preserve"> </w:t>
      </w:r>
    </w:p>
    <w:p w14:paraId="774BFD1A" w14:textId="5E0D955E" w:rsidR="000923BE" w:rsidRPr="002661A8" w:rsidRDefault="00772D02" w:rsidP="008331A8">
      <w:pPr>
        <w:tabs>
          <w:tab w:val="left" w:pos="2302"/>
        </w:tabs>
        <w:spacing w:after="120" w:line="240" w:lineRule="auto"/>
        <w:jc w:val="both"/>
        <w:rPr>
          <w:rFonts w:ascii="Times New Roman" w:eastAsia="Calibri" w:hAnsi="Times New Roman" w:cs="Times New Roman"/>
          <w:noProof/>
          <w:sz w:val="24"/>
          <w:szCs w:val="24"/>
        </w:rPr>
      </w:pPr>
      <w:r w:rsidDel="00F6107C">
        <w:rPr>
          <w:rFonts w:ascii="Times New Roman" w:eastAsia="Calibri" w:hAnsi="Times New Roman" w:cs="Times New Roman"/>
          <w:noProof/>
          <w:sz w:val="24"/>
          <w:szCs w:val="24"/>
        </w:rPr>
        <w:t>In the meeting with Member States on 16 June 2022, f</w:t>
      </w:r>
      <w:r w:rsidRPr="00DD5F27" w:rsidDel="00F6107C">
        <w:rPr>
          <w:rFonts w:ascii="Times New Roman" w:eastAsia="Calibri" w:hAnsi="Times New Roman" w:cs="Times New Roman"/>
          <w:noProof/>
          <w:sz w:val="24"/>
          <w:szCs w:val="24"/>
        </w:rPr>
        <w:t>ive Member States and one EU authority were not in favour of a large exposure framework. Two Member States saw disadvantages for EU clearing members compared to banks in other jurisdictions. Another Member State considered a large exposure framework too rigid. One Member State was in favour of a large exposure framework which should target large users.</w:t>
      </w:r>
      <w:r w:rsidR="00D1457A">
        <w:rPr>
          <w:rFonts w:ascii="Times New Roman" w:eastAsia="Calibri" w:hAnsi="Times New Roman" w:cs="Times New Roman"/>
          <w:noProof/>
          <w:sz w:val="24"/>
          <w:szCs w:val="24"/>
        </w:rPr>
        <w:t xml:space="preserve"> </w:t>
      </w:r>
      <w:r w:rsidR="00D1457A">
        <w:rPr>
          <w:rFonts w:ascii="Times New Roman" w:hAnsi="Times New Roman" w:cs="Times New Roman"/>
          <w:bCs/>
          <w:noProof/>
          <w:sz w:val="24"/>
          <w:szCs w:val="24"/>
        </w:rPr>
        <w:t>Two</w:t>
      </w:r>
      <w:r w:rsidR="00D1457A" w:rsidRPr="009950FE">
        <w:rPr>
          <w:rFonts w:ascii="Times New Roman" w:hAnsi="Times New Roman" w:cs="Times New Roman"/>
          <w:bCs/>
          <w:noProof/>
          <w:sz w:val="24"/>
          <w:szCs w:val="24"/>
        </w:rPr>
        <w:t xml:space="preserve"> </w:t>
      </w:r>
      <w:r w:rsidR="00AE3935" w:rsidRPr="009950FE">
        <w:rPr>
          <w:rFonts w:ascii="Times New Roman" w:hAnsi="Times New Roman" w:cs="Times New Roman"/>
          <w:bCs/>
          <w:noProof/>
          <w:sz w:val="24"/>
          <w:szCs w:val="24"/>
        </w:rPr>
        <w:t xml:space="preserve">Member States supported exploring higher capital charges or activity targets linked to capital penalties. </w:t>
      </w:r>
      <w:r w:rsidR="009C5D9B" w:rsidRPr="002661A8">
        <w:rPr>
          <w:rFonts w:ascii="Times New Roman" w:eastAsia="Calibri" w:hAnsi="Times New Roman" w:cs="Times New Roman"/>
          <w:noProof/>
          <w:sz w:val="24"/>
          <w:szCs w:val="24"/>
        </w:rPr>
        <w:t xml:space="preserve">A </w:t>
      </w:r>
      <w:r w:rsidR="009C5D9B" w:rsidRPr="00BE3B33">
        <w:rPr>
          <w:rFonts w:ascii="Times New Roman" w:eastAsia="Calibri" w:hAnsi="Times New Roman" w:cs="Times New Roman"/>
          <w:b/>
          <w:noProof/>
          <w:sz w:val="24"/>
          <w:szCs w:val="24"/>
        </w:rPr>
        <w:t xml:space="preserve">second sub-option </w:t>
      </w:r>
      <w:r w:rsidR="00FF2EC3" w:rsidRPr="00BE3B33">
        <w:rPr>
          <w:rFonts w:ascii="Times New Roman" w:eastAsia="Calibri" w:hAnsi="Times New Roman" w:cs="Times New Roman"/>
          <w:b/>
          <w:noProof/>
          <w:sz w:val="24"/>
          <w:szCs w:val="24"/>
        </w:rPr>
        <w:t>(Option B2.2)</w:t>
      </w:r>
      <w:r w:rsidR="009C5D9B" w:rsidRPr="002661A8">
        <w:rPr>
          <w:rFonts w:ascii="Times New Roman" w:eastAsia="Calibri" w:hAnsi="Times New Roman" w:cs="Times New Roman"/>
          <w:noProof/>
          <w:sz w:val="24"/>
          <w:szCs w:val="24"/>
        </w:rPr>
        <w:t xml:space="preserve"> could be based on the Pillar 2 framework. </w:t>
      </w:r>
      <w:r w:rsidR="0032097B" w:rsidRPr="002661A8">
        <w:rPr>
          <w:rFonts w:ascii="Times New Roman" w:eastAsia="Calibri" w:hAnsi="Times New Roman" w:cs="Times New Roman"/>
          <w:noProof/>
          <w:sz w:val="24"/>
          <w:szCs w:val="24"/>
        </w:rPr>
        <w:t xml:space="preserve">Under the </w:t>
      </w:r>
      <w:r w:rsidR="00FA5A15" w:rsidRPr="002661A8">
        <w:rPr>
          <w:rFonts w:ascii="Times New Roman" w:eastAsia="Calibri" w:hAnsi="Times New Roman" w:cs="Times New Roman"/>
          <w:noProof/>
          <w:sz w:val="24"/>
          <w:szCs w:val="24"/>
        </w:rPr>
        <w:t>CRD/</w:t>
      </w:r>
      <w:r w:rsidR="0032097B" w:rsidRPr="002661A8">
        <w:rPr>
          <w:rFonts w:ascii="Times New Roman" w:eastAsia="Calibri" w:hAnsi="Times New Roman" w:cs="Times New Roman"/>
          <w:noProof/>
          <w:sz w:val="24"/>
          <w:szCs w:val="24"/>
        </w:rPr>
        <w:t xml:space="preserve">CRR, the Pillar 2 framework </w:t>
      </w:r>
      <w:r w:rsidR="002612E3" w:rsidRPr="002661A8">
        <w:rPr>
          <w:rFonts w:ascii="Times New Roman" w:eastAsia="Calibri" w:hAnsi="Times New Roman" w:cs="Times New Roman"/>
          <w:noProof/>
          <w:sz w:val="24"/>
          <w:szCs w:val="24"/>
        </w:rPr>
        <w:t>provides</w:t>
      </w:r>
      <w:r w:rsidR="0032097B" w:rsidRPr="002661A8">
        <w:rPr>
          <w:rFonts w:ascii="Times New Roman" w:eastAsia="Calibri" w:hAnsi="Times New Roman" w:cs="Times New Roman"/>
          <w:noProof/>
          <w:sz w:val="24"/>
          <w:szCs w:val="24"/>
        </w:rPr>
        <w:t xml:space="preserve"> competent authorities with tools to address risks that </w:t>
      </w:r>
      <w:r w:rsidR="00FA5A15" w:rsidRPr="002661A8">
        <w:rPr>
          <w:rFonts w:ascii="Times New Roman" w:eastAsia="Calibri" w:hAnsi="Times New Roman" w:cs="Times New Roman"/>
          <w:noProof/>
          <w:sz w:val="24"/>
          <w:szCs w:val="24"/>
        </w:rPr>
        <w:t xml:space="preserve">are </w:t>
      </w:r>
      <w:r w:rsidR="0032097B" w:rsidRPr="002661A8">
        <w:rPr>
          <w:rFonts w:ascii="Times New Roman" w:eastAsia="Calibri" w:hAnsi="Times New Roman" w:cs="Times New Roman"/>
          <w:noProof/>
          <w:sz w:val="24"/>
          <w:szCs w:val="24"/>
        </w:rPr>
        <w:t xml:space="preserve">insufficiently captured by the </w:t>
      </w:r>
      <w:r w:rsidR="00FA5A15" w:rsidRPr="002661A8">
        <w:rPr>
          <w:rFonts w:ascii="Times New Roman" w:eastAsia="Calibri" w:hAnsi="Times New Roman" w:cs="Times New Roman"/>
          <w:noProof/>
          <w:sz w:val="24"/>
          <w:szCs w:val="24"/>
        </w:rPr>
        <w:t xml:space="preserve">minimum (Pillar 1) </w:t>
      </w:r>
      <w:r w:rsidR="0032097B" w:rsidRPr="002661A8">
        <w:rPr>
          <w:rFonts w:ascii="Times New Roman" w:eastAsia="Calibri" w:hAnsi="Times New Roman" w:cs="Times New Roman"/>
          <w:noProof/>
          <w:sz w:val="24"/>
          <w:szCs w:val="24"/>
        </w:rPr>
        <w:t xml:space="preserve">capital requirements. </w:t>
      </w:r>
      <w:r w:rsidR="00FA5A15" w:rsidRPr="002661A8">
        <w:rPr>
          <w:rFonts w:ascii="Times New Roman" w:eastAsia="Calibri" w:hAnsi="Times New Roman" w:cs="Times New Roman"/>
          <w:noProof/>
          <w:sz w:val="24"/>
          <w:szCs w:val="24"/>
        </w:rPr>
        <w:t>However,</w:t>
      </w:r>
      <w:r w:rsidR="0032097B" w:rsidRPr="002661A8">
        <w:rPr>
          <w:rFonts w:ascii="Times New Roman" w:eastAsia="Calibri" w:hAnsi="Times New Roman" w:cs="Times New Roman"/>
          <w:noProof/>
          <w:sz w:val="24"/>
          <w:szCs w:val="24"/>
        </w:rPr>
        <w:t xml:space="preserve"> </w:t>
      </w:r>
      <w:r w:rsidR="00154F23">
        <w:rPr>
          <w:rFonts w:ascii="Times New Roman" w:eastAsia="Calibri" w:hAnsi="Times New Roman" w:cs="Times New Roman"/>
          <w:noProof/>
          <w:sz w:val="24"/>
          <w:szCs w:val="24"/>
        </w:rPr>
        <w:t>while concentration risk arising from</w:t>
      </w:r>
      <w:r w:rsidR="0032097B" w:rsidRPr="002661A8">
        <w:rPr>
          <w:rFonts w:ascii="Times New Roman" w:eastAsia="Calibri" w:hAnsi="Times New Roman" w:cs="Times New Roman"/>
          <w:noProof/>
          <w:sz w:val="24"/>
          <w:szCs w:val="24"/>
        </w:rPr>
        <w:t xml:space="preserve"> exposures towards </w:t>
      </w:r>
      <w:r w:rsidR="00154F23">
        <w:rPr>
          <w:rFonts w:ascii="Times New Roman" w:eastAsia="Calibri" w:hAnsi="Times New Roman" w:cs="Times New Roman"/>
          <w:noProof/>
          <w:sz w:val="24"/>
          <w:szCs w:val="24"/>
        </w:rPr>
        <w:t xml:space="preserve">counterparties, including </w:t>
      </w:r>
      <w:r w:rsidR="0069036D">
        <w:rPr>
          <w:rFonts w:ascii="Times New Roman" w:eastAsia="Calibri" w:hAnsi="Times New Roman" w:cs="Times New Roman"/>
          <w:noProof/>
          <w:sz w:val="24"/>
          <w:szCs w:val="24"/>
        </w:rPr>
        <w:t>CCPs</w:t>
      </w:r>
      <w:r w:rsidR="00154F23">
        <w:rPr>
          <w:rFonts w:ascii="Times New Roman" w:eastAsia="Calibri" w:hAnsi="Times New Roman" w:cs="Times New Roman"/>
          <w:noProof/>
          <w:sz w:val="24"/>
          <w:szCs w:val="24"/>
        </w:rPr>
        <w:t>, is already an area of supervisory scrutiny</w:t>
      </w:r>
      <w:r w:rsidR="0032097B" w:rsidRPr="002661A8">
        <w:rPr>
          <w:rFonts w:ascii="Times New Roman" w:eastAsia="Calibri" w:hAnsi="Times New Roman" w:cs="Times New Roman"/>
          <w:noProof/>
          <w:sz w:val="24"/>
          <w:szCs w:val="24"/>
        </w:rPr>
        <w:t xml:space="preserve"> </w:t>
      </w:r>
      <w:r w:rsidR="00E744EB" w:rsidRPr="002661A8">
        <w:rPr>
          <w:rFonts w:ascii="Times New Roman" w:eastAsia="Calibri" w:hAnsi="Times New Roman" w:cs="Times New Roman"/>
          <w:noProof/>
          <w:sz w:val="24"/>
          <w:szCs w:val="24"/>
        </w:rPr>
        <w:t xml:space="preserve">under the </w:t>
      </w:r>
      <w:r w:rsidR="00154F23">
        <w:rPr>
          <w:rFonts w:ascii="Times New Roman" w:eastAsia="Calibri" w:hAnsi="Times New Roman" w:cs="Times New Roman"/>
          <w:noProof/>
          <w:sz w:val="24"/>
          <w:szCs w:val="24"/>
        </w:rPr>
        <w:t xml:space="preserve">Pillar 2, </w:t>
      </w:r>
      <w:r w:rsidR="0032097B" w:rsidRPr="002661A8">
        <w:rPr>
          <w:rFonts w:ascii="Times New Roman" w:eastAsia="Calibri" w:hAnsi="Times New Roman" w:cs="Times New Roman"/>
          <w:noProof/>
          <w:sz w:val="24"/>
          <w:szCs w:val="24"/>
        </w:rPr>
        <w:t>the</w:t>
      </w:r>
      <w:r w:rsidR="00154F23">
        <w:rPr>
          <w:rFonts w:ascii="Times New Roman" w:eastAsia="Calibri" w:hAnsi="Times New Roman" w:cs="Times New Roman"/>
          <w:noProof/>
          <w:sz w:val="24"/>
          <w:szCs w:val="24"/>
        </w:rPr>
        <w:t>re may be</w:t>
      </w:r>
      <w:r w:rsidR="0032097B" w:rsidRPr="002661A8">
        <w:rPr>
          <w:rFonts w:ascii="Times New Roman" w:eastAsia="Calibri" w:hAnsi="Times New Roman" w:cs="Times New Roman"/>
          <w:noProof/>
          <w:sz w:val="24"/>
          <w:szCs w:val="24"/>
        </w:rPr>
        <w:t xml:space="preserve"> </w:t>
      </w:r>
      <w:r w:rsidR="00154F23">
        <w:rPr>
          <w:rFonts w:ascii="Times New Roman" w:eastAsia="Calibri" w:hAnsi="Times New Roman" w:cs="Times New Roman"/>
          <w:noProof/>
          <w:sz w:val="24"/>
          <w:szCs w:val="24"/>
        </w:rPr>
        <w:t xml:space="preserve">a </w:t>
      </w:r>
      <w:r w:rsidR="0032097B" w:rsidRPr="002661A8">
        <w:rPr>
          <w:rFonts w:ascii="Times New Roman" w:eastAsia="Calibri" w:hAnsi="Times New Roman" w:cs="Times New Roman"/>
          <w:noProof/>
          <w:sz w:val="24"/>
          <w:szCs w:val="24"/>
        </w:rPr>
        <w:t xml:space="preserve">need to consider </w:t>
      </w:r>
      <w:r w:rsidR="00154F23">
        <w:rPr>
          <w:rFonts w:ascii="Times New Roman" w:eastAsia="Calibri" w:hAnsi="Times New Roman" w:cs="Times New Roman"/>
          <w:noProof/>
          <w:sz w:val="24"/>
          <w:szCs w:val="24"/>
        </w:rPr>
        <w:t xml:space="preserve">more targeted measures to </w:t>
      </w:r>
      <w:r w:rsidR="0032097B" w:rsidRPr="002661A8">
        <w:rPr>
          <w:rFonts w:ascii="Times New Roman" w:eastAsia="Calibri" w:hAnsi="Times New Roman" w:cs="Times New Roman"/>
          <w:noProof/>
          <w:sz w:val="24"/>
          <w:szCs w:val="24"/>
        </w:rPr>
        <w:t xml:space="preserve">explicitly </w:t>
      </w:r>
      <w:r w:rsidR="00154F23">
        <w:rPr>
          <w:rFonts w:ascii="Times New Roman" w:eastAsia="Calibri" w:hAnsi="Times New Roman" w:cs="Times New Roman"/>
          <w:noProof/>
          <w:sz w:val="24"/>
          <w:szCs w:val="24"/>
        </w:rPr>
        <w:t xml:space="preserve">address </w:t>
      </w:r>
      <w:r w:rsidR="0032097B" w:rsidRPr="002661A8">
        <w:rPr>
          <w:rFonts w:ascii="Times New Roman" w:eastAsia="Calibri" w:hAnsi="Times New Roman" w:cs="Times New Roman"/>
          <w:noProof/>
          <w:sz w:val="24"/>
          <w:szCs w:val="24"/>
        </w:rPr>
        <w:t>excessive exposures towards CCPs</w:t>
      </w:r>
      <w:r w:rsidR="00154F23">
        <w:rPr>
          <w:rFonts w:ascii="Times New Roman" w:eastAsia="Calibri" w:hAnsi="Times New Roman" w:cs="Times New Roman"/>
          <w:noProof/>
          <w:sz w:val="24"/>
          <w:szCs w:val="24"/>
        </w:rPr>
        <w:t>, in particular those</w:t>
      </w:r>
      <w:r w:rsidR="00154F23" w:rsidRPr="00154F23">
        <w:rPr>
          <w:rFonts w:ascii="Times New Roman" w:eastAsia="Calibri" w:hAnsi="Times New Roman" w:cs="Times New Roman"/>
          <w:noProof/>
          <w:sz w:val="24"/>
          <w:szCs w:val="24"/>
        </w:rPr>
        <w:t xml:space="preserve"> </w:t>
      </w:r>
      <w:r w:rsidR="0069036D">
        <w:rPr>
          <w:rFonts w:ascii="Times New Roman" w:eastAsia="Calibri" w:hAnsi="Times New Roman" w:cs="Times New Roman"/>
          <w:noProof/>
          <w:sz w:val="24"/>
          <w:szCs w:val="24"/>
        </w:rPr>
        <w:t>Tier 2 CCPs</w:t>
      </w:r>
      <w:r w:rsidR="00154F23" w:rsidRPr="00154F23">
        <w:rPr>
          <w:rFonts w:ascii="Times New Roman" w:eastAsia="Calibri" w:hAnsi="Times New Roman" w:cs="Times New Roman"/>
          <w:noProof/>
          <w:sz w:val="24"/>
          <w:szCs w:val="24"/>
        </w:rPr>
        <w:t xml:space="preserve"> offering services of substantial systemic importance for the Union or one or more of its Member States</w:t>
      </w:r>
      <w:r w:rsidR="00154F23">
        <w:rPr>
          <w:rFonts w:ascii="Times New Roman" w:eastAsia="Calibri" w:hAnsi="Times New Roman" w:cs="Times New Roman"/>
          <w:noProof/>
          <w:sz w:val="24"/>
          <w:szCs w:val="24"/>
        </w:rPr>
        <w:t>,</w:t>
      </w:r>
      <w:r w:rsidR="0032097B" w:rsidRPr="002661A8">
        <w:rPr>
          <w:rFonts w:ascii="Times New Roman" w:eastAsia="Calibri" w:hAnsi="Times New Roman" w:cs="Times New Roman"/>
          <w:noProof/>
          <w:sz w:val="24"/>
          <w:szCs w:val="24"/>
        </w:rPr>
        <w:t xml:space="preserve"> </w:t>
      </w:r>
      <w:r w:rsidR="00E744EB" w:rsidRPr="002661A8">
        <w:rPr>
          <w:rFonts w:ascii="Times New Roman" w:eastAsia="Calibri" w:hAnsi="Times New Roman" w:cs="Times New Roman"/>
          <w:noProof/>
          <w:sz w:val="24"/>
          <w:szCs w:val="24"/>
        </w:rPr>
        <w:t>under the Supervisory Review and Evaluation Process (SREP)</w:t>
      </w:r>
      <w:r w:rsidR="00FA5A15" w:rsidRPr="002661A8">
        <w:rPr>
          <w:rFonts w:ascii="Times New Roman" w:eastAsia="Calibri" w:hAnsi="Times New Roman" w:cs="Times New Roman"/>
          <w:noProof/>
          <w:sz w:val="24"/>
          <w:szCs w:val="24"/>
        </w:rPr>
        <w:t>.</w:t>
      </w:r>
      <w:r w:rsidR="00DE7DE3" w:rsidRPr="002661A8">
        <w:rPr>
          <w:rFonts w:ascii="Times New Roman" w:eastAsia="Calibri" w:hAnsi="Times New Roman" w:cs="Times New Roman"/>
          <w:noProof/>
          <w:sz w:val="24"/>
          <w:szCs w:val="24"/>
        </w:rPr>
        <w:t xml:space="preserve"> </w:t>
      </w:r>
      <w:r w:rsidR="002612E3" w:rsidRPr="002661A8">
        <w:rPr>
          <w:rFonts w:ascii="Times New Roman" w:hAnsi="Times New Roman" w:cs="Times New Roman"/>
          <w:noProof/>
          <w:sz w:val="24"/>
          <w:szCs w:val="24"/>
        </w:rPr>
        <w:t>A</w:t>
      </w:r>
      <w:r w:rsidR="0032097B" w:rsidRPr="002661A8">
        <w:rPr>
          <w:rFonts w:ascii="Times New Roman" w:eastAsia="Calibri" w:hAnsi="Times New Roman" w:cs="Times New Roman"/>
          <w:noProof/>
          <w:sz w:val="24"/>
          <w:szCs w:val="24"/>
        </w:rPr>
        <w:t xml:space="preserve">n </w:t>
      </w:r>
      <w:r w:rsidR="000923BE" w:rsidRPr="002661A8">
        <w:rPr>
          <w:rFonts w:ascii="Times New Roman" w:eastAsia="Calibri" w:hAnsi="Times New Roman" w:cs="Times New Roman"/>
          <w:noProof/>
          <w:sz w:val="24"/>
          <w:szCs w:val="24"/>
        </w:rPr>
        <w:t xml:space="preserve">explicit Pillar 2 empowerment </w:t>
      </w:r>
      <w:r w:rsidR="0032097B" w:rsidRPr="002661A8">
        <w:rPr>
          <w:rFonts w:ascii="Times New Roman" w:eastAsia="Calibri" w:hAnsi="Times New Roman" w:cs="Times New Roman"/>
          <w:noProof/>
          <w:sz w:val="24"/>
          <w:szCs w:val="24"/>
        </w:rPr>
        <w:t xml:space="preserve">could be introduced to ensure </w:t>
      </w:r>
      <w:r w:rsidR="002612E3" w:rsidRPr="002661A8">
        <w:rPr>
          <w:rFonts w:ascii="Times New Roman" w:eastAsia="Calibri" w:hAnsi="Times New Roman" w:cs="Times New Roman"/>
          <w:noProof/>
          <w:sz w:val="24"/>
          <w:szCs w:val="24"/>
        </w:rPr>
        <w:t>authorities</w:t>
      </w:r>
      <w:r w:rsidR="00FA5A15" w:rsidRPr="002661A8">
        <w:rPr>
          <w:rFonts w:ascii="Times New Roman" w:hAnsi="Times New Roman" w:cs="Times New Roman"/>
          <w:noProof/>
          <w:sz w:val="24"/>
          <w:szCs w:val="24"/>
        </w:rPr>
        <w:t xml:space="preserve"> </w:t>
      </w:r>
      <w:r w:rsidR="001248A3" w:rsidRPr="002661A8">
        <w:rPr>
          <w:rFonts w:ascii="Times New Roman" w:hAnsi="Times New Roman" w:cs="Times New Roman"/>
          <w:noProof/>
          <w:sz w:val="24"/>
          <w:szCs w:val="24"/>
        </w:rPr>
        <w:t>consistently</w:t>
      </w:r>
      <w:r w:rsidR="00FA5A15" w:rsidRPr="002661A8">
        <w:rPr>
          <w:rFonts w:ascii="Times New Roman" w:hAnsi="Times New Roman" w:cs="Times New Roman"/>
          <w:noProof/>
          <w:sz w:val="24"/>
          <w:szCs w:val="24"/>
        </w:rPr>
        <w:t xml:space="preserve"> take into account </w:t>
      </w:r>
      <w:r w:rsidR="00EE6E58" w:rsidRPr="002661A8">
        <w:rPr>
          <w:rFonts w:ascii="Times New Roman" w:eastAsia="Calibri" w:hAnsi="Times New Roman" w:cs="Times New Roman"/>
          <w:noProof/>
          <w:sz w:val="24"/>
          <w:szCs w:val="24"/>
        </w:rPr>
        <w:t>banks</w:t>
      </w:r>
      <w:r w:rsidR="00FA5A15" w:rsidRPr="002661A8">
        <w:rPr>
          <w:rFonts w:ascii="Times New Roman" w:eastAsia="Calibri" w:hAnsi="Times New Roman" w:cs="Times New Roman"/>
          <w:noProof/>
          <w:sz w:val="24"/>
          <w:szCs w:val="24"/>
        </w:rPr>
        <w:t>’</w:t>
      </w:r>
      <w:r w:rsidR="0032097B" w:rsidRPr="002661A8">
        <w:rPr>
          <w:rFonts w:ascii="Times New Roman" w:eastAsia="Calibri" w:hAnsi="Times New Roman" w:cs="Times New Roman"/>
          <w:noProof/>
          <w:sz w:val="24"/>
          <w:szCs w:val="24"/>
        </w:rPr>
        <w:t xml:space="preserve"> level of exposures towards </w:t>
      </w:r>
      <w:r w:rsidR="0069036D">
        <w:rPr>
          <w:rFonts w:ascii="Times New Roman" w:eastAsia="Calibri" w:hAnsi="Times New Roman" w:cs="Times New Roman"/>
          <w:noProof/>
          <w:sz w:val="24"/>
          <w:szCs w:val="24"/>
        </w:rPr>
        <w:t xml:space="preserve">those </w:t>
      </w:r>
      <w:r w:rsidR="0032097B" w:rsidRPr="002661A8">
        <w:rPr>
          <w:rFonts w:ascii="Times New Roman" w:eastAsia="Calibri" w:hAnsi="Times New Roman" w:cs="Times New Roman"/>
          <w:noProof/>
          <w:sz w:val="24"/>
          <w:szCs w:val="24"/>
        </w:rPr>
        <w:t>CCPs</w:t>
      </w:r>
      <w:r w:rsidR="00FA5A15" w:rsidRPr="002661A8">
        <w:rPr>
          <w:rFonts w:ascii="Times New Roman" w:hAnsi="Times New Roman" w:cs="Times New Roman"/>
          <w:noProof/>
          <w:sz w:val="24"/>
          <w:szCs w:val="24"/>
        </w:rPr>
        <w:t xml:space="preserve"> when they carry out the</w:t>
      </w:r>
      <w:r w:rsidR="00E744EB" w:rsidRPr="002661A8">
        <w:rPr>
          <w:rFonts w:ascii="Times New Roman" w:hAnsi="Times New Roman" w:cs="Times New Roman"/>
          <w:noProof/>
          <w:sz w:val="24"/>
          <w:szCs w:val="24"/>
        </w:rPr>
        <w:t>ir</w:t>
      </w:r>
      <w:r w:rsidR="00FA5A15" w:rsidRPr="002661A8">
        <w:rPr>
          <w:rFonts w:ascii="Times New Roman" w:hAnsi="Times New Roman" w:cs="Times New Roman"/>
          <w:noProof/>
          <w:sz w:val="24"/>
          <w:szCs w:val="24"/>
        </w:rPr>
        <w:t xml:space="preserve"> </w:t>
      </w:r>
      <w:r w:rsidR="00E744EB" w:rsidRPr="002661A8">
        <w:rPr>
          <w:rFonts w:ascii="Times New Roman" w:hAnsi="Times New Roman" w:cs="Times New Roman"/>
          <w:noProof/>
          <w:sz w:val="24"/>
          <w:szCs w:val="24"/>
        </w:rPr>
        <w:t xml:space="preserve">SREP and bring clarity to the use of supervisory powers to address excessive </w:t>
      </w:r>
      <w:r w:rsidR="009E69C5" w:rsidRPr="002661A8">
        <w:rPr>
          <w:rFonts w:ascii="Times New Roman" w:hAnsi="Times New Roman" w:cs="Times New Roman"/>
          <w:noProof/>
          <w:sz w:val="24"/>
          <w:szCs w:val="24"/>
        </w:rPr>
        <w:t>concentrations</w:t>
      </w:r>
      <w:r w:rsidR="0032097B" w:rsidRPr="002661A8">
        <w:rPr>
          <w:rFonts w:ascii="Times New Roman" w:eastAsia="Calibri" w:hAnsi="Times New Roman" w:cs="Times New Roman"/>
          <w:noProof/>
          <w:sz w:val="24"/>
          <w:szCs w:val="24"/>
        </w:rPr>
        <w:t xml:space="preserve">. </w:t>
      </w:r>
      <w:r w:rsidR="005E6B5B" w:rsidRPr="002661A8">
        <w:rPr>
          <w:rFonts w:ascii="Times New Roman" w:eastAsia="Calibri" w:hAnsi="Times New Roman" w:cs="Times New Roman"/>
          <w:noProof/>
          <w:sz w:val="24"/>
          <w:szCs w:val="24"/>
        </w:rPr>
        <w:t xml:space="preserve">In parallel, </w:t>
      </w:r>
      <w:r w:rsidR="009E69C5" w:rsidRPr="002661A8">
        <w:rPr>
          <w:rFonts w:ascii="Times New Roman" w:eastAsia="Calibri" w:hAnsi="Times New Roman" w:cs="Times New Roman"/>
          <w:noProof/>
          <w:sz w:val="24"/>
          <w:szCs w:val="24"/>
        </w:rPr>
        <w:t xml:space="preserve">CRD could be amended to require </w:t>
      </w:r>
      <w:r w:rsidR="00EE6E58" w:rsidRPr="002661A8">
        <w:rPr>
          <w:rFonts w:ascii="Times New Roman" w:eastAsia="Calibri" w:hAnsi="Times New Roman" w:cs="Times New Roman"/>
          <w:noProof/>
          <w:sz w:val="24"/>
          <w:szCs w:val="24"/>
        </w:rPr>
        <w:t>banks</w:t>
      </w:r>
      <w:r w:rsidR="005E6B5B" w:rsidRPr="002661A8">
        <w:rPr>
          <w:rFonts w:ascii="Times New Roman" w:eastAsia="Calibri" w:hAnsi="Times New Roman" w:cs="Times New Roman"/>
          <w:noProof/>
          <w:sz w:val="24"/>
          <w:szCs w:val="24"/>
        </w:rPr>
        <w:t xml:space="preserve"> to </w:t>
      </w:r>
      <w:r w:rsidR="002612E3" w:rsidRPr="002661A8">
        <w:rPr>
          <w:rFonts w:ascii="Times New Roman" w:eastAsia="Calibri" w:hAnsi="Times New Roman" w:cs="Times New Roman"/>
          <w:noProof/>
          <w:sz w:val="24"/>
          <w:szCs w:val="24"/>
        </w:rPr>
        <w:t>have</w:t>
      </w:r>
      <w:r w:rsidR="005E6B5B" w:rsidRPr="002661A8">
        <w:rPr>
          <w:rFonts w:ascii="Times New Roman" w:eastAsia="Calibri" w:hAnsi="Times New Roman" w:cs="Times New Roman"/>
          <w:noProof/>
          <w:sz w:val="24"/>
          <w:szCs w:val="24"/>
        </w:rPr>
        <w:t xml:space="preserve"> specific plans for controlling and monitoring exposures towards CCPs</w:t>
      </w:r>
      <w:r w:rsidR="009E69C5" w:rsidRPr="002661A8">
        <w:rPr>
          <w:rFonts w:ascii="Times New Roman" w:eastAsia="Calibri" w:hAnsi="Times New Roman" w:cs="Times New Roman"/>
          <w:noProof/>
          <w:sz w:val="24"/>
          <w:szCs w:val="24"/>
        </w:rPr>
        <w:t>.</w:t>
      </w:r>
      <w:r w:rsidR="00E744EB" w:rsidRPr="002661A8">
        <w:rPr>
          <w:rFonts w:ascii="Times New Roman" w:eastAsia="Calibri" w:hAnsi="Times New Roman" w:cs="Times New Roman"/>
          <w:noProof/>
          <w:sz w:val="24"/>
          <w:szCs w:val="24"/>
        </w:rPr>
        <w:t xml:space="preserve"> </w:t>
      </w:r>
      <w:r w:rsidR="009E69C5" w:rsidRPr="002661A8">
        <w:rPr>
          <w:rFonts w:ascii="Times New Roman" w:eastAsia="Calibri" w:hAnsi="Times New Roman" w:cs="Times New Roman"/>
          <w:noProof/>
          <w:sz w:val="24"/>
          <w:szCs w:val="24"/>
        </w:rPr>
        <w:t>T</w:t>
      </w:r>
      <w:r w:rsidR="00E744EB" w:rsidRPr="002661A8">
        <w:rPr>
          <w:rFonts w:ascii="Times New Roman" w:eastAsia="Calibri" w:hAnsi="Times New Roman" w:cs="Times New Roman"/>
          <w:noProof/>
          <w:sz w:val="24"/>
          <w:szCs w:val="24"/>
        </w:rPr>
        <w:t xml:space="preserve">his would </w:t>
      </w:r>
      <w:r w:rsidR="009E69C5" w:rsidRPr="002661A8">
        <w:rPr>
          <w:rFonts w:ascii="Times New Roman" w:eastAsia="Calibri" w:hAnsi="Times New Roman" w:cs="Times New Roman"/>
          <w:noProof/>
          <w:sz w:val="24"/>
          <w:szCs w:val="24"/>
        </w:rPr>
        <w:t xml:space="preserve">make the supervisory expectation towards firms </w:t>
      </w:r>
      <w:r w:rsidR="00E744EB" w:rsidRPr="002661A8">
        <w:rPr>
          <w:rFonts w:ascii="Times New Roman" w:eastAsia="Calibri" w:hAnsi="Times New Roman" w:cs="Times New Roman"/>
          <w:noProof/>
          <w:sz w:val="24"/>
          <w:szCs w:val="24"/>
        </w:rPr>
        <w:t xml:space="preserve">explicit and </w:t>
      </w:r>
      <w:r w:rsidR="002612E3" w:rsidRPr="002661A8">
        <w:rPr>
          <w:rFonts w:ascii="Times New Roman" w:eastAsia="Calibri" w:hAnsi="Times New Roman" w:cs="Times New Roman"/>
          <w:noProof/>
          <w:sz w:val="24"/>
          <w:szCs w:val="24"/>
        </w:rPr>
        <w:t xml:space="preserve">increase </w:t>
      </w:r>
      <w:r w:rsidR="00E744EB" w:rsidRPr="002661A8">
        <w:rPr>
          <w:rFonts w:ascii="Times New Roman" w:eastAsia="Calibri" w:hAnsi="Times New Roman" w:cs="Times New Roman"/>
          <w:noProof/>
          <w:sz w:val="24"/>
          <w:szCs w:val="24"/>
        </w:rPr>
        <w:t xml:space="preserve">awareness on the </w:t>
      </w:r>
      <w:r w:rsidR="002612E3" w:rsidRPr="002661A8">
        <w:rPr>
          <w:rFonts w:ascii="Times New Roman" w:eastAsia="Calibri" w:hAnsi="Times New Roman" w:cs="Times New Roman"/>
          <w:noProof/>
          <w:sz w:val="24"/>
          <w:szCs w:val="24"/>
        </w:rPr>
        <w:t xml:space="preserve">need </w:t>
      </w:r>
      <w:r w:rsidR="00E744EB" w:rsidRPr="002661A8">
        <w:rPr>
          <w:rFonts w:ascii="Times New Roman" w:eastAsia="Calibri" w:hAnsi="Times New Roman" w:cs="Times New Roman"/>
          <w:noProof/>
          <w:sz w:val="24"/>
          <w:szCs w:val="24"/>
        </w:rPr>
        <w:t xml:space="preserve">to mitigate excessive </w:t>
      </w:r>
      <w:r w:rsidR="009E69C5" w:rsidRPr="002661A8">
        <w:rPr>
          <w:rFonts w:ascii="Times New Roman" w:eastAsia="Calibri" w:hAnsi="Times New Roman" w:cs="Times New Roman"/>
          <w:noProof/>
          <w:sz w:val="24"/>
          <w:szCs w:val="24"/>
        </w:rPr>
        <w:t xml:space="preserve">concentration of </w:t>
      </w:r>
      <w:r w:rsidR="00E744EB" w:rsidRPr="002661A8">
        <w:rPr>
          <w:rFonts w:ascii="Times New Roman" w:eastAsia="Calibri" w:hAnsi="Times New Roman" w:cs="Times New Roman"/>
          <w:noProof/>
          <w:sz w:val="24"/>
          <w:szCs w:val="24"/>
        </w:rPr>
        <w:t>exposures towards CCPs</w:t>
      </w:r>
      <w:r w:rsidR="005E6B5B" w:rsidRPr="002661A8">
        <w:rPr>
          <w:rFonts w:ascii="Times New Roman" w:eastAsia="Calibri" w:hAnsi="Times New Roman" w:cs="Times New Roman"/>
          <w:noProof/>
          <w:sz w:val="24"/>
          <w:szCs w:val="24"/>
        </w:rPr>
        <w:t>. The Pillar 2 framework could also be used to ensure an adequate degree of compliance with other policy options. In particular,</w:t>
      </w:r>
      <w:r w:rsidR="0032097B" w:rsidRPr="002661A8">
        <w:rPr>
          <w:rFonts w:ascii="Times New Roman" w:eastAsia="Calibri" w:hAnsi="Times New Roman" w:cs="Times New Roman"/>
          <w:noProof/>
          <w:sz w:val="24"/>
          <w:szCs w:val="24"/>
        </w:rPr>
        <w:t xml:space="preserve"> </w:t>
      </w:r>
      <w:r w:rsidR="002612E3" w:rsidRPr="002661A8">
        <w:rPr>
          <w:rFonts w:ascii="Times New Roman" w:eastAsia="Calibri" w:hAnsi="Times New Roman" w:cs="Times New Roman"/>
          <w:noProof/>
          <w:sz w:val="24"/>
          <w:szCs w:val="24"/>
        </w:rPr>
        <w:t>it</w:t>
      </w:r>
      <w:r w:rsidR="0032097B" w:rsidRPr="002661A8">
        <w:rPr>
          <w:rFonts w:ascii="Times New Roman" w:eastAsia="Calibri" w:hAnsi="Times New Roman" w:cs="Times New Roman"/>
          <w:noProof/>
          <w:sz w:val="24"/>
          <w:szCs w:val="24"/>
        </w:rPr>
        <w:t xml:space="preserve"> could </w:t>
      </w:r>
      <w:r w:rsidR="009B7969" w:rsidRPr="002661A8">
        <w:rPr>
          <w:rFonts w:ascii="Times New Roman" w:eastAsia="Calibri" w:hAnsi="Times New Roman" w:cs="Times New Roman"/>
          <w:noProof/>
          <w:sz w:val="24"/>
          <w:szCs w:val="24"/>
        </w:rPr>
        <w:t xml:space="preserve">be </w:t>
      </w:r>
      <w:r w:rsidR="005E6B5B" w:rsidRPr="002661A8">
        <w:rPr>
          <w:rFonts w:ascii="Times New Roman" w:eastAsia="Calibri" w:hAnsi="Times New Roman" w:cs="Times New Roman"/>
          <w:noProof/>
          <w:sz w:val="24"/>
          <w:szCs w:val="24"/>
        </w:rPr>
        <w:t xml:space="preserve">combined with </w:t>
      </w:r>
      <w:r w:rsidR="002612E3" w:rsidRPr="002661A8">
        <w:rPr>
          <w:rFonts w:ascii="Times New Roman" w:eastAsia="Calibri" w:hAnsi="Times New Roman" w:cs="Times New Roman"/>
          <w:noProof/>
          <w:sz w:val="24"/>
          <w:szCs w:val="24"/>
        </w:rPr>
        <w:t xml:space="preserve">a </w:t>
      </w:r>
      <w:r w:rsidR="005E6B5B" w:rsidRPr="002661A8">
        <w:rPr>
          <w:rFonts w:ascii="Times New Roman" w:eastAsia="Calibri" w:hAnsi="Times New Roman" w:cs="Times New Roman"/>
          <w:noProof/>
          <w:sz w:val="24"/>
          <w:szCs w:val="24"/>
        </w:rPr>
        <w:t xml:space="preserve">requirement to maintain an active account at EU CCPs (see </w:t>
      </w:r>
      <w:hyperlink w:anchor="_Option_3_–" w:history="1">
        <w:r w:rsidR="0034243E" w:rsidRPr="002661A8">
          <w:rPr>
            <w:rStyle w:val="Hyperlink"/>
            <w:rFonts w:ascii="Times New Roman" w:eastAsia="Calibri" w:hAnsi="Times New Roman" w:cs="Times New Roman"/>
            <w:noProof/>
            <w:sz w:val="24"/>
            <w:szCs w:val="24"/>
          </w:rPr>
          <w:t>Section</w:t>
        </w:r>
        <w:r w:rsidR="005E6B5B" w:rsidRPr="002661A8">
          <w:rPr>
            <w:rStyle w:val="Hyperlink"/>
            <w:rFonts w:ascii="Times New Roman" w:eastAsia="Calibri" w:hAnsi="Times New Roman" w:cs="Times New Roman"/>
            <w:noProof/>
            <w:sz w:val="24"/>
            <w:szCs w:val="24"/>
          </w:rPr>
          <w:t xml:space="preserve"> </w:t>
        </w:r>
        <w:r w:rsidR="00940FB0" w:rsidRPr="002661A8">
          <w:rPr>
            <w:rStyle w:val="Hyperlink"/>
            <w:rFonts w:ascii="Times New Roman" w:eastAsia="Calibri" w:hAnsi="Times New Roman" w:cs="Times New Roman"/>
            <w:noProof/>
            <w:sz w:val="24"/>
            <w:szCs w:val="24"/>
          </w:rPr>
          <w:t>7</w:t>
        </w:r>
        <w:r w:rsidR="005E6B5B" w:rsidRPr="002661A8">
          <w:rPr>
            <w:rStyle w:val="Hyperlink"/>
            <w:rFonts w:ascii="Times New Roman" w:eastAsia="Calibri" w:hAnsi="Times New Roman" w:cs="Times New Roman"/>
            <w:noProof/>
            <w:sz w:val="24"/>
            <w:szCs w:val="24"/>
          </w:rPr>
          <w:t>.2.2</w:t>
        </w:r>
      </w:hyperlink>
      <w:r w:rsidR="005E6B5B" w:rsidRPr="002661A8">
        <w:rPr>
          <w:rFonts w:ascii="Times New Roman" w:eastAsia="Calibri" w:hAnsi="Times New Roman" w:cs="Times New Roman"/>
          <w:noProof/>
          <w:sz w:val="24"/>
          <w:szCs w:val="24"/>
        </w:rPr>
        <w:t xml:space="preserve">), allowing for a supervisory response </w:t>
      </w:r>
      <w:r w:rsidR="0032097B" w:rsidRPr="002661A8">
        <w:rPr>
          <w:rFonts w:ascii="Times New Roman" w:eastAsia="Calibri" w:hAnsi="Times New Roman" w:cs="Times New Roman"/>
          <w:noProof/>
          <w:sz w:val="24"/>
          <w:szCs w:val="24"/>
        </w:rPr>
        <w:t>to non-compliance</w:t>
      </w:r>
      <w:r w:rsidR="000923BE" w:rsidRPr="002661A8">
        <w:rPr>
          <w:rFonts w:ascii="Times New Roman" w:eastAsia="Calibri" w:hAnsi="Times New Roman" w:cs="Times New Roman"/>
          <w:noProof/>
          <w:sz w:val="24"/>
          <w:szCs w:val="24"/>
        </w:rPr>
        <w:t>.</w:t>
      </w:r>
      <w:r w:rsidR="00ED3BF5" w:rsidRPr="002661A8">
        <w:rPr>
          <w:rFonts w:ascii="Times New Roman" w:eastAsia="Calibri" w:hAnsi="Times New Roman" w:cs="Times New Roman"/>
          <w:noProof/>
          <w:sz w:val="24"/>
          <w:szCs w:val="24"/>
        </w:rPr>
        <w:t xml:space="preserve"> </w:t>
      </w:r>
      <w:r w:rsidR="005E6B5B" w:rsidRPr="002661A8">
        <w:rPr>
          <w:rFonts w:ascii="Times New Roman" w:eastAsia="Calibri" w:hAnsi="Times New Roman" w:cs="Times New Roman"/>
          <w:noProof/>
          <w:sz w:val="24"/>
          <w:szCs w:val="24"/>
        </w:rPr>
        <w:t>Th</w:t>
      </w:r>
      <w:r w:rsidR="001248A3" w:rsidRPr="002661A8">
        <w:rPr>
          <w:rFonts w:ascii="Times New Roman" w:eastAsia="Calibri" w:hAnsi="Times New Roman" w:cs="Times New Roman"/>
          <w:noProof/>
          <w:sz w:val="24"/>
          <w:szCs w:val="24"/>
        </w:rPr>
        <w:t>e</w:t>
      </w:r>
      <w:r w:rsidR="005E6B5B" w:rsidRPr="002661A8">
        <w:rPr>
          <w:rFonts w:ascii="Times New Roman" w:eastAsia="Calibri" w:hAnsi="Times New Roman" w:cs="Times New Roman"/>
          <w:noProof/>
          <w:sz w:val="24"/>
          <w:szCs w:val="24"/>
        </w:rPr>
        <w:t xml:space="preserve"> possible combination of individual options is considered in </w:t>
      </w:r>
      <w:hyperlink w:anchor="_Option_6_–" w:history="1">
        <w:r w:rsidR="007C2883" w:rsidRPr="002661A8">
          <w:rPr>
            <w:rStyle w:val="Hyperlink"/>
            <w:rFonts w:ascii="Times New Roman" w:eastAsia="Calibri" w:hAnsi="Times New Roman" w:cs="Times New Roman"/>
            <w:noProof/>
            <w:sz w:val="24"/>
            <w:szCs w:val="24"/>
          </w:rPr>
          <w:t>S</w:t>
        </w:r>
        <w:r w:rsidR="005E6B5B" w:rsidRPr="002661A8">
          <w:rPr>
            <w:rStyle w:val="Hyperlink"/>
            <w:rFonts w:ascii="Times New Roman" w:eastAsia="Calibri" w:hAnsi="Times New Roman" w:cs="Times New Roman"/>
            <w:noProof/>
            <w:sz w:val="24"/>
            <w:szCs w:val="24"/>
          </w:rPr>
          <w:t xml:space="preserve">ection </w:t>
        </w:r>
        <w:r w:rsidR="00940FB0" w:rsidRPr="002661A8">
          <w:rPr>
            <w:rStyle w:val="Hyperlink"/>
            <w:rFonts w:ascii="Times New Roman" w:eastAsia="Calibri" w:hAnsi="Times New Roman" w:cs="Times New Roman"/>
            <w:noProof/>
            <w:sz w:val="24"/>
            <w:szCs w:val="24"/>
          </w:rPr>
          <w:t>7</w:t>
        </w:r>
        <w:r w:rsidR="005E6B5B" w:rsidRPr="002661A8">
          <w:rPr>
            <w:rStyle w:val="Hyperlink"/>
            <w:rFonts w:ascii="Times New Roman" w:eastAsia="Calibri" w:hAnsi="Times New Roman" w:cs="Times New Roman"/>
            <w:noProof/>
            <w:sz w:val="24"/>
            <w:szCs w:val="24"/>
          </w:rPr>
          <w:t>.2.5</w:t>
        </w:r>
      </w:hyperlink>
      <w:r w:rsidR="005E6B5B" w:rsidRPr="002661A8">
        <w:rPr>
          <w:rFonts w:ascii="Times New Roman" w:eastAsia="Calibri" w:hAnsi="Times New Roman" w:cs="Times New Roman"/>
          <w:noProof/>
          <w:sz w:val="24"/>
          <w:szCs w:val="24"/>
        </w:rPr>
        <w:t>.</w:t>
      </w:r>
      <w:r w:rsidR="0032097B" w:rsidRPr="002661A8">
        <w:rPr>
          <w:rFonts w:ascii="Times New Roman" w:eastAsia="Calibri" w:hAnsi="Times New Roman" w:cs="Times New Roman"/>
          <w:noProof/>
          <w:sz w:val="24"/>
          <w:szCs w:val="24"/>
        </w:rPr>
        <w:t xml:space="preserve"> </w:t>
      </w:r>
      <w:r w:rsidR="00EC5F9A">
        <w:rPr>
          <w:rFonts w:ascii="Times New Roman" w:eastAsia="Calibri" w:hAnsi="Times New Roman" w:cs="Times New Roman"/>
          <w:noProof/>
          <w:sz w:val="24"/>
          <w:szCs w:val="24"/>
        </w:rPr>
        <w:t>On balance, the flexibility of the supervisory review process to adapt to the specificities of each business profile and the fact that this sub-option could easily be grounded in the existing provisions of the Pillar 2 framework underline the attractiveness of this sub-option.</w:t>
      </w:r>
    </w:p>
    <w:p w14:paraId="2F0D3C78" w14:textId="7C5FF728" w:rsidR="00893E23" w:rsidRPr="002661A8" w:rsidRDefault="00E7552C" w:rsidP="008331A8">
      <w:pPr>
        <w:tabs>
          <w:tab w:val="left" w:pos="2302"/>
        </w:tabs>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the meeting with Member States on 16 June 2022, o</w:t>
      </w:r>
      <w:r w:rsidRPr="00DD5F27">
        <w:rPr>
          <w:rFonts w:ascii="Times New Roman" w:eastAsia="Calibri" w:hAnsi="Times New Roman" w:cs="Times New Roman"/>
          <w:noProof/>
          <w:sz w:val="24"/>
          <w:szCs w:val="24"/>
        </w:rPr>
        <w:t xml:space="preserve">ne Member State and </w:t>
      </w:r>
      <w:r>
        <w:rPr>
          <w:rFonts w:ascii="Times New Roman" w:eastAsia="Calibri" w:hAnsi="Times New Roman" w:cs="Times New Roman"/>
          <w:noProof/>
          <w:sz w:val="24"/>
          <w:szCs w:val="24"/>
        </w:rPr>
        <w:t>one</w:t>
      </w:r>
      <w:r w:rsidRPr="00DD5F27">
        <w:rPr>
          <w:rFonts w:ascii="Times New Roman" w:eastAsia="Calibri" w:hAnsi="Times New Roman" w:cs="Times New Roman"/>
          <w:noProof/>
          <w:sz w:val="24"/>
          <w:szCs w:val="24"/>
        </w:rPr>
        <w:t xml:space="preserve"> EU authority argued that it might be difficult to calibrate an appropriate exposure level </w:t>
      </w:r>
      <w:r>
        <w:rPr>
          <w:rFonts w:ascii="Times New Roman" w:eastAsia="Calibri" w:hAnsi="Times New Roman" w:cs="Times New Roman"/>
          <w:noProof/>
          <w:sz w:val="24"/>
          <w:szCs w:val="24"/>
        </w:rPr>
        <w:t xml:space="preserve">for large exposure capital requirements </w:t>
      </w:r>
      <w:r w:rsidRPr="00DD5F27">
        <w:rPr>
          <w:rFonts w:ascii="Times New Roman" w:eastAsia="Calibri" w:hAnsi="Times New Roman" w:cs="Times New Roman"/>
          <w:noProof/>
          <w:sz w:val="24"/>
          <w:szCs w:val="24"/>
        </w:rPr>
        <w:t>and highlighted that national supervisors are already allowed to impose additional requirements under the current SREP tool. The EU authority argued further that risks related to over-reliance on a systemic third-country CCP may be manageable on a clearing member level but not on a macro level. Therefore, the risk should be addressed at a macro</w:t>
      </w:r>
      <w:r w:rsidR="007228B0">
        <w:rPr>
          <w:rFonts w:ascii="Times New Roman" w:eastAsia="Calibri" w:hAnsi="Times New Roman" w:cs="Times New Roman"/>
          <w:noProof/>
          <w:sz w:val="24"/>
          <w:szCs w:val="24"/>
        </w:rPr>
        <w:t>-</w:t>
      </w:r>
      <w:r w:rsidRPr="00DD5F27">
        <w:rPr>
          <w:rFonts w:ascii="Times New Roman" w:eastAsia="Calibri" w:hAnsi="Times New Roman" w:cs="Times New Roman"/>
          <w:noProof/>
          <w:sz w:val="24"/>
          <w:szCs w:val="24"/>
        </w:rPr>
        <w:t xml:space="preserve"> rather than at clearing member level.</w:t>
      </w:r>
    </w:p>
    <w:p w14:paraId="50003C0E" w14:textId="7505DBD5" w:rsidR="001C59D3" w:rsidRPr="002661A8" w:rsidRDefault="000923BE" w:rsidP="00934309">
      <w:pPr>
        <w:tabs>
          <w:tab w:val="left" w:pos="2302"/>
        </w:tabs>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Finally</w:t>
      </w:r>
      <w:r w:rsidR="009C5D9B" w:rsidRPr="002661A8">
        <w:rPr>
          <w:rFonts w:ascii="Times New Roman" w:eastAsia="Calibri" w:hAnsi="Times New Roman" w:cs="Times New Roman"/>
          <w:noProof/>
          <w:sz w:val="24"/>
          <w:szCs w:val="24"/>
        </w:rPr>
        <w:t xml:space="preserve">, </w:t>
      </w:r>
      <w:r w:rsidR="008B2978" w:rsidRPr="002661A8">
        <w:rPr>
          <w:rFonts w:ascii="Times New Roman" w:eastAsia="Calibri" w:hAnsi="Times New Roman" w:cs="Times New Roman"/>
          <w:noProof/>
          <w:sz w:val="24"/>
          <w:szCs w:val="24"/>
        </w:rPr>
        <w:t xml:space="preserve">as a </w:t>
      </w:r>
      <w:r w:rsidR="008B2978" w:rsidRPr="00BE3B33">
        <w:rPr>
          <w:rFonts w:ascii="Times New Roman" w:eastAsia="Calibri" w:hAnsi="Times New Roman" w:cs="Times New Roman"/>
          <w:b/>
          <w:noProof/>
          <w:sz w:val="24"/>
          <w:szCs w:val="24"/>
        </w:rPr>
        <w:t>third sub-option</w:t>
      </w:r>
      <w:r w:rsidR="00FF2EC3" w:rsidRPr="00BE3B33">
        <w:rPr>
          <w:rFonts w:ascii="Times New Roman" w:eastAsia="Calibri" w:hAnsi="Times New Roman" w:cs="Times New Roman"/>
          <w:b/>
          <w:noProof/>
          <w:sz w:val="24"/>
          <w:szCs w:val="24"/>
        </w:rPr>
        <w:t xml:space="preserve"> (Option B2.3)</w:t>
      </w:r>
      <w:r w:rsidR="008B2978" w:rsidRPr="00BE3B33">
        <w:rPr>
          <w:rFonts w:ascii="Times New Roman" w:eastAsia="Calibri" w:hAnsi="Times New Roman" w:cs="Times New Roman"/>
          <w:b/>
          <w:noProof/>
          <w:sz w:val="24"/>
          <w:szCs w:val="24"/>
        </w:rPr>
        <w:t>,</w:t>
      </w:r>
      <w:r w:rsidR="008B2978"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 xml:space="preserve">macroprudential </w:t>
      </w:r>
      <w:r w:rsidR="008B2978" w:rsidRPr="002661A8">
        <w:rPr>
          <w:rFonts w:ascii="Times New Roman" w:eastAsia="Calibri" w:hAnsi="Times New Roman" w:cs="Times New Roman"/>
          <w:noProof/>
          <w:sz w:val="24"/>
          <w:szCs w:val="24"/>
        </w:rPr>
        <w:t>measures</w:t>
      </w:r>
      <w:r w:rsidRPr="002661A8">
        <w:rPr>
          <w:rFonts w:ascii="Times New Roman" w:eastAsia="Calibri" w:hAnsi="Times New Roman" w:cs="Times New Roman"/>
          <w:noProof/>
          <w:sz w:val="24"/>
          <w:szCs w:val="24"/>
        </w:rPr>
        <w:t xml:space="preserve"> could address the systemic risk </w:t>
      </w:r>
      <w:r w:rsidR="003C2609" w:rsidRPr="002661A8">
        <w:rPr>
          <w:rFonts w:ascii="Times New Roman" w:eastAsia="Calibri" w:hAnsi="Times New Roman" w:cs="Times New Roman"/>
          <w:noProof/>
          <w:sz w:val="24"/>
          <w:szCs w:val="24"/>
        </w:rPr>
        <w:t>of</w:t>
      </w:r>
      <w:r w:rsidRPr="002661A8">
        <w:rPr>
          <w:rFonts w:ascii="Times New Roman" w:eastAsia="Calibri" w:hAnsi="Times New Roman" w:cs="Times New Roman"/>
          <w:noProof/>
          <w:sz w:val="24"/>
          <w:szCs w:val="24"/>
        </w:rPr>
        <w:t xml:space="preserve"> </w:t>
      </w:r>
      <w:r w:rsidR="00411565" w:rsidRPr="002661A8">
        <w:rPr>
          <w:rFonts w:ascii="Times New Roman" w:eastAsia="Calibri" w:hAnsi="Times New Roman" w:cs="Times New Roman"/>
          <w:noProof/>
          <w:sz w:val="24"/>
          <w:szCs w:val="24"/>
        </w:rPr>
        <w:t xml:space="preserve">an excessive </w:t>
      </w:r>
      <w:r w:rsidRPr="002661A8">
        <w:rPr>
          <w:rFonts w:ascii="Times New Roman" w:eastAsia="Calibri" w:hAnsi="Times New Roman" w:cs="Times New Roman"/>
          <w:noProof/>
          <w:sz w:val="24"/>
          <w:szCs w:val="24"/>
        </w:rPr>
        <w:t>exposure of the overall EU banking sector</w:t>
      </w:r>
      <w:r w:rsidR="003877A7"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 xml:space="preserve">to a given CCP. </w:t>
      </w:r>
      <w:r w:rsidR="00FA19F2" w:rsidRPr="002661A8">
        <w:rPr>
          <w:rFonts w:ascii="Times New Roman" w:eastAsia="Calibri" w:hAnsi="Times New Roman" w:cs="Times New Roman"/>
          <w:noProof/>
          <w:sz w:val="24"/>
          <w:szCs w:val="24"/>
        </w:rPr>
        <w:t>These</w:t>
      </w:r>
      <w:r w:rsidRPr="002661A8">
        <w:rPr>
          <w:rFonts w:ascii="Times New Roman" w:eastAsia="Calibri" w:hAnsi="Times New Roman" w:cs="Times New Roman"/>
          <w:noProof/>
          <w:sz w:val="24"/>
          <w:szCs w:val="24"/>
        </w:rPr>
        <w:t xml:space="preserve"> could take the shape of a capital buffer </w:t>
      </w:r>
      <w:r w:rsidR="008B2978" w:rsidRPr="002661A8">
        <w:rPr>
          <w:rFonts w:ascii="Times New Roman" w:eastAsia="Calibri" w:hAnsi="Times New Roman" w:cs="Times New Roman"/>
          <w:noProof/>
          <w:sz w:val="24"/>
          <w:szCs w:val="24"/>
        </w:rPr>
        <w:t>(</w:t>
      </w:r>
      <w:r w:rsidR="003C2609" w:rsidRPr="002661A8">
        <w:rPr>
          <w:rFonts w:ascii="Times New Roman" w:eastAsia="Calibri" w:hAnsi="Times New Roman" w:cs="Times New Roman"/>
          <w:noProof/>
          <w:sz w:val="24"/>
          <w:szCs w:val="24"/>
        </w:rPr>
        <w:t>i.e.</w:t>
      </w:r>
      <w:r w:rsidR="00DB0CDD" w:rsidRPr="002661A8">
        <w:rPr>
          <w:rFonts w:ascii="Times New Roman" w:eastAsia="Calibri" w:hAnsi="Times New Roman" w:cs="Times New Roman"/>
          <w:noProof/>
          <w:sz w:val="24"/>
          <w:szCs w:val="24"/>
        </w:rPr>
        <w:t xml:space="preserve"> a</w:t>
      </w:r>
      <w:r w:rsidR="008B2978" w:rsidRPr="002661A8">
        <w:rPr>
          <w:rFonts w:ascii="Times New Roman" w:eastAsia="Calibri" w:hAnsi="Times New Roman" w:cs="Times New Roman"/>
          <w:noProof/>
          <w:sz w:val="24"/>
          <w:szCs w:val="24"/>
        </w:rPr>
        <w:t xml:space="preserve"> </w:t>
      </w:r>
      <w:r w:rsidR="00DB0CDD" w:rsidRPr="002661A8">
        <w:rPr>
          <w:rFonts w:ascii="Times New Roman" w:eastAsia="Calibri" w:hAnsi="Times New Roman" w:cs="Times New Roman"/>
          <w:noProof/>
          <w:sz w:val="24"/>
          <w:szCs w:val="24"/>
        </w:rPr>
        <w:t>“</w:t>
      </w:r>
      <w:r w:rsidR="008B2978" w:rsidRPr="002661A8">
        <w:rPr>
          <w:rFonts w:ascii="Times New Roman" w:eastAsia="Calibri" w:hAnsi="Times New Roman" w:cs="Times New Roman"/>
          <w:noProof/>
          <w:sz w:val="24"/>
          <w:szCs w:val="24"/>
        </w:rPr>
        <w:t>Systemic Risk Buffer</w:t>
      </w:r>
      <w:r w:rsidR="00DB0CDD" w:rsidRPr="002661A8">
        <w:rPr>
          <w:rFonts w:ascii="Times New Roman" w:eastAsia="Calibri" w:hAnsi="Times New Roman" w:cs="Times New Roman"/>
          <w:noProof/>
          <w:sz w:val="24"/>
          <w:szCs w:val="24"/>
        </w:rPr>
        <w:t>”</w:t>
      </w:r>
      <w:r w:rsidR="008B2978" w:rsidRPr="002661A8">
        <w:rPr>
          <w:rFonts w:ascii="Times New Roman" w:eastAsia="Calibri" w:hAnsi="Times New Roman" w:cs="Times New Roman"/>
          <w:noProof/>
          <w:sz w:val="24"/>
          <w:szCs w:val="24"/>
        </w:rPr>
        <w:t>)</w:t>
      </w:r>
      <w:r w:rsidR="000E3DC4"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 xml:space="preserve">or </w:t>
      </w:r>
      <w:r w:rsidR="00411565" w:rsidRPr="002661A8">
        <w:rPr>
          <w:rFonts w:ascii="Times New Roman" w:eastAsia="Calibri" w:hAnsi="Times New Roman" w:cs="Times New Roman"/>
          <w:noProof/>
          <w:sz w:val="24"/>
          <w:szCs w:val="24"/>
        </w:rPr>
        <w:t xml:space="preserve">targeted </w:t>
      </w:r>
      <w:r w:rsidRPr="002661A8">
        <w:rPr>
          <w:rFonts w:ascii="Times New Roman" w:eastAsia="Calibri" w:hAnsi="Times New Roman" w:cs="Times New Roman"/>
          <w:noProof/>
          <w:sz w:val="24"/>
          <w:szCs w:val="24"/>
        </w:rPr>
        <w:t xml:space="preserve">(temporary) </w:t>
      </w:r>
      <w:r w:rsidR="00DB0CDD" w:rsidRPr="002661A8">
        <w:rPr>
          <w:rFonts w:ascii="Times New Roman" w:eastAsia="Calibri" w:hAnsi="Times New Roman" w:cs="Times New Roman"/>
          <w:noProof/>
          <w:sz w:val="24"/>
          <w:szCs w:val="24"/>
        </w:rPr>
        <w:t>actions</w:t>
      </w:r>
      <w:r w:rsidR="009C6418" w:rsidRPr="002661A8">
        <w:rPr>
          <w:rFonts w:ascii="Times New Roman" w:eastAsia="Calibri" w:hAnsi="Times New Roman" w:cs="Times New Roman"/>
          <w:noProof/>
          <w:sz w:val="24"/>
          <w:szCs w:val="24"/>
        </w:rPr>
        <w:t xml:space="preserve"> under Art</w:t>
      </w:r>
      <w:r w:rsidR="00C64A1B" w:rsidRPr="002661A8">
        <w:rPr>
          <w:rFonts w:ascii="Times New Roman" w:eastAsia="Calibri" w:hAnsi="Times New Roman" w:cs="Times New Roman"/>
          <w:noProof/>
          <w:sz w:val="24"/>
          <w:szCs w:val="24"/>
        </w:rPr>
        <w:t>icle</w:t>
      </w:r>
      <w:r w:rsidR="009C6418" w:rsidRPr="002661A8">
        <w:rPr>
          <w:rFonts w:ascii="Times New Roman" w:eastAsia="Calibri" w:hAnsi="Times New Roman" w:cs="Times New Roman"/>
          <w:noProof/>
          <w:sz w:val="24"/>
          <w:szCs w:val="24"/>
        </w:rPr>
        <w:t xml:space="preserve"> 458 </w:t>
      </w:r>
      <w:r w:rsidR="00C64A1B" w:rsidRPr="002661A8">
        <w:rPr>
          <w:rFonts w:ascii="Times New Roman" w:eastAsia="Calibri" w:hAnsi="Times New Roman" w:cs="Times New Roman"/>
          <w:noProof/>
          <w:sz w:val="24"/>
          <w:szCs w:val="24"/>
        </w:rPr>
        <w:t xml:space="preserve">of the </w:t>
      </w:r>
      <w:r w:rsidR="009C6418" w:rsidRPr="002661A8">
        <w:rPr>
          <w:rFonts w:ascii="Times New Roman" w:eastAsia="Calibri" w:hAnsi="Times New Roman" w:cs="Times New Roman"/>
          <w:noProof/>
          <w:sz w:val="24"/>
          <w:szCs w:val="24"/>
        </w:rPr>
        <w:t>CRR</w:t>
      </w:r>
      <w:r w:rsidR="00411565" w:rsidRPr="002661A8">
        <w:rPr>
          <w:rFonts w:ascii="Times New Roman" w:eastAsia="Calibri" w:hAnsi="Times New Roman" w:cs="Times New Roman"/>
          <w:noProof/>
          <w:sz w:val="24"/>
          <w:szCs w:val="24"/>
        </w:rPr>
        <w:t xml:space="preserve"> </w:t>
      </w:r>
      <w:r w:rsidR="008B2978" w:rsidRPr="002661A8">
        <w:rPr>
          <w:rFonts w:ascii="Times New Roman" w:eastAsia="Calibri" w:hAnsi="Times New Roman" w:cs="Times New Roman"/>
          <w:noProof/>
          <w:sz w:val="24"/>
          <w:szCs w:val="24"/>
        </w:rPr>
        <w:t xml:space="preserve">to tighten large exposure </w:t>
      </w:r>
      <w:r w:rsidRPr="002661A8">
        <w:rPr>
          <w:rFonts w:ascii="Times New Roman" w:eastAsia="Calibri" w:hAnsi="Times New Roman" w:cs="Times New Roman"/>
          <w:noProof/>
          <w:sz w:val="24"/>
          <w:szCs w:val="24"/>
        </w:rPr>
        <w:t>limits</w:t>
      </w:r>
      <w:r w:rsidR="008B2978" w:rsidRPr="002661A8">
        <w:rPr>
          <w:rFonts w:ascii="Times New Roman" w:eastAsia="Calibri" w:hAnsi="Times New Roman" w:cs="Times New Roman"/>
          <w:noProof/>
          <w:sz w:val="24"/>
          <w:szCs w:val="24"/>
        </w:rPr>
        <w:t xml:space="preserve"> </w:t>
      </w:r>
      <w:r w:rsidR="009C6418" w:rsidRPr="002661A8">
        <w:rPr>
          <w:rFonts w:ascii="Times New Roman" w:eastAsia="Calibri" w:hAnsi="Times New Roman" w:cs="Times New Roman"/>
          <w:noProof/>
          <w:sz w:val="24"/>
          <w:szCs w:val="24"/>
        </w:rPr>
        <w:t xml:space="preserve">(however, this would require that exposures to CCPs are brought in the scope of large exposures limits in the CRR), </w:t>
      </w:r>
      <w:r w:rsidR="008B2978" w:rsidRPr="002661A8">
        <w:rPr>
          <w:rFonts w:ascii="Times New Roman" w:eastAsia="Calibri" w:hAnsi="Times New Roman" w:cs="Times New Roman"/>
          <w:noProof/>
          <w:sz w:val="24"/>
          <w:szCs w:val="24"/>
        </w:rPr>
        <w:t>or</w:t>
      </w:r>
      <w:r w:rsidR="003C2609" w:rsidRPr="002661A8">
        <w:rPr>
          <w:rFonts w:ascii="Times New Roman" w:eastAsia="Calibri" w:hAnsi="Times New Roman" w:cs="Times New Roman"/>
          <w:noProof/>
          <w:sz w:val="24"/>
          <w:szCs w:val="24"/>
        </w:rPr>
        <w:t xml:space="preserve"> </w:t>
      </w:r>
      <w:r w:rsidR="007228B0">
        <w:rPr>
          <w:rFonts w:ascii="Times New Roman" w:eastAsia="Calibri" w:hAnsi="Times New Roman" w:cs="Times New Roman"/>
          <w:noProof/>
          <w:sz w:val="24"/>
          <w:szCs w:val="24"/>
        </w:rPr>
        <w:t xml:space="preserve">a </w:t>
      </w:r>
      <w:r w:rsidR="008B2978" w:rsidRPr="002661A8">
        <w:rPr>
          <w:rFonts w:ascii="Times New Roman" w:eastAsia="Calibri" w:hAnsi="Times New Roman" w:cs="Times New Roman"/>
          <w:noProof/>
          <w:sz w:val="24"/>
          <w:szCs w:val="24"/>
        </w:rPr>
        <w:t>limit</w:t>
      </w:r>
      <w:r w:rsidR="00411565" w:rsidRPr="002661A8">
        <w:rPr>
          <w:rFonts w:ascii="Times New Roman" w:eastAsia="Calibri" w:hAnsi="Times New Roman" w:cs="Times New Roman"/>
          <w:noProof/>
          <w:sz w:val="24"/>
          <w:szCs w:val="24"/>
        </w:rPr>
        <w:t xml:space="preserve"> </w:t>
      </w:r>
      <w:r w:rsidR="007228B0">
        <w:rPr>
          <w:rFonts w:ascii="Times New Roman" w:eastAsia="Calibri" w:hAnsi="Times New Roman" w:cs="Times New Roman"/>
          <w:noProof/>
          <w:sz w:val="24"/>
          <w:szCs w:val="24"/>
        </w:rPr>
        <w:t>to</w:t>
      </w:r>
      <w:r w:rsidR="00411565" w:rsidRPr="002661A8">
        <w:rPr>
          <w:rFonts w:ascii="Times New Roman" w:eastAsia="Calibri" w:hAnsi="Times New Roman" w:cs="Times New Roman"/>
          <w:noProof/>
          <w:sz w:val="24"/>
          <w:szCs w:val="24"/>
        </w:rPr>
        <w:t xml:space="preserve"> </w:t>
      </w:r>
      <w:r w:rsidR="001248A3" w:rsidRPr="002661A8">
        <w:rPr>
          <w:rFonts w:ascii="Times New Roman" w:eastAsia="Calibri" w:hAnsi="Times New Roman" w:cs="Times New Roman"/>
          <w:noProof/>
          <w:sz w:val="24"/>
          <w:szCs w:val="24"/>
        </w:rPr>
        <w:t>t</w:t>
      </w:r>
      <w:r w:rsidR="00411565" w:rsidRPr="002661A8">
        <w:rPr>
          <w:rFonts w:ascii="Times New Roman" w:eastAsia="Calibri" w:hAnsi="Times New Roman" w:cs="Times New Roman"/>
          <w:noProof/>
          <w:sz w:val="24"/>
          <w:szCs w:val="24"/>
        </w:rPr>
        <w:t>he aggregated level of exposures towards CCPs</w:t>
      </w:r>
      <w:r w:rsidR="009C6418" w:rsidRPr="002661A8">
        <w:rPr>
          <w:noProof/>
        </w:rPr>
        <w:t xml:space="preserve"> </w:t>
      </w:r>
      <w:r w:rsidR="009C6418" w:rsidRPr="002661A8">
        <w:rPr>
          <w:rFonts w:ascii="Times New Roman" w:eastAsia="Calibri" w:hAnsi="Times New Roman" w:cs="Times New Roman"/>
          <w:noProof/>
          <w:sz w:val="24"/>
          <w:szCs w:val="24"/>
        </w:rPr>
        <w:t>as “intra-financial sector exposures”</w:t>
      </w:r>
      <w:r w:rsidR="001248A3" w:rsidRPr="002661A8">
        <w:rPr>
          <w:rFonts w:ascii="Times New Roman" w:eastAsia="Calibri" w:hAnsi="Times New Roman" w:cs="Times New Roman"/>
          <w:noProof/>
          <w:sz w:val="24"/>
          <w:szCs w:val="24"/>
        </w:rPr>
        <w:t xml:space="preserve">. This </w:t>
      </w:r>
      <w:r w:rsidR="008B2978" w:rsidRPr="002661A8">
        <w:rPr>
          <w:rFonts w:ascii="Times New Roman" w:eastAsia="Calibri" w:hAnsi="Times New Roman" w:cs="Times New Roman"/>
          <w:noProof/>
          <w:sz w:val="24"/>
          <w:szCs w:val="24"/>
        </w:rPr>
        <w:t>sub-</w:t>
      </w:r>
      <w:r w:rsidR="00411565" w:rsidRPr="002661A8">
        <w:rPr>
          <w:rFonts w:ascii="Times New Roman" w:eastAsia="Calibri" w:hAnsi="Times New Roman" w:cs="Times New Roman"/>
          <w:noProof/>
          <w:sz w:val="24"/>
          <w:szCs w:val="24"/>
        </w:rPr>
        <w:t xml:space="preserve">option </w:t>
      </w:r>
      <w:r w:rsidR="008B2978" w:rsidRPr="002661A8">
        <w:rPr>
          <w:rFonts w:ascii="Times New Roman" w:eastAsia="Calibri" w:hAnsi="Times New Roman" w:cs="Times New Roman"/>
          <w:noProof/>
          <w:sz w:val="24"/>
          <w:szCs w:val="24"/>
        </w:rPr>
        <w:t>could help mitigate the systemic risk from excessive exposure concentration towards a single CCP</w:t>
      </w:r>
      <w:r w:rsidR="001248A3" w:rsidRPr="002661A8">
        <w:rPr>
          <w:rFonts w:ascii="Times New Roman" w:eastAsia="Calibri" w:hAnsi="Times New Roman" w:cs="Times New Roman"/>
          <w:noProof/>
          <w:sz w:val="24"/>
          <w:szCs w:val="24"/>
        </w:rPr>
        <w:t>,</w:t>
      </w:r>
      <w:r w:rsidR="008B2978" w:rsidRPr="002661A8">
        <w:rPr>
          <w:rFonts w:ascii="Times New Roman" w:eastAsia="Calibri" w:hAnsi="Times New Roman" w:cs="Times New Roman"/>
          <w:noProof/>
          <w:sz w:val="24"/>
          <w:szCs w:val="24"/>
        </w:rPr>
        <w:t xml:space="preserve"> and </w:t>
      </w:r>
      <w:r w:rsidR="003F68B4" w:rsidRPr="002661A8">
        <w:rPr>
          <w:rFonts w:ascii="Times New Roman" w:eastAsia="Calibri" w:hAnsi="Times New Roman" w:cs="Times New Roman"/>
          <w:noProof/>
          <w:sz w:val="24"/>
          <w:szCs w:val="24"/>
        </w:rPr>
        <w:t xml:space="preserve">contribute to </w:t>
      </w:r>
      <w:r w:rsidR="003C2609" w:rsidRPr="002661A8">
        <w:rPr>
          <w:rFonts w:ascii="Times New Roman" w:eastAsia="Calibri" w:hAnsi="Times New Roman" w:cs="Times New Roman"/>
          <w:noProof/>
          <w:sz w:val="24"/>
          <w:szCs w:val="24"/>
        </w:rPr>
        <w:t>limiting</w:t>
      </w:r>
      <w:r w:rsidR="00411565" w:rsidRPr="002661A8">
        <w:rPr>
          <w:rFonts w:ascii="Times New Roman" w:eastAsia="Calibri" w:hAnsi="Times New Roman" w:cs="Times New Roman"/>
          <w:noProof/>
          <w:sz w:val="24"/>
          <w:szCs w:val="24"/>
        </w:rPr>
        <w:t xml:space="preserve"> </w:t>
      </w:r>
      <w:r w:rsidR="001248A3" w:rsidRPr="002661A8">
        <w:rPr>
          <w:rFonts w:ascii="Times New Roman" w:eastAsia="Calibri" w:hAnsi="Times New Roman" w:cs="Times New Roman"/>
          <w:noProof/>
          <w:sz w:val="24"/>
          <w:szCs w:val="24"/>
        </w:rPr>
        <w:t xml:space="preserve">such </w:t>
      </w:r>
      <w:r w:rsidR="00411565" w:rsidRPr="002661A8">
        <w:rPr>
          <w:rFonts w:ascii="Times New Roman" w:eastAsia="Calibri" w:hAnsi="Times New Roman" w:cs="Times New Roman"/>
          <w:noProof/>
          <w:sz w:val="24"/>
          <w:szCs w:val="24"/>
        </w:rPr>
        <w:t xml:space="preserve">excessive exposures. </w:t>
      </w:r>
      <w:r w:rsidR="008B2978" w:rsidRPr="002661A8">
        <w:rPr>
          <w:rFonts w:ascii="Times New Roman" w:eastAsia="Calibri" w:hAnsi="Times New Roman" w:cs="Times New Roman"/>
          <w:noProof/>
          <w:sz w:val="24"/>
          <w:szCs w:val="24"/>
        </w:rPr>
        <w:t xml:space="preserve">However, </w:t>
      </w:r>
      <w:r w:rsidR="003C2609" w:rsidRPr="002661A8">
        <w:rPr>
          <w:rFonts w:ascii="Times New Roman" w:eastAsia="Calibri" w:hAnsi="Times New Roman" w:cs="Times New Roman"/>
          <w:noProof/>
          <w:sz w:val="24"/>
          <w:szCs w:val="24"/>
        </w:rPr>
        <w:t xml:space="preserve">this </w:t>
      </w:r>
      <w:r w:rsidR="001248A3" w:rsidRPr="002661A8">
        <w:rPr>
          <w:rFonts w:ascii="Times New Roman" w:eastAsia="Calibri" w:hAnsi="Times New Roman" w:cs="Times New Roman"/>
          <w:noProof/>
          <w:sz w:val="24"/>
          <w:szCs w:val="24"/>
        </w:rPr>
        <w:t>sub-</w:t>
      </w:r>
      <w:r w:rsidR="003C2609" w:rsidRPr="002661A8">
        <w:rPr>
          <w:rFonts w:ascii="Times New Roman" w:eastAsia="Calibri" w:hAnsi="Times New Roman" w:cs="Times New Roman"/>
          <w:noProof/>
          <w:sz w:val="24"/>
          <w:szCs w:val="24"/>
        </w:rPr>
        <w:t xml:space="preserve">option </w:t>
      </w:r>
      <w:r w:rsidR="001248A3" w:rsidRPr="002661A8">
        <w:rPr>
          <w:rFonts w:ascii="Times New Roman" w:eastAsia="Calibri" w:hAnsi="Times New Roman" w:cs="Times New Roman"/>
          <w:noProof/>
          <w:sz w:val="24"/>
          <w:szCs w:val="24"/>
        </w:rPr>
        <w:t xml:space="preserve">alone </w:t>
      </w:r>
      <w:r w:rsidR="003C2609" w:rsidRPr="002661A8">
        <w:rPr>
          <w:rFonts w:ascii="Times New Roman" w:eastAsia="Calibri" w:hAnsi="Times New Roman" w:cs="Times New Roman"/>
          <w:noProof/>
          <w:sz w:val="24"/>
          <w:szCs w:val="24"/>
        </w:rPr>
        <w:t xml:space="preserve">would not ensure that clearing would </w:t>
      </w:r>
      <w:r w:rsidR="00C43394" w:rsidRPr="002661A8">
        <w:rPr>
          <w:rFonts w:ascii="Times New Roman" w:eastAsia="Calibri" w:hAnsi="Times New Roman" w:cs="Times New Roman"/>
          <w:noProof/>
          <w:sz w:val="24"/>
          <w:szCs w:val="24"/>
        </w:rPr>
        <w:t xml:space="preserve">rise </w:t>
      </w:r>
      <w:r w:rsidR="003C2609" w:rsidRPr="002661A8">
        <w:rPr>
          <w:rFonts w:ascii="Times New Roman" w:eastAsia="Calibri" w:hAnsi="Times New Roman" w:cs="Times New Roman"/>
          <w:noProof/>
          <w:sz w:val="24"/>
          <w:szCs w:val="24"/>
        </w:rPr>
        <w:t>at EU CCPs</w:t>
      </w:r>
      <w:r w:rsidR="001248A3" w:rsidRPr="002661A8">
        <w:rPr>
          <w:rFonts w:ascii="Times New Roman" w:eastAsia="Calibri" w:hAnsi="Times New Roman" w:cs="Times New Roman"/>
          <w:noProof/>
          <w:sz w:val="24"/>
          <w:szCs w:val="24"/>
        </w:rPr>
        <w:t>:</w:t>
      </w:r>
      <w:r w:rsidR="003C2609" w:rsidRPr="002661A8">
        <w:rPr>
          <w:rFonts w:ascii="Times New Roman" w:eastAsia="Calibri" w:hAnsi="Times New Roman" w:cs="Times New Roman"/>
          <w:noProof/>
          <w:sz w:val="24"/>
          <w:szCs w:val="24"/>
        </w:rPr>
        <w:t xml:space="preserve"> it</w:t>
      </w:r>
      <w:r w:rsidR="00411565" w:rsidRPr="002661A8">
        <w:rPr>
          <w:rFonts w:ascii="Times New Roman" w:eastAsia="Calibri" w:hAnsi="Times New Roman" w:cs="Times New Roman"/>
          <w:noProof/>
          <w:sz w:val="24"/>
          <w:szCs w:val="24"/>
        </w:rPr>
        <w:t xml:space="preserve"> would need to be complemented by other options envisaged under </w:t>
      </w:r>
      <w:hyperlink w:anchor="_Measures_to_encourage" w:history="1">
        <w:r w:rsidR="00113223" w:rsidRPr="002661A8">
          <w:rPr>
            <w:rStyle w:val="Hyperlink"/>
            <w:rFonts w:ascii="Times New Roman" w:eastAsia="Calibri" w:hAnsi="Times New Roman" w:cs="Times New Roman"/>
            <w:noProof/>
            <w:sz w:val="24"/>
            <w:szCs w:val="24"/>
          </w:rPr>
          <w:t>S</w:t>
        </w:r>
        <w:r w:rsidR="00411565" w:rsidRPr="002661A8">
          <w:rPr>
            <w:rStyle w:val="Hyperlink"/>
            <w:rFonts w:ascii="Times New Roman" w:eastAsia="Calibri" w:hAnsi="Times New Roman" w:cs="Times New Roman"/>
            <w:noProof/>
            <w:sz w:val="24"/>
            <w:szCs w:val="24"/>
          </w:rPr>
          <w:t>ection</w:t>
        </w:r>
        <w:r w:rsidR="00940FB0" w:rsidRPr="002661A8">
          <w:rPr>
            <w:rStyle w:val="Hyperlink"/>
            <w:rFonts w:ascii="Times New Roman" w:eastAsia="Calibri" w:hAnsi="Times New Roman" w:cs="Times New Roman"/>
            <w:noProof/>
            <w:sz w:val="24"/>
            <w:szCs w:val="24"/>
          </w:rPr>
          <w:t xml:space="preserve"> 7.2</w:t>
        </w:r>
      </w:hyperlink>
      <w:r w:rsidR="00411565" w:rsidRPr="002661A8">
        <w:rPr>
          <w:rFonts w:ascii="Times New Roman" w:eastAsia="Calibri" w:hAnsi="Times New Roman" w:cs="Times New Roman"/>
          <w:noProof/>
          <w:sz w:val="24"/>
          <w:szCs w:val="24"/>
        </w:rPr>
        <w:t xml:space="preserve">. </w:t>
      </w:r>
      <w:r w:rsidR="008B2978" w:rsidRPr="002661A8">
        <w:rPr>
          <w:rFonts w:ascii="Times New Roman" w:eastAsia="Calibri" w:hAnsi="Times New Roman" w:cs="Times New Roman"/>
          <w:noProof/>
          <w:sz w:val="24"/>
          <w:szCs w:val="24"/>
        </w:rPr>
        <w:t xml:space="preserve">In addition, given that national authorities are entrusted with the activation and calibration of the Systemic Risk Buffers and of </w:t>
      </w:r>
      <w:r w:rsidR="001248A3" w:rsidRPr="002661A8">
        <w:rPr>
          <w:rFonts w:ascii="Times New Roman" w:eastAsia="Calibri" w:hAnsi="Times New Roman" w:cs="Times New Roman"/>
          <w:noProof/>
          <w:sz w:val="24"/>
          <w:szCs w:val="24"/>
        </w:rPr>
        <w:t>the</w:t>
      </w:r>
      <w:r w:rsidR="0043255F" w:rsidRPr="002661A8">
        <w:rPr>
          <w:rFonts w:ascii="Times New Roman" w:eastAsia="Calibri" w:hAnsi="Times New Roman" w:cs="Times New Roman"/>
          <w:noProof/>
          <w:sz w:val="24"/>
          <w:szCs w:val="24"/>
        </w:rPr>
        <w:t xml:space="preserve"> macroprudential </w:t>
      </w:r>
      <w:r w:rsidR="008B2978" w:rsidRPr="002661A8">
        <w:rPr>
          <w:rFonts w:ascii="Times New Roman" w:eastAsia="Calibri" w:hAnsi="Times New Roman" w:cs="Times New Roman"/>
          <w:noProof/>
          <w:sz w:val="24"/>
          <w:szCs w:val="24"/>
        </w:rPr>
        <w:t>measures</w:t>
      </w:r>
      <w:r w:rsidR="001248A3" w:rsidRPr="002661A8">
        <w:rPr>
          <w:rFonts w:ascii="Times New Roman" w:eastAsia="Calibri" w:hAnsi="Times New Roman" w:cs="Times New Roman"/>
          <w:noProof/>
          <w:sz w:val="24"/>
          <w:szCs w:val="24"/>
        </w:rPr>
        <w:t xml:space="preserve"> under Art</w:t>
      </w:r>
      <w:r w:rsidR="00C64A1B" w:rsidRPr="002661A8">
        <w:rPr>
          <w:rFonts w:ascii="Times New Roman" w:eastAsia="Calibri" w:hAnsi="Times New Roman" w:cs="Times New Roman"/>
          <w:noProof/>
          <w:sz w:val="24"/>
          <w:szCs w:val="24"/>
        </w:rPr>
        <w:t>icle</w:t>
      </w:r>
      <w:r w:rsidR="001248A3" w:rsidRPr="002661A8">
        <w:rPr>
          <w:rFonts w:ascii="Times New Roman" w:eastAsia="Calibri" w:hAnsi="Times New Roman" w:cs="Times New Roman"/>
          <w:noProof/>
          <w:sz w:val="24"/>
          <w:szCs w:val="24"/>
        </w:rPr>
        <w:t xml:space="preserve"> 458 </w:t>
      </w:r>
      <w:r w:rsidR="00C64A1B" w:rsidRPr="002661A8">
        <w:rPr>
          <w:rFonts w:ascii="Times New Roman" w:eastAsia="Calibri" w:hAnsi="Times New Roman" w:cs="Times New Roman"/>
          <w:noProof/>
          <w:sz w:val="24"/>
          <w:szCs w:val="24"/>
        </w:rPr>
        <w:t xml:space="preserve">of the </w:t>
      </w:r>
      <w:r w:rsidR="001248A3" w:rsidRPr="002661A8">
        <w:rPr>
          <w:rFonts w:ascii="Times New Roman" w:eastAsia="Calibri" w:hAnsi="Times New Roman" w:cs="Times New Roman"/>
          <w:noProof/>
          <w:sz w:val="24"/>
          <w:szCs w:val="24"/>
        </w:rPr>
        <w:t>CRR</w:t>
      </w:r>
      <w:r w:rsidR="008B2978" w:rsidRPr="002661A8">
        <w:rPr>
          <w:rFonts w:ascii="Times New Roman" w:eastAsia="Calibri" w:hAnsi="Times New Roman" w:cs="Times New Roman"/>
          <w:noProof/>
          <w:sz w:val="24"/>
          <w:szCs w:val="24"/>
        </w:rPr>
        <w:t>, ensuring the desired behavioural changes from market participants in a coherent way is not obvious.</w:t>
      </w:r>
      <w:r w:rsidR="008B2978" w:rsidRPr="002661A8">
        <w:rPr>
          <w:rStyle w:val="FootnoteReference"/>
          <w:rFonts w:ascii="Times New Roman" w:eastAsia="Calibri" w:hAnsi="Times New Roman" w:cs="Times New Roman"/>
          <w:noProof/>
          <w:sz w:val="24"/>
          <w:szCs w:val="24"/>
        </w:rPr>
        <w:footnoteReference w:id="131"/>
      </w:r>
      <w:r w:rsidR="001248A3" w:rsidRPr="002661A8">
        <w:rPr>
          <w:rFonts w:ascii="Times New Roman" w:eastAsia="Calibri" w:hAnsi="Times New Roman" w:cs="Times New Roman"/>
          <w:noProof/>
          <w:sz w:val="24"/>
          <w:szCs w:val="24"/>
        </w:rPr>
        <w:t xml:space="preserve"> Furthermore, given the last-</w:t>
      </w:r>
      <w:r w:rsidR="008B2978" w:rsidRPr="002661A8">
        <w:rPr>
          <w:rFonts w:ascii="Times New Roman" w:eastAsia="Calibri" w:hAnsi="Times New Roman" w:cs="Times New Roman"/>
          <w:noProof/>
          <w:sz w:val="24"/>
          <w:szCs w:val="24"/>
        </w:rPr>
        <w:t xml:space="preserve">resort nature of </w:t>
      </w:r>
      <w:r w:rsidR="001248A3" w:rsidRPr="002661A8">
        <w:rPr>
          <w:rFonts w:ascii="Times New Roman" w:eastAsia="Calibri" w:hAnsi="Times New Roman" w:cs="Times New Roman"/>
          <w:noProof/>
          <w:sz w:val="24"/>
          <w:szCs w:val="24"/>
        </w:rPr>
        <w:t xml:space="preserve">the latter </w:t>
      </w:r>
      <w:r w:rsidR="008B2978" w:rsidRPr="002661A8">
        <w:rPr>
          <w:rFonts w:ascii="Times New Roman" w:eastAsia="Calibri" w:hAnsi="Times New Roman" w:cs="Times New Roman"/>
          <w:noProof/>
          <w:sz w:val="24"/>
          <w:szCs w:val="24"/>
        </w:rPr>
        <w:t>measures, the bar for their activation may not be met, and if met, the measure</w:t>
      </w:r>
      <w:r w:rsidR="0043255F" w:rsidRPr="002661A8">
        <w:rPr>
          <w:rFonts w:ascii="Times New Roman" w:eastAsia="Calibri" w:hAnsi="Times New Roman" w:cs="Times New Roman"/>
          <w:noProof/>
          <w:sz w:val="24"/>
          <w:szCs w:val="24"/>
        </w:rPr>
        <w:t>s</w:t>
      </w:r>
      <w:r w:rsidR="008B2978" w:rsidRPr="002661A8">
        <w:rPr>
          <w:rFonts w:ascii="Times New Roman" w:eastAsia="Calibri" w:hAnsi="Times New Roman" w:cs="Times New Roman"/>
          <w:noProof/>
          <w:sz w:val="24"/>
          <w:szCs w:val="24"/>
        </w:rPr>
        <w:t xml:space="preserve"> would be subject to a biannual approval process. Ensuring coordination between national authorities </w:t>
      </w:r>
      <w:r w:rsidR="00C43394" w:rsidRPr="002661A8">
        <w:rPr>
          <w:rFonts w:ascii="Times New Roman" w:eastAsia="Calibri" w:hAnsi="Times New Roman" w:cs="Times New Roman"/>
          <w:noProof/>
          <w:sz w:val="24"/>
          <w:szCs w:val="24"/>
        </w:rPr>
        <w:t>on</w:t>
      </w:r>
      <w:r w:rsidR="008B2978" w:rsidRPr="002661A8">
        <w:rPr>
          <w:rFonts w:ascii="Times New Roman" w:eastAsia="Calibri" w:hAnsi="Times New Roman" w:cs="Times New Roman"/>
          <w:noProof/>
          <w:sz w:val="24"/>
          <w:szCs w:val="24"/>
        </w:rPr>
        <w:t xml:space="preserve"> the appropriate</w:t>
      </w:r>
      <w:r w:rsidR="00411565" w:rsidRPr="002661A8">
        <w:rPr>
          <w:rFonts w:ascii="Times New Roman" w:eastAsia="Calibri" w:hAnsi="Times New Roman" w:cs="Times New Roman"/>
          <w:noProof/>
          <w:sz w:val="24"/>
          <w:szCs w:val="24"/>
        </w:rPr>
        <w:t xml:space="preserve"> calibration </w:t>
      </w:r>
      <w:r w:rsidR="008B2978" w:rsidRPr="002661A8">
        <w:rPr>
          <w:rFonts w:ascii="Times New Roman" w:eastAsia="Calibri" w:hAnsi="Times New Roman" w:cs="Times New Roman"/>
          <w:noProof/>
          <w:sz w:val="24"/>
          <w:szCs w:val="24"/>
        </w:rPr>
        <w:t xml:space="preserve">may also prove complex and controversial. </w:t>
      </w:r>
      <w:r w:rsidR="001C59D3" w:rsidRPr="002661A8">
        <w:rPr>
          <w:rFonts w:ascii="Times New Roman" w:eastAsia="Calibri" w:hAnsi="Times New Roman" w:cs="Times New Roman"/>
          <w:noProof/>
          <w:sz w:val="24"/>
          <w:szCs w:val="24"/>
        </w:rPr>
        <w:t xml:space="preserve">Another </w:t>
      </w:r>
      <w:r w:rsidR="00C43394" w:rsidRPr="002661A8">
        <w:rPr>
          <w:rFonts w:ascii="Times New Roman" w:eastAsia="Calibri" w:hAnsi="Times New Roman" w:cs="Times New Roman"/>
          <w:noProof/>
          <w:sz w:val="24"/>
          <w:szCs w:val="24"/>
        </w:rPr>
        <w:t xml:space="preserve">option </w:t>
      </w:r>
      <w:r w:rsidR="001C59D3" w:rsidRPr="002661A8">
        <w:rPr>
          <w:rFonts w:ascii="Times New Roman" w:eastAsia="Calibri" w:hAnsi="Times New Roman" w:cs="Times New Roman"/>
          <w:noProof/>
          <w:sz w:val="24"/>
          <w:szCs w:val="24"/>
        </w:rPr>
        <w:t xml:space="preserve">would be to set up </w:t>
      </w:r>
      <w:r w:rsidR="008B2978" w:rsidRPr="002661A8">
        <w:rPr>
          <w:rFonts w:ascii="Times New Roman" w:eastAsia="Calibri" w:hAnsi="Times New Roman" w:cs="Times New Roman"/>
          <w:noProof/>
          <w:sz w:val="24"/>
          <w:szCs w:val="24"/>
        </w:rPr>
        <w:t>stricter large exposure limits through Article 459</w:t>
      </w:r>
      <w:r w:rsidR="00C64A1B" w:rsidRPr="002661A8">
        <w:rPr>
          <w:rFonts w:ascii="Times New Roman" w:eastAsia="Calibri" w:hAnsi="Times New Roman" w:cs="Times New Roman"/>
          <w:noProof/>
          <w:sz w:val="24"/>
          <w:szCs w:val="24"/>
        </w:rPr>
        <w:t xml:space="preserve"> of</w:t>
      </w:r>
      <w:r w:rsidR="008B2978" w:rsidRPr="002661A8">
        <w:rPr>
          <w:rFonts w:ascii="Times New Roman" w:eastAsia="Calibri" w:hAnsi="Times New Roman" w:cs="Times New Roman"/>
          <w:noProof/>
          <w:sz w:val="24"/>
          <w:szCs w:val="24"/>
        </w:rPr>
        <w:t xml:space="preserve"> CRR</w:t>
      </w:r>
      <w:r w:rsidR="001C59D3" w:rsidRPr="002661A8">
        <w:rPr>
          <w:rFonts w:ascii="Times New Roman" w:eastAsia="Calibri" w:hAnsi="Times New Roman" w:cs="Times New Roman"/>
          <w:noProof/>
          <w:sz w:val="24"/>
          <w:szCs w:val="24"/>
        </w:rPr>
        <w:t>, which</w:t>
      </w:r>
      <w:r w:rsidR="008B2978" w:rsidRPr="002661A8">
        <w:rPr>
          <w:rFonts w:ascii="Times New Roman" w:eastAsia="Calibri" w:hAnsi="Times New Roman" w:cs="Times New Roman"/>
          <w:noProof/>
          <w:sz w:val="24"/>
          <w:szCs w:val="24"/>
        </w:rPr>
        <w:t xml:space="preserve"> would apply at the </w:t>
      </w:r>
      <w:r w:rsidR="003C2609" w:rsidRPr="002661A8">
        <w:rPr>
          <w:rFonts w:ascii="Times New Roman" w:eastAsia="Calibri" w:hAnsi="Times New Roman" w:cs="Times New Roman"/>
          <w:noProof/>
          <w:sz w:val="24"/>
          <w:szCs w:val="24"/>
        </w:rPr>
        <w:t xml:space="preserve">EU </w:t>
      </w:r>
      <w:r w:rsidR="001C59D3" w:rsidRPr="002661A8">
        <w:rPr>
          <w:rFonts w:ascii="Times New Roman" w:eastAsia="Calibri" w:hAnsi="Times New Roman" w:cs="Times New Roman"/>
          <w:noProof/>
          <w:sz w:val="24"/>
          <w:szCs w:val="24"/>
        </w:rPr>
        <w:t>level. However,</w:t>
      </w:r>
      <w:r w:rsidR="008B2978" w:rsidRPr="002661A8">
        <w:rPr>
          <w:rFonts w:ascii="Times New Roman" w:eastAsia="Calibri" w:hAnsi="Times New Roman" w:cs="Times New Roman"/>
          <w:noProof/>
          <w:sz w:val="24"/>
          <w:szCs w:val="24"/>
        </w:rPr>
        <w:t xml:space="preserve"> the legal conditions for its activation may not be met </w:t>
      </w:r>
      <w:r w:rsidR="000E3DC4" w:rsidRPr="002661A8">
        <w:rPr>
          <w:rFonts w:ascii="Times New Roman" w:eastAsia="Calibri" w:hAnsi="Times New Roman" w:cs="Times New Roman"/>
          <w:noProof/>
          <w:sz w:val="24"/>
          <w:szCs w:val="24"/>
        </w:rPr>
        <w:t>unless</w:t>
      </w:r>
      <w:r w:rsidR="008B2978" w:rsidRPr="002661A8">
        <w:rPr>
          <w:rFonts w:ascii="Times New Roman" w:eastAsia="Calibri" w:hAnsi="Times New Roman" w:cs="Times New Roman"/>
          <w:noProof/>
          <w:sz w:val="24"/>
          <w:szCs w:val="24"/>
        </w:rPr>
        <w:t xml:space="preserve"> exposures to CCPs are </w:t>
      </w:r>
      <w:r w:rsidR="000E3DC4" w:rsidRPr="002661A8">
        <w:rPr>
          <w:rFonts w:ascii="Times New Roman" w:eastAsia="Calibri" w:hAnsi="Times New Roman" w:cs="Times New Roman"/>
          <w:noProof/>
          <w:sz w:val="24"/>
          <w:szCs w:val="24"/>
        </w:rPr>
        <w:t xml:space="preserve">brought </w:t>
      </w:r>
      <w:r w:rsidR="00F7351E" w:rsidRPr="002661A8">
        <w:rPr>
          <w:rFonts w:ascii="Times New Roman" w:eastAsia="Calibri" w:hAnsi="Times New Roman" w:cs="Times New Roman"/>
          <w:noProof/>
          <w:sz w:val="24"/>
          <w:szCs w:val="24"/>
        </w:rPr>
        <w:t>under</w:t>
      </w:r>
      <w:r w:rsidR="008B2978" w:rsidRPr="002661A8">
        <w:rPr>
          <w:rFonts w:ascii="Times New Roman" w:eastAsia="Calibri" w:hAnsi="Times New Roman" w:cs="Times New Roman"/>
          <w:noProof/>
          <w:sz w:val="24"/>
          <w:szCs w:val="24"/>
        </w:rPr>
        <w:t xml:space="preserve"> the </w:t>
      </w:r>
      <w:r w:rsidR="00C43394" w:rsidRPr="002661A8">
        <w:rPr>
          <w:rFonts w:ascii="Times New Roman" w:eastAsia="Calibri" w:hAnsi="Times New Roman" w:cs="Times New Roman"/>
          <w:noProof/>
          <w:sz w:val="24"/>
          <w:szCs w:val="24"/>
        </w:rPr>
        <w:t xml:space="preserve">CRR </w:t>
      </w:r>
      <w:r w:rsidR="000E3DC4" w:rsidRPr="002661A8">
        <w:rPr>
          <w:rFonts w:ascii="Times New Roman" w:eastAsia="Calibri" w:hAnsi="Times New Roman" w:cs="Times New Roman"/>
          <w:noProof/>
          <w:sz w:val="24"/>
          <w:szCs w:val="24"/>
        </w:rPr>
        <w:t>large exposures</w:t>
      </w:r>
      <w:r w:rsidR="001C59D3" w:rsidRPr="002661A8">
        <w:rPr>
          <w:rFonts w:ascii="Times New Roman" w:eastAsia="Calibri" w:hAnsi="Times New Roman" w:cs="Times New Roman"/>
          <w:noProof/>
          <w:sz w:val="24"/>
          <w:szCs w:val="24"/>
        </w:rPr>
        <w:t xml:space="preserve">; in addition, </w:t>
      </w:r>
      <w:r w:rsidR="008B2978" w:rsidRPr="002661A8">
        <w:rPr>
          <w:rFonts w:ascii="Times New Roman" w:eastAsia="Calibri" w:hAnsi="Times New Roman" w:cs="Times New Roman"/>
          <w:noProof/>
          <w:sz w:val="24"/>
          <w:szCs w:val="24"/>
        </w:rPr>
        <w:t>the complex procedure for its activation may not allow a timely intervention.</w:t>
      </w:r>
      <w:r w:rsidRPr="002661A8">
        <w:rPr>
          <w:rFonts w:ascii="Times New Roman" w:eastAsia="Calibri" w:hAnsi="Times New Roman" w:cs="Times New Roman"/>
          <w:noProof/>
          <w:sz w:val="24"/>
          <w:szCs w:val="24"/>
        </w:rPr>
        <w:t xml:space="preserve"> </w:t>
      </w:r>
    </w:p>
    <w:p w14:paraId="39408B7F" w14:textId="3CA9A8DA" w:rsidR="000377AC" w:rsidRPr="00A51059" w:rsidRDefault="001C59D3" w:rsidP="00A51059">
      <w:pPr>
        <w:spacing w:after="120" w:line="240" w:lineRule="auto"/>
        <w:jc w:val="both"/>
        <w:rPr>
          <w:rFonts w:ascii="Times New Roman" w:hAnsi="Times New Roman" w:cs="Times New Roman"/>
          <w:noProof/>
          <w:sz w:val="24"/>
          <w:szCs w:val="24"/>
        </w:rPr>
      </w:pPr>
      <w:r w:rsidRPr="002661A8" w:rsidDel="000377AC">
        <w:rPr>
          <w:rFonts w:ascii="Times New Roman" w:eastAsia="Calibri" w:hAnsi="Times New Roman" w:cs="Times New Roman"/>
          <w:noProof/>
          <w:sz w:val="24"/>
          <w:szCs w:val="24"/>
        </w:rPr>
        <w:t>In general,</w:t>
      </w:r>
      <w:r w:rsidR="00D2277B" w:rsidRPr="002661A8" w:rsidDel="000377AC">
        <w:rPr>
          <w:rFonts w:ascii="Times New Roman" w:eastAsia="Calibri" w:hAnsi="Times New Roman" w:cs="Times New Roman"/>
          <w:noProof/>
          <w:sz w:val="24"/>
          <w:szCs w:val="24"/>
        </w:rPr>
        <w:t xml:space="preserve"> in the</w:t>
      </w:r>
      <w:r w:rsidR="006E4FE5" w:rsidRPr="002661A8" w:rsidDel="000377AC">
        <w:rPr>
          <w:rFonts w:ascii="Times New Roman" w:eastAsia="Calibri" w:hAnsi="Times New Roman" w:cs="Times New Roman"/>
          <w:noProof/>
          <w:sz w:val="24"/>
          <w:szCs w:val="24"/>
        </w:rPr>
        <w:t xml:space="preserve"> </w:t>
      </w:r>
      <w:r w:rsidR="001C35F8" w:rsidRPr="002661A8" w:rsidDel="000377AC">
        <w:rPr>
          <w:rFonts w:ascii="Times New Roman" w:hAnsi="Times New Roman" w:cs="Times New Roman"/>
          <w:noProof/>
          <w:sz w:val="24"/>
          <w:szCs w:val="24"/>
        </w:rPr>
        <w:t xml:space="preserve">targeted </w:t>
      </w:r>
      <w:r w:rsidR="00D2277B" w:rsidRPr="002661A8" w:rsidDel="000377AC">
        <w:rPr>
          <w:rFonts w:ascii="Times New Roman" w:hAnsi="Times New Roman" w:cs="Times New Roman"/>
          <w:noProof/>
          <w:sz w:val="24"/>
          <w:szCs w:val="24"/>
        </w:rPr>
        <w:t>consultation most respondents</w:t>
      </w:r>
      <w:r w:rsidRPr="002661A8" w:rsidDel="000377AC">
        <w:rPr>
          <w:rFonts w:ascii="Times New Roman" w:hAnsi="Times New Roman" w:cs="Times New Roman"/>
          <w:noProof/>
          <w:sz w:val="24"/>
          <w:szCs w:val="24"/>
        </w:rPr>
        <w:t xml:space="preserve"> (79%</w:t>
      </w:r>
      <w:r w:rsidR="00F61A4C">
        <w:rPr>
          <w:rStyle w:val="FootnoteReference"/>
          <w:rFonts w:ascii="Times New Roman" w:hAnsi="Times New Roman" w:cs="Times New Roman"/>
          <w:noProof/>
          <w:sz w:val="24"/>
          <w:szCs w:val="24"/>
        </w:rPr>
        <w:footnoteReference w:id="132"/>
      </w:r>
      <w:r w:rsidRPr="002661A8" w:rsidDel="000377AC">
        <w:rPr>
          <w:rFonts w:ascii="Times New Roman" w:hAnsi="Times New Roman" w:cs="Times New Roman"/>
          <w:noProof/>
          <w:sz w:val="24"/>
          <w:szCs w:val="24"/>
        </w:rPr>
        <w:t>)</w:t>
      </w:r>
      <w:r w:rsidR="00CC5F5E" w:rsidRPr="002661A8" w:rsidDel="000377AC">
        <w:rPr>
          <w:rFonts w:ascii="Times New Roman" w:hAnsi="Times New Roman" w:cs="Times New Roman"/>
          <w:noProof/>
          <w:sz w:val="24"/>
          <w:szCs w:val="24"/>
        </w:rPr>
        <w:t>, in particula</w:t>
      </w:r>
      <w:r w:rsidRPr="002661A8" w:rsidDel="000377AC">
        <w:rPr>
          <w:rFonts w:ascii="Times New Roman" w:hAnsi="Times New Roman" w:cs="Times New Roman"/>
          <w:noProof/>
          <w:sz w:val="24"/>
          <w:szCs w:val="24"/>
        </w:rPr>
        <w:t>r the banking sector,</w:t>
      </w:r>
      <w:r w:rsidR="006E4FE5" w:rsidRPr="002661A8" w:rsidDel="000377AC">
        <w:rPr>
          <w:rFonts w:ascii="Times New Roman" w:hAnsi="Times New Roman" w:cs="Times New Roman"/>
          <w:noProof/>
          <w:sz w:val="24"/>
          <w:szCs w:val="24"/>
        </w:rPr>
        <w:t xml:space="preserve"> </w:t>
      </w:r>
      <w:r w:rsidR="009A79AE" w:rsidRPr="002661A8" w:rsidDel="000377AC">
        <w:rPr>
          <w:rFonts w:ascii="Times New Roman" w:hAnsi="Times New Roman" w:cs="Times New Roman"/>
          <w:noProof/>
          <w:sz w:val="24"/>
          <w:szCs w:val="24"/>
        </w:rPr>
        <w:t>were</w:t>
      </w:r>
      <w:r w:rsidR="006E4FE5" w:rsidRPr="002661A8" w:rsidDel="000377AC">
        <w:rPr>
          <w:rFonts w:ascii="Times New Roman" w:hAnsi="Times New Roman" w:cs="Times New Roman"/>
          <w:noProof/>
          <w:sz w:val="24"/>
          <w:szCs w:val="24"/>
        </w:rPr>
        <w:t xml:space="preserve"> negative </w:t>
      </w:r>
      <w:r w:rsidR="009A79AE" w:rsidRPr="002661A8" w:rsidDel="000377AC">
        <w:rPr>
          <w:rFonts w:ascii="Times New Roman" w:hAnsi="Times New Roman" w:cs="Times New Roman"/>
          <w:noProof/>
          <w:sz w:val="24"/>
          <w:szCs w:val="24"/>
        </w:rPr>
        <w:t>as to</w:t>
      </w:r>
      <w:r w:rsidR="006E4FE5" w:rsidRPr="002661A8" w:rsidDel="000377AC">
        <w:rPr>
          <w:rFonts w:ascii="Times New Roman" w:hAnsi="Times New Roman" w:cs="Times New Roman"/>
          <w:noProof/>
          <w:sz w:val="24"/>
          <w:szCs w:val="24"/>
        </w:rPr>
        <w:t xml:space="preserve"> macroprudential tools and all respondents were against macroprudential buffers. </w:t>
      </w:r>
      <w:r w:rsidR="005524F4" w:rsidRPr="002661A8" w:rsidDel="000377AC">
        <w:rPr>
          <w:rFonts w:ascii="Times New Roman" w:hAnsi="Times New Roman" w:cs="Times New Roman"/>
          <w:noProof/>
          <w:sz w:val="24"/>
          <w:szCs w:val="24"/>
        </w:rPr>
        <w:t>They mainly</w:t>
      </w:r>
      <w:r w:rsidR="006E4FE5" w:rsidRPr="002661A8" w:rsidDel="000377AC">
        <w:rPr>
          <w:rFonts w:ascii="Times New Roman" w:hAnsi="Times New Roman" w:cs="Times New Roman"/>
          <w:noProof/>
          <w:sz w:val="24"/>
          <w:szCs w:val="24"/>
        </w:rPr>
        <w:t xml:space="preserve"> highlighted the negative consequences for EU players’ international competitiveness due to </w:t>
      </w:r>
      <w:r w:rsidR="005524F4" w:rsidRPr="002661A8" w:rsidDel="000377AC">
        <w:rPr>
          <w:rFonts w:ascii="Times New Roman" w:hAnsi="Times New Roman" w:cs="Times New Roman"/>
          <w:noProof/>
          <w:sz w:val="24"/>
          <w:szCs w:val="24"/>
        </w:rPr>
        <w:t xml:space="preserve">the </w:t>
      </w:r>
      <w:r w:rsidR="006E4FE5" w:rsidRPr="002661A8" w:rsidDel="000377AC">
        <w:rPr>
          <w:rFonts w:ascii="Times New Roman" w:hAnsi="Times New Roman" w:cs="Times New Roman"/>
          <w:noProof/>
          <w:sz w:val="24"/>
          <w:szCs w:val="24"/>
        </w:rPr>
        <w:t xml:space="preserve">increased costs </w:t>
      </w:r>
      <w:r w:rsidR="005524F4" w:rsidRPr="002661A8" w:rsidDel="000377AC">
        <w:rPr>
          <w:rFonts w:ascii="Times New Roman" w:hAnsi="Times New Roman" w:cs="Times New Roman"/>
          <w:noProof/>
          <w:sz w:val="24"/>
          <w:szCs w:val="24"/>
        </w:rPr>
        <w:t>associated with</w:t>
      </w:r>
      <w:r w:rsidR="006E4FE5" w:rsidRPr="002661A8" w:rsidDel="000377AC">
        <w:rPr>
          <w:rFonts w:ascii="Times New Roman" w:hAnsi="Times New Roman" w:cs="Times New Roman"/>
          <w:noProof/>
          <w:sz w:val="24"/>
          <w:szCs w:val="24"/>
        </w:rPr>
        <w:t xml:space="preserve"> such measures.</w:t>
      </w:r>
      <w:r w:rsidR="00EC5F9A" w:rsidDel="000377AC">
        <w:rPr>
          <w:rFonts w:ascii="Times New Roman" w:hAnsi="Times New Roman" w:cs="Times New Roman"/>
          <w:noProof/>
          <w:sz w:val="24"/>
          <w:szCs w:val="24"/>
        </w:rPr>
        <w:t xml:space="preserve"> For these reasons, a sub-option based on macroprudential tools appears the less adequate to address the problem at stake.</w:t>
      </w:r>
    </w:p>
    <w:p w14:paraId="7FC9EB33" w14:textId="55E0E339" w:rsidR="00BB44BE" w:rsidRPr="002661A8" w:rsidRDefault="00EE095D" w:rsidP="008331A8">
      <w:pPr>
        <w:tabs>
          <w:tab w:val="left" w:pos="2302"/>
        </w:tabs>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To conclude, c</w:t>
      </w:r>
      <w:r w:rsidR="009C5D9B" w:rsidRPr="002661A8">
        <w:rPr>
          <w:rFonts w:ascii="Times New Roman" w:eastAsia="Calibri" w:hAnsi="Times New Roman" w:cs="Times New Roman"/>
          <w:noProof/>
          <w:sz w:val="24"/>
          <w:szCs w:val="24"/>
        </w:rPr>
        <w:t>ertain sub-options</w:t>
      </w:r>
      <w:r w:rsidR="00EB6188" w:rsidRPr="002661A8">
        <w:rPr>
          <w:rFonts w:ascii="Times New Roman" w:eastAsia="Calibri" w:hAnsi="Times New Roman" w:cs="Times New Roman"/>
          <w:noProof/>
          <w:sz w:val="24"/>
          <w:szCs w:val="24"/>
        </w:rPr>
        <w:t xml:space="preserve">, such as </w:t>
      </w:r>
      <w:r w:rsidR="00FF2EC3">
        <w:rPr>
          <w:rFonts w:ascii="Times New Roman" w:eastAsia="Calibri" w:hAnsi="Times New Roman" w:cs="Times New Roman"/>
          <w:noProof/>
          <w:sz w:val="24"/>
          <w:szCs w:val="24"/>
        </w:rPr>
        <w:t>Option B2.1</w:t>
      </w:r>
      <w:r w:rsidR="00EB6188" w:rsidRPr="002661A8">
        <w:rPr>
          <w:rFonts w:ascii="Times New Roman" w:eastAsia="Calibri" w:hAnsi="Times New Roman" w:cs="Times New Roman"/>
          <w:noProof/>
          <w:sz w:val="24"/>
          <w:szCs w:val="24"/>
        </w:rPr>
        <w:t xml:space="preserve"> based on large exposures limits</w:t>
      </w:r>
      <w:r w:rsidR="0018675E">
        <w:rPr>
          <w:rFonts w:ascii="Times New Roman" w:eastAsia="Calibri" w:hAnsi="Times New Roman" w:cs="Times New Roman"/>
          <w:noProof/>
          <w:sz w:val="24"/>
          <w:szCs w:val="24"/>
        </w:rPr>
        <w:t xml:space="preserve"> or </w:t>
      </w:r>
      <w:r w:rsidR="004906A9">
        <w:rPr>
          <w:rFonts w:ascii="Times New Roman" w:eastAsia="Calibri" w:hAnsi="Times New Roman" w:cs="Times New Roman"/>
          <w:noProof/>
          <w:sz w:val="24"/>
          <w:szCs w:val="24"/>
        </w:rPr>
        <w:t>B2.</w:t>
      </w:r>
      <w:r w:rsidR="00891F79">
        <w:rPr>
          <w:rFonts w:ascii="Times New Roman" w:eastAsia="Calibri" w:hAnsi="Times New Roman" w:cs="Times New Roman"/>
          <w:noProof/>
          <w:sz w:val="24"/>
          <w:szCs w:val="24"/>
        </w:rPr>
        <w:t>2</w:t>
      </w:r>
      <w:r w:rsidR="0018675E">
        <w:rPr>
          <w:rFonts w:ascii="Times New Roman" w:eastAsia="Calibri" w:hAnsi="Times New Roman" w:cs="Times New Roman"/>
          <w:noProof/>
          <w:sz w:val="24"/>
          <w:szCs w:val="24"/>
        </w:rPr>
        <w:t xml:space="preserve"> based on the Pillar 2 framework</w:t>
      </w:r>
      <w:r w:rsidR="00EB6188" w:rsidRPr="002661A8">
        <w:rPr>
          <w:rFonts w:ascii="Times New Roman" w:eastAsia="Calibri" w:hAnsi="Times New Roman" w:cs="Times New Roman"/>
          <w:noProof/>
          <w:sz w:val="24"/>
          <w:szCs w:val="24"/>
        </w:rPr>
        <w:t>,</w:t>
      </w:r>
      <w:r w:rsidR="009C5D9B" w:rsidRPr="002661A8">
        <w:rPr>
          <w:rFonts w:ascii="Times New Roman" w:eastAsia="Calibri" w:hAnsi="Times New Roman" w:cs="Times New Roman"/>
          <w:noProof/>
          <w:sz w:val="24"/>
          <w:szCs w:val="24"/>
        </w:rPr>
        <w:t xml:space="preserve"> </w:t>
      </w:r>
      <w:r w:rsidR="0018675E">
        <w:rPr>
          <w:rFonts w:ascii="Times New Roman" w:eastAsia="Calibri" w:hAnsi="Times New Roman" w:cs="Times New Roman"/>
          <w:noProof/>
          <w:sz w:val="24"/>
          <w:szCs w:val="24"/>
        </w:rPr>
        <w:t>appear</w:t>
      </w:r>
      <w:r w:rsidR="009C5D9B" w:rsidRPr="002661A8">
        <w:rPr>
          <w:rFonts w:ascii="Times New Roman" w:eastAsia="Calibri" w:hAnsi="Times New Roman" w:cs="Times New Roman"/>
          <w:noProof/>
          <w:sz w:val="24"/>
          <w:szCs w:val="24"/>
        </w:rPr>
        <w:t xml:space="preserve"> </w:t>
      </w:r>
      <w:r w:rsidR="00BB44BE" w:rsidRPr="002661A8">
        <w:rPr>
          <w:rFonts w:ascii="Times New Roman" w:eastAsia="Calibri" w:hAnsi="Times New Roman" w:cs="Times New Roman"/>
          <w:noProof/>
          <w:sz w:val="24"/>
          <w:szCs w:val="24"/>
        </w:rPr>
        <w:t xml:space="preserve">to be </w:t>
      </w:r>
      <w:r w:rsidR="009C5D9B" w:rsidRPr="002661A8">
        <w:rPr>
          <w:rFonts w:ascii="Times New Roman" w:eastAsia="Calibri" w:hAnsi="Times New Roman" w:cs="Times New Roman"/>
          <w:noProof/>
          <w:sz w:val="24"/>
          <w:szCs w:val="24"/>
        </w:rPr>
        <w:t xml:space="preserve">better </w:t>
      </w:r>
      <w:r w:rsidR="00BB44BE" w:rsidRPr="002661A8">
        <w:rPr>
          <w:rFonts w:ascii="Times New Roman" w:eastAsia="Calibri" w:hAnsi="Times New Roman" w:cs="Times New Roman"/>
          <w:noProof/>
          <w:sz w:val="24"/>
          <w:szCs w:val="24"/>
        </w:rPr>
        <w:t>able to contribute to reduc</w:t>
      </w:r>
      <w:r w:rsidR="00891C24" w:rsidRPr="002661A8">
        <w:rPr>
          <w:rFonts w:ascii="Times New Roman" w:eastAsia="Calibri" w:hAnsi="Times New Roman" w:cs="Times New Roman"/>
          <w:noProof/>
          <w:sz w:val="24"/>
          <w:szCs w:val="24"/>
        </w:rPr>
        <w:t>ing</w:t>
      </w:r>
      <w:r w:rsidR="00BB44BE" w:rsidRPr="002661A8">
        <w:rPr>
          <w:rFonts w:ascii="Times New Roman" w:eastAsia="Calibri" w:hAnsi="Times New Roman" w:cs="Times New Roman"/>
          <w:noProof/>
          <w:sz w:val="24"/>
          <w:szCs w:val="24"/>
        </w:rPr>
        <w:t xml:space="preserve"> </w:t>
      </w:r>
      <w:r w:rsidR="009C5D9B" w:rsidRPr="002661A8">
        <w:rPr>
          <w:rFonts w:ascii="Times New Roman" w:eastAsia="Calibri" w:hAnsi="Times New Roman" w:cs="Times New Roman"/>
          <w:noProof/>
          <w:sz w:val="24"/>
          <w:szCs w:val="24"/>
        </w:rPr>
        <w:t xml:space="preserve">excessive </w:t>
      </w:r>
      <w:r w:rsidR="00BB44BE" w:rsidRPr="002661A8">
        <w:rPr>
          <w:rFonts w:ascii="Times New Roman" w:eastAsia="Calibri" w:hAnsi="Times New Roman" w:cs="Times New Roman"/>
          <w:noProof/>
          <w:sz w:val="24"/>
          <w:szCs w:val="24"/>
        </w:rPr>
        <w:t>exposures to CCPs</w:t>
      </w:r>
      <w:r w:rsidR="005524F4" w:rsidRPr="002661A8">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 xml:space="preserve">and therefore </w:t>
      </w:r>
      <w:r w:rsidR="005524F4" w:rsidRPr="002661A8">
        <w:rPr>
          <w:rFonts w:ascii="Times New Roman" w:eastAsia="Calibri" w:hAnsi="Times New Roman" w:cs="Times New Roman"/>
          <w:noProof/>
          <w:sz w:val="24"/>
          <w:szCs w:val="24"/>
        </w:rPr>
        <w:t>contributing to a better diversification of risks and an overall reinforcement of financial stability</w:t>
      </w:r>
      <w:r w:rsidR="00BB44BE" w:rsidRPr="002661A8">
        <w:rPr>
          <w:rFonts w:ascii="Times New Roman" w:eastAsia="Calibri" w:hAnsi="Times New Roman" w:cs="Times New Roman"/>
          <w:noProof/>
          <w:sz w:val="24"/>
          <w:szCs w:val="24"/>
        </w:rPr>
        <w:t xml:space="preserve">. However, </w:t>
      </w:r>
      <w:r w:rsidR="009C5D9B" w:rsidRPr="002661A8">
        <w:rPr>
          <w:rFonts w:ascii="Times New Roman" w:eastAsia="Calibri" w:hAnsi="Times New Roman" w:cs="Times New Roman"/>
          <w:noProof/>
          <w:sz w:val="24"/>
          <w:szCs w:val="24"/>
        </w:rPr>
        <w:t xml:space="preserve">none of </w:t>
      </w:r>
      <w:r w:rsidR="00BB44BE" w:rsidRPr="002661A8">
        <w:rPr>
          <w:rFonts w:ascii="Times New Roman" w:eastAsia="Calibri" w:hAnsi="Times New Roman" w:cs="Times New Roman"/>
          <w:noProof/>
          <w:sz w:val="24"/>
          <w:szCs w:val="24"/>
        </w:rPr>
        <w:t>th</w:t>
      </w:r>
      <w:r w:rsidR="009C5D9B" w:rsidRPr="002661A8">
        <w:rPr>
          <w:rFonts w:ascii="Times New Roman" w:eastAsia="Calibri" w:hAnsi="Times New Roman" w:cs="Times New Roman"/>
          <w:noProof/>
          <w:sz w:val="24"/>
          <w:szCs w:val="24"/>
        </w:rPr>
        <w:t>e</w:t>
      </w:r>
      <w:r w:rsidR="00BB44BE" w:rsidRPr="002661A8">
        <w:rPr>
          <w:rFonts w:ascii="Times New Roman" w:eastAsia="Calibri" w:hAnsi="Times New Roman" w:cs="Times New Roman"/>
          <w:noProof/>
          <w:sz w:val="24"/>
          <w:szCs w:val="24"/>
        </w:rPr>
        <w:t>s</w:t>
      </w:r>
      <w:r w:rsidR="009C5D9B" w:rsidRPr="002661A8">
        <w:rPr>
          <w:rFonts w:ascii="Times New Roman" w:eastAsia="Calibri" w:hAnsi="Times New Roman" w:cs="Times New Roman"/>
          <w:noProof/>
          <w:sz w:val="24"/>
          <w:szCs w:val="24"/>
        </w:rPr>
        <w:t>e</w:t>
      </w:r>
      <w:r w:rsidR="00BB44BE" w:rsidRPr="002661A8">
        <w:rPr>
          <w:rFonts w:ascii="Times New Roman" w:eastAsia="Calibri" w:hAnsi="Times New Roman" w:cs="Times New Roman"/>
          <w:noProof/>
          <w:sz w:val="24"/>
          <w:szCs w:val="24"/>
        </w:rPr>
        <w:t xml:space="preserve"> </w:t>
      </w:r>
      <w:r w:rsidR="009C5D9B" w:rsidRPr="002661A8">
        <w:rPr>
          <w:rFonts w:ascii="Times New Roman" w:eastAsia="Calibri" w:hAnsi="Times New Roman" w:cs="Times New Roman"/>
          <w:noProof/>
          <w:sz w:val="24"/>
          <w:szCs w:val="24"/>
        </w:rPr>
        <w:t>sub-</w:t>
      </w:r>
      <w:r w:rsidR="00BB44BE" w:rsidRPr="002661A8">
        <w:rPr>
          <w:rFonts w:ascii="Times New Roman" w:eastAsia="Calibri" w:hAnsi="Times New Roman" w:cs="Times New Roman"/>
          <w:noProof/>
          <w:sz w:val="24"/>
          <w:szCs w:val="24"/>
        </w:rPr>
        <w:t>option</w:t>
      </w:r>
      <w:r w:rsidR="009C5D9B" w:rsidRPr="002661A8">
        <w:rPr>
          <w:rFonts w:ascii="Times New Roman" w:eastAsia="Calibri" w:hAnsi="Times New Roman" w:cs="Times New Roman"/>
          <w:noProof/>
          <w:sz w:val="24"/>
          <w:szCs w:val="24"/>
        </w:rPr>
        <w:t>s</w:t>
      </w:r>
      <w:r w:rsidR="00BB44BE" w:rsidRPr="002661A8">
        <w:rPr>
          <w:rFonts w:ascii="Times New Roman" w:eastAsia="Calibri" w:hAnsi="Times New Roman" w:cs="Times New Roman"/>
          <w:noProof/>
          <w:sz w:val="24"/>
          <w:szCs w:val="24"/>
        </w:rPr>
        <w:t xml:space="preserve"> alone </w:t>
      </w:r>
      <w:r w:rsidR="009C5D9B" w:rsidRPr="002661A8">
        <w:rPr>
          <w:rFonts w:ascii="Times New Roman" w:eastAsia="Calibri" w:hAnsi="Times New Roman" w:cs="Times New Roman"/>
          <w:noProof/>
          <w:sz w:val="24"/>
          <w:szCs w:val="24"/>
        </w:rPr>
        <w:t>would</w:t>
      </w:r>
      <w:r w:rsidR="00BB44BE" w:rsidRPr="002661A8">
        <w:rPr>
          <w:rFonts w:ascii="Times New Roman" w:eastAsia="Calibri" w:hAnsi="Times New Roman" w:cs="Times New Roman"/>
          <w:noProof/>
          <w:sz w:val="24"/>
          <w:szCs w:val="24"/>
        </w:rPr>
        <w:t xml:space="preserve"> ensure </w:t>
      </w:r>
      <w:r>
        <w:rPr>
          <w:rFonts w:ascii="Times New Roman" w:eastAsia="Calibri" w:hAnsi="Times New Roman" w:cs="Times New Roman"/>
          <w:noProof/>
          <w:sz w:val="24"/>
          <w:szCs w:val="24"/>
        </w:rPr>
        <w:t xml:space="preserve">a </w:t>
      </w:r>
      <w:r w:rsidR="00BB44BE" w:rsidRPr="002661A8">
        <w:rPr>
          <w:rFonts w:ascii="Times New Roman" w:eastAsia="Calibri" w:hAnsi="Times New Roman" w:cs="Times New Roman"/>
          <w:noProof/>
          <w:sz w:val="24"/>
          <w:szCs w:val="24"/>
        </w:rPr>
        <w:t xml:space="preserve">reduction of </w:t>
      </w:r>
      <w:r>
        <w:rPr>
          <w:rFonts w:ascii="Times New Roman" w:eastAsia="Calibri" w:hAnsi="Times New Roman" w:cs="Times New Roman"/>
          <w:noProof/>
          <w:sz w:val="24"/>
          <w:szCs w:val="24"/>
        </w:rPr>
        <w:t xml:space="preserve">the identified excessive </w:t>
      </w:r>
      <w:r w:rsidR="00BB44BE" w:rsidRPr="002661A8">
        <w:rPr>
          <w:rFonts w:ascii="Times New Roman" w:eastAsia="Calibri" w:hAnsi="Times New Roman" w:cs="Times New Roman"/>
          <w:noProof/>
          <w:sz w:val="24"/>
          <w:szCs w:val="24"/>
        </w:rPr>
        <w:t>exposures</w:t>
      </w:r>
      <w:r w:rsidR="00D17944">
        <w:rPr>
          <w:rFonts w:ascii="Times New Roman" w:eastAsia="Calibri" w:hAnsi="Times New Roman" w:cs="Times New Roman"/>
          <w:noProof/>
          <w:sz w:val="24"/>
          <w:szCs w:val="24"/>
        </w:rPr>
        <w:t>.</w:t>
      </w:r>
      <w:r w:rsidR="00BB44BE" w:rsidRPr="002661A8">
        <w:rPr>
          <w:rFonts w:ascii="Times New Roman" w:eastAsia="Calibri" w:hAnsi="Times New Roman" w:cs="Times New Roman"/>
          <w:noProof/>
          <w:sz w:val="24"/>
          <w:szCs w:val="24"/>
        </w:rPr>
        <w:t xml:space="preserve"> As such, this option contribute</w:t>
      </w:r>
      <w:r w:rsidR="00891C24" w:rsidRPr="002661A8">
        <w:rPr>
          <w:rFonts w:ascii="Times New Roman" w:eastAsia="Calibri" w:hAnsi="Times New Roman" w:cs="Times New Roman"/>
          <w:noProof/>
          <w:sz w:val="24"/>
          <w:szCs w:val="24"/>
        </w:rPr>
        <w:t>s</w:t>
      </w:r>
      <w:r w:rsidR="00BB44BE" w:rsidRPr="002661A8">
        <w:rPr>
          <w:rFonts w:ascii="Times New Roman" w:eastAsia="Calibri" w:hAnsi="Times New Roman" w:cs="Times New Roman"/>
          <w:noProof/>
          <w:sz w:val="24"/>
          <w:szCs w:val="24"/>
        </w:rPr>
        <w:t xml:space="preserve"> </w:t>
      </w:r>
      <w:r w:rsidR="007F2C3F" w:rsidRPr="002661A8">
        <w:rPr>
          <w:rFonts w:ascii="Times New Roman" w:eastAsia="Calibri" w:hAnsi="Times New Roman" w:cs="Times New Roman"/>
          <w:noProof/>
          <w:sz w:val="24"/>
          <w:szCs w:val="24"/>
        </w:rPr>
        <w:t>indirectly</w:t>
      </w:r>
      <w:r w:rsidR="00BB44BE" w:rsidRPr="002661A8">
        <w:rPr>
          <w:rFonts w:ascii="Times New Roman" w:eastAsia="Calibri" w:hAnsi="Times New Roman" w:cs="Times New Roman"/>
          <w:noProof/>
          <w:sz w:val="24"/>
          <w:szCs w:val="24"/>
        </w:rPr>
        <w:t xml:space="preserve"> to the objective of encouraging clearing at EU CCPs. </w:t>
      </w:r>
    </w:p>
    <w:p w14:paraId="124A1304" w14:textId="51DABABD" w:rsidR="00D17944" w:rsidRPr="002661A8" w:rsidRDefault="00891F79" w:rsidP="00D17944">
      <w:pPr>
        <w:tabs>
          <w:tab w:val="left" w:pos="2302"/>
        </w:tabs>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Option B2</w:t>
      </w:r>
      <w:r w:rsidR="00D17944">
        <w:rPr>
          <w:rFonts w:ascii="Times New Roman" w:eastAsia="Calibri" w:hAnsi="Times New Roman" w:cs="Times New Roman"/>
          <w:noProof/>
          <w:sz w:val="24"/>
          <w:szCs w:val="24"/>
        </w:rPr>
        <w:t xml:space="preserve"> </w:t>
      </w:r>
      <w:r w:rsidR="00D17944" w:rsidRPr="002661A8">
        <w:rPr>
          <w:rFonts w:ascii="Times New Roman" w:eastAsia="Calibri" w:hAnsi="Times New Roman" w:cs="Times New Roman"/>
          <w:noProof/>
          <w:sz w:val="24"/>
          <w:szCs w:val="24"/>
        </w:rPr>
        <w:t xml:space="preserve">would </w:t>
      </w:r>
      <w:r w:rsidR="00D17944">
        <w:rPr>
          <w:rFonts w:ascii="Times New Roman" w:eastAsia="Calibri" w:hAnsi="Times New Roman" w:cs="Times New Roman"/>
          <w:noProof/>
          <w:sz w:val="24"/>
          <w:szCs w:val="24"/>
        </w:rPr>
        <w:t xml:space="preserve">generally </w:t>
      </w:r>
      <w:r w:rsidR="00D17944" w:rsidRPr="002661A8">
        <w:rPr>
          <w:rFonts w:ascii="Times New Roman" w:eastAsia="Calibri" w:hAnsi="Times New Roman" w:cs="Times New Roman"/>
          <w:noProof/>
          <w:sz w:val="24"/>
          <w:szCs w:val="24"/>
        </w:rPr>
        <w:t>promote better control and monitoring of the exposures of clearing members and clients towards CCPs, including third-country ones. Excessive exposures would be reduced or better capitalised. Contributing to a better diversification of the exposures,</w:t>
      </w:r>
      <w:r w:rsidR="00D17944" w:rsidRPr="002661A8" w:rsidDel="00502B38">
        <w:rPr>
          <w:rFonts w:ascii="Times New Roman" w:eastAsia="Calibri" w:hAnsi="Times New Roman" w:cs="Times New Roman"/>
          <w:noProof/>
          <w:sz w:val="24"/>
          <w:szCs w:val="24"/>
        </w:rPr>
        <w:t xml:space="preserve"> </w:t>
      </w:r>
      <w:r w:rsidR="00D17944" w:rsidRPr="002661A8">
        <w:rPr>
          <w:rFonts w:ascii="Times New Roman" w:eastAsia="Calibri" w:hAnsi="Times New Roman" w:cs="Times New Roman"/>
          <w:noProof/>
          <w:sz w:val="24"/>
          <w:szCs w:val="24"/>
        </w:rPr>
        <w:t>could help address the risks arising from an over-reliance on certain CCPs more specifically and contribute to reinforcing financial stability by ensuring a better diffusion of risks in times of stress. However, it does not touch upon the EU supervisory framework per se and the way the increased cross-border risks in the EU would be managed. Depending on the increase in clearing volumes in the EU that would result from this measure, a need for strengthening the EU dimension of the supervisory framework could be further justified to ensure cross-border risks in the EU are properly monitored and handled.</w:t>
      </w:r>
    </w:p>
    <w:p w14:paraId="00510648" w14:textId="2F79F852" w:rsidR="00BB44BE" w:rsidRPr="002661A8" w:rsidRDefault="00BB44BE" w:rsidP="008331A8">
      <w:pPr>
        <w:tabs>
          <w:tab w:val="left" w:pos="2302"/>
        </w:tabs>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As regards improving the </w:t>
      </w:r>
      <w:r w:rsidR="00FB0224" w:rsidRPr="002661A8">
        <w:rPr>
          <w:rFonts w:ascii="Times New Roman" w:eastAsia="Calibri" w:hAnsi="Times New Roman" w:cs="Times New Roman"/>
          <w:noProof/>
          <w:sz w:val="24"/>
          <w:szCs w:val="24"/>
        </w:rPr>
        <w:t xml:space="preserve">attractiveness </w:t>
      </w:r>
      <w:r w:rsidRPr="002661A8">
        <w:rPr>
          <w:rFonts w:ascii="Times New Roman" w:eastAsia="Calibri" w:hAnsi="Times New Roman" w:cs="Times New Roman"/>
          <w:noProof/>
          <w:sz w:val="24"/>
          <w:szCs w:val="24"/>
        </w:rPr>
        <w:t xml:space="preserve">of EU CCPs, these measures target the demand </w:t>
      </w:r>
      <w:r w:rsidR="00FB0224" w:rsidRPr="002661A8">
        <w:rPr>
          <w:rFonts w:ascii="Times New Roman" w:eastAsia="Calibri" w:hAnsi="Times New Roman" w:cs="Times New Roman"/>
          <w:noProof/>
          <w:sz w:val="24"/>
          <w:szCs w:val="24"/>
        </w:rPr>
        <w:t xml:space="preserve">for </w:t>
      </w:r>
      <w:r w:rsidRPr="002661A8">
        <w:rPr>
          <w:rFonts w:ascii="Times New Roman" w:eastAsia="Calibri" w:hAnsi="Times New Roman" w:cs="Times New Roman"/>
          <w:noProof/>
          <w:sz w:val="24"/>
          <w:szCs w:val="24"/>
        </w:rPr>
        <w:t xml:space="preserve">clearing services and are not directly suitable to improve the </w:t>
      </w:r>
      <w:r w:rsidR="00FE4BB5" w:rsidRPr="002661A8">
        <w:rPr>
          <w:rFonts w:ascii="Times New Roman" w:eastAsia="Calibri" w:hAnsi="Times New Roman" w:cs="Times New Roman"/>
          <w:noProof/>
          <w:sz w:val="24"/>
          <w:szCs w:val="24"/>
        </w:rPr>
        <w:t>attractiveness</w:t>
      </w:r>
      <w:r w:rsidRPr="002661A8">
        <w:rPr>
          <w:rFonts w:ascii="Times New Roman" w:eastAsia="Calibri" w:hAnsi="Times New Roman" w:cs="Times New Roman"/>
          <w:noProof/>
          <w:sz w:val="24"/>
          <w:szCs w:val="24"/>
        </w:rPr>
        <w:t xml:space="preserve"> of EU CCPs. However, since they </w:t>
      </w:r>
      <w:r w:rsidR="009C5D9B" w:rsidRPr="002661A8">
        <w:rPr>
          <w:rFonts w:ascii="Times New Roman" w:eastAsia="Calibri" w:hAnsi="Times New Roman" w:cs="Times New Roman"/>
          <w:noProof/>
          <w:sz w:val="24"/>
          <w:szCs w:val="24"/>
        </w:rPr>
        <w:t xml:space="preserve">would </w:t>
      </w:r>
      <w:r w:rsidR="00FB0224" w:rsidRPr="002661A8">
        <w:rPr>
          <w:rFonts w:ascii="Times New Roman" w:eastAsia="Calibri" w:hAnsi="Times New Roman" w:cs="Times New Roman"/>
          <w:noProof/>
          <w:sz w:val="24"/>
          <w:szCs w:val="24"/>
        </w:rPr>
        <w:t xml:space="preserve">help </w:t>
      </w:r>
      <w:r w:rsidR="009C5D9B" w:rsidRPr="002661A8">
        <w:rPr>
          <w:rFonts w:ascii="Times New Roman" w:eastAsia="Calibri" w:hAnsi="Times New Roman" w:cs="Times New Roman"/>
          <w:noProof/>
          <w:sz w:val="24"/>
          <w:szCs w:val="24"/>
        </w:rPr>
        <w:t>to diversify exposures towards</w:t>
      </w:r>
      <w:r w:rsidRPr="002661A8">
        <w:rPr>
          <w:rFonts w:ascii="Times New Roman" w:eastAsia="Calibri" w:hAnsi="Times New Roman" w:cs="Times New Roman"/>
          <w:noProof/>
          <w:sz w:val="24"/>
          <w:szCs w:val="24"/>
        </w:rPr>
        <w:t xml:space="preserve"> CCPs, they can, partly</w:t>
      </w:r>
      <w:r w:rsidR="00892678" w:rsidRPr="002661A8">
        <w:rPr>
          <w:rStyle w:val="FootnoteReference"/>
          <w:rFonts w:ascii="Times New Roman" w:eastAsia="Calibri" w:hAnsi="Times New Roman" w:cs="Times New Roman"/>
          <w:noProof/>
          <w:sz w:val="24"/>
          <w:szCs w:val="24"/>
        </w:rPr>
        <w:footnoteReference w:id="133"/>
      </w:r>
      <w:r w:rsidRPr="002661A8">
        <w:rPr>
          <w:rFonts w:ascii="Times New Roman" w:eastAsia="Calibri" w:hAnsi="Times New Roman" w:cs="Times New Roman"/>
          <w:noProof/>
          <w:sz w:val="24"/>
          <w:szCs w:val="24"/>
        </w:rPr>
        <w:t>, lead to an increase</w:t>
      </w:r>
      <w:r w:rsidR="009C5D9B" w:rsidRPr="002661A8">
        <w:rPr>
          <w:rFonts w:ascii="Times New Roman" w:eastAsia="Calibri" w:hAnsi="Times New Roman" w:cs="Times New Roman"/>
          <w:noProof/>
          <w:sz w:val="24"/>
          <w:szCs w:val="24"/>
        </w:rPr>
        <w:t>, or a better allocation,</w:t>
      </w:r>
      <w:r w:rsidRPr="002661A8">
        <w:rPr>
          <w:rFonts w:ascii="Times New Roman" w:eastAsia="Calibri" w:hAnsi="Times New Roman" w:cs="Times New Roman"/>
          <w:noProof/>
          <w:sz w:val="24"/>
          <w:szCs w:val="24"/>
        </w:rPr>
        <w:t xml:space="preserve"> </w:t>
      </w:r>
      <w:r w:rsidR="009C5D9B" w:rsidRPr="002661A8">
        <w:rPr>
          <w:rFonts w:ascii="Times New Roman" w:eastAsia="Calibri" w:hAnsi="Times New Roman" w:cs="Times New Roman"/>
          <w:noProof/>
          <w:sz w:val="24"/>
          <w:szCs w:val="24"/>
        </w:rPr>
        <w:t xml:space="preserve">of </w:t>
      </w:r>
      <w:r w:rsidRPr="002661A8">
        <w:rPr>
          <w:rFonts w:ascii="Times New Roman" w:eastAsia="Calibri" w:hAnsi="Times New Roman" w:cs="Times New Roman"/>
          <w:noProof/>
          <w:sz w:val="24"/>
          <w:szCs w:val="24"/>
        </w:rPr>
        <w:t xml:space="preserve">the demand </w:t>
      </w:r>
      <w:r w:rsidR="00891C24" w:rsidRPr="002661A8">
        <w:rPr>
          <w:rFonts w:ascii="Times New Roman" w:eastAsia="Calibri" w:hAnsi="Times New Roman" w:cs="Times New Roman"/>
          <w:noProof/>
          <w:sz w:val="24"/>
          <w:szCs w:val="24"/>
        </w:rPr>
        <w:t xml:space="preserve">for </w:t>
      </w:r>
      <w:r w:rsidRPr="002661A8">
        <w:rPr>
          <w:rFonts w:ascii="Times New Roman" w:eastAsia="Calibri" w:hAnsi="Times New Roman" w:cs="Times New Roman"/>
          <w:noProof/>
          <w:sz w:val="24"/>
          <w:szCs w:val="24"/>
        </w:rPr>
        <w:t xml:space="preserve">clearing services in the EU and </w:t>
      </w:r>
      <w:r w:rsidR="009C5D9B" w:rsidRPr="002661A8">
        <w:rPr>
          <w:rFonts w:ascii="Times New Roman" w:eastAsia="Calibri" w:hAnsi="Times New Roman" w:cs="Times New Roman"/>
          <w:noProof/>
          <w:sz w:val="24"/>
          <w:szCs w:val="24"/>
        </w:rPr>
        <w:t xml:space="preserve">contribute to </w:t>
      </w:r>
      <w:r w:rsidR="00882B2A" w:rsidRPr="002661A8">
        <w:rPr>
          <w:rFonts w:ascii="Times New Roman" w:eastAsia="Calibri" w:hAnsi="Times New Roman" w:cs="Times New Roman"/>
          <w:noProof/>
          <w:sz w:val="24"/>
          <w:szCs w:val="24"/>
        </w:rPr>
        <w:t>creating</w:t>
      </w:r>
      <w:r w:rsidR="009C5D9B"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a virtuous circle by which EU CCPs would be more incentivised to also improve their offer and become more attractive</w:t>
      </w:r>
      <w:r w:rsidR="009C5D9B" w:rsidRPr="002661A8">
        <w:rPr>
          <w:rFonts w:ascii="Times New Roman" w:eastAsia="Calibri" w:hAnsi="Times New Roman" w:cs="Times New Roman"/>
          <w:noProof/>
          <w:sz w:val="24"/>
          <w:szCs w:val="24"/>
        </w:rPr>
        <w:t xml:space="preserve"> overall</w:t>
      </w:r>
      <w:r w:rsidRPr="002661A8">
        <w:rPr>
          <w:rFonts w:ascii="Times New Roman" w:eastAsia="Calibri" w:hAnsi="Times New Roman" w:cs="Times New Roman"/>
          <w:noProof/>
          <w:sz w:val="24"/>
          <w:szCs w:val="24"/>
        </w:rPr>
        <w:t>.</w:t>
      </w:r>
    </w:p>
    <w:p w14:paraId="7A1863B5" w14:textId="2E34411D" w:rsidR="000923BE" w:rsidRPr="002661A8" w:rsidRDefault="005D6B54" w:rsidP="008331A8">
      <w:pPr>
        <w:tabs>
          <w:tab w:val="left" w:pos="2302"/>
        </w:tabs>
        <w:spacing w:after="120" w:line="240" w:lineRule="auto"/>
        <w:jc w:val="both"/>
        <w:rPr>
          <w:rFonts w:ascii="Times New Roman" w:eastAsia="Calibri" w:hAnsi="Times New Roman" w:cs="Times New Roman"/>
          <w:noProof/>
          <w:sz w:val="24"/>
          <w:szCs w:val="24"/>
        </w:rPr>
      </w:pPr>
      <w:bookmarkStart w:id="1005" w:name="_Hlk107566143"/>
      <w:r w:rsidRPr="002661A8">
        <w:rPr>
          <w:rFonts w:ascii="Times New Roman" w:eastAsia="Calibri" w:hAnsi="Times New Roman" w:cs="Times New Roman"/>
          <w:noProof/>
          <w:sz w:val="24"/>
          <w:szCs w:val="24"/>
        </w:rPr>
        <w:t>Based on the above</w:t>
      </w:r>
      <w:r w:rsidR="000923BE" w:rsidRPr="002661A8">
        <w:rPr>
          <w:rFonts w:ascii="Times New Roman" w:eastAsia="Calibri" w:hAnsi="Times New Roman" w:cs="Times New Roman"/>
          <w:noProof/>
          <w:sz w:val="24"/>
          <w:szCs w:val="24"/>
        </w:rPr>
        <w:t xml:space="preserve">, </w:t>
      </w:r>
      <w:r w:rsidR="00835D5B" w:rsidRPr="002661A8">
        <w:rPr>
          <w:rFonts w:ascii="Times New Roman" w:eastAsia="Calibri" w:hAnsi="Times New Roman" w:cs="Times New Roman"/>
          <w:noProof/>
          <w:sz w:val="24"/>
          <w:szCs w:val="24"/>
        </w:rPr>
        <w:t>CRD/</w:t>
      </w:r>
      <w:r w:rsidRPr="002661A8">
        <w:rPr>
          <w:rFonts w:ascii="Times New Roman" w:eastAsia="Calibri" w:hAnsi="Times New Roman" w:cs="Times New Roman"/>
          <w:noProof/>
          <w:sz w:val="24"/>
          <w:szCs w:val="24"/>
        </w:rPr>
        <w:t>CRR</w:t>
      </w:r>
      <w:r w:rsidR="000923BE" w:rsidRPr="002661A8">
        <w:rPr>
          <w:rFonts w:ascii="Times New Roman" w:eastAsia="Calibri" w:hAnsi="Times New Roman" w:cs="Times New Roman"/>
          <w:noProof/>
          <w:sz w:val="24"/>
          <w:szCs w:val="24"/>
        </w:rPr>
        <w:t xml:space="preserve">-related measures </w:t>
      </w:r>
      <w:r w:rsidRPr="002661A8">
        <w:rPr>
          <w:rFonts w:ascii="Times New Roman" w:eastAsia="Calibri" w:hAnsi="Times New Roman" w:cs="Times New Roman"/>
          <w:noProof/>
          <w:sz w:val="24"/>
          <w:szCs w:val="24"/>
        </w:rPr>
        <w:t>would help</w:t>
      </w:r>
      <w:r w:rsidR="000923BE" w:rsidRPr="002661A8">
        <w:rPr>
          <w:rFonts w:ascii="Times New Roman" w:eastAsia="Calibri" w:hAnsi="Times New Roman" w:cs="Times New Roman"/>
          <w:noProof/>
          <w:sz w:val="24"/>
          <w:szCs w:val="24"/>
        </w:rPr>
        <w:t xml:space="preserve"> </w:t>
      </w:r>
      <w:r w:rsidR="00F70C6D" w:rsidRPr="002661A8">
        <w:rPr>
          <w:rFonts w:ascii="Times New Roman" w:hAnsi="Times New Roman" w:cs="Times New Roman"/>
          <w:noProof/>
          <w:sz w:val="24"/>
          <w:szCs w:val="24"/>
        </w:rPr>
        <w:t>meet</w:t>
      </w:r>
      <w:r w:rsidR="000923BE" w:rsidRPr="002661A8">
        <w:rPr>
          <w:rFonts w:ascii="Times New Roman" w:eastAsia="Calibri" w:hAnsi="Times New Roman" w:cs="Times New Roman"/>
          <w:noProof/>
          <w:sz w:val="24"/>
          <w:szCs w:val="24"/>
        </w:rPr>
        <w:t xml:space="preserve"> the </w:t>
      </w:r>
      <w:r w:rsidRPr="002661A8">
        <w:rPr>
          <w:rFonts w:ascii="Times New Roman" w:eastAsia="Calibri" w:hAnsi="Times New Roman" w:cs="Times New Roman"/>
          <w:noProof/>
          <w:sz w:val="24"/>
          <w:szCs w:val="24"/>
        </w:rPr>
        <w:t xml:space="preserve">policy </w:t>
      </w:r>
      <w:r w:rsidR="000923BE" w:rsidRPr="002661A8">
        <w:rPr>
          <w:rFonts w:ascii="Times New Roman" w:eastAsia="Calibri" w:hAnsi="Times New Roman" w:cs="Times New Roman"/>
          <w:noProof/>
          <w:sz w:val="24"/>
          <w:szCs w:val="24"/>
        </w:rPr>
        <w:t>objective</w:t>
      </w:r>
      <w:r w:rsidR="00BB44BE" w:rsidRPr="002661A8">
        <w:rPr>
          <w:rFonts w:ascii="Times New Roman" w:eastAsia="Calibri" w:hAnsi="Times New Roman" w:cs="Times New Roman"/>
          <w:noProof/>
          <w:sz w:val="24"/>
          <w:szCs w:val="24"/>
        </w:rPr>
        <w:t>s</w:t>
      </w:r>
      <w:r w:rsidR="000923BE" w:rsidRPr="002661A8">
        <w:rPr>
          <w:rFonts w:ascii="Times New Roman" w:eastAsia="Calibri" w:hAnsi="Times New Roman" w:cs="Times New Roman"/>
          <w:noProof/>
          <w:sz w:val="24"/>
          <w:szCs w:val="24"/>
        </w:rPr>
        <w:t xml:space="preserve"> </w:t>
      </w:r>
      <w:r w:rsidR="00DA3E3A" w:rsidRPr="002661A8">
        <w:rPr>
          <w:rFonts w:ascii="Times New Roman" w:hAnsi="Times New Roman" w:cs="Times New Roman"/>
          <w:noProof/>
          <w:sz w:val="24"/>
          <w:szCs w:val="24"/>
        </w:rPr>
        <w:t>only when considered in combination</w:t>
      </w:r>
      <w:r w:rsidRPr="002661A8">
        <w:rPr>
          <w:rFonts w:ascii="Times New Roman" w:eastAsia="Calibri" w:hAnsi="Times New Roman" w:cs="Times New Roman"/>
          <w:noProof/>
          <w:sz w:val="24"/>
          <w:szCs w:val="24"/>
        </w:rPr>
        <w:t xml:space="preserve"> with other options. Considered in isolation, these measures </w:t>
      </w:r>
      <w:r w:rsidR="00B96602" w:rsidRPr="002661A8">
        <w:rPr>
          <w:rFonts w:ascii="Times New Roman" w:eastAsia="Calibri" w:hAnsi="Times New Roman" w:cs="Times New Roman"/>
          <w:noProof/>
          <w:sz w:val="24"/>
          <w:szCs w:val="24"/>
        </w:rPr>
        <w:t>may</w:t>
      </w:r>
      <w:r w:rsidR="00B96602" w:rsidRPr="002661A8">
        <w:rPr>
          <w:rFonts w:ascii="Times New Roman" w:hAnsi="Times New Roman" w:cs="Times New Roman"/>
          <w:noProof/>
          <w:sz w:val="24"/>
          <w:szCs w:val="24"/>
        </w:rPr>
        <w:t> </w:t>
      </w:r>
      <w:r w:rsidRPr="002661A8">
        <w:rPr>
          <w:rFonts w:ascii="Times New Roman" w:eastAsia="Calibri" w:hAnsi="Times New Roman" w:cs="Times New Roman"/>
          <w:noProof/>
          <w:sz w:val="24"/>
          <w:szCs w:val="24"/>
        </w:rPr>
        <w:t xml:space="preserve">not </w:t>
      </w:r>
      <w:r w:rsidR="000923BE" w:rsidRPr="002661A8">
        <w:rPr>
          <w:rFonts w:ascii="Times New Roman" w:eastAsia="Calibri" w:hAnsi="Times New Roman" w:cs="Times New Roman"/>
          <w:noProof/>
          <w:sz w:val="24"/>
          <w:szCs w:val="24"/>
        </w:rPr>
        <w:t xml:space="preserve">be sufficiently </w:t>
      </w:r>
      <w:r w:rsidR="00DA3E3A" w:rsidRPr="002661A8">
        <w:rPr>
          <w:rFonts w:ascii="Times New Roman" w:eastAsia="Calibri" w:hAnsi="Times New Roman" w:cs="Times New Roman"/>
          <w:noProof/>
          <w:sz w:val="24"/>
          <w:szCs w:val="24"/>
        </w:rPr>
        <w:t xml:space="preserve">targeted and </w:t>
      </w:r>
      <w:r w:rsidR="000923BE" w:rsidRPr="002661A8">
        <w:rPr>
          <w:rFonts w:ascii="Times New Roman" w:eastAsia="Calibri" w:hAnsi="Times New Roman" w:cs="Times New Roman"/>
          <w:noProof/>
          <w:sz w:val="24"/>
          <w:szCs w:val="24"/>
        </w:rPr>
        <w:t>effective</w:t>
      </w:r>
      <w:r w:rsidR="00F00177" w:rsidRPr="002661A8">
        <w:rPr>
          <w:rFonts w:ascii="Times New Roman" w:eastAsia="Calibri" w:hAnsi="Times New Roman" w:cs="Times New Roman"/>
          <w:noProof/>
          <w:sz w:val="24"/>
          <w:szCs w:val="24"/>
        </w:rPr>
        <w:t xml:space="preserve"> to </w:t>
      </w:r>
      <w:r w:rsidR="00203A20">
        <w:rPr>
          <w:rFonts w:ascii="Times New Roman" w:eastAsia="Calibri" w:hAnsi="Times New Roman" w:cs="Times New Roman"/>
          <w:noProof/>
          <w:sz w:val="24"/>
          <w:szCs w:val="24"/>
        </w:rPr>
        <w:t xml:space="preserve">limit and </w:t>
      </w:r>
      <w:r w:rsidR="00203A20" w:rsidRPr="00203A20">
        <w:rPr>
          <w:rFonts w:ascii="Times New Roman" w:eastAsia="Calibri" w:hAnsi="Times New Roman" w:cs="Times New Roman"/>
          <w:noProof/>
          <w:sz w:val="24"/>
          <w:szCs w:val="24"/>
        </w:rPr>
        <w:t>dis-incentivise banks’ excessive exposures to CCPs</w:t>
      </w:r>
      <w:r w:rsidR="000923BE" w:rsidRPr="002661A8">
        <w:rPr>
          <w:rFonts w:ascii="Times New Roman" w:eastAsia="Calibri" w:hAnsi="Times New Roman" w:cs="Times New Roman"/>
          <w:noProof/>
          <w:sz w:val="24"/>
          <w:szCs w:val="24"/>
        </w:rPr>
        <w:t>.</w:t>
      </w:r>
      <w:r w:rsidR="00F00177" w:rsidRPr="002661A8">
        <w:rPr>
          <w:rFonts w:ascii="Times New Roman" w:eastAsia="Calibri" w:hAnsi="Times New Roman" w:cs="Times New Roman"/>
          <w:noProof/>
          <w:sz w:val="24"/>
          <w:szCs w:val="24"/>
        </w:rPr>
        <w:t xml:space="preserve"> I</w:t>
      </w:r>
      <w:r w:rsidRPr="002661A8">
        <w:rPr>
          <w:rFonts w:ascii="Times New Roman" w:eastAsia="Calibri" w:hAnsi="Times New Roman" w:cs="Times New Roman"/>
          <w:noProof/>
          <w:sz w:val="24"/>
          <w:szCs w:val="24"/>
        </w:rPr>
        <w:t xml:space="preserve">n addition, </w:t>
      </w:r>
      <w:r w:rsidR="00F00177" w:rsidRPr="002661A8">
        <w:rPr>
          <w:rFonts w:ascii="Times New Roman" w:eastAsia="Calibri" w:hAnsi="Times New Roman" w:cs="Times New Roman"/>
          <w:noProof/>
          <w:sz w:val="24"/>
          <w:szCs w:val="24"/>
        </w:rPr>
        <w:t xml:space="preserve">the calibration of </w:t>
      </w:r>
      <w:r w:rsidR="00F00177" w:rsidRPr="002661A8" w:rsidDel="005B49D5">
        <w:rPr>
          <w:rFonts w:ascii="Times New Roman" w:eastAsia="Calibri" w:hAnsi="Times New Roman" w:cs="Times New Roman"/>
          <w:noProof/>
          <w:sz w:val="24"/>
          <w:szCs w:val="24"/>
        </w:rPr>
        <w:t>the</w:t>
      </w:r>
      <w:r w:rsidR="00F00177" w:rsidRPr="002661A8" w:rsidDel="00321C2D">
        <w:rPr>
          <w:rFonts w:ascii="Times New Roman" w:eastAsia="Calibri" w:hAnsi="Times New Roman" w:cs="Times New Roman"/>
          <w:noProof/>
          <w:sz w:val="24"/>
          <w:szCs w:val="24"/>
        </w:rPr>
        <w:t xml:space="preserve"> </w:t>
      </w:r>
      <w:r w:rsidR="00273F19" w:rsidRPr="002661A8">
        <w:rPr>
          <w:rFonts w:ascii="Times New Roman" w:eastAsia="Calibri" w:hAnsi="Times New Roman" w:cs="Times New Roman"/>
          <w:noProof/>
          <w:sz w:val="24"/>
          <w:szCs w:val="24"/>
        </w:rPr>
        <w:t xml:space="preserve">measures relying on the </w:t>
      </w:r>
      <w:r w:rsidR="00F00177" w:rsidRPr="002661A8">
        <w:rPr>
          <w:rFonts w:ascii="Times New Roman" w:eastAsia="Calibri" w:hAnsi="Times New Roman" w:cs="Times New Roman"/>
          <w:noProof/>
          <w:sz w:val="24"/>
          <w:szCs w:val="24"/>
        </w:rPr>
        <w:t xml:space="preserve">large exposures framework </w:t>
      </w:r>
      <w:r w:rsidR="005B49D5" w:rsidRPr="002661A8">
        <w:rPr>
          <w:rFonts w:ascii="Times New Roman" w:eastAsia="Calibri" w:hAnsi="Times New Roman" w:cs="Times New Roman"/>
          <w:noProof/>
          <w:sz w:val="24"/>
          <w:szCs w:val="24"/>
        </w:rPr>
        <w:t xml:space="preserve">or </w:t>
      </w:r>
      <w:r w:rsidR="00F00177" w:rsidRPr="002661A8">
        <w:rPr>
          <w:rFonts w:ascii="Times New Roman" w:eastAsia="Calibri" w:hAnsi="Times New Roman" w:cs="Times New Roman"/>
          <w:noProof/>
          <w:sz w:val="24"/>
          <w:szCs w:val="24"/>
        </w:rPr>
        <w:t xml:space="preserve">any macroprudential measures </w:t>
      </w:r>
      <w:r w:rsidR="00F70C6D" w:rsidRPr="002661A8">
        <w:rPr>
          <w:rFonts w:ascii="Times New Roman" w:hAnsi="Times New Roman" w:cs="Times New Roman"/>
          <w:noProof/>
          <w:sz w:val="24"/>
          <w:szCs w:val="24"/>
        </w:rPr>
        <w:t xml:space="preserve">would </w:t>
      </w:r>
      <w:r w:rsidR="00F00177" w:rsidRPr="002661A8">
        <w:rPr>
          <w:rFonts w:ascii="Times New Roman" w:eastAsia="Calibri" w:hAnsi="Times New Roman" w:cs="Times New Roman"/>
          <w:noProof/>
          <w:sz w:val="24"/>
          <w:szCs w:val="24"/>
        </w:rPr>
        <w:t>be crucial</w:t>
      </w:r>
      <w:r w:rsidRPr="002661A8">
        <w:rPr>
          <w:rFonts w:ascii="Times New Roman" w:eastAsia="Calibri" w:hAnsi="Times New Roman" w:cs="Times New Roman"/>
          <w:noProof/>
          <w:sz w:val="24"/>
          <w:szCs w:val="24"/>
        </w:rPr>
        <w:t xml:space="preserve"> </w:t>
      </w:r>
      <w:r w:rsidR="00F00177" w:rsidRPr="002661A8">
        <w:rPr>
          <w:rFonts w:ascii="Times New Roman" w:eastAsia="Calibri" w:hAnsi="Times New Roman" w:cs="Times New Roman"/>
          <w:noProof/>
          <w:sz w:val="24"/>
          <w:szCs w:val="24"/>
        </w:rPr>
        <w:t>in determining the degree of</w:t>
      </w:r>
      <w:r w:rsidR="00891C24" w:rsidRPr="002661A8">
        <w:rPr>
          <w:rFonts w:ascii="Times New Roman" w:eastAsia="Calibri" w:hAnsi="Times New Roman" w:cs="Times New Roman"/>
          <w:noProof/>
          <w:sz w:val="24"/>
          <w:szCs w:val="24"/>
        </w:rPr>
        <w:t xml:space="preserve"> their</w:t>
      </w:r>
      <w:r w:rsidR="00F00177" w:rsidRPr="002661A8">
        <w:rPr>
          <w:rFonts w:ascii="Times New Roman" w:eastAsia="Calibri" w:hAnsi="Times New Roman" w:cs="Times New Roman"/>
          <w:noProof/>
          <w:sz w:val="24"/>
          <w:szCs w:val="24"/>
        </w:rPr>
        <w:t xml:space="preserve"> effectiveness</w:t>
      </w:r>
      <w:r w:rsidR="002924E7" w:rsidRPr="002661A8">
        <w:rPr>
          <w:rFonts w:ascii="Times New Roman" w:eastAsia="Calibri" w:hAnsi="Times New Roman" w:cs="Times New Roman"/>
          <w:noProof/>
          <w:sz w:val="24"/>
          <w:szCs w:val="24"/>
        </w:rPr>
        <w:t>,</w:t>
      </w:r>
      <w:r w:rsidRPr="002661A8">
        <w:rPr>
          <w:rFonts w:ascii="Times New Roman" w:eastAsia="Calibri" w:hAnsi="Times New Roman" w:cs="Times New Roman"/>
          <w:noProof/>
          <w:sz w:val="24"/>
          <w:szCs w:val="24"/>
        </w:rPr>
        <w:t xml:space="preserve"> but particularly complex and challenging, </w:t>
      </w:r>
      <w:r w:rsidR="00892678" w:rsidRPr="002661A8">
        <w:rPr>
          <w:rFonts w:ascii="Times New Roman" w:eastAsia="Calibri" w:hAnsi="Times New Roman" w:cs="Times New Roman"/>
          <w:noProof/>
          <w:sz w:val="24"/>
          <w:szCs w:val="24"/>
        </w:rPr>
        <w:t>thereby leading to some residual uncertainties as to the final outcome.</w:t>
      </w:r>
      <w:r w:rsidR="00931F32" w:rsidRPr="002661A8">
        <w:rPr>
          <w:rFonts w:ascii="Times New Roman" w:eastAsia="Times New Roman" w:hAnsi="Times New Roman" w:cs="Times New Roman"/>
          <w:noProof/>
          <w:sz w:val="24"/>
          <w:szCs w:val="24"/>
        </w:rPr>
        <w:t xml:space="preserve"> </w:t>
      </w:r>
      <w:r w:rsidR="005B49D5" w:rsidRPr="002661A8">
        <w:rPr>
          <w:rFonts w:ascii="Times New Roman" w:eastAsia="Times New Roman" w:hAnsi="Times New Roman" w:cs="Times New Roman"/>
          <w:noProof/>
          <w:sz w:val="24"/>
          <w:szCs w:val="24"/>
        </w:rPr>
        <w:t>T</w:t>
      </w:r>
      <w:r w:rsidR="004A3999" w:rsidRPr="002661A8">
        <w:rPr>
          <w:rFonts w:ascii="Times New Roman" w:eastAsia="Times New Roman" w:hAnsi="Times New Roman" w:cs="Times New Roman"/>
          <w:noProof/>
          <w:sz w:val="24"/>
          <w:szCs w:val="24"/>
        </w:rPr>
        <w:t xml:space="preserve">he measures based on the Pillar 2 </w:t>
      </w:r>
      <w:r w:rsidR="005B49D5" w:rsidRPr="002661A8">
        <w:rPr>
          <w:rFonts w:ascii="Times New Roman" w:eastAsia="Times New Roman" w:hAnsi="Times New Roman" w:cs="Times New Roman"/>
          <w:noProof/>
          <w:sz w:val="24"/>
          <w:szCs w:val="24"/>
        </w:rPr>
        <w:t xml:space="preserve">framework </w:t>
      </w:r>
      <w:r w:rsidR="004A3999" w:rsidRPr="002661A8">
        <w:rPr>
          <w:rFonts w:ascii="Times New Roman" w:eastAsia="Times New Roman" w:hAnsi="Times New Roman" w:cs="Times New Roman"/>
          <w:noProof/>
          <w:sz w:val="24"/>
          <w:szCs w:val="24"/>
        </w:rPr>
        <w:t xml:space="preserve">would </w:t>
      </w:r>
      <w:r w:rsidR="00786F91" w:rsidRPr="002661A8">
        <w:rPr>
          <w:rFonts w:ascii="Times New Roman" w:eastAsia="Times New Roman" w:hAnsi="Times New Roman" w:cs="Times New Roman"/>
          <w:noProof/>
          <w:sz w:val="24"/>
          <w:szCs w:val="24"/>
        </w:rPr>
        <w:t>allow for more flexibility</w:t>
      </w:r>
      <w:r w:rsidR="005B49D5" w:rsidRPr="002661A8">
        <w:rPr>
          <w:rFonts w:ascii="Times New Roman" w:eastAsia="Times New Roman" w:hAnsi="Times New Roman" w:cs="Times New Roman"/>
          <w:noProof/>
          <w:sz w:val="24"/>
          <w:szCs w:val="24"/>
        </w:rPr>
        <w:t xml:space="preserve"> in terms of implementation</w:t>
      </w:r>
      <w:r w:rsidR="00EC5F9A">
        <w:rPr>
          <w:rFonts w:ascii="Times New Roman" w:eastAsia="Times New Roman" w:hAnsi="Times New Roman" w:cs="Times New Roman"/>
          <w:noProof/>
          <w:sz w:val="24"/>
          <w:szCs w:val="24"/>
        </w:rPr>
        <w:t xml:space="preserve"> and are therefore preferred</w:t>
      </w:r>
      <w:r w:rsidR="00B64333" w:rsidRPr="002661A8">
        <w:rPr>
          <w:rFonts w:ascii="Times New Roman" w:eastAsia="Times New Roman" w:hAnsi="Times New Roman" w:cs="Times New Roman"/>
          <w:noProof/>
          <w:sz w:val="24"/>
          <w:szCs w:val="24"/>
        </w:rPr>
        <w:t>.</w:t>
      </w:r>
    </w:p>
    <w:bookmarkEnd w:id="1005"/>
    <w:p w14:paraId="25684BAF" w14:textId="77777777" w:rsidR="000923BE" w:rsidRPr="002661A8" w:rsidRDefault="000923BE" w:rsidP="000923BE">
      <w:pPr>
        <w:tabs>
          <w:tab w:val="left" w:pos="2302"/>
        </w:tabs>
        <w:spacing w:after="120" w:line="240" w:lineRule="auto"/>
        <w:jc w:val="both"/>
        <w:rPr>
          <w:rFonts w:ascii="Times New Roman" w:eastAsia="Times New Roman" w:hAnsi="Times New Roman" w:cs="Times New Roman"/>
          <w:noProof/>
          <w:sz w:val="24"/>
          <w:szCs w:val="24"/>
          <w:u w:val="single"/>
        </w:rPr>
      </w:pPr>
      <w:r w:rsidRPr="002661A8">
        <w:rPr>
          <w:rFonts w:ascii="Times New Roman" w:eastAsia="Times New Roman" w:hAnsi="Times New Roman" w:cs="Times New Roman"/>
          <w:noProof/>
          <w:sz w:val="24"/>
          <w:szCs w:val="24"/>
          <w:u w:val="single"/>
        </w:rPr>
        <w:t>Coherence</w:t>
      </w:r>
    </w:p>
    <w:p w14:paraId="2D2C5124" w14:textId="753829DE" w:rsidR="000923BE" w:rsidRPr="002661A8" w:rsidRDefault="005D6B54" w:rsidP="008331A8">
      <w:pPr>
        <w:tabs>
          <w:tab w:val="left" w:pos="2302"/>
        </w:tabs>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By fostering an appropriate diversification of exposures towards CCPs, some of the sub-options</w:t>
      </w:r>
      <w:r w:rsidR="000923BE"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considered above could support the policy objective of a reduction</w:t>
      </w:r>
      <w:r w:rsidR="000923BE"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 xml:space="preserve">of </w:t>
      </w:r>
      <w:r w:rsidR="000923BE" w:rsidRPr="002661A8">
        <w:rPr>
          <w:rFonts w:ascii="Times New Roman" w:eastAsia="Calibri" w:hAnsi="Times New Roman" w:cs="Times New Roman"/>
          <w:noProof/>
          <w:sz w:val="24"/>
          <w:szCs w:val="24"/>
        </w:rPr>
        <w:t xml:space="preserve">the </w:t>
      </w:r>
      <w:r w:rsidR="000C228C" w:rsidRPr="002661A8">
        <w:rPr>
          <w:rFonts w:ascii="Times New Roman" w:eastAsia="Calibri" w:hAnsi="Times New Roman" w:cs="Times New Roman"/>
          <w:noProof/>
          <w:sz w:val="24"/>
          <w:szCs w:val="24"/>
        </w:rPr>
        <w:t xml:space="preserve">excessive </w:t>
      </w:r>
      <w:r w:rsidR="000923BE" w:rsidRPr="002661A8">
        <w:rPr>
          <w:rFonts w:ascii="Times New Roman" w:eastAsia="Calibri" w:hAnsi="Times New Roman" w:cs="Times New Roman"/>
          <w:noProof/>
          <w:sz w:val="24"/>
          <w:szCs w:val="24"/>
        </w:rPr>
        <w:t xml:space="preserve">exposure of EU clearing members </w:t>
      </w:r>
      <w:r w:rsidRPr="002661A8">
        <w:rPr>
          <w:rFonts w:ascii="Times New Roman" w:eastAsia="Calibri" w:hAnsi="Times New Roman" w:cs="Times New Roman"/>
          <w:noProof/>
          <w:sz w:val="24"/>
          <w:szCs w:val="24"/>
        </w:rPr>
        <w:t xml:space="preserve">and clients </w:t>
      </w:r>
      <w:r w:rsidR="000923BE" w:rsidRPr="002661A8">
        <w:rPr>
          <w:rFonts w:ascii="Times New Roman" w:eastAsia="Calibri" w:hAnsi="Times New Roman" w:cs="Times New Roman"/>
          <w:noProof/>
          <w:sz w:val="24"/>
          <w:szCs w:val="24"/>
        </w:rPr>
        <w:t>to</w:t>
      </w:r>
      <w:r w:rsidRPr="002661A8">
        <w:rPr>
          <w:rFonts w:ascii="Times New Roman" w:eastAsia="Calibri" w:hAnsi="Times New Roman" w:cs="Times New Roman"/>
          <w:noProof/>
          <w:sz w:val="24"/>
          <w:szCs w:val="24"/>
        </w:rPr>
        <w:t>wards</w:t>
      </w:r>
      <w:r w:rsidR="000923BE" w:rsidRPr="002661A8">
        <w:rPr>
          <w:rFonts w:ascii="Times New Roman" w:eastAsia="Calibri" w:hAnsi="Times New Roman" w:cs="Times New Roman"/>
          <w:noProof/>
          <w:sz w:val="24"/>
          <w:szCs w:val="24"/>
        </w:rPr>
        <w:t xml:space="preserve"> </w:t>
      </w:r>
      <w:r w:rsidR="00C97709" w:rsidRPr="002661A8">
        <w:rPr>
          <w:rFonts w:ascii="Times New Roman" w:eastAsia="Calibri" w:hAnsi="Times New Roman" w:cs="Times New Roman"/>
          <w:noProof/>
          <w:sz w:val="24"/>
          <w:szCs w:val="24"/>
        </w:rPr>
        <w:t>Tier 2</w:t>
      </w:r>
      <w:r w:rsidR="00891C24" w:rsidRPr="002661A8">
        <w:rPr>
          <w:rFonts w:ascii="Times New Roman" w:eastAsia="Calibri" w:hAnsi="Times New Roman" w:cs="Times New Roman"/>
          <w:noProof/>
          <w:sz w:val="24"/>
          <w:szCs w:val="24"/>
        </w:rPr>
        <w:t xml:space="preserve"> </w:t>
      </w:r>
      <w:r w:rsidR="000923BE" w:rsidRPr="002661A8">
        <w:rPr>
          <w:rFonts w:ascii="Times New Roman" w:eastAsia="Calibri" w:hAnsi="Times New Roman" w:cs="Times New Roman"/>
          <w:noProof/>
          <w:sz w:val="24"/>
          <w:szCs w:val="24"/>
        </w:rPr>
        <w:t xml:space="preserve">CCPs, thus reducing over-reliance on </w:t>
      </w:r>
      <w:r w:rsidR="00891C24" w:rsidRPr="002661A8">
        <w:rPr>
          <w:rFonts w:ascii="Times New Roman" w:eastAsia="Calibri" w:hAnsi="Times New Roman" w:cs="Times New Roman"/>
          <w:noProof/>
          <w:sz w:val="24"/>
          <w:szCs w:val="24"/>
        </w:rPr>
        <w:t>them</w:t>
      </w:r>
      <w:r w:rsidR="000923BE"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 xml:space="preserve">This option could </w:t>
      </w:r>
      <w:r w:rsidR="00DF78C2" w:rsidRPr="002661A8">
        <w:rPr>
          <w:rFonts w:ascii="Times New Roman" w:eastAsia="Calibri" w:hAnsi="Times New Roman" w:cs="Times New Roman"/>
          <w:noProof/>
          <w:sz w:val="24"/>
          <w:szCs w:val="24"/>
        </w:rPr>
        <w:t>however better</w:t>
      </w:r>
      <w:r w:rsidRPr="002661A8">
        <w:rPr>
          <w:rFonts w:ascii="Times New Roman" w:eastAsia="Calibri" w:hAnsi="Times New Roman" w:cs="Times New Roman"/>
          <w:noProof/>
          <w:sz w:val="24"/>
          <w:szCs w:val="24"/>
        </w:rPr>
        <w:t xml:space="preserve"> </w:t>
      </w:r>
      <w:r w:rsidR="000923BE" w:rsidRPr="002661A8">
        <w:rPr>
          <w:rFonts w:ascii="Times New Roman" w:eastAsia="Calibri" w:hAnsi="Times New Roman" w:cs="Times New Roman"/>
          <w:noProof/>
          <w:sz w:val="24"/>
          <w:szCs w:val="24"/>
        </w:rPr>
        <w:t xml:space="preserve">contribute to the objective of </w:t>
      </w:r>
      <w:r w:rsidR="006C2697">
        <w:rPr>
          <w:rFonts w:ascii="Times New Roman" w:eastAsia="Calibri" w:hAnsi="Times New Roman" w:cs="Times New Roman"/>
          <w:noProof/>
          <w:sz w:val="24"/>
          <w:szCs w:val="24"/>
        </w:rPr>
        <w:t>encouraging</w:t>
      </w:r>
      <w:r w:rsidR="006C2697" w:rsidRPr="002661A8">
        <w:rPr>
          <w:rFonts w:ascii="Times New Roman" w:eastAsia="Calibri" w:hAnsi="Times New Roman" w:cs="Times New Roman"/>
          <w:noProof/>
          <w:sz w:val="24"/>
          <w:szCs w:val="24"/>
        </w:rPr>
        <w:t xml:space="preserve"> </w:t>
      </w:r>
      <w:r w:rsidR="000923BE" w:rsidRPr="002661A8">
        <w:rPr>
          <w:rFonts w:ascii="Times New Roman" w:eastAsia="Calibri" w:hAnsi="Times New Roman" w:cs="Times New Roman"/>
          <w:noProof/>
          <w:sz w:val="24"/>
          <w:szCs w:val="24"/>
        </w:rPr>
        <w:t>clearing in EU CCPs</w:t>
      </w:r>
      <w:r w:rsidRPr="002661A8">
        <w:rPr>
          <w:rFonts w:ascii="Times New Roman" w:eastAsia="Calibri" w:hAnsi="Times New Roman" w:cs="Times New Roman"/>
          <w:noProof/>
          <w:sz w:val="24"/>
          <w:szCs w:val="24"/>
        </w:rPr>
        <w:t xml:space="preserve"> when considered in conjunction with the other options envisaged under this section</w:t>
      </w:r>
      <w:r w:rsidR="000923BE" w:rsidRPr="002661A8">
        <w:rPr>
          <w:rFonts w:ascii="Times New Roman" w:eastAsia="Calibri" w:hAnsi="Times New Roman" w:cs="Times New Roman"/>
          <w:noProof/>
          <w:sz w:val="24"/>
          <w:szCs w:val="24"/>
        </w:rPr>
        <w:t xml:space="preserve">. </w:t>
      </w:r>
      <w:r w:rsidR="00CE6919" w:rsidRPr="002661A8">
        <w:rPr>
          <w:rFonts w:ascii="Times New Roman" w:eastAsia="Calibri" w:hAnsi="Times New Roman" w:cs="Times New Roman"/>
          <w:noProof/>
          <w:sz w:val="24"/>
          <w:szCs w:val="24"/>
        </w:rPr>
        <w:t>T</w:t>
      </w:r>
      <w:r w:rsidRPr="002661A8">
        <w:rPr>
          <w:rFonts w:ascii="Times New Roman" w:eastAsia="Calibri" w:hAnsi="Times New Roman" w:cs="Times New Roman"/>
          <w:noProof/>
          <w:sz w:val="24"/>
          <w:szCs w:val="24"/>
        </w:rPr>
        <w:t xml:space="preserve">his </w:t>
      </w:r>
      <w:r w:rsidR="000923BE" w:rsidRPr="002661A8">
        <w:rPr>
          <w:rFonts w:ascii="Times New Roman" w:eastAsia="Calibri" w:hAnsi="Times New Roman" w:cs="Times New Roman"/>
          <w:noProof/>
          <w:sz w:val="24"/>
          <w:szCs w:val="24"/>
        </w:rPr>
        <w:t xml:space="preserve">would </w:t>
      </w:r>
      <w:r w:rsidR="00FE2CA1" w:rsidRPr="002661A8">
        <w:rPr>
          <w:rFonts w:ascii="Times New Roman" w:eastAsia="Calibri" w:hAnsi="Times New Roman" w:cs="Times New Roman"/>
          <w:noProof/>
          <w:sz w:val="24"/>
          <w:szCs w:val="24"/>
        </w:rPr>
        <w:t>contribute to</w:t>
      </w:r>
      <w:r w:rsidR="000923BE" w:rsidRPr="002661A8">
        <w:rPr>
          <w:rFonts w:ascii="Times New Roman" w:eastAsia="Calibri" w:hAnsi="Times New Roman" w:cs="Times New Roman"/>
          <w:noProof/>
          <w:sz w:val="24"/>
          <w:szCs w:val="24"/>
        </w:rPr>
        <w:t xml:space="preserve"> the Commission </w:t>
      </w:r>
      <w:r w:rsidR="005D1BD1" w:rsidRPr="002661A8">
        <w:rPr>
          <w:rFonts w:ascii="Times New Roman" w:eastAsia="Calibri" w:hAnsi="Times New Roman" w:cs="Times New Roman"/>
          <w:noProof/>
          <w:sz w:val="24"/>
          <w:szCs w:val="24"/>
        </w:rPr>
        <w:t xml:space="preserve">priorities </w:t>
      </w:r>
      <w:r w:rsidR="000923BE" w:rsidRPr="002661A8">
        <w:rPr>
          <w:rFonts w:ascii="Times New Roman" w:eastAsia="Calibri" w:hAnsi="Times New Roman" w:cs="Times New Roman"/>
          <w:noProof/>
          <w:sz w:val="24"/>
          <w:szCs w:val="24"/>
        </w:rPr>
        <w:t xml:space="preserve">on open strategic autonomy and strengthening the </w:t>
      </w:r>
      <w:r w:rsidR="00891C24" w:rsidRPr="002661A8">
        <w:rPr>
          <w:rFonts w:ascii="Times New Roman" w:eastAsia="Calibri" w:hAnsi="Times New Roman" w:cs="Times New Roman"/>
          <w:noProof/>
          <w:sz w:val="24"/>
          <w:szCs w:val="24"/>
        </w:rPr>
        <w:t>CMU</w:t>
      </w:r>
      <w:r w:rsidR="000923BE"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 xml:space="preserve">However, the potential increase in clearing costs that would result from this option would have to be carefully considered to ensure that it would not </w:t>
      </w:r>
      <w:r w:rsidR="005D1BD1" w:rsidRPr="002661A8">
        <w:rPr>
          <w:rFonts w:ascii="Times New Roman" w:eastAsia="Calibri" w:hAnsi="Times New Roman" w:cs="Times New Roman"/>
          <w:noProof/>
          <w:sz w:val="24"/>
          <w:szCs w:val="24"/>
        </w:rPr>
        <w:t xml:space="preserve">discourage </w:t>
      </w:r>
      <w:r w:rsidRPr="002661A8">
        <w:rPr>
          <w:rFonts w:ascii="Times New Roman" w:eastAsia="Calibri" w:hAnsi="Times New Roman" w:cs="Times New Roman"/>
          <w:noProof/>
          <w:sz w:val="24"/>
          <w:szCs w:val="24"/>
        </w:rPr>
        <w:t xml:space="preserve">market participants </w:t>
      </w:r>
      <w:r w:rsidR="00C928A9" w:rsidRPr="002661A8">
        <w:rPr>
          <w:rFonts w:ascii="Times New Roman" w:eastAsia="Calibri" w:hAnsi="Times New Roman" w:cs="Times New Roman"/>
          <w:noProof/>
          <w:sz w:val="24"/>
          <w:szCs w:val="24"/>
        </w:rPr>
        <w:t xml:space="preserve">from </w:t>
      </w:r>
      <w:r w:rsidRPr="002661A8">
        <w:rPr>
          <w:rFonts w:ascii="Times New Roman" w:eastAsia="Calibri" w:hAnsi="Times New Roman" w:cs="Times New Roman"/>
          <w:noProof/>
          <w:sz w:val="24"/>
          <w:szCs w:val="24"/>
        </w:rPr>
        <w:t>clear</w:t>
      </w:r>
      <w:r w:rsidR="00C928A9" w:rsidRPr="002661A8">
        <w:rPr>
          <w:rFonts w:ascii="Times New Roman" w:eastAsia="Calibri" w:hAnsi="Times New Roman" w:cs="Times New Roman"/>
          <w:noProof/>
          <w:sz w:val="24"/>
          <w:szCs w:val="24"/>
        </w:rPr>
        <w:t>ing</w:t>
      </w:r>
      <w:r w:rsidRPr="002661A8">
        <w:rPr>
          <w:rFonts w:ascii="Times New Roman" w:eastAsia="Calibri" w:hAnsi="Times New Roman" w:cs="Times New Roman"/>
          <w:noProof/>
          <w:sz w:val="24"/>
          <w:szCs w:val="24"/>
        </w:rPr>
        <w:t xml:space="preserve"> centrally.</w:t>
      </w:r>
    </w:p>
    <w:p w14:paraId="42BACE0B" w14:textId="77777777" w:rsidR="00A8027C" w:rsidRPr="002661A8" w:rsidRDefault="00A8027C" w:rsidP="00A8027C">
      <w:pPr>
        <w:tabs>
          <w:tab w:val="left" w:pos="2302"/>
        </w:tabs>
        <w:spacing w:after="120" w:line="240" w:lineRule="auto"/>
        <w:jc w:val="both"/>
        <w:rPr>
          <w:rFonts w:ascii="Times New Roman" w:eastAsia="Times New Roman" w:hAnsi="Times New Roman" w:cs="Times New Roman"/>
          <w:noProof/>
          <w:sz w:val="24"/>
          <w:szCs w:val="24"/>
          <w:u w:val="single"/>
        </w:rPr>
      </w:pPr>
      <w:r>
        <w:rPr>
          <w:rFonts w:ascii="Times New Roman" w:eastAsia="Times New Roman" w:hAnsi="Times New Roman" w:cs="Times New Roman"/>
          <w:noProof/>
          <w:sz w:val="24"/>
          <w:szCs w:val="24"/>
          <w:u w:val="single"/>
        </w:rPr>
        <w:t>Assessment of the impacts by stakeholder group</w:t>
      </w:r>
    </w:p>
    <w:p w14:paraId="463A2DC5" w14:textId="0A3CC6BD" w:rsidR="001C206A" w:rsidRPr="002661A8" w:rsidRDefault="007B2E8F" w:rsidP="001C206A">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Overall, depending on where clearing flows would be reallocated, some</w:t>
      </w:r>
      <w:r w:rsidR="00FB0224" w:rsidRPr="002661A8" w:rsidDel="006A4B78">
        <w:rPr>
          <w:rFonts w:ascii="Times New Roman" w:eastAsia="Calibri" w:hAnsi="Times New Roman" w:cs="Times New Roman"/>
          <w:b/>
          <w:noProof/>
          <w:sz w:val="24"/>
          <w:szCs w:val="24"/>
        </w:rPr>
        <w:t xml:space="preserve"> </w:t>
      </w:r>
      <w:r w:rsidR="001C206A" w:rsidRPr="002661A8">
        <w:rPr>
          <w:rFonts w:ascii="Times New Roman" w:eastAsia="Calibri" w:hAnsi="Times New Roman" w:cs="Times New Roman"/>
          <w:b/>
          <w:noProof/>
          <w:sz w:val="24"/>
          <w:szCs w:val="24"/>
        </w:rPr>
        <w:t>CCPs</w:t>
      </w:r>
      <w:r w:rsidR="00B61C6C" w:rsidRPr="002661A8">
        <w:rPr>
          <w:rFonts w:ascii="Times New Roman" w:eastAsia="Calibri" w:hAnsi="Times New Roman" w:cs="Times New Roman"/>
          <w:noProof/>
          <w:sz w:val="24"/>
          <w:szCs w:val="24"/>
        </w:rPr>
        <w:t xml:space="preserve"> w</w:t>
      </w:r>
      <w:r w:rsidR="001C206A" w:rsidRPr="002661A8">
        <w:rPr>
          <w:rFonts w:ascii="Times New Roman" w:eastAsia="Calibri" w:hAnsi="Times New Roman" w:cs="Times New Roman"/>
          <w:noProof/>
          <w:sz w:val="24"/>
          <w:szCs w:val="24"/>
        </w:rPr>
        <w:t xml:space="preserve">ould benefit from these measures. </w:t>
      </w:r>
      <w:r w:rsidR="00B61C6C" w:rsidRPr="002661A8">
        <w:rPr>
          <w:rFonts w:ascii="Times New Roman" w:eastAsia="Calibri" w:hAnsi="Times New Roman" w:cs="Times New Roman"/>
          <w:noProof/>
          <w:sz w:val="24"/>
          <w:szCs w:val="24"/>
        </w:rPr>
        <w:t>As regards</w:t>
      </w:r>
      <w:r w:rsidR="00095C1E" w:rsidRPr="002661A8">
        <w:rPr>
          <w:rFonts w:ascii="Times New Roman" w:eastAsia="Calibri" w:hAnsi="Times New Roman" w:cs="Times New Roman"/>
          <w:noProof/>
          <w:sz w:val="24"/>
          <w:szCs w:val="24"/>
        </w:rPr>
        <w:t>, in</w:t>
      </w:r>
      <w:r w:rsidR="00B61C6C" w:rsidRPr="002661A8">
        <w:rPr>
          <w:rFonts w:ascii="Times New Roman" w:eastAsia="Calibri" w:hAnsi="Times New Roman" w:cs="Times New Roman"/>
          <w:noProof/>
          <w:sz w:val="24"/>
          <w:szCs w:val="24"/>
        </w:rPr>
        <w:t xml:space="preserve"> particular</w:t>
      </w:r>
      <w:r w:rsidR="00095C1E" w:rsidRPr="002661A8">
        <w:rPr>
          <w:rFonts w:ascii="Times New Roman" w:eastAsia="Calibri" w:hAnsi="Times New Roman" w:cs="Times New Roman"/>
          <w:noProof/>
          <w:sz w:val="24"/>
          <w:szCs w:val="24"/>
        </w:rPr>
        <w:t>,</w:t>
      </w:r>
      <w:r w:rsidR="00B61C6C" w:rsidRPr="002661A8">
        <w:rPr>
          <w:rFonts w:ascii="Times New Roman" w:eastAsia="Calibri" w:hAnsi="Times New Roman" w:cs="Times New Roman"/>
          <w:noProof/>
          <w:sz w:val="24"/>
          <w:szCs w:val="24"/>
        </w:rPr>
        <w:t xml:space="preserve"> EU CCPs, </w:t>
      </w:r>
      <w:r w:rsidR="001C206A" w:rsidRPr="002661A8">
        <w:rPr>
          <w:rFonts w:ascii="Times New Roman" w:eastAsia="Calibri" w:hAnsi="Times New Roman" w:cs="Times New Roman"/>
          <w:noProof/>
          <w:sz w:val="24"/>
          <w:szCs w:val="24"/>
        </w:rPr>
        <w:t>the effects of this option would be uncertain</w:t>
      </w:r>
      <w:r w:rsidR="00B61C6C"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as clearing volumes could be diversified towards other third</w:t>
      </w:r>
      <w:r w:rsidR="001A6579" w:rsidRPr="002661A8">
        <w:rPr>
          <w:rFonts w:ascii="Times New Roman" w:eastAsia="Calibri" w:hAnsi="Times New Roman" w:cs="Times New Roman"/>
          <w:noProof/>
          <w:sz w:val="24"/>
          <w:szCs w:val="24"/>
        </w:rPr>
        <w:t>-</w:t>
      </w:r>
      <w:r w:rsidRPr="002661A8">
        <w:rPr>
          <w:rFonts w:ascii="Times New Roman" w:eastAsia="Calibri" w:hAnsi="Times New Roman" w:cs="Times New Roman"/>
          <w:noProof/>
          <w:sz w:val="24"/>
          <w:szCs w:val="24"/>
        </w:rPr>
        <w:t>country CCPs</w:t>
      </w:r>
      <w:r w:rsidR="001C206A" w:rsidRPr="002661A8">
        <w:rPr>
          <w:rFonts w:ascii="Times New Roman" w:eastAsia="Calibri" w:hAnsi="Times New Roman" w:cs="Times New Roman"/>
          <w:noProof/>
          <w:sz w:val="24"/>
          <w:szCs w:val="24"/>
        </w:rPr>
        <w:t>. Th</w:t>
      </w:r>
      <w:r w:rsidRPr="002661A8">
        <w:rPr>
          <w:rFonts w:ascii="Times New Roman" w:eastAsia="Calibri" w:hAnsi="Times New Roman" w:cs="Times New Roman"/>
          <w:noProof/>
          <w:sz w:val="24"/>
          <w:szCs w:val="24"/>
        </w:rPr>
        <w:t>e resulting</w:t>
      </w:r>
      <w:r w:rsidR="001C206A" w:rsidRPr="002661A8">
        <w:rPr>
          <w:rFonts w:ascii="Times New Roman" w:eastAsia="Calibri" w:hAnsi="Times New Roman" w:cs="Times New Roman"/>
          <w:noProof/>
          <w:sz w:val="24"/>
          <w:szCs w:val="24"/>
        </w:rPr>
        <w:t xml:space="preserve"> </w:t>
      </w:r>
      <w:r w:rsidR="00B61C6C" w:rsidRPr="002661A8">
        <w:rPr>
          <w:rFonts w:ascii="Times New Roman" w:eastAsia="Calibri" w:hAnsi="Times New Roman" w:cs="Times New Roman"/>
          <w:noProof/>
          <w:sz w:val="24"/>
          <w:szCs w:val="24"/>
        </w:rPr>
        <w:t xml:space="preserve">potential </w:t>
      </w:r>
      <w:r w:rsidR="001C206A" w:rsidRPr="002661A8">
        <w:rPr>
          <w:rFonts w:ascii="Times New Roman" w:eastAsia="Calibri" w:hAnsi="Times New Roman" w:cs="Times New Roman"/>
          <w:noProof/>
          <w:sz w:val="24"/>
          <w:szCs w:val="24"/>
        </w:rPr>
        <w:t>benefit would be ongoing</w:t>
      </w:r>
      <w:r w:rsidRPr="002661A8">
        <w:rPr>
          <w:rFonts w:ascii="Times New Roman" w:eastAsia="Calibri" w:hAnsi="Times New Roman" w:cs="Times New Roman"/>
          <w:noProof/>
          <w:sz w:val="24"/>
          <w:szCs w:val="24"/>
        </w:rPr>
        <w:t xml:space="preserve"> for the concerned CCPs</w:t>
      </w:r>
      <w:r w:rsidR="001C206A" w:rsidRPr="002661A8">
        <w:rPr>
          <w:rFonts w:ascii="Times New Roman" w:eastAsia="Calibri" w:hAnsi="Times New Roman" w:cs="Times New Roman"/>
          <w:noProof/>
          <w:sz w:val="24"/>
          <w:szCs w:val="24"/>
        </w:rPr>
        <w:t>.</w:t>
      </w:r>
      <w:r w:rsidR="00B61C6C" w:rsidRPr="002661A8">
        <w:rPr>
          <w:rFonts w:ascii="Times New Roman" w:eastAsia="Calibri" w:hAnsi="Times New Roman" w:cs="Times New Roman"/>
          <w:noProof/>
          <w:sz w:val="24"/>
          <w:szCs w:val="24"/>
        </w:rPr>
        <w:t xml:space="preserve"> Other CCPs, to which banks and investment firms are excessively </w:t>
      </w:r>
      <w:r w:rsidRPr="002661A8">
        <w:rPr>
          <w:rFonts w:ascii="Times New Roman" w:eastAsia="Calibri" w:hAnsi="Times New Roman" w:cs="Times New Roman"/>
          <w:noProof/>
          <w:sz w:val="24"/>
          <w:szCs w:val="24"/>
        </w:rPr>
        <w:t>concentrated</w:t>
      </w:r>
      <w:r w:rsidR="00B61C6C"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c</w:t>
      </w:r>
      <w:r w:rsidR="00095C1E" w:rsidRPr="002661A8">
        <w:rPr>
          <w:rFonts w:ascii="Times New Roman" w:eastAsia="Calibri" w:hAnsi="Times New Roman" w:cs="Times New Roman"/>
          <w:noProof/>
          <w:sz w:val="24"/>
          <w:szCs w:val="24"/>
        </w:rPr>
        <w:t xml:space="preserve">ould lose some business </w:t>
      </w:r>
      <w:r w:rsidR="00401619" w:rsidRPr="002661A8">
        <w:rPr>
          <w:rFonts w:ascii="Times New Roman" w:eastAsia="Calibri" w:hAnsi="Times New Roman" w:cs="Times New Roman"/>
          <w:noProof/>
          <w:sz w:val="24"/>
          <w:szCs w:val="24"/>
        </w:rPr>
        <w:t xml:space="preserve">and this cost </w:t>
      </w:r>
      <w:r w:rsidR="00095C1E" w:rsidRPr="002661A8">
        <w:rPr>
          <w:rFonts w:ascii="Times New Roman" w:eastAsia="Calibri" w:hAnsi="Times New Roman" w:cs="Times New Roman"/>
          <w:noProof/>
          <w:sz w:val="24"/>
          <w:szCs w:val="24"/>
        </w:rPr>
        <w:t>would</w:t>
      </w:r>
      <w:r w:rsidRPr="002661A8">
        <w:rPr>
          <w:rFonts w:ascii="Times New Roman" w:eastAsia="Calibri" w:hAnsi="Times New Roman" w:cs="Times New Roman"/>
          <w:noProof/>
          <w:sz w:val="24"/>
          <w:szCs w:val="24"/>
        </w:rPr>
        <w:t xml:space="preserve"> </w:t>
      </w:r>
      <w:r w:rsidR="00401619" w:rsidRPr="002661A8">
        <w:rPr>
          <w:rFonts w:ascii="Times New Roman" w:eastAsia="Calibri" w:hAnsi="Times New Roman" w:cs="Times New Roman"/>
          <w:noProof/>
          <w:sz w:val="24"/>
          <w:szCs w:val="24"/>
        </w:rPr>
        <w:t>be ongoing</w:t>
      </w:r>
      <w:r w:rsidR="00B61C6C" w:rsidRPr="002661A8">
        <w:rPr>
          <w:rFonts w:ascii="Times New Roman" w:eastAsia="Calibri" w:hAnsi="Times New Roman" w:cs="Times New Roman"/>
          <w:noProof/>
          <w:sz w:val="24"/>
          <w:szCs w:val="24"/>
        </w:rPr>
        <w:t>.</w:t>
      </w:r>
    </w:p>
    <w:p w14:paraId="40FAA620" w14:textId="6D21D3AC" w:rsidR="001C206A" w:rsidRPr="002661A8" w:rsidRDefault="001C206A" w:rsidP="001C206A">
      <w:pPr>
        <w:spacing w:after="120" w:line="240" w:lineRule="auto"/>
        <w:jc w:val="both"/>
        <w:rPr>
          <w:rFonts w:ascii="Times New Roman" w:hAnsi="Times New Roman" w:cs="Times New Roman"/>
          <w:noProof/>
          <w:sz w:val="24"/>
          <w:szCs w:val="24"/>
          <w:lang w:eastAsia="en-IE"/>
        </w:rPr>
      </w:pPr>
      <w:r w:rsidRPr="002661A8">
        <w:rPr>
          <w:rFonts w:ascii="Times New Roman" w:hAnsi="Times New Roman" w:cs="Times New Roman"/>
          <w:noProof/>
          <w:sz w:val="24"/>
          <w:szCs w:val="24"/>
          <w:lang w:eastAsia="en-IE"/>
        </w:rPr>
        <w:t xml:space="preserve">These measures could </w:t>
      </w:r>
      <w:r w:rsidR="00A42A33" w:rsidRPr="002661A8">
        <w:rPr>
          <w:rFonts w:ascii="Times New Roman" w:hAnsi="Times New Roman" w:cs="Times New Roman"/>
          <w:noProof/>
          <w:sz w:val="24"/>
          <w:szCs w:val="24"/>
          <w:lang w:eastAsia="en-IE"/>
        </w:rPr>
        <w:t>have a negative impact on</w:t>
      </w:r>
      <w:r w:rsidRPr="002661A8">
        <w:rPr>
          <w:rFonts w:ascii="Times New Roman" w:hAnsi="Times New Roman" w:cs="Times New Roman"/>
          <w:noProof/>
          <w:sz w:val="24"/>
          <w:szCs w:val="24"/>
          <w:lang w:eastAsia="en-IE"/>
        </w:rPr>
        <w:t xml:space="preserve"> EU </w:t>
      </w:r>
      <w:r w:rsidRPr="002661A8">
        <w:rPr>
          <w:rFonts w:ascii="Times New Roman" w:hAnsi="Times New Roman" w:cs="Times New Roman"/>
          <w:b/>
          <w:noProof/>
          <w:sz w:val="24"/>
          <w:szCs w:val="24"/>
          <w:lang w:eastAsia="en-IE"/>
        </w:rPr>
        <w:t>clearing members’</w:t>
      </w:r>
      <w:r w:rsidRPr="002661A8">
        <w:rPr>
          <w:rFonts w:ascii="Times New Roman" w:hAnsi="Times New Roman" w:cs="Times New Roman"/>
          <w:noProof/>
          <w:sz w:val="24"/>
          <w:szCs w:val="24"/>
          <w:lang w:eastAsia="en-IE"/>
        </w:rPr>
        <w:t xml:space="preserve"> competitiveness by increasing their capital requirements</w:t>
      </w:r>
      <w:r w:rsidR="007B2E8F" w:rsidRPr="002661A8">
        <w:rPr>
          <w:rFonts w:ascii="Times New Roman" w:hAnsi="Times New Roman" w:cs="Times New Roman"/>
          <w:noProof/>
          <w:sz w:val="24"/>
          <w:szCs w:val="24"/>
          <w:lang w:eastAsia="en-IE"/>
        </w:rPr>
        <w:t xml:space="preserve"> and constraining their ability to trade and clear</w:t>
      </w:r>
      <w:r w:rsidR="00B335C9" w:rsidRPr="002661A8">
        <w:rPr>
          <w:rFonts w:ascii="Times New Roman" w:hAnsi="Times New Roman" w:cs="Times New Roman"/>
          <w:noProof/>
          <w:sz w:val="24"/>
          <w:szCs w:val="24"/>
          <w:lang w:eastAsia="en-IE"/>
        </w:rPr>
        <w:t>, including</w:t>
      </w:r>
      <w:r w:rsidR="007B2E8F" w:rsidRPr="002661A8">
        <w:rPr>
          <w:rFonts w:ascii="Times New Roman" w:hAnsi="Times New Roman" w:cs="Times New Roman"/>
          <w:noProof/>
          <w:sz w:val="24"/>
          <w:szCs w:val="24"/>
          <w:lang w:eastAsia="en-IE"/>
        </w:rPr>
        <w:t xml:space="preserve"> according to their (non-EU) clients’ requests</w:t>
      </w:r>
      <w:r w:rsidRPr="002661A8">
        <w:rPr>
          <w:rFonts w:ascii="Times New Roman" w:hAnsi="Times New Roman" w:cs="Times New Roman"/>
          <w:noProof/>
          <w:sz w:val="24"/>
          <w:szCs w:val="24"/>
          <w:lang w:eastAsia="en-IE"/>
        </w:rPr>
        <w:t>. Higher capital requirements or caps on exposures to CCPs would result in higher costs for EU clearing members</w:t>
      </w:r>
      <w:r w:rsidR="007B2E8F" w:rsidRPr="002661A8">
        <w:rPr>
          <w:rFonts w:ascii="Times New Roman" w:hAnsi="Times New Roman" w:cs="Times New Roman"/>
          <w:noProof/>
          <w:sz w:val="24"/>
          <w:szCs w:val="24"/>
          <w:lang w:eastAsia="en-IE"/>
        </w:rPr>
        <w:t>, es</w:t>
      </w:r>
      <w:r w:rsidR="00095C1E" w:rsidRPr="002661A8">
        <w:rPr>
          <w:rFonts w:ascii="Times New Roman" w:hAnsi="Times New Roman" w:cs="Times New Roman"/>
          <w:noProof/>
          <w:sz w:val="24"/>
          <w:szCs w:val="24"/>
          <w:lang w:eastAsia="en-IE"/>
        </w:rPr>
        <w:t>pecially i</w:t>
      </w:r>
      <w:r w:rsidR="007B2E8F" w:rsidRPr="002661A8">
        <w:rPr>
          <w:rFonts w:ascii="Times New Roman" w:hAnsi="Times New Roman" w:cs="Times New Roman"/>
          <w:noProof/>
          <w:sz w:val="24"/>
          <w:szCs w:val="24"/>
          <w:lang w:eastAsia="en-IE"/>
        </w:rPr>
        <w:t>n the short term</w:t>
      </w:r>
      <w:r w:rsidRPr="002661A8">
        <w:rPr>
          <w:rFonts w:ascii="Times New Roman" w:hAnsi="Times New Roman" w:cs="Times New Roman"/>
          <w:noProof/>
          <w:sz w:val="24"/>
          <w:szCs w:val="24"/>
          <w:lang w:eastAsia="en-IE"/>
        </w:rPr>
        <w:t>. The medi</w:t>
      </w:r>
      <w:r w:rsidR="00095C1E" w:rsidRPr="002661A8">
        <w:rPr>
          <w:rFonts w:ascii="Times New Roman" w:hAnsi="Times New Roman" w:cs="Times New Roman"/>
          <w:noProof/>
          <w:sz w:val="24"/>
          <w:szCs w:val="24"/>
          <w:lang w:eastAsia="en-IE"/>
        </w:rPr>
        <w:t>um-to-long-</w:t>
      </w:r>
      <w:r w:rsidRPr="002661A8">
        <w:rPr>
          <w:rFonts w:ascii="Times New Roman" w:hAnsi="Times New Roman" w:cs="Times New Roman"/>
          <w:noProof/>
          <w:sz w:val="24"/>
          <w:szCs w:val="24"/>
          <w:lang w:eastAsia="en-IE"/>
        </w:rPr>
        <w:t xml:space="preserve">term impact would depend to a large extent on how large the loss of netting effects would be and on the </w:t>
      </w:r>
      <w:r w:rsidR="0071645C" w:rsidRPr="002661A8">
        <w:rPr>
          <w:rFonts w:ascii="Times New Roman" w:hAnsi="Times New Roman" w:cs="Times New Roman"/>
          <w:noProof/>
          <w:sz w:val="24"/>
          <w:szCs w:val="24"/>
          <w:lang w:eastAsia="en-IE"/>
        </w:rPr>
        <w:t xml:space="preserve">difference in </w:t>
      </w:r>
      <w:r w:rsidRPr="002661A8">
        <w:rPr>
          <w:rFonts w:ascii="Times New Roman" w:hAnsi="Times New Roman" w:cs="Times New Roman"/>
          <w:noProof/>
          <w:sz w:val="24"/>
          <w:szCs w:val="24"/>
          <w:lang w:eastAsia="en-IE"/>
        </w:rPr>
        <w:t>fees charged by the CCP</w:t>
      </w:r>
      <w:r w:rsidR="00095C1E" w:rsidRPr="002661A8">
        <w:rPr>
          <w:rFonts w:ascii="Times New Roman" w:hAnsi="Times New Roman" w:cs="Times New Roman"/>
          <w:noProof/>
          <w:sz w:val="24"/>
          <w:szCs w:val="24"/>
          <w:lang w:eastAsia="en-IE"/>
        </w:rPr>
        <w:t>s</w:t>
      </w:r>
      <w:r w:rsidRPr="002661A8">
        <w:rPr>
          <w:rFonts w:ascii="Times New Roman" w:hAnsi="Times New Roman" w:cs="Times New Roman"/>
          <w:noProof/>
          <w:sz w:val="24"/>
          <w:szCs w:val="24"/>
          <w:lang w:eastAsia="en-IE"/>
        </w:rPr>
        <w:t xml:space="preserve"> to which part of the business would migrate </w:t>
      </w:r>
      <w:r w:rsidR="0071645C" w:rsidRPr="002661A8">
        <w:rPr>
          <w:rFonts w:ascii="Times New Roman" w:hAnsi="Times New Roman" w:cs="Times New Roman"/>
          <w:noProof/>
          <w:sz w:val="24"/>
          <w:szCs w:val="24"/>
          <w:lang w:eastAsia="en-IE"/>
        </w:rPr>
        <w:t xml:space="preserve">in comparison to </w:t>
      </w:r>
      <w:r w:rsidRPr="002661A8">
        <w:rPr>
          <w:rFonts w:ascii="Times New Roman" w:hAnsi="Times New Roman" w:cs="Times New Roman"/>
          <w:noProof/>
          <w:sz w:val="24"/>
          <w:szCs w:val="24"/>
          <w:lang w:eastAsia="en-IE"/>
        </w:rPr>
        <w:t>the original CCP. EU clearing members could also face the challenge of moving existing trades, which would come as a one-off transitional cost. Depending on the specific design of these measures, EU clearing members may lose shares of business they currently have with non-EU clients, e.g.</w:t>
      </w:r>
      <w:r w:rsidRPr="002661A8">
        <w:rPr>
          <w:rStyle w:val="FootnoteReference"/>
          <w:rFonts w:ascii="Times New Roman" w:hAnsi="Times New Roman" w:cs="Times New Roman"/>
          <w:noProof/>
          <w:sz w:val="24"/>
          <w:szCs w:val="24"/>
          <w:lang w:eastAsia="en-IE"/>
        </w:rPr>
        <w:footnoteReference w:id="134"/>
      </w:r>
      <w:r w:rsidRPr="002661A8">
        <w:rPr>
          <w:rFonts w:ascii="Times New Roman" w:hAnsi="Times New Roman" w:cs="Times New Roman"/>
          <w:noProof/>
          <w:sz w:val="24"/>
          <w:szCs w:val="24"/>
          <w:lang w:eastAsia="en-IE"/>
        </w:rPr>
        <w:t xml:space="preserve"> </w:t>
      </w:r>
      <w:r w:rsidR="0071645C" w:rsidRPr="002661A8">
        <w:rPr>
          <w:rFonts w:ascii="Times New Roman" w:hAnsi="Times New Roman" w:cs="Times New Roman"/>
          <w:noProof/>
          <w:sz w:val="24"/>
          <w:szCs w:val="24"/>
          <w:lang w:eastAsia="en-IE"/>
        </w:rPr>
        <w:t xml:space="preserve">these </w:t>
      </w:r>
      <w:r w:rsidRPr="002661A8">
        <w:rPr>
          <w:rFonts w:ascii="Times New Roman" w:hAnsi="Times New Roman" w:cs="Times New Roman"/>
          <w:noProof/>
          <w:sz w:val="24"/>
          <w:szCs w:val="24"/>
          <w:lang w:eastAsia="en-IE"/>
        </w:rPr>
        <w:t>clients could move to non-EU clearing members (which could continue accessing freely multiple liquidity pools</w:t>
      </w:r>
      <w:r w:rsidR="0071645C" w:rsidRPr="002661A8">
        <w:rPr>
          <w:rFonts w:ascii="Times New Roman" w:hAnsi="Times New Roman" w:cs="Times New Roman"/>
          <w:noProof/>
          <w:sz w:val="24"/>
          <w:szCs w:val="24"/>
          <w:lang w:eastAsia="en-IE"/>
        </w:rPr>
        <w:t xml:space="preserve"> and benefit from lower cost of clearing</w:t>
      </w:r>
      <w:r w:rsidRPr="002661A8">
        <w:rPr>
          <w:rFonts w:ascii="Times New Roman" w:hAnsi="Times New Roman" w:cs="Times New Roman"/>
          <w:noProof/>
          <w:sz w:val="24"/>
          <w:szCs w:val="24"/>
          <w:lang w:eastAsia="en-IE"/>
        </w:rPr>
        <w:t xml:space="preserve">). The described costs might be more contained in case of an approach building on Pillar 2 measures, which could be more flexible and more tailored to specific circumstances (i.e. bank by bank, with consideration of individual cases in terms of implementation etc.). </w:t>
      </w:r>
    </w:p>
    <w:p w14:paraId="6AC3DF02" w14:textId="2F3411D2" w:rsidR="001C206A" w:rsidRPr="002661A8" w:rsidRDefault="001C206A" w:rsidP="001C206A">
      <w:pPr>
        <w:spacing w:after="120" w:line="240" w:lineRule="auto"/>
        <w:jc w:val="both"/>
        <w:rPr>
          <w:rFonts w:ascii="Times New Roman" w:hAnsi="Times New Roman" w:cs="Times New Roman"/>
          <w:noProof/>
          <w:sz w:val="24"/>
          <w:szCs w:val="24"/>
          <w:lang w:eastAsia="en-IE"/>
        </w:rPr>
      </w:pPr>
      <w:r w:rsidRPr="002661A8">
        <w:rPr>
          <w:rFonts w:ascii="Times New Roman" w:hAnsi="Times New Roman" w:cs="Times New Roman"/>
          <w:noProof/>
          <w:sz w:val="24"/>
          <w:szCs w:val="24"/>
          <w:lang w:eastAsia="en-IE"/>
        </w:rPr>
        <w:t>Costs may also arise in case clearing in the EU turns out to be more expensive than clearing in third-country CCPs. This may be linked</w:t>
      </w:r>
      <w:r w:rsidR="00095C1E" w:rsidRPr="002661A8">
        <w:rPr>
          <w:rFonts w:ascii="Times New Roman" w:hAnsi="Times New Roman" w:cs="Times New Roman"/>
          <w:noProof/>
          <w:sz w:val="24"/>
          <w:szCs w:val="24"/>
          <w:lang w:eastAsia="en-IE"/>
        </w:rPr>
        <w:t xml:space="preserve"> to the restrictions imposed</w:t>
      </w:r>
      <w:r w:rsidRPr="002661A8">
        <w:rPr>
          <w:rFonts w:ascii="Times New Roman" w:hAnsi="Times New Roman" w:cs="Times New Roman"/>
          <w:noProof/>
          <w:sz w:val="24"/>
          <w:szCs w:val="24"/>
          <w:lang w:eastAsia="en-IE"/>
        </w:rPr>
        <w:t>, which would affect the ability of EU clearing members to clear freely at any CCPs</w:t>
      </w:r>
      <w:r w:rsidRPr="002661A8">
        <w:rPr>
          <w:rStyle w:val="FootnoteReference"/>
          <w:rFonts w:ascii="Times New Roman" w:hAnsi="Times New Roman" w:cs="Times New Roman"/>
          <w:noProof/>
          <w:sz w:val="24"/>
          <w:szCs w:val="24"/>
          <w:lang w:eastAsia="en-IE"/>
        </w:rPr>
        <w:footnoteReference w:id="135"/>
      </w:r>
      <w:r w:rsidRPr="002661A8">
        <w:rPr>
          <w:rFonts w:ascii="Times New Roman" w:hAnsi="Times New Roman" w:cs="Times New Roman"/>
          <w:noProof/>
          <w:sz w:val="24"/>
          <w:szCs w:val="24"/>
          <w:lang w:eastAsia="en-IE"/>
        </w:rPr>
        <w:t>. Such costs however could be alleviated in a medium to longer-term perspective depending on market adaptations</w:t>
      </w:r>
      <w:r w:rsidR="00D36338" w:rsidRPr="002661A8">
        <w:rPr>
          <w:rFonts w:ascii="Times New Roman" w:hAnsi="Times New Roman" w:cs="Times New Roman"/>
          <w:noProof/>
          <w:sz w:val="24"/>
          <w:szCs w:val="24"/>
          <w:lang w:eastAsia="en-IE"/>
        </w:rPr>
        <w:t xml:space="preserve">, </w:t>
      </w:r>
      <w:r w:rsidR="00F74F62" w:rsidRPr="002661A8">
        <w:rPr>
          <w:rFonts w:ascii="Times New Roman" w:hAnsi="Times New Roman" w:cs="Times New Roman"/>
          <w:noProof/>
          <w:sz w:val="24"/>
          <w:szCs w:val="24"/>
          <w:lang w:eastAsia="en-IE"/>
        </w:rPr>
        <w:t>e.g.</w:t>
      </w:r>
      <w:r w:rsidR="00D36338" w:rsidRPr="002661A8">
        <w:rPr>
          <w:rFonts w:ascii="Times New Roman" w:hAnsi="Times New Roman" w:cs="Times New Roman"/>
          <w:noProof/>
          <w:sz w:val="24"/>
          <w:szCs w:val="24"/>
          <w:lang w:eastAsia="en-IE"/>
        </w:rPr>
        <w:t xml:space="preserve"> with liquidity increasing at EU CCPs</w:t>
      </w:r>
      <w:r w:rsidRPr="002661A8">
        <w:rPr>
          <w:rFonts w:ascii="Times New Roman" w:hAnsi="Times New Roman" w:cs="Times New Roman"/>
          <w:noProof/>
          <w:sz w:val="24"/>
          <w:szCs w:val="24"/>
          <w:lang w:eastAsia="en-IE"/>
        </w:rPr>
        <w:t>.</w:t>
      </w:r>
      <w:r w:rsidRPr="002661A8">
        <w:rPr>
          <w:rFonts w:ascii="Times New Roman" w:eastAsia="Calibri" w:hAnsi="Times New Roman" w:cs="Times New Roman"/>
          <w:noProof/>
          <w:sz w:val="24"/>
          <w:szCs w:val="24"/>
        </w:rPr>
        <w:t xml:space="preserve"> </w:t>
      </w:r>
    </w:p>
    <w:p w14:paraId="3CE96D92" w14:textId="43112913" w:rsidR="001C206A" w:rsidRPr="002661A8" w:rsidRDefault="00911CF6" w:rsidP="001C206A">
      <w:pPr>
        <w:spacing w:after="120" w:line="240" w:lineRule="auto"/>
        <w:jc w:val="both"/>
        <w:rPr>
          <w:rFonts w:ascii="Times New Roman" w:hAnsi="Times New Roman" w:cs="Times New Roman"/>
          <w:noProof/>
          <w:sz w:val="24"/>
          <w:szCs w:val="24"/>
          <w:lang w:eastAsia="en-IE"/>
        </w:rPr>
      </w:pPr>
      <w:r w:rsidRPr="002661A8">
        <w:rPr>
          <w:rFonts w:ascii="Times New Roman" w:hAnsi="Times New Roman" w:cs="Times New Roman"/>
          <w:noProof/>
          <w:sz w:val="24"/>
          <w:szCs w:val="24"/>
          <w:lang w:eastAsia="en-IE"/>
        </w:rPr>
        <w:t>T</w:t>
      </w:r>
      <w:r w:rsidR="001C206A" w:rsidRPr="002661A8">
        <w:rPr>
          <w:rFonts w:ascii="Times New Roman" w:hAnsi="Times New Roman" w:cs="Times New Roman"/>
          <w:noProof/>
          <w:sz w:val="24"/>
          <w:szCs w:val="24"/>
          <w:lang w:eastAsia="en-IE"/>
        </w:rPr>
        <w:t>hese measures would contribute to a better risk diversification of EU clearing members: banks’ exposures to CCPs would be allocated in a way that is commensurate to their capital base</w:t>
      </w:r>
      <w:r w:rsidR="00263C0A" w:rsidRPr="002661A8">
        <w:rPr>
          <w:rFonts w:ascii="Times New Roman" w:hAnsi="Times New Roman" w:cs="Times New Roman"/>
          <w:noProof/>
          <w:sz w:val="24"/>
          <w:szCs w:val="24"/>
          <w:lang w:eastAsia="en-IE"/>
        </w:rPr>
        <w:t>, thus potentially contributing to overall financial stability</w:t>
      </w:r>
      <w:r w:rsidR="002B3D99" w:rsidRPr="002661A8">
        <w:rPr>
          <w:rFonts w:ascii="Times New Roman" w:hAnsi="Times New Roman" w:cs="Times New Roman"/>
          <w:noProof/>
          <w:sz w:val="24"/>
          <w:szCs w:val="24"/>
          <w:lang w:eastAsia="en-IE"/>
        </w:rPr>
        <w:t xml:space="preserve"> objectives</w:t>
      </w:r>
      <w:r w:rsidR="001C206A" w:rsidRPr="002661A8">
        <w:rPr>
          <w:rFonts w:ascii="Times New Roman" w:hAnsi="Times New Roman" w:cs="Times New Roman"/>
          <w:noProof/>
          <w:sz w:val="24"/>
          <w:szCs w:val="24"/>
          <w:lang w:eastAsia="en-IE"/>
        </w:rPr>
        <w:t xml:space="preserve">. </w:t>
      </w:r>
      <w:r w:rsidRPr="002661A8">
        <w:rPr>
          <w:rFonts w:ascii="Times New Roman" w:hAnsi="Times New Roman" w:cs="Times New Roman"/>
          <w:noProof/>
          <w:sz w:val="24"/>
          <w:szCs w:val="24"/>
          <w:lang w:eastAsia="en-IE"/>
        </w:rPr>
        <w:t>T</w:t>
      </w:r>
      <w:r w:rsidR="001C206A" w:rsidRPr="002661A8">
        <w:rPr>
          <w:rFonts w:ascii="Times New Roman" w:hAnsi="Times New Roman" w:cs="Times New Roman"/>
          <w:noProof/>
          <w:sz w:val="24"/>
          <w:szCs w:val="24"/>
          <w:lang w:eastAsia="en-IE"/>
        </w:rPr>
        <w:t xml:space="preserve">he </w:t>
      </w:r>
      <w:r w:rsidR="001C206A" w:rsidRPr="002661A8" w:rsidDel="005D6B54">
        <w:rPr>
          <w:rFonts w:ascii="Times New Roman" w:hAnsi="Times New Roman" w:cs="Times New Roman"/>
          <w:noProof/>
          <w:sz w:val="24"/>
          <w:szCs w:val="24"/>
          <w:lang w:eastAsia="en-IE"/>
        </w:rPr>
        <w:t>diversification</w:t>
      </w:r>
      <w:r w:rsidR="001C206A" w:rsidRPr="002661A8">
        <w:rPr>
          <w:rFonts w:ascii="Times New Roman" w:hAnsi="Times New Roman" w:cs="Times New Roman"/>
          <w:noProof/>
          <w:sz w:val="24"/>
          <w:szCs w:val="24"/>
          <w:lang w:eastAsia="en-IE"/>
        </w:rPr>
        <w:t xml:space="preserve"> created by these measures could </w:t>
      </w:r>
      <w:r w:rsidRPr="002661A8">
        <w:rPr>
          <w:rFonts w:ascii="Times New Roman" w:hAnsi="Times New Roman" w:cs="Times New Roman"/>
          <w:noProof/>
          <w:sz w:val="24"/>
          <w:szCs w:val="24"/>
          <w:lang w:eastAsia="en-IE"/>
        </w:rPr>
        <w:t xml:space="preserve">however </w:t>
      </w:r>
      <w:r w:rsidR="001C206A" w:rsidRPr="002661A8">
        <w:rPr>
          <w:rFonts w:ascii="Times New Roman" w:hAnsi="Times New Roman" w:cs="Times New Roman"/>
          <w:noProof/>
          <w:sz w:val="24"/>
          <w:szCs w:val="24"/>
          <w:lang w:eastAsia="en-IE"/>
        </w:rPr>
        <w:t>make the management of liquidity and collateral more complex and less efficient, at least in an initial phase, as existing pools</w:t>
      </w:r>
      <w:r w:rsidR="001C206A" w:rsidRPr="002661A8" w:rsidDel="005D6B54">
        <w:rPr>
          <w:rFonts w:ascii="Times New Roman" w:hAnsi="Times New Roman" w:cs="Times New Roman"/>
          <w:noProof/>
          <w:sz w:val="24"/>
          <w:szCs w:val="24"/>
          <w:lang w:eastAsia="en-IE"/>
        </w:rPr>
        <w:t xml:space="preserve"> would be </w:t>
      </w:r>
      <w:r w:rsidR="001C206A" w:rsidRPr="002661A8">
        <w:rPr>
          <w:rFonts w:ascii="Times New Roman" w:hAnsi="Times New Roman" w:cs="Times New Roman"/>
          <w:noProof/>
          <w:sz w:val="24"/>
          <w:szCs w:val="24"/>
          <w:lang w:eastAsia="en-IE"/>
        </w:rPr>
        <w:t>split.</w:t>
      </w:r>
      <w:r w:rsidR="004273FC" w:rsidRPr="002661A8">
        <w:rPr>
          <w:rFonts w:ascii="Times New Roman" w:hAnsi="Times New Roman" w:cs="Times New Roman"/>
          <w:noProof/>
          <w:sz w:val="24"/>
          <w:szCs w:val="24"/>
          <w:lang w:eastAsia="en-IE"/>
        </w:rPr>
        <w:t xml:space="preserve"> </w:t>
      </w:r>
      <w:r w:rsidR="00100AA1" w:rsidRPr="002661A8">
        <w:rPr>
          <w:rFonts w:ascii="Times New Roman" w:eastAsia="Calibri" w:hAnsi="Times New Roman" w:cs="Times New Roman"/>
          <w:noProof/>
          <w:sz w:val="24"/>
          <w:szCs w:val="24"/>
        </w:rPr>
        <w:t xml:space="preserve">The </w:t>
      </w:r>
      <w:r w:rsidR="001C206A" w:rsidRPr="002661A8">
        <w:rPr>
          <w:rFonts w:ascii="Times New Roman" w:eastAsia="Calibri" w:hAnsi="Times New Roman" w:cs="Times New Roman"/>
          <w:noProof/>
          <w:sz w:val="24"/>
          <w:szCs w:val="24"/>
        </w:rPr>
        <w:t xml:space="preserve">costs </w:t>
      </w:r>
      <w:r w:rsidR="00100AA1" w:rsidRPr="002661A8">
        <w:rPr>
          <w:rFonts w:ascii="Times New Roman" w:eastAsia="Calibri" w:hAnsi="Times New Roman" w:cs="Times New Roman"/>
          <w:noProof/>
          <w:sz w:val="24"/>
          <w:szCs w:val="24"/>
        </w:rPr>
        <w:t>will likely be</w:t>
      </w:r>
      <w:r w:rsidR="001C206A" w:rsidRPr="002661A8">
        <w:rPr>
          <w:rFonts w:ascii="Times New Roman" w:eastAsia="Calibri" w:hAnsi="Times New Roman" w:cs="Times New Roman"/>
          <w:noProof/>
          <w:sz w:val="24"/>
          <w:szCs w:val="24"/>
        </w:rPr>
        <w:t xml:space="preserve"> significant</w:t>
      </w:r>
      <w:r w:rsidR="0071645C" w:rsidRPr="002661A8">
        <w:rPr>
          <w:rFonts w:ascii="Times New Roman" w:eastAsia="Calibri" w:hAnsi="Times New Roman" w:cs="Times New Roman"/>
          <w:noProof/>
          <w:sz w:val="24"/>
          <w:szCs w:val="24"/>
        </w:rPr>
        <w:t>,</w:t>
      </w:r>
      <w:r w:rsidR="001C206A" w:rsidRPr="002661A8">
        <w:rPr>
          <w:rFonts w:ascii="Times New Roman" w:eastAsia="Calibri" w:hAnsi="Times New Roman" w:cs="Times New Roman"/>
          <w:noProof/>
          <w:sz w:val="24"/>
          <w:szCs w:val="24"/>
        </w:rPr>
        <w:t xml:space="preserve"> at least in a first phase, depending on the calibration of the measures. This will also depend on </w:t>
      </w:r>
      <w:r w:rsidR="0076213E" w:rsidRPr="002661A8">
        <w:rPr>
          <w:rFonts w:ascii="Times New Roman" w:eastAsia="Calibri" w:hAnsi="Times New Roman" w:cs="Times New Roman"/>
          <w:noProof/>
          <w:sz w:val="24"/>
          <w:szCs w:val="24"/>
        </w:rPr>
        <w:t>how</w:t>
      </w:r>
      <w:r w:rsidR="001C206A" w:rsidRPr="002661A8">
        <w:rPr>
          <w:rFonts w:ascii="Times New Roman" w:eastAsia="Calibri" w:hAnsi="Times New Roman" w:cs="Times New Roman"/>
          <w:noProof/>
          <w:sz w:val="24"/>
          <w:szCs w:val="24"/>
        </w:rPr>
        <w:t xml:space="preserve"> the market will adjust in response to requirements imposed. </w:t>
      </w:r>
    </w:p>
    <w:p w14:paraId="621D481D" w14:textId="7625AF1F" w:rsidR="001C206A" w:rsidRPr="002661A8" w:rsidRDefault="00263C0A" w:rsidP="001C206A">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In any case, t</w:t>
      </w:r>
      <w:r w:rsidR="001C206A" w:rsidRPr="002661A8">
        <w:rPr>
          <w:rFonts w:ascii="Times New Roman" w:eastAsia="Calibri" w:hAnsi="Times New Roman" w:cs="Times New Roman"/>
          <w:noProof/>
          <w:sz w:val="24"/>
          <w:szCs w:val="24"/>
        </w:rPr>
        <w:t xml:space="preserve">hese measures are likely to result in </w:t>
      </w:r>
      <w:r w:rsidR="0076213E" w:rsidRPr="002661A8">
        <w:rPr>
          <w:rFonts w:ascii="Times New Roman" w:eastAsia="Calibri" w:hAnsi="Times New Roman" w:cs="Times New Roman"/>
          <w:noProof/>
          <w:sz w:val="24"/>
          <w:szCs w:val="24"/>
        </w:rPr>
        <w:t>more</w:t>
      </w:r>
      <w:r w:rsidR="001C206A" w:rsidRPr="002661A8">
        <w:rPr>
          <w:rFonts w:ascii="Times New Roman" w:eastAsia="Calibri" w:hAnsi="Times New Roman" w:cs="Times New Roman"/>
          <w:noProof/>
          <w:sz w:val="24"/>
          <w:szCs w:val="24"/>
        </w:rPr>
        <w:t xml:space="preserve"> costs for </w:t>
      </w:r>
      <w:r w:rsidR="001C206A" w:rsidRPr="002661A8">
        <w:rPr>
          <w:rFonts w:ascii="Times New Roman" w:eastAsia="Calibri" w:hAnsi="Times New Roman" w:cs="Times New Roman"/>
          <w:b/>
          <w:noProof/>
          <w:sz w:val="24"/>
          <w:szCs w:val="24"/>
        </w:rPr>
        <w:t>clients</w:t>
      </w:r>
      <w:r w:rsidR="001C206A" w:rsidRPr="002661A8">
        <w:rPr>
          <w:rFonts w:ascii="Times New Roman" w:eastAsia="Calibri" w:hAnsi="Times New Roman" w:cs="Times New Roman"/>
          <w:noProof/>
          <w:sz w:val="24"/>
          <w:szCs w:val="24"/>
        </w:rPr>
        <w:t xml:space="preserve">, at least in an initial phase, </w:t>
      </w:r>
      <w:r w:rsidR="00DD77E6" w:rsidRPr="002661A8">
        <w:rPr>
          <w:rFonts w:ascii="Times New Roman" w:eastAsia="Calibri" w:hAnsi="Times New Roman" w:cs="Times New Roman"/>
          <w:noProof/>
          <w:sz w:val="24"/>
          <w:szCs w:val="24"/>
        </w:rPr>
        <w:t>and may give rise to</w:t>
      </w:r>
      <w:r w:rsidR="001C206A" w:rsidRPr="002661A8">
        <w:rPr>
          <w:rFonts w:ascii="Times New Roman" w:eastAsia="Calibri" w:hAnsi="Times New Roman" w:cs="Times New Roman"/>
          <w:noProof/>
          <w:sz w:val="24"/>
          <w:szCs w:val="24"/>
        </w:rPr>
        <w:t xml:space="preserve"> difficulties in access</w:t>
      </w:r>
      <w:r w:rsidR="0076213E" w:rsidRPr="002661A8">
        <w:rPr>
          <w:rFonts w:ascii="Times New Roman" w:eastAsia="Calibri" w:hAnsi="Times New Roman" w:cs="Times New Roman"/>
          <w:noProof/>
          <w:sz w:val="24"/>
          <w:szCs w:val="24"/>
        </w:rPr>
        <w:t>ing</w:t>
      </w:r>
      <w:r w:rsidR="001C206A" w:rsidRPr="002661A8">
        <w:rPr>
          <w:rFonts w:ascii="Times New Roman" w:eastAsia="Calibri" w:hAnsi="Times New Roman" w:cs="Times New Roman"/>
          <w:noProof/>
          <w:sz w:val="24"/>
          <w:szCs w:val="24"/>
        </w:rPr>
        <w:t xml:space="preserve"> clearing. It could be reasonably expected that clearing members would pass on (at least partly) costs to their clients. In addition, some clients may be incentivised to move to non-EU clearing members. At the same time, costs for clients could decrease in a medium to longer term perspective, reflecting the dynamics of the costs for clearing members and market dynamics</w:t>
      </w:r>
      <w:r w:rsidR="001C1C31" w:rsidRPr="002661A8">
        <w:rPr>
          <w:rFonts w:ascii="Times New Roman" w:eastAsia="Calibri" w:hAnsi="Times New Roman" w:cs="Times New Roman"/>
          <w:noProof/>
          <w:sz w:val="24"/>
          <w:szCs w:val="24"/>
        </w:rPr>
        <w:t xml:space="preserve">, and </w:t>
      </w:r>
      <w:r w:rsidR="001C206A" w:rsidRPr="002661A8" w:rsidDel="002B3D99">
        <w:rPr>
          <w:rFonts w:ascii="Times New Roman" w:eastAsia="Calibri" w:hAnsi="Times New Roman" w:cs="Times New Roman"/>
          <w:noProof/>
          <w:sz w:val="24"/>
          <w:szCs w:val="24"/>
        </w:rPr>
        <w:t xml:space="preserve">clients could benefit from </w:t>
      </w:r>
      <w:r w:rsidR="001C1C31" w:rsidRPr="002661A8">
        <w:rPr>
          <w:rFonts w:ascii="Times New Roman" w:eastAsia="Calibri" w:hAnsi="Times New Roman" w:cs="Times New Roman"/>
          <w:noProof/>
          <w:sz w:val="24"/>
          <w:szCs w:val="24"/>
        </w:rPr>
        <w:t>broader choices where to clear</w:t>
      </w:r>
      <w:r w:rsidR="001C206A" w:rsidRPr="002661A8">
        <w:rPr>
          <w:rFonts w:ascii="Times New Roman" w:eastAsia="Calibri" w:hAnsi="Times New Roman" w:cs="Times New Roman"/>
          <w:noProof/>
          <w:sz w:val="24"/>
          <w:szCs w:val="24"/>
        </w:rPr>
        <w:t>.</w:t>
      </w:r>
      <w:r w:rsidR="001C206A" w:rsidRPr="002661A8" w:rsidDel="002B3D99">
        <w:rPr>
          <w:rFonts w:ascii="Times New Roman" w:eastAsia="Calibri" w:hAnsi="Times New Roman" w:cs="Times New Roman"/>
          <w:noProof/>
          <w:sz w:val="24"/>
          <w:szCs w:val="24"/>
        </w:rPr>
        <w:t xml:space="preserve"> </w:t>
      </w:r>
      <w:r w:rsidR="001C206A" w:rsidRPr="002661A8">
        <w:rPr>
          <w:rFonts w:ascii="Times New Roman" w:eastAsia="Calibri" w:hAnsi="Times New Roman" w:cs="Times New Roman"/>
          <w:noProof/>
          <w:sz w:val="24"/>
          <w:szCs w:val="24"/>
        </w:rPr>
        <w:t xml:space="preserve">All in all, whether the costs for clients would be ongoing or not also depends on </w:t>
      </w:r>
      <w:r w:rsidR="004273FC" w:rsidRPr="002661A8">
        <w:rPr>
          <w:rFonts w:ascii="Times New Roman" w:eastAsia="Calibri" w:hAnsi="Times New Roman" w:cs="Times New Roman"/>
          <w:noProof/>
          <w:sz w:val="24"/>
          <w:szCs w:val="24"/>
        </w:rPr>
        <w:t>several</w:t>
      </w:r>
      <w:r w:rsidR="001C206A" w:rsidRPr="002661A8">
        <w:rPr>
          <w:rFonts w:ascii="Times New Roman" w:eastAsia="Calibri" w:hAnsi="Times New Roman" w:cs="Times New Roman"/>
          <w:noProof/>
          <w:sz w:val="24"/>
          <w:szCs w:val="24"/>
        </w:rPr>
        <w:t xml:space="preserve"> factors and how the market will react to the requirements imposed. </w:t>
      </w:r>
      <w:r w:rsidR="001C206A" w:rsidRPr="002661A8" w:rsidDel="002B3D99">
        <w:rPr>
          <w:rFonts w:ascii="Times New Roman" w:eastAsia="Calibri" w:hAnsi="Times New Roman" w:cs="Times New Roman"/>
          <w:noProof/>
          <w:sz w:val="24"/>
          <w:szCs w:val="24"/>
        </w:rPr>
        <w:t>The benefits would be ongoing.</w:t>
      </w:r>
    </w:p>
    <w:p w14:paraId="74DF1297" w14:textId="1D04D512" w:rsidR="001C206A" w:rsidRPr="002661A8" w:rsidRDefault="0033033E" w:rsidP="00D528FD">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As regards impacts on supervisory authorities, considering </w:t>
      </w:r>
      <w:r w:rsidR="001C206A" w:rsidRPr="002661A8">
        <w:rPr>
          <w:rFonts w:ascii="Times New Roman" w:eastAsia="Calibri" w:hAnsi="Times New Roman" w:cs="Times New Roman"/>
          <w:noProof/>
          <w:sz w:val="24"/>
          <w:szCs w:val="24"/>
        </w:rPr>
        <w:t xml:space="preserve">the population of EU clearing members, most of the impact is expected on the </w:t>
      </w:r>
      <w:r w:rsidR="00CC5F5E" w:rsidRPr="002661A8">
        <w:rPr>
          <w:rFonts w:ascii="Times New Roman" w:eastAsia="Calibri" w:hAnsi="Times New Roman" w:cs="Times New Roman"/>
          <w:b/>
          <w:noProof/>
          <w:sz w:val="24"/>
          <w:szCs w:val="24"/>
        </w:rPr>
        <w:t xml:space="preserve">competent authorities responsible for </w:t>
      </w:r>
      <w:r w:rsidR="005826E0" w:rsidRPr="002661A8">
        <w:rPr>
          <w:rFonts w:ascii="Times New Roman" w:eastAsia="Calibri" w:hAnsi="Times New Roman" w:cs="Times New Roman"/>
          <w:b/>
          <w:noProof/>
          <w:sz w:val="24"/>
          <w:szCs w:val="24"/>
        </w:rPr>
        <w:t xml:space="preserve">the supervision of </w:t>
      </w:r>
      <w:r w:rsidR="00CC5F5E" w:rsidRPr="002661A8">
        <w:rPr>
          <w:rFonts w:ascii="Times New Roman" w:eastAsia="Calibri" w:hAnsi="Times New Roman" w:cs="Times New Roman"/>
          <w:b/>
          <w:noProof/>
          <w:sz w:val="24"/>
          <w:szCs w:val="24"/>
        </w:rPr>
        <w:t>banks and investment firms</w:t>
      </w:r>
      <w:r w:rsidR="005826E0" w:rsidRPr="002661A8">
        <w:rPr>
          <w:rFonts w:ascii="Times New Roman" w:eastAsia="Calibri" w:hAnsi="Times New Roman" w:cs="Times New Roman"/>
          <w:noProof/>
          <w:sz w:val="24"/>
          <w:szCs w:val="24"/>
        </w:rPr>
        <w:t xml:space="preserve"> as they would need to monitor that</w:t>
      </w:r>
      <w:r w:rsidR="001C206A" w:rsidRPr="002661A8">
        <w:rPr>
          <w:rFonts w:ascii="Times New Roman" w:eastAsia="Calibri" w:hAnsi="Times New Roman" w:cs="Times New Roman"/>
          <w:noProof/>
          <w:sz w:val="24"/>
          <w:szCs w:val="24"/>
        </w:rPr>
        <w:t xml:space="preserve"> implemented option would deliver its effects. </w:t>
      </w:r>
      <w:r w:rsidR="005826E0" w:rsidRPr="002661A8">
        <w:rPr>
          <w:rFonts w:ascii="Times New Roman" w:eastAsia="Calibri" w:hAnsi="Times New Roman" w:cs="Times New Roman"/>
          <w:noProof/>
          <w:sz w:val="24"/>
          <w:szCs w:val="24"/>
        </w:rPr>
        <w:t>This could</w:t>
      </w:r>
      <w:r w:rsidR="001C206A" w:rsidRPr="002661A8">
        <w:rPr>
          <w:rFonts w:ascii="Times New Roman" w:eastAsia="Calibri" w:hAnsi="Times New Roman" w:cs="Times New Roman"/>
          <w:noProof/>
          <w:sz w:val="24"/>
          <w:szCs w:val="24"/>
        </w:rPr>
        <w:t xml:space="preserve"> be integrated in the ongoing supervision and would not necessarily constitute an additional cost for authorities. On average, the impact would be seen as neutral.</w:t>
      </w:r>
    </w:p>
    <w:p w14:paraId="42E27BF6" w14:textId="436248D2" w:rsidR="000923BE" w:rsidRPr="002661A8" w:rsidRDefault="000923BE" w:rsidP="00ED5088">
      <w:pPr>
        <w:pStyle w:val="Heading1"/>
        <w:numPr>
          <w:ilvl w:val="2"/>
          <w:numId w:val="6"/>
        </w:numPr>
        <w:spacing w:before="0" w:after="120"/>
        <w:rPr>
          <w:i/>
          <w:noProof/>
        </w:rPr>
      </w:pPr>
      <w:bookmarkStart w:id="1006" w:name="_Toc104310012"/>
      <w:bookmarkStart w:id="1007" w:name="_Toc105656452"/>
      <w:bookmarkStart w:id="1008" w:name="_Toc106827852"/>
      <w:bookmarkStart w:id="1009" w:name="_Toc106981728"/>
      <w:bookmarkStart w:id="1010" w:name="_Toc107493868"/>
      <w:bookmarkStart w:id="1011" w:name="_Toc107497904"/>
      <w:bookmarkStart w:id="1012" w:name="_Toc107503457"/>
      <w:bookmarkStart w:id="1013" w:name="_Toc107504605"/>
      <w:bookmarkStart w:id="1014" w:name="_Toc107505450"/>
      <w:bookmarkStart w:id="1015" w:name="_Toc107838926"/>
      <w:bookmarkStart w:id="1016" w:name="_Toc107847021"/>
      <w:bookmarkStart w:id="1017" w:name="_Toc107849258"/>
      <w:bookmarkStart w:id="1018" w:name="_Toc107853705"/>
      <w:bookmarkStart w:id="1019" w:name="_Toc107865299"/>
      <w:bookmarkStart w:id="1020" w:name="_Toc108418508"/>
      <w:bookmarkStart w:id="1021" w:name="_Toc108539600"/>
      <w:bookmarkStart w:id="1022" w:name="_Toc108539822"/>
      <w:bookmarkStart w:id="1023" w:name="_Toc108539940"/>
      <w:bookmarkStart w:id="1024" w:name="_Toc108540019"/>
      <w:bookmarkStart w:id="1025" w:name="_Toc109057398"/>
      <w:bookmarkStart w:id="1026" w:name="_Toc109120764"/>
      <w:bookmarkStart w:id="1027" w:name="_Toc109122399"/>
      <w:bookmarkStart w:id="1028" w:name="_Toc109124112"/>
      <w:bookmarkStart w:id="1029" w:name="_Toc109133136"/>
      <w:bookmarkStart w:id="1030" w:name="_Toc109133312"/>
      <w:bookmarkStart w:id="1031" w:name="_Toc120291670"/>
      <w:bookmarkEnd w:id="1003"/>
      <w:r w:rsidRPr="002661A8">
        <w:rPr>
          <w:b w:val="0"/>
          <w:i/>
          <w:smallCaps w:val="0"/>
          <w:noProof/>
        </w:rPr>
        <w:t xml:space="preserve">Option </w:t>
      </w:r>
      <w:r w:rsidR="00A8027C">
        <w:rPr>
          <w:b w:val="0"/>
          <w:i/>
          <w:smallCaps w:val="0"/>
          <w:noProof/>
        </w:rPr>
        <w:t>B</w:t>
      </w:r>
      <w:r w:rsidRPr="002661A8">
        <w:rPr>
          <w:b w:val="0"/>
          <w:i/>
          <w:smallCaps w:val="0"/>
          <w:noProof/>
        </w:rPr>
        <w:t>3 – Active account at EU CCPs</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14:paraId="05BA543A" w14:textId="3B3DBB28" w:rsidR="000923BE" w:rsidRPr="002661A8" w:rsidRDefault="000923BE" w:rsidP="00A61E96">
      <w:pPr>
        <w:spacing w:after="120" w:line="240" w:lineRule="auto"/>
        <w:jc w:val="both"/>
        <w:rPr>
          <w:rFonts w:ascii="Times New Roman" w:eastAsia="Calibri" w:hAnsi="Times New Roman" w:cs="Times New Roman"/>
          <w:noProof/>
          <w:sz w:val="24"/>
          <w:szCs w:val="24"/>
          <w:u w:val="single"/>
        </w:rPr>
      </w:pPr>
      <w:r w:rsidRPr="002661A8">
        <w:rPr>
          <w:rFonts w:ascii="Times New Roman" w:eastAsia="Calibri" w:hAnsi="Times New Roman" w:cs="Times New Roman"/>
          <w:noProof/>
          <w:sz w:val="24"/>
          <w:szCs w:val="24"/>
          <w:u w:val="single"/>
        </w:rPr>
        <w:t xml:space="preserve">Effectiveness in meeting the specific objectives </w:t>
      </w:r>
    </w:p>
    <w:p w14:paraId="20E48B8E" w14:textId="06AB1FD0" w:rsidR="005D2EED" w:rsidRDefault="00585C0C" w:rsidP="00A51059">
      <w:pPr>
        <w:spacing w:after="120" w:line="240" w:lineRule="auto"/>
        <w:jc w:val="both"/>
        <w:rPr>
          <w:rFonts w:ascii="Times New Roman" w:eastAsia="Times New Roman" w:hAnsi="Times New Roman" w:cs="Times New Roman"/>
          <w:noProof/>
          <w:sz w:val="24"/>
          <w:szCs w:val="24"/>
        </w:rPr>
      </w:pPr>
      <w:r w:rsidRPr="00585C0C">
        <w:rPr>
          <w:rFonts w:ascii="Times New Roman" w:eastAsia="Times New Roman" w:hAnsi="Times New Roman" w:cs="Times New Roman"/>
          <w:noProof/>
          <w:sz w:val="24"/>
          <w:szCs w:val="20"/>
        </w:rPr>
        <w:t>An obligation to keep an active account at EU CCPs would be imposed on all EU market participants subject to the clearing obligation</w:t>
      </w:r>
      <w:r w:rsidR="00856DDF">
        <w:rPr>
          <w:rFonts w:ascii="Times New Roman" w:eastAsia="Times New Roman" w:hAnsi="Times New Roman" w:cs="Times New Roman"/>
          <w:noProof/>
          <w:sz w:val="24"/>
          <w:szCs w:val="20"/>
        </w:rPr>
        <w:t>.</w:t>
      </w:r>
      <w:r w:rsidRPr="00585C0C">
        <w:rPr>
          <w:rFonts w:ascii="Times New Roman" w:eastAsia="Times New Roman" w:hAnsi="Times New Roman" w:cs="Times New Roman"/>
          <w:noProof/>
          <w:sz w:val="24"/>
          <w:szCs w:val="20"/>
        </w:rPr>
        <w:t xml:space="preserve"> </w:t>
      </w:r>
      <w:r w:rsidR="00856DDF">
        <w:rPr>
          <w:rFonts w:ascii="Times New Roman" w:eastAsia="Times New Roman" w:hAnsi="Times New Roman" w:cs="Times New Roman"/>
          <w:noProof/>
          <w:sz w:val="24"/>
          <w:szCs w:val="20"/>
        </w:rPr>
        <w:t xml:space="preserve">Such </w:t>
      </w:r>
      <w:r w:rsidRPr="00585C0C">
        <w:rPr>
          <w:rFonts w:ascii="Times New Roman" w:eastAsia="Times New Roman" w:hAnsi="Times New Roman" w:cs="Times New Roman"/>
          <w:noProof/>
          <w:sz w:val="24"/>
          <w:szCs w:val="20"/>
        </w:rPr>
        <w:t xml:space="preserve">EU market participants would be obliged to clear a portion of their new trades in relation to certain clearing services at EU CCPs and to report such trades to the CCP’s competent authority. The measure should apply to those services which have been identified as systemically important by ESMA. </w:t>
      </w:r>
      <w:r w:rsidR="00F20477" w:rsidRPr="009A197A">
        <w:rPr>
          <w:rFonts w:ascii="Times New Roman" w:eastAsia="Times New Roman" w:hAnsi="Times New Roman" w:cs="Times New Roman"/>
          <w:noProof/>
          <w:sz w:val="24"/>
          <w:szCs w:val="24"/>
        </w:rPr>
        <w:t xml:space="preserve">Requiring </w:t>
      </w:r>
      <w:r w:rsidR="000923BE" w:rsidRPr="009A197A">
        <w:rPr>
          <w:rFonts w:ascii="Times New Roman" w:eastAsia="Times New Roman" w:hAnsi="Times New Roman" w:cs="Times New Roman"/>
          <w:noProof/>
          <w:sz w:val="24"/>
          <w:szCs w:val="24"/>
        </w:rPr>
        <w:t>EU market participants to hold an active account at an EU CCP can contribute significantly to meeting the</w:t>
      </w:r>
      <w:r w:rsidR="00622D3F" w:rsidRPr="009A197A">
        <w:rPr>
          <w:rFonts w:ascii="Times New Roman" w:eastAsia="Times New Roman" w:hAnsi="Times New Roman" w:cs="Times New Roman"/>
          <w:noProof/>
          <w:sz w:val="24"/>
          <w:szCs w:val="24"/>
        </w:rPr>
        <w:t xml:space="preserve"> general objective of this initiative to enhance EU financial stability</w:t>
      </w:r>
      <w:r w:rsidR="000923BE" w:rsidRPr="009A197A">
        <w:rPr>
          <w:rFonts w:ascii="Times New Roman" w:eastAsia="Times New Roman" w:hAnsi="Times New Roman" w:cs="Times New Roman"/>
          <w:noProof/>
          <w:sz w:val="24"/>
          <w:szCs w:val="24"/>
        </w:rPr>
        <w:t xml:space="preserve">. </w:t>
      </w:r>
      <w:r w:rsidR="00E20D5C" w:rsidRPr="009A197A">
        <w:rPr>
          <w:rFonts w:ascii="Times New Roman" w:eastAsia="Times New Roman" w:hAnsi="Times New Roman" w:cs="Times New Roman"/>
          <w:noProof/>
          <w:sz w:val="24"/>
          <w:szCs w:val="24"/>
        </w:rPr>
        <w:t xml:space="preserve">This </w:t>
      </w:r>
      <w:r w:rsidR="00622D3F" w:rsidRPr="009A197A">
        <w:rPr>
          <w:rFonts w:ascii="Times New Roman" w:eastAsia="Times New Roman" w:hAnsi="Times New Roman" w:cs="Times New Roman"/>
          <w:noProof/>
          <w:sz w:val="24"/>
          <w:szCs w:val="24"/>
        </w:rPr>
        <w:t xml:space="preserve">active account </w:t>
      </w:r>
      <w:r w:rsidR="00E20D5C" w:rsidRPr="009A197A">
        <w:rPr>
          <w:rFonts w:ascii="Times New Roman" w:eastAsia="Times New Roman" w:hAnsi="Times New Roman" w:cs="Times New Roman"/>
          <w:noProof/>
          <w:sz w:val="24"/>
          <w:szCs w:val="24"/>
        </w:rPr>
        <w:t>could be the only account a market participant has at a CCP, or an additional account.</w:t>
      </w:r>
      <w:r w:rsidR="002E613C" w:rsidRPr="009A197A">
        <w:rPr>
          <w:rFonts w:ascii="Times New Roman" w:eastAsia="Times New Roman" w:hAnsi="Times New Roman" w:cs="Times New Roman"/>
          <w:noProof/>
          <w:sz w:val="24"/>
          <w:szCs w:val="24"/>
        </w:rPr>
        <w:t xml:space="preserve"> </w:t>
      </w:r>
      <w:r w:rsidR="00261D88" w:rsidRPr="009A197A">
        <w:rPr>
          <w:rFonts w:ascii="Times New Roman" w:eastAsia="Times New Roman" w:hAnsi="Times New Roman" w:cs="Times New Roman"/>
          <w:noProof/>
          <w:sz w:val="24"/>
          <w:szCs w:val="24"/>
        </w:rPr>
        <w:t xml:space="preserve">First, </w:t>
      </w:r>
      <w:r w:rsidR="002E613C" w:rsidRPr="009A197A">
        <w:rPr>
          <w:rFonts w:ascii="Times New Roman" w:eastAsia="Times New Roman" w:hAnsi="Times New Roman" w:cs="Times New Roman"/>
          <w:noProof/>
          <w:sz w:val="24"/>
          <w:szCs w:val="24"/>
        </w:rPr>
        <w:t xml:space="preserve">for market participants who want to be active at multiple CCPs, this </w:t>
      </w:r>
      <w:r w:rsidR="00644A84" w:rsidRPr="009A197A">
        <w:rPr>
          <w:rFonts w:ascii="Times New Roman" w:eastAsia="Times New Roman" w:hAnsi="Times New Roman" w:cs="Times New Roman"/>
          <w:noProof/>
          <w:sz w:val="24"/>
          <w:szCs w:val="24"/>
        </w:rPr>
        <w:t xml:space="preserve">second </w:t>
      </w:r>
      <w:r w:rsidR="002E613C" w:rsidRPr="009A197A">
        <w:rPr>
          <w:rFonts w:ascii="Times New Roman" w:eastAsia="Times New Roman" w:hAnsi="Times New Roman" w:cs="Times New Roman"/>
          <w:noProof/>
          <w:sz w:val="24"/>
          <w:szCs w:val="24"/>
        </w:rPr>
        <w:t xml:space="preserve">account would </w:t>
      </w:r>
      <w:r w:rsidR="0069036D">
        <w:rPr>
          <w:rFonts w:ascii="Times New Roman" w:eastAsia="Times New Roman" w:hAnsi="Times New Roman" w:cs="Times New Roman"/>
          <w:noProof/>
          <w:sz w:val="24"/>
          <w:szCs w:val="24"/>
        </w:rPr>
        <w:t xml:space="preserve">need to </w:t>
      </w:r>
      <w:r w:rsidR="002E613C" w:rsidRPr="009A197A">
        <w:rPr>
          <w:rFonts w:ascii="Times New Roman" w:eastAsia="Times New Roman" w:hAnsi="Times New Roman" w:cs="Times New Roman"/>
          <w:noProof/>
          <w:sz w:val="24"/>
          <w:szCs w:val="24"/>
        </w:rPr>
        <w:t>be effectively active</w:t>
      </w:r>
      <w:r w:rsidR="0069036D">
        <w:rPr>
          <w:rFonts w:ascii="Times New Roman" w:eastAsia="Times New Roman" w:hAnsi="Times New Roman" w:cs="Times New Roman"/>
          <w:noProof/>
          <w:sz w:val="24"/>
          <w:szCs w:val="24"/>
        </w:rPr>
        <w:t>, i.e. t</w:t>
      </w:r>
      <w:r w:rsidR="0069036D" w:rsidRPr="009A197A">
        <w:rPr>
          <w:rFonts w:ascii="Times New Roman" w:eastAsia="Times New Roman" w:hAnsi="Times New Roman" w:cs="Times New Roman"/>
          <w:noProof/>
          <w:sz w:val="24"/>
          <w:szCs w:val="24"/>
        </w:rPr>
        <w:t>here could be a specific requirement to clear a portion of new trades in the EU</w:t>
      </w:r>
      <w:r w:rsidR="0069036D">
        <w:rPr>
          <w:rFonts w:ascii="Times New Roman" w:eastAsia="Times New Roman" w:hAnsi="Times New Roman" w:cs="Times New Roman"/>
          <w:noProof/>
          <w:sz w:val="24"/>
          <w:szCs w:val="24"/>
        </w:rPr>
        <w:t xml:space="preserve"> so that the account is not</w:t>
      </w:r>
      <w:r w:rsidR="002E613C" w:rsidRPr="009A197A" w:rsidDel="0069036D">
        <w:rPr>
          <w:rFonts w:ascii="Times New Roman" w:eastAsia="Times New Roman" w:hAnsi="Times New Roman" w:cs="Times New Roman"/>
          <w:noProof/>
          <w:sz w:val="24"/>
          <w:szCs w:val="24"/>
        </w:rPr>
        <w:t xml:space="preserve"> </w:t>
      </w:r>
      <w:r w:rsidR="0069036D">
        <w:rPr>
          <w:rFonts w:ascii="Times New Roman" w:eastAsia="Times New Roman" w:hAnsi="Times New Roman" w:cs="Times New Roman"/>
          <w:noProof/>
          <w:sz w:val="24"/>
          <w:szCs w:val="24"/>
        </w:rPr>
        <w:t>be</w:t>
      </w:r>
      <w:r w:rsidR="002E613C" w:rsidRPr="009A197A">
        <w:rPr>
          <w:rFonts w:ascii="Times New Roman" w:eastAsia="Times New Roman" w:hAnsi="Times New Roman" w:cs="Times New Roman"/>
          <w:noProof/>
          <w:sz w:val="24"/>
          <w:szCs w:val="24"/>
        </w:rPr>
        <w:t xml:space="preserve"> “dormant”</w:t>
      </w:r>
      <w:r w:rsidR="00BF79C6" w:rsidRPr="009A197A">
        <w:rPr>
          <w:rFonts w:ascii="Times New Roman" w:eastAsia="Times New Roman" w:hAnsi="Times New Roman" w:cs="Times New Roman"/>
          <w:noProof/>
          <w:sz w:val="24"/>
          <w:szCs w:val="24"/>
        </w:rPr>
        <w:t>,</w:t>
      </w:r>
      <w:r w:rsidR="002E613C" w:rsidRPr="009A197A">
        <w:rPr>
          <w:rFonts w:ascii="Times New Roman" w:eastAsia="Times New Roman" w:hAnsi="Times New Roman" w:cs="Times New Roman"/>
          <w:noProof/>
          <w:sz w:val="24"/>
          <w:szCs w:val="24"/>
        </w:rPr>
        <w:t xml:space="preserve"> as several accounts </w:t>
      </w:r>
      <w:r w:rsidR="0069036D">
        <w:rPr>
          <w:rFonts w:ascii="Times New Roman" w:eastAsia="Times New Roman" w:hAnsi="Times New Roman" w:cs="Times New Roman"/>
          <w:noProof/>
          <w:sz w:val="24"/>
          <w:szCs w:val="24"/>
        </w:rPr>
        <w:t>at EU CCPs</w:t>
      </w:r>
      <w:r w:rsidR="002E613C" w:rsidRPr="009A197A">
        <w:rPr>
          <w:rFonts w:ascii="Times New Roman" w:eastAsia="Times New Roman" w:hAnsi="Times New Roman" w:cs="Times New Roman"/>
          <w:noProof/>
          <w:sz w:val="24"/>
          <w:szCs w:val="24"/>
        </w:rPr>
        <w:t xml:space="preserve"> are today)</w:t>
      </w:r>
      <w:r w:rsidR="0069036D">
        <w:rPr>
          <w:rFonts w:ascii="Times New Roman" w:eastAsia="Times New Roman" w:hAnsi="Times New Roman" w:cs="Times New Roman"/>
          <w:noProof/>
          <w:sz w:val="24"/>
          <w:szCs w:val="24"/>
        </w:rPr>
        <w:t>. This would ensure that EU market participants have</w:t>
      </w:r>
      <w:r w:rsidR="002E613C" w:rsidRPr="009A197A">
        <w:rPr>
          <w:rFonts w:ascii="Times New Roman" w:eastAsia="Times New Roman" w:hAnsi="Times New Roman" w:cs="Times New Roman"/>
          <w:noProof/>
          <w:sz w:val="24"/>
          <w:szCs w:val="24"/>
        </w:rPr>
        <w:t xml:space="preserve"> a credible back-up in case of need. Second, </w:t>
      </w:r>
      <w:r w:rsidR="00261D88" w:rsidRPr="009A197A">
        <w:rPr>
          <w:rFonts w:ascii="Times New Roman" w:eastAsia="Times New Roman" w:hAnsi="Times New Roman" w:cs="Times New Roman"/>
          <w:noProof/>
          <w:sz w:val="24"/>
          <w:szCs w:val="24"/>
        </w:rPr>
        <w:t>in contrast to</w:t>
      </w:r>
      <w:r w:rsidR="002E613C" w:rsidRPr="009A197A">
        <w:rPr>
          <w:rFonts w:ascii="Times New Roman" w:eastAsia="Times New Roman" w:hAnsi="Times New Roman" w:cs="Times New Roman"/>
          <w:noProof/>
          <w:sz w:val="24"/>
          <w:szCs w:val="24"/>
        </w:rPr>
        <w:t xml:space="preserve"> </w:t>
      </w:r>
      <w:r w:rsidR="00CF61E8" w:rsidRPr="009A197A">
        <w:rPr>
          <w:rFonts w:ascii="Times New Roman" w:eastAsia="Times New Roman" w:hAnsi="Times New Roman" w:cs="Times New Roman"/>
          <w:noProof/>
          <w:sz w:val="24"/>
          <w:szCs w:val="24"/>
        </w:rPr>
        <w:t>O</w:t>
      </w:r>
      <w:r w:rsidR="002E613C" w:rsidRPr="009A197A">
        <w:rPr>
          <w:rFonts w:ascii="Times New Roman" w:eastAsia="Times New Roman" w:hAnsi="Times New Roman" w:cs="Times New Roman"/>
          <w:noProof/>
          <w:sz w:val="24"/>
          <w:szCs w:val="24"/>
        </w:rPr>
        <w:t>ption</w:t>
      </w:r>
      <w:r w:rsidR="00CF61E8" w:rsidRPr="009A197A">
        <w:rPr>
          <w:rFonts w:ascii="Times New Roman" w:eastAsia="Times New Roman" w:hAnsi="Times New Roman" w:cs="Times New Roman"/>
          <w:noProof/>
          <w:sz w:val="24"/>
          <w:szCs w:val="24"/>
        </w:rPr>
        <w:t xml:space="preserve"> </w:t>
      </w:r>
      <w:r w:rsidR="00F50516">
        <w:rPr>
          <w:rFonts w:ascii="Times New Roman" w:eastAsia="Times New Roman" w:hAnsi="Times New Roman" w:cs="Times New Roman"/>
          <w:noProof/>
          <w:sz w:val="24"/>
          <w:szCs w:val="24"/>
        </w:rPr>
        <w:t>B</w:t>
      </w:r>
      <w:r w:rsidR="008D653D">
        <w:rPr>
          <w:rFonts w:ascii="Times New Roman" w:eastAsia="Times New Roman" w:hAnsi="Times New Roman" w:cs="Times New Roman"/>
          <w:noProof/>
          <w:sz w:val="24"/>
          <w:szCs w:val="24"/>
        </w:rPr>
        <w:t>2</w:t>
      </w:r>
      <w:r w:rsidR="002E613C" w:rsidRPr="009A197A">
        <w:rPr>
          <w:rFonts w:ascii="Times New Roman" w:eastAsia="Times New Roman" w:hAnsi="Times New Roman" w:cs="Times New Roman"/>
          <w:noProof/>
          <w:sz w:val="24"/>
          <w:szCs w:val="24"/>
        </w:rPr>
        <w:t xml:space="preserve">, </w:t>
      </w:r>
      <w:r w:rsidR="00475CA1">
        <w:rPr>
          <w:rFonts w:ascii="Times New Roman" w:eastAsia="Times New Roman" w:hAnsi="Times New Roman" w:cs="Times New Roman"/>
          <w:noProof/>
          <w:sz w:val="24"/>
          <w:szCs w:val="24"/>
        </w:rPr>
        <w:t xml:space="preserve">and because of the fact that the account would need to be actively used, </w:t>
      </w:r>
      <w:r w:rsidR="002E613C" w:rsidRPr="009A197A">
        <w:rPr>
          <w:rFonts w:ascii="Times New Roman" w:eastAsia="Times New Roman" w:hAnsi="Times New Roman" w:cs="Times New Roman"/>
          <w:noProof/>
          <w:sz w:val="24"/>
          <w:szCs w:val="24"/>
        </w:rPr>
        <w:t>this measure would specifically help increase clearing volumes in the EU, addressing the issue of over-reliance on third-country CCPs which can now be a source of financial stability risks</w:t>
      </w:r>
      <w:r w:rsidR="00BF79C6" w:rsidRPr="009A197A">
        <w:rPr>
          <w:rFonts w:ascii="Times New Roman" w:eastAsia="Times New Roman" w:hAnsi="Times New Roman" w:cs="Times New Roman"/>
          <w:noProof/>
          <w:sz w:val="24"/>
          <w:szCs w:val="24"/>
        </w:rPr>
        <w:t xml:space="preserve"> and at the same time support the CMU project</w:t>
      </w:r>
      <w:r w:rsidR="0069036D">
        <w:rPr>
          <w:rFonts w:ascii="Times New Roman" w:eastAsia="Times New Roman" w:hAnsi="Times New Roman" w:cs="Times New Roman"/>
          <w:noProof/>
          <w:sz w:val="24"/>
          <w:szCs w:val="24"/>
        </w:rPr>
        <w:t>.</w:t>
      </w:r>
    </w:p>
    <w:p w14:paraId="6DA7C25D" w14:textId="6DF03345" w:rsidR="005D2EED" w:rsidRDefault="005D2EED" w:rsidP="00A51059">
      <w:pPr>
        <w:spacing w:after="120" w:line="240" w:lineRule="auto"/>
        <w:jc w:val="both"/>
        <w:rPr>
          <w:rFonts w:ascii="Times New Roman" w:eastAsia="Times New Roman" w:hAnsi="Times New Roman" w:cs="Times New Roman"/>
          <w:noProof/>
          <w:sz w:val="24"/>
          <w:szCs w:val="24"/>
        </w:rPr>
      </w:pPr>
      <w:r w:rsidRPr="002661A8">
        <w:rPr>
          <w:rFonts w:ascii="Times New Roman" w:eastAsia="Times New Roman" w:hAnsi="Times New Roman" w:cs="Times New Roman"/>
          <w:noProof/>
          <w:sz w:val="24"/>
          <w:szCs w:val="24"/>
        </w:rPr>
        <w:t xml:space="preserve">The </w:t>
      </w:r>
      <w:r>
        <w:rPr>
          <w:rFonts w:ascii="Times New Roman" w:eastAsia="Times New Roman" w:hAnsi="Times New Roman" w:cs="Times New Roman"/>
          <w:noProof/>
          <w:sz w:val="24"/>
          <w:szCs w:val="24"/>
        </w:rPr>
        <w:t xml:space="preserve">active account </w:t>
      </w:r>
      <w:r w:rsidRPr="002661A8">
        <w:rPr>
          <w:rFonts w:ascii="Times New Roman" w:eastAsia="Times New Roman" w:hAnsi="Times New Roman" w:cs="Times New Roman"/>
          <w:noProof/>
          <w:sz w:val="24"/>
          <w:szCs w:val="24"/>
        </w:rPr>
        <w:t xml:space="preserve">requirement should </w:t>
      </w:r>
      <w:r w:rsidR="008A3D45">
        <w:rPr>
          <w:rFonts w:ascii="Times New Roman" w:eastAsia="Times New Roman" w:hAnsi="Times New Roman" w:cs="Times New Roman"/>
          <w:noProof/>
          <w:sz w:val="24"/>
          <w:szCs w:val="24"/>
        </w:rPr>
        <w:t>therefore</w:t>
      </w:r>
      <w:r w:rsidRPr="002661A8">
        <w:rPr>
          <w:rFonts w:ascii="Times New Roman" w:eastAsia="Times New Roman" w:hAnsi="Times New Roman" w:cs="Times New Roman"/>
          <w:noProof/>
          <w:sz w:val="24"/>
          <w:szCs w:val="24"/>
        </w:rPr>
        <w:t xml:space="preserve"> concern the services identified by ESMA as of substantial systemic importance</w:t>
      </w:r>
      <w:r w:rsidRPr="002661A8">
        <w:rPr>
          <w:rStyle w:val="FootnoteReference"/>
          <w:rFonts w:ascii="Times New Roman" w:eastAsia="Times New Roman" w:hAnsi="Times New Roman" w:cs="Times New Roman"/>
          <w:noProof/>
          <w:sz w:val="24"/>
          <w:szCs w:val="24"/>
        </w:rPr>
        <w:footnoteReference w:id="136"/>
      </w:r>
      <w:r w:rsidRPr="002661A8">
        <w:rPr>
          <w:rFonts w:ascii="Times New Roman" w:eastAsia="Times New Roman" w:hAnsi="Times New Roman" w:cs="Times New Roman"/>
          <w:noProof/>
          <w:sz w:val="24"/>
          <w:szCs w:val="24"/>
        </w:rPr>
        <w:t xml:space="preserve">, thus explicitly targeting the excessive reliance on such services. It could be imposed on all market participants subject to the clearing obligation, thus going beyond clearing members. </w:t>
      </w:r>
      <w:r>
        <w:rPr>
          <w:rFonts w:ascii="Times New Roman" w:eastAsia="Times New Roman" w:hAnsi="Times New Roman" w:cs="Times New Roman"/>
          <w:noProof/>
          <w:sz w:val="24"/>
          <w:szCs w:val="24"/>
        </w:rPr>
        <w:t xml:space="preserve">The legal text could also require entities subject to this obligation to report on the clearing they have done in the relevant type of transactions in an EU CCP. </w:t>
      </w:r>
    </w:p>
    <w:p w14:paraId="256F959D" w14:textId="73583C04" w:rsidR="00210197" w:rsidRDefault="00CF61E8" w:rsidP="00A51059">
      <w:pPr>
        <w:spacing w:after="120" w:line="240" w:lineRule="auto"/>
        <w:jc w:val="both"/>
        <w:rPr>
          <w:rFonts w:ascii="Times New Roman" w:eastAsia="Times New Roman" w:hAnsi="Times New Roman" w:cs="Times New Roman"/>
          <w:noProof/>
          <w:sz w:val="24"/>
          <w:szCs w:val="24"/>
        </w:rPr>
      </w:pPr>
      <w:r w:rsidRPr="009A197A">
        <w:rPr>
          <w:rFonts w:ascii="Times New Roman" w:eastAsia="Times New Roman" w:hAnsi="Times New Roman" w:cs="Times New Roman"/>
          <w:noProof/>
          <w:sz w:val="24"/>
          <w:szCs w:val="24"/>
        </w:rPr>
        <w:t xml:space="preserve">The specific features of </w:t>
      </w:r>
      <w:r w:rsidR="006F32AF" w:rsidRPr="009A197A">
        <w:rPr>
          <w:rFonts w:ascii="Times New Roman" w:eastAsia="Times New Roman" w:hAnsi="Times New Roman" w:cs="Times New Roman"/>
          <w:noProof/>
          <w:sz w:val="24"/>
          <w:szCs w:val="24"/>
        </w:rPr>
        <w:t>a</w:t>
      </w:r>
      <w:r w:rsidRPr="009A197A">
        <w:rPr>
          <w:rFonts w:ascii="Times New Roman" w:eastAsia="Times New Roman" w:hAnsi="Times New Roman" w:cs="Times New Roman"/>
          <w:noProof/>
          <w:sz w:val="24"/>
          <w:szCs w:val="24"/>
        </w:rPr>
        <w:t xml:space="preserve"> requirement (</w:t>
      </w:r>
      <w:r w:rsidR="00B901D7" w:rsidRPr="009A197A">
        <w:rPr>
          <w:rFonts w:ascii="Times New Roman" w:eastAsia="Times New Roman" w:hAnsi="Times New Roman" w:cs="Times New Roman"/>
          <w:noProof/>
          <w:sz w:val="24"/>
          <w:szCs w:val="24"/>
        </w:rPr>
        <w:t>e</w:t>
      </w:r>
      <w:r w:rsidRPr="009A197A">
        <w:rPr>
          <w:rFonts w:ascii="Times New Roman" w:eastAsia="Times New Roman" w:hAnsi="Times New Roman" w:cs="Times New Roman"/>
          <w:noProof/>
          <w:sz w:val="24"/>
          <w:szCs w:val="24"/>
        </w:rPr>
        <w:t>.</w:t>
      </w:r>
      <w:r w:rsidR="00B901D7" w:rsidRPr="009A197A">
        <w:rPr>
          <w:rFonts w:ascii="Times New Roman" w:eastAsia="Times New Roman" w:hAnsi="Times New Roman" w:cs="Times New Roman"/>
          <w:noProof/>
          <w:sz w:val="24"/>
          <w:szCs w:val="24"/>
        </w:rPr>
        <w:t>g</w:t>
      </w:r>
      <w:r w:rsidRPr="009A197A">
        <w:rPr>
          <w:rFonts w:ascii="Times New Roman" w:eastAsia="Times New Roman" w:hAnsi="Times New Roman" w:cs="Times New Roman"/>
          <w:noProof/>
          <w:sz w:val="24"/>
          <w:szCs w:val="24"/>
        </w:rPr>
        <w:t>. volume</w:t>
      </w:r>
      <w:r w:rsidR="00B901D7" w:rsidRPr="009A197A">
        <w:rPr>
          <w:rFonts w:ascii="Times New Roman" w:eastAsia="Times New Roman" w:hAnsi="Times New Roman" w:cs="Times New Roman"/>
          <w:noProof/>
          <w:sz w:val="24"/>
          <w:szCs w:val="24"/>
        </w:rPr>
        <w:t>s</w:t>
      </w:r>
      <w:r w:rsidRPr="009A197A">
        <w:rPr>
          <w:rFonts w:ascii="Times New Roman" w:eastAsia="Times New Roman" w:hAnsi="Times New Roman" w:cs="Times New Roman"/>
          <w:noProof/>
          <w:sz w:val="24"/>
          <w:szCs w:val="24"/>
        </w:rPr>
        <w:t xml:space="preserve"> / percentage of clearing</w:t>
      </w:r>
      <w:r w:rsidR="005D2EED" w:rsidRPr="005D2EED">
        <w:rPr>
          <w:rFonts w:ascii="Times New Roman" w:eastAsia="Times New Roman" w:hAnsi="Times New Roman" w:cs="Times New Roman"/>
          <w:noProof/>
          <w:sz w:val="24"/>
          <w:szCs w:val="20"/>
        </w:rPr>
        <w:t xml:space="preserve"> </w:t>
      </w:r>
      <w:r w:rsidR="005D2EED">
        <w:rPr>
          <w:rFonts w:ascii="Times New Roman" w:eastAsia="Times New Roman" w:hAnsi="Times New Roman" w:cs="Times New Roman"/>
          <w:noProof/>
          <w:sz w:val="24"/>
          <w:szCs w:val="20"/>
        </w:rPr>
        <w:t xml:space="preserve">to </w:t>
      </w:r>
      <w:r w:rsidR="005D2EED" w:rsidRPr="00585C0C">
        <w:rPr>
          <w:rFonts w:ascii="Times New Roman" w:eastAsia="Times New Roman" w:hAnsi="Times New Roman" w:cs="Times New Roman"/>
          <w:noProof/>
          <w:sz w:val="24"/>
          <w:szCs w:val="20"/>
        </w:rPr>
        <w:t>ensure a reduction in exposures to those clearing services offered by Tier 2 CCPs which are considered of substantial systemic importance</w:t>
      </w:r>
      <w:r w:rsidRPr="009A197A">
        <w:rPr>
          <w:rFonts w:ascii="Times New Roman" w:eastAsia="Times New Roman" w:hAnsi="Times New Roman" w:cs="Times New Roman"/>
          <w:noProof/>
          <w:sz w:val="24"/>
          <w:szCs w:val="24"/>
        </w:rPr>
        <w:t>, frequency of use</w:t>
      </w:r>
      <w:r w:rsidR="005D2EED">
        <w:rPr>
          <w:rFonts w:ascii="Times New Roman" w:eastAsia="Times New Roman" w:hAnsi="Times New Roman" w:cs="Times New Roman"/>
          <w:noProof/>
          <w:sz w:val="24"/>
          <w:szCs w:val="24"/>
        </w:rPr>
        <w:t>, reporting methodology</w:t>
      </w:r>
      <w:r w:rsidRPr="009A197A">
        <w:rPr>
          <w:rFonts w:ascii="Times New Roman" w:eastAsia="Times New Roman" w:hAnsi="Times New Roman" w:cs="Times New Roman"/>
          <w:noProof/>
          <w:sz w:val="24"/>
          <w:szCs w:val="24"/>
        </w:rPr>
        <w:t>) could be defined in a level 2 act</w:t>
      </w:r>
      <w:r w:rsidR="0069036D">
        <w:rPr>
          <w:rFonts w:ascii="Times New Roman" w:eastAsia="Times New Roman" w:hAnsi="Times New Roman" w:cs="Times New Roman"/>
          <w:noProof/>
          <w:sz w:val="24"/>
          <w:szCs w:val="24"/>
        </w:rPr>
        <w:t>, e.g. a draft RTS to be prepared by ESMA</w:t>
      </w:r>
      <w:r w:rsidR="00210197">
        <w:rPr>
          <w:rFonts w:ascii="Times New Roman" w:eastAsia="Times New Roman" w:hAnsi="Times New Roman" w:cs="Times New Roman"/>
          <w:noProof/>
          <w:sz w:val="24"/>
          <w:szCs w:val="24"/>
        </w:rPr>
        <w:t>,</w:t>
      </w:r>
      <w:r w:rsidR="0069036D">
        <w:rPr>
          <w:rFonts w:ascii="Times New Roman" w:eastAsia="Times New Roman" w:hAnsi="Times New Roman" w:cs="Times New Roman"/>
          <w:noProof/>
          <w:sz w:val="24"/>
          <w:szCs w:val="24"/>
        </w:rPr>
        <w:t xml:space="preserve"> </w:t>
      </w:r>
      <w:r w:rsidR="00891F79">
        <w:rPr>
          <w:rFonts w:ascii="Times New Roman" w:eastAsia="Times New Roman" w:hAnsi="Times New Roman" w:cs="Times New Roman"/>
          <w:noProof/>
          <w:sz w:val="24"/>
          <w:szCs w:val="24"/>
        </w:rPr>
        <w:t>in</w:t>
      </w:r>
      <w:r w:rsidR="00210197" w:rsidRPr="00A51059">
        <w:rPr>
          <w:rFonts w:ascii="Times New Roman" w:eastAsia="Times New Roman" w:hAnsi="Times New Roman" w:cs="Times New Roman"/>
          <w:noProof/>
          <w:sz w:val="24"/>
          <w:szCs w:val="24"/>
        </w:rPr>
        <w:t xml:space="preserve"> cooperat</w:t>
      </w:r>
      <w:r w:rsidR="00891F79">
        <w:rPr>
          <w:rFonts w:ascii="Times New Roman" w:eastAsia="Times New Roman" w:hAnsi="Times New Roman" w:cs="Times New Roman"/>
          <w:noProof/>
          <w:sz w:val="24"/>
          <w:szCs w:val="24"/>
        </w:rPr>
        <w:t>ion</w:t>
      </w:r>
      <w:r w:rsidR="00210197" w:rsidRPr="00A51059">
        <w:rPr>
          <w:rFonts w:ascii="Times New Roman" w:eastAsia="Times New Roman" w:hAnsi="Times New Roman" w:cs="Times New Roman"/>
          <w:noProof/>
          <w:sz w:val="24"/>
          <w:szCs w:val="24"/>
        </w:rPr>
        <w:t xml:space="preserve"> with the ESAs and the ESCB</w:t>
      </w:r>
      <w:r w:rsidRPr="009A197A">
        <w:rPr>
          <w:rFonts w:ascii="Times New Roman" w:eastAsia="Times New Roman" w:hAnsi="Times New Roman" w:cs="Times New Roman"/>
          <w:noProof/>
          <w:sz w:val="24"/>
          <w:szCs w:val="24"/>
        </w:rPr>
        <w:t xml:space="preserve">. </w:t>
      </w:r>
      <w:r w:rsidR="00210197" w:rsidRPr="009A197A">
        <w:rPr>
          <w:rFonts w:ascii="Times New Roman" w:eastAsia="Times New Roman" w:hAnsi="Times New Roman" w:cs="Times New Roman"/>
          <w:noProof/>
          <w:sz w:val="24"/>
          <w:szCs w:val="20"/>
        </w:rPr>
        <w:t>In light of the fac</w:t>
      </w:r>
      <w:r w:rsidR="00210197" w:rsidRPr="007238A3">
        <w:rPr>
          <w:rFonts w:ascii="Times New Roman" w:eastAsia="Times New Roman" w:hAnsi="Times New Roman" w:cs="Times New Roman"/>
          <w:noProof/>
          <w:sz w:val="24"/>
          <w:szCs w:val="20"/>
        </w:rPr>
        <w:t xml:space="preserve">t that </w:t>
      </w:r>
      <w:r w:rsidR="00210197" w:rsidRPr="00876EF2">
        <w:rPr>
          <w:rFonts w:ascii="Times New Roman" w:eastAsia="Times New Roman" w:hAnsi="Times New Roman" w:cs="Times New Roman"/>
          <w:noProof/>
          <w:sz w:val="24"/>
          <w:szCs w:val="20"/>
        </w:rPr>
        <w:t xml:space="preserve">ESMA </w:t>
      </w:r>
      <w:r w:rsidR="00210197" w:rsidRPr="00A51059">
        <w:rPr>
          <w:rFonts w:ascii="Times New Roman" w:eastAsia="Times New Roman" w:hAnsi="Times New Roman" w:cs="Times New Roman"/>
          <w:noProof/>
          <w:sz w:val="24"/>
          <w:szCs w:val="24"/>
        </w:rPr>
        <w:t>assesses the systemic importance of the third-country CCPs and their services, it is appropriate for ESMA to be mandated to establish the proportion of activities that would reduce the risks related to their substantial systemic importance.</w:t>
      </w:r>
      <w:r w:rsidR="00210197" w:rsidRPr="00210197">
        <w:rPr>
          <w:rFonts w:ascii="Times New Roman" w:eastAsia="Times New Roman" w:hAnsi="Times New Roman" w:cs="Times New Roman"/>
          <w:noProof/>
          <w:sz w:val="24"/>
          <w:szCs w:val="24"/>
        </w:rPr>
        <w:t xml:space="preserve"> ESMA</w:t>
      </w:r>
      <w:r w:rsidR="00210197" w:rsidRPr="00210197" w:rsidDel="00DB0EDD">
        <w:rPr>
          <w:rFonts w:ascii="Times New Roman" w:eastAsia="Times New Roman" w:hAnsi="Times New Roman" w:cs="Times New Roman"/>
          <w:noProof/>
          <w:sz w:val="24"/>
          <w:szCs w:val="24"/>
        </w:rPr>
        <w:t xml:space="preserve"> </w:t>
      </w:r>
      <w:r w:rsidR="00210197" w:rsidRPr="00210197">
        <w:rPr>
          <w:rFonts w:ascii="Times New Roman" w:eastAsia="Times New Roman" w:hAnsi="Times New Roman" w:cs="Times New Roman"/>
          <w:noProof/>
          <w:sz w:val="24"/>
          <w:szCs w:val="24"/>
        </w:rPr>
        <w:t xml:space="preserve">should adopt the draft RTS </w:t>
      </w:r>
      <w:r w:rsidR="00210197" w:rsidRPr="00210197">
        <w:rPr>
          <w:rFonts w:ascii="Times New Roman" w:eastAsia="Times New Roman" w:hAnsi="Times New Roman" w:cs="Times New Roman"/>
          <w:b/>
          <w:noProof/>
          <w:sz w:val="24"/>
          <w:szCs w:val="24"/>
        </w:rPr>
        <w:t>after having conducted an open public consultation and analysed the potential related costs and benefits</w:t>
      </w:r>
      <w:r w:rsidR="00210197" w:rsidRPr="00210197">
        <w:rPr>
          <w:rFonts w:ascii="Times New Roman" w:eastAsia="Times New Roman" w:hAnsi="Times New Roman" w:cs="Times New Roman"/>
          <w:noProof/>
          <w:sz w:val="24"/>
          <w:szCs w:val="24"/>
        </w:rPr>
        <w:t>, as required under the ESMA Regulation.</w:t>
      </w:r>
      <w:r w:rsidR="005D2EED">
        <w:rPr>
          <w:rFonts w:ascii="Times New Roman" w:eastAsia="Times New Roman" w:hAnsi="Times New Roman" w:cs="Times New Roman"/>
          <w:noProof/>
          <w:sz w:val="24"/>
          <w:szCs w:val="24"/>
        </w:rPr>
        <w:t xml:space="preserve"> </w:t>
      </w:r>
      <w:r w:rsidR="005D2EED" w:rsidRPr="002661A8">
        <w:rPr>
          <w:rFonts w:ascii="Times New Roman" w:eastAsia="Times New Roman" w:hAnsi="Times New Roman" w:cs="Times New Roman"/>
          <w:noProof/>
          <w:sz w:val="24"/>
          <w:szCs w:val="24"/>
        </w:rPr>
        <w:t xml:space="preserve">This requirement could </w:t>
      </w:r>
      <w:r w:rsidR="005D2EED">
        <w:rPr>
          <w:rFonts w:ascii="Times New Roman" w:eastAsia="Times New Roman" w:hAnsi="Times New Roman" w:cs="Times New Roman"/>
          <w:noProof/>
          <w:sz w:val="24"/>
          <w:szCs w:val="24"/>
        </w:rPr>
        <w:t xml:space="preserve">also </w:t>
      </w:r>
      <w:r w:rsidR="005D2EED" w:rsidRPr="002661A8">
        <w:rPr>
          <w:rFonts w:ascii="Times New Roman" w:eastAsia="Times New Roman" w:hAnsi="Times New Roman" w:cs="Times New Roman"/>
          <w:noProof/>
          <w:sz w:val="24"/>
          <w:szCs w:val="24"/>
        </w:rPr>
        <w:t xml:space="preserve">be designed to increase gradually, to allow the market to adapt and minimise the costs while the offer gradually develops. </w:t>
      </w:r>
    </w:p>
    <w:p w14:paraId="111AD308" w14:textId="3C064B1A" w:rsidR="00AA67AB" w:rsidRPr="00412149" w:rsidRDefault="00585C0C" w:rsidP="00A51059">
      <w:pPr>
        <w:spacing w:after="120" w:line="240" w:lineRule="auto"/>
        <w:jc w:val="both"/>
        <w:rPr>
          <w:rFonts w:ascii="Times New Roman" w:eastAsia="Times New Roman" w:hAnsi="Times New Roman" w:cs="Times New Roman"/>
          <w:noProof/>
          <w:sz w:val="24"/>
          <w:szCs w:val="24"/>
        </w:rPr>
      </w:pPr>
      <w:r w:rsidRPr="00412149">
        <w:rPr>
          <w:rFonts w:ascii="Times New Roman" w:hAnsi="Times New Roman" w:cs="Times New Roman"/>
          <w:noProof/>
          <w:sz w:val="24"/>
          <w:szCs w:val="24"/>
        </w:rPr>
        <w:t>To ensure</w:t>
      </w:r>
      <w:r w:rsidR="00AA67AB" w:rsidRPr="00412149">
        <w:rPr>
          <w:rFonts w:ascii="Times New Roman" w:hAnsi="Times New Roman" w:cs="Times New Roman"/>
          <w:noProof/>
          <w:sz w:val="24"/>
          <w:szCs w:val="24"/>
        </w:rPr>
        <w:t>, where suitable,</w:t>
      </w:r>
      <w:r w:rsidRPr="00412149">
        <w:rPr>
          <w:rFonts w:ascii="Times New Roman" w:hAnsi="Times New Roman" w:cs="Times New Roman"/>
          <w:noProof/>
          <w:sz w:val="24"/>
          <w:szCs w:val="24"/>
        </w:rPr>
        <w:t xml:space="preserve"> </w:t>
      </w:r>
      <w:r w:rsidRPr="00412149">
        <w:rPr>
          <w:rFonts w:ascii="Times New Roman" w:eastAsia="Times New Roman" w:hAnsi="Times New Roman" w:cs="Times New Roman"/>
          <w:noProof/>
          <w:sz w:val="24"/>
          <w:szCs w:val="24"/>
        </w:rPr>
        <w:t xml:space="preserve">that </w:t>
      </w:r>
      <w:r w:rsidR="00AA67AB" w:rsidRPr="00412149">
        <w:rPr>
          <w:rFonts w:ascii="Times New Roman" w:eastAsia="Times New Roman" w:hAnsi="Times New Roman" w:cs="Times New Roman"/>
          <w:noProof/>
          <w:sz w:val="24"/>
          <w:szCs w:val="24"/>
        </w:rPr>
        <w:t>the obligation to clear certain instruments at an EU CCP is reflecting the most recent status of ESMA</w:t>
      </w:r>
      <w:r w:rsidR="00A51059">
        <w:rPr>
          <w:rFonts w:ascii="Times New Roman" w:eastAsia="Times New Roman" w:hAnsi="Times New Roman" w:cs="Times New Roman"/>
          <w:noProof/>
          <w:sz w:val="24"/>
          <w:szCs w:val="24"/>
        </w:rPr>
        <w:t>’</w:t>
      </w:r>
      <w:r w:rsidR="00AA67AB" w:rsidRPr="00412149">
        <w:rPr>
          <w:rFonts w:ascii="Times New Roman" w:eastAsia="Times New Roman" w:hAnsi="Times New Roman" w:cs="Times New Roman"/>
          <w:noProof/>
          <w:sz w:val="24"/>
          <w:szCs w:val="24"/>
        </w:rPr>
        <w:t xml:space="preserve">s assessments identifying services being considered substantially systemically important </w:t>
      </w:r>
      <w:r w:rsidRPr="00412149">
        <w:rPr>
          <w:rFonts w:ascii="Times New Roman" w:eastAsia="Times New Roman" w:hAnsi="Times New Roman" w:cs="Times New Roman"/>
          <w:noProof/>
          <w:sz w:val="24"/>
          <w:szCs w:val="24"/>
        </w:rPr>
        <w:t>pursuant to Article 25(2c) of EMIR</w:t>
      </w:r>
      <w:r w:rsidR="00AA67AB" w:rsidRPr="00412149">
        <w:rPr>
          <w:rFonts w:ascii="Times New Roman" w:eastAsia="Times New Roman" w:hAnsi="Times New Roman" w:cs="Times New Roman"/>
          <w:noProof/>
          <w:sz w:val="24"/>
          <w:szCs w:val="24"/>
        </w:rPr>
        <w:t>, t</w:t>
      </w:r>
      <w:r w:rsidRPr="00412149">
        <w:rPr>
          <w:rFonts w:ascii="Times New Roman" w:eastAsia="Times New Roman" w:hAnsi="Times New Roman" w:cs="Times New Roman"/>
          <w:noProof/>
          <w:sz w:val="24"/>
          <w:szCs w:val="24"/>
        </w:rPr>
        <w:t xml:space="preserve">he Commission could also be empowered to make changes to the list of instruments subject to the requirement to be cleared at a </w:t>
      </w:r>
      <w:r w:rsidR="00AA67AB" w:rsidRPr="00412149">
        <w:rPr>
          <w:rFonts w:ascii="Times New Roman" w:eastAsia="Times New Roman" w:hAnsi="Times New Roman" w:cs="Times New Roman"/>
          <w:noProof/>
          <w:sz w:val="24"/>
          <w:szCs w:val="24"/>
        </w:rPr>
        <w:t xml:space="preserve">certain proportion in an EU CCP. </w:t>
      </w:r>
    </w:p>
    <w:p w14:paraId="6A218ADA" w14:textId="1286B324" w:rsidR="00E2151E" w:rsidRDefault="00095320" w:rsidP="00A51059">
      <w:pPr>
        <w:spacing w:after="120" w:line="240" w:lineRule="auto"/>
        <w:jc w:val="both"/>
        <w:rPr>
          <w:rFonts w:ascii="Times New Roman" w:eastAsia="Times New Roman" w:hAnsi="Times New Roman" w:cs="Times New Roman"/>
          <w:noProof/>
          <w:sz w:val="24"/>
          <w:szCs w:val="20"/>
        </w:rPr>
      </w:pPr>
      <w:r w:rsidRPr="004F2951">
        <w:rPr>
          <w:rFonts w:ascii="Times New Roman" w:eastAsia="Times New Roman" w:hAnsi="Times New Roman" w:cs="Times New Roman"/>
          <w:noProof/>
          <w:sz w:val="24"/>
          <w:szCs w:val="20"/>
        </w:rPr>
        <w:t xml:space="preserve">Moreover, the implementation of the measures aimed at </w:t>
      </w:r>
      <w:r w:rsidR="006C2697">
        <w:rPr>
          <w:rFonts w:ascii="Times New Roman" w:eastAsia="Times New Roman" w:hAnsi="Times New Roman" w:cs="Times New Roman"/>
          <w:noProof/>
          <w:sz w:val="24"/>
          <w:szCs w:val="20"/>
        </w:rPr>
        <w:t>encouraging</w:t>
      </w:r>
      <w:r w:rsidR="006C2697" w:rsidRPr="004F2951">
        <w:rPr>
          <w:rFonts w:ascii="Times New Roman" w:eastAsia="Times New Roman" w:hAnsi="Times New Roman" w:cs="Times New Roman"/>
          <w:noProof/>
          <w:sz w:val="24"/>
          <w:szCs w:val="20"/>
        </w:rPr>
        <w:t xml:space="preserve"> </w:t>
      </w:r>
      <w:r w:rsidRPr="004F2951">
        <w:rPr>
          <w:rFonts w:ascii="Times New Roman" w:eastAsia="Times New Roman" w:hAnsi="Times New Roman" w:cs="Times New Roman"/>
          <w:noProof/>
          <w:sz w:val="24"/>
          <w:szCs w:val="20"/>
        </w:rPr>
        <w:t xml:space="preserve">clearing at EU CCPs, including those calibrated in a level 2 act, </w:t>
      </w:r>
      <w:r w:rsidR="00DB0EDD">
        <w:rPr>
          <w:rFonts w:ascii="Times New Roman" w:eastAsia="Times New Roman" w:hAnsi="Times New Roman" w:cs="Times New Roman"/>
          <w:noProof/>
          <w:sz w:val="24"/>
          <w:szCs w:val="20"/>
        </w:rPr>
        <w:t>could</w:t>
      </w:r>
      <w:r w:rsidR="00DB0EDD" w:rsidRPr="004F2951">
        <w:rPr>
          <w:rFonts w:ascii="Times New Roman" w:eastAsia="Times New Roman" w:hAnsi="Times New Roman" w:cs="Times New Roman"/>
          <w:noProof/>
          <w:sz w:val="24"/>
          <w:szCs w:val="20"/>
        </w:rPr>
        <w:t xml:space="preserve"> </w:t>
      </w:r>
      <w:r w:rsidRPr="004F2951">
        <w:rPr>
          <w:rFonts w:ascii="Times New Roman" w:eastAsia="Times New Roman" w:hAnsi="Times New Roman" w:cs="Times New Roman"/>
          <w:noProof/>
          <w:sz w:val="24"/>
          <w:szCs w:val="20"/>
        </w:rPr>
        <w:t xml:space="preserve">be </w:t>
      </w:r>
      <w:r w:rsidRPr="004F2951">
        <w:rPr>
          <w:rFonts w:ascii="Times New Roman" w:eastAsia="Times New Roman" w:hAnsi="Times New Roman" w:cs="Times New Roman"/>
          <w:b/>
          <w:noProof/>
          <w:sz w:val="24"/>
          <w:szCs w:val="20"/>
        </w:rPr>
        <w:t>monitored on an ongoing basis by a cross-sectoral monitoring mechanism</w:t>
      </w:r>
      <w:r w:rsidRPr="004F2951">
        <w:rPr>
          <w:rFonts w:ascii="Times New Roman" w:eastAsia="Times New Roman" w:hAnsi="Times New Roman" w:cs="Times New Roman"/>
          <w:noProof/>
          <w:sz w:val="24"/>
          <w:szCs w:val="20"/>
        </w:rPr>
        <w:t xml:space="preserve"> (see Section 7.3.1), in order to allow for their quick review if necessary.</w:t>
      </w:r>
      <w:r w:rsidR="007F5DF2">
        <w:rPr>
          <w:rFonts w:ascii="Times New Roman" w:eastAsia="Times New Roman" w:hAnsi="Times New Roman" w:cs="Times New Roman"/>
          <w:noProof/>
          <w:sz w:val="24"/>
          <w:szCs w:val="20"/>
        </w:rPr>
        <w:t xml:space="preserve"> </w:t>
      </w:r>
      <w:r w:rsidR="00412149">
        <w:rPr>
          <w:rFonts w:ascii="Times New Roman" w:eastAsia="Times New Roman" w:hAnsi="Times New Roman" w:cs="Times New Roman"/>
          <w:noProof/>
          <w:sz w:val="24"/>
          <w:szCs w:val="20"/>
        </w:rPr>
        <w:t>The</w:t>
      </w:r>
      <w:r w:rsidR="007F5DF2">
        <w:rPr>
          <w:rFonts w:ascii="Times New Roman" w:eastAsia="Times New Roman" w:hAnsi="Times New Roman" w:cs="Times New Roman"/>
          <w:noProof/>
          <w:sz w:val="24"/>
          <w:szCs w:val="20"/>
        </w:rPr>
        <w:t xml:space="preserve"> level 2 act </w:t>
      </w:r>
      <w:r w:rsidR="00DB0EDD">
        <w:rPr>
          <w:rFonts w:ascii="Times New Roman" w:eastAsia="Times New Roman" w:hAnsi="Times New Roman" w:cs="Times New Roman"/>
          <w:noProof/>
          <w:sz w:val="24"/>
          <w:szCs w:val="20"/>
        </w:rPr>
        <w:t xml:space="preserve">can </w:t>
      </w:r>
      <w:r w:rsidR="00C16C11">
        <w:rPr>
          <w:rFonts w:ascii="Times New Roman" w:eastAsia="Times New Roman" w:hAnsi="Times New Roman" w:cs="Times New Roman"/>
          <w:noProof/>
          <w:sz w:val="24"/>
          <w:szCs w:val="20"/>
        </w:rPr>
        <w:t xml:space="preserve">more quickly </w:t>
      </w:r>
      <w:r w:rsidR="00DB0EDD">
        <w:rPr>
          <w:rFonts w:ascii="Times New Roman" w:eastAsia="Times New Roman" w:hAnsi="Times New Roman" w:cs="Times New Roman"/>
          <w:noProof/>
          <w:sz w:val="24"/>
          <w:szCs w:val="20"/>
        </w:rPr>
        <w:t xml:space="preserve">be adapted </w:t>
      </w:r>
      <w:r w:rsidR="00C16C11">
        <w:rPr>
          <w:rFonts w:ascii="Times New Roman" w:eastAsia="Times New Roman" w:hAnsi="Times New Roman" w:cs="Times New Roman"/>
          <w:noProof/>
          <w:sz w:val="24"/>
          <w:szCs w:val="20"/>
        </w:rPr>
        <w:t xml:space="preserve">to changed circumstances </w:t>
      </w:r>
      <w:r w:rsidR="007F5DF2">
        <w:rPr>
          <w:rFonts w:ascii="Times New Roman" w:eastAsia="Times New Roman" w:hAnsi="Times New Roman" w:cs="Times New Roman"/>
          <w:noProof/>
          <w:sz w:val="24"/>
          <w:szCs w:val="20"/>
        </w:rPr>
        <w:t xml:space="preserve">than </w:t>
      </w:r>
      <w:r w:rsidR="00DB0EDD">
        <w:rPr>
          <w:rFonts w:ascii="Times New Roman" w:eastAsia="Times New Roman" w:hAnsi="Times New Roman" w:cs="Times New Roman"/>
          <w:noProof/>
          <w:sz w:val="24"/>
          <w:szCs w:val="20"/>
        </w:rPr>
        <w:t>EMIR</w:t>
      </w:r>
      <w:r w:rsidR="007F5DF2">
        <w:rPr>
          <w:rFonts w:ascii="Times New Roman" w:eastAsia="Times New Roman" w:hAnsi="Times New Roman" w:cs="Times New Roman"/>
          <w:noProof/>
          <w:sz w:val="24"/>
          <w:szCs w:val="20"/>
        </w:rPr>
        <w:t xml:space="preserve">, so this choice provides for </w:t>
      </w:r>
      <w:r w:rsidR="00DB0EDD">
        <w:rPr>
          <w:rFonts w:ascii="Times New Roman" w:eastAsia="Times New Roman" w:hAnsi="Times New Roman" w:cs="Times New Roman"/>
          <w:noProof/>
          <w:sz w:val="24"/>
          <w:szCs w:val="20"/>
        </w:rPr>
        <w:t xml:space="preserve">an </w:t>
      </w:r>
      <w:r w:rsidR="007F5DF2">
        <w:rPr>
          <w:rFonts w:ascii="Times New Roman" w:eastAsia="Times New Roman" w:hAnsi="Times New Roman" w:cs="Times New Roman"/>
          <w:noProof/>
          <w:sz w:val="24"/>
          <w:szCs w:val="20"/>
        </w:rPr>
        <w:t>appropriate degree of flexibility</w:t>
      </w:r>
      <w:r w:rsidR="00982A71">
        <w:rPr>
          <w:rFonts w:ascii="Times New Roman" w:eastAsia="Times New Roman" w:hAnsi="Times New Roman" w:cs="Times New Roman"/>
          <w:noProof/>
          <w:sz w:val="24"/>
          <w:szCs w:val="20"/>
        </w:rPr>
        <w:t xml:space="preserve"> and allows for the careful </w:t>
      </w:r>
      <w:r w:rsidR="00DB0EDD">
        <w:rPr>
          <w:rFonts w:ascii="Times New Roman" w:eastAsia="Times New Roman" w:hAnsi="Times New Roman" w:cs="Times New Roman"/>
          <w:noProof/>
          <w:sz w:val="24"/>
          <w:szCs w:val="20"/>
        </w:rPr>
        <w:t>and proportionate</w:t>
      </w:r>
      <w:r w:rsidR="00982A71">
        <w:rPr>
          <w:rFonts w:ascii="Times New Roman" w:eastAsia="Times New Roman" w:hAnsi="Times New Roman" w:cs="Times New Roman"/>
          <w:noProof/>
          <w:sz w:val="24"/>
          <w:szCs w:val="20"/>
        </w:rPr>
        <w:t xml:space="preserve"> calibration of </w:t>
      </w:r>
      <w:r w:rsidR="00DB0EDD">
        <w:rPr>
          <w:rFonts w:ascii="Times New Roman" w:eastAsia="Times New Roman" w:hAnsi="Times New Roman" w:cs="Times New Roman"/>
          <w:noProof/>
          <w:sz w:val="24"/>
          <w:szCs w:val="20"/>
        </w:rPr>
        <w:t>the requirement</w:t>
      </w:r>
      <w:r w:rsidR="007F5DF2">
        <w:rPr>
          <w:rFonts w:ascii="Times New Roman" w:eastAsia="Times New Roman" w:hAnsi="Times New Roman" w:cs="Times New Roman"/>
          <w:noProof/>
          <w:sz w:val="24"/>
          <w:szCs w:val="20"/>
        </w:rPr>
        <w:t xml:space="preserve">. </w:t>
      </w:r>
    </w:p>
    <w:p w14:paraId="6E831AC5" w14:textId="23184D0B" w:rsidR="009D1102" w:rsidRPr="00D1457A" w:rsidRDefault="009D1102" w:rsidP="00A51059">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This may lead to</w:t>
      </w:r>
      <w:r w:rsidRPr="00BC78A5">
        <w:rPr>
          <w:rFonts w:ascii="Times New Roman" w:eastAsia="Calibri" w:hAnsi="Times New Roman" w:cs="Times New Roman"/>
          <w:noProof/>
          <w:sz w:val="24"/>
          <w:szCs w:val="24"/>
        </w:rPr>
        <w:t xml:space="preserve"> additional costs relevant for “one in, one out”, </w:t>
      </w:r>
      <w:r>
        <w:rPr>
          <w:rFonts w:ascii="Times New Roman" w:eastAsia="Calibri" w:hAnsi="Times New Roman" w:cs="Times New Roman"/>
          <w:noProof/>
          <w:sz w:val="24"/>
          <w:szCs w:val="24"/>
        </w:rPr>
        <w:t xml:space="preserve">as </w:t>
      </w:r>
      <w:r w:rsidRPr="00BC78A5">
        <w:rPr>
          <w:rFonts w:ascii="Times New Roman" w:eastAsia="Calibri" w:hAnsi="Times New Roman" w:cs="Times New Roman"/>
          <w:noProof/>
          <w:sz w:val="24"/>
          <w:szCs w:val="24"/>
        </w:rPr>
        <w:t>there will be some administrative costs related to the reporting of active account requirements as well as very limited paperwork related to opening an account with a CCP. The reporting of active account requirements needs to be ensured continuously and the related costs will therefore be of a recurrent nature</w:t>
      </w:r>
      <w:r>
        <w:rPr>
          <w:rFonts w:ascii="Times New Roman" w:eastAsia="Calibri" w:hAnsi="Times New Roman" w:cs="Times New Roman"/>
          <w:noProof/>
          <w:sz w:val="24"/>
          <w:szCs w:val="24"/>
        </w:rPr>
        <w:t>, even though presumably quite limited</w:t>
      </w:r>
      <w:r w:rsidRPr="00BC78A5">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The</w:t>
      </w:r>
      <w:r w:rsidRPr="00BC78A5">
        <w:rPr>
          <w:rFonts w:ascii="Times New Roman" w:eastAsia="Calibri" w:hAnsi="Times New Roman" w:cs="Times New Roman"/>
          <w:noProof/>
          <w:sz w:val="24"/>
          <w:szCs w:val="24"/>
        </w:rPr>
        <w:t xml:space="preserve"> paperwork related to opening an account with a CCP will be a one-off cost occurring when the account is actually opened. The magnitude of these costs depends on the specification of the active account requirements in the delegated act and the frequency of reporting.</w:t>
      </w:r>
    </w:p>
    <w:p w14:paraId="583DEFF6" w14:textId="103C98B7" w:rsidR="000923BE" w:rsidRPr="002661A8" w:rsidRDefault="002D2C6A" w:rsidP="00095320">
      <w:pPr>
        <w:tabs>
          <w:tab w:val="left" w:pos="2302"/>
        </w:tabs>
        <w:spacing w:after="120" w:line="240" w:lineRule="auto"/>
        <w:jc w:val="both"/>
        <w:rPr>
          <w:rFonts w:ascii="Times New Roman" w:eastAsia="Times New Roman" w:hAnsi="Times New Roman" w:cs="Times New Roman"/>
          <w:noProof/>
          <w:sz w:val="24"/>
          <w:szCs w:val="24"/>
        </w:rPr>
      </w:pPr>
      <w:r w:rsidRPr="002661A8">
        <w:rPr>
          <w:rFonts w:ascii="Times New Roman" w:hAnsi="Times New Roman" w:cs="Times New Roman"/>
          <w:noProof/>
          <w:sz w:val="24"/>
          <w:szCs w:val="24"/>
        </w:rPr>
        <w:t>In the targeted consultation, this was one of the more widely supported measures with 85% of respondents finding requiring an active account a reasonable measure.</w:t>
      </w:r>
      <w:r w:rsidR="00FD26F9" w:rsidRPr="002661A8">
        <w:rPr>
          <w:rStyle w:val="FootnoteReference"/>
          <w:rFonts w:ascii="Times New Roman" w:hAnsi="Times New Roman" w:cs="Times New Roman"/>
          <w:noProof/>
          <w:sz w:val="24"/>
          <w:szCs w:val="24"/>
        </w:rPr>
        <w:footnoteReference w:id="137"/>
      </w:r>
      <w:r w:rsidR="00E2151E">
        <w:rPr>
          <w:rFonts w:ascii="Times New Roman" w:hAnsi="Times New Roman" w:cs="Times New Roman"/>
          <w:noProof/>
          <w:sz w:val="24"/>
          <w:szCs w:val="24"/>
        </w:rPr>
        <w:t xml:space="preserve"> </w:t>
      </w:r>
      <w:r w:rsidR="00E2151E" w:rsidRPr="00E2151E">
        <w:rPr>
          <w:rFonts w:ascii="Times New Roman" w:hAnsi="Times New Roman" w:cs="Times New Roman"/>
          <w:noProof/>
          <w:sz w:val="24"/>
          <w:szCs w:val="24"/>
        </w:rPr>
        <w:t xml:space="preserve">Views differed however on how an active account should be defined. Some stakeholders (including market participants and a public authority) noted that an active account should only be a back-up solution for occasional use in order to test the account’s smooth functioning. Other stakeholders (including </w:t>
      </w:r>
      <w:r w:rsidR="008A3D45">
        <w:rPr>
          <w:rFonts w:ascii="Times New Roman" w:hAnsi="Times New Roman" w:cs="Times New Roman"/>
          <w:noProof/>
          <w:sz w:val="24"/>
          <w:szCs w:val="24"/>
        </w:rPr>
        <w:t>two</w:t>
      </w:r>
      <w:r w:rsidR="00E2151E" w:rsidRPr="00E2151E">
        <w:rPr>
          <w:rFonts w:ascii="Times New Roman" w:hAnsi="Times New Roman" w:cs="Times New Roman"/>
          <w:noProof/>
          <w:sz w:val="24"/>
          <w:szCs w:val="24"/>
        </w:rPr>
        <w:t xml:space="preserve"> EU CCPs, market participants and </w:t>
      </w:r>
      <w:r w:rsidR="008A3D45">
        <w:rPr>
          <w:rFonts w:ascii="Times New Roman" w:hAnsi="Times New Roman" w:cs="Times New Roman"/>
          <w:noProof/>
          <w:sz w:val="24"/>
          <w:szCs w:val="24"/>
        </w:rPr>
        <w:t>two</w:t>
      </w:r>
      <w:r w:rsidR="00E2151E" w:rsidRPr="00E2151E">
        <w:rPr>
          <w:rFonts w:ascii="Times New Roman" w:hAnsi="Times New Roman" w:cs="Times New Roman"/>
          <w:noProof/>
          <w:sz w:val="24"/>
          <w:szCs w:val="24"/>
        </w:rPr>
        <w:t xml:space="preserve"> public authorities) suggested that an active account should have requirements regarding the level of its use. Suggestions varied considerably regarding the nature of these requirements, ranging from a discretionary ‘reasonable’ frequency of use to fixed thresholds as well as having mandatory clearing in active accounts at EU CCPs for certain products.</w:t>
      </w:r>
      <w:r w:rsidR="00E2151E">
        <w:rPr>
          <w:rStyle w:val="FootnoteReference"/>
          <w:rFonts w:ascii="Times New Roman" w:hAnsi="Times New Roman" w:cs="Times New Roman"/>
          <w:noProof/>
          <w:sz w:val="24"/>
          <w:szCs w:val="24"/>
        </w:rPr>
        <w:footnoteReference w:id="138"/>
      </w:r>
    </w:p>
    <w:p w14:paraId="0D600207" w14:textId="361B8462" w:rsidR="006464DB" w:rsidRPr="006464DB" w:rsidRDefault="006464DB" w:rsidP="006464DB">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 the meeting with Member States on 16 June 2022, </w:t>
      </w:r>
      <w:r w:rsidRPr="006464DB">
        <w:rPr>
          <w:rFonts w:ascii="Times New Roman" w:eastAsia="Times New Roman" w:hAnsi="Times New Roman" w:cs="Times New Roman"/>
          <w:noProof/>
          <w:sz w:val="24"/>
          <w:szCs w:val="24"/>
        </w:rPr>
        <w:t>Member States who expressed an opinion were either supportive of an active account requirement or open to look further into it, subject to certain conditions. In general, Member States highlighted that the details were important and proportionality should be respected.</w:t>
      </w:r>
    </w:p>
    <w:p w14:paraId="24AAC23B" w14:textId="0D4FEE11" w:rsidR="006464DB" w:rsidRPr="002661A8" w:rsidRDefault="006464DB" w:rsidP="006464DB">
      <w:pPr>
        <w:tabs>
          <w:tab w:val="left" w:pos="2302"/>
        </w:tabs>
        <w:spacing w:after="120" w:line="240" w:lineRule="auto"/>
        <w:jc w:val="both"/>
        <w:rPr>
          <w:rFonts w:ascii="Times New Roman" w:eastAsia="Times New Roman" w:hAnsi="Times New Roman" w:cs="Times New Roman"/>
          <w:noProof/>
          <w:sz w:val="24"/>
          <w:szCs w:val="24"/>
        </w:rPr>
      </w:pPr>
      <w:r w:rsidRPr="006464DB">
        <w:rPr>
          <w:rFonts w:ascii="Times New Roman" w:eastAsia="Times New Roman" w:hAnsi="Times New Roman" w:cs="Times New Roman"/>
          <w:noProof/>
          <w:sz w:val="24"/>
          <w:szCs w:val="24"/>
        </w:rPr>
        <w:t>Three Member States and one EU authority supported an active account requirement. Two of them and the EU authority said that such a requirement should focus on systemic clearing services, especially on services denominated in euro. Those Member States argued that an initial target should be set at the active account and re-evaluated and potentially be increased at a later stage. One of those Member States said that no volume requirements should be set at the beginning. Instead, qualitative measures should be used with quantitative measures following in a second stage. Another Member State expressed the view that quantitative thresholds should start with a rather low threshold and be re-calibrating further based on a detailed assessment of previous experiences. The same Member State suggested that not only clearing members but also a wider range of stakeholders should meet active account requirements. To take into account client clearing and its impact on proportionality aspects, clients with low exposures to third-country CCPs could be exempted from an active account requirement. A Member State suggested further to consider sanctions as an option where levels are not met and highlighted that it should not be supervisory authorities to set the threshold requirements.</w:t>
      </w:r>
      <w:r>
        <w:rPr>
          <w:rFonts w:ascii="Times New Roman" w:eastAsia="Times New Roman" w:hAnsi="Times New Roman" w:cs="Times New Roman"/>
          <w:noProof/>
          <w:sz w:val="24"/>
          <w:szCs w:val="24"/>
        </w:rPr>
        <w:t xml:space="preserve"> </w:t>
      </w:r>
      <w:r w:rsidRPr="006464DB">
        <w:rPr>
          <w:rFonts w:ascii="Times New Roman" w:eastAsia="Times New Roman" w:hAnsi="Times New Roman" w:cs="Times New Roman"/>
          <w:noProof/>
          <w:sz w:val="24"/>
          <w:szCs w:val="24"/>
        </w:rPr>
        <w:t>Five Member States indicated that they were open at the current stage. However, they argued that an active account requirement may mainly affect smaller parties and be burdensome. Therefore, these Member State indicated that first, costs related to an active account requirement would need to be considered and assessed before they could express an opinion. However, one EU authority explained that data cannot be shared easily due to data protection reasons.</w:t>
      </w:r>
      <w:r>
        <w:rPr>
          <w:rFonts w:ascii="Times New Roman" w:eastAsia="Times New Roman" w:hAnsi="Times New Roman" w:cs="Times New Roman"/>
          <w:noProof/>
          <w:sz w:val="24"/>
          <w:szCs w:val="24"/>
        </w:rPr>
        <w:t xml:space="preserve"> </w:t>
      </w:r>
      <w:r w:rsidRPr="006464DB">
        <w:rPr>
          <w:rFonts w:ascii="Times New Roman" w:eastAsia="Times New Roman" w:hAnsi="Times New Roman" w:cs="Times New Roman"/>
          <w:noProof/>
          <w:sz w:val="24"/>
          <w:szCs w:val="24"/>
        </w:rPr>
        <w:t>Two Member States expressed concerns that complexity may increase without much effect if only a qualitative requirement was introduced. One of these Member States highlighted the importance of appropriate supervision. One Member States explained that smaller market participants may be forced out of the EU by an active account requirement potentially leaving only big players in the market and causing concentration issues. The Member State explained that market making and clients of clearing members would need exceptions. One EU authority supported the introduction of active accounts and highlighted that active accounts as a backup plan would be insufficient to address elevated exposure levels to third-country CCPs and not lead to a risk reduction.</w:t>
      </w:r>
      <w:r w:rsidR="00E2151E">
        <w:rPr>
          <w:rStyle w:val="FootnoteReference"/>
          <w:rFonts w:ascii="Times New Roman" w:eastAsia="Times New Roman" w:hAnsi="Times New Roman" w:cs="Times New Roman"/>
          <w:noProof/>
          <w:sz w:val="24"/>
          <w:szCs w:val="24"/>
        </w:rPr>
        <w:footnoteReference w:id="139"/>
      </w:r>
    </w:p>
    <w:p w14:paraId="55690989" w14:textId="7B17D1B4" w:rsidR="00004F72" w:rsidRPr="002661A8" w:rsidRDefault="00D75B97" w:rsidP="00A61E96">
      <w:pPr>
        <w:tabs>
          <w:tab w:val="left" w:pos="2302"/>
        </w:tabs>
        <w:spacing w:after="120" w:line="240" w:lineRule="auto"/>
        <w:jc w:val="both"/>
        <w:rPr>
          <w:rFonts w:ascii="Times New Roman" w:eastAsia="Times New Roman" w:hAnsi="Times New Roman" w:cs="Times New Roman"/>
          <w:noProof/>
          <w:sz w:val="24"/>
          <w:szCs w:val="24"/>
        </w:rPr>
      </w:pPr>
      <w:r w:rsidRPr="002661A8">
        <w:rPr>
          <w:rFonts w:ascii="Times New Roman" w:eastAsia="Times New Roman" w:hAnsi="Times New Roman" w:cs="Times New Roman"/>
          <w:noProof/>
          <w:sz w:val="24"/>
          <w:szCs w:val="24"/>
        </w:rPr>
        <w:t>As regards the specific objective</w:t>
      </w:r>
      <w:r w:rsidR="00497F65">
        <w:rPr>
          <w:rFonts w:ascii="Times New Roman" w:eastAsia="Times New Roman" w:hAnsi="Times New Roman" w:cs="Times New Roman"/>
          <w:noProof/>
          <w:sz w:val="24"/>
          <w:szCs w:val="24"/>
        </w:rPr>
        <w:t xml:space="preserve"> to improve financial stability in the EU by reducing the excessive exposure to third-country CCPs</w:t>
      </w:r>
      <w:r w:rsidR="00B42CD2" w:rsidRPr="002661A8" w:rsidDel="00622D3F">
        <w:rPr>
          <w:rFonts w:ascii="Times New Roman" w:eastAsia="Times New Roman" w:hAnsi="Times New Roman" w:cs="Times New Roman"/>
          <w:noProof/>
          <w:sz w:val="24"/>
          <w:szCs w:val="24"/>
        </w:rPr>
        <w:t xml:space="preserve">, </w:t>
      </w:r>
      <w:r w:rsidR="00AC044C" w:rsidRPr="002661A8">
        <w:rPr>
          <w:rFonts w:ascii="Times New Roman" w:eastAsia="Times New Roman" w:hAnsi="Times New Roman" w:cs="Times New Roman"/>
          <w:noProof/>
          <w:sz w:val="24"/>
          <w:szCs w:val="24"/>
        </w:rPr>
        <w:t>t</w:t>
      </w:r>
      <w:r w:rsidR="00FD26F9" w:rsidRPr="002661A8">
        <w:rPr>
          <w:rFonts w:ascii="Times New Roman" w:eastAsia="Times New Roman" w:hAnsi="Times New Roman" w:cs="Times New Roman"/>
          <w:noProof/>
          <w:sz w:val="24"/>
          <w:szCs w:val="24"/>
        </w:rPr>
        <w:t xml:space="preserve">his </w:t>
      </w:r>
      <w:r w:rsidR="00B42CD2" w:rsidRPr="002661A8">
        <w:rPr>
          <w:rFonts w:ascii="Times New Roman" w:eastAsia="Times New Roman" w:hAnsi="Times New Roman" w:cs="Times New Roman"/>
          <w:noProof/>
          <w:sz w:val="24"/>
          <w:szCs w:val="24"/>
        </w:rPr>
        <w:t xml:space="preserve">option would not directly </w:t>
      </w:r>
      <w:r w:rsidR="00FD26F9" w:rsidRPr="002661A8">
        <w:rPr>
          <w:rFonts w:ascii="Times New Roman" w:eastAsia="Times New Roman" w:hAnsi="Times New Roman" w:cs="Times New Roman"/>
          <w:noProof/>
          <w:sz w:val="24"/>
          <w:szCs w:val="24"/>
        </w:rPr>
        <w:t xml:space="preserve">improve the attractiveness of EU CCPs, </w:t>
      </w:r>
      <w:r w:rsidR="00B42CD2" w:rsidRPr="002661A8">
        <w:rPr>
          <w:rFonts w:ascii="Times New Roman" w:eastAsia="Times New Roman" w:hAnsi="Times New Roman" w:cs="Times New Roman"/>
          <w:noProof/>
          <w:sz w:val="24"/>
          <w:szCs w:val="24"/>
        </w:rPr>
        <w:t>but could support its achievement</w:t>
      </w:r>
      <w:r w:rsidR="008A514D" w:rsidRPr="002661A8">
        <w:rPr>
          <w:rFonts w:ascii="Times New Roman" w:eastAsia="Times New Roman" w:hAnsi="Times New Roman" w:cs="Times New Roman"/>
          <w:noProof/>
          <w:sz w:val="24"/>
          <w:szCs w:val="24"/>
        </w:rPr>
        <w:t xml:space="preserve"> in the long term</w:t>
      </w:r>
      <w:r w:rsidR="00B42CD2" w:rsidRPr="002661A8">
        <w:rPr>
          <w:rFonts w:ascii="Times New Roman" w:eastAsia="Times New Roman" w:hAnsi="Times New Roman" w:cs="Times New Roman"/>
          <w:noProof/>
          <w:sz w:val="24"/>
          <w:szCs w:val="24"/>
        </w:rPr>
        <w:t xml:space="preserve">. Indeed, </w:t>
      </w:r>
      <w:r w:rsidR="00B64333" w:rsidRPr="002661A8">
        <w:rPr>
          <w:rFonts w:ascii="Times New Roman" w:eastAsia="Times New Roman" w:hAnsi="Times New Roman" w:cs="Times New Roman"/>
          <w:noProof/>
          <w:sz w:val="24"/>
          <w:szCs w:val="24"/>
        </w:rPr>
        <w:t>it</w:t>
      </w:r>
      <w:r w:rsidR="00B42CD2" w:rsidRPr="002661A8">
        <w:rPr>
          <w:rFonts w:ascii="Times New Roman" w:eastAsia="Times New Roman" w:hAnsi="Times New Roman" w:cs="Times New Roman"/>
          <w:noProof/>
          <w:sz w:val="24"/>
          <w:szCs w:val="24"/>
        </w:rPr>
        <w:t xml:space="preserve"> would oblige market participants to clear </w:t>
      </w:r>
      <w:r w:rsidR="00B64333" w:rsidRPr="002661A8">
        <w:rPr>
          <w:rFonts w:ascii="Times New Roman" w:eastAsia="Times New Roman" w:hAnsi="Times New Roman" w:cs="Times New Roman"/>
          <w:noProof/>
          <w:sz w:val="24"/>
          <w:szCs w:val="24"/>
        </w:rPr>
        <w:t>some</w:t>
      </w:r>
      <w:r w:rsidR="00B42CD2" w:rsidRPr="002661A8">
        <w:rPr>
          <w:rFonts w:ascii="Times New Roman" w:eastAsia="Times New Roman" w:hAnsi="Times New Roman" w:cs="Times New Roman"/>
          <w:noProof/>
          <w:sz w:val="24"/>
          <w:szCs w:val="24"/>
        </w:rPr>
        <w:t xml:space="preserve"> of their trades at an EU CCP</w:t>
      </w:r>
      <w:r w:rsidR="00AA6F18">
        <w:rPr>
          <w:rFonts w:ascii="Times New Roman" w:eastAsia="Times New Roman" w:hAnsi="Times New Roman" w:cs="Times New Roman"/>
          <w:noProof/>
          <w:sz w:val="24"/>
          <w:szCs w:val="24"/>
        </w:rPr>
        <w:t xml:space="preserve">. </w:t>
      </w:r>
      <w:r w:rsidR="00B42CD2" w:rsidRPr="002661A8">
        <w:rPr>
          <w:rFonts w:ascii="Times New Roman" w:eastAsia="Times New Roman" w:hAnsi="Times New Roman" w:cs="Times New Roman"/>
          <w:noProof/>
          <w:sz w:val="24"/>
          <w:szCs w:val="24"/>
        </w:rPr>
        <w:t xml:space="preserve">EU CCPs would </w:t>
      </w:r>
      <w:r w:rsidR="00AA6F18">
        <w:rPr>
          <w:rFonts w:ascii="Times New Roman" w:eastAsia="Times New Roman" w:hAnsi="Times New Roman" w:cs="Times New Roman"/>
          <w:noProof/>
          <w:sz w:val="24"/>
          <w:szCs w:val="24"/>
        </w:rPr>
        <w:t>therefore</w:t>
      </w:r>
      <w:r w:rsidR="00AA6F18" w:rsidRPr="002661A8">
        <w:rPr>
          <w:rFonts w:ascii="Times New Roman" w:eastAsia="Times New Roman" w:hAnsi="Times New Roman" w:cs="Times New Roman"/>
          <w:noProof/>
          <w:sz w:val="24"/>
          <w:szCs w:val="24"/>
        </w:rPr>
        <w:t xml:space="preserve"> </w:t>
      </w:r>
      <w:r w:rsidR="00B42CD2" w:rsidRPr="002661A8">
        <w:rPr>
          <w:rFonts w:ascii="Times New Roman" w:eastAsia="Times New Roman" w:hAnsi="Times New Roman" w:cs="Times New Roman"/>
          <w:noProof/>
          <w:sz w:val="24"/>
          <w:szCs w:val="24"/>
        </w:rPr>
        <w:t>face greater demand for their services</w:t>
      </w:r>
      <w:r w:rsidR="008A514D" w:rsidRPr="002661A8">
        <w:rPr>
          <w:rFonts w:ascii="Times New Roman" w:eastAsia="Times New Roman" w:hAnsi="Times New Roman" w:cs="Times New Roman"/>
          <w:noProof/>
          <w:sz w:val="24"/>
          <w:szCs w:val="24"/>
        </w:rPr>
        <w:t xml:space="preserve"> and increase their liquidity</w:t>
      </w:r>
      <w:r w:rsidR="00B42CD2" w:rsidRPr="002661A8">
        <w:rPr>
          <w:rFonts w:ascii="Times New Roman" w:eastAsia="Times New Roman" w:hAnsi="Times New Roman" w:cs="Times New Roman"/>
          <w:noProof/>
          <w:sz w:val="24"/>
          <w:szCs w:val="24"/>
        </w:rPr>
        <w:t xml:space="preserve">. This could trigger a virtuous circle by which EU CCPs would be more pro-active in improving their offer and better tailor it to the needs of participants. Also, in potentially bringing more participants to EU CCPs and greater volumes, this option would improve liquidity at EU CCPs thus fostering their attractiveness and </w:t>
      </w:r>
      <w:r w:rsidR="00480E7C" w:rsidRPr="002661A8">
        <w:rPr>
          <w:rFonts w:ascii="Times New Roman" w:eastAsia="Times New Roman" w:hAnsi="Times New Roman" w:cs="Times New Roman"/>
          <w:noProof/>
          <w:sz w:val="24"/>
          <w:szCs w:val="24"/>
        </w:rPr>
        <w:t>robustness</w:t>
      </w:r>
      <w:r w:rsidR="00B42CD2" w:rsidRPr="002661A8">
        <w:rPr>
          <w:rFonts w:ascii="Times New Roman" w:eastAsia="Times New Roman" w:hAnsi="Times New Roman" w:cs="Times New Roman"/>
          <w:noProof/>
          <w:sz w:val="24"/>
          <w:szCs w:val="24"/>
        </w:rPr>
        <w:t>.</w:t>
      </w:r>
      <w:r w:rsidR="00FD26F9" w:rsidRPr="002661A8">
        <w:rPr>
          <w:rFonts w:ascii="Times New Roman" w:eastAsia="Times New Roman" w:hAnsi="Times New Roman" w:cs="Times New Roman"/>
          <w:noProof/>
          <w:sz w:val="24"/>
          <w:szCs w:val="24"/>
        </w:rPr>
        <w:t xml:space="preserve"> T</w:t>
      </w:r>
      <w:r w:rsidR="00004F72" w:rsidRPr="002661A8">
        <w:rPr>
          <w:rFonts w:ascii="Times New Roman" w:eastAsia="Times New Roman" w:hAnsi="Times New Roman" w:cs="Times New Roman"/>
          <w:noProof/>
          <w:sz w:val="24"/>
          <w:szCs w:val="24"/>
        </w:rPr>
        <w:t xml:space="preserve">his option would be </w:t>
      </w:r>
      <w:r w:rsidR="00FD26F9" w:rsidRPr="002661A8">
        <w:rPr>
          <w:rFonts w:ascii="Times New Roman" w:eastAsia="Times New Roman" w:hAnsi="Times New Roman" w:cs="Times New Roman"/>
          <w:noProof/>
          <w:sz w:val="24"/>
          <w:szCs w:val="24"/>
        </w:rPr>
        <w:t xml:space="preserve">very </w:t>
      </w:r>
      <w:r w:rsidR="00004F72" w:rsidRPr="002661A8">
        <w:rPr>
          <w:rFonts w:ascii="Times New Roman" w:eastAsia="Times New Roman" w:hAnsi="Times New Roman" w:cs="Times New Roman"/>
          <w:noProof/>
          <w:sz w:val="24"/>
          <w:szCs w:val="24"/>
        </w:rPr>
        <w:t>effective</w:t>
      </w:r>
      <w:r w:rsidR="00FD26F9" w:rsidRPr="002661A8">
        <w:rPr>
          <w:rFonts w:ascii="Times New Roman" w:eastAsia="Times New Roman" w:hAnsi="Times New Roman" w:cs="Times New Roman"/>
          <w:noProof/>
          <w:sz w:val="24"/>
          <w:szCs w:val="24"/>
        </w:rPr>
        <w:t xml:space="preserve"> </w:t>
      </w:r>
      <w:r w:rsidR="00AC044C" w:rsidRPr="002661A8">
        <w:rPr>
          <w:rFonts w:ascii="Times New Roman" w:eastAsia="Times New Roman" w:hAnsi="Times New Roman" w:cs="Times New Roman"/>
          <w:noProof/>
          <w:sz w:val="24"/>
          <w:szCs w:val="24"/>
        </w:rPr>
        <w:t xml:space="preserve">with respect to </w:t>
      </w:r>
      <w:r w:rsidR="00AA6F18" w:rsidRPr="002661A8">
        <w:rPr>
          <w:rFonts w:ascii="Times New Roman" w:eastAsia="Times New Roman" w:hAnsi="Times New Roman" w:cs="Times New Roman"/>
          <w:noProof/>
          <w:sz w:val="24"/>
          <w:szCs w:val="24"/>
        </w:rPr>
        <w:t>encourag</w:t>
      </w:r>
      <w:r w:rsidR="00AA6F18">
        <w:rPr>
          <w:rFonts w:ascii="Times New Roman" w:eastAsia="Times New Roman" w:hAnsi="Times New Roman" w:cs="Times New Roman"/>
          <w:noProof/>
          <w:sz w:val="24"/>
          <w:szCs w:val="24"/>
        </w:rPr>
        <w:t>ing</w:t>
      </w:r>
      <w:r w:rsidR="00FD26F9" w:rsidRPr="002661A8">
        <w:rPr>
          <w:rFonts w:ascii="Times New Roman" w:eastAsia="Times New Roman" w:hAnsi="Times New Roman" w:cs="Times New Roman"/>
          <w:noProof/>
          <w:sz w:val="24"/>
          <w:szCs w:val="24"/>
        </w:rPr>
        <w:t xml:space="preserve"> clearing in the EU</w:t>
      </w:r>
      <w:r w:rsidR="00AC044C" w:rsidRPr="002661A8">
        <w:rPr>
          <w:rFonts w:ascii="Times New Roman" w:eastAsia="Times New Roman" w:hAnsi="Times New Roman" w:cs="Times New Roman"/>
          <w:noProof/>
          <w:sz w:val="24"/>
          <w:szCs w:val="24"/>
        </w:rPr>
        <w:t>,</w:t>
      </w:r>
      <w:r w:rsidR="00004F72" w:rsidRPr="002661A8">
        <w:rPr>
          <w:rFonts w:ascii="Times New Roman" w:eastAsia="Times New Roman" w:hAnsi="Times New Roman" w:cs="Times New Roman"/>
          <w:noProof/>
          <w:sz w:val="24"/>
          <w:szCs w:val="24"/>
        </w:rPr>
        <w:t xml:space="preserve"> as it would require clearing at least a certain portion of trades in the EU.</w:t>
      </w:r>
    </w:p>
    <w:p w14:paraId="21ED5FC7" w14:textId="500AC62C" w:rsidR="00004F72" w:rsidRPr="002661A8" w:rsidRDefault="00523BF7" w:rsidP="00A61E96">
      <w:pPr>
        <w:tabs>
          <w:tab w:val="left" w:pos="2302"/>
        </w:tabs>
        <w:spacing w:after="120" w:line="240" w:lineRule="auto"/>
        <w:jc w:val="both"/>
        <w:rPr>
          <w:rFonts w:ascii="Times New Roman" w:eastAsia="Times New Roman" w:hAnsi="Times New Roman" w:cs="Times New Roman"/>
          <w:noProof/>
          <w:sz w:val="24"/>
          <w:szCs w:val="24"/>
        </w:rPr>
      </w:pPr>
      <w:r w:rsidRPr="002661A8">
        <w:rPr>
          <w:rFonts w:ascii="Times New Roman" w:eastAsia="Times New Roman" w:hAnsi="Times New Roman" w:cs="Times New Roman"/>
          <w:noProof/>
          <w:sz w:val="24"/>
          <w:szCs w:val="24"/>
        </w:rPr>
        <w:t>T</w:t>
      </w:r>
      <w:r w:rsidRPr="002661A8">
        <w:rPr>
          <w:rFonts w:ascii="Times New Roman" w:eastAsia="Calibri" w:hAnsi="Times New Roman" w:cs="Times New Roman"/>
          <w:noProof/>
          <w:sz w:val="24"/>
          <w:szCs w:val="24"/>
        </w:rPr>
        <w:t xml:space="preserve">his </w:t>
      </w:r>
      <w:r w:rsidR="00BE3378" w:rsidRPr="002661A8">
        <w:rPr>
          <w:rFonts w:ascii="Times New Roman" w:eastAsia="Calibri" w:hAnsi="Times New Roman" w:cs="Times New Roman"/>
          <w:noProof/>
          <w:sz w:val="24"/>
          <w:szCs w:val="24"/>
        </w:rPr>
        <w:t xml:space="preserve">measure </w:t>
      </w:r>
      <w:r w:rsidR="00F20477" w:rsidRPr="002661A8">
        <w:rPr>
          <w:rFonts w:ascii="Times New Roman" w:eastAsia="Calibri" w:hAnsi="Times New Roman" w:cs="Times New Roman"/>
          <w:noProof/>
          <w:sz w:val="24"/>
          <w:szCs w:val="24"/>
        </w:rPr>
        <w:t>is</w:t>
      </w:r>
      <w:r w:rsidR="00BE3378" w:rsidRPr="002661A8">
        <w:rPr>
          <w:rFonts w:ascii="Times New Roman" w:eastAsia="Calibri" w:hAnsi="Times New Roman" w:cs="Times New Roman"/>
          <w:noProof/>
          <w:sz w:val="24"/>
          <w:szCs w:val="24"/>
        </w:rPr>
        <w:t xml:space="preserve"> </w:t>
      </w:r>
      <w:r w:rsidR="00AA6F18">
        <w:rPr>
          <w:rFonts w:ascii="Times New Roman" w:eastAsia="Calibri" w:hAnsi="Times New Roman" w:cs="Times New Roman"/>
          <w:noProof/>
          <w:sz w:val="24"/>
          <w:szCs w:val="24"/>
        </w:rPr>
        <w:t xml:space="preserve">therefore </w:t>
      </w:r>
      <w:r w:rsidR="00BE3378" w:rsidRPr="002661A8">
        <w:rPr>
          <w:rFonts w:ascii="Times New Roman" w:eastAsia="Calibri" w:hAnsi="Times New Roman" w:cs="Times New Roman"/>
          <w:noProof/>
          <w:sz w:val="24"/>
          <w:szCs w:val="24"/>
        </w:rPr>
        <w:t>likely to promote better control of the risks related to market participants</w:t>
      </w:r>
      <w:r w:rsidR="00622D3F" w:rsidRPr="002661A8">
        <w:rPr>
          <w:rFonts w:ascii="Times New Roman" w:eastAsia="Calibri" w:hAnsi="Times New Roman" w:cs="Times New Roman"/>
          <w:noProof/>
          <w:sz w:val="24"/>
          <w:szCs w:val="24"/>
        </w:rPr>
        <w:t xml:space="preserve">’ </w:t>
      </w:r>
      <w:r w:rsidR="000C228C" w:rsidRPr="002661A8">
        <w:rPr>
          <w:rFonts w:ascii="Times New Roman" w:eastAsia="Calibri" w:hAnsi="Times New Roman" w:cs="Times New Roman"/>
          <w:noProof/>
          <w:sz w:val="24"/>
          <w:szCs w:val="24"/>
        </w:rPr>
        <w:t xml:space="preserve">excessive </w:t>
      </w:r>
      <w:r w:rsidR="00622D3F" w:rsidRPr="002661A8">
        <w:rPr>
          <w:rFonts w:ascii="Times New Roman" w:eastAsia="Calibri" w:hAnsi="Times New Roman" w:cs="Times New Roman"/>
          <w:noProof/>
          <w:sz w:val="24"/>
          <w:szCs w:val="24"/>
        </w:rPr>
        <w:t>exposures</w:t>
      </w:r>
      <w:r w:rsidR="00BE3378" w:rsidRPr="002661A8">
        <w:rPr>
          <w:rFonts w:ascii="Times New Roman" w:eastAsia="Calibri" w:hAnsi="Times New Roman" w:cs="Times New Roman"/>
          <w:noProof/>
          <w:sz w:val="24"/>
          <w:szCs w:val="24"/>
        </w:rPr>
        <w:t xml:space="preserve"> to third-country CCPs, as </w:t>
      </w:r>
      <w:r w:rsidR="00F20477" w:rsidRPr="002661A8">
        <w:rPr>
          <w:rFonts w:ascii="Times New Roman" w:eastAsia="Calibri" w:hAnsi="Times New Roman" w:cs="Times New Roman"/>
          <w:noProof/>
          <w:sz w:val="24"/>
          <w:szCs w:val="24"/>
        </w:rPr>
        <w:t xml:space="preserve">it </w:t>
      </w:r>
      <w:r w:rsidR="00BE3378" w:rsidRPr="002661A8">
        <w:rPr>
          <w:rFonts w:ascii="Times New Roman" w:eastAsia="Calibri" w:hAnsi="Times New Roman" w:cs="Times New Roman"/>
          <w:noProof/>
          <w:sz w:val="24"/>
          <w:szCs w:val="24"/>
        </w:rPr>
        <w:t xml:space="preserve">would ensure </w:t>
      </w:r>
      <w:r w:rsidR="000771E8" w:rsidRPr="002661A8">
        <w:rPr>
          <w:rFonts w:ascii="Times New Roman" w:eastAsia="Calibri" w:hAnsi="Times New Roman" w:cs="Times New Roman"/>
          <w:noProof/>
          <w:sz w:val="24"/>
          <w:szCs w:val="24"/>
        </w:rPr>
        <w:t xml:space="preserve">more </w:t>
      </w:r>
      <w:r w:rsidR="00BE3378" w:rsidRPr="002661A8">
        <w:rPr>
          <w:rFonts w:ascii="Times New Roman" w:eastAsia="Calibri" w:hAnsi="Times New Roman" w:cs="Times New Roman"/>
          <w:noProof/>
          <w:sz w:val="24"/>
          <w:szCs w:val="24"/>
        </w:rPr>
        <w:t xml:space="preserve">clearing at an alternative </w:t>
      </w:r>
      <w:r w:rsidR="00F20477" w:rsidRPr="002661A8">
        <w:rPr>
          <w:rFonts w:ascii="Times New Roman" w:eastAsia="Calibri" w:hAnsi="Times New Roman" w:cs="Times New Roman"/>
          <w:noProof/>
          <w:sz w:val="24"/>
          <w:szCs w:val="24"/>
        </w:rPr>
        <w:t xml:space="preserve">EU </w:t>
      </w:r>
      <w:r w:rsidR="00BE3378" w:rsidRPr="002661A8">
        <w:rPr>
          <w:rFonts w:ascii="Times New Roman" w:eastAsia="Calibri" w:hAnsi="Times New Roman" w:cs="Times New Roman"/>
          <w:noProof/>
          <w:sz w:val="24"/>
          <w:szCs w:val="24"/>
        </w:rPr>
        <w:t xml:space="preserve">CCP. However, </w:t>
      </w:r>
      <w:r w:rsidR="00F20477" w:rsidRPr="002661A8">
        <w:rPr>
          <w:rFonts w:ascii="Times New Roman" w:eastAsia="Calibri" w:hAnsi="Times New Roman" w:cs="Times New Roman"/>
          <w:noProof/>
          <w:sz w:val="24"/>
          <w:szCs w:val="24"/>
        </w:rPr>
        <w:t>it</w:t>
      </w:r>
      <w:r w:rsidR="00BE3378" w:rsidRPr="002661A8">
        <w:rPr>
          <w:rFonts w:ascii="Times New Roman" w:eastAsia="Calibri" w:hAnsi="Times New Roman" w:cs="Times New Roman"/>
          <w:noProof/>
          <w:sz w:val="24"/>
          <w:szCs w:val="24"/>
        </w:rPr>
        <w:t xml:space="preserve"> do</w:t>
      </w:r>
      <w:r w:rsidR="00F20477" w:rsidRPr="002661A8">
        <w:rPr>
          <w:rFonts w:ascii="Times New Roman" w:eastAsia="Calibri" w:hAnsi="Times New Roman" w:cs="Times New Roman"/>
          <w:noProof/>
          <w:sz w:val="24"/>
          <w:szCs w:val="24"/>
        </w:rPr>
        <w:t>es</w:t>
      </w:r>
      <w:r w:rsidR="00BE3378" w:rsidRPr="002661A8">
        <w:rPr>
          <w:rFonts w:ascii="Times New Roman" w:eastAsia="Calibri" w:hAnsi="Times New Roman" w:cs="Times New Roman"/>
          <w:noProof/>
          <w:sz w:val="24"/>
          <w:szCs w:val="24"/>
        </w:rPr>
        <w:t xml:space="preserve"> not </w:t>
      </w:r>
      <w:r w:rsidR="00004D4E" w:rsidRPr="002661A8">
        <w:rPr>
          <w:rFonts w:ascii="Times New Roman" w:eastAsia="Calibri" w:hAnsi="Times New Roman" w:cs="Times New Roman"/>
          <w:noProof/>
          <w:sz w:val="24"/>
          <w:szCs w:val="24"/>
        </w:rPr>
        <w:t xml:space="preserve">concern </w:t>
      </w:r>
      <w:r w:rsidR="00BE3378" w:rsidRPr="002661A8">
        <w:rPr>
          <w:rFonts w:ascii="Times New Roman" w:eastAsia="Calibri" w:hAnsi="Times New Roman" w:cs="Times New Roman"/>
          <w:noProof/>
          <w:sz w:val="24"/>
          <w:szCs w:val="24"/>
        </w:rPr>
        <w:t xml:space="preserve">the </w:t>
      </w:r>
      <w:r w:rsidR="00F7351E" w:rsidRPr="002661A8">
        <w:rPr>
          <w:rFonts w:ascii="Times New Roman" w:eastAsia="Calibri" w:hAnsi="Times New Roman" w:cs="Times New Roman"/>
          <w:noProof/>
          <w:sz w:val="24"/>
          <w:szCs w:val="24"/>
        </w:rPr>
        <w:t xml:space="preserve">EU </w:t>
      </w:r>
      <w:r w:rsidR="00BE3378" w:rsidRPr="002661A8">
        <w:rPr>
          <w:rFonts w:ascii="Times New Roman" w:eastAsia="Calibri" w:hAnsi="Times New Roman" w:cs="Times New Roman"/>
          <w:noProof/>
          <w:sz w:val="24"/>
          <w:szCs w:val="24"/>
        </w:rPr>
        <w:t xml:space="preserve">supervisory </w:t>
      </w:r>
      <w:r w:rsidR="00004D4E" w:rsidRPr="002661A8">
        <w:rPr>
          <w:rFonts w:ascii="Times New Roman" w:eastAsia="Calibri" w:hAnsi="Times New Roman" w:cs="Times New Roman"/>
          <w:noProof/>
          <w:sz w:val="24"/>
          <w:szCs w:val="24"/>
        </w:rPr>
        <w:t xml:space="preserve">framework </w:t>
      </w:r>
      <w:r w:rsidRPr="002661A8">
        <w:rPr>
          <w:rFonts w:ascii="Times New Roman" w:eastAsia="Calibri" w:hAnsi="Times New Roman" w:cs="Times New Roman"/>
          <w:noProof/>
          <w:sz w:val="24"/>
          <w:szCs w:val="24"/>
        </w:rPr>
        <w:t xml:space="preserve">directly </w:t>
      </w:r>
      <w:r w:rsidR="00BE3378" w:rsidRPr="002661A8">
        <w:rPr>
          <w:rFonts w:ascii="Times New Roman" w:eastAsia="Calibri" w:hAnsi="Times New Roman" w:cs="Times New Roman"/>
          <w:noProof/>
          <w:sz w:val="24"/>
          <w:szCs w:val="24"/>
        </w:rPr>
        <w:t>and the way the increased cross-border risks in the EU</w:t>
      </w:r>
      <w:r w:rsidR="00CE5068" w:rsidRPr="002661A8">
        <w:rPr>
          <w:rFonts w:ascii="Times New Roman" w:eastAsia="Calibri" w:hAnsi="Times New Roman" w:cs="Times New Roman"/>
          <w:noProof/>
          <w:sz w:val="24"/>
          <w:szCs w:val="24"/>
        </w:rPr>
        <w:t>, linked to incoming larger clearing volumes,</w:t>
      </w:r>
      <w:r w:rsidR="00BE3378" w:rsidRPr="002661A8">
        <w:rPr>
          <w:rFonts w:ascii="Times New Roman" w:eastAsia="Calibri" w:hAnsi="Times New Roman" w:cs="Times New Roman"/>
          <w:noProof/>
          <w:sz w:val="24"/>
          <w:szCs w:val="24"/>
        </w:rPr>
        <w:t xml:space="preserve"> would be managed. </w:t>
      </w:r>
      <w:r w:rsidRPr="002661A8">
        <w:rPr>
          <w:rFonts w:ascii="Times New Roman" w:eastAsia="Calibri" w:hAnsi="Times New Roman" w:cs="Times New Roman"/>
          <w:noProof/>
          <w:sz w:val="24"/>
          <w:szCs w:val="24"/>
        </w:rPr>
        <w:t>It would</w:t>
      </w:r>
      <w:r w:rsidRPr="002661A8" w:rsidDel="00622D3F">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increase the need for a</w:t>
      </w:r>
      <w:r w:rsidR="00BE3378" w:rsidRPr="002661A8">
        <w:rPr>
          <w:rFonts w:ascii="Times New Roman" w:eastAsia="Calibri" w:hAnsi="Times New Roman" w:cs="Times New Roman"/>
          <w:noProof/>
          <w:sz w:val="24"/>
          <w:szCs w:val="24"/>
        </w:rPr>
        <w:t xml:space="preserve">n improved supervisory framework in the </w:t>
      </w:r>
      <w:r w:rsidR="00856B54" w:rsidRPr="002661A8">
        <w:rPr>
          <w:rFonts w:ascii="Times New Roman" w:eastAsia="Calibri" w:hAnsi="Times New Roman" w:cs="Times New Roman"/>
          <w:noProof/>
          <w:sz w:val="24"/>
          <w:szCs w:val="24"/>
        </w:rPr>
        <w:t>EU</w:t>
      </w:r>
      <w:r w:rsidR="00004D4E" w:rsidRPr="002661A8">
        <w:rPr>
          <w:rFonts w:ascii="Times New Roman" w:eastAsia="Calibri" w:hAnsi="Times New Roman" w:cs="Times New Roman"/>
          <w:noProof/>
          <w:sz w:val="24"/>
          <w:szCs w:val="24"/>
        </w:rPr>
        <w:t>,</w:t>
      </w:r>
      <w:r w:rsidR="00856B54"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due to the interconnectedness of the financial system in the EU as well as higher risks to be managed in the EU</w:t>
      </w:r>
      <w:r w:rsidR="00BE3378" w:rsidRPr="002661A8">
        <w:rPr>
          <w:rFonts w:ascii="Times New Roman" w:eastAsia="Calibri" w:hAnsi="Times New Roman" w:cs="Times New Roman"/>
          <w:noProof/>
          <w:sz w:val="24"/>
          <w:szCs w:val="24"/>
        </w:rPr>
        <w:t>.</w:t>
      </w:r>
    </w:p>
    <w:p w14:paraId="5B2BA7BA" w14:textId="77777777" w:rsidR="000923BE" w:rsidRPr="002661A8" w:rsidRDefault="000923BE" w:rsidP="000923BE">
      <w:pPr>
        <w:tabs>
          <w:tab w:val="left" w:pos="2302"/>
        </w:tabs>
        <w:spacing w:after="120" w:line="240" w:lineRule="auto"/>
        <w:jc w:val="both"/>
        <w:rPr>
          <w:rFonts w:ascii="Times New Roman" w:eastAsia="Times New Roman" w:hAnsi="Times New Roman" w:cs="Times New Roman"/>
          <w:noProof/>
          <w:sz w:val="24"/>
          <w:szCs w:val="24"/>
          <w:u w:val="single"/>
        </w:rPr>
      </w:pPr>
      <w:r w:rsidRPr="002661A8">
        <w:rPr>
          <w:rFonts w:ascii="Times New Roman" w:eastAsia="Times New Roman" w:hAnsi="Times New Roman" w:cs="Times New Roman"/>
          <w:noProof/>
          <w:sz w:val="24"/>
          <w:szCs w:val="24"/>
          <w:u w:val="single"/>
        </w:rPr>
        <w:t>Coherence</w:t>
      </w:r>
    </w:p>
    <w:p w14:paraId="34CE71F9" w14:textId="73479031" w:rsidR="000923BE" w:rsidRPr="002661A8" w:rsidRDefault="000923BE" w:rsidP="00A61E96">
      <w:pPr>
        <w:spacing w:after="120" w:line="240" w:lineRule="auto"/>
        <w:jc w:val="both"/>
        <w:rPr>
          <w:rFonts w:ascii="Times New Roman" w:eastAsia="Times New Roman" w:hAnsi="Times New Roman" w:cs="Times New Roman"/>
          <w:noProof/>
          <w:sz w:val="24"/>
          <w:szCs w:val="24"/>
        </w:rPr>
      </w:pPr>
      <w:r w:rsidRPr="002661A8">
        <w:rPr>
          <w:rFonts w:ascii="Times New Roman" w:eastAsia="Times New Roman" w:hAnsi="Times New Roman" w:cs="Times New Roman"/>
          <w:noProof/>
          <w:sz w:val="24"/>
          <w:szCs w:val="24"/>
        </w:rPr>
        <w:t xml:space="preserve">This option explicitly requires market participants to clear </w:t>
      </w:r>
      <w:r w:rsidR="00DC2B8C" w:rsidRPr="002661A8">
        <w:rPr>
          <w:rFonts w:ascii="Times New Roman" w:eastAsia="Times New Roman" w:hAnsi="Times New Roman" w:cs="Times New Roman"/>
          <w:noProof/>
          <w:sz w:val="24"/>
          <w:szCs w:val="24"/>
        </w:rPr>
        <w:t>some of their</w:t>
      </w:r>
      <w:r w:rsidRPr="002661A8">
        <w:rPr>
          <w:rFonts w:ascii="Times New Roman" w:eastAsia="Times New Roman" w:hAnsi="Times New Roman" w:cs="Times New Roman"/>
          <w:noProof/>
          <w:sz w:val="24"/>
          <w:szCs w:val="24"/>
        </w:rPr>
        <w:t xml:space="preserve"> trades in the EU: it is thus fully coherent with the objective of this initiative to enhance clearing in the EU</w:t>
      </w:r>
      <w:r w:rsidR="008A514D" w:rsidRPr="002661A8">
        <w:rPr>
          <w:rFonts w:ascii="Times New Roman" w:eastAsia="Times New Roman" w:hAnsi="Times New Roman" w:cs="Times New Roman"/>
          <w:noProof/>
          <w:sz w:val="24"/>
          <w:szCs w:val="24"/>
        </w:rPr>
        <w:t xml:space="preserve"> </w:t>
      </w:r>
      <w:r w:rsidR="006F32AF" w:rsidRPr="002661A8">
        <w:rPr>
          <w:rFonts w:ascii="Times New Roman" w:eastAsia="Times New Roman" w:hAnsi="Times New Roman" w:cs="Times New Roman"/>
          <w:noProof/>
          <w:sz w:val="24"/>
          <w:szCs w:val="24"/>
        </w:rPr>
        <w:t>as a means to strengthen</w:t>
      </w:r>
      <w:r w:rsidR="008A514D" w:rsidRPr="002661A8">
        <w:rPr>
          <w:rFonts w:ascii="Times New Roman" w:eastAsia="Times New Roman" w:hAnsi="Times New Roman" w:cs="Times New Roman"/>
          <w:noProof/>
          <w:sz w:val="24"/>
          <w:szCs w:val="24"/>
        </w:rPr>
        <w:t xml:space="preserve"> the prudential </w:t>
      </w:r>
      <w:r w:rsidR="006F32AF" w:rsidRPr="002661A8">
        <w:rPr>
          <w:rFonts w:ascii="Times New Roman" w:eastAsia="Times New Roman" w:hAnsi="Times New Roman" w:cs="Times New Roman"/>
          <w:noProof/>
          <w:sz w:val="24"/>
          <w:szCs w:val="24"/>
        </w:rPr>
        <w:t>framework and financial stability</w:t>
      </w:r>
      <w:r w:rsidRPr="002661A8">
        <w:rPr>
          <w:rFonts w:ascii="Times New Roman" w:eastAsia="Times New Roman" w:hAnsi="Times New Roman" w:cs="Times New Roman"/>
          <w:noProof/>
          <w:sz w:val="24"/>
          <w:szCs w:val="24"/>
        </w:rPr>
        <w:t xml:space="preserve">. </w:t>
      </w:r>
      <w:r w:rsidR="00E03367" w:rsidRPr="002661A8">
        <w:rPr>
          <w:rFonts w:ascii="Times New Roman" w:eastAsia="Times New Roman" w:hAnsi="Times New Roman" w:cs="Times New Roman"/>
          <w:noProof/>
          <w:sz w:val="24"/>
          <w:szCs w:val="24"/>
        </w:rPr>
        <w:t xml:space="preserve">In addition, this measure </w:t>
      </w:r>
      <w:r w:rsidR="00480E7C" w:rsidRPr="002661A8">
        <w:rPr>
          <w:rFonts w:ascii="Times New Roman" w:eastAsia="Times New Roman" w:hAnsi="Times New Roman" w:cs="Times New Roman"/>
          <w:noProof/>
          <w:sz w:val="24"/>
          <w:szCs w:val="24"/>
        </w:rPr>
        <w:t>actively supports</w:t>
      </w:r>
      <w:r w:rsidR="00E03367" w:rsidRPr="002661A8">
        <w:rPr>
          <w:rFonts w:ascii="Times New Roman" w:eastAsia="Times New Roman" w:hAnsi="Times New Roman" w:cs="Times New Roman"/>
          <w:noProof/>
          <w:sz w:val="24"/>
          <w:szCs w:val="24"/>
        </w:rPr>
        <w:t xml:space="preserve"> financial stability objectives as it address</w:t>
      </w:r>
      <w:r w:rsidR="00760E5C" w:rsidRPr="002661A8">
        <w:rPr>
          <w:rFonts w:ascii="Times New Roman" w:eastAsia="Times New Roman" w:hAnsi="Times New Roman" w:cs="Times New Roman"/>
          <w:noProof/>
          <w:sz w:val="24"/>
          <w:szCs w:val="24"/>
        </w:rPr>
        <w:t>es</w:t>
      </w:r>
      <w:r w:rsidR="00E03367" w:rsidRPr="002661A8">
        <w:rPr>
          <w:rFonts w:ascii="Times New Roman" w:eastAsia="Times New Roman" w:hAnsi="Times New Roman" w:cs="Times New Roman"/>
          <w:noProof/>
          <w:sz w:val="24"/>
          <w:szCs w:val="24"/>
        </w:rPr>
        <w:t xml:space="preserve"> directly the over-reliance on third-country CCPs</w:t>
      </w:r>
      <w:r w:rsidR="00760E5C" w:rsidRPr="002661A8">
        <w:rPr>
          <w:rFonts w:ascii="Times New Roman" w:eastAsia="Times New Roman" w:hAnsi="Times New Roman" w:cs="Times New Roman"/>
          <w:noProof/>
          <w:sz w:val="24"/>
          <w:szCs w:val="24"/>
        </w:rPr>
        <w:t>,</w:t>
      </w:r>
      <w:r w:rsidR="00E03367" w:rsidRPr="002661A8">
        <w:rPr>
          <w:rFonts w:ascii="Times New Roman" w:eastAsia="Times New Roman" w:hAnsi="Times New Roman" w:cs="Times New Roman"/>
          <w:noProof/>
          <w:sz w:val="24"/>
          <w:szCs w:val="24"/>
        </w:rPr>
        <w:t xml:space="preserve"> which </w:t>
      </w:r>
      <w:r w:rsidR="00760E5C" w:rsidRPr="002661A8">
        <w:rPr>
          <w:rFonts w:ascii="Times New Roman" w:eastAsia="Times New Roman" w:hAnsi="Times New Roman" w:cs="Times New Roman"/>
          <w:noProof/>
          <w:sz w:val="24"/>
          <w:szCs w:val="24"/>
        </w:rPr>
        <w:t xml:space="preserve">is a </w:t>
      </w:r>
      <w:r w:rsidR="00964DF7" w:rsidRPr="002661A8">
        <w:rPr>
          <w:rFonts w:ascii="Times New Roman" w:eastAsia="Times New Roman" w:hAnsi="Times New Roman" w:cs="Times New Roman"/>
          <w:noProof/>
          <w:sz w:val="24"/>
          <w:szCs w:val="24"/>
        </w:rPr>
        <w:t xml:space="preserve">possible </w:t>
      </w:r>
      <w:r w:rsidR="00760E5C" w:rsidRPr="002661A8">
        <w:rPr>
          <w:rFonts w:ascii="Times New Roman" w:eastAsia="Times New Roman" w:hAnsi="Times New Roman" w:cs="Times New Roman"/>
          <w:noProof/>
          <w:sz w:val="24"/>
          <w:szCs w:val="24"/>
        </w:rPr>
        <w:t xml:space="preserve">source of financial stability </w:t>
      </w:r>
      <w:r w:rsidR="00964DF7" w:rsidRPr="002661A8">
        <w:rPr>
          <w:rFonts w:ascii="Times New Roman" w:eastAsia="Times New Roman" w:hAnsi="Times New Roman" w:cs="Times New Roman"/>
          <w:noProof/>
          <w:sz w:val="24"/>
          <w:szCs w:val="24"/>
        </w:rPr>
        <w:t>issues</w:t>
      </w:r>
      <w:r w:rsidR="00E03367" w:rsidRPr="002661A8">
        <w:rPr>
          <w:rFonts w:ascii="Times New Roman" w:eastAsia="Times New Roman" w:hAnsi="Times New Roman" w:cs="Times New Roman"/>
          <w:noProof/>
          <w:sz w:val="24"/>
          <w:szCs w:val="24"/>
        </w:rPr>
        <w:t xml:space="preserve">. </w:t>
      </w:r>
      <w:r w:rsidRPr="002661A8">
        <w:rPr>
          <w:rFonts w:ascii="Times New Roman" w:eastAsia="Times New Roman" w:hAnsi="Times New Roman" w:cs="Times New Roman"/>
          <w:noProof/>
          <w:sz w:val="24"/>
          <w:szCs w:val="24"/>
        </w:rPr>
        <w:t>It</w:t>
      </w:r>
      <w:r w:rsidRPr="002661A8" w:rsidDel="00480E7C">
        <w:rPr>
          <w:rFonts w:ascii="Times New Roman" w:eastAsia="Times New Roman" w:hAnsi="Times New Roman" w:cs="Times New Roman"/>
          <w:noProof/>
          <w:sz w:val="24"/>
          <w:szCs w:val="24"/>
        </w:rPr>
        <w:t xml:space="preserve"> </w:t>
      </w:r>
      <w:r w:rsidRPr="002661A8">
        <w:rPr>
          <w:rFonts w:ascii="Times New Roman" w:eastAsia="Times New Roman" w:hAnsi="Times New Roman" w:cs="Times New Roman"/>
          <w:noProof/>
          <w:sz w:val="24"/>
          <w:szCs w:val="24"/>
        </w:rPr>
        <w:t xml:space="preserve">also fully </w:t>
      </w:r>
      <w:r w:rsidR="00480E7C" w:rsidRPr="002661A8">
        <w:rPr>
          <w:rFonts w:ascii="Times New Roman" w:eastAsia="Times New Roman" w:hAnsi="Times New Roman" w:cs="Times New Roman"/>
          <w:noProof/>
          <w:sz w:val="24"/>
          <w:szCs w:val="24"/>
        </w:rPr>
        <w:t>contributes to</w:t>
      </w:r>
      <w:r w:rsidRPr="002661A8">
        <w:rPr>
          <w:rFonts w:ascii="Times New Roman" w:eastAsia="Times New Roman" w:hAnsi="Times New Roman" w:cs="Times New Roman"/>
          <w:noProof/>
          <w:sz w:val="24"/>
          <w:szCs w:val="24"/>
        </w:rPr>
        <w:t xml:space="preserve"> the objective of strengthening the </w:t>
      </w:r>
      <w:r w:rsidR="00F20477" w:rsidRPr="002661A8">
        <w:rPr>
          <w:rFonts w:ascii="Times New Roman" w:eastAsia="Times New Roman" w:hAnsi="Times New Roman" w:cs="Times New Roman"/>
          <w:noProof/>
          <w:sz w:val="24"/>
          <w:szCs w:val="24"/>
        </w:rPr>
        <w:t>CMU</w:t>
      </w:r>
      <w:r w:rsidRPr="002661A8">
        <w:rPr>
          <w:rFonts w:ascii="Times New Roman" w:eastAsia="Times New Roman" w:hAnsi="Times New Roman" w:cs="Times New Roman"/>
          <w:noProof/>
          <w:sz w:val="24"/>
          <w:szCs w:val="24"/>
        </w:rPr>
        <w:t xml:space="preserve"> by developing m</w:t>
      </w:r>
      <w:r w:rsidR="00597338" w:rsidRPr="002661A8">
        <w:rPr>
          <w:rFonts w:ascii="Times New Roman" w:eastAsia="Times New Roman" w:hAnsi="Times New Roman" w:cs="Times New Roman"/>
          <w:noProof/>
          <w:sz w:val="24"/>
          <w:szCs w:val="24"/>
        </w:rPr>
        <w:t>ore central clearing in the EU</w:t>
      </w:r>
      <w:r w:rsidR="009A016C" w:rsidRPr="002661A8">
        <w:rPr>
          <w:rFonts w:ascii="Times New Roman" w:eastAsia="Times New Roman" w:hAnsi="Times New Roman" w:cs="Times New Roman"/>
          <w:noProof/>
          <w:sz w:val="24"/>
          <w:szCs w:val="24"/>
        </w:rPr>
        <w:t xml:space="preserve"> and with the Commission policy on open strategic autonomy</w:t>
      </w:r>
      <w:r w:rsidR="00597338" w:rsidRPr="002661A8">
        <w:rPr>
          <w:rFonts w:ascii="Times New Roman" w:eastAsia="Times New Roman" w:hAnsi="Times New Roman" w:cs="Times New Roman"/>
          <w:noProof/>
          <w:sz w:val="24"/>
          <w:szCs w:val="24"/>
        </w:rPr>
        <w:t>.</w:t>
      </w:r>
      <w:r w:rsidR="002D2C6A" w:rsidRPr="002661A8">
        <w:rPr>
          <w:rFonts w:ascii="Times New Roman" w:eastAsia="Times New Roman" w:hAnsi="Times New Roman" w:cs="Times New Roman"/>
          <w:noProof/>
          <w:sz w:val="24"/>
          <w:szCs w:val="24"/>
        </w:rPr>
        <w:t xml:space="preserve"> </w:t>
      </w:r>
    </w:p>
    <w:p w14:paraId="40C14F20" w14:textId="093F099A" w:rsidR="001C206A" w:rsidRPr="002661A8" w:rsidRDefault="00A8027C" w:rsidP="001C206A">
      <w:pPr>
        <w:tabs>
          <w:tab w:val="left" w:pos="2302"/>
        </w:tabs>
        <w:spacing w:after="120" w:line="240" w:lineRule="auto"/>
        <w:jc w:val="both"/>
        <w:rPr>
          <w:rFonts w:ascii="Times New Roman" w:eastAsia="Times New Roman" w:hAnsi="Times New Roman" w:cs="Times New Roman"/>
          <w:noProof/>
          <w:sz w:val="24"/>
          <w:szCs w:val="24"/>
          <w:u w:val="single"/>
        </w:rPr>
      </w:pPr>
      <w:r>
        <w:rPr>
          <w:rFonts w:ascii="Times New Roman" w:eastAsia="Times New Roman" w:hAnsi="Times New Roman" w:cs="Times New Roman"/>
          <w:noProof/>
          <w:sz w:val="24"/>
          <w:szCs w:val="24"/>
          <w:u w:val="single"/>
        </w:rPr>
        <w:t>Assessment of the impacts by stakeholder group</w:t>
      </w:r>
    </w:p>
    <w:p w14:paraId="53055877" w14:textId="4C471E2F" w:rsidR="001C206A" w:rsidRPr="002661A8" w:rsidRDefault="001C206A" w:rsidP="001C206A">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b/>
          <w:noProof/>
          <w:sz w:val="24"/>
          <w:szCs w:val="24"/>
        </w:rPr>
        <w:t>EU CCPs</w:t>
      </w:r>
      <w:r w:rsidRPr="002661A8">
        <w:rPr>
          <w:rFonts w:ascii="Times New Roman" w:eastAsia="Calibri" w:hAnsi="Times New Roman" w:cs="Times New Roman"/>
          <w:noProof/>
          <w:sz w:val="24"/>
          <w:szCs w:val="24"/>
        </w:rPr>
        <w:t xml:space="preserve"> would benefit from this option as it </w:t>
      </w:r>
      <w:r w:rsidR="00004D4E" w:rsidRPr="002661A8">
        <w:rPr>
          <w:rFonts w:ascii="Times New Roman" w:eastAsia="Calibri" w:hAnsi="Times New Roman" w:cs="Times New Roman"/>
          <w:noProof/>
          <w:sz w:val="24"/>
          <w:szCs w:val="24"/>
        </w:rPr>
        <w:t>w</w:t>
      </w:r>
      <w:r w:rsidRPr="002661A8">
        <w:rPr>
          <w:rFonts w:ascii="Times New Roman" w:eastAsia="Calibri" w:hAnsi="Times New Roman" w:cs="Times New Roman"/>
          <w:noProof/>
          <w:sz w:val="24"/>
          <w:szCs w:val="24"/>
        </w:rPr>
        <w:t>ould bring more clearing to the EU</w:t>
      </w:r>
      <w:r w:rsidR="00C73EF0">
        <w:rPr>
          <w:rFonts w:ascii="Times New Roman" w:eastAsia="Calibri" w:hAnsi="Times New Roman" w:cs="Times New Roman"/>
          <w:noProof/>
          <w:sz w:val="24"/>
          <w:szCs w:val="24"/>
        </w:rPr>
        <w:t xml:space="preserve"> thus boosting revenues</w:t>
      </w:r>
      <w:r w:rsidRPr="002661A8">
        <w:rPr>
          <w:rFonts w:ascii="Times New Roman" w:eastAsia="Calibri" w:hAnsi="Times New Roman" w:cs="Times New Roman"/>
          <w:noProof/>
          <w:sz w:val="24"/>
          <w:szCs w:val="24"/>
        </w:rPr>
        <w:t xml:space="preserve">. This benefit would be ongoing. Third-country CCPs are likely to lose some business and this cost would be ongoing. </w:t>
      </w:r>
    </w:p>
    <w:p w14:paraId="0F1F9EE8" w14:textId="7F075652" w:rsidR="001C206A" w:rsidRPr="002661A8" w:rsidRDefault="001C206A" w:rsidP="001C206A">
      <w:pPr>
        <w:spacing w:after="120" w:line="240" w:lineRule="auto"/>
        <w:jc w:val="both"/>
        <w:rPr>
          <w:rFonts w:ascii="Times New Roman" w:hAnsi="Times New Roman" w:cs="Times New Roman"/>
          <w:noProof/>
          <w:sz w:val="24"/>
          <w:szCs w:val="24"/>
        </w:rPr>
      </w:pPr>
      <w:r w:rsidRPr="002661A8">
        <w:rPr>
          <w:rFonts w:ascii="Times New Roman" w:eastAsia="Calibri" w:hAnsi="Times New Roman" w:cs="Times New Roman"/>
          <w:noProof/>
          <w:sz w:val="24"/>
          <w:szCs w:val="24"/>
        </w:rPr>
        <w:t xml:space="preserve">Most </w:t>
      </w:r>
      <w:r w:rsidRPr="002661A8">
        <w:rPr>
          <w:rFonts w:ascii="Times New Roman" w:eastAsia="Calibri" w:hAnsi="Times New Roman" w:cs="Times New Roman"/>
          <w:b/>
          <w:noProof/>
          <w:sz w:val="24"/>
          <w:szCs w:val="24"/>
        </w:rPr>
        <w:t>clearing members</w:t>
      </w:r>
      <w:r w:rsidRPr="002661A8">
        <w:rPr>
          <w:rFonts w:ascii="Times New Roman" w:eastAsia="Calibri" w:hAnsi="Times New Roman" w:cs="Times New Roman"/>
          <w:noProof/>
          <w:sz w:val="24"/>
          <w:szCs w:val="24"/>
        </w:rPr>
        <w:t xml:space="preserve"> already have active accounts at EU CCPs, so there would not be additional operating costs for them.</w:t>
      </w:r>
      <w:r w:rsidR="00E73FA6" w:rsidRPr="002661A8">
        <w:rPr>
          <w:rFonts w:ascii="Times New Roman" w:eastAsia="Calibri" w:hAnsi="Times New Roman" w:cs="Times New Roman"/>
          <w:noProof/>
          <w:sz w:val="24"/>
          <w:szCs w:val="24"/>
        </w:rPr>
        <w:t xml:space="preserve"> Also, </w:t>
      </w:r>
      <w:r w:rsidR="00953EAE" w:rsidRPr="002661A8">
        <w:rPr>
          <w:rFonts w:ascii="Times New Roman" w:eastAsia="Calibri" w:hAnsi="Times New Roman" w:cs="Times New Roman"/>
          <w:noProof/>
          <w:sz w:val="24"/>
          <w:szCs w:val="24"/>
        </w:rPr>
        <w:t xml:space="preserve">according to some </w:t>
      </w:r>
      <w:r w:rsidR="00461547" w:rsidRPr="002661A8">
        <w:rPr>
          <w:rFonts w:ascii="Times New Roman" w:eastAsia="Calibri" w:hAnsi="Times New Roman" w:cs="Times New Roman"/>
          <w:noProof/>
          <w:sz w:val="24"/>
          <w:szCs w:val="24"/>
        </w:rPr>
        <w:t>estimates</w:t>
      </w:r>
      <w:r w:rsidR="00E73FA6" w:rsidRPr="002661A8" w:rsidDel="00953EAE">
        <w:rPr>
          <w:rFonts w:ascii="Times New Roman" w:eastAsia="Calibri" w:hAnsi="Times New Roman" w:cs="Times New Roman"/>
          <w:noProof/>
          <w:sz w:val="24"/>
          <w:szCs w:val="24"/>
        </w:rPr>
        <w:t xml:space="preserve"> </w:t>
      </w:r>
      <w:r w:rsidR="00E73FA6" w:rsidRPr="002661A8">
        <w:rPr>
          <w:rFonts w:ascii="Times New Roman" w:eastAsia="Calibri" w:hAnsi="Times New Roman" w:cs="Times New Roman"/>
          <w:noProof/>
          <w:sz w:val="24"/>
          <w:szCs w:val="24"/>
        </w:rPr>
        <w:t>EU clearing member</w:t>
      </w:r>
      <w:r w:rsidR="00461547" w:rsidRPr="002661A8">
        <w:rPr>
          <w:rFonts w:ascii="Times New Roman" w:eastAsia="Calibri" w:hAnsi="Times New Roman" w:cs="Times New Roman"/>
          <w:noProof/>
          <w:sz w:val="24"/>
          <w:szCs w:val="24"/>
        </w:rPr>
        <w:t>s</w:t>
      </w:r>
      <w:r w:rsidR="00E73FA6" w:rsidRPr="002661A8">
        <w:rPr>
          <w:rFonts w:ascii="Times New Roman" w:eastAsia="Calibri" w:hAnsi="Times New Roman" w:cs="Times New Roman"/>
          <w:noProof/>
          <w:sz w:val="24"/>
          <w:szCs w:val="24"/>
        </w:rPr>
        <w:t xml:space="preserve"> can open an account for a client at an EU CCP in roughly 24 hours</w:t>
      </w:r>
      <w:r w:rsidR="00E73FA6" w:rsidRPr="002661A8">
        <w:rPr>
          <w:rStyle w:val="FootnoteReference"/>
          <w:rFonts w:ascii="Times New Roman" w:eastAsia="Calibri" w:hAnsi="Times New Roman" w:cs="Times New Roman"/>
          <w:noProof/>
          <w:sz w:val="24"/>
          <w:szCs w:val="24"/>
        </w:rPr>
        <w:footnoteReference w:id="140"/>
      </w:r>
      <w:r w:rsidR="00E73FA6" w:rsidRPr="002661A8">
        <w:rPr>
          <w:rFonts w:ascii="Times New Roman" w:eastAsia="Calibri" w:hAnsi="Times New Roman" w:cs="Times New Roman"/>
          <w:noProof/>
          <w:sz w:val="24"/>
          <w:szCs w:val="24"/>
        </w:rPr>
        <w:t>.</w:t>
      </w:r>
      <w:r w:rsidRPr="002661A8">
        <w:rPr>
          <w:rFonts w:ascii="Times New Roman" w:eastAsia="Calibri" w:hAnsi="Times New Roman" w:cs="Times New Roman"/>
          <w:noProof/>
          <w:sz w:val="24"/>
          <w:szCs w:val="24"/>
        </w:rPr>
        <w:t xml:space="preserve"> At the same time, the need to gradually increase the volumes cleared through the EU active account would require clearing members to plan accordingly to distribute their exposures between Tier 2 CCPs and EU CCPs in the most efficient way. </w:t>
      </w:r>
      <w:r w:rsidR="00C73EF0">
        <w:rPr>
          <w:rFonts w:ascii="Times New Roman" w:eastAsia="Calibri" w:hAnsi="Times New Roman" w:cs="Times New Roman"/>
          <w:noProof/>
          <w:sz w:val="24"/>
          <w:szCs w:val="24"/>
        </w:rPr>
        <w:t xml:space="preserve">Relocating a proportion of clearing activities will </w:t>
      </w:r>
      <w:r w:rsidRPr="002661A8">
        <w:rPr>
          <w:rFonts w:ascii="Times New Roman" w:eastAsia="Calibri" w:hAnsi="Times New Roman" w:cs="Times New Roman"/>
          <w:noProof/>
          <w:sz w:val="24"/>
          <w:szCs w:val="24"/>
        </w:rPr>
        <w:t xml:space="preserve">lead to </w:t>
      </w:r>
      <w:r w:rsidR="00C73EF0">
        <w:rPr>
          <w:rFonts w:ascii="Times New Roman" w:eastAsia="Calibri" w:hAnsi="Times New Roman" w:cs="Times New Roman"/>
          <w:noProof/>
          <w:sz w:val="24"/>
          <w:szCs w:val="24"/>
        </w:rPr>
        <w:t>a</w:t>
      </w:r>
      <w:r w:rsidR="00C73EF0"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loss in netting benefits</w:t>
      </w:r>
      <w:r w:rsidR="006F32AF" w:rsidRPr="002661A8">
        <w:rPr>
          <w:rFonts w:ascii="Times New Roman" w:eastAsia="Calibri" w:hAnsi="Times New Roman" w:cs="Times New Roman"/>
          <w:noProof/>
          <w:sz w:val="24"/>
          <w:szCs w:val="24"/>
        </w:rPr>
        <w:t>, at least in an initial phase</w:t>
      </w:r>
      <w:r w:rsidRPr="002661A8">
        <w:rPr>
          <w:rFonts w:ascii="Times New Roman" w:eastAsia="Calibri" w:hAnsi="Times New Roman" w:cs="Times New Roman"/>
          <w:noProof/>
          <w:sz w:val="24"/>
          <w:szCs w:val="24"/>
        </w:rPr>
        <w:t xml:space="preserve">. </w:t>
      </w:r>
      <w:r w:rsidR="003129CF" w:rsidRPr="002661A8">
        <w:rPr>
          <w:rFonts w:ascii="Times New Roman" w:eastAsia="Calibri" w:hAnsi="Times New Roman" w:cs="Times New Roman"/>
          <w:noProof/>
          <w:sz w:val="24"/>
          <w:szCs w:val="24"/>
        </w:rPr>
        <w:t xml:space="preserve">Nonetheless, the precise operationalisation of this requirement would be specified in a level 2 act that </w:t>
      </w:r>
      <w:r w:rsidR="00982A71">
        <w:rPr>
          <w:rFonts w:ascii="Times New Roman" w:eastAsia="Calibri" w:hAnsi="Times New Roman" w:cs="Times New Roman"/>
          <w:noProof/>
          <w:sz w:val="24"/>
          <w:szCs w:val="24"/>
        </w:rPr>
        <w:t>w</w:t>
      </w:r>
      <w:r w:rsidR="00982A71" w:rsidRPr="002661A8">
        <w:rPr>
          <w:rFonts w:ascii="Times New Roman" w:eastAsia="Calibri" w:hAnsi="Times New Roman" w:cs="Times New Roman"/>
          <w:noProof/>
          <w:sz w:val="24"/>
          <w:szCs w:val="24"/>
        </w:rPr>
        <w:t xml:space="preserve">ould </w:t>
      </w:r>
      <w:r w:rsidR="003129CF" w:rsidRPr="002661A8">
        <w:rPr>
          <w:rFonts w:ascii="Times New Roman" w:eastAsia="Calibri" w:hAnsi="Times New Roman" w:cs="Times New Roman"/>
          <w:noProof/>
          <w:sz w:val="24"/>
          <w:szCs w:val="24"/>
        </w:rPr>
        <w:t>be subject to a public consultation and cost-benefit analysis</w:t>
      </w:r>
      <w:r w:rsidR="00982A71">
        <w:rPr>
          <w:rFonts w:ascii="Times New Roman" w:eastAsia="Calibri" w:hAnsi="Times New Roman" w:cs="Times New Roman"/>
          <w:noProof/>
          <w:sz w:val="24"/>
          <w:szCs w:val="24"/>
        </w:rPr>
        <w:t xml:space="preserve"> as required by the ESMA Regulation</w:t>
      </w:r>
      <w:r w:rsidR="00982A71">
        <w:rPr>
          <w:rStyle w:val="FootnoteReference"/>
          <w:rFonts w:ascii="Times New Roman" w:eastAsia="Calibri" w:hAnsi="Times New Roman" w:cs="Times New Roman"/>
          <w:noProof/>
          <w:sz w:val="24"/>
          <w:szCs w:val="24"/>
        </w:rPr>
        <w:footnoteReference w:id="141"/>
      </w:r>
      <w:r w:rsidR="00982A71">
        <w:rPr>
          <w:rFonts w:ascii="Times New Roman" w:eastAsia="Calibri" w:hAnsi="Times New Roman" w:cs="Times New Roman"/>
          <w:noProof/>
          <w:sz w:val="24"/>
          <w:szCs w:val="24"/>
        </w:rPr>
        <w:t xml:space="preserve"> in order to ensure careful calibration as well as a flexible approach</w:t>
      </w:r>
      <w:r w:rsidR="003129CF"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 xml:space="preserve">Other costs for clearing members may arise </w:t>
      </w:r>
      <w:r w:rsidR="00C73EF0">
        <w:rPr>
          <w:rFonts w:ascii="Times New Roman" w:eastAsia="Calibri" w:hAnsi="Times New Roman" w:cs="Times New Roman"/>
          <w:noProof/>
          <w:sz w:val="24"/>
          <w:szCs w:val="24"/>
        </w:rPr>
        <w:t>where direct</w:t>
      </w:r>
      <w:r w:rsidRPr="002661A8">
        <w:rPr>
          <w:rFonts w:ascii="Times New Roman" w:eastAsia="Calibri" w:hAnsi="Times New Roman" w:cs="Times New Roman"/>
          <w:noProof/>
          <w:sz w:val="24"/>
          <w:szCs w:val="24"/>
        </w:rPr>
        <w:t xml:space="preserve"> clearing </w:t>
      </w:r>
      <w:r w:rsidR="00C73EF0">
        <w:rPr>
          <w:rFonts w:ascii="Times New Roman" w:eastAsia="Calibri" w:hAnsi="Times New Roman" w:cs="Times New Roman"/>
          <w:noProof/>
          <w:sz w:val="24"/>
          <w:szCs w:val="24"/>
        </w:rPr>
        <w:t xml:space="preserve">costs </w:t>
      </w:r>
      <w:r w:rsidRPr="002661A8">
        <w:rPr>
          <w:rFonts w:ascii="Times New Roman" w:eastAsia="Calibri" w:hAnsi="Times New Roman" w:cs="Times New Roman"/>
          <w:noProof/>
          <w:sz w:val="24"/>
          <w:szCs w:val="24"/>
        </w:rPr>
        <w:t xml:space="preserve">in the EU </w:t>
      </w:r>
      <w:r w:rsidR="00C73EF0">
        <w:rPr>
          <w:rFonts w:ascii="Times New Roman" w:eastAsia="Calibri" w:hAnsi="Times New Roman" w:cs="Times New Roman"/>
          <w:noProof/>
          <w:sz w:val="24"/>
          <w:szCs w:val="24"/>
        </w:rPr>
        <w:t>are higher</w:t>
      </w:r>
      <w:r w:rsidRPr="002661A8">
        <w:rPr>
          <w:rFonts w:ascii="Times New Roman" w:eastAsia="Calibri" w:hAnsi="Times New Roman" w:cs="Times New Roman"/>
          <w:noProof/>
          <w:sz w:val="24"/>
          <w:szCs w:val="24"/>
        </w:rPr>
        <w:t xml:space="preserve"> than clearing in third-country CCPs. As discussed for banking measures, this aspect is currently difficult to predict and quantify</w:t>
      </w:r>
      <w:r w:rsidR="00C73EF0">
        <w:rPr>
          <w:rFonts w:ascii="Times New Roman" w:eastAsia="Calibri" w:hAnsi="Times New Roman" w:cs="Times New Roman"/>
          <w:noProof/>
          <w:sz w:val="24"/>
          <w:szCs w:val="24"/>
        </w:rPr>
        <w:t xml:space="preserve"> as they depend on the level 2 calibration</w:t>
      </w:r>
      <w:r w:rsidR="00FB0EA6">
        <w:rPr>
          <w:rFonts w:ascii="Times New Roman" w:eastAsia="Calibri" w:hAnsi="Times New Roman" w:cs="Times New Roman"/>
          <w:noProof/>
          <w:sz w:val="24"/>
          <w:szCs w:val="24"/>
        </w:rPr>
        <w:t>, which will be subject to a public consultation and cost benefit analysis</w:t>
      </w:r>
      <w:r w:rsidR="00C73EF0">
        <w:rPr>
          <w:rFonts w:ascii="Times New Roman" w:eastAsia="Calibri" w:hAnsi="Times New Roman" w:cs="Times New Roman"/>
          <w:noProof/>
          <w:sz w:val="24"/>
          <w:szCs w:val="24"/>
        </w:rPr>
        <w:t>. Furthermore, additional volumes cleared through EU CCPs are expected to increase efficiencies and thus lower direct clearing costs</w:t>
      </w:r>
      <w:r w:rsidRPr="002661A8">
        <w:rPr>
          <w:rFonts w:ascii="Times New Roman" w:eastAsia="Calibri" w:hAnsi="Times New Roman" w:cs="Times New Roman"/>
          <w:noProof/>
          <w:sz w:val="24"/>
          <w:szCs w:val="24"/>
        </w:rPr>
        <w:t xml:space="preserve">. </w:t>
      </w:r>
      <w:r w:rsidRPr="002661A8">
        <w:rPr>
          <w:rFonts w:ascii="Times New Roman" w:hAnsi="Times New Roman" w:cs="Times New Roman"/>
          <w:noProof/>
          <w:sz w:val="24"/>
          <w:szCs w:val="24"/>
        </w:rPr>
        <w:t xml:space="preserve">Whether or not the costs identified would be ongoing </w:t>
      </w:r>
      <w:r w:rsidR="00E00246">
        <w:rPr>
          <w:rFonts w:ascii="Times New Roman" w:hAnsi="Times New Roman" w:cs="Times New Roman"/>
          <w:noProof/>
          <w:sz w:val="24"/>
          <w:szCs w:val="24"/>
        </w:rPr>
        <w:t>will</w:t>
      </w:r>
      <w:r w:rsidRPr="002661A8">
        <w:rPr>
          <w:rFonts w:ascii="Times New Roman" w:hAnsi="Times New Roman" w:cs="Times New Roman"/>
          <w:noProof/>
          <w:sz w:val="24"/>
          <w:szCs w:val="24"/>
        </w:rPr>
        <w:t xml:space="preserve"> depend on how clearing members, CCPs and the overall clearing ecosystem will react and adjust to the requirements</w:t>
      </w:r>
      <w:r w:rsidR="00E00246">
        <w:rPr>
          <w:rFonts w:ascii="Times New Roman" w:hAnsi="Times New Roman" w:cs="Times New Roman"/>
          <w:noProof/>
          <w:sz w:val="24"/>
          <w:szCs w:val="24"/>
        </w:rPr>
        <w:t xml:space="preserve"> and what the long-term level of market fragmentation will be</w:t>
      </w:r>
      <w:r w:rsidRPr="002661A8">
        <w:rPr>
          <w:rFonts w:ascii="Times New Roman" w:hAnsi="Times New Roman" w:cs="Times New Roman"/>
          <w:noProof/>
          <w:sz w:val="24"/>
          <w:szCs w:val="24"/>
        </w:rPr>
        <w:t xml:space="preserve">. </w:t>
      </w:r>
      <w:r w:rsidR="00E00246">
        <w:rPr>
          <w:rFonts w:ascii="Times New Roman" w:hAnsi="Times New Roman" w:cs="Times New Roman"/>
          <w:noProof/>
          <w:sz w:val="24"/>
          <w:szCs w:val="24"/>
        </w:rPr>
        <w:t>Increased choice in clearing options will</w:t>
      </w:r>
      <w:r w:rsidRPr="002661A8">
        <w:rPr>
          <w:rFonts w:ascii="Times New Roman" w:hAnsi="Times New Roman" w:cs="Times New Roman"/>
          <w:noProof/>
          <w:sz w:val="24"/>
          <w:szCs w:val="24"/>
        </w:rPr>
        <w:t xml:space="preserve"> strengthen </w:t>
      </w:r>
      <w:r w:rsidR="00E00246">
        <w:rPr>
          <w:rFonts w:ascii="Times New Roman" w:hAnsi="Times New Roman" w:cs="Times New Roman"/>
          <w:noProof/>
          <w:sz w:val="24"/>
          <w:szCs w:val="24"/>
        </w:rPr>
        <w:t xml:space="preserve">clearing members’ </w:t>
      </w:r>
      <w:r w:rsidRPr="002661A8">
        <w:rPr>
          <w:rFonts w:ascii="Times New Roman" w:hAnsi="Times New Roman" w:cs="Times New Roman"/>
          <w:noProof/>
          <w:sz w:val="24"/>
          <w:szCs w:val="24"/>
        </w:rPr>
        <w:t xml:space="preserve">resilience </w:t>
      </w:r>
      <w:r w:rsidR="00E00246">
        <w:rPr>
          <w:rFonts w:ascii="Times New Roman" w:hAnsi="Times New Roman" w:cs="Times New Roman"/>
          <w:noProof/>
          <w:sz w:val="24"/>
          <w:szCs w:val="24"/>
        </w:rPr>
        <w:t>to market shocks</w:t>
      </w:r>
      <w:r w:rsidRPr="002661A8">
        <w:rPr>
          <w:rFonts w:ascii="Times New Roman" w:hAnsi="Times New Roman" w:cs="Times New Roman"/>
          <w:noProof/>
          <w:sz w:val="24"/>
          <w:szCs w:val="24"/>
        </w:rPr>
        <w:t xml:space="preserve"> and </w:t>
      </w:r>
      <w:r w:rsidR="00E00246">
        <w:rPr>
          <w:rFonts w:ascii="Times New Roman" w:hAnsi="Times New Roman" w:cs="Times New Roman"/>
          <w:noProof/>
          <w:sz w:val="24"/>
          <w:szCs w:val="24"/>
        </w:rPr>
        <w:t>presents</w:t>
      </w:r>
      <w:r w:rsidRPr="002661A8">
        <w:rPr>
          <w:rFonts w:ascii="Times New Roman" w:hAnsi="Times New Roman" w:cs="Times New Roman"/>
          <w:noProof/>
          <w:sz w:val="24"/>
          <w:szCs w:val="24"/>
        </w:rPr>
        <w:t xml:space="preserve"> an ongoing benefit.</w:t>
      </w:r>
    </w:p>
    <w:p w14:paraId="4B1FDD4F" w14:textId="66932184" w:rsidR="001C206A" w:rsidRPr="002661A8" w:rsidRDefault="001C206A" w:rsidP="001C206A">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b/>
          <w:noProof/>
          <w:sz w:val="24"/>
          <w:szCs w:val="24"/>
        </w:rPr>
        <w:t>Clients</w:t>
      </w:r>
      <w:r w:rsidRPr="002661A8">
        <w:rPr>
          <w:rFonts w:ascii="Times New Roman" w:eastAsia="Calibri" w:hAnsi="Times New Roman" w:cs="Times New Roman"/>
          <w:noProof/>
          <w:sz w:val="24"/>
          <w:szCs w:val="24"/>
        </w:rPr>
        <w:t xml:space="preserve"> that do not currently clear in the EU are likely to bear </w:t>
      </w:r>
      <w:r w:rsidR="00DF5CB2" w:rsidRPr="002661A8">
        <w:rPr>
          <w:rFonts w:ascii="Times New Roman" w:eastAsia="Calibri" w:hAnsi="Times New Roman" w:cs="Times New Roman"/>
          <w:noProof/>
          <w:sz w:val="24"/>
          <w:szCs w:val="24"/>
        </w:rPr>
        <w:t>the</w:t>
      </w:r>
      <w:r w:rsidRPr="002661A8">
        <w:rPr>
          <w:rFonts w:ascii="Times New Roman" w:eastAsia="Calibri" w:hAnsi="Times New Roman" w:cs="Times New Roman"/>
          <w:noProof/>
          <w:sz w:val="24"/>
          <w:szCs w:val="24"/>
        </w:rPr>
        <w:t xml:space="preserve"> costs of the obligation to keep an active account at an EU CCP. </w:t>
      </w:r>
      <w:r w:rsidR="00461547" w:rsidRPr="002661A8">
        <w:rPr>
          <w:rFonts w:ascii="Times New Roman" w:eastAsia="Calibri" w:hAnsi="Times New Roman" w:cs="Times New Roman"/>
          <w:noProof/>
          <w:sz w:val="24"/>
          <w:szCs w:val="24"/>
        </w:rPr>
        <w:t>R</w:t>
      </w:r>
      <w:r w:rsidR="00314522" w:rsidRPr="002661A8">
        <w:rPr>
          <w:rFonts w:ascii="Times New Roman" w:eastAsia="Calibri" w:hAnsi="Times New Roman" w:cs="Times New Roman"/>
          <w:noProof/>
          <w:sz w:val="24"/>
          <w:szCs w:val="24"/>
        </w:rPr>
        <w:t xml:space="preserve">oughly 60% of the </w:t>
      </w:r>
      <w:r w:rsidR="00EC6312" w:rsidRPr="002661A8">
        <w:rPr>
          <w:rFonts w:ascii="Times New Roman" w:eastAsia="Calibri" w:hAnsi="Times New Roman" w:cs="Times New Roman"/>
          <w:noProof/>
          <w:sz w:val="24"/>
          <w:szCs w:val="24"/>
        </w:rPr>
        <w:t xml:space="preserve">EU </w:t>
      </w:r>
      <w:r w:rsidR="00314522" w:rsidRPr="002661A8">
        <w:rPr>
          <w:rFonts w:ascii="Times New Roman" w:eastAsia="Calibri" w:hAnsi="Times New Roman" w:cs="Times New Roman"/>
          <w:noProof/>
          <w:sz w:val="24"/>
          <w:szCs w:val="24"/>
        </w:rPr>
        <w:t>clients of EU clearing members already have an account for clearing interest rate swaps at an EU CCP, and roughly 85% have one for credit default swaps</w:t>
      </w:r>
      <w:r w:rsidR="00004D4E" w:rsidRPr="002661A8">
        <w:rPr>
          <w:rStyle w:val="FootnoteReference"/>
          <w:rFonts w:ascii="Times New Roman" w:eastAsia="Calibri" w:hAnsi="Times New Roman" w:cs="Times New Roman"/>
          <w:noProof/>
          <w:sz w:val="24"/>
          <w:szCs w:val="24"/>
        </w:rPr>
        <w:footnoteReference w:id="142"/>
      </w:r>
      <w:r w:rsidR="00314522" w:rsidRPr="002661A8">
        <w:rPr>
          <w:rFonts w:ascii="Times New Roman" w:eastAsia="Calibri" w:hAnsi="Times New Roman" w:cs="Times New Roman"/>
          <w:noProof/>
          <w:sz w:val="24"/>
          <w:szCs w:val="24"/>
        </w:rPr>
        <w:t xml:space="preserve">. </w:t>
      </w:r>
      <w:r w:rsidR="003A3AFA">
        <w:rPr>
          <w:rFonts w:ascii="Times New Roman" w:eastAsia="Calibri" w:hAnsi="Times New Roman" w:cs="Times New Roman"/>
          <w:noProof/>
          <w:sz w:val="24"/>
          <w:szCs w:val="24"/>
        </w:rPr>
        <w:t>F</w:t>
      </w:r>
      <w:r w:rsidR="00314522" w:rsidRPr="002661A8">
        <w:rPr>
          <w:rFonts w:ascii="Times New Roman" w:eastAsia="Calibri" w:hAnsi="Times New Roman" w:cs="Times New Roman"/>
          <w:noProof/>
          <w:sz w:val="24"/>
          <w:szCs w:val="24"/>
        </w:rPr>
        <w:t xml:space="preserve">or these clients opening an account at an EU CCP for these types of products would not be an additional cost. </w:t>
      </w:r>
      <w:r w:rsidR="007A568E" w:rsidRPr="002661A8">
        <w:rPr>
          <w:rFonts w:ascii="Times New Roman" w:eastAsia="Calibri" w:hAnsi="Times New Roman" w:cs="Times New Roman"/>
          <w:noProof/>
          <w:sz w:val="24"/>
          <w:szCs w:val="24"/>
        </w:rPr>
        <w:t>In addition, any</w:t>
      </w:r>
      <w:r w:rsidRPr="002661A8">
        <w:rPr>
          <w:rFonts w:ascii="Times New Roman" w:eastAsia="Calibri" w:hAnsi="Times New Roman" w:cs="Times New Roman"/>
          <w:noProof/>
          <w:sz w:val="24"/>
          <w:szCs w:val="24"/>
        </w:rPr>
        <w:t xml:space="preserve"> cost </w:t>
      </w:r>
      <w:r w:rsidR="00164A2C" w:rsidRPr="002661A8">
        <w:rPr>
          <w:rFonts w:ascii="Times New Roman" w:eastAsia="Calibri" w:hAnsi="Times New Roman" w:cs="Times New Roman"/>
          <w:noProof/>
          <w:sz w:val="24"/>
          <w:szCs w:val="24"/>
        </w:rPr>
        <w:t>c</w:t>
      </w:r>
      <w:r w:rsidRPr="002661A8">
        <w:rPr>
          <w:rFonts w:ascii="Times New Roman" w:eastAsia="Calibri" w:hAnsi="Times New Roman" w:cs="Times New Roman"/>
          <w:noProof/>
          <w:sz w:val="24"/>
          <w:szCs w:val="24"/>
        </w:rPr>
        <w:t>ould depend on which CCP they participate</w:t>
      </w:r>
      <w:r w:rsidR="00164A2C" w:rsidRPr="002661A8">
        <w:rPr>
          <w:rFonts w:ascii="Times New Roman" w:eastAsia="Calibri" w:hAnsi="Times New Roman" w:cs="Times New Roman"/>
          <w:noProof/>
          <w:sz w:val="24"/>
          <w:szCs w:val="24"/>
        </w:rPr>
        <w:t>:</w:t>
      </w:r>
      <w:r w:rsidRPr="002661A8">
        <w:rPr>
          <w:rFonts w:ascii="Times New Roman" w:eastAsia="Calibri" w:hAnsi="Times New Roman" w:cs="Times New Roman"/>
          <w:noProof/>
          <w:sz w:val="24"/>
          <w:szCs w:val="24"/>
        </w:rPr>
        <w:t xml:space="preserve"> in some EU CCPs, for example, the costs </w:t>
      </w:r>
      <w:r w:rsidR="00164A2C" w:rsidRPr="002661A8">
        <w:rPr>
          <w:rFonts w:ascii="Times New Roman" w:eastAsia="Calibri" w:hAnsi="Times New Roman" w:cs="Times New Roman"/>
          <w:noProof/>
          <w:sz w:val="24"/>
          <w:szCs w:val="24"/>
        </w:rPr>
        <w:t>of an account per se</w:t>
      </w:r>
      <w:r w:rsidRPr="002661A8">
        <w:rPr>
          <w:rFonts w:ascii="Times New Roman" w:eastAsia="Calibri" w:hAnsi="Times New Roman" w:cs="Times New Roman"/>
          <w:noProof/>
          <w:sz w:val="24"/>
          <w:szCs w:val="24"/>
        </w:rPr>
        <w:t xml:space="preserve"> are zero under certain conditions.</w:t>
      </w:r>
      <w:r w:rsidRPr="002661A8">
        <w:rPr>
          <w:rStyle w:val="FootnoteReference"/>
          <w:rFonts w:ascii="Times New Roman" w:eastAsia="Calibri" w:hAnsi="Times New Roman" w:cs="Times New Roman"/>
          <w:noProof/>
          <w:sz w:val="24"/>
          <w:szCs w:val="24"/>
        </w:rPr>
        <w:footnoteReference w:id="143"/>
      </w:r>
      <w:r w:rsidRPr="002661A8">
        <w:rPr>
          <w:rFonts w:ascii="Times New Roman" w:eastAsia="Calibri" w:hAnsi="Times New Roman" w:cs="Times New Roman"/>
          <w:noProof/>
          <w:sz w:val="24"/>
          <w:szCs w:val="24"/>
        </w:rPr>
        <w:t xml:space="preserve"> Nevertheless, there may be costs related, e.g. to the need for keeping accounts at two CCPs instead of one and for gradually increasing activity in the EU account.</w:t>
      </w:r>
      <w:r w:rsidR="00565271">
        <w:rPr>
          <w:rFonts w:ascii="Times New Roman" w:eastAsia="Calibri" w:hAnsi="Times New Roman" w:cs="Times New Roman"/>
          <w:noProof/>
          <w:sz w:val="24"/>
          <w:szCs w:val="24"/>
        </w:rPr>
        <w:t xml:space="preserve"> Clearing members are also likely to pass on any fees for participating in two CCPs to clients. </w:t>
      </w:r>
      <w:r w:rsidRPr="002661A8">
        <w:rPr>
          <w:rFonts w:ascii="Times New Roman" w:eastAsia="Calibri" w:hAnsi="Times New Roman" w:cs="Times New Roman"/>
          <w:noProof/>
          <w:sz w:val="24"/>
          <w:szCs w:val="24"/>
        </w:rPr>
        <w:t xml:space="preserve">Whether these costs would be ongoing or not depends also on the way clients would adjust to the requirements: e.g. such costs may prompt certain clients (particularly smaller ones) to decide to clear in the EU only, to decrease the burden; in such a case, the identified costs could be reduced overtime. Clients </w:t>
      </w:r>
      <w:r w:rsidR="00ED0EE1">
        <w:rPr>
          <w:rFonts w:ascii="Times New Roman" w:eastAsia="Calibri" w:hAnsi="Times New Roman" w:cs="Times New Roman"/>
          <w:noProof/>
          <w:sz w:val="24"/>
          <w:szCs w:val="24"/>
        </w:rPr>
        <w:t>would also</w:t>
      </w:r>
      <w:r w:rsidR="00FB0EA6">
        <w:rPr>
          <w:rFonts w:ascii="Times New Roman" w:eastAsia="Calibri" w:hAnsi="Times New Roman" w:cs="Times New Roman"/>
          <w:noProof/>
          <w:sz w:val="24"/>
          <w:szCs w:val="24"/>
        </w:rPr>
        <w:t xml:space="preserve"> likely</w:t>
      </w:r>
      <w:r w:rsidR="00ED0EE1">
        <w:rPr>
          <w:rFonts w:ascii="Times New Roman" w:eastAsia="Calibri" w:hAnsi="Times New Roman" w:cs="Times New Roman"/>
          <w:noProof/>
          <w:sz w:val="24"/>
          <w:szCs w:val="24"/>
        </w:rPr>
        <w:t xml:space="preserve"> face increased costs due to lost netting benefits and</w:t>
      </w:r>
      <w:r w:rsidRPr="002661A8">
        <w:rPr>
          <w:rFonts w:ascii="Times New Roman" w:eastAsia="Calibri" w:hAnsi="Times New Roman" w:cs="Times New Roman"/>
          <w:noProof/>
          <w:sz w:val="24"/>
          <w:szCs w:val="24"/>
        </w:rPr>
        <w:t xml:space="preserve"> are likely to bear any other costs faced by clearing members. Similar to clearing members, </w:t>
      </w:r>
      <w:r w:rsidR="00B06C0F">
        <w:rPr>
          <w:rFonts w:ascii="Times New Roman" w:eastAsia="Calibri" w:hAnsi="Times New Roman" w:cs="Times New Roman"/>
          <w:noProof/>
          <w:sz w:val="24"/>
          <w:szCs w:val="24"/>
        </w:rPr>
        <w:t>t</w:t>
      </w:r>
      <w:r w:rsidR="00E00246" w:rsidRPr="002661A8">
        <w:rPr>
          <w:rFonts w:ascii="Times New Roman" w:eastAsia="Calibri" w:hAnsi="Times New Roman" w:cs="Times New Roman"/>
          <w:noProof/>
          <w:sz w:val="24"/>
          <w:szCs w:val="24"/>
        </w:rPr>
        <w:t>h</w:t>
      </w:r>
      <w:r w:rsidR="00E00246">
        <w:rPr>
          <w:rFonts w:ascii="Times New Roman" w:eastAsia="Calibri" w:hAnsi="Times New Roman" w:cs="Times New Roman"/>
          <w:noProof/>
          <w:sz w:val="24"/>
          <w:szCs w:val="24"/>
        </w:rPr>
        <w:t>ere</w:t>
      </w:r>
      <w:r w:rsidR="00E00246"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would be an ongoing benefit</w:t>
      </w:r>
      <w:r w:rsidR="00E00246">
        <w:rPr>
          <w:rFonts w:ascii="Times New Roman" w:eastAsia="Calibri" w:hAnsi="Times New Roman" w:cs="Times New Roman"/>
          <w:noProof/>
          <w:sz w:val="24"/>
          <w:szCs w:val="24"/>
        </w:rPr>
        <w:t xml:space="preserve"> for clients in terms of increased resilience</w:t>
      </w:r>
      <w:r w:rsidRPr="002661A8">
        <w:rPr>
          <w:rFonts w:ascii="Times New Roman" w:eastAsia="Calibri" w:hAnsi="Times New Roman" w:cs="Times New Roman"/>
          <w:noProof/>
          <w:sz w:val="24"/>
          <w:szCs w:val="24"/>
        </w:rPr>
        <w:t>.</w:t>
      </w:r>
    </w:p>
    <w:p w14:paraId="2079EDED" w14:textId="6E9E7791" w:rsidR="001C206A" w:rsidRPr="002661A8" w:rsidRDefault="001C206A" w:rsidP="001C206A">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b/>
          <w:bCs/>
          <w:noProof/>
          <w:sz w:val="24"/>
          <w:szCs w:val="24"/>
        </w:rPr>
        <w:t>N</w:t>
      </w:r>
      <w:r w:rsidRPr="002661A8">
        <w:rPr>
          <w:rFonts w:ascii="Times New Roman" w:eastAsia="Calibri" w:hAnsi="Times New Roman" w:cs="Times New Roman"/>
          <w:b/>
          <w:noProof/>
          <w:sz w:val="24"/>
          <w:szCs w:val="24"/>
        </w:rPr>
        <w:t>ational supervisory authorities</w:t>
      </w:r>
      <w:r w:rsidRPr="002661A8">
        <w:rPr>
          <w:rFonts w:ascii="Times New Roman" w:eastAsia="Calibri" w:hAnsi="Times New Roman" w:cs="Times New Roman"/>
          <w:noProof/>
          <w:sz w:val="24"/>
          <w:szCs w:val="24"/>
        </w:rPr>
        <w:t xml:space="preserve"> will need to ensure firms’ compliance with the requirement to have an active account. </w:t>
      </w:r>
      <w:r w:rsidR="00AB14B3" w:rsidRPr="002661A8">
        <w:rPr>
          <w:rFonts w:ascii="Times New Roman" w:eastAsia="Calibri" w:hAnsi="Times New Roman" w:cs="Times New Roman"/>
          <w:noProof/>
          <w:sz w:val="24"/>
          <w:szCs w:val="24"/>
        </w:rPr>
        <w:t>S</w:t>
      </w:r>
      <w:r w:rsidRPr="002661A8">
        <w:rPr>
          <w:rFonts w:ascii="Times New Roman" w:eastAsia="Calibri" w:hAnsi="Times New Roman" w:cs="Times New Roman"/>
          <w:noProof/>
          <w:sz w:val="24"/>
          <w:szCs w:val="24"/>
        </w:rPr>
        <w:t xml:space="preserve">uch costs are likely to be limited </w:t>
      </w:r>
      <w:r w:rsidR="00AB14B3" w:rsidRPr="002661A8">
        <w:rPr>
          <w:rFonts w:ascii="Times New Roman" w:eastAsia="Calibri" w:hAnsi="Times New Roman" w:cs="Times New Roman"/>
          <w:noProof/>
          <w:sz w:val="24"/>
          <w:szCs w:val="24"/>
        </w:rPr>
        <w:t xml:space="preserve">though </w:t>
      </w:r>
      <w:r w:rsidRPr="002661A8">
        <w:rPr>
          <w:rFonts w:ascii="Times New Roman" w:eastAsia="Calibri" w:hAnsi="Times New Roman" w:cs="Times New Roman"/>
          <w:noProof/>
          <w:sz w:val="24"/>
          <w:szCs w:val="24"/>
        </w:rPr>
        <w:t xml:space="preserve">as they would be integrated in ongoing supervision, so the </w:t>
      </w:r>
      <w:r w:rsidR="00AB14B3" w:rsidRPr="002661A8">
        <w:rPr>
          <w:rFonts w:ascii="Times New Roman" w:eastAsia="Calibri" w:hAnsi="Times New Roman" w:cs="Times New Roman"/>
          <w:noProof/>
          <w:sz w:val="24"/>
          <w:szCs w:val="24"/>
        </w:rPr>
        <w:t xml:space="preserve">overall </w:t>
      </w:r>
      <w:r w:rsidRPr="002661A8">
        <w:rPr>
          <w:rFonts w:ascii="Times New Roman" w:eastAsia="Calibri" w:hAnsi="Times New Roman" w:cs="Times New Roman"/>
          <w:noProof/>
          <w:sz w:val="24"/>
          <w:szCs w:val="24"/>
        </w:rPr>
        <w:t>impact is neutral.</w:t>
      </w:r>
    </w:p>
    <w:p w14:paraId="517E3FAE" w14:textId="4E13D464" w:rsidR="001C206A" w:rsidRPr="002661A8" w:rsidRDefault="001C206A" w:rsidP="00A61E96">
      <w:pPr>
        <w:spacing w:after="120" w:line="240" w:lineRule="auto"/>
        <w:jc w:val="both"/>
        <w:rPr>
          <w:rFonts w:ascii="Times New Roman" w:eastAsia="Times New Roman" w:hAnsi="Times New Roman" w:cs="Times New Roman"/>
          <w:noProof/>
          <w:sz w:val="24"/>
          <w:szCs w:val="24"/>
        </w:rPr>
      </w:pPr>
      <w:r w:rsidRPr="002661A8">
        <w:rPr>
          <w:rFonts w:ascii="Times New Roman" w:eastAsia="Calibri" w:hAnsi="Times New Roman" w:cs="Times New Roman"/>
          <w:b/>
          <w:noProof/>
          <w:sz w:val="24"/>
          <w:szCs w:val="24"/>
        </w:rPr>
        <w:t>ESMA</w:t>
      </w:r>
      <w:r w:rsidRPr="002661A8">
        <w:rPr>
          <w:rFonts w:ascii="Times New Roman" w:eastAsia="Calibri" w:hAnsi="Times New Roman" w:cs="Times New Roman"/>
          <w:noProof/>
          <w:sz w:val="24"/>
          <w:szCs w:val="24"/>
        </w:rPr>
        <w:t xml:space="preserve">, and potentially the other ESAs, would need to be informed </w:t>
      </w:r>
      <w:r w:rsidR="00AB14B3" w:rsidRPr="002661A8">
        <w:rPr>
          <w:rFonts w:ascii="Times New Roman" w:eastAsia="Calibri" w:hAnsi="Times New Roman" w:cs="Times New Roman"/>
          <w:noProof/>
          <w:sz w:val="24"/>
          <w:szCs w:val="24"/>
        </w:rPr>
        <w:t>on</w:t>
      </w:r>
      <w:r w:rsidRPr="002661A8">
        <w:rPr>
          <w:rFonts w:ascii="Times New Roman" w:eastAsia="Calibri" w:hAnsi="Times New Roman" w:cs="Times New Roman"/>
          <w:noProof/>
          <w:sz w:val="24"/>
          <w:szCs w:val="24"/>
        </w:rPr>
        <w:t xml:space="preserve"> firms’ compliance with the requirement to have an active account at an EU CCP. While this may lead to limited additional costs (e.g. </w:t>
      </w:r>
      <w:r w:rsidR="00F66F4C" w:rsidRPr="002661A8">
        <w:rPr>
          <w:rFonts w:ascii="Times New Roman" w:eastAsia="Calibri" w:hAnsi="Times New Roman" w:cs="Times New Roman"/>
          <w:noProof/>
          <w:sz w:val="24"/>
          <w:szCs w:val="24"/>
        </w:rPr>
        <w:t xml:space="preserve">national supervisors reporting to </w:t>
      </w:r>
      <w:r w:rsidRPr="002661A8">
        <w:rPr>
          <w:rFonts w:ascii="Times New Roman" w:eastAsia="Calibri" w:hAnsi="Times New Roman" w:cs="Times New Roman"/>
          <w:noProof/>
          <w:sz w:val="24"/>
          <w:szCs w:val="24"/>
        </w:rPr>
        <w:t xml:space="preserve">ESMA/the ESAs </w:t>
      </w:r>
      <w:r w:rsidR="00F66F4C" w:rsidRPr="002661A8">
        <w:rPr>
          <w:rFonts w:ascii="Times New Roman" w:eastAsia="Calibri" w:hAnsi="Times New Roman" w:cs="Times New Roman"/>
          <w:noProof/>
          <w:sz w:val="24"/>
          <w:szCs w:val="24"/>
        </w:rPr>
        <w:t xml:space="preserve">information </w:t>
      </w:r>
      <w:r w:rsidR="00950180" w:rsidRPr="002661A8">
        <w:rPr>
          <w:rFonts w:ascii="Times New Roman" w:eastAsia="Calibri" w:hAnsi="Times New Roman" w:cs="Times New Roman"/>
          <w:noProof/>
          <w:sz w:val="24"/>
          <w:szCs w:val="24"/>
        </w:rPr>
        <w:t>the former</w:t>
      </w:r>
      <w:r w:rsidR="00F66F4C" w:rsidRPr="002661A8">
        <w:rPr>
          <w:rFonts w:ascii="Times New Roman" w:eastAsia="Calibri" w:hAnsi="Times New Roman" w:cs="Times New Roman"/>
          <w:noProof/>
          <w:sz w:val="24"/>
          <w:szCs w:val="24"/>
        </w:rPr>
        <w:t xml:space="preserve"> obtain through their</w:t>
      </w:r>
      <w:r w:rsidR="00950180" w:rsidRPr="002661A8">
        <w:rPr>
          <w:rFonts w:ascii="Times New Roman" w:eastAsia="Calibri" w:hAnsi="Times New Roman" w:cs="Times New Roman"/>
          <w:noProof/>
          <w:sz w:val="24"/>
          <w:szCs w:val="24"/>
        </w:rPr>
        <w:t xml:space="preserve"> ongoing</w:t>
      </w:r>
      <w:r w:rsidR="00F66F4C" w:rsidRPr="002661A8">
        <w:rPr>
          <w:rFonts w:ascii="Times New Roman" w:eastAsia="Calibri" w:hAnsi="Times New Roman" w:cs="Times New Roman"/>
          <w:noProof/>
          <w:sz w:val="24"/>
          <w:szCs w:val="24"/>
        </w:rPr>
        <w:t xml:space="preserve"> supervisory activities</w:t>
      </w:r>
      <w:r w:rsidRPr="002661A8">
        <w:rPr>
          <w:rFonts w:ascii="Times New Roman" w:eastAsia="Calibri" w:hAnsi="Times New Roman" w:cs="Times New Roman"/>
          <w:noProof/>
          <w:sz w:val="24"/>
          <w:szCs w:val="24"/>
        </w:rPr>
        <w:t>),</w:t>
      </w:r>
      <w:r w:rsidRPr="002661A8" w:rsidDel="00A44D16">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 xml:space="preserve">the provision of this additional information to </w:t>
      </w:r>
      <w:r w:rsidR="00953EAE" w:rsidRPr="002661A8">
        <w:rPr>
          <w:rFonts w:ascii="Times New Roman" w:eastAsia="Calibri" w:hAnsi="Times New Roman" w:cs="Times New Roman"/>
          <w:noProof/>
          <w:sz w:val="24"/>
          <w:szCs w:val="24"/>
        </w:rPr>
        <w:t xml:space="preserve">these EU bodies </w:t>
      </w:r>
      <w:r w:rsidRPr="002661A8">
        <w:rPr>
          <w:rFonts w:ascii="Times New Roman" w:eastAsia="Calibri" w:hAnsi="Times New Roman" w:cs="Times New Roman"/>
          <w:noProof/>
          <w:sz w:val="24"/>
          <w:szCs w:val="24"/>
        </w:rPr>
        <w:t>will greatly facilitate performance of their tasks aimed at ensuring the EU financial stability.</w:t>
      </w:r>
    </w:p>
    <w:p w14:paraId="6EF72A68" w14:textId="5BEE6357" w:rsidR="000923BE" w:rsidRPr="002661A8" w:rsidRDefault="000923BE" w:rsidP="00ED5088">
      <w:pPr>
        <w:pStyle w:val="Heading1"/>
        <w:numPr>
          <w:ilvl w:val="2"/>
          <w:numId w:val="6"/>
        </w:numPr>
        <w:spacing w:before="0" w:after="120"/>
        <w:rPr>
          <w:i/>
          <w:noProof/>
        </w:rPr>
      </w:pPr>
      <w:bookmarkStart w:id="1032" w:name="_Toc104310013"/>
      <w:bookmarkStart w:id="1033" w:name="_Toc105656453"/>
      <w:bookmarkStart w:id="1034" w:name="_Toc106827853"/>
      <w:bookmarkStart w:id="1035" w:name="_Toc106981729"/>
      <w:bookmarkStart w:id="1036" w:name="_Toc107493869"/>
      <w:bookmarkStart w:id="1037" w:name="_Toc107497905"/>
      <w:bookmarkStart w:id="1038" w:name="_Toc107503458"/>
      <w:bookmarkStart w:id="1039" w:name="_Toc107504606"/>
      <w:bookmarkStart w:id="1040" w:name="_Toc107505451"/>
      <w:bookmarkStart w:id="1041" w:name="_Toc107838927"/>
      <w:bookmarkStart w:id="1042" w:name="_Toc107847022"/>
      <w:bookmarkStart w:id="1043" w:name="_Toc107849259"/>
      <w:bookmarkStart w:id="1044" w:name="_Toc107853706"/>
      <w:bookmarkStart w:id="1045" w:name="_Toc107865300"/>
      <w:bookmarkStart w:id="1046" w:name="_Toc108418509"/>
      <w:bookmarkStart w:id="1047" w:name="_Toc108539601"/>
      <w:bookmarkStart w:id="1048" w:name="_Toc108539823"/>
      <w:bookmarkStart w:id="1049" w:name="_Toc108539941"/>
      <w:bookmarkStart w:id="1050" w:name="_Toc108540020"/>
      <w:bookmarkStart w:id="1051" w:name="_Toc109057399"/>
      <w:bookmarkStart w:id="1052" w:name="_Toc109120765"/>
      <w:bookmarkStart w:id="1053" w:name="_Toc109122400"/>
      <w:bookmarkStart w:id="1054" w:name="_Toc109124113"/>
      <w:bookmarkStart w:id="1055" w:name="_Toc109133137"/>
      <w:bookmarkStart w:id="1056" w:name="_Toc109133313"/>
      <w:bookmarkStart w:id="1057" w:name="_Toc120291671"/>
      <w:r w:rsidRPr="002661A8">
        <w:rPr>
          <w:b w:val="0"/>
          <w:i/>
          <w:smallCaps w:val="0"/>
          <w:noProof/>
        </w:rPr>
        <w:t xml:space="preserve">Option </w:t>
      </w:r>
      <w:r w:rsidR="00A8027C">
        <w:rPr>
          <w:b w:val="0"/>
          <w:i/>
          <w:smallCaps w:val="0"/>
          <w:noProof/>
        </w:rPr>
        <w:t>B</w:t>
      </w:r>
      <w:r w:rsidRPr="002661A8">
        <w:rPr>
          <w:b w:val="0"/>
          <w:i/>
          <w:smallCaps w:val="0"/>
          <w:noProof/>
        </w:rPr>
        <w:t xml:space="preserve">4 – Broaden the scope of clearing participants, </w:t>
      </w:r>
      <w:r w:rsidR="00694C3C" w:rsidRPr="002661A8">
        <w:rPr>
          <w:b w:val="0"/>
          <w:i/>
          <w:smallCaps w:val="0"/>
          <w:noProof/>
        </w:rPr>
        <w:t>i.</w:t>
      </w:r>
      <w:r w:rsidRPr="002661A8">
        <w:rPr>
          <w:b w:val="0"/>
          <w:i/>
          <w:smallCaps w:val="0"/>
          <w:noProof/>
        </w:rPr>
        <w:t xml:space="preserve">e. public </w:t>
      </w:r>
      <w:r w:rsidR="003250C7" w:rsidRPr="002661A8">
        <w:rPr>
          <w:b w:val="0"/>
          <w:i/>
          <w:smallCaps w:val="0"/>
          <w:noProof/>
        </w:rPr>
        <w:t>entities</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14:paraId="1B22C687" w14:textId="77777777" w:rsidR="00B647A6" w:rsidRPr="002661A8" w:rsidRDefault="00B647A6" w:rsidP="003F003C">
      <w:pPr>
        <w:spacing w:after="120" w:line="240" w:lineRule="auto"/>
        <w:jc w:val="both"/>
        <w:rPr>
          <w:rFonts w:ascii="Times New Roman" w:eastAsia="Calibri" w:hAnsi="Times New Roman" w:cs="Times New Roman"/>
          <w:noProof/>
          <w:sz w:val="24"/>
          <w:szCs w:val="24"/>
          <w:u w:val="single"/>
        </w:rPr>
      </w:pPr>
      <w:r w:rsidRPr="002661A8">
        <w:rPr>
          <w:rFonts w:ascii="Times New Roman" w:eastAsia="Calibri" w:hAnsi="Times New Roman" w:cs="Times New Roman"/>
          <w:noProof/>
          <w:sz w:val="24"/>
          <w:szCs w:val="24"/>
          <w:u w:val="single"/>
        </w:rPr>
        <w:t xml:space="preserve">Effectiveness in meeting the specific objectives </w:t>
      </w:r>
    </w:p>
    <w:p w14:paraId="3F38BC85" w14:textId="593F4D24" w:rsidR="001D6EEE" w:rsidRDefault="00B647A6" w:rsidP="007646EF">
      <w:pPr>
        <w:tabs>
          <w:tab w:val="left" w:pos="2302"/>
        </w:tabs>
        <w:spacing w:after="120" w:line="240" w:lineRule="auto"/>
        <w:jc w:val="both"/>
        <w:rPr>
          <w:rFonts w:ascii="Times New Roman" w:eastAsia="Times New Roman" w:hAnsi="Times New Roman" w:cs="Times New Roman"/>
          <w:noProof/>
          <w:sz w:val="24"/>
          <w:szCs w:val="24"/>
        </w:rPr>
      </w:pPr>
      <w:r w:rsidRPr="002661A8">
        <w:rPr>
          <w:rFonts w:ascii="Times New Roman" w:eastAsia="Times New Roman" w:hAnsi="Times New Roman" w:cs="Times New Roman"/>
          <w:noProof/>
          <w:sz w:val="24"/>
          <w:szCs w:val="24"/>
        </w:rPr>
        <w:t>Some public entities</w:t>
      </w:r>
      <w:r w:rsidR="005F2B06">
        <w:rPr>
          <w:rFonts w:ascii="Times New Roman" w:eastAsia="Times New Roman" w:hAnsi="Times New Roman" w:cs="Times New Roman"/>
          <w:noProof/>
          <w:sz w:val="24"/>
          <w:szCs w:val="24"/>
        </w:rPr>
        <w:t>, such as public debt management offices,</w:t>
      </w:r>
      <w:r w:rsidRPr="002661A8">
        <w:rPr>
          <w:rFonts w:ascii="Times New Roman" w:eastAsia="Times New Roman" w:hAnsi="Times New Roman" w:cs="Times New Roman"/>
          <w:noProof/>
          <w:sz w:val="24"/>
          <w:szCs w:val="24"/>
        </w:rPr>
        <w:t xml:space="preserve"> are currently exempted from EMIR</w:t>
      </w:r>
      <w:r w:rsidR="00A337A6" w:rsidRPr="002661A8">
        <w:rPr>
          <w:rFonts w:ascii="Times New Roman" w:eastAsia="Times New Roman" w:hAnsi="Times New Roman" w:cs="Times New Roman"/>
          <w:noProof/>
          <w:sz w:val="24"/>
          <w:szCs w:val="24"/>
        </w:rPr>
        <w:t xml:space="preserve"> while</w:t>
      </w:r>
      <w:r w:rsidRPr="002661A8">
        <w:rPr>
          <w:rFonts w:ascii="Times New Roman" w:eastAsia="Times New Roman" w:hAnsi="Times New Roman" w:cs="Times New Roman"/>
          <w:noProof/>
          <w:sz w:val="24"/>
          <w:szCs w:val="24"/>
        </w:rPr>
        <w:t xml:space="preserve"> others are only subject to</w:t>
      </w:r>
      <w:r w:rsidRPr="002661A8" w:rsidDel="003A67F2">
        <w:rPr>
          <w:rFonts w:ascii="Times New Roman" w:eastAsia="Times New Roman" w:hAnsi="Times New Roman" w:cs="Times New Roman"/>
          <w:noProof/>
          <w:sz w:val="24"/>
          <w:szCs w:val="24"/>
        </w:rPr>
        <w:t xml:space="preserve"> </w:t>
      </w:r>
      <w:r w:rsidRPr="002661A8">
        <w:rPr>
          <w:rFonts w:ascii="Times New Roman" w:eastAsia="Times New Roman" w:hAnsi="Times New Roman" w:cs="Times New Roman"/>
          <w:noProof/>
          <w:sz w:val="24"/>
          <w:szCs w:val="24"/>
        </w:rPr>
        <w:t xml:space="preserve">reporting requirements. They can, however, clear centrally on a voluntary basis. </w:t>
      </w:r>
      <w:r w:rsidR="00A337A6" w:rsidRPr="002661A8">
        <w:rPr>
          <w:rFonts w:ascii="Times New Roman" w:eastAsia="Times New Roman" w:hAnsi="Times New Roman" w:cs="Times New Roman"/>
          <w:noProof/>
          <w:sz w:val="24"/>
          <w:szCs w:val="24"/>
        </w:rPr>
        <w:t xml:space="preserve">Requiring </w:t>
      </w:r>
      <w:r w:rsidRPr="002661A8">
        <w:rPr>
          <w:rFonts w:ascii="Times New Roman" w:eastAsia="Times New Roman" w:hAnsi="Times New Roman" w:cs="Times New Roman"/>
          <w:noProof/>
          <w:sz w:val="24"/>
          <w:szCs w:val="24"/>
        </w:rPr>
        <w:t xml:space="preserve">public entities to clear centrally in the EU could contribute to increasing liquidity at EU CCPs, as it would broaden the base of clearing participants </w:t>
      </w:r>
      <w:r w:rsidR="00A337A6" w:rsidRPr="002661A8">
        <w:rPr>
          <w:rFonts w:ascii="Times New Roman" w:eastAsia="Times New Roman" w:hAnsi="Times New Roman" w:cs="Times New Roman"/>
          <w:noProof/>
          <w:sz w:val="24"/>
          <w:szCs w:val="24"/>
        </w:rPr>
        <w:t>and</w:t>
      </w:r>
      <w:r w:rsidRPr="002661A8">
        <w:rPr>
          <w:rFonts w:ascii="Times New Roman" w:eastAsia="Times New Roman" w:hAnsi="Times New Roman" w:cs="Times New Roman"/>
          <w:noProof/>
          <w:sz w:val="24"/>
          <w:szCs w:val="24"/>
        </w:rPr>
        <w:t xml:space="preserve"> would support the specific objective of encouraging clearing at EU CCPs.</w:t>
      </w:r>
      <w:r w:rsidR="00A337A6" w:rsidRPr="002661A8">
        <w:rPr>
          <w:rFonts w:ascii="Times New Roman" w:eastAsia="Times New Roman" w:hAnsi="Times New Roman" w:cs="Times New Roman"/>
          <w:noProof/>
          <w:sz w:val="24"/>
          <w:szCs w:val="24"/>
        </w:rPr>
        <w:t xml:space="preserve"> </w:t>
      </w:r>
    </w:p>
    <w:p w14:paraId="13DE671C" w14:textId="368F99D9" w:rsidR="00B647A6" w:rsidRPr="002661A8" w:rsidRDefault="00B647A6" w:rsidP="00B647A6">
      <w:pPr>
        <w:spacing w:after="120" w:line="240" w:lineRule="auto"/>
        <w:jc w:val="both"/>
        <w:rPr>
          <w:rFonts w:ascii="Times New Roman" w:hAnsi="Times New Roman" w:cs="Times New Roman"/>
          <w:noProof/>
          <w:sz w:val="24"/>
          <w:szCs w:val="24"/>
        </w:rPr>
      </w:pPr>
      <w:r w:rsidRPr="002661A8">
        <w:rPr>
          <w:rFonts w:ascii="Times New Roman" w:eastAsia="Times New Roman" w:hAnsi="Times New Roman" w:cs="Times New Roman"/>
          <w:noProof/>
          <w:sz w:val="24"/>
          <w:szCs w:val="24"/>
        </w:rPr>
        <w:t xml:space="preserve">As regards the specific objective of improving </w:t>
      </w:r>
      <w:r w:rsidR="00A337A6" w:rsidRPr="002661A8">
        <w:rPr>
          <w:rFonts w:ascii="Times New Roman" w:eastAsia="Times New Roman" w:hAnsi="Times New Roman" w:cs="Times New Roman"/>
          <w:noProof/>
          <w:sz w:val="24"/>
          <w:szCs w:val="24"/>
        </w:rPr>
        <w:t xml:space="preserve">EU CCPs’ </w:t>
      </w:r>
      <w:r w:rsidR="00FE4BB5" w:rsidRPr="002661A8">
        <w:rPr>
          <w:rFonts w:ascii="Times New Roman" w:eastAsia="Times New Roman" w:hAnsi="Times New Roman" w:cs="Times New Roman"/>
          <w:noProof/>
          <w:sz w:val="24"/>
          <w:szCs w:val="24"/>
        </w:rPr>
        <w:t>attractiveness</w:t>
      </w:r>
      <w:r w:rsidRPr="002661A8">
        <w:rPr>
          <w:rFonts w:ascii="Times New Roman" w:eastAsia="Times New Roman" w:hAnsi="Times New Roman" w:cs="Times New Roman"/>
          <w:noProof/>
          <w:sz w:val="24"/>
          <w:szCs w:val="24"/>
        </w:rPr>
        <w:t xml:space="preserve">, more clearing by public entities could </w:t>
      </w:r>
      <w:r w:rsidR="00A337A6" w:rsidRPr="002661A8">
        <w:rPr>
          <w:rFonts w:ascii="Times New Roman" w:eastAsia="Times New Roman" w:hAnsi="Times New Roman" w:cs="Times New Roman"/>
          <w:noProof/>
          <w:sz w:val="24"/>
          <w:szCs w:val="24"/>
        </w:rPr>
        <w:t>have a</w:t>
      </w:r>
      <w:r w:rsidRPr="002661A8">
        <w:rPr>
          <w:rFonts w:ascii="Times New Roman" w:eastAsia="Times New Roman" w:hAnsi="Times New Roman" w:cs="Times New Roman"/>
          <w:noProof/>
          <w:sz w:val="24"/>
          <w:szCs w:val="24"/>
        </w:rPr>
        <w:t xml:space="preserve"> “signalling” effect for the markets: public entities clearing at EU CCPs would implicitly transmit to market participants confidence in EU CCPs, as the public sector would be relying on those infrastructures for clearing. In addition, by furthering liquidity at EU CCPs, public entities could contribute to making EU CCPs more attractive.</w:t>
      </w:r>
      <w:r w:rsidRPr="002661A8">
        <w:rPr>
          <w:rFonts w:ascii="Times New Roman" w:eastAsia="Calibri" w:hAnsi="Times New Roman" w:cs="Times New Roman"/>
          <w:noProof/>
          <w:sz w:val="24"/>
          <w:szCs w:val="24"/>
        </w:rPr>
        <w:t xml:space="preserve"> </w:t>
      </w:r>
      <w:r w:rsidRPr="002661A8">
        <w:rPr>
          <w:rFonts w:ascii="Times New Roman" w:hAnsi="Times New Roman" w:cs="Times New Roman"/>
          <w:noProof/>
          <w:sz w:val="24"/>
          <w:szCs w:val="24"/>
        </w:rPr>
        <w:t>CCPs and market infrastructures</w:t>
      </w:r>
      <w:r w:rsidRPr="002661A8">
        <w:rPr>
          <w:rStyle w:val="FootnoteReference"/>
          <w:noProof/>
        </w:rPr>
        <w:footnoteReference w:id="144"/>
      </w:r>
      <w:r w:rsidRPr="002661A8">
        <w:rPr>
          <w:rFonts w:ascii="Times New Roman" w:hAnsi="Times New Roman" w:cs="Times New Roman"/>
          <w:noProof/>
          <w:sz w:val="24"/>
          <w:szCs w:val="24"/>
        </w:rPr>
        <w:t xml:space="preserve"> responding to the targeted consultation pointed to these benefits (potential increase in liquidity, further diversification in participation to CCPs</w:t>
      </w:r>
      <w:r w:rsidRPr="002661A8">
        <w:rPr>
          <w:rStyle w:val="FootnoteReference"/>
          <w:noProof/>
        </w:rPr>
        <w:footnoteReference w:id="145"/>
      </w:r>
      <w:r w:rsidRPr="002661A8">
        <w:rPr>
          <w:rFonts w:ascii="Times New Roman" w:hAnsi="Times New Roman" w:cs="Times New Roman"/>
          <w:noProof/>
          <w:sz w:val="24"/>
          <w:szCs w:val="24"/>
        </w:rPr>
        <w:t>, strong signal to the market, contribute to harmonisation and consolidation). These arguments were supported by other market participants.</w:t>
      </w:r>
      <w:r w:rsidRPr="002661A8">
        <w:rPr>
          <w:rStyle w:val="FootnoteReference"/>
          <w:noProof/>
        </w:rPr>
        <w:footnoteReference w:id="146"/>
      </w:r>
      <w:r w:rsidRPr="002661A8">
        <w:rPr>
          <w:rFonts w:ascii="Times New Roman" w:hAnsi="Times New Roman" w:cs="Times New Roman"/>
          <w:noProof/>
          <w:sz w:val="24"/>
          <w:szCs w:val="24"/>
        </w:rPr>
        <w:t xml:space="preserve"> </w:t>
      </w:r>
    </w:p>
    <w:p w14:paraId="1924AE62" w14:textId="312420EB" w:rsidR="00B647A6" w:rsidRPr="002661A8" w:rsidRDefault="00A7232C" w:rsidP="00A61E96">
      <w:pPr>
        <w:tabs>
          <w:tab w:val="left" w:pos="2302"/>
        </w:tabs>
        <w:spacing w:after="120" w:line="240" w:lineRule="auto"/>
        <w:jc w:val="both"/>
        <w:rPr>
          <w:rFonts w:ascii="Times New Roman" w:eastAsia="Times New Roman" w:hAnsi="Times New Roman" w:cs="Times New Roman"/>
          <w:noProof/>
          <w:sz w:val="24"/>
          <w:szCs w:val="24"/>
        </w:rPr>
      </w:pPr>
      <w:r w:rsidRPr="002661A8">
        <w:rPr>
          <w:rFonts w:ascii="Times New Roman" w:eastAsia="Calibri" w:hAnsi="Times New Roman" w:cs="Times New Roman"/>
          <w:noProof/>
          <w:sz w:val="24"/>
          <w:szCs w:val="24"/>
        </w:rPr>
        <w:t>A</w:t>
      </w:r>
      <w:r w:rsidR="00B647A6" w:rsidRPr="002661A8">
        <w:rPr>
          <w:rFonts w:ascii="Times New Roman" w:eastAsia="Calibri" w:hAnsi="Times New Roman" w:cs="Times New Roman"/>
          <w:noProof/>
          <w:sz w:val="24"/>
          <w:szCs w:val="24"/>
        </w:rPr>
        <w:t xml:space="preserve">n important question </w:t>
      </w:r>
      <w:r w:rsidR="00243111" w:rsidRPr="002661A8">
        <w:rPr>
          <w:rFonts w:ascii="Times New Roman" w:eastAsia="Calibri" w:hAnsi="Times New Roman" w:cs="Times New Roman"/>
          <w:noProof/>
          <w:sz w:val="24"/>
          <w:szCs w:val="24"/>
        </w:rPr>
        <w:t>to be considered is</w:t>
      </w:r>
      <w:r w:rsidRPr="002661A8">
        <w:rPr>
          <w:rFonts w:ascii="Times New Roman" w:eastAsia="Calibri" w:hAnsi="Times New Roman" w:cs="Times New Roman"/>
          <w:noProof/>
          <w:sz w:val="24"/>
          <w:szCs w:val="24"/>
        </w:rPr>
        <w:t xml:space="preserve"> if </w:t>
      </w:r>
      <w:r w:rsidR="00B647A6" w:rsidRPr="002661A8">
        <w:rPr>
          <w:rFonts w:ascii="Times New Roman" w:eastAsia="Calibri" w:hAnsi="Times New Roman" w:cs="Times New Roman"/>
          <w:noProof/>
          <w:sz w:val="24"/>
          <w:szCs w:val="24"/>
        </w:rPr>
        <w:t xml:space="preserve">public entities should be required to contribute to the default fund and to pay margins. Some stakeholders argued that public entities’ special status may prohibit them </w:t>
      </w:r>
      <w:r w:rsidR="00953EAE" w:rsidRPr="002661A8">
        <w:rPr>
          <w:rFonts w:ascii="Times New Roman" w:eastAsia="Calibri" w:hAnsi="Times New Roman" w:cs="Times New Roman"/>
          <w:noProof/>
          <w:sz w:val="24"/>
          <w:szCs w:val="24"/>
        </w:rPr>
        <w:t xml:space="preserve">from </w:t>
      </w:r>
      <w:r w:rsidR="00B647A6" w:rsidRPr="002661A8">
        <w:rPr>
          <w:rFonts w:ascii="Times New Roman" w:eastAsia="Calibri" w:hAnsi="Times New Roman" w:cs="Times New Roman"/>
          <w:noProof/>
          <w:sz w:val="24"/>
          <w:szCs w:val="24"/>
        </w:rPr>
        <w:t>contribut</w:t>
      </w:r>
      <w:r w:rsidR="00953EAE" w:rsidRPr="002661A8">
        <w:rPr>
          <w:rFonts w:ascii="Times New Roman" w:eastAsia="Calibri" w:hAnsi="Times New Roman" w:cs="Times New Roman"/>
          <w:noProof/>
          <w:sz w:val="24"/>
          <w:szCs w:val="24"/>
        </w:rPr>
        <w:t>ing</w:t>
      </w:r>
      <w:r w:rsidR="00B647A6" w:rsidRPr="002661A8">
        <w:rPr>
          <w:rFonts w:ascii="Times New Roman" w:eastAsia="Calibri" w:hAnsi="Times New Roman" w:cs="Times New Roman"/>
          <w:noProof/>
          <w:sz w:val="24"/>
          <w:szCs w:val="24"/>
        </w:rPr>
        <w:t xml:space="preserve"> to the default fund</w:t>
      </w:r>
      <w:r w:rsidR="00C93668" w:rsidRPr="002661A8">
        <w:rPr>
          <w:rFonts w:ascii="Times New Roman" w:eastAsia="Calibri" w:hAnsi="Times New Roman" w:cs="Times New Roman"/>
          <w:noProof/>
          <w:sz w:val="24"/>
          <w:szCs w:val="24"/>
        </w:rPr>
        <w:t xml:space="preserve">, as </w:t>
      </w:r>
      <w:r w:rsidR="00243111" w:rsidRPr="002661A8">
        <w:rPr>
          <w:rFonts w:ascii="Times New Roman" w:eastAsia="Calibri" w:hAnsi="Times New Roman" w:cs="Times New Roman"/>
          <w:noProof/>
          <w:sz w:val="24"/>
          <w:szCs w:val="24"/>
        </w:rPr>
        <w:t>it</w:t>
      </w:r>
      <w:r w:rsidR="00C93668" w:rsidRPr="002661A8">
        <w:rPr>
          <w:rFonts w:ascii="Times New Roman" w:eastAsia="Calibri" w:hAnsi="Times New Roman" w:cs="Times New Roman"/>
          <w:noProof/>
          <w:sz w:val="24"/>
          <w:szCs w:val="24"/>
        </w:rPr>
        <w:t xml:space="preserve"> may imply participation in mutualisation of losses stemming from the private sector</w:t>
      </w:r>
      <w:r w:rsidR="00B647A6" w:rsidRPr="002661A8">
        <w:rPr>
          <w:rFonts w:ascii="Times New Roman" w:eastAsia="Calibri" w:hAnsi="Times New Roman" w:cs="Times New Roman"/>
          <w:noProof/>
          <w:sz w:val="24"/>
          <w:szCs w:val="24"/>
        </w:rPr>
        <w:t>.</w:t>
      </w:r>
      <w:r w:rsidR="00B647A6" w:rsidRPr="002661A8">
        <w:rPr>
          <w:rStyle w:val="FootnoteReference"/>
          <w:rFonts w:eastAsia="Calibri"/>
          <w:noProof/>
        </w:rPr>
        <w:footnoteReference w:id="147"/>
      </w:r>
      <w:r w:rsidR="00B647A6" w:rsidRPr="002661A8">
        <w:rPr>
          <w:rFonts w:ascii="Times New Roman" w:eastAsia="Calibri" w:hAnsi="Times New Roman" w:cs="Times New Roman"/>
          <w:noProof/>
          <w:sz w:val="24"/>
          <w:szCs w:val="24"/>
        </w:rPr>
        <w:t xml:space="preserve"> I</w:t>
      </w:r>
      <w:r w:rsidR="00C93668" w:rsidRPr="002661A8">
        <w:rPr>
          <w:rFonts w:ascii="Times New Roman" w:eastAsia="Calibri" w:hAnsi="Times New Roman" w:cs="Times New Roman"/>
          <w:noProof/>
          <w:sz w:val="24"/>
          <w:szCs w:val="24"/>
        </w:rPr>
        <w:t>n addition, i</w:t>
      </w:r>
      <w:r w:rsidR="00B647A6" w:rsidRPr="002661A8">
        <w:rPr>
          <w:rFonts w:ascii="Times New Roman" w:eastAsia="Calibri" w:hAnsi="Times New Roman" w:cs="Times New Roman"/>
          <w:noProof/>
          <w:sz w:val="24"/>
          <w:szCs w:val="24"/>
        </w:rPr>
        <w:t xml:space="preserve">f they were to post collateral, this could lead to wrong-way risk or even an increase in third-country collateral in EU CCPs. Also, posting collateral may counteract their public purpose, as collateral provision would add to their costs and that money could not be spent on their public purpose. </w:t>
      </w:r>
      <w:r w:rsidR="00953EAE" w:rsidRPr="002661A8">
        <w:rPr>
          <w:rFonts w:ascii="Times New Roman" w:eastAsia="Calibri" w:hAnsi="Times New Roman" w:cs="Times New Roman"/>
          <w:noProof/>
          <w:sz w:val="24"/>
          <w:szCs w:val="24"/>
        </w:rPr>
        <w:t>Furthermore</w:t>
      </w:r>
      <w:r w:rsidR="00B647A6" w:rsidRPr="002661A8">
        <w:rPr>
          <w:rFonts w:ascii="Times New Roman" w:eastAsia="Calibri" w:hAnsi="Times New Roman" w:cs="Times New Roman"/>
          <w:noProof/>
          <w:sz w:val="24"/>
          <w:szCs w:val="24"/>
        </w:rPr>
        <w:t xml:space="preserve">, public entities may be unable to assume liability for default fund contributions due to their specific mandate. </w:t>
      </w:r>
      <w:r w:rsidR="00953EAE" w:rsidRPr="002661A8">
        <w:rPr>
          <w:rFonts w:ascii="Times New Roman" w:eastAsia="Calibri" w:hAnsi="Times New Roman" w:cs="Times New Roman"/>
          <w:noProof/>
          <w:sz w:val="24"/>
          <w:szCs w:val="24"/>
        </w:rPr>
        <w:t>Other s</w:t>
      </w:r>
      <w:r w:rsidR="00B647A6" w:rsidRPr="002661A8">
        <w:rPr>
          <w:rFonts w:ascii="Times New Roman" w:eastAsia="Calibri" w:hAnsi="Times New Roman" w:cs="Times New Roman"/>
          <w:noProof/>
          <w:sz w:val="24"/>
          <w:szCs w:val="24"/>
        </w:rPr>
        <w:t xml:space="preserve">takeholders </w:t>
      </w:r>
      <w:r w:rsidR="00EC6312" w:rsidRPr="002661A8">
        <w:rPr>
          <w:rFonts w:ascii="Times New Roman" w:eastAsia="Calibri" w:hAnsi="Times New Roman" w:cs="Times New Roman"/>
          <w:noProof/>
          <w:sz w:val="24"/>
          <w:szCs w:val="24"/>
        </w:rPr>
        <w:t>however</w:t>
      </w:r>
      <w:r w:rsidR="00B647A6" w:rsidRPr="002661A8">
        <w:rPr>
          <w:rFonts w:ascii="Times New Roman" w:eastAsia="Calibri" w:hAnsi="Times New Roman" w:cs="Times New Roman"/>
          <w:noProof/>
          <w:sz w:val="24"/>
          <w:szCs w:val="24"/>
        </w:rPr>
        <w:t xml:space="preserve"> claimed that if public entities do not post initial margins and default fund contributions, the private sector participating in a given CCP could be called on paying in case of the default of a participating public entity. While this argument may be of limited practical relevance, it shows that </w:t>
      </w:r>
      <w:r w:rsidR="00953EAE" w:rsidRPr="002661A8">
        <w:rPr>
          <w:rFonts w:ascii="Times New Roman" w:eastAsia="Calibri" w:hAnsi="Times New Roman" w:cs="Times New Roman"/>
          <w:noProof/>
          <w:sz w:val="24"/>
          <w:szCs w:val="24"/>
        </w:rPr>
        <w:t>if</w:t>
      </w:r>
      <w:r w:rsidR="00B647A6" w:rsidRPr="002661A8">
        <w:rPr>
          <w:rFonts w:ascii="Times New Roman" w:eastAsia="Calibri" w:hAnsi="Times New Roman" w:cs="Times New Roman"/>
          <w:noProof/>
          <w:sz w:val="24"/>
          <w:szCs w:val="24"/>
        </w:rPr>
        <w:t xml:space="preserve"> public entities do not post collateral there may also be CCP participants which would not necessarily see public entities’ participation in the CCP as an attractive feature as it may lead to an important amount of </w:t>
      </w:r>
      <w:r w:rsidR="00C93668" w:rsidRPr="002661A8">
        <w:rPr>
          <w:rFonts w:ascii="Times New Roman" w:eastAsia="Calibri" w:hAnsi="Times New Roman" w:cs="Times New Roman"/>
          <w:noProof/>
          <w:sz w:val="24"/>
          <w:szCs w:val="24"/>
        </w:rPr>
        <w:t>“</w:t>
      </w:r>
      <w:r w:rsidR="00B647A6" w:rsidRPr="002661A8">
        <w:rPr>
          <w:rFonts w:ascii="Times New Roman" w:eastAsia="Calibri" w:hAnsi="Times New Roman" w:cs="Times New Roman"/>
          <w:noProof/>
          <w:sz w:val="24"/>
          <w:szCs w:val="24"/>
        </w:rPr>
        <w:t>unbalanced</w:t>
      </w:r>
      <w:r w:rsidR="00C93668" w:rsidRPr="002661A8">
        <w:rPr>
          <w:rFonts w:ascii="Times New Roman" w:eastAsia="Calibri" w:hAnsi="Times New Roman" w:cs="Times New Roman"/>
          <w:noProof/>
          <w:sz w:val="24"/>
          <w:szCs w:val="24"/>
        </w:rPr>
        <w:t>”</w:t>
      </w:r>
      <w:r w:rsidR="00B647A6" w:rsidRPr="002661A8">
        <w:rPr>
          <w:rFonts w:ascii="Times New Roman" w:eastAsia="Calibri" w:hAnsi="Times New Roman" w:cs="Times New Roman"/>
          <w:noProof/>
          <w:sz w:val="24"/>
          <w:szCs w:val="24"/>
        </w:rPr>
        <w:t xml:space="preserve"> exposure. In this case, clearing by public entities may not bring all the expected benefits in terms of increasing attractiveness of EU CCPs.</w:t>
      </w:r>
    </w:p>
    <w:p w14:paraId="3BC3B4D5" w14:textId="041B34F5" w:rsidR="00B647A6" w:rsidRPr="002661A8" w:rsidRDefault="00B647A6" w:rsidP="00A61E96">
      <w:pPr>
        <w:tabs>
          <w:tab w:val="left" w:pos="2302"/>
        </w:tabs>
        <w:spacing w:after="120" w:line="240" w:lineRule="auto"/>
        <w:jc w:val="both"/>
        <w:rPr>
          <w:rFonts w:ascii="Times New Roman" w:eastAsia="Times New Roman" w:hAnsi="Times New Roman" w:cs="Times New Roman"/>
          <w:noProof/>
          <w:sz w:val="24"/>
          <w:szCs w:val="24"/>
        </w:rPr>
      </w:pPr>
      <w:r w:rsidRPr="002661A8">
        <w:rPr>
          <w:rFonts w:ascii="Times New Roman" w:eastAsia="Times New Roman" w:hAnsi="Times New Roman" w:cs="Times New Roman"/>
          <w:noProof/>
          <w:sz w:val="24"/>
          <w:szCs w:val="24"/>
        </w:rPr>
        <w:t>Concerning the specific objective of ensuring more robust consideration of cross-border risks, clearing by public entities would not specifically address this aspect, however it can indirectly contribute to reducing over-reliance on third-country CCPs.</w:t>
      </w:r>
    </w:p>
    <w:p w14:paraId="09C0C932" w14:textId="6C7F469A" w:rsidR="001113CA" w:rsidRDefault="0092761D" w:rsidP="00607D4D">
      <w:pPr>
        <w:tabs>
          <w:tab w:val="left" w:pos="2302"/>
        </w:tabs>
        <w:spacing w:after="100" w:afterAutospacing="1"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Whilst a clearing obligation could be introduced under EMIR with some targeted changes, this could be challenged based on the aspects identified above. Hence, also other </w:t>
      </w:r>
      <w:r w:rsidR="00FB0EA6">
        <w:rPr>
          <w:rFonts w:ascii="Times New Roman" w:eastAsia="Times New Roman" w:hAnsi="Times New Roman" w:cs="Times New Roman"/>
          <w:noProof/>
          <w:sz w:val="24"/>
          <w:szCs w:val="24"/>
        </w:rPr>
        <w:t>non-binding</w:t>
      </w:r>
      <w:r>
        <w:rPr>
          <w:rFonts w:ascii="Times New Roman" w:eastAsia="Times New Roman" w:hAnsi="Times New Roman" w:cs="Times New Roman"/>
          <w:noProof/>
          <w:sz w:val="24"/>
          <w:szCs w:val="24"/>
        </w:rPr>
        <w:t xml:space="preserve"> measures</w:t>
      </w:r>
      <w:r w:rsidR="00FB0EA6">
        <w:rPr>
          <w:rFonts w:ascii="Times New Roman" w:eastAsia="Times New Roman" w:hAnsi="Times New Roman" w:cs="Times New Roman"/>
          <w:noProof/>
          <w:sz w:val="24"/>
          <w:szCs w:val="24"/>
        </w:rPr>
        <w:t>, such a Communication of Recommendation,</w:t>
      </w:r>
      <w:r>
        <w:rPr>
          <w:rFonts w:ascii="Times New Roman" w:eastAsia="Times New Roman" w:hAnsi="Times New Roman" w:cs="Times New Roman"/>
          <w:noProof/>
          <w:sz w:val="24"/>
          <w:szCs w:val="24"/>
        </w:rPr>
        <w:t xml:space="preserve"> could be used to communicate the aim for public entities to clear at EU CCPs to the extent possible to achieve a wider range </w:t>
      </w:r>
      <w:r w:rsidRPr="0092761D">
        <w:rPr>
          <w:rFonts w:ascii="Times New Roman" w:eastAsia="Times New Roman" w:hAnsi="Times New Roman" w:cs="Times New Roman"/>
          <w:noProof/>
          <w:sz w:val="24"/>
          <w:szCs w:val="24"/>
        </w:rPr>
        <w:t>of clearing participants and would support the specific objective of encouraging clearing at EU CCPs.</w:t>
      </w:r>
      <w:r w:rsidR="00D80620">
        <w:rPr>
          <w:rFonts w:ascii="Times New Roman" w:eastAsia="Times New Roman" w:hAnsi="Times New Roman" w:cs="Times New Roman"/>
          <w:noProof/>
          <w:sz w:val="24"/>
          <w:szCs w:val="24"/>
        </w:rPr>
        <w:t xml:space="preserve"> </w:t>
      </w:r>
    </w:p>
    <w:p w14:paraId="2F3E061B" w14:textId="4877F443" w:rsidR="001113CA" w:rsidRPr="00152BA1" w:rsidRDefault="001113CA" w:rsidP="00607D4D">
      <w:pPr>
        <w:spacing w:after="100" w:afterAutospacing="1" w:line="240" w:lineRule="auto"/>
        <w:jc w:val="both"/>
        <w:rPr>
          <w:rFonts w:ascii="Times New Roman" w:hAnsi="Times New Roman" w:cs="Times New Roman"/>
          <w:noProof/>
          <w:sz w:val="24"/>
          <w:szCs w:val="24"/>
          <w:lang w:val="en-IE"/>
        </w:rPr>
      </w:pPr>
      <w:r w:rsidRPr="00152BA1">
        <w:rPr>
          <w:rFonts w:ascii="Times New Roman" w:hAnsi="Times New Roman" w:cs="Times New Roman"/>
          <w:noProof/>
          <w:sz w:val="24"/>
          <w:szCs w:val="24"/>
          <w:lang w:val="en-IE"/>
        </w:rPr>
        <w:t>In the targeted consultation, Member States’ public authorities were generally in favour of public entities centrally clearing if it remains voluntary</w:t>
      </w:r>
      <w:r w:rsidRPr="00152BA1">
        <w:rPr>
          <w:rStyle w:val="FootnoteReference"/>
          <w:rFonts w:ascii="Times New Roman" w:hAnsi="Times New Roman" w:cs="Times New Roman"/>
          <w:noProof/>
          <w:sz w:val="24"/>
          <w:szCs w:val="24"/>
          <w:lang w:val="en-IE"/>
        </w:rPr>
        <w:footnoteReference w:id="148"/>
      </w:r>
      <w:r w:rsidRPr="00152BA1">
        <w:rPr>
          <w:rFonts w:ascii="Times New Roman" w:hAnsi="Times New Roman" w:cs="Times New Roman"/>
          <w:noProof/>
          <w:sz w:val="24"/>
          <w:szCs w:val="24"/>
          <w:lang w:val="en-IE"/>
        </w:rPr>
        <w:t>. The same holds true for most public entities</w:t>
      </w:r>
      <w:r w:rsidRPr="00152BA1">
        <w:rPr>
          <w:rStyle w:val="FootnoteReference"/>
          <w:rFonts w:ascii="Times New Roman" w:hAnsi="Times New Roman" w:cs="Times New Roman"/>
          <w:noProof/>
          <w:sz w:val="24"/>
          <w:szCs w:val="24"/>
          <w:lang w:val="en-IE"/>
        </w:rPr>
        <w:footnoteReference w:id="149"/>
      </w:r>
      <w:r w:rsidRPr="00152BA1">
        <w:rPr>
          <w:rFonts w:ascii="Times New Roman" w:hAnsi="Times New Roman" w:cs="Times New Roman"/>
          <w:noProof/>
          <w:sz w:val="24"/>
          <w:szCs w:val="24"/>
          <w:lang w:val="en-IE"/>
        </w:rPr>
        <w:t xml:space="preserve"> that would be concerned by a potential clearing obligation. They argued that market needs should prevail and – because of public entities’ special mandate and status - a clearing obligation may bring additional risks and higher costs while not providing additional value. Moreover, due to their special mandate, public entities may be unable to assume liability for default fund contributions requiring specific conditions for public entities’ access to central clearing which could increase risks for financial stability.</w:t>
      </w:r>
      <w:r>
        <w:rPr>
          <w:rFonts w:ascii="Times New Roman" w:hAnsi="Times New Roman" w:cs="Times New Roman"/>
          <w:noProof/>
          <w:sz w:val="24"/>
          <w:szCs w:val="24"/>
          <w:lang w:val="en-IE"/>
        </w:rPr>
        <w:t xml:space="preserve"> </w:t>
      </w:r>
      <w:r w:rsidRPr="00152BA1">
        <w:rPr>
          <w:rFonts w:ascii="Times New Roman" w:hAnsi="Times New Roman" w:cs="Times New Roman"/>
          <w:noProof/>
          <w:sz w:val="24"/>
          <w:szCs w:val="24"/>
          <w:lang w:val="en-IE"/>
        </w:rPr>
        <w:t>Other stakeholders, notably banks, securities markets associations and pension scheme arrangements expressed the view that central clearing of public entities would not only improve liquidity but also give a clear and strong signal to the market about the confidence that EU public actors have in the robustness and reliability of the EU derivatives clearing eco-system. They underlined that a successful EU onshoring of the clearing of euro-denominated derivatives implies public support and incentives. Some suggested making central clearing mandatory depending on the size and mandate of the public entity. Other highlighted also that public entities may be unable to assume liability for default fund contributions and specific conditions for their participation may need to be considered.</w:t>
      </w:r>
      <w:r>
        <w:rPr>
          <w:rFonts w:ascii="Times New Roman" w:hAnsi="Times New Roman" w:cs="Times New Roman"/>
          <w:noProof/>
          <w:sz w:val="24"/>
          <w:szCs w:val="24"/>
          <w:lang w:val="en-IE"/>
        </w:rPr>
        <w:t xml:space="preserve"> </w:t>
      </w:r>
      <w:r w:rsidRPr="00152BA1">
        <w:rPr>
          <w:rFonts w:ascii="Times New Roman" w:hAnsi="Times New Roman" w:cs="Times New Roman"/>
          <w:noProof/>
          <w:sz w:val="24"/>
          <w:szCs w:val="24"/>
          <w:lang w:val="en-IE"/>
        </w:rPr>
        <w:t xml:space="preserve">CCPs and market infrastructures also pointed to the benefits of public entities to centrally clear. Most, i.e. </w:t>
      </w:r>
      <w:r w:rsidR="00717DCB">
        <w:rPr>
          <w:rFonts w:ascii="Times New Roman" w:hAnsi="Times New Roman" w:cs="Times New Roman"/>
          <w:noProof/>
          <w:sz w:val="24"/>
          <w:szCs w:val="24"/>
          <w:lang w:val="en-IE"/>
        </w:rPr>
        <w:t>five</w:t>
      </w:r>
      <w:r w:rsidRPr="00152BA1">
        <w:rPr>
          <w:rFonts w:ascii="Times New Roman" w:hAnsi="Times New Roman" w:cs="Times New Roman"/>
          <w:noProof/>
          <w:sz w:val="24"/>
          <w:szCs w:val="24"/>
          <w:lang w:val="en-IE"/>
        </w:rPr>
        <w:t xml:space="preserve"> out of </w:t>
      </w:r>
      <w:r w:rsidR="00717DCB">
        <w:rPr>
          <w:rFonts w:ascii="Times New Roman" w:hAnsi="Times New Roman" w:cs="Times New Roman"/>
          <w:noProof/>
          <w:sz w:val="24"/>
          <w:szCs w:val="24"/>
          <w:lang w:val="en-IE"/>
        </w:rPr>
        <w:t>seven</w:t>
      </w:r>
      <w:r w:rsidRPr="00152BA1">
        <w:rPr>
          <w:rFonts w:ascii="Times New Roman" w:hAnsi="Times New Roman" w:cs="Times New Roman"/>
          <w:noProof/>
          <w:sz w:val="24"/>
          <w:szCs w:val="24"/>
          <w:lang w:val="en-IE"/>
        </w:rPr>
        <w:t xml:space="preserve"> respondents, highlighted an increase in liquidity and some</w:t>
      </w:r>
      <w:r w:rsidRPr="00152BA1">
        <w:rPr>
          <w:rStyle w:val="FootnoteReference"/>
          <w:rFonts w:ascii="Times New Roman" w:hAnsi="Times New Roman" w:cs="Times New Roman"/>
          <w:noProof/>
          <w:sz w:val="24"/>
          <w:szCs w:val="24"/>
          <w:lang w:val="en-IE"/>
        </w:rPr>
        <w:footnoteReference w:id="150"/>
      </w:r>
      <w:r w:rsidRPr="00152BA1">
        <w:rPr>
          <w:rFonts w:ascii="Times New Roman" w:hAnsi="Times New Roman" w:cs="Times New Roman"/>
          <w:noProof/>
          <w:sz w:val="24"/>
          <w:szCs w:val="24"/>
          <w:lang w:val="en-IE"/>
        </w:rPr>
        <w:t xml:space="preserve"> argued further that it would diversify clearing, give a strong signal to the market and contribute to harmonisation and consolidation and – as a consequence - improve financial stability</w:t>
      </w:r>
      <w:r w:rsidR="005103EB">
        <w:rPr>
          <w:rFonts w:ascii="Times New Roman" w:hAnsi="Times New Roman" w:cs="Times New Roman"/>
          <w:noProof/>
          <w:sz w:val="24"/>
          <w:szCs w:val="24"/>
          <w:lang w:val="en-IE"/>
        </w:rPr>
        <w:t>.</w:t>
      </w:r>
    </w:p>
    <w:p w14:paraId="69C46AB1" w14:textId="6DD78315" w:rsidR="001113CA" w:rsidRDefault="001113CA" w:rsidP="005103EB">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IE"/>
        </w:rPr>
        <w:t xml:space="preserve">In the meeting with Member States on 16 June 2022, </w:t>
      </w:r>
      <w:r>
        <w:rPr>
          <w:rFonts w:ascii="Times New Roman" w:eastAsia="Times New Roman" w:hAnsi="Times New Roman" w:cs="Times New Roman"/>
          <w:noProof/>
          <w:sz w:val="24"/>
          <w:szCs w:val="24"/>
        </w:rPr>
        <w:t>f</w:t>
      </w:r>
      <w:r w:rsidRPr="000F69A3">
        <w:rPr>
          <w:rFonts w:ascii="Times New Roman" w:eastAsia="Times New Roman" w:hAnsi="Times New Roman" w:cs="Times New Roman"/>
          <w:noProof/>
          <w:sz w:val="24"/>
          <w:szCs w:val="24"/>
        </w:rPr>
        <w:t xml:space="preserve">our Member States expressed the view that clearing for public entities should stay voluntary. Three Member States favoured a recommendation for public entities that clear voluntarily to do so at an EU CCP. One EU authority supported this option too, but elaborated further that in their view only EU currency business should be captured. </w:t>
      </w:r>
      <w:r w:rsidR="005103EB">
        <w:rPr>
          <w:rFonts w:ascii="Times New Roman" w:eastAsia="Times New Roman" w:hAnsi="Times New Roman" w:cs="Times New Roman"/>
          <w:noProof/>
          <w:sz w:val="24"/>
          <w:szCs w:val="24"/>
        </w:rPr>
        <w:t xml:space="preserve">One </w:t>
      </w:r>
      <w:r w:rsidRPr="000F69A3">
        <w:rPr>
          <w:rFonts w:ascii="Times New Roman" w:eastAsia="Times New Roman" w:hAnsi="Times New Roman" w:cs="Times New Roman"/>
          <w:noProof/>
          <w:sz w:val="24"/>
          <w:szCs w:val="24"/>
        </w:rPr>
        <w:t xml:space="preserve">Member State showed openness to this </w:t>
      </w:r>
      <w:r w:rsidR="005103EB">
        <w:rPr>
          <w:rFonts w:ascii="Times New Roman" w:eastAsia="Times New Roman" w:hAnsi="Times New Roman" w:cs="Times New Roman"/>
          <w:noProof/>
          <w:sz w:val="24"/>
          <w:szCs w:val="24"/>
        </w:rPr>
        <w:t>proposal and a</w:t>
      </w:r>
      <w:r w:rsidRPr="000F69A3">
        <w:rPr>
          <w:rFonts w:ascii="Times New Roman" w:eastAsia="Times New Roman" w:hAnsi="Times New Roman" w:cs="Times New Roman"/>
          <w:noProof/>
          <w:sz w:val="24"/>
          <w:szCs w:val="24"/>
        </w:rPr>
        <w:t xml:space="preserve">nother Member State </w:t>
      </w:r>
      <w:r w:rsidR="00607D4D">
        <w:rPr>
          <w:rFonts w:ascii="Times New Roman" w:eastAsia="Times New Roman" w:hAnsi="Times New Roman" w:cs="Times New Roman"/>
          <w:noProof/>
          <w:sz w:val="24"/>
          <w:szCs w:val="24"/>
        </w:rPr>
        <w:t>supported</w:t>
      </w:r>
      <w:r w:rsidRPr="000F69A3">
        <w:rPr>
          <w:rFonts w:ascii="Times New Roman" w:eastAsia="Times New Roman" w:hAnsi="Times New Roman" w:cs="Times New Roman"/>
          <w:noProof/>
          <w:sz w:val="24"/>
          <w:szCs w:val="24"/>
        </w:rPr>
        <w:t xml:space="preserve"> certain public entities being covered by the clearing obligation under EMIR.</w:t>
      </w:r>
      <w:r>
        <w:rPr>
          <w:rFonts w:ascii="Times New Roman" w:eastAsia="Times New Roman" w:hAnsi="Times New Roman" w:cs="Times New Roman"/>
          <w:noProof/>
          <w:sz w:val="24"/>
          <w:szCs w:val="24"/>
        </w:rPr>
        <w:t xml:space="preserve"> </w:t>
      </w:r>
      <w:r w:rsidRPr="000F69A3">
        <w:rPr>
          <w:rFonts w:ascii="Times New Roman" w:eastAsia="Times New Roman" w:hAnsi="Times New Roman" w:cs="Times New Roman"/>
          <w:noProof/>
          <w:sz w:val="24"/>
          <w:szCs w:val="24"/>
        </w:rPr>
        <w:t>One Member State stated that collateral is the most important issue to consider in this context, pointing out that public entities posting their own collateral would lead to wrong way risk. Public entities not posting collateral at all would create an imbalance between clearing members and in both cases other clearing members would have to cover sovereign risks. Furthermore, it might force certain countries to buy assets from other countries for collateralisation purposes. Two other Member States supported this view.</w:t>
      </w:r>
    </w:p>
    <w:p w14:paraId="10988CF4" w14:textId="7AFAFCCA" w:rsidR="000923BE" w:rsidRPr="002661A8" w:rsidRDefault="000923BE" w:rsidP="00A61E96">
      <w:pPr>
        <w:tabs>
          <w:tab w:val="left" w:pos="2302"/>
        </w:tabs>
        <w:spacing w:after="120" w:line="240" w:lineRule="auto"/>
        <w:jc w:val="both"/>
        <w:rPr>
          <w:rFonts w:ascii="Times New Roman" w:eastAsia="Times New Roman" w:hAnsi="Times New Roman" w:cs="Times New Roman"/>
          <w:noProof/>
          <w:sz w:val="24"/>
          <w:szCs w:val="24"/>
          <w:u w:val="single"/>
        </w:rPr>
      </w:pPr>
      <w:r w:rsidRPr="002661A8">
        <w:rPr>
          <w:rFonts w:ascii="Times New Roman" w:eastAsia="Times New Roman" w:hAnsi="Times New Roman" w:cs="Times New Roman"/>
          <w:noProof/>
          <w:sz w:val="24"/>
          <w:szCs w:val="24"/>
          <w:u w:val="single"/>
        </w:rPr>
        <w:t>Coherence</w:t>
      </w:r>
    </w:p>
    <w:p w14:paraId="4764280F" w14:textId="3579B32C" w:rsidR="000923BE" w:rsidRDefault="00A305C7" w:rsidP="000923BE">
      <w:pPr>
        <w:tabs>
          <w:tab w:val="left" w:pos="2302"/>
        </w:tabs>
        <w:spacing w:after="120" w:line="240" w:lineRule="auto"/>
        <w:jc w:val="both"/>
        <w:rPr>
          <w:rFonts w:ascii="Times New Roman" w:eastAsia="Times New Roman" w:hAnsi="Times New Roman" w:cs="Times New Roman"/>
          <w:noProof/>
          <w:sz w:val="24"/>
          <w:szCs w:val="24"/>
        </w:rPr>
      </w:pPr>
      <w:r w:rsidRPr="002661A8">
        <w:rPr>
          <w:rFonts w:ascii="Times New Roman" w:eastAsia="Times New Roman" w:hAnsi="Times New Roman" w:cs="Times New Roman"/>
          <w:noProof/>
          <w:sz w:val="24"/>
          <w:szCs w:val="24"/>
        </w:rPr>
        <w:t xml:space="preserve">Clearing by public entities would </w:t>
      </w:r>
      <w:r w:rsidR="00BE77C5" w:rsidRPr="002661A8">
        <w:rPr>
          <w:rFonts w:ascii="Times New Roman" w:eastAsia="Times New Roman" w:hAnsi="Times New Roman" w:cs="Times New Roman"/>
          <w:noProof/>
          <w:sz w:val="24"/>
          <w:szCs w:val="24"/>
        </w:rPr>
        <w:t>contribute to</w:t>
      </w:r>
      <w:r w:rsidRPr="002661A8">
        <w:rPr>
          <w:rFonts w:ascii="Times New Roman" w:eastAsia="Times New Roman" w:hAnsi="Times New Roman" w:cs="Times New Roman"/>
          <w:noProof/>
          <w:sz w:val="24"/>
          <w:szCs w:val="24"/>
        </w:rPr>
        <w:t xml:space="preserve"> the objective of </w:t>
      </w:r>
      <w:r w:rsidR="006C2697">
        <w:rPr>
          <w:rFonts w:ascii="Times New Roman" w:eastAsia="Times New Roman" w:hAnsi="Times New Roman" w:cs="Times New Roman"/>
          <w:noProof/>
          <w:sz w:val="24"/>
          <w:szCs w:val="24"/>
        </w:rPr>
        <w:t>encouraging</w:t>
      </w:r>
      <w:r w:rsidR="006C2697" w:rsidRPr="002661A8">
        <w:rPr>
          <w:rFonts w:ascii="Times New Roman" w:eastAsia="Times New Roman" w:hAnsi="Times New Roman" w:cs="Times New Roman"/>
          <w:noProof/>
          <w:sz w:val="24"/>
          <w:szCs w:val="24"/>
        </w:rPr>
        <w:t xml:space="preserve"> </w:t>
      </w:r>
      <w:r w:rsidRPr="002661A8">
        <w:rPr>
          <w:rFonts w:ascii="Times New Roman" w:eastAsia="Times New Roman" w:hAnsi="Times New Roman" w:cs="Times New Roman"/>
          <w:noProof/>
          <w:sz w:val="24"/>
          <w:szCs w:val="24"/>
        </w:rPr>
        <w:t>clearing in the EU and making EU CCPs more attractive. This is also consistent with the objectives of the CMU.</w:t>
      </w:r>
      <w:r w:rsidR="0071402F" w:rsidRPr="002661A8">
        <w:rPr>
          <w:rFonts w:ascii="Times New Roman" w:eastAsia="Times New Roman" w:hAnsi="Times New Roman" w:cs="Times New Roman"/>
          <w:noProof/>
          <w:sz w:val="24"/>
          <w:szCs w:val="24"/>
        </w:rPr>
        <w:t xml:space="preserve"> At the same time, requiring </w:t>
      </w:r>
      <w:r w:rsidR="005E6A4C" w:rsidRPr="002661A8">
        <w:rPr>
          <w:rFonts w:ascii="Times New Roman" w:eastAsia="Times New Roman" w:hAnsi="Times New Roman" w:cs="Times New Roman"/>
          <w:noProof/>
          <w:sz w:val="24"/>
          <w:szCs w:val="24"/>
        </w:rPr>
        <w:t xml:space="preserve">certain types of public entities that clear </w:t>
      </w:r>
      <w:r w:rsidR="0071402F" w:rsidRPr="002661A8">
        <w:rPr>
          <w:rFonts w:ascii="Times New Roman" w:eastAsia="Times New Roman" w:hAnsi="Times New Roman" w:cs="Times New Roman"/>
          <w:noProof/>
          <w:sz w:val="24"/>
          <w:szCs w:val="24"/>
        </w:rPr>
        <w:t>to post default fund contributions may be at odds with other EU policies</w:t>
      </w:r>
      <w:r w:rsidR="00E24B88" w:rsidRPr="002661A8">
        <w:rPr>
          <w:rFonts w:ascii="Times New Roman" w:eastAsia="Times New Roman" w:hAnsi="Times New Roman" w:cs="Times New Roman"/>
          <w:noProof/>
          <w:sz w:val="24"/>
          <w:szCs w:val="24"/>
        </w:rPr>
        <w:t>, e.g.</w:t>
      </w:r>
      <w:r w:rsidR="0071402F" w:rsidRPr="002661A8">
        <w:rPr>
          <w:rFonts w:ascii="Times New Roman" w:eastAsia="Times New Roman" w:hAnsi="Times New Roman" w:cs="Times New Roman"/>
          <w:noProof/>
          <w:sz w:val="24"/>
          <w:szCs w:val="24"/>
        </w:rPr>
        <w:t xml:space="preserve"> those aiming at minimising the costs to taxpayers stemming from private entities’</w:t>
      </w:r>
      <w:r w:rsidR="005E6A4C" w:rsidRPr="002661A8">
        <w:rPr>
          <w:rFonts w:ascii="Times New Roman" w:eastAsia="Times New Roman" w:hAnsi="Times New Roman" w:cs="Times New Roman"/>
          <w:noProof/>
          <w:sz w:val="24"/>
          <w:szCs w:val="24"/>
        </w:rPr>
        <w:t xml:space="preserve"> </w:t>
      </w:r>
      <w:r w:rsidR="0071402F" w:rsidRPr="002661A8">
        <w:rPr>
          <w:rFonts w:ascii="Times New Roman" w:eastAsia="Times New Roman" w:hAnsi="Times New Roman" w:cs="Times New Roman"/>
          <w:noProof/>
          <w:sz w:val="24"/>
          <w:szCs w:val="24"/>
        </w:rPr>
        <w:t>defaults and more in general at minimising moral hazard</w:t>
      </w:r>
      <w:r w:rsidRPr="002661A8">
        <w:rPr>
          <w:rFonts w:ascii="Times New Roman" w:eastAsia="Times New Roman" w:hAnsi="Times New Roman" w:cs="Times New Roman"/>
          <w:noProof/>
          <w:sz w:val="24"/>
          <w:szCs w:val="24"/>
        </w:rPr>
        <w:t>.</w:t>
      </w:r>
    </w:p>
    <w:p w14:paraId="2D50716B" w14:textId="290F6B1E" w:rsidR="00755A7D" w:rsidRDefault="006942DF" w:rsidP="00A8027C">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Given the benefits and challenges mentioned regarding w</w:t>
      </w:r>
      <w:r w:rsidR="001C77E8">
        <w:rPr>
          <w:rFonts w:ascii="Times New Roman" w:eastAsia="Times New Roman" w:hAnsi="Times New Roman" w:cs="Times New Roman"/>
          <w:noProof/>
          <w:sz w:val="24"/>
          <w:szCs w:val="24"/>
        </w:rPr>
        <w:t>hether public entities should contribute to CCP default funds</w:t>
      </w:r>
      <w:r>
        <w:rPr>
          <w:rFonts w:ascii="Times New Roman" w:eastAsia="Times New Roman" w:hAnsi="Times New Roman" w:cs="Times New Roman"/>
          <w:noProof/>
          <w:sz w:val="24"/>
          <w:szCs w:val="24"/>
        </w:rPr>
        <w:t xml:space="preserve">, </w:t>
      </w:r>
      <w:r w:rsidR="00907BAF">
        <w:rPr>
          <w:rFonts w:ascii="Times New Roman" w:eastAsia="Times New Roman" w:hAnsi="Times New Roman" w:cs="Times New Roman"/>
          <w:noProof/>
          <w:sz w:val="24"/>
          <w:szCs w:val="24"/>
        </w:rPr>
        <w:t>t</w:t>
      </w:r>
      <w:r w:rsidR="00665EA6">
        <w:rPr>
          <w:rFonts w:ascii="Times New Roman" w:eastAsia="Times New Roman" w:hAnsi="Times New Roman" w:cs="Times New Roman"/>
          <w:noProof/>
          <w:sz w:val="24"/>
          <w:szCs w:val="24"/>
        </w:rPr>
        <w:t>he preferred</w:t>
      </w:r>
      <w:r w:rsidR="001C77E8" w:rsidRPr="001C77E8">
        <w:rPr>
          <w:rFonts w:ascii="Times New Roman" w:eastAsia="Times New Roman" w:hAnsi="Times New Roman" w:cs="Times New Roman"/>
          <w:noProof/>
          <w:sz w:val="24"/>
          <w:szCs w:val="24"/>
        </w:rPr>
        <w:t xml:space="preserve"> option </w:t>
      </w:r>
      <w:r w:rsidR="00665EA6">
        <w:rPr>
          <w:rFonts w:ascii="Times New Roman" w:eastAsia="Times New Roman" w:hAnsi="Times New Roman" w:cs="Times New Roman"/>
          <w:noProof/>
          <w:sz w:val="24"/>
          <w:szCs w:val="24"/>
        </w:rPr>
        <w:t>is</w:t>
      </w:r>
      <w:r w:rsidR="001C77E8" w:rsidRPr="001C77E8">
        <w:rPr>
          <w:rFonts w:ascii="Times New Roman" w:eastAsia="Times New Roman" w:hAnsi="Times New Roman" w:cs="Times New Roman"/>
          <w:noProof/>
          <w:sz w:val="24"/>
          <w:szCs w:val="24"/>
        </w:rPr>
        <w:t xml:space="preserve"> to encourage public entities to centrally clear in EU CCPs </w:t>
      </w:r>
      <w:r w:rsidR="00717DCB">
        <w:rPr>
          <w:rFonts w:ascii="Times New Roman" w:eastAsia="Times New Roman" w:hAnsi="Times New Roman" w:cs="Times New Roman"/>
          <w:noProof/>
          <w:sz w:val="24"/>
          <w:szCs w:val="24"/>
        </w:rPr>
        <w:t>rather than</w:t>
      </w:r>
      <w:r w:rsidR="001C77E8" w:rsidRPr="001C77E8">
        <w:rPr>
          <w:rFonts w:ascii="Times New Roman" w:eastAsia="Times New Roman" w:hAnsi="Times New Roman" w:cs="Times New Roman"/>
          <w:noProof/>
          <w:sz w:val="24"/>
          <w:szCs w:val="24"/>
        </w:rPr>
        <w:t xml:space="preserve"> obliging them. </w:t>
      </w:r>
      <w:r w:rsidR="005103EB">
        <w:rPr>
          <w:rFonts w:ascii="Times New Roman" w:eastAsia="Times New Roman" w:hAnsi="Times New Roman" w:cs="Times New Roman"/>
          <w:noProof/>
          <w:sz w:val="24"/>
          <w:szCs w:val="24"/>
        </w:rPr>
        <w:t>T</w:t>
      </w:r>
      <w:r w:rsidR="005F2B06" w:rsidRPr="005F2B06">
        <w:rPr>
          <w:rFonts w:ascii="Times New Roman" w:eastAsia="Times New Roman" w:hAnsi="Times New Roman" w:cs="Times New Roman"/>
          <w:noProof/>
          <w:sz w:val="24"/>
          <w:szCs w:val="24"/>
        </w:rPr>
        <w:t xml:space="preserve">o allow these bodies to accomplish their mission in the public interest. The Commission is aware that some public entities have chosen over the years to start clearing centrally their contracts on a voluntary basis. Central clearing brings with it greater safeguards in terms of counterparty credit risk, improves markets liquidity and adds transparency. </w:t>
      </w:r>
      <w:r w:rsidR="005F2B06">
        <w:rPr>
          <w:rFonts w:ascii="Times New Roman" w:eastAsia="Times New Roman" w:hAnsi="Times New Roman" w:cs="Times New Roman"/>
          <w:noProof/>
          <w:sz w:val="24"/>
          <w:szCs w:val="24"/>
        </w:rPr>
        <w:t>Therefore, t</w:t>
      </w:r>
      <w:r w:rsidR="005F2B06" w:rsidRPr="005F2B06">
        <w:rPr>
          <w:rFonts w:ascii="Times New Roman" w:eastAsia="Times New Roman" w:hAnsi="Times New Roman" w:cs="Times New Roman"/>
          <w:noProof/>
          <w:sz w:val="24"/>
          <w:szCs w:val="24"/>
        </w:rPr>
        <w:t xml:space="preserve">he Commission strongly encourages public authorities </w:t>
      </w:r>
      <w:r w:rsidR="00991392">
        <w:rPr>
          <w:rFonts w:ascii="Times New Roman" w:eastAsia="Times New Roman" w:hAnsi="Times New Roman" w:cs="Times New Roman"/>
          <w:noProof/>
          <w:sz w:val="24"/>
          <w:szCs w:val="24"/>
        </w:rPr>
        <w:t>in the EU</w:t>
      </w:r>
      <w:r w:rsidR="005F2B06" w:rsidRPr="005F2B06">
        <w:rPr>
          <w:rFonts w:ascii="Times New Roman" w:eastAsia="Times New Roman" w:hAnsi="Times New Roman" w:cs="Times New Roman"/>
          <w:noProof/>
          <w:sz w:val="24"/>
          <w:szCs w:val="24"/>
        </w:rPr>
        <w:t xml:space="preserve"> to clear at EU CCPs, should they decide to clear and where the products sought are available.</w:t>
      </w:r>
      <w:r w:rsidR="005F2B06">
        <w:rPr>
          <w:rFonts w:ascii="Times New Roman" w:eastAsia="Times New Roman" w:hAnsi="Times New Roman" w:cs="Times New Roman"/>
          <w:noProof/>
          <w:sz w:val="24"/>
          <w:szCs w:val="24"/>
        </w:rPr>
        <w:t xml:space="preserve"> Given this approach,</w:t>
      </w:r>
      <w:r w:rsidR="001C77E8" w:rsidRPr="001C77E8">
        <w:rPr>
          <w:rFonts w:ascii="Times New Roman" w:eastAsia="Times New Roman" w:hAnsi="Times New Roman" w:cs="Times New Roman"/>
          <w:noProof/>
          <w:sz w:val="24"/>
          <w:szCs w:val="24"/>
        </w:rPr>
        <w:t xml:space="preserve"> the current rules on default fund contributions for public entities would continue to apply.</w:t>
      </w:r>
    </w:p>
    <w:p w14:paraId="205FDBDF" w14:textId="7037F21F" w:rsidR="00A8027C" w:rsidRPr="002661A8" w:rsidRDefault="00A8027C" w:rsidP="00A8027C">
      <w:pPr>
        <w:tabs>
          <w:tab w:val="left" w:pos="2302"/>
        </w:tabs>
        <w:spacing w:after="120" w:line="240" w:lineRule="auto"/>
        <w:jc w:val="both"/>
        <w:rPr>
          <w:rFonts w:ascii="Times New Roman" w:eastAsia="Times New Roman" w:hAnsi="Times New Roman" w:cs="Times New Roman"/>
          <w:noProof/>
          <w:sz w:val="24"/>
          <w:szCs w:val="24"/>
          <w:u w:val="single"/>
        </w:rPr>
      </w:pPr>
      <w:r>
        <w:rPr>
          <w:rFonts w:ascii="Times New Roman" w:eastAsia="Times New Roman" w:hAnsi="Times New Roman" w:cs="Times New Roman"/>
          <w:noProof/>
          <w:sz w:val="24"/>
          <w:szCs w:val="24"/>
          <w:u w:val="single"/>
        </w:rPr>
        <w:t>Assessment of the impacts by stakeholder group</w:t>
      </w:r>
    </w:p>
    <w:p w14:paraId="654AFAEA" w14:textId="0A7240FD" w:rsidR="00D528FD" w:rsidRPr="002661A8" w:rsidRDefault="00D528FD" w:rsidP="00D528FD">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b/>
          <w:noProof/>
          <w:sz w:val="24"/>
          <w:szCs w:val="24"/>
        </w:rPr>
        <w:t>EU CCPs</w:t>
      </w:r>
      <w:r w:rsidRPr="002661A8">
        <w:rPr>
          <w:rFonts w:ascii="Times New Roman" w:eastAsia="Calibri" w:hAnsi="Times New Roman" w:cs="Times New Roman"/>
          <w:noProof/>
          <w:sz w:val="24"/>
          <w:szCs w:val="24"/>
        </w:rPr>
        <w:t xml:space="preserve"> would benefit from a larger clearing base</w:t>
      </w:r>
      <w:r w:rsidR="008A514D" w:rsidRPr="002661A8">
        <w:rPr>
          <w:rFonts w:ascii="Times New Roman" w:eastAsia="Calibri" w:hAnsi="Times New Roman" w:cs="Times New Roman"/>
          <w:noProof/>
          <w:sz w:val="24"/>
          <w:szCs w:val="24"/>
        </w:rPr>
        <w:t>, which would include public entities with high creditworthiness profiles</w:t>
      </w:r>
      <w:r w:rsidRPr="002661A8">
        <w:rPr>
          <w:rFonts w:ascii="Times New Roman" w:eastAsia="Calibri" w:hAnsi="Times New Roman" w:cs="Times New Roman"/>
          <w:noProof/>
          <w:sz w:val="24"/>
          <w:szCs w:val="24"/>
        </w:rPr>
        <w:t xml:space="preserve"> and more liquidity. These benefits would be ongoing. However, CCPs may be perceived less safe if public entities were exempted from collateral provision regardless of their extent of public support, potentially creating high amounts of unidirectional exposure.</w:t>
      </w:r>
    </w:p>
    <w:p w14:paraId="01AD57E7" w14:textId="79B719C4" w:rsidR="00D528FD" w:rsidRPr="002661A8" w:rsidRDefault="00D528FD" w:rsidP="00D528FD">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b/>
          <w:bCs/>
          <w:noProof/>
          <w:sz w:val="24"/>
          <w:szCs w:val="24"/>
        </w:rPr>
        <w:t>Clearing</w:t>
      </w:r>
      <w:r w:rsidRPr="002661A8">
        <w:rPr>
          <w:rFonts w:ascii="Times New Roman" w:eastAsia="Calibri" w:hAnsi="Times New Roman" w:cs="Times New Roman"/>
          <w:b/>
          <w:noProof/>
          <w:sz w:val="24"/>
          <w:szCs w:val="24"/>
        </w:rPr>
        <w:t xml:space="preserve"> members</w:t>
      </w:r>
      <w:r w:rsidRPr="002661A8">
        <w:rPr>
          <w:rFonts w:ascii="Times New Roman" w:eastAsia="Calibri" w:hAnsi="Times New Roman" w:cs="Times New Roman"/>
          <w:noProof/>
          <w:sz w:val="24"/>
          <w:szCs w:val="24"/>
        </w:rPr>
        <w:t xml:space="preserve"> could see as an added value that public entities clear at EU CCPs, as this would be a signal of confidence in those CCPs. They could also be attracted and take advantage of the broader liquidity base public entities would contribute to creating (even if such a benefit could be somewhat reduced if public entities were exempted from participating in the CCPs’ default management process). These benefits would be ongoing. The benefits for </w:t>
      </w:r>
      <w:r w:rsidRPr="002661A8">
        <w:rPr>
          <w:rFonts w:ascii="Times New Roman" w:eastAsia="Calibri" w:hAnsi="Times New Roman" w:cs="Times New Roman"/>
          <w:b/>
          <w:noProof/>
          <w:sz w:val="24"/>
          <w:szCs w:val="24"/>
        </w:rPr>
        <w:t>clients</w:t>
      </w:r>
      <w:r w:rsidRPr="002661A8">
        <w:rPr>
          <w:rFonts w:ascii="Times New Roman" w:eastAsia="Calibri" w:hAnsi="Times New Roman" w:cs="Times New Roman"/>
          <w:noProof/>
          <w:sz w:val="24"/>
          <w:szCs w:val="24"/>
        </w:rPr>
        <w:t xml:space="preserve"> would be similar to those for clearing members.</w:t>
      </w:r>
    </w:p>
    <w:p w14:paraId="7211F349" w14:textId="6AEC23EB" w:rsidR="00D528FD" w:rsidRPr="002661A8" w:rsidRDefault="00D528FD" w:rsidP="00D528FD">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Broadening the scope of clearing participants means that </w:t>
      </w:r>
      <w:r w:rsidRPr="002661A8">
        <w:rPr>
          <w:rFonts w:ascii="Times New Roman" w:eastAsia="Calibri" w:hAnsi="Times New Roman" w:cs="Times New Roman"/>
          <w:b/>
          <w:noProof/>
          <w:sz w:val="24"/>
          <w:szCs w:val="24"/>
        </w:rPr>
        <w:t xml:space="preserve">national </w:t>
      </w:r>
      <w:r w:rsidRPr="002661A8">
        <w:rPr>
          <w:rFonts w:ascii="Times New Roman" w:eastAsia="Calibri" w:hAnsi="Times New Roman" w:cs="Times New Roman"/>
          <w:b/>
          <w:bCs/>
          <w:noProof/>
          <w:sz w:val="24"/>
          <w:szCs w:val="24"/>
        </w:rPr>
        <w:t>supervisors</w:t>
      </w:r>
      <w:r w:rsidRPr="002661A8">
        <w:rPr>
          <w:rFonts w:ascii="Times New Roman" w:eastAsia="Calibri" w:hAnsi="Times New Roman" w:cs="Times New Roman"/>
          <w:noProof/>
          <w:sz w:val="24"/>
          <w:szCs w:val="24"/>
        </w:rPr>
        <w:t xml:space="preserve"> will have to supervise additional participants’ compliance with the clearing obligation. Participation of public entities to CCPs may also require the setting up of specific rules and procedures, by CCPs and national supervisors, to take into account the specificities clearing by such entities entails. These costs would be ongoing.</w:t>
      </w:r>
    </w:p>
    <w:p w14:paraId="35AF2478" w14:textId="417D0FC5" w:rsidR="00D528FD" w:rsidRPr="002661A8" w:rsidRDefault="00D528FD" w:rsidP="00D528FD">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b/>
          <w:bCs/>
          <w:noProof/>
          <w:sz w:val="24"/>
          <w:szCs w:val="24"/>
        </w:rPr>
        <w:t>Public</w:t>
      </w:r>
      <w:r w:rsidRPr="002661A8">
        <w:rPr>
          <w:rFonts w:ascii="Times New Roman" w:eastAsia="Calibri" w:hAnsi="Times New Roman" w:cs="Times New Roman"/>
          <w:b/>
          <w:noProof/>
          <w:sz w:val="24"/>
          <w:szCs w:val="24"/>
        </w:rPr>
        <w:t xml:space="preserve"> entities</w:t>
      </w:r>
      <w:r w:rsidRPr="002661A8">
        <w:rPr>
          <w:rFonts w:ascii="Times New Roman" w:eastAsia="Calibri" w:hAnsi="Times New Roman" w:cs="Times New Roman"/>
          <w:noProof/>
          <w:sz w:val="24"/>
          <w:szCs w:val="24"/>
        </w:rPr>
        <w:t xml:space="preserve"> may face costs if they were to clear at a CCP. Central clearing could require them to post collateral: public entities may be exempted (as they currently are, at least in certain cases) from the requirement to post initial margins and default fund contributions, however they will need to post variation margins on their derivatives contracts. This situation is different from the current state of play in the bilateral space, where public entities clearing derivatives are not generally required to post margins because of their high creditworthiness</w:t>
      </w:r>
      <w:r w:rsidR="00152791" w:rsidRPr="002661A8">
        <w:rPr>
          <w:rFonts w:ascii="Times New Roman" w:eastAsia="Calibri" w:hAnsi="Times New Roman" w:cs="Times New Roman"/>
          <w:noProof/>
          <w:sz w:val="24"/>
          <w:szCs w:val="24"/>
        </w:rPr>
        <w:t>;</w:t>
      </w:r>
      <w:r w:rsidRPr="002661A8">
        <w:rPr>
          <w:rStyle w:val="FootnoteReference"/>
          <w:rFonts w:ascii="Times New Roman" w:eastAsia="Calibri" w:hAnsi="Times New Roman" w:cs="Times New Roman"/>
          <w:noProof/>
          <w:sz w:val="24"/>
          <w:szCs w:val="24"/>
        </w:rPr>
        <w:footnoteReference w:id="151"/>
      </w:r>
      <w:r w:rsidR="00700EAC" w:rsidRPr="002661A8">
        <w:rPr>
          <w:rFonts w:ascii="Times New Roman" w:eastAsia="Calibri" w:hAnsi="Times New Roman" w:cs="Times New Roman"/>
          <w:noProof/>
          <w:sz w:val="24"/>
          <w:szCs w:val="24"/>
        </w:rPr>
        <w:t xml:space="preserve"> in bilateral trades</w:t>
      </w:r>
      <w:r w:rsidRPr="002661A8">
        <w:rPr>
          <w:rFonts w:ascii="Times New Roman" w:eastAsia="Calibri" w:hAnsi="Times New Roman" w:cs="Times New Roman"/>
          <w:noProof/>
          <w:sz w:val="24"/>
          <w:szCs w:val="24"/>
        </w:rPr>
        <w:t xml:space="preserve"> some public entities receive variation margins if the value of the contract changes in a favourable way for them, so that they are protected from the default of the counterparty, but they do not post themselves variation margins to the counterparty, because of their creditworthiness. As such, public entities would need to have appropriate liquidity management capacity to meet variation margin calls, including access to liquidity to an extent they may not have for the time being</w:t>
      </w:r>
      <w:r w:rsidR="00700EAC" w:rsidRPr="002661A8">
        <w:rPr>
          <w:rFonts w:ascii="Times New Roman" w:eastAsia="Calibri" w:hAnsi="Times New Roman" w:cs="Times New Roman"/>
          <w:noProof/>
          <w:sz w:val="24"/>
          <w:szCs w:val="24"/>
        </w:rPr>
        <w:t>, or that may imply costs for the public</w:t>
      </w:r>
      <w:r w:rsidRPr="002661A8">
        <w:rPr>
          <w:rFonts w:ascii="Times New Roman" w:eastAsia="Calibri" w:hAnsi="Times New Roman" w:cs="Times New Roman"/>
          <w:noProof/>
          <w:sz w:val="24"/>
          <w:szCs w:val="24"/>
        </w:rPr>
        <w:t xml:space="preserve"> (e.g. liquidity lines from Member States’ central governments). This would be a</w:t>
      </w:r>
      <w:r w:rsidR="00C62258" w:rsidRPr="002661A8">
        <w:rPr>
          <w:rFonts w:ascii="Times New Roman" w:eastAsia="Calibri" w:hAnsi="Times New Roman" w:cs="Times New Roman"/>
          <w:noProof/>
          <w:sz w:val="24"/>
          <w:szCs w:val="24"/>
        </w:rPr>
        <w:t>n ongoing</w:t>
      </w:r>
      <w:r w:rsidRPr="002661A8">
        <w:rPr>
          <w:rFonts w:ascii="Times New Roman" w:eastAsia="Calibri" w:hAnsi="Times New Roman" w:cs="Times New Roman"/>
          <w:noProof/>
          <w:sz w:val="24"/>
          <w:szCs w:val="24"/>
        </w:rPr>
        <w:t xml:space="preserve"> cost. This cost could be transferred, e.g. to borrowers in the case of multilateral development banks. Public entities, especially if they do not already voluntarily clear at a CCP, would also face costs related to the operational setup to be put in place to clear derivatives at a CCP, including the development of the necessary IT infrastructure and expertise. This cost would be to a large extent one-off, but will require ongoing investments to ensure that the operational setup runs smoothly, e.g. for IT services in order to avoid cyber-attacks</w:t>
      </w:r>
      <w:r w:rsidRPr="002661A8" w:rsidDel="0095731C">
        <w:rPr>
          <w:rFonts w:ascii="Times New Roman" w:eastAsia="Calibri" w:hAnsi="Times New Roman" w:cs="Times New Roman"/>
          <w:noProof/>
          <w:sz w:val="24"/>
          <w:szCs w:val="24"/>
        </w:rPr>
        <w:t>.</w:t>
      </w:r>
    </w:p>
    <w:p w14:paraId="256DF03A" w14:textId="6CD96000" w:rsidR="00D528FD" w:rsidRPr="002661A8" w:rsidRDefault="00D528FD" w:rsidP="00CC5F5E">
      <w:pPr>
        <w:spacing w:after="120" w:line="240" w:lineRule="auto"/>
        <w:jc w:val="both"/>
        <w:rPr>
          <w:rFonts w:ascii="Times New Roman" w:eastAsia="Times New Roman" w:hAnsi="Times New Roman" w:cs="Times New Roman"/>
          <w:noProof/>
          <w:sz w:val="24"/>
          <w:szCs w:val="24"/>
        </w:rPr>
      </w:pPr>
      <w:r w:rsidRPr="002661A8">
        <w:rPr>
          <w:rFonts w:ascii="Times New Roman" w:eastAsia="Calibri" w:hAnsi="Times New Roman" w:cs="Times New Roman"/>
          <w:noProof/>
          <w:sz w:val="24"/>
          <w:szCs w:val="24"/>
        </w:rPr>
        <w:t xml:space="preserve">Public entities would need to </w:t>
      </w:r>
      <w:r w:rsidR="004273FC" w:rsidRPr="002661A8">
        <w:rPr>
          <w:rFonts w:ascii="Times New Roman" w:eastAsia="Calibri" w:hAnsi="Times New Roman" w:cs="Times New Roman"/>
          <w:noProof/>
          <w:sz w:val="24"/>
          <w:szCs w:val="24"/>
        </w:rPr>
        <w:t xml:space="preserve">prepare </w:t>
      </w:r>
      <w:r w:rsidRPr="002661A8">
        <w:rPr>
          <w:rFonts w:ascii="Times New Roman" w:eastAsia="Calibri" w:hAnsi="Times New Roman" w:cs="Times New Roman"/>
          <w:noProof/>
          <w:sz w:val="24"/>
          <w:szCs w:val="24"/>
        </w:rPr>
        <w:t>for central clearing, set</w:t>
      </w:r>
      <w:r w:rsidR="004273FC" w:rsidRPr="002661A8">
        <w:rPr>
          <w:rFonts w:ascii="Times New Roman" w:eastAsia="Calibri" w:hAnsi="Times New Roman" w:cs="Times New Roman"/>
          <w:noProof/>
          <w:sz w:val="24"/>
          <w:szCs w:val="24"/>
        </w:rPr>
        <w:t>-</w:t>
      </w:r>
      <w:r w:rsidRPr="002661A8">
        <w:rPr>
          <w:rFonts w:ascii="Times New Roman" w:eastAsia="Calibri" w:hAnsi="Times New Roman" w:cs="Times New Roman"/>
          <w:noProof/>
          <w:sz w:val="24"/>
          <w:szCs w:val="24"/>
        </w:rPr>
        <w:t xml:space="preserve">up appropriate arrangements and liquidity management strategies, possibly post margins and default fund contributions. If the costs from a clearing obligation were transferred to the public, </w:t>
      </w:r>
      <w:r w:rsidRPr="002661A8">
        <w:rPr>
          <w:rFonts w:ascii="Times New Roman" w:eastAsia="Calibri" w:hAnsi="Times New Roman" w:cs="Times New Roman"/>
          <w:b/>
          <w:noProof/>
          <w:sz w:val="24"/>
          <w:szCs w:val="24"/>
        </w:rPr>
        <w:t>citizens</w:t>
      </w:r>
      <w:r w:rsidRPr="002661A8">
        <w:rPr>
          <w:rFonts w:ascii="Times New Roman" w:eastAsia="Calibri" w:hAnsi="Times New Roman" w:cs="Times New Roman"/>
          <w:noProof/>
          <w:sz w:val="24"/>
          <w:szCs w:val="24"/>
        </w:rPr>
        <w:t xml:space="preserve"> may bear costs </w:t>
      </w:r>
      <w:r w:rsidR="00C62258" w:rsidRPr="002661A8">
        <w:rPr>
          <w:rFonts w:ascii="Times New Roman" w:eastAsia="Calibri" w:hAnsi="Times New Roman" w:cs="Times New Roman"/>
          <w:noProof/>
          <w:sz w:val="24"/>
          <w:szCs w:val="24"/>
        </w:rPr>
        <w:t xml:space="preserve">which </w:t>
      </w:r>
      <w:r w:rsidRPr="002661A8">
        <w:rPr>
          <w:rFonts w:ascii="Times New Roman" w:eastAsia="Calibri" w:hAnsi="Times New Roman" w:cs="Times New Roman"/>
          <w:noProof/>
          <w:sz w:val="24"/>
          <w:szCs w:val="24"/>
        </w:rPr>
        <w:t xml:space="preserve">may be ongoing. In addition, should public entities be required to post default fund contributions, citizens may ultimately bear the cost of financing private entities’ defaults. This cost would materialise only </w:t>
      </w:r>
      <w:r w:rsidR="004273FC" w:rsidRPr="002661A8">
        <w:rPr>
          <w:rFonts w:ascii="Times New Roman" w:eastAsia="Calibri" w:hAnsi="Times New Roman" w:cs="Times New Roman"/>
          <w:noProof/>
          <w:sz w:val="24"/>
          <w:szCs w:val="24"/>
        </w:rPr>
        <w:t>where</w:t>
      </w:r>
      <w:r w:rsidRPr="002661A8">
        <w:rPr>
          <w:rFonts w:ascii="Times New Roman" w:eastAsia="Calibri" w:hAnsi="Times New Roman" w:cs="Times New Roman"/>
          <w:noProof/>
          <w:sz w:val="24"/>
          <w:szCs w:val="24"/>
        </w:rPr>
        <w:t xml:space="preserve"> a CCP</w:t>
      </w:r>
      <w:r w:rsidR="00717DCB">
        <w:rPr>
          <w:rFonts w:ascii="Times New Roman" w:eastAsia="Calibri" w:hAnsi="Times New Roman" w:cs="Times New Roman"/>
          <w:noProof/>
          <w:sz w:val="24"/>
          <w:szCs w:val="24"/>
        </w:rPr>
        <w:t xml:space="preserve"> would default</w:t>
      </w:r>
      <w:r w:rsidRPr="002661A8">
        <w:rPr>
          <w:rFonts w:ascii="Times New Roman" w:eastAsia="Calibri" w:hAnsi="Times New Roman" w:cs="Times New Roman"/>
          <w:noProof/>
          <w:sz w:val="24"/>
          <w:szCs w:val="24"/>
        </w:rPr>
        <w:t xml:space="preserve">, so </w:t>
      </w:r>
      <w:r w:rsidR="00C62258" w:rsidRPr="002661A8">
        <w:rPr>
          <w:rFonts w:ascii="Times New Roman" w:eastAsia="Calibri" w:hAnsi="Times New Roman" w:cs="Times New Roman"/>
          <w:noProof/>
          <w:sz w:val="24"/>
          <w:szCs w:val="24"/>
        </w:rPr>
        <w:t xml:space="preserve">it </w:t>
      </w:r>
      <w:r w:rsidRPr="002661A8">
        <w:rPr>
          <w:rFonts w:ascii="Times New Roman" w:eastAsia="Calibri" w:hAnsi="Times New Roman" w:cs="Times New Roman"/>
          <w:noProof/>
          <w:sz w:val="24"/>
          <w:szCs w:val="24"/>
        </w:rPr>
        <w:t>would be a contingent cost.</w:t>
      </w:r>
    </w:p>
    <w:p w14:paraId="04B1C2D8" w14:textId="5CB1AA9B" w:rsidR="000923BE" w:rsidRPr="002661A8" w:rsidRDefault="000923BE" w:rsidP="00ED5088">
      <w:pPr>
        <w:pStyle w:val="Heading1"/>
        <w:numPr>
          <w:ilvl w:val="2"/>
          <w:numId w:val="6"/>
        </w:numPr>
        <w:spacing w:before="0" w:after="120"/>
        <w:rPr>
          <w:i/>
          <w:noProof/>
        </w:rPr>
      </w:pPr>
      <w:bookmarkStart w:id="1058" w:name="_Toc104310014"/>
      <w:bookmarkStart w:id="1059" w:name="_Toc105656454"/>
      <w:bookmarkStart w:id="1060" w:name="_Toc106827854"/>
      <w:bookmarkStart w:id="1061" w:name="_Toc106981730"/>
      <w:bookmarkStart w:id="1062" w:name="_Toc107493870"/>
      <w:bookmarkStart w:id="1063" w:name="_Toc107497906"/>
      <w:bookmarkStart w:id="1064" w:name="_Toc107503459"/>
      <w:bookmarkStart w:id="1065" w:name="_Toc107504607"/>
      <w:bookmarkStart w:id="1066" w:name="_Toc107505452"/>
      <w:bookmarkStart w:id="1067" w:name="_Toc107838928"/>
      <w:bookmarkStart w:id="1068" w:name="_Toc107847023"/>
      <w:bookmarkStart w:id="1069" w:name="_Toc107853707"/>
      <w:bookmarkStart w:id="1070" w:name="_Toc107865301"/>
      <w:bookmarkStart w:id="1071" w:name="_Toc108418510"/>
      <w:bookmarkStart w:id="1072" w:name="_Toc108539602"/>
      <w:bookmarkStart w:id="1073" w:name="_Toc108539824"/>
      <w:bookmarkStart w:id="1074" w:name="_Toc108539942"/>
      <w:bookmarkStart w:id="1075" w:name="_Toc108540021"/>
      <w:bookmarkStart w:id="1076" w:name="_Toc109057400"/>
      <w:bookmarkStart w:id="1077" w:name="_Toc109120766"/>
      <w:bookmarkStart w:id="1078" w:name="_Toc109122401"/>
      <w:bookmarkStart w:id="1079" w:name="_Toc109124114"/>
      <w:bookmarkStart w:id="1080" w:name="_Toc109133138"/>
      <w:bookmarkStart w:id="1081" w:name="_Toc109133314"/>
      <w:bookmarkStart w:id="1082" w:name="_Toc120291672"/>
      <w:bookmarkStart w:id="1083" w:name="_Toc107849260"/>
      <w:r w:rsidRPr="002661A8">
        <w:rPr>
          <w:b w:val="0"/>
          <w:i/>
          <w:smallCaps w:val="0"/>
          <w:noProof/>
        </w:rPr>
        <w:t xml:space="preserve">Option </w:t>
      </w:r>
      <w:r w:rsidR="00A8027C">
        <w:rPr>
          <w:b w:val="0"/>
          <w:i/>
          <w:smallCaps w:val="0"/>
          <w:noProof/>
        </w:rPr>
        <w:t>B</w:t>
      </w:r>
      <w:r w:rsidRPr="002661A8">
        <w:rPr>
          <w:b w:val="0"/>
          <w:i/>
          <w:smallCaps w:val="0"/>
          <w:noProof/>
        </w:rPr>
        <w:t>5 – Facilitate clearing by clients</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bookmarkEnd w:id="1083"/>
    <w:p w14:paraId="328C81AE" w14:textId="6B72A489" w:rsidR="000923BE" w:rsidRPr="002661A8" w:rsidRDefault="000923BE" w:rsidP="00A61E96">
      <w:pPr>
        <w:spacing w:after="120" w:line="240" w:lineRule="auto"/>
        <w:jc w:val="both"/>
        <w:rPr>
          <w:rFonts w:ascii="Times New Roman" w:eastAsia="Calibri" w:hAnsi="Times New Roman" w:cs="Times New Roman"/>
          <w:noProof/>
          <w:sz w:val="24"/>
          <w:szCs w:val="24"/>
          <w:u w:val="single"/>
        </w:rPr>
      </w:pPr>
      <w:r w:rsidRPr="002661A8">
        <w:rPr>
          <w:rFonts w:ascii="Times New Roman" w:eastAsia="Calibri" w:hAnsi="Times New Roman" w:cs="Times New Roman"/>
          <w:noProof/>
          <w:sz w:val="24"/>
          <w:szCs w:val="24"/>
          <w:u w:val="single"/>
        </w:rPr>
        <w:t xml:space="preserve">Effectiveness in meeting the specific objectives </w:t>
      </w:r>
    </w:p>
    <w:p w14:paraId="54BE4916" w14:textId="6B0FEE0A" w:rsidR="007D281C" w:rsidRPr="002661A8" w:rsidRDefault="000923BE" w:rsidP="00A61E96">
      <w:pPr>
        <w:tabs>
          <w:tab w:val="left" w:pos="2302"/>
        </w:tabs>
        <w:spacing w:after="120" w:line="240" w:lineRule="auto"/>
        <w:jc w:val="both"/>
        <w:rPr>
          <w:rFonts w:ascii="Times New Roman" w:eastAsia="Times New Roman" w:hAnsi="Times New Roman" w:cs="Times New Roman"/>
          <w:noProof/>
          <w:sz w:val="24"/>
          <w:szCs w:val="24"/>
        </w:rPr>
      </w:pPr>
      <w:r w:rsidRPr="002661A8">
        <w:rPr>
          <w:rFonts w:ascii="Times New Roman" w:eastAsia="Times New Roman" w:hAnsi="Times New Roman" w:cs="Times New Roman"/>
          <w:noProof/>
          <w:sz w:val="24"/>
          <w:szCs w:val="24"/>
        </w:rPr>
        <w:t xml:space="preserve">This option would target entities subject to the clearing obligation which generally clear as clients, i.e. insurance companies, </w:t>
      </w:r>
      <w:r w:rsidR="007D281C" w:rsidRPr="002661A8">
        <w:rPr>
          <w:rFonts w:ascii="Times New Roman" w:eastAsia="Times New Roman" w:hAnsi="Times New Roman" w:cs="Times New Roman"/>
          <w:noProof/>
          <w:sz w:val="24"/>
          <w:szCs w:val="24"/>
        </w:rPr>
        <w:t xml:space="preserve">investment </w:t>
      </w:r>
      <w:r w:rsidRPr="002661A8">
        <w:rPr>
          <w:rFonts w:ascii="Times New Roman" w:eastAsia="Times New Roman" w:hAnsi="Times New Roman" w:cs="Times New Roman"/>
          <w:noProof/>
          <w:sz w:val="24"/>
          <w:szCs w:val="24"/>
        </w:rPr>
        <w:t xml:space="preserve">funds. It would facilitate </w:t>
      </w:r>
      <w:r w:rsidR="007D281C" w:rsidRPr="002661A8">
        <w:rPr>
          <w:rFonts w:ascii="Times New Roman" w:eastAsia="Times New Roman" w:hAnsi="Times New Roman" w:cs="Times New Roman"/>
          <w:noProof/>
          <w:sz w:val="24"/>
          <w:szCs w:val="24"/>
        </w:rPr>
        <w:t xml:space="preserve">or encourage </w:t>
      </w:r>
      <w:r w:rsidRPr="002661A8">
        <w:rPr>
          <w:rFonts w:ascii="Times New Roman" w:eastAsia="Times New Roman" w:hAnsi="Times New Roman" w:cs="Times New Roman"/>
          <w:noProof/>
          <w:sz w:val="24"/>
          <w:szCs w:val="24"/>
        </w:rPr>
        <w:t xml:space="preserve">clearing centrally at a CCP, as it would fix certain inconsistencies in the relevant sectoral legislation which today may hamper clearing by these entities. </w:t>
      </w:r>
    </w:p>
    <w:p w14:paraId="53A34A3A" w14:textId="3007026D" w:rsidR="007D281C" w:rsidRPr="002661A8" w:rsidRDefault="00124160" w:rsidP="00A61E96">
      <w:pPr>
        <w:tabs>
          <w:tab w:val="left" w:pos="2302"/>
        </w:tabs>
        <w:spacing w:after="120" w:line="240" w:lineRule="auto"/>
        <w:jc w:val="both"/>
        <w:rPr>
          <w:rFonts w:ascii="Times New Roman" w:eastAsia="Times New Roman" w:hAnsi="Times New Roman" w:cs="Times New Roman"/>
          <w:noProof/>
          <w:sz w:val="24"/>
          <w:szCs w:val="24"/>
        </w:rPr>
      </w:pPr>
      <w:r w:rsidRPr="002661A8">
        <w:rPr>
          <w:rFonts w:ascii="Times New Roman" w:eastAsia="Times New Roman" w:hAnsi="Times New Roman" w:cs="Times New Roman"/>
          <w:noProof/>
          <w:sz w:val="24"/>
          <w:szCs w:val="24"/>
        </w:rPr>
        <w:t xml:space="preserve">As regards insurance companies, risk-based capital requirements </w:t>
      </w:r>
      <w:r w:rsidR="004E2605" w:rsidRPr="002661A8">
        <w:rPr>
          <w:rFonts w:ascii="Times New Roman" w:eastAsia="Times New Roman" w:hAnsi="Times New Roman" w:cs="Times New Roman"/>
          <w:noProof/>
          <w:sz w:val="24"/>
          <w:szCs w:val="24"/>
        </w:rPr>
        <w:t xml:space="preserve">would be set out </w:t>
      </w:r>
      <w:r w:rsidRPr="002661A8">
        <w:rPr>
          <w:rFonts w:ascii="Times New Roman" w:eastAsia="Times New Roman" w:hAnsi="Times New Roman" w:cs="Times New Roman"/>
          <w:noProof/>
          <w:sz w:val="24"/>
          <w:szCs w:val="24"/>
        </w:rPr>
        <w:t xml:space="preserve">specifically for CCP exposures where they are direct clearing members at </w:t>
      </w:r>
      <w:r w:rsidR="004E2605" w:rsidRPr="002661A8">
        <w:rPr>
          <w:rFonts w:ascii="Times New Roman" w:eastAsia="Times New Roman" w:hAnsi="Times New Roman" w:cs="Times New Roman"/>
          <w:noProof/>
          <w:sz w:val="24"/>
          <w:szCs w:val="24"/>
        </w:rPr>
        <w:t xml:space="preserve">a </w:t>
      </w:r>
      <w:r w:rsidRPr="002661A8">
        <w:rPr>
          <w:rFonts w:ascii="Times New Roman" w:eastAsia="Times New Roman" w:hAnsi="Times New Roman" w:cs="Times New Roman"/>
          <w:noProof/>
          <w:sz w:val="24"/>
          <w:szCs w:val="24"/>
        </w:rPr>
        <w:t xml:space="preserve">CCP, thus making the </w:t>
      </w:r>
      <w:r w:rsidR="00C772CB" w:rsidRPr="002661A8">
        <w:rPr>
          <w:rFonts w:ascii="Times New Roman" w:eastAsia="Times New Roman" w:hAnsi="Times New Roman" w:cs="Times New Roman"/>
          <w:noProof/>
          <w:sz w:val="24"/>
          <w:szCs w:val="24"/>
        </w:rPr>
        <w:t xml:space="preserve">approach </w:t>
      </w:r>
      <w:r w:rsidR="00447480" w:rsidRPr="002661A8">
        <w:rPr>
          <w:rFonts w:ascii="Times New Roman" w:eastAsia="Times New Roman" w:hAnsi="Times New Roman" w:cs="Times New Roman"/>
          <w:noProof/>
          <w:sz w:val="24"/>
          <w:szCs w:val="24"/>
        </w:rPr>
        <w:t>in</w:t>
      </w:r>
      <w:r w:rsidR="00C772CB" w:rsidRPr="002661A8">
        <w:rPr>
          <w:rFonts w:ascii="Times New Roman" w:eastAsia="Times New Roman" w:hAnsi="Times New Roman" w:cs="Times New Roman"/>
          <w:noProof/>
          <w:sz w:val="24"/>
          <w:szCs w:val="24"/>
        </w:rPr>
        <w:t xml:space="preserve"> the </w:t>
      </w:r>
      <w:r w:rsidRPr="002661A8">
        <w:rPr>
          <w:rFonts w:ascii="Times New Roman" w:eastAsia="Times New Roman" w:hAnsi="Times New Roman" w:cs="Times New Roman"/>
          <w:noProof/>
          <w:sz w:val="24"/>
          <w:szCs w:val="24"/>
        </w:rPr>
        <w:t xml:space="preserve">Solvency II </w:t>
      </w:r>
      <w:r w:rsidR="00C772CB" w:rsidRPr="002661A8">
        <w:rPr>
          <w:rFonts w:ascii="Times New Roman" w:eastAsia="Times New Roman" w:hAnsi="Times New Roman" w:cs="Times New Roman"/>
          <w:noProof/>
          <w:sz w:val="24"/>
          <w:szCs w:val="24"/>
        </w:rPr>
        <w:t>delegated acts</w:t>
      </w:r>
      <w:r w:rsidR="00447480" w:rsidRPr="002661A8">
        <w:rPr>
          <w:rStyle w:val="FootnoteReference"/>
          <w:rFonts w:ascii="Times New Roman" w:eastAsia="Times New Roman" w:hAnsi="Times New Roman" w:cs="Times New Roman"/>
          <w:noProof/>
          <w:sz w:val="24"/>
          <w:szCs w:val="24"/>
        </w:rPr>
        <w:footnoteReference w:id="152"/>
      </w:r>
      <w:r w:rsidRPr="002661A8">
        <w:rPr>
          <w:rFonts w:ascii="Times New Roman" w:eastAsia="Times New Roman" w:hAnsi="Times New Roman" w:cs="Times New Roman"/>
          <w:noProof/>
          <w:sz w:val="24"/>
          <w:szCs w:val="24"/>
        </w:rPr>
        <w:t xml:space="preserve"> more consistent with the approach of banking legislation. Currently, the direct exposures of insurance companies to CCPs fall into a residual category of derivatives exposures. As the capital requirements for that residual category tend to be higher than for indirect CCP exposure (i.e. exposure to </w:t>
      </w:r>
      <w:r w:rsidR="004E2605" w:rsidRPr="002661A8">
        <w:rPr>
          <w:rFonts w:ascii="Times New Roman" w:eastAsia="Times New Roman" w:hAnsi="Times New Roman" w:cs="Times New Roman"/>
          <w:noProof/>
          <w:sz w:val="24"/>
          <w:szCs w:val="24"/>
        </w:rPr>
        <w:t>a</w:t>
      </w:r>
      <w:r w:rsidRPr="002661A8">
        <w:rPr>
          <w:rFonts w:ascii="Times New Roman" w:eastAsia="Times New Roman" w:hAnsi="Times New Roman" w:cs="Times New Roman"/>
          <w:noProof/>
          <w:sz w:val="24"/>
          <w:szCs w:val="24"/>
        </w:rPr>
        <w:t xml:space="preserve"> CCP through a clearing member), the current approach </w:t>
      </w:r>
      <w:r w:rsidR="00C056A2" w:rsidRPr="002661A8">
        <w:rPr>
          <w:rFonts w:ascii="Times New Roman" w:eastAsia="Times New Roman" w:hAnsi="Times New Roman" w:cs="Times New Roman"/>
          <w:noProof/>
          <w:sz w:val="24"/>
          <w:szCs w:val="24"/>
        </w:rPr>
        <w:t>impedes</w:t>
      </w:r>
      <w:r w:rsidRPr="002661A8">
        <w:rPr>
          <w:rFonts w:ascii="Times New Roman" w:eastAsia="Times New Roman" w:hAnsi="Times New Roman" w:cs="Times New Roman"/>
          <w:noProof/>
          <w:sz w:val="24"/>
          <w:szCs w:val="24"/>
        </w:rPr>
        <w:t xml:space="preserve"> insurers </w:t>
      </w:r>
      <w:r w:rsidR="00B05A23" w:rsidRPr="002661A8">
        <w:rPr>
          <w:rFonts w:ascii="Times New Roman" w:eastAsia="Times New Roman" w:hAnsi="Times New Roman" w:cs="Times New Roman"/>
          <w:noProof/>
          <w:sz w:val="24"/>
          <w:szCs w:val="24"/>
        </w:rPr>
        <w:t xml:space="preserve">from </w:t>
      </w:r>
      <w:r w:rsidR="00DF5263">
        <w:rPr>
          <w:rFonts w:ascii="Times New Roman" w:eastAsia="Times New Roman" w:hAnsi="Times New Roman" w:cs="Times New Roman"/>
          <w:noProof/>
          <w:sz w:val="24"/>
          <w:szCs w:val="24"/>
        </w:rPr>
        <w:t xml:space="preserve">becoming a direct clearing participant in a CCP </w:t>
      </w:r>
      <w:r w:rsidR="00B05A23" w:rsidRPr="002661A8">
        <w:rPr>
          <w:rFonts w:ascii="Times New Roman" w:eastAsia="Times New Roman" w:hAnsi="Times New Roman" w:cs="Times New Roman"/>
          <w:noProof/>
          <w:sz w:val="24"/>
          <w:szCs w:val="24"/>
        </w:rPr>
        <w:t>benefit</w:t>
      </w:r>
      <w:r w:rsidR="00C056A2" w:rsidRPr="002661A8">
        <w:rPr>
          <w:rFonts w:ascii="Times New Roman" w:eastAsia="Times New Roman" w:hAnsi="Times New Roman" w:cs="Times New Roman"/>
          <w:noProof/>
          <w:sz w:val="24"/>
          <w:szCs w:val="24"/>
        </w:rPr>
        <w:t>ting</w:t>
      </w:r>
      <w:r w:rsidRPr="002661A8">
        <w:rPr>
          <w:rFonts w:ascii="Times New Roman" w:eastAsia="Times New Roman" w:hAnsi="Times New Roman" w:cs="Times New Roman"/>
          <w:noProof/>
          <w:sz w:val="24"/>
          <w:szCs w:val="24"/>
        </w:rPr>
        <w:t xml:space="preserve">, </w:t>
      </w:r>
      <w:r w:rsidR="00C056A2" w:rsidRPr="002661A8">
        <w:rPr>
          <w:rFonts w:ascii="Times New Roman" w:eastAsia="Times New Roman" w:hAnsi="Times New Roman" w:cs="Times New Roman"/>
          <w:noProof/>
          <w:sz w:val="24"/>
          <w:szCs w:val="24"/>
        </w:rPr>
        <w:t>e.g.</w:t>
      </w:r>
      <w:r w:rsidRPr="002661A8">
        <w:rPr>
          <w:rFonts w:ascii="Times New Roman" w:eastAsia="Times New Roman" w:hAnsi="Times New Roman" w:cs="Times New Roman"/>
          <w:noProof/>
          <w:sz w:val="24"/>
          <w:szCs w:val="24"/>
        </w:rPr>
        <w:t xml:space="preserve"> </w:t>
      </w:r>
      <w:r w:rsidR="00B05A23" w:rsidRPr="002661A8">
        <w:rPr>
          <w:rFonts w:ascii="Times New Roman" w:eastAsia="Times New Roman" w:hAnsi="Times New Roman" w:cs="Times New Roman"/>
          <w:noProof/>
          <w:sz w:val="24"/>
          <w:szCs w:val="24"/>
        </w:rPr>
        <w:t>from the</w:t>
      </w:r>
      <w:r w:rsidRPr="002661A8" w:rsidDel="00C056A2">
        <w:rPr>
          <w:rFonts w:ascii="Times New Roman" w:eastAsia="Times New Roman" w:hAnsi="Times New Roman" w:cs="Times New Roman"/>
          <w:noProof/>
          <w:sz w:val="24"/>
          <w:szCs w:val="24"/>
        </w:rPr>
        <w:t xml:space="preserve"> </w:t>
      </w:r>
      <w:r w:rsidRPr="002661A8">
        <w:rPr>
          <w:rFonts w:ascii="Times New Roman" w:eastAsia="Times New Roman" w:hAnsi="Times New Roman" w:cs="Times New Roman"/>
          <w:noProof/>
          <w:sz w:val="24"/>
          <w:szCs w:val="24"/>
        </w:rPr>
        <w:t>access models set up in recent years by some EU CCPs to facilitate clearing by buy-side firms</w:t>
      </w:r>
      <w:r w:rsidR="004E2605" w:rsidRPr="002661A8">
        <w:rPr>
          <w:rFonts w:ascii="Times New Roman" w:eastAsia="Times New Roman" w:hAnsi="Times New Roman" w:cs="Times New Roman"/>
          <w:noProof/>
          <w:sz w:val="24"/>
          <w:szCs w:val="24"/>
        </w:rPr>
        <w:t xml:space="preserve"> (including</w:t>
      </w:r>
      <w:r w:rsidR="00C056A2" w:rsidRPr="002661A8">
        <w:rPr>
          <w:rFonts w:ascii="Times New Roman" w:eastAsia="Times New Roman" w:hAnsi="Times New Roman" w:cs="Times New Roman"/>
          <w:noProof/>
          <w:sz w:val="24"/>
          <w:szCs w:val="24"/>
        </w:rPr>
        <w:t>, e.g. PSAs</w:t>
      </w:r>
      <w:r w:rsidR="004E2605" w:rsidRPr="002661A8">
        <w:rPr>
          <w:rFonts w:ascii="Times New Roman" w:eastAsia="Times New Roman" w:hAnsi="Times New Roman" w:cs="Times New Roman"/>
          <w:noProof/>
          <w:sz w:val="24"/>
          <w:szCs w:val="24"/>
        </w:rPr>
        <w:t>)</w:t>
      </w:r>
      <w:r w:rsidRPr="002661A8">
        <w:rPr>
          <w:rFonts w:ascii="Times New Roman" w:eastAsia="Times New Roman" w:hAnsi="Times New Roman" w:cs="Times New Roman"/>
          <w:noProof/>
          <w:sz w:val="24"/>
          <w:szCs w:val="24"/>
        </w:rPr>
        <w:t>.</w:t>
      </w:r>
      <w:r w:rsidR="000923BE" w:rsidRPr="002661A8">
        <w:rPr>
          <w:rFonts w:ascii="Times New Roman" w:eastAsia="Times New Roman" w:hAnsi="Times New Roman" w:cs="Times New Roman"/>
          <w:noProof/>
          <w:sz w:val="24"/>
          <w:szCs w:val="24"/>
        </w:rPr>
        <w:t xml:space="preserve"> </w:t>
      </w:r>
    </w:p>
    <w:p w14:paraId="61743787" w14:textId="7FDFD1F9" w:rsidR="009122B7" w:rsidRPr="002661A8" w:rsidRDefault="009122B7" w:rsidP="00265FBD">
      <w:pPr>
        <w:tabs>
          <w:tab w:val="left" w:pos="2302"/>
        </w:tabs>
        <w:spacing w:after="120" w:line="240" w:lineRule="auto"/>
        <w:jc w:val="both"/>
        <w:rPr>
          <w:rFonts w:ascii="Times New Roman" w:hAnsi="Times New Roman" w:cs="Times New Roman"/>
          <w:noProof/>
          <w:sz w:val="24"/>
          <w:szCs w:val="24"/>
        </w:rPr>
      </w:pPr>
      <w:r w:rsidRPr="002661A8">
        <w:rPr>
          <w:rFonts w:ascii="Times New Roman" w:eastAsia="Times New Roman" w:hAnsi="Times New Roman" w:cs="Times New Roman"/>
          <w:noProof/>
          <w:sz w:val="24"/>
          <w:szCs w:val="24"/>
        </w:rPr>
        <w:t xml:space="preserve">As regards investment funds, facilitating clearing by clients would imply better consideration of the role of CCPs in reducing counterparty risks to which funds can be exposed. </w:t>
      </w:r>
      <w:r w:rsidRPr="002661A8">
        <w:rPr>
          <w:rFonts w:ascii="Times New Roman" w:hAnsi="Times New Roman" w:cs="Times New Roman"/>
          <w:noProof/>
          <w:sz w:val="24"/>
          <w:szCs w:val="24"/>
        </w:rPr>
        <w:t>UCITS and MMF funds are allowed to invest in exchange-traded derivatives (ETDs) and OTC derivatives. Today, OTC derivatives are - unlike ETDs - subject to regulatory investment limits to mitigate counterparty risk. For example,</w:t>
      </w:r>
      <w:r w:rsidR="00C056A2" w:rsidRPr="002661A8">
        <w:rPr>
          <w:rFonts w:ascii="Times New Roman" w:hAnsi="Times New Roman" w:cs="Times New Roman"/>
          <w:noProof/>
          <w:sz w:val="24"/>
          <w:szCs w:val="24"/>
        </w:rPr>
        <w:t xml:space="preserve"> A</w:t>
      </w:r>
      <w:r w:rsidRPr="002661A8">
        <w:rPr>
          <w:rFonts w:ascii="Times New Roman" w:hAnsi="Times New Roman" w:cs="Times New Roman"/>
          <w:noProof/>
          <w:sz w:val="24"/>
          <w:szCs w:val="24"/>
        </w:rPr>
        <w:t>rt</w:t>
      </w:r>
      <w:r w:rsidR="00C056A2" w:rsidRPr="002661A8">
        <w:rPr>
          <w:rFonts w:ascii="Times New Roman" w:hAnsi="Times New Roman" w:cs="Times New Roman"/>
          <w:noProof/>
          <w:sz w:val="24"/>
          <w:szCs w:val="24"/>
        </w:rPr>
        <w:t>icle</w:t>
      </w:r>
      <w:r w:rsidRPr="002661A8">
        <w:rPr>
          <w:rFonts w:ascii="Times New Roman" w:hAnsi="Times New Roman" w:cs="Times New Roman"/>
          <w:noProof/>
          <w:sz w:val="24"/>
          <w:szCs w:val="24"/>
        </w:rPr>
        <w:t xml:space="preserve"> 52(1) of Directive 2009/65/EC originates from 2009 and does not take into account the benefits of central clearing</w:t>
      </w:r>
      <w:r w:rsidRPr="002661A8">
        <w:rPr>
          <w:rStyle w:val="FootnoteReference"/>
          <w:rFonts w:ascii="Times New Roman" w:hAnsi="Times New Roman" w:cs="Times New Roman"/>
          <w:noProof/>
          <w:sz w:val="24"/>
          <w:szCs w:val="24"/>
        </w:rPr>
        <w:footnoteReference w:id="153"/>
      </w:r>
      <w:r w:rsidRPr="002661A8">
        <w:rPr>
          <w:rFonts w:ascii="Times New Roman" w:hAnsi="Times New Roman" w:cs="Times New Roman"/>
          <w:noProof/>
          <w:sz w:val="24"/>
          <w:szCs w:val="24"/>
        </w:rPr>
        <w:t xml:space="preserve">. Two options were considered to promote central clearing in funds’ derivative investments: </w:t>
      </w:r>
      <w:r w:rsidR="00CC5F5E" w:rsidRPr="002661A8">
        <w:rPr>
          <w:rFonts w:ascii="Times New Roman" w:hAnsi="Times New Roman" w:cs="Times New Roman"/>
          <w:noProof/>
          <w:sz w:val="24"/>
          <w:szCs w:val="24"/>
        </w:rPr>
        <w:t xml:space="preserve">(1) </w:t>
      </w:r>
      <w:r w:rsidRPr="002661A8">
        <w:rPr>
          <w:rFonts w:ascii="Times New Roman" w:hAnsi="Times New Roman" w:cs="Times New Roman"/>
          <w:noProof/>
          <w:sz w:val="24"/>
          <w:szCs w:val="24"/>
        </w:rPr>
        <w:t>Replacing the previous distinction based on trading (ETD versus OTC) by a distinction based on the type of clearing (bilaterally versus centrally cleared via an authori</w:t>
      </w:r>
      <w:r w:rsidR="00C056A2" w:rsidRPr="002661A8">
        <w:rPr>
          <w:rFonts w:ascii="Times New Roman" w:hAnsi="Times New Roman" w:cs="Times New Roman"/>
          <w:noProof/>
          <w:sz w:val="24"/>
          <w:szCs w:val="24"/>
        </w:rPr>
        <w:t>s</w:t>
      </w:r>
      <w:r w:rsidRPr="002661A8">
        <w:rPr>
          <w:rFonts w:ascii="Times New Roman" w:hAnsi="Times New Roman" w:cs="Times New Roman"/>
          <w:noProof/>
          <w:sz w:val="24"/>
          <w:szCs w:val="24"/>
        </w:rPr>
        <w:t>ed CCP) and adjust the regulatory limits to the reduced counterparty risks associated with central clearing</w:t>
      </w:r>
      <w:r w:rsidR="00CC5F5E" w:rsidRPr="002661A8">
        <w:rPr>
          <w:rFonts w:ascii="Times New Roman" w:hAnsi="Times New Roman" w:cs="Times New Roman"/>
          <w:noProof/>
          <w:sz w:val="24"/>
          <w:szCs w:val="24"/>
        </w:rPr>
        <w:t>; (2)</w:t>
      </w:r>
      <w:r w:rsidRPr="002661A8">
        <w:rPr>
          <w:rFonts w:ascii="Times New Roman" w:hAnsi="Times New Roman" w:cs="Times New Roman"/>
          <w:noProof/>
          <w:sz w:val="24"/>
          <w:szCs w:val="24"/>
        </w:rPr>
        <w:t xml:space="preserve"> Keeping the current criteria and adjusting only the counterparty risk limits associated with centrally-cleared OTC derivatives in accordance with the reduced risk. At this stage, option (</w:t>
      </w:r>
      <w:r w:rsidR="00C056A2" w:rsidRPr="002661A8">
        <w:rPr>
          <w:rFonts w:ascii="Times New Roman" w:hAnsi="Times New Roman" w:cs="Times New Roman"/>
          <w:noProof/>
          <w:sz w:val="24"/>
          <w:szCs w:val="24"/>
        </w:rPr>
        <w:t>1</w:t>
      </w:r>
      <w:r w:rsidRPr="002661A8">
        <w:rPr>
          <w:rFonts w:ascii="Times New Roman" w:hAnsi="Times New Roman" w:cs="Times New Roman"/>
          <w:noProof/>
          <w:sz w:val="24"/>
          <w:szCs w:val="24"/>
        </w:rPr>
        <w:t>) would be preferred since it reflect</w:t>
      </w:r>
      <w:r w:rsidR="00EE5774">
        <w:rPr>
          <w:rFonts w:ascii="Times New Roman" w:hAnsi="Times New Roman" w:cs="Times New Roman"/>
          <w:noProof/>
          <w:sz w:val="24"/>
          <w:szCs w:val="24"/>
        </w:rPr>
        <w:t>s</w:t>
      </w:r>
      <w:r w:rsidRPr="002661A8">
        <w:rPr>
          <w:rFonts w:ascii="Times New Roman" w:hAnsi="Times New Roman" w:cs="Times New Roman"/>
          <w:noProof/>
          <w:sz w:val="24"/>
          <w:szCs w:val="24"/>
        </w:rPr>
        <w:t xml:space="preserve"> the clearing system </w:t>
      </w:r>
      <w:r w:rsidR="00EE5774">
        <w:rPr>
          <w:rFonts w:ascii="Times New Roman" w:hAnsi="Times New Roman" w:cs="Times New Roman"/>
          <w:noProof/>
          <w:sz w:val="24"/>
          <w:szCs w:val="24"/>
        </w:rPr>
        <w:t>set out</w:t>
      </w:r>
      <w:r w:rsidRPr="002661A8">
        <w:rPr>
          <w:rFonts w:ascii="Times New Roman" w:hAnsi="Times New Roman" w:cs="Times New Roman"/>
          <w:noProof/>
          <w:sz w:val="24"/>
          <w:szCs w:val="24"/>
        </w:rPr>
        <w:t xml:space="preserve"> EMIR. It is most likely also easier to understand and to comply with, </w:t>
      </w:r>
      <w:r w:rsidR="005F791D" w:rsidRPr="002661A8">
        <w:rPr>
          <w:rFonts w:ascii="Times New Roman" w:hAnsi="Times New Roman" w:cs="Times New Roman"/>
          <w:noProof/>
          <w:sz w:val="24"/>
          <w:szCs w:val="24"/>
        </w:rPr>
        <w:t xml:space="preserve">thus </w:t>
      </w:r>
      <w:r w:rsidRPr="002661A8">
        <w:rPr>
          <w:rFonts w:ascii="Times New Roman" w:hAnsi="Times New Roman" w:cs="Times New Roman"/>
          <w:noProof/>
          <w:sz w:val="24"/>
          <w:szCs w:val="24"/>
        </w:rPr>
        <w:t xml:space="preserve">potentially reducing compliance costs for funds. </w:t>
      </w:r>
    </w:p>
    <w:p w14:paraId="36EE4168" w14:textId="4BF9B727" w:rsidR="00414907" w:rsidRPr="002661A8" w:rsidRDefault="009122B7" w:rsidP="00CC5F5E">
      <w:pPr>
        <w:tabs>
          <w:tab w:val="left" w:pos="2302"/>
        </w:tabs>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In addition, AIFM and UCITS management companies already have to establish risk management systems that include counterparty risks. As a general principle, it could be required that the use of central clearing and its precise design in the individual trade should be </w:t>
      </w:r>
      <w:r w:rsidR="00C056A2" w:rsidRPr="002661A8">
        <w:rPr>
          <w:rFonts w:ascii="Times New Roman" w:hAnsi="Times New Roman" w:cs="Times New Roman"/>
          <w:noProof/>
          <w:sz w:val="24"/>
          <w:szCs w:val="24"/>
        </w:rPr>
        <w:t>considered</w:t>
      </w:r>
      <w:r w:rsidRPr="002661A8">
        <w:rPr>
          <w:rFonts w:ascii="Times New Roman" w:hAnsi="Times New Roman" w:cs="Times New Roman"/>
          <w:noProof/>
          <w:sz w:val="24"/>
          <w:szCs w:val="24"/>
        </w:rPr>
        <w:t xml:space="preserve"> when measuring and mitigating counterparty risks.</w:t>
      </w:r>
      <w:r w:rsidR="001A6579" w:rsidRPr="002661A8">
        <w:rPr>
          <w:rFonts w:ascii="Times New Roman" w:hAnsi="Times New Roman" w:cs="Times New Roman"/>
          <w:noProof/>
          <w:sz w:val="24"/>
          <w:szCs w:val="24"/>
        </w:rPr>
        <w:t xml:space="preserve"> </w:t>
      </w:r>
    </w:p>
    <w:p w14:paraId="0DFFB94D" w14:textId="7BBA91CF" w:rsidR="00F2364C" w:rsidRPr="002661A8" w:rsidRDefault="00D1424D" w:rsidP="00CC5F5E">
      <w:pPr>
        <w:tabs>
          <w:tab w:val="left" w:pos="2302"/>
        </w:tabs>
        <w:spacing w:after="120" w:line="240" w:lineRule="auto"/>
        <w:jc w:val="both"/>
        <w:rPr>
          <w:rFonts w:ascii="Times New Roman" w:eastAsia="Times New Roman" w:hAnsi="Times New Roman" w:cs="Times New Roman"/>
          <w:noProof/>
          <w:sz w:val="24"/>
          <w:szCs w:val="24"/>
        </w:rPr>
      </w:pPr>
      <w:r w:rsidRPr="00C25D94">
        <w:rPr>
          <w:rFonts w:ascii="Times New Roman" w:eastAsia="Times New Roman" w:hAnsi="Times New Roman" w:cs="Times New Roman"/>
          <w:noProof/>
          <w:sz w:val="24"/>
          <w:szCs w:val="24"/>
        </w:rPr>
        <w:t xml:space="preserve">This option would also </w:t>
      </w:r>
      <w:r w:rsidR="00746C05" w:rsidRPr="00C25D94">
        <w:rPr>
          <w:rFonts w:ascii="Times New Roman" w:eastAsia="Times New Roman" w:hAnsi="Times New Roman" w:cs="Times New Roman"/>
          <w:noProof/>
          <w:sz w:val="24"/>
          <w:szCs w:val="24"/>
        </w:rPr>
        <w:t>require amending</w:t>
      </w:r>
      <w:r w:rsidRPr="00C25D94">
        <w:rPr>
          <w:rFonts w:ascii="Times New Roman" w:eastAsia="Times New Roman" w:hAnsi="Times New Roman" w:cs="Times New Roman"/>
          <w:noProof/>
          <w:sz w:val="24"/>
          <w:szCs w:val="24"/>
        </w:rPr>
        <w:t xml:space="preserve"> </w:t>
      </w:r>
      <w:r w:rsidR="00C25D94">
        <w:rPr>
          <w:rFonts w:ascii="Times New Roman" w:eastAsia="Times New Roman" w:hAnsi="Times New Roman" w:cs="Times New Roman"/>
          <w:noProof/>
          <w:sz w:val="24"/>
          <w:szCs w:val="24"/>
        </w:rPr>
        <w:t>EMIR to require that</w:t>
      </w:r>
      <w:r w:rsidR="00C25D94" w:rsidRPr="00C25D94">
        <w:rPr>
          <w:rFonts w:ascii="Times New Roman" w:eastAsia="Times New Roman" w:hAnsi="Times New Roman" w:cs="Times New Roman"/>
          <w:noProof/>
          <w:sz w:val="24"/>
          <w:szCs w:val="24"/>
        </w:rPr>
        <w:t xml:space="preserve"> relevant clearing members and clients</w:t>
      </w:r>
      <w:r w:rsidR="00C25D94">
        <w:rPr>
          <w:rFonts w:ascii="Times New Roman" w:eastAsia="Times New Roman" w:hAnsi="Times New Roman" w:cs="Times New Roman"/>
          <w:noProof/>
          <w:sz w:val="24"/>
          <w:szCs w:val="24"/>
        </w:rPr>
        <w:t>,</w:t>
      </w:r>
      <w:r w:rsidR="00C25D94" w:rsidRPr="00C25D94">
        <w:rPr>
          <w:rFonts w:ascii="Times New Roman" w:eastAsia="Times New Roman" w:hAnsi="Times New Roman" w:cs="Times New Roman"/>
          <w:noProof/>
          <w:sz w:val="24"/>
          <w:szCs w:val="24"/>
        </w:rPr>
        <w:t xml:space="preserve"> offering clearing services</w:t>
      </w:r>
      <w:r w:rsidR="00C25D94">
        <w:rPr>
          <w:rFonts w:ascii="Times New Roman" w:eastAsia="Times New Roman" w:hAnsi="Times New Roman" w:cs="Times New Roman"/>
          <w:noProof/>
          <w:sz w:val="24"/>
          <w:szCs w:val="24"/>
        </w:rPr>
        <w:t>,</w:t>
      </w:r>
      <w:r w:rsidR="00C25D94" w:rsidRPr="00C25D94">
        <w:rPr>
          <w:rFonts w:ascii="Times New Roman" w:eastAsia="Times New Roman" w:hAnsi="Times New Roman" w:cs="Times New Roman"/>
          <w:noProof/>
          <w:sz w:val="24"/>
          <w:szCs w:val="24"/>
        </w:rPr>
        <w:t xml:space="preserve"> could be required to inform their clients of the possibility to clear at an EU CCP to ensure that clearing members offer clients the possibility to clear at an EU CCP where an offer is available.</w:t>
      </w:r>
      <w:r w:rsidR="00C25D94">
        <w:rPr>
          <w:rFonts w:ascii="Times New Roman" w:eastAsia="Times New Roman" w:hAnsi="Times New Roman" w:cs="Times New Roman"/>
          <w:noProof/>
          <w:sz w:val="24"/>
          <w:szCs w:val="24"/>
        </w:rPr>
        <w:t xml:space="preserve"> </w:t>
      </w:r>
      <w:r w:rsidR="00485C29">
        <w:rPr>
          <w:rFonts w:ascii="Times New Roman" w:eastAsia="Times New Roman" w:hAnsi="Times New Roman" w:cs="Times New Roman"/>
          <w:noProof/>
          <w:sz w:val="24"/>
          <w:szCs w:val="24"/>
        </w:rPr>
        <w:t xml:space="preserve">Also, targeted changes to improve transparency could be achieved by requiring clearing members and clients to provide details on, </w:t>
      </w:r>
      <w:r w:rsidR="00717DCB">
        <w:rPr>
          <w:rFonts w:ascii="Times New Roman" w:eastAsia="Times New Roman" w:hAnsi="Times New Roman" w:cs="Times New Roman"/>
          <w:noProof/>
          <w:sz w:val="24"/>
          <w:szCs w:val="24"/>
        </w:rPr>
        <w:t>e</w:t>
      </w:r>
      <w:r w:rsidR="00861860">
        <w:rPr>
          <w:rFonts w:ascii="Times New Roman" w:eastAsia="Times New Roman" w:hAnsi="Times New Roman" w:cs="Times New Roman"/>
          <w:noProof/>
          <w:sz w:val="24"/>
          <w:szCs w:val="24"/>
        </w:rPr>
        <w:t>.</w:t>
      </w:r>
      <w:r w:rsidR="00717DCB">
        <w:rPr>
          <w:rFonts w:ascii="Times New Roman" w:eastAsia="Times New Roman" w:hAnsi="Times New Roman" w:cs="Times New Roman"/>
          <w:noProof/>
          <w:sz w:val="24"/>
          <w:szCs w:val="24"/>
        </w:rPr>
        <w:t>g</w:t>
      </w:r>
      <w:r w:rsidR="00861860">
        <w:rPr>
          <w:rFonts w:ascii="Times New Roman" w:eastAsia="Times New Roman" w:hAnsi="Times New Roman" w:cs="Times New Roman"/>
          <w:noProof/>
          <w:sz w:val="24"/>
          <w:szCs w:val="24"/>
        </w:rPr>
        <w:t>.</w:t>
      </w:r>
      <w:r w:rsidR="00485C29">
        <w:rPr>
          <w:rFonts w:ascii="Times New Roman" w:eastAsia="Times New Roman" w:hAnsi="Times New Roman" w:cs="Times New Roman"/>
          <w:noProof/>
          <w:sz w:val="24"/>
          <w:szCs w:val="24"/>
        </w:rPr>
        <w:t xml:space="preserve"> collateral requirements</w:t>
      </w:r>
      <w:r w:rsidR="00215A4D">
        <w:rPr>
          <w:rFonts w:ascii="Times New Roman" w:eastAsia="Times New Roman" w:hAnsi="Times New Roman" w:cs="Times New Roman"/>
          <w:noProof/>
          <w:sz w:val="24"/>
          <w:szCs w:val="24"/>
        </w:rPr>
        <w:t>, to their clients</w:t>
      </w:r>
      <w:r w:rsidR="00FB0EA6">
        <w:rPr>
          <w:rFonts w:ascii="Times New Roman" w:eastAsia="Times New Roman" w:hAnsi="Times New Roman" w:cs="Times New Roman"/>
          <w:noProof/>
          <w:sz w:val="24"/>
          <w:szCs w:val="24"/>
        </w:rPr>
        <w:t>. Level 2 standards, notably a</w:t>
      </w:r>
      <w:r w:rsidR="00717DCB">
        <w:rPr>
          <w:rFonts w:ascii="Times New Roman" w:eastAsia="Times New Roman" w:hAnsi="Times New Roman" w:cs="Times New Roman"/>
          <w:noProof/>
          <w:sz w:val="24"/>
          <w:szCs w:val="24"/>
        </w:rPr>
        <w:t>n</w:t>
      </w:r>
      <w:r w:rsidR="00FB0EA6">
        <w:rPr>
          <w:rFonts w:ascii="Times New Roman" w:eastAsia="Times New Roman" w:hAnsi="Times New Roman" w:cs="Times New Roman"/>
          <w:noProof/>
          <w:sz w:val="24"/>
          <w:szCs w:val="24"/>
        </w:rPr>
        <w:t xml:space="preserve"> </w:t>
      </w:r>
      <w:r w:rsidR="00717DCB">
        <w:rPr>
          <w:rFonts w:ascii="Times New Roman" w:eastAsia="Times New Roman" w:hAnsi="Times New Roman" w:cs="Times New Roman"/>
          <w:noProof/>
          <w:sz w:val="24"/>
          <w:szCs w:val="24"/>
        </w:rPr>
        <w:t>RTS</w:t>
      </w:r>
      <w:r w:rsidR="00FB0EA6">
        <w:rPr>
          <w:rFonts w:ascii="Times New Roman" w:eastAsia="Times New Roman" w:hAnsi="Times New Roman" w:cs="Times New Roman"/>
          <w:noProof/>
          <w:sz w:val="24"/>
          <w:szCs w:val="24"/>
        </w:rPr>
        <w:t xml:space="preserve"> could complement changes to EMIR to ensure a degree of standardisation and comparability.</w:t>
      </w:r>
      <w:r w:rsidR="00215A4D">
        <w:rPr>
          <w:rFonts w:ascii="Times New Roman" w:eastAsia="Times New Roman" w:hAnsi="Times New Roman" w:cs="Times New Roman"/>
          <w:noProof/>
          <w:sz w:val="24"/>
          <w:szCs w:val="24"/>
        </w:rPr>
        <w:t xml:space="preserve"> </w:t>
      </w:r>
    </w:p>
    <w:p w14:paraId="17CC4CB7" w14:textId="18DB803E" w:rsidR="00F2364C" w:rsidRPr="002661A8" w:rsidRDefault="00414907" w:rsidP="00A61E96">
      <w:pPr>
        <w:tabs>
          <w:tab w:val="left" w:pos="2302"/>
        </w:tabs>
        <w:spacing w:after="120" w:line="240" w:lineRule="auto"/>
        <w:jc w:val="both"/>
        <w:rPr>
          <w:rFonts w:ascii="Times New Roman" w:eastAsia="Times New Roman" w:hAnsi="Times New Roman" w:cs="Times New Roman"/>
          <w:noProof/>
          <w:sz w:val="24"/>
          <w:szCs w:val="24"/>
        </w:rPr>
      </w:pPr>
      <w:r w:rsidRPr="002661A8">
        <w:rPr>
          <w:rFonts w:ascii="Times New Roman" w:eastAsia="Times New Roman" w:hAnsi="Times New Roman" w:cs="Times New Roman"/>
          <w:noProof/>
          <w:sz w:val="24"/>
          <w:szCs w:val="24"/>
        </w:rPr>
        <w:t>All t</w:t>
      </w:r>
      <w:r w:rsidR="000923BE" w:rsidRPr="002661A8">
        <w:rPr>
          <w:rFonts w:ascii="Times New Roman" w:eastAsia="Times New Roman" w:hAnsi="Times New Roman" w:cs="Times New Roman"/>
          <w:noProof/>
          <w:sz w:val="24"/>
          <w:szCs w:val="24"/>
        </w:rPr>
        <w:t xml:space="preserve">hese </w:t>
      </w:r>
      <w:r w:rsidR="00F2364C" w:rsidRPr="002661A8">
        <w:rPr>
          <w:rFonts w:ascii="Times New Roman" w:eastAsia="Times New Roman" w:hAnsi="Times New Roman" w:cs="Times New Roman"/>
          <w:noProof/>
          <w:sz w:val="24"/>
          <w:szCs w:val="24"/>
        </w:rPr>
        <w:t>measures</w:t>
      </w:r>
      <w:r w:rsidR="000923BE" w:rsidRPr="002661A8">
        <w:rPr>
          <w:rFonts w:ascii="Times New Roman" w:eastAsia="Times New Roman" w:hAnsi="Times New Roman" w:cs="Times New Roman"/>
          <w:noProof/>
          <w:sz w:val="24"/>
          <w:szCs w:val="24"/>
        </w:rPr>
        <w:t xml:space="preserve"> are likely to facilitat</w:t>
      </w:r>
      <w:r w:rsidR="009B2181" w:rsidRPr="002661A8">
        <w:rPr>
          <w:rFonts w:ascii="Times New Roman" w:eastAsia="Times New Roman" w:hAnsi="Times New Roman" w:cs="Times New Roman"/>
          <w:noProof/>
          <w:sz w:val="24"/>
          <w:szCs w:val="24"/>
        </w:rPr>
        <w:t>e</w:t>
      </w:r>
      <w:r w:rsidR="000923BE" w:rsidRPr="002661A8">
        <w:rPr>
          <w:rFonts w:ascii="Times New Roman" w:eastAsia="Times New Roman" w:hAnsi="Times New Roman" w:cs="Times New Roman"/>
          <w:noProof/>
          <w:sz w:val="24"/>
          <w:szCs w:val="24"/>
        </w:rPr>
        <w:t xml:space="preserve"> and encourag</w:t>
      </w:r>
      <w:r w:rsidR="00FE63C5" w:rsidRPr="002661A8">
        <w:rPr>
          <w:rFonts w:ascii="Times New Roman" w:eastAsia="Times New Roman" w:hAnsi="Times New Roman" w:cs="Times New Roman"/>
          <w:noProof/>
          <w:sz w:val="24"/>
          <w:szCs w:val="24"/>
        </w:rPr>
        <w:t>e</w:t>
      </w:r>
      <w:r w:rsidR="000923BE" w:rsidRPr="002661A8">
        <w:rPr>
          <w:rFonts w:ascii="Times New Roman" w:eastAsia="Times New Roman" w:hAnsi="Times New Roman" w:cs="Times New Roman"/>
          <w:noProof/>
          <w:sz w:val="24"/>
          <w:szCs w:val="24"/>
        </w:rPr>
        <w:t xml:space="preserve"> clearing by clients, thus </w:t>
      </w:r>
      <w:r w:rsidR="00785526" w:rsidRPr="002661A8">
        <w:rPr>
          <w:rFonts w:ascii="Times New Roman" w:eastAsia="Times New Roman" w:hAnsi="Times New Roman" w:cs="Times New Roman"/>
          <w:noProof/>
          <w:sz w:val="24"/>
          <w:szCs w:val="24"/>
        </w:rPr>
        <w:t xml:space="preserve">contributing to financial stability and </w:t>
      </w:r>
      <w:r w:rsidR="000923BE" w:rsidRPr="002661A8">
        <w:rPr>
          <w:rFonts w:ascii="Times New Roman" w:eastAsia="Times New Roman" w:hAnsi="Times New Roman" w:cs="Times New Roman"/>
          <w:noProof/>
          <w:sz w:val="24"/>
          <w:szCs w:val="24"/>
        </w:rPr>
        <w:t xml:space="preserve">potentially to the specific objective of </w:t>
      </w:r>
      <w:r w:rsidR="006C2697">
        <w:rPr>
          <w:rFonts w:ascii="Times New Roman" w:eastAsia="Times New Roman" w:hAnsi="Times New Roman" w:cs="Times New Roman"/>
          <w:noProof/>
          <w:sz w:val="24"/>
          <w:szCs w:val="24"/>
        </w:rPr>
        <w:t>encouraging</w:t>
      </w:r>
      <w:r w:rsidR="006C2697" w:rsidRPr="002661A8">
        <w:rPr>
          <w:rFonts w:ascii="Times New Roman" w:eastAsia="Times New Roman" w:hAnsi="Times New Roman" w:cs="Times New Roman"/>
          <w:noProof/>
          <w:sz w:val="24"/>
          <w:szCs w:val="24"/>
        </w:rPr>
        <w:t xml:space="preserve"> </w:t>
      </w:r>
      <w:r w:rsidR="000923BE" w:rsidRPr="002661A8">
        <w:rPr>
          <w:rFonts w:ascii="Times New Roman" w:eastAsia="Times New Roman" w:hAnsi="Times New Roman" w:cs="Times New Roman"/>
          <w:noProof/>
          <w:sz w:val="24"/>
          <w:szCs w:val="24"/>
        </w:rPr>
        <w:t>clearing in the EU; however, these measures alone do not guarantee that increased clearing by clients take</w:t>
      </w:r>
      <w:r w:rsidR="009B2181" w:rsidRPr="002661A8">
        <w:rPr>
          <w:rFonts w:ascii="Times New Roman" w:eastAsia="Times New Roman" w:hAnsi="Times New Roman" w:cs="Times New Roman"/>
          <w:noProof/>
          <w:sz w:val="24"/>
          <w:szCs w:val="24"/>
        </w:rPr>
        <w:t>s</w:t>
      </w:r>
      <w:r w:rsidR="000923BE" w:rsidRPr="002661A8">
        <w:rPr>
          <w:rFonts w:ascii="Times New Roman" w:eastAsia="Times New Roman" w:hAnsi="Times New Roman" w:cs="Times New Roman"/>
          <w:noProof/>
          <w:sz w:val="24"/>
          <w:szCs w:val="24"/>
        </w:rPr>
        <w:t xml:space="preserve"> place in the EU.</w:t>
      </w:r>
      <w:r w:rsidR="007B34CD" w:rsidRPr="002661A8">
        <w:rPr>
          <w:rFonts w:ascii="Times New Roman" w:eastAsia="Times New Roman" w:hAnsi="Times New Roman" w:cs="Times New Roman"/>
          <w:noProof/>
          <w:sz w:val="24"/>
          <w:szCs w:val="24"/>
        </w:rPr>
        <w:t xml:space="preserve"> </w:t>
      </w:r>
      <w:r w:rsidR="00F2364C" w:rsidRPr="002661A8">
        <w:rPr>
          <w:rFonts w:ascii="Times New Roman" w:eastAsia="Times New Roman" w:hAnsi="Times New Roman" w:cs="Times New Roman"/>
          <w:noProof/>
          <w:sz w:val="24"/>
          <w:szCs w:val="24"/>
        </w:rPr>
        <w:t xml:space="preserve">As regards the specific objective of improving the </w:t>
      </w:r>
      <w:r w:rsidR="00FE4BB5" w:rsidRPr="002661A8">
        <w:rPr>
          <w:rFonts w:ascii="Times New Roman" w:eastAsia="Times New Roman" w:hAnsi="Times New Roman" w:cs="Times New Roman"/>
          <w:noProof/>
          <w:sz w:val="24"/>
          <w:szCs w:val="24"/>
        </w:rPr>
        <w:t>attractiveness</w:t>
      </w:r>
      <w:r w:rsidR="00F2364C" w:rsidRPr="002661A8">
        <w:rPr>
          <w:rFonts w:ascii="Times New Roman" w:eastAsia="Times New Roman" w:hAnsi="Times New Roman" w:cs="Times New Roman"/>
          <w:noProof/>
          <w:sz w:val="24"/>
          <w:szCs w:val="24"/>
        </w:rPr>
        <w:t xml:space="preserve"> of EU CCPs, as discussed for previous options, this one would not directly address this issue but can indirectly contribute to a virtuous circle.</w:t>
      </w:r>
      <w:r w:rsidR="007B34CD" w:rsidRPr="002661A8">
        <w:rPr>
          <w:rFonts w:ascii="Times New Roman" w:eastAsia="Times New Roman" w:hAnsi="Times New Roman" w:cs="Times New Roman"/>
          <w:noProof/>
          <w:sz w:val="24"/>
          <w:szCs w:val="24"/>
        </w:rPr>
        <w:t xml:space="preserve"> </w:t>
      </w:r>
      <w:r w:rsidR="00F2364C" w:rsidRPr="002661A8">
        <w:rPr>
          <w:rFonts w:ascii="Times New Roman" w:eastAsia="Times New Roman" w:hAnsi="Times New Roman" w:cs="Times New Roman"/>
          <w:noProof/>
          <w:sz w:val="24"/>
          <w:szCs w:val="24"/>
        </w:rPr>
        <w:t>Concerning strengthening the framework to ensure better consideration of cross</w:t>
      </w:r>
      <w:r w:rsidR="009B2181" w:rsidRPr="002661A8">
        <w:rPr>
          <w:rFonts w:ascii="Times New Roman" w:eastAsia="Times New Roman" w:hAnsi="Times New Roman" w:cs="Times New Roman"/>
          <w:noProof/>
          <w:sz w:val="24"/>
          <w:szCs w:val="24"/>
        </w:rPr>
        <w:t>-</w:t>
      </w:r>
      <w:r w:rsidR="00F2364C" w:rsidRPr="002661A8">
        <w:rPr>
          <w:rFonts w:ascii="Times New Roman" w:eastAsia="Times New Roman" w:hAnsi="Times New Roman" w:cs="Times New Roman"/>
          <w:noProof/>
          <w:sz w:val="24"/>
          <w:szCs w:val="24"/>
        </w:rPr>
        <w:t>border risks, similar</w:t>
      </w:r>
      <w:r w:rsidR="00074B11">
        <w:rPr>
          <w:rFonts w:ascii="Times New Roman" w:eastAsia="Times New Roman" w:hAnsi="Times New Roman" w:cs="Times New Roman"/>
          <w:noProof/>
          <w:sz w:val="24"/>
          <w:szCs w:val="24"/>
        </w:rPr>
        <w:t>ly</w:t>
      </w:r>
      <w:r w:rsidR="00F2364C" w:rsidRPr="002661A8">
        <w:rPr>
          <w:rFonts w:ascii="Times New Roman" w:eastAsia="Times New Roman" w:hAnsi="Times New Roman" w:cs="Times New Roman"/>
          <w:noProof/>
          <w:sz w:val="24"/>
          <w:szCs w:val="24"/>
        </w:rPr>
        <w:t xml:space="preserve"> to previous options targeting the demand </w:t>
      </w:r>
      <w:r w:rsidR="009B2181" w:rsidRPr="002661A8">
        <w:rPr>
          <w:rFonts w:ascii="Times New Roman" w:eastAsia="Times New Roman" w:hAnsi="Times New Roman" w:cs="Times New Roman"/>
          <w:noProof/>
          <w:sz w:val="24"/>
          <w:szCs w:val="24"/>
        </w:rPr>
        <w:t xml:space="preserve">for </w:t>
      </w:r>
      <w:r w:rsidR="00F2364C" w:rsidRPr="002661A8">
        <w:rPr>
          <w:rFonts w:ascii="Times New Roman" w:eastAsia="Times New Roman" w:hAnsi="Times New Roman" w:cs="Times New Roman"/>
          <w:noProof/>
          <w:sz w:val="24"/>
          <w:szCs w:val="24"/>
        </w:rPr>
        <w:t xml:space="preserve">clearing services, this one does not directly address this objective. At the same time, any increase in clearing volumes in the EU linked to the activity of clients should be better </w:t>
      </w:r>
      <w:r w:rsidR="007B34CD" w:rsidRPr="002661A8">
        <w:rPr>
          <w:rFonts w:ascii="Times New Roman" w:eastAsia="Times New Roman" w:hAnsi="Times New Roman" w:cs="Times New Roman"/>
          <w:noProof/>
          <w:sz w:val="24"/>
          <w:szCs w:val="24"/>
        </w:rPr>
        <w:t xml:space="preserve">assessed and managed </w:t>
      </w:r>
      <w:r w:rsidR="00F2364C" w:rsidRPr="002661A8">
        <w:rPr>
          <w:rFonts w:ascii="Times New Roman" w:eastAsia="Times New Roman" w:hAnsi="Times New Roman" w:cs="Times New Roman"/>
          <w:noProof/>
          <w:sz w:val="24"/>
          <w:szCs w:val="24"/>
        </w:rPr>
        <w:t>through a</w:t>
      </w:r>
      <w:r w:rsidR="00322637" w:rsidRPr="002661A8">
        <w:rPr>
          <w:rFonts w:ascii="Times New Roman" w:eastAsia="Times New Roman" w:hAnsi="Times New Roman" w:cs="Times New Roman"/>
          <w:noProof/>
          <w:sz w:val="24"/>
          <w:szCs w:val="24"/>
        </w:rPr>
        <w:t>n enhanced</w:t>
      </w:r>
      <w:r w:rsidR="00F2364C" w:rsidRPr="002661A8">
        <w:rPr>
          <w:rFonts w:ascii="Times New Roman" w:eastAsia="Times New Roman" w:hAnsi="Times New Roman" w:cs="Times New Roman"/>
          <w:noProof/>
          <w:sz w:val="24"/>
          <w:szCs w:val="24"/>
        </w:rPr>
        <w:t xml:space="preserve"> supervisory framework.</w:t>
      </w:r>
    </w:p>
    <w:p w14:paraId="36AC0F71" w14:textId="6B3EC934" w:rsidR="0076590A" w:rsidRPr="002661A8" w:rsidRDefault="0076590A" w:rsidP="00A61E96">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 the targeted consultation, r</w:t>
      </w:r>
      <w:r w:rsidRPr="0076590A">
        <w:rPr>
          <w:rFonts w:ascii="Times New Roman" w:eastAsia="Times New Roman" w:hAnsi="Times New Roman" w:cs="Times New Roman"/>
          <w:noProof/>
          <w:sz w:val="24"/>
          <w:szCs w:val="24"/>
        </w:rPr>
        <w:t>espondents provided detailed views on the interaction</w:t>
      </w:r>
      <w:r w:rsidR="00074B11">
        <w:rPr>
          <w:rFonts w:ascii="Times New Roman" w:eastAsia="Times New Roman" w:hAnsi="Times New Roman" w:cs="Times New Roman"/>
          <w:noProof/>
          <w:sz w:val="24"/>
          <w:szCs w:val="24"/>
        </w:rPr>
        <w:t xml:space="preserve"> of EMIR</w:t>
      </w:r>
      <w:r w:rsidRPr="0076590A">
        <w:rPr>
          <w:rFonts w:ascii="Times New Roman" w:eastAsia="Times New Roman" w:hAnsi="Times New Roman" w:cs="Times New Roman"/>
          <w:noProof/>
          <w:sz w:val="24"/>
          <w:szCs w:val="24"/>
        </w:rPr>
        <w:t xml:space="preserve"> with other regulations/directives</w:t>
      </w:r>
      <w:r>
        <w:rPr>
          <w:rFonts w:ascii="Times New Roman" w:eastAsia="Times New Roman" w:hAnsi="Times New Roman" w:cs="Times New Roman"/>
          <w:noProof/>
          <w:sz w:val="24"/>
          <w:szCs w:val="24"/>
        </w:rPr>
        <w:t xml:space="preserve">, including </w:t>
      </w:r>
      <w:r w:rsidRPr="0076590A">
        <w:rPr>
          <w:rFonts w:ascii="Times New Roman" w:eastAsia="Times New Roman" w:hAnsi="Times New Roman" w:cs="Times New Roman"/>
          <w:noProof/>
          <w:sz w:val="24"/>
          <w:szCs w:val="24"/>
        </w:rPr>
        <w:t>UCITS</w:t>
      </w:r>
      <w:r>
        <w:rPr>
          <w:rFonts w:ascii="Times New Roman" w:eastAsia="Times New Roman" w:hAnsi="Times New Roman" w:cs="Times New Roman"/>
          <w:noProof/>
          <w:sz w:val="24"/>
          <w:szCs w:val="24"/>
        </w:rPr>
        <w:t xml:space="preserve"> and</w:t>
      </w:r>
      <w:r w:rsidRPr="0076590A">
        <w:rPr>
          <w:rFonts w:ascii="Times New Roman" w:eastAsia="Times New Roman" w:hAnsi="Times New Roman" w:cs="Times New Roman"/>
          <w:noProof/>
          <w:sz w:val="24"/>
          <w:szCs w:val="24"/>
        </w:rPr>
        <w:t xml:space="preserve"> MMFR, however on different aspects, not allowing for an extrapolation or generalisation. Examples of suggestions are the following: an industry association representing European CCPs, and an EU CCP, suggested amending Article 52 of the UCITS Directive to exclude CCP cleared transactions from counterparty exposure and diversification requirements, reflecting the risk reducing nature and systemic importance of CCPs. An industry association representing the funds industry of a Member State and an industry association representing the asset management and investment fund industry in another Member State called for an amendment of the ESMA Guidelines on ETFs and other UCITS issues so that UCITS can use the cash obtained via a repo transaction for the collateralisation of CCP clearing eligible OTC derivatives</w:t>
      </w:r>
      <w:r>
        <w:rPr>
          <w:rFonts w:ascii="Times New Roman" w:eastAsia="Times New Roman" w:hAnsi="Times New Roman" w:cs="Times New Roman"/>
          <w:noProof/>
          <w:sz w:val="24"/>
          <w:szCs w:val="24"/>
        </w:rPr>
        <w:t>.</w:t>
      </w:r>
    </w:p>
    <w:p w14:paraId="49855CF0" w14:textId="3E733364" w:rsidR="00583AB5" w:rsidRDefault="00583AB5" w:rsidP="00583AB5">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 the meeting with Member States on 16 June 2022, o</w:t>
      </w:r>
      <w:r w:rsidRPr="00B73E5B">
        <w:rPr>
          <w:rFonts w:ascii="Times New Roman" w:eastAsia="Times New Roman" w:hAnsi="Times New Roman" w:cs="Times New Roman"/>
          <w:noProof/>
          <w:sz w:val="24"/>
          <w:szCs w:val="24"/>
        </w:rPr>
        <w:t>ne Member State supported both options, for insurance companies as well as for UCITS. One EU authority expressed – in line with its opinion from 2015 - support for revising the exposure limits for OTC derivatives that are cleared centrally for UCITS. Two Member States were open to exploring both options further.</w:t>
      </w:r>
    </w:p>
    <w:p w14:paraId="695F6CDC" w14:textId="77777777" w:rsidR="000923BE" w:rsidRPr="002661A8" w:rsidRDefault="000923BE" w:rsidP="000923BE">
      <w:pPr>
        <w:tabs>
          <w:tab w:val="left" w:pos="2302"/>
        </w:tabs>
        <w:spacing w:after="120" w:line="240" w:lineRule="auto"/>
        <w:jc w:val="both"/>
        <w:rPr>
          <w:rFonts w:ascii="Times New Roman" w:eastAsia="Times New Roman" w:hAnsi="Times New Roman" w:cs="Times New Roman"/>
          <w:noProof/>
          <w:sz w:val="24"/>
          <w:szCs w:val="24"/>
          <w:u w:val="single"/>
        </w:rPr>
      </w:pPr>
      <w:r w:rsidRPr="002661A8">
        <w:rPr>
          <w:rFonts w:ascii="Times New Roman" w:eastAsia="Times New Roman" w:hAnsi="Times New Roman" w:cs="Times New Roman"/>
          <w:noProof/>
          <w:sz w:val="24"/>
          <w:szCs w:val="24"/>
          <w:u w:val="single"/>
        </w:rPr>
        <w:t>Coherence</w:t>
      </w:r>
    </w:p>
    <w:p w14:paraId="0CE01B8D" w14:textId="46A7544D" w:rsidR="000923BE" w:rsidRPr="002661A8" w:rsidRDefault="000923BE" w:rsidP="00D521A6">
      <w:pPr>
        <w:tabs>
          <w:tab w:val="left" w:pos="2302"/>
        </w:tabs>
        <w:spacing w:after="120" w:line="240" w:lineRule="auto"/>
        <w:jc w:val="both"/>
        <w:rPr>
          <w:rFonts w:ascii="Times New Roman" w:eastAsia="Times New Roman" w:hAnsi="Times New Roman" w:cs="Times New Roman"/>
          <w:noProof/>
          <w:sz w:val="24"/>
          <w:szCs w:val="24"/>
        </w:rPr>
      </w:pPr>
      <w:r w:rsidRPr="002661A8">
        <w:rPr>
          <w:rFonts w:ascii="Times New Roman" w:eastAsia="Times New Roman" w:hAnsi="Times New Roman" w:cs="Times New Roman"/>
          <w:noProof/>
          <w:sz w:val="24"/>
          <w:szCs w:val="24"/>
        </w:rPr>
        <w:t xml:space="preserve">These measures are fully coherent with the objectives of EMIR, which imposes </w:t>
      </w:r>
      <w:r w:rsidR="00523B4B" w:rsidRPr="002661A8">
        <w:rPr>
          <w:rFonts w:ascii="Times New Roman" w:eastAsia="Times New Roman" w:hAnsi="Times New Roman" w:cs="Times New Roman"/>
          <w:noProof/>
          <w:sz w:val="24"/>
          <w:szCs w:val="24"/>
        </w:rPr>
        <w:t xml:space="preserve">prudential rules for CCPs and </w:t>
      </w:r>
      <w:r w:rsidRPr="002661A8">
        <w:rPr>
          <w:rFonts w:ascii="Times New Roman" w:eastAsia="Times New Roman" w:hAnsi="Times New Roman" w:cs="Times New Roman"/>
          <w:noProof/>
          <w:sz w:val="24"/>
          <w:szCs w:val="24"/>
        </w:rPr>
        <w:t>a clearing obligation as a way to reduce counterparty risk</w:t>
      </w:r>
      <w:r w:rsidR="00785526" w:rsidRPr="002661A8">
        <w:rPr>
          <w:rFonts w:ascii="Times New Roman" w:eastAsia="Times New Roman" w:hAnsi="Times New Roman" w:cs="Times New Roman"/>
          <w:noProof/>
          <w:sz w:val="24"/>
          <w:szCs w:val="24"/>
        </w:rPr>
        <w:t>: in this sense, they contribute to promoting financial stability through central clearing</w:t>
      </w:r>
      <w:r w:rsidRPr="002661A8">
        <w:rPr>
          <w:rFonts w:ascii="Times New Roman" w:eastAsia="Times New Roman" w:hAnsi="Times New Roman" w:cs="Times New Roman"/>
          <w:noProof/>
          <w:sz w:val="24"/>
          <w:szCs w:val="24"/>
        </w:rPr>
        <w:t>. This is already clearly reflected in banking regulation (CRD/CRR), while not entirely so in insurance and funds regulation (the UCITS</w:t>
      </w:r>
      <w:r w:rsidR="00785526" w:rsidRPr="002661A8">
        <w:rPr>
          <w:rFonts w:ascii="Times New Roman" w:eastAsia="Times New Roman" w:hAnsi="Times New Roman" w:cs="Times New Roman"/>
          <w:noProof/>
          <w:sz w:val="24"/>
          <w:szCs w:val="24"/>
        </w:rPr>
        <w:t>, AIFM, MMF</w:t>
      </w:r>
      <w:r w:rsidRPr="002661A8">
        <w:rPr>
          <w:rFonts w:ascii="Times New Roman" w:eastAsia="Times New Roman" w:hAnsi="Times New Roman" w:cs="Times New Roman"/>
          <w:noProof/>
          <w:sz w:val="24"/>
          <w:szCs w:val="24"/>
        </w:rPr>
        <w:t xml:space="preserve"> and Solvency II </w:t>
      </w:r>
      <w:r w:rsidR="001D5F33" w:rsidRPr="002661A8">
        <w:rPr>
          <w:rFonts w:ascii="Times New Roman" w:eastAsia="Times New Roman" w:hAnsi="Times New Roman" w:cs="Times New Roman"/>
          <w:noProof/>
          <w:sz w:val="24"/>
          <w:szCs w:val="24"/>
        </w:rPr>
        <w:t>delegated act</w:t>
      </w:r>
      <w:r w:rsidRPr="002661A8">
        <w:rPr>
          <w:rFonts w:ascii="Times New Roman" w:eastAsia="Times New Roman" w:hAnsi="Times New Roman" w:cs="Times New Roman"/>
          <w:noProof/>
          <w:sz w:val="24"/>
          <w:szCs w:val="24"/>
        </w:rPr>
        <w:t xml:space="preserve">). They also </w:t>
      </w:r>
      <w:r w:rsidR="00BE77C5" w:rsidRPr="002661A8">
        <w:rPr>
          <w:rFonts w:ascii="Times New Roman" w:eastAsia="Times New Roman" w:hAnsi="Times New Roman" w:cs="Times New Roman"/>
          <w:noProof/>
          <w:sz w:val="24"/>
          <w:szCs w:val="24"/>
        </w:rPr>
        <w:t>contribute to</w:t>
      </w:r>
      <w:r w:rsidRPr="002661A8">
        <w:rPr>
          <w:rFonts w:ascii="Times New Roman" w:eastAsia="Times New Roman" w:hAnsi="Times New Roman" w:cs="Times New Roman"/>
          <w:noProof/>
          <w:sz w:val="24"/>
          <w:szCs w:val="24"/>
        </w:rPr>
        <w:t xml:space="preserve"> the objectives of the CMU, in that they would address certain impediments to efficiently use CCPs by clients. Finally, they would increase the overall consistency of the EU financial services</w:t>
      </w:r>
      <w:r w:rsidR="00837219" w:rsidRPr="002661A8">
        <w:rPr>
          <w:rFonts w:ascii="Times New Roman" w:eastAsia="Times New Roman" w:hAnsi="Times New Roman" w:cs="Times New Roman"/>
          <w:noProof/>
          <w:sz w:val="24"/>
          <w:szCs w:val="24"/>
        </w:rPr>
        <w:t xml:space="preserve"> </w:t>
      </w:r>
      <w:r w:rsidR="005C172F" w:rsidRPr="002661A8">
        <w:rPr>
          <w:rFonts w:ascii="Times New Roman" w:eastAsia="Times New Roman" w:hAnsi="Times New Roman" w:cs="Times New Roman"/>
          <w:noProof/>
          <w:sz w:val="24"/>
          <w:szCs w:val="24"/>
        </w:rPr>
        <w:t>acquis</w:t>
      </w:r>
      <w:r w:rsidRPr="002661A8">
        <w:rPr>
          <w:rFonts w:ascii="Times New Roman" w:eastAsia="Times New Roman" w:hAnsi="Times New Roman" w:cs="Times New Roman"/>
          <w:noProof/>
          <w:sz w:val="24"/>
          <w:szCs w:val="24"/>
        </w:rPr>
        <w:t>.</w:t>
      </w:r>
    </w:p>
    <w:p w14:paraId="200C3177" w14:textId="77777777" w:rsidR="00A8027C" w:rsidRPr="002661A8" w:rsidRDefault="00A8027C" w:rsidP="00A8027C">
      <w:pPr>
        <w:tabs>
          <w:tab w:val="left" w:pos="2302"/>
        </w:tabs>
        <w:spacing w:after="120" w:line="240" w:lineRule="auto"/>
        <w:jc w:val="both"/>
        <w:rPr>
          <w:rFonts w:ascii="Times New Roman" w:eastAsia="Times New Roman" w:hAnsi="Times New Roman" w:cs="Times New Roman"/>
          <w:noProof/>
          <w:sz w:val="24"/>
          <w:szCs w:val="24"/>
          <w:u w:val="single"/>
        </w:rPr>
      </w:pPr>
      <w:r>
        <w:rPr>
          <w:rFonts w:ascii="Times New Roman" w:eastAsia="Times New Roman" w:hAnsi="Times New Roman" w:cs="Times New Roman"/>
          <w:noProof/>
          <w:sz w:val="24"/>
          <w:szCs w:val="24"/>
          <w:u w:val="single"/>
        </w:rPr>
        <w:t>Assessment of the impacts by stakeholder group</w:t>
      </w:r>
    </w:p>
    <w:p w14:paraId="30E0EE7C" w14:textId="6F05EE3C" w:rsidR="001C206A" w:rsidRPr="002661A8" w:rsidRDefault="001C206A" w:rsidP="001C206A">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b/>
          <w:noProof/>
          <w:sz w:val="24"/>
          <w:szCs w:val="24"/>
        </w:rPr>
        <w:t>CCPs</w:t>
      </w:r>
      <w:r w:rsidRPr="002661A8">
        <w:rPr>
          <w:rFonts w:ascii="Times New Roman" w:eastAsia="Calibri" w:hAnsi="Times New Roman" w:cs="Times New Roman"/>
          <w:noProof/>
          <w:sz w:val="24"/>
          <w:szCs w:val="24"/>
        </w:rPr>
        <w:t xml:space="preserve"> would benefit from these measures as they would facilitate central clearing by clients. CCPs which have set up </w:t>
      </w:r>
      <w:r w:rsidR="00343D00" w:rsidRPr="002661A8">
        <w:rPr>
          <w:rFonts w:ascii="Times New Roman" w:eastAsia="Calibri" w:hAnsi="Times New Roman" w:cs="Times New Roman"/>
          <w:noProof/>
          <w:sz w:val="24"/>
          <w:szCs w:val="24"/>
        </w:rPr>
        <w:t>specific</w:t>
      </w:r>
      <w:r w:rsidRPr="002661A8" w:rsidDel="00343D00">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 xml:space="preserve">access models </w:t>
      </w:r>
      <w:r w:rsidR="00343D00" w:rsidRPr="002661A8">
        <w:rPr>
          <w:rFonts w:ascii="Times New Roman" w:eastAsia="Calibri" w:hAnsi="Times New Roman" w:cs="Times New Roman"/>
          <w:noProof/>
          <w:sz w:val="24"/>
          <w:szCs w:val="24"/>
        </w:rPr>
        <w:t xml:space="preserve">to facilitate </w:t>
      </w:r>
      <w:r w:rsidRPr="002661A8">
        <w:rPr>
          <w:rFonts w:ascii="Times New Roman" w:eastAsia="Calibri" w:hAnsi="Times New Roman" w:cs="Times New Roman"/>
          <w:noProof/>
          <w:sz w:val="24"/>
          <w:szCs w:val="24"/>
        </w:rPr>
        <w:t xml:space="preserve">clearing </w:t>
      </w:r>
      <w:r w:rsidR="00343D00" w:rsidRPr="002661A8">
        <w:rPr>
          <w:rFonts w:ascii="Times New Roman" w:eastAsia="Calibri" w:hAnsi="Times New Roman" w:cs="Times New Roman"/>
          <w:noProof/>
          <w:sz w:val="24"/>
          <w:szCs w:val="24"/>
        </w:rPr>
        <w:t xml:space="preserve">by market players that usually clear as clients (e.g. insurance companies) </w:t>
      </w:r>
      <w:r w:rsidRPr="002661A8">
        <w:rPr>
          <w:rFonts w:ascii="Times New Roman" w:eastAsia="Calibri" w:hAnsi="Times New Roman" w:cs="Times New Roman"/>
          <w:noProof/>
          <w:sz w:val="24"/>
          <w:szCs w:val="24"/>
        </w:rPr>
        <w:t>should benefit</w:t>
      </w:r>
      <w:r w:rsidR="00343D00" w:rsidRPr="002661A8">
        <w:rPr>
          <w:rFonts w:ascii="Times New Roman" w:eastAsia="Calibri" w:hAnsi="Times New Roman" w:cs="Times New Roman"/>
          <w:noProof/>
          <w:sz w:val="24"/>
          <w:szCs w:val="24"/>
        </w:rPr>
        <w:t>,</w:t>
      </w:r>
      <w:r w:rsidRPr="002661A8">
        <w:rPr>
          <w:rFonts w:ascii="Times New Roman" w:eastAsia="Calibri" w:hAnsi="Times New Roman" w:cs="Times New Roman"/>
          <w:noProof/>
          <w:sz w:val="24"/>
          <w:szCs w:val="24"/>
        </w:rPr>
        <w:t xml:space="preserve"> as certain obstacles to the take-up of such models should be reduced or eliminated. These benefits would be ongoing.</w:t>
      </w:r>
    </w:p>
    <w:p w14:paraId="1F590B81" w14:textId="64874C9B" w:rsidR="001C206A" w:rsidRPr="002661A8" w:rsidRDefault="001C206A" w:rsidP="001C206A">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b/>
          <w:noProof/>
          <w:sz w:val="24"/>
          <w:szCs w:val="24"/>
        </w:rPr>
        <w:t>C</w:t>
      </w:r>
      <w:r w:rsidRPr="002661A8">
        <w:rPr>
          <w:rFonts w:ascii="Times New Roman" w:eastAsia="Calibri" w:hAnsi="Times New Roman" w:cs="Times New Roman"/>
          <w:b/>
          <w:bCs/>
          <w:noProof/>
          <w:sz w:val="24"/>
          <w:szCs w:val="24"/>
        </w:rPr>
        <w:t>learing</w:t>
      </w:r>
      <w:r w:rsidRPr="002661A8">
        <w:rPr>
          <w:rFonts w:ascii="Times New Roman" w:eastAsia="Calibri" w:hAnsi="Times New Roman" w:cs="Times New Roman"/>
          <w:b/>
          <w:noProof/>
          <w:sz w:val="24"/>
          <w:szCs w:val="24"/>
        </w:rPr>
        <w:t xml:space="preserve"> members</w:t>
      </w:r>
      <w:r w:rsidRPr="002661A8">
        <w:rPr>
          <w:rFonts w:ascii="Times New Roman" w:eastAsia="Calibri" w:hAnsi="Times New Roman" w:cs="Times New Roman"/>
          <w:noProof/>
          <w:sz w:val="24"/>
          <w:szCs w:val="24"/>
        </w:rPr>
        <w:t xml:space="preserve"> </w:t>
      </w:r>
      <w:r w:rsidR="00BF79C6" w:rsidRPr="002661A8">
        <w:rPr>
          <w:rFonts w:ascii="Times New Roman" w:eastAsia="Calibri" w:hAnsi="Times New Roman" w:cs="Times New Roman"/>
          <w:noProof/>
          <w:sz w:val="24"/>
          <w:szCs w:val="24"/>
        </w:rPr>
        <w:t>would not bear meaningful costs due to this measure. So the impact is seen as neutral.</w:t>
      </w:r>
      <w:r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b/>
          <w:noProof/>
          <w:sz w:val="24"/>
          <w:szCs w:val="24"/>
        </w:rPr>
        <w:t>Clients</w:t>
      </w:r>
      <w:r w:rsidRPr="002661A8">
        <w:rPr>
          <w:rFonts w:ascii="Times New Roman" w:eastAsia="Calibri" w:hAnsi="Times New Roman" w:cs="Times New Roman"/>
          <w:noProof/>
          <w:sz w:val="24"/>
          <w:szCs w:val="24"/>
        </w:rPr>
        <w:t xml:space="preserve"> would benefit from such measures as they would facilitate clearing and offer more opportunities to them</w:t>
      </w:r>
      <w:r w:rsidR="004141C3" w:rsidRPr="002661A8">
        <w:rPr>
          <w:rFonts w:ascii="Times New Roman" w:eastAsia="Calibri" w:hAnsi="Times New Roman" w:cs="Times New Roman"/>
          <w:noProof/>
          <w:sz w:val="24"/>
          <w:szCs w:val="24"/>
        </w:rPr>
        <w:t>, including through direct clearing membership</w:t>
      </w:r>
      <w:r w:rsidRPr="002661A8">
        <w:rPr>
          <w:rFonts w:ascii="Times New Roman" w:eastAsia="Calibri" w:hAnsi="Times New Roman" w:cs="Times New Roman"/>
          <w:noProof/>
          <w:sz w:val="24"/>
          <w:szCs w:val="24"/>
        </w:rPr>
        <w:t>. Exposures to CCPs would be treated more consistently in the relevant sectoral legislations, reflecting better the actual risk of such exposures. These benefits would be ongoing.</w:t>
      </w:r>
    </w:p>
    <w:p w14:paraId="361B2250" w14:textId="77777777" w:rsidR="001C206A" w:rsidRPr="002661A8" w:rsidRDefault="001C206A" w:rsidP="001C206A">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For </w:t>
      </w:r>
      <w:r w:rsidRPr="002661A8">
        <w:rPr>
          <w:rFonts w:ascii="Times New Roman" w:eastAsia="Calibri" w:hAnsi="Times New Roman" w:cs="Times New Roman"/>
          <w:b/>
          <w:noProof/>
          <w:sz w:val="24"/>
          <w:szCs w:val="24"/>
        </w:rPr>
        <w:t>national supervisory authorities</w:t>
      </w:r>
      <w:r w:rsidRPr="002661A8">
        <w:rPr>
          <w:rFonts w:ascii="Times New Roman" w:eastAsia="Calibri" w:hAnsi="Times New Roman" w:cs="Times New Roman"/>
          <w:noProof/>
          <w:sz w:val="24"/>
          <w:szCs w:val="24"/>
        </w:rPr>
        <w:t xml:space="preserve"> and </w:t>
      </w:r>
      <w:r w:rsidRPr="002661A8">
        <w:rPr>
          <w:rFonts w:ascii="Times New Roman" w:eastAsia="Calibri" w:hAnsi="Times New Roman" w:cs="Times New Roman"/>
          <w:b/>
          <w:noProof/>
          <w:sz w:val="24"/>
          <w:szCs w:val="24"/>
        </w:rPr>
        <w:t>ESMA</w:t>
      </w:r>
      <w:r w:rsidRPr="002661A8">
        <w:rPr>
          <w:rFonts w:ascii="Times New Roman" w:eastAsia="Calibri" w:hAnsi="Times New Roman" w:cs="Times New Roman"/>
          <w:noProof/>
          <w:sz w:val="24"/>
          <w:szCs w:val="24"/>
        </w:rPr>
        <w:t>, no significant costs or benefits are identified.</w:t>
      </w:r>
    </w:p>
    <w:p w14:paraId="32016DDD" w14:textId="240BBF5A" w:rsidR="000923BE" w:rsidRPr="002661A8" w:rsidRDefault="000923BE" w:rsidP="00ED5088">
      <w:pPr>
        <w:pStyle w:val="Heading1"/>
        <w:numPr>
          <w:ilvl w:val="2"/>
          <w:numId w:val="6"/>
        </w:numPr>
        <w:spacing w:before="0" w:after="120"/>
        <w:rPr>
          <w:i/>
          <w:noProof/>
        </w:rPr>
      </w:pPr>
      <w:bookmarkStart w:id="1084" w:name="_Toc104310015"/>
      <w:bookmarkStart w:id="1085" w:name="_Toc105656455"/>
      <w:bookmarkStart w:id="1086" w:name="_Toc106827855"/>
      <w:bookmarkStart w:id="1087" w:name="_Toc106981731"/>
      <w:bookmarkStart w:id="1088" w:name="_Toc107493871"/>
      <w:bookmarkStart w:id="1089" w:name="_Toc107497907"/>
      <w:bookmarkStart w:id="1090" w:name="_Toc107503460"/>
      <w:bookmarkStart w:id="1091" w:name="_Toc107504608"/>
      <w:bookmarkStart w:id="1092" w:name="_Toc107505453"/>
      <w:bookmarkStart w:id="1093" w:name="_Toc107838929"/>
      <w:bookmarkStart w:id="1094" w:name="_Toc107847024"/>
      <w:bookmarkStart w:id="1095" w:name="_Toc107849261"/>
      <w:bookmarkStart w:id="1096" w:name="_Toc107853708"/>
      <w:bookmarkStart w:id="1097" w:name="_Toc107865302"/>
      <w:bookmarkStart w:id="1098" w:name="_Toc108418511"/>
      <w:bookmarkStart w:id="1099" w:name="_Toc108539603"/>
      <w:bookmarkStart w:id="1100" w:name="_Toc108539825"/>
      <w:bookmarkStart w:id="1101" w:name="_Toc108539943"/>
      <w:bookmarkStart w:id="1102" w:name="_Toc108540022"/>
      <w:bookmarkStart w:id="1103" w:name="_Toc109057401"/>
      <w:bookmarkStart w:id="1104" w:name="_Toc109120767"/>
      <w:bookmarkStart w:id="1105" w:name="_Toc109122402"/>
      <w:bookmarkStart w:id="1106" w:name="_Toc109124115"/>
      <w:bookmarkStart w:id="1107" w:name="_Toc109133139"/>
      <w:bookmarkStart w:id="1108" w:name="_Toc109133315"/>
      <w:bookmarkStart w:id="1109" w:name="_Toc120291673"/>
      <w:r w:rsidRPr="002661A8">
        <w:rPr>
          <w:b w:val="0"/>
          <w:i/>
          <w:smallCaps w:val="0"/>
          <w:noProof/>
        </w:rPr>
        <w:t xml:space="preserve">Option </w:t>
      </w:r>
      <w:r w:rsidR="00A8027C">
        <w:rPr>
          <w:b w:val="0"/>
          <w:i/>
          <w:smallCaps w:val="0"/>
          <w:noProof/>
        </w:rPr>
        <w:t>B</w:t>
      </w:r>
      <w:r w:rsidRPr="002661A8">
        <w:rPr>
          <w:b w:val="0"/>
          <w:i/>
          <w:smallCaps w:val="0"/>
          <w:noProof/>
        </w:rPr>
        <w:t>6 –</w:t>
      </w:r>
      <w:r w:rsidR="006C30AA" w:rsidRPr="002661A8">
        <w:rPr>
          <w:b w:val="0"/>
          <w:i/>
          <w:smallCaps w:val="0"/>
          <w:noProof/>
        </w:rPr>
        <w:t xml:space="preserve"> Combination of </w:t>
      </w:r>
      <w:r w:rsidR="00034667" w:rsidRPr="002661A8">
        <w:rPr>
          <w:b w:val="0"/>
          <w:i/>
          <w:smallCaps w:val="0"/>
          <w:noProof/>
        </w:rPr>
        <w:t xml:space="preserve">all </w:t>
      </w:r>
      <w:r w:rsidR="006C30AA" w:rsidRPr="002661A8">
        <w:rPr>
          <w:b w:val="0"/>
          <w:i/>
          <w:smallCaps w:val="0"/>
          <w:noProof/>
        </w:rPr>
        <w:t>options</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7BE07DB7" w14:textId="281F10E2" w:rsidR="000923BE" w:rsidRPr="002661A8" w:rsidRDefault="000923BE" w:rsidP="00A61E96">
      <w:pPr>
        <w:spacing w:after="120" w:line="240" w:lineRule="auto"/>
        <w:jc w:val="both"/>
        <w:rPr>
          <w:rFonts w:ascii="Times New Roman" w:eastAsia="Calibri" w:hAnsi="Times New Roman" w:cs="Times New Roman"/>
          <w:noProof/>
          <w:sz w:val="24"/>
          <w:szCs w:val="24"/>
          <w:u w:val="single"/>
        </w:rPr>
      </w:pPr>
      <w:r w:rsidRPr="002661A8">
        <w:rPr>
          <w:rFonts w:ascii="Times New Roman" w:eastAsia="Calibri" w:hAnsi="Times New Roman" w:cs="Times New Roman"/>
          <w:noProof/>
          <w:sz w:val="24"/>
          <w:szCs w:val="24"/>
          <w:u w:val="single"/>
        </w:rPr>
        <w:t xml:space="preserve">Effectiveness in meeting the specific objectives </w:t>
      </w:r>
    </w:p>
    <w:p w14:paraId="0E8D247B" w14:textId="663B33DF" w:rsidR="002E682D" w:rsidRDefault="00C700F4" w:rsidP="00A61E96">
      <w:pPr>
        <w:tabs>
          <w:tab w:val="left" w:pos="2302"/>
        </w:tabs>
        <w:spacing w:after="120" w:line="240" w:lineRule="auto"/>
        <w:jc w:val="both"/>
        <w:rPr>
          <w:rFonts w:ascii="Times New Roman" w:eastAsia="Times New Roman" w:hAnsi="Times New Roman" w:cs="Times New Roman"/>
          <w:noProof/>
          <w:sz w:val="24"/>
          <w:szCs w:val="24"/>
        </w:rPr>
      </w:pPr>
      <w:r w:rsidRPr="002661A8">
        <w:rPr>
          <w:rFonts w:ascii="Times New Roman" w:eastAsia="Times New Roman" w:hAnsi="Times New Roman" w:cs="Times New Roman"/>
          <w:noProof/>
          <w:sz w:val="24"/>
          <w:szCs w:val="24"/>
        </w:rPr>
        <w:t>Combining o</w:t>
      </w:r>
      <w:r w:rsidR="000923BE" w:rsidRPr="002661A8">
        <w:rPr>
          <w:rFonts w:ascii="Times New Roman" w:eastAsia="Times New Roman" w:hAnsi="Times New Roman" w:cs="Times New Roman"/>
          <w:noProof/>
          <w:sz w:val="24"/>
          <w:szCs w:val="24"/>
        </w:rPr>
        <w:t xml:space="preserve">ptions </w:t>
      </w:r>
      <w:r w:rsidR="00EE4B1F" w:rsidRPr="002661A8">
        <w:rPr>
          <w:rFonts w:ascii="Times New Roman" w:eastAsia="Times New Roman" w:hAnsi="Times New Roman" w:cs="Times New Roman"/>
          <w:noProof/>
          <w:sz w:val="24"/>
          <w:szCs w:val="24"/>
        </w:rPr>
        <w:t>2, 3</w:t>
      </w:r>
      <w:r w:rsidR="00034667" w:rsidRPr="002661A8">
        <w:rPr>
          <w:rFonts w:ascii="Times New Roman" w:eastAsia="Times New Roman" w:hAnsi="Times New Roman" w:cs="Times New Roman"/>
          <w:noProof/>
          <w:sz w:val="24"/>
          <w:szCs w:val="24"/>
        </w:rPr>
        <w:t>, 4</w:t>
      </w:r>
      <w:r w:rsidR="00EE4B1F" w:rsidRPr="002661A8">
        <w:rPr>
          <w:rFonts w:ascii="Times New Roman" w:eastAsia="Times New Roman" w:hAnsi="Times New Roman" w:cs="Times New Roman"/>
          <w:noProof/>
          <w:sz w:val="24"/>
          <w:szCs w:val="24"/>
        </w:rPr>
        <w:t xml:space="preserve"> and 5 </w:t>
      </w:r>
      <w:r w:rsidR="000923BE" w:rsidRPr="002661A8">
        <w:rPr>
          <w:rFonts w:ascii="Times New Roman" w:eastAsia="Times New Roman" w:hAnsi="Times New Roman" w:cs="Times New Roman"/>
          <w:noProof/>
          <w:sz w:val="24"/>
          <w:szCs w:val="24"/>
        </w:rPr>
        <w:t>would allow to address over-reliance</w:t>
      </w:r>
      <w:r w:rsidR="00FB048B" w:rsidRPr="002661A8">
        <w:rPr>
          <w:rFonts w:ascii="Times New Roman" w:eastAsia="Times New Roman" w:hAnsi="Times New Roman" w:cs="Times New Roman"/>
          <w:noProof/>
          <w:sz w:val="24"/>
          <w:szCs w:val="24"/>
        </w:rPr>
        <w:t xml:space="preserve"> on</w:t>
      </w:r>
      <w:r w:rsidR="00FB048B" w:rsidRPr="002661A8" w:rsidDel="007B34CD">
        <w:rPr>
          <w:rFonts w:ascii="Times New Roman" w:eastAsia="Times New Roman" w:hAnsi="Times New Roman" w:cs="Times New Roman"/>
          <w:noProof/>
          <w:sz w:val="24"/>
          <w:szCs w:val="24"/>
        </w:rPr>
        <w:t xml:space="preserve"> </w:t>
      </w:r>
      <w:r w:rsidR="00FB048B" w:rsidRPr="002661A8">
        <w:rPr>
          <w:rFonts w:ascii="Times New Roman" w:eastAsia="Times New Roman" w:hAnsi="Times New Roman" w:cs="Times New Roman"/>
          <w:noProof/>
          <w:sz w:val="24"/>
          <w:szCs w:val="24"/>
        </w:rPr>
        <w:t>Tier 2 CCPs</w:t>
      </w:r>
      <w:r w:rsidR="000923BE" w:rsidRPr="002661A8">
        <w:rPr>
          <w:rFonts w:ascii="Times New Roman" w:eastAsia="Times New Roman" w:hAnsi="Times New Roman" w:cs="Times New Roman"/>
          <w:noProof/>
          <w:sz w:val="24"/>
          <w:szCs w:val="24"/>
        </w:rPr>
        <w:t>, increase clearing in the EU</w:t>
      </w:r>
      <w:r w:rsidR="00FB048B" w:rsidRPr="002661A8">
        <w:rPr>
          <w:rFonts w:ascii="Times New Roman" w:eastAsia="Times New Roman" w:hAnsi="Times New Roman" w:cs="Times New Roman"/>
          <w:noProof/>
          <w:sz w:val="24"/>
          <w:szCs w:val="24"/>
        </w:rPr>
        <w:t xml:space="preserve"> and</w:t>
      </w:r>
      <w:r w:rsidR="000923BE" w:rsidRPr="002661A8">
        <w:rPr>
          <w:rFonts w:ascii="Times New Roman" w:eastAsia="Times New Roman" w:hAnsi="Times New Roman" w:cs="Times New Roman"/>
          <w:noProof/>
          <w:sz w:val="24"/>
          <w:szCs w:val="24"/>
        </w:rPr>
        <w:t xml:space="preserve"> remove obstacles to clearing by </w:t>
      </w:r>
      <w:r w:rsidRPr="002661A8">
        <w:rPr>
          <w:rFonts w:ascii="Times New Roman" w:eastAsia="Times New Roman" w:hAnsi="Times New Roman" w:cs="Times New Roman"/>
          <w:noProof/>
          <w:sz w:val="24"/>
          <w:szCs w:val="24"/>
        </w:rPr>
        <w:t xml:space="preserve">market participants. The best combination of all options would include the following aspects: </w:t>
      </w:r>
      <w:r w:rsidR="00FB048B" w:rsidRPr="002661A8">
        <w:rPr>
          <w:rFonts w:ascii="Times New Roman" w:eastAsia="Times New Roman" w:hAnsi="Times New Roman" w:cs="Times New Roman"/>
          <w:noProof/>
          <w:sz w:val="24"/>
          <w:szCs w:val="24"/>
        </w:rPr>
        <w:t>i)</w:t>
      </w:r>
      <w:r w:rsidRPr="002661A8">
        <w:rPr>
          <w:rFonts w:ascii="Times New Roman" w:eastAsia="Times New Roman" w:hAnsi="Times New Roman" w:cs="Times New Roman"/>
          <w:noProof/>
          <w:sz w:val="24"/>
          <w:szCs w:val="24"/>
        </w:rPr>
        <w:t xml:space="preserve"> </w:t>
      </w:r>
      <w:r w:rsidR="0079321C" w:rsidRPr="002661A8">
        <w:rPr>
          <w:rFonts w:ascii="Times New Roman" w:eastAsia="Times New Roman" w:hAnsi="Times New Roman" w:cs="Times New Roman"/>
          <w:noProof/>
          <w:sz w:val="24"/>
          <w:szCs w:val="24"/>
        </w:rPr>
        <w:t xml:space="preserve">requiring clearing members and clients to hold an active account at EU CCPs; ii) </w:t>
      </w:r>
      <w:r w:rsidR="00940FB0" w:rsidRPr="002661A8">
        <w:rPr>
          <w:rFonts w:ascii="Times New Roman" w:eastAsia="Times New Roman" w:hAnsi="Times New Roman" w:cs="Times New Roman"/>
          <w:noProof/>
          <w:sz w:val="24"/>
          <w:szCs w:val="24"/>
        </w:rPr>
        <w:t>clarifying the applicability of</w:t>
      </w:r>
      <w:r w:rsidR="00FB048B" w:rsidRPr="002661A8">
        <w:rPr>
          <w:rFonts w:ascii="Times New Roman" w:eastAsia="Times New Roman" w:hAnsi="Times New Roman" w:cs="Times New Roman"/>
          <w:noProof/>
          <w:sz w:val="24"/>
          <w:szCs w:val="24"/>
        </w:rPr>
        <w:t xml:space="preserve"> </w:t>
      </w:r>
      <w:r w:rsidR="00940FB0" w:rsidRPr="002661A8">
        <w:rPr>
          <w:rFonts w:ascii="Times New Roman" w:eastAsia="Times New Roman" w:hAnsi="Times New Roman" w:cs="Times New Roman"/>
          <w:noProof/>
          <w:sz w:val="24"/>
          <w:szCs w:val="24"/>
        </w:rPr>
        <w:t xml:space="preserve">the </w:t>
      </w:r>
      <w:r w:rsidR="00FB048B" w:rsidRPr="002661A8">
        <w:rPr>
          <w:rFonts w:ascii="Times New Roman" w:eastAsia="Times New Roman" w:hAnsi="Times New Roman" w:cs="Times New Roman"/>
          <w:noProof/>
          <w:sz w:val="24"/>
          <w:szCs w:val="24"/>
        </w:rPr>
        <w:t xml:space="preserve">Pillar 2 </w:t>
      </w:r>
      <w:r w:rsidR="00940FB0" w:rsidRPr="002661A8">
        <w:rPr>
          <w:rFonts w:ascii="Times New Roman" w:eastAsia="Times New Roman" w:hAnsi="Times New Roman" w:cs="Times New Roman"/>
          <w:noProof/>
          <w:sz w:val="24"/>
          <w:szCs w:val="24"/>
        </w:rPr>
        <w:t xml:space="preserve">framework </w:t>
      </w:r>
      <w:r w:rsidR="00A26603" w:rsidRPr="002661A8">
        <w:rPr>
          <w:rFonts w:ascii="Times New Roman" w:eastAsia="Times New Roman" w:hAnsi="Times New Roman" w:cs="Times New Roman"/>
          <w:noProof/>
          <w:sz w:val="24"/>
          <w:szCs w:val="24"/>
        </w:rPr>
        <w:t xml:space="preserve">to </w:t>
      </w:r>
      <w:r w:rsidR="00940FB0" w:rsidRPr="002661A8">
        <w:rPr>
          <w:rFonts w:ascii="Times New Roman" w:eastAsia="Times New Roman" w:hAnsi="Times New Roman" w:cs="Times New Roman"/>
          <w:noProof/>
          <w:sz w:val="24"/>
          <w:szCs w:val="24"/>
        </w:rPr>
        <w:t xml:space="preserve">manage identified excessive concentrations to CCPs and </w:t>
      </w:r>
      <w:r w:rsidR="00A26603" w:rsidRPr="002661A8">
        <w:rPr>
          <w:rFonts w:ascii="Times New Roman" w:eastAsia="Times New Roman" w:hAnsi="Times New Roman" w:cs="Times New Roman"/>
          <w:noProof/>
          <w:sz w:val="24"/>
          <w:szCs w:val="24"/>
        </w:rPr>
        <w:t>ensure compliance</w:t>
      </w:r>
      <w:r w:rsidR="00FB048B" w:rsidRPr="002661A8">
        <w:rPr>
          <w:rFonts w:ascii="Times New Roman" w:eastAsia="Times New Roman" w:hAnsi="Times New Roman" w:cs="Times New Roman"/>
          <w:noProof/>
          <w:sz w:val="24"/>
          <w:szCs w:val="24"/>
        </w:rPr>
        <w:t xml:space="preserve"> with the </w:t>
      </w:r>
      <w:r w:rsidR="00940FB0" w:rsidRPr="002661A8">
        <w:rPr>
          <w:rFonts w:ascii="Times New Roman" w:eastAsia="Times New Roman" w:hAnsi="Times New Roman" w:cs="Times New Roman"/>
          <w:noProof/>
          <w:sz w:val="24"/>
          <w:szCs w:val="24"/>
        </w:rPr>
        <w:t xml:space="preserve">new </w:t>
      </w:r>
      <w:r w:rsidR="00FB048B" w:rsidRPr="002661A8">
        <w:rPr>
          <w:rFonts w:ascii="Times New Roman" w:eastAsia="Times New Roman" w:hAnsi="Times New Roman" w:cs="Times New Roman"/>
          <w:noProof/>
          <w:sz w:val="24"/>
          <w:szCs w:val="24"/>
        </w:rPr>
        <w:t xml:space="preserve">requirements </w:t>
      </w:r>
      <w:r w:rsidR="002A4608" w:rsidRPr="002661A8">
        <w:rPr>
          <w:rFonts w:ascii="Times New Roman" w:eastAsia="Times New Roman" w:hAnsi="Times New Roman" w:cs="Times New Roman"/>
          <w:noProof/>
          <w:sz w:val="24"/>
          <w:szCs w:val="24"/>
        </w:rPr>
        <w:t>on</w:t>
      </w:r>
      <w:r w:rsidR="00940FB0" w:rsidRPr="002661A8">
        <w:rPr>
          <w:rFonts w:ascii="Times New Roman" w:eastAsia="Times New Roman" w:hAnsi="Times New Roman" w:cs="Times New Roman"/>
          <w:noProof/>
          <w:sz w:val="24"/>
          <w:szCs w:val="24"/>
        </w:rPr>
        <w:t xml:space="preserve"> clearing activities</w:t>
      </w:r>
      <w:r w:rsidR="00A26603" w:rsidRPr="002661A8">
        <w:rPr>
          <w:rFonts w:ascii="Times New Roman" w:eastAsia="Times New Roman" w:hAnsi="Times New Roman" w:cs="Times New Roman"/>
          <w:noProof/>
          <w:sz w:val="24"/>
          <w:szCs w:val="24"/>
        </w:rPr>
        <w:t xml:space="preserve">; </w:t>
      </w:r>
      <w:r w:rsidRPr="002661A8">
        <w:rPr>
          <w:rFonts w:ascii="Times New Roman" w:eastAsia="Times New Roman" w:hAnsi="Times New Roman" w:cs="Times New Roman"/>
          <w:noProof/>
          <w:sz w:val="24"/>
          <w:szCs w:val="24"/>
        </w:rPr>
        <w:t xml:space="preserve">iii) </w:t>
      </w:r>
      <w:r w:rsidR="00034667" w:rsidRPr="002661A8">
        <w:rPr>
          <w:rFonts w:ascii="Times New Roman" w:eastAsia="Times New Roman" w:hAnsi="Times New Roman" w:cs="Times New Roman"/>
          <w:noProof/>
          <w:sz w:val="24"/>
          <w:szCs w:val="24"/>
        </w:rPr>
        <w:t xml:space="preserve">encouraging public entities that clear voluntarily to do so in the EU; iv) </w:t>
      </w:r>
      <w:r w:rsidRPr="002661A8">
        <w:rPr>
          <w:rFonts w:ascii="Times New Roman" w:eastAsia="Times New Roman" w:hAnsi="Times New Roman" w:cs="Times New Roman"/>
          <w:noProof/>
          <w:sz w:val="24"/>
          <w:szCs w:val="24"/>
        </w:rPr>
        <w:t>facilitating clearing by clients.</w:t>
      </w:r>
      <w:r w:rsidR="00B831D0" w:rsidRPr="002661A8">
        <w:rPr>
          <w:rFonts w:ascii="Times New Roman" w:eastAsia="Times New Roman" w:hAnsi="Times New Roman" w:cs="Times New Roman"/>
          <w:noProof/>
          <w:sz w:val="24"/>
          <w:szCs w:val="24"/>
        </w:rPr>
        <w:t xml:space="preserve"> </w:t>
      </w:r>
    </w:p>
    <w:p w14:paraId="447D9545" w14:textId="663B1365" w:rsidR="00074B11" w:rsidRDefault="002E682D" w:rsidP="00A61E96">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These </w:t>
      </w:r>
      <w:r w:rsidR="00FC3FAB">
        <w:rPr>
          <w:rFonts w:ascii="Times New Roman" w:eastAsia="Times New Roman" w:hAnsi="Times New Roman" w:cs="Times New Roman"/>
          <w:noProof/>
          <w:sz w:val="24"/>
          <w:szCs w:val="24"/>
        </w:rPr>
        <w:t>measures</w:t>
      </w:r>
      <w:r>
        <w:rPr>
          <w:rFonts w:ascii="Times New Roman" w:eastAsia="Times New Roman" w:hAnsi="Times New Roman" w:cs="Times New Roman"/>
          <w:noProof/>
          <w:sz w:val="24"/>
          <w:szCs w:val="24"/>
        </w:rPr>
        <w:t xml:space="preserve"> would be implemented through targeted changes to the relevant </w:t>
      </w:r>
      <w:r w:rsidR="00074B11">
        <w:rPr>
          <w:rFonts w:ascii="Times New Roman" w:eastAsia="Times New Roman" w:hAnsi="Times New Roman" w:cs="Times New Roman"/>
          <w:noProof/>
          <w:sz w:val="24"/>
          <w:szCs w:val="24"/>
        </w:rPr>
        <w:t>legal instruments</w:t>
      </w:r>
      <w:r>
        <w:rPr>
          <w:rFonts w:ascii="Times New Roman" w:eastAsia="Times New Roman" w:hAnsi="Times New Roman" w:cs="Times New Roman"/>
          <w:noProof/>
          <w:sz w:val="24"/>
          <w:szCs w:val="24"/>
        </w:rPr>
        <w:t xml:space="preserve">, with the exception of encouraging public </w:t>
      </w:r>
      <w:r w:rsidR="008C2B70">
        <w:rPr>
          <w:rFonts w:ascii="Times New Roman" w:eastAsia="Times New Roman" w:hAnsi="Times New Roman" w:cs="Times New Roman"/>
          <w:noProof/>
          <w:sz w:val="24"/>
          <w:szCs w:val="24"/>
        </w:rPr>
        <w:t>entities</w:t>
      </w:r>
      <w:r>
        <w:rPr>
          <w:rFonts w:ascii="Times New Roman" w:eastAsia="Times New Roman" w:hAnsi="Times New Roman" w:cs="Times New Roman"/>
          <w:noProof/>
          <w:sz w:val="24"/>
          <w:szCs w:val="24"/>
        </w:rPr>
        <w:t xml:space="preserve"> to clear</w:t>
      </w:r>
      <w:r w:rsidR="00FC3FAB">
        <w:rPr>
          <w:rFonts w:ascii="Times New Roman" w:eastAsia="Times New Roman" w:hAnsi="Times New Roman" w:cs="Times New Roman"/>
          <w:noProof/>
          <w:sz w:val="24"/>
          <w:szCs w:val="24"/>
        </w:rPr>
        <w:t xml:space="preserve"> voluntarily at EU CCPs, where this measure could be better implemented by encouraging such public entities to clear in EU CCPs voluntarily, rather than by mandating this under EMIR. In addition, s</w:t>
      </w:r>
      <w:r w:rsidR="00B831D0" w:rsidRPr="002661A8">
        <w:rPr>
          <w:rFonts w:ascii="Times New Roman" w:eastAsia="Times New Roman" w:hAnsi="Times New Roman" w:cs="Times New Roman"/>
          <w:noProof/>
          <w:sz w:val="24"/>
          <w:szCs w:val="24"/>
        </w:rPr>
        <w:t xml:space="preserve">ome of these measures </w:t>
      </w:r>
      <w:r w:rsidR="00F162BD" w:rsidRPr="002661A8">
        <w:rPr>
          <w:rFonts w:ascii="Times New Roman" w:eastAsia="Times New Roman" w:hAnsi="Times New Roman" w:cs="Times New Roman"/>
          <w:noProof/>
          <w:sz w:val="24"/>
          <w:szCs w:val="24"/>
        </w:rPr>
        <w:t>may</w:t>
      </w:r>
      <w:r w:rsidR="00B831D0" w:rsidRPr="002661A8">
        <w:rPr>
          <w:rFonts w:ascii="Times New Roman" w:eastAsia="Times New Roman" w:hAnsi="Times New Roman" w:cs="Times New Roman"/>
          <w:noProof/>
          <w:sz w:val="24"/>
          <w:szCs w:val="24"/>
        </w:rPr>
        <w:t xml:space="preserve"> entail level 2 acts setting out the specific aspects, </w:t>
      </w:r>
      <w:r w:rsidR="00F162BD" w:rsidRPr="002661A8">
        <w:rPr>
          <w:rFonts w:ascii="Times New Roman" w:eastAsia="Times New Roman" w:hAnsi="Times New Roman" w:cs="Times New Roman"/>
          <w:noProof/>
          <w:sz w:val="24"/>
          <w:szCs w:val="24"/>
        </w:rPr>
        <w:t>which would be subject to public consultation</w:t>
      </w:r>
      <w:r w:rsidR="00034667" w:rsidRPr="002661A8">
        <w:rPr>
          <w:rFonts w:ascii="Times New Roman" w:eastAsia="Times New Roman" w:hAnsi="Times New Roman" w:cs="Times New Roman"/>
          <w:noProof/>
          <w:sz w:val="24"/>
          <w:szCs w:val="24"/>
        </w:rPr>
        <w:t>s</w:t>
      </w:r>
      <w:r w:rsidR="00F162BD" w:rsidRPr="002661A8">
        <w:rPr>
          <w:rFonts w:ascii="Times New Roman" w:eastAsia="Times New Roman" w:hAnsi="Times New Roman" w:cs="Times New Roman"/>
          <w:noProof/>
          <w:sz w:val="24"/>
          <w:szCs w:val="24"/>
        </w:rPr>
        <w:t xml:space="preserve"> and</w:t>
      </w:r>
      <w:r w:rsidR="00B831D0" w:rsidRPr="002661A8">
        <w:rPr>
          <w:rFonts w:ascii="Times New Roman" w:eastAsia="Times New Roman" w:hAnsi="Times New Roman" w:cs="Times New Roman"/>
          <w:noProof/>
          <w:sz w:val="24"/>
          <w:szCs w:val="24"/>
        </w:rPr>
        <w:t xml:space="preserve"> </w:t>
      </w:r>
      <w:r w:rsidR="00F162BD" w:rsidRPr="002661A8">
        <w:rPr>
          <w:rFonts w:ascii="Times New Roman" w:eastAsia="Times New Roman" w:hAnsi="Times New Roman" w:cs="Times New Roman"/>
          <w:noProof/>
          <w:sz w:val="24"/>
          <w:szCs w:val="24"/>
        </w:rPr>
        <w:t>individual</w:t>
      </w:r>
      <w:r w:rsidR="00B831D0" w:rsidRPr="002661A8">
        <w:rPr>
          <w:rFonts w:ascii="Times New Roman" w:eastAsia="Times New Roman" w:hAnsi="Times New Roman" w:cs="Times New Roman"/>
          <w:noProof/>
          <w:sz w:val="24"/>
          <w:szCs w:val="24"/>
        </w:rPr>
        <w:t xml:space="preserve"> cost/benefit analyses.</w:t>
      </w:r>
      <w:r w:rsidR="00FC3FAB">
        <w:rPr>
          <w:rFonts w:ascii="Times New Roman" w:eastAsia="Times New Roman" w:hAnsi="Times New Roman" w:cs="Times New Roman"/>
          <w:noProof/>
          <w:sz w:val="24"/>
          <w:szCs w:val="24"/>
        </w:rPr>
        <w:t xml:space="preserve"> One of those measures that would benefit from an RTS would be the </w:t>
      </w:r>
      <w:r w:rsidR="00FC3FAB" w:rsidRPr="00FC3FAB">
        <w:rPr>
          <w:rFonts w:ascii="Times New Roman" w:eastAsia="Times New Roman" w:hAnsi="Times New Roman" w:cs="Times New Roman"/>
          <w:noProof/>
          <w:sz w:val="24"/>
          <w:szCs w:val="24"/>
        </w:rPr>
        <w:t>obligation to clear certain transactions identified as substantially systemically important</w:t>
      </w:r>
      <w:r w:rsidR="00FC3FAB">
        <w:rPr>
          <w:rFonts w:ascii="Times New Roman" w:eastAsia="Times New Roman" w:hAnsi="Times New Roman" w:cs="Times New Roman"/>
          <w:noProof/>
          <w:sz w:val="24"/>
          <w:szCs w:val="24"/>
        </w:rPr>
        <w:t xml:space="preserve">. </w:t>
      </w:r>
      <w:r w:rsidR="008C2B70">
        <w:rPr>
          <w:rFonts w:ascii="Times New Roman" w:eastAsia="Times New Roman" w:hAnsi="Times New Roman" w:cs="Times New Roman"/>
          <w:noProof/>
          <w:sz w:val="24"/>
          <w:szCs w:val="24"/>
        </w:rPr>
        <w:t>T</w:t>
      </w:r>
      <w:r w:rsidR="00FC3FAB">
        <w:rPr>
          <w:rFonts w:ascii="Times New Roman" w:eastAsia="Times New Roman" w:hAnsi="Times New Roman" w:cs="Times New Roman"/>
          <w:noProof/>
          <w:sz w:val="24"/>
          <w:szCs w:val="24"/>
        </w:rPr>
        <w:t xml:space="preserve">he calibration and the </w:t>
      </w:r>
      <w:r w:rsidR="00FC3FAB" w:rsidRPr="00FC3FAB">
        <w:rPr>
          <w:rFonts w:ascii="Times New Roman" w:eastAsia="Times New Roman" w:hAnsi="Times New Roman" w:cs="Times New Roman"/>
          <w:noProof/>
          <w:sz w:val="24"/>
          <w:szCs w:val="24"/>
        </w:rPr>
        <w:t xml:space="preserve">specific features of the active account </w:t>
      </w:r>
      <w:r w:rsidR="00FC3FAB">
        <w:rPr>
          <w:rFonts w:ascii="Times New Roman" w:eastAsia="Times New Roman" w:hAnsi="Times New Roman" w:cs="Times New Roman"/>
          <w:noProof/>
          <w:sz w:val="24"/>
          <w:szCs w:val="24"/>
        </w:rPr>
        <w:t>could</w:t>
      </w:r>
      <w:r w:rsidR="00FC3FAB" w:rsidRPr="00FC3FAB">
        <w:rPr>
          <w:rFonts w:ascii="Times New Roman" w:eastAsia="Times New Roman" w:hAnsi="Times New Roman" w:cs="Times New Roman"/>
          <w:noProof/>
          <w:sz w:val="24"/>
          <w:szCs w:val="24"/>
        </w:rPr>
        <w:t xml:space="preserve"> be defined in a</w:t>
      </w:r>
      <w:r w:rsidR="00FC3FAB">
        <w:rPr>
          <w:rFonts w:ascii="Times New Roman" w:eastAsia="Times New Roman" w:hAnsi="Times New Roman" w:cs="Times New Roman"/>
          <w:noProof/>
          <w:sz w:val="24"/>
          <w:szCs w:val="24"/>
        </w:rPr>
        <w:t xml:space="preserve">n RTS where such calibration would aim to </w:t>
      </w:r>
      <w:r w:rsidR="00FC3FAB" w:rsidRPr="00FC3FAB">
        <w:rPr>
          <w:rFonts w:ascii="Times New Roman" w:eastAsia="Times New Roman" w:hAnsi="Times New Roman" w:cs="Times New Roman"/>
          <w:noProof/>
          <w:sz w:val="24"/>
          <w:szCs w:val="24"/>
        </w:rPr>
        <w:t>ensure a reduction in exposures to those clearing services offered by Tier 2 CCPs which are considered of substantial systemic importance</w:t>
      </w:r>
      <w:r w:rsidR="00FC3FAB">
        <w:rPr>
          <w:rFonts w:ascii="Times New Roman" w:eastAsia="Times New Roman" w:hAnsi="Times New Roman" w:cs="Times New Roman"/>
          <w:noProof/>
          <w:sz w:val="24"/>
          <w:szCs w:val="24"/>
        </w:rPr>
        <w:t xml:space="preserve"> pursuant to Article 25(2c) of EMIR. The RTS could also provide for a </w:t>
      </w:r>
      <w:r w:rsidR="00FC3FAB" w:rsidRPr="00FC3FAB">
        <w:rPr>
          <w:rFonts w:ascii="Times New Roman" w:eastAsia="Times New Roman" w:hAnsi="Times New Roman" w:cs="Times New Roman"/>
          <w:noProof/>
          <w:sz w:val="24"/>
          <w:szCs w:val="24"/>
        </w:rPr>
        <w:t>and further specify the reporting methodology</w:t>
      </w:r>
      <w:r w:rsidR="008C2B70">
        <w:rPr>
          <w:rFonts w:ascii="Times New Roman" w:eastAsia="Times New Roman" w:hAnsi="Times New Roman" w:cs="Times New Roman"/>
          <w:noProof/>
          <w:sz w:val="24"/>
          <w:szCs w:val="24"/>
        </w:rPr>
        <w:t xml:space="preserve"> to enable the monitoring of a reduction and to ensure that any measures are limited to what is necessary to achieve the objective, thus avoiding unintended side effects</w:t>
      </w:r>
      <w:r w:rsidR="00FC3FAB" w:rsidRPr="00FC3FAB">
        <w:rPr>
          <w:rFonts w:ascii="Times New Roman" w:eastAsia="Times New Roman" w:hAnsi="Times New Roman" w:cs="Times New Roman"/>
          <w:noProof/>
          <w:sz w:val="24"/>
          <w:szCs w:val="24"/>
        </w:rPr>
        <w:t xml:space="preserve">. </w:t>
      </w:r>
      <w:r w:rsidR="00FC3FAB">
        <w:rPr>
          <w:rFonts w:ascii="Times New Roman" w:eastAsia="Times New Roman" w:hAnsi="Times New Roman" w:cs="Times New Roman"/>
          <w:noProof/>
          <w:sz w:val="24"/>
          <w:szCs w:val="24"/>
        </w:rPr>
        <w:t>Further, t</w:t>
      </w:r>
      <w:r w:rsidR="00FC3FAB" w:rsidRPr="00FC3FAB">
        <w:rPr>
          <w:rFonts w:ascii="Times New Roman" w:eastAsia="Times New Roman" w:hAnsi="Times New Roman" w:cs="Times New Roman"/>
          <w:noProof/>
          <w:sz w:val="24"/>
          <w:szCs w:val="24"/>
        </w:rPr>
        <w:t xml:space="preserve">o ensure, where suitable, that the obligation to clear certain instruments at an EU CCP is reflecting the most recent status of ESMAs assessments identifying services being considered substantially systemically important pursuant to Article 25(2c) of EMIR, the Commission could also be empowered to make changes to the list of instruments subject to the requirement to be cleared at a certain proportion in an EU CCP. </w:t>
      </w:r>
      <w:r w:rsidR="00FC3FAB">
        <w:rPr>
          <w:rFonts w:ascii="Times New Roman" w:eastAsia="Times New Roman" w:hAnsi="Times New Roman" w:cs="Times New Roman"/>
          <w:noProof/>
          <w:sz w:val="24"/>
          <w:szCs w:val="24"/>
        </w:rPr>
        <w:t xml:space="preserve">Due to the evolvement of clearing and to ensure the measures taken are proportionate to the concern identified, </w:t>
      </w:r>
      <w:r w:rsidR="00FC3FAB" w:rsidRPr="00FC3FAB">
        <w:rPr>
          <w:rFonts w:ascii="Times New Roman" w:eastAsia="Times New Roman" w:hAnsi="Times New Roman" w:cs="Times New Roman"/>
          <w:noProof/>
          <w:sz w:val="24"/>
          <w:szCs w:val="24"/>
        </w:rPr>
        <w:t xml:space="preserve">the implementation of the measures aimed at enhancing clearing at EU CCPs, </w:t>
      </w:r>
      <w:r w:rsidR="00FC3FAB">
        <w:rPr>
          <w:rFonts w:ascii="Times New Roman" w:eastAsia="Times New Roman" w:hAnsi="Times New Roman" w:cs="Times New Roman"/>
          <w:noProof/>
          <w:sz w:val="24"/>
          <w:szCs w:val="24"/>
        </w:rPr>
        <w:t>including those calibrated in an RTS</w:t>
      </w:r>
      <w:r w:rsidR="00FC3FAB" w:rsidRPr="00FC3FAB">
        <w:rPr>
          <w:rFonts w:ascii="Times New Roman" w:eastAsia="Times New Roman" w:hAnsi="Times New Roman" w:cs="Times New Roman"/>
          <w:noProof/>
          <w:sz w:val="24"/>
          <w:szCs w:val="24"/>
        </w:rPr>
        <w:t>, could be monitored on an ongoing basis</w:t>
      </w:r>
      <w:r w:rsidR="00D80620">
        <w:rPr>
          <w:rFonts w:ascii="Times New Roman" w:eastAsia="Times New Roman" w:hAnsi="Times New Roman" w:cs="Times New Roman"/>
          <w:noProof/>
          <w:sz w:val="24"/>
          <w:szCs w:val="24"/>
        </w:rPr>
        <w:t>.</w:t>
      </w:r>
    </w:p>
    <w:p w14:paraId="13FC7BEB" w14:textId="5EA728F1" w:rsidR="00A213A1" w:rsidRDefault="00C700F4" w:rsidP="00A61E96">
      <w:pPr>
        <w:tabs>
          <w:tab w:val="left" w:pos="2302"/>
        </w:tabs>
        <w:spacing w:after="120" w:line="240" w:lineRule="auto"/>
        <w:jc w:val="both"/>
        <w:rPr>
          <w:rFonts w:ascii="Times New Roman" w:eastAsia="Times New Roman" w:hAnsi="Times New Roman" w:cs="Times New Roman"/>
          <w:noProof/>
          <w:sz w:val="24"/>
          <w:szCs w:val="24"/>
        </w:rPr>
      </w:pPr>
      <w:r w:rsidRPr="002661A8">
        <w:rPr>
          <w:rFonts w:ascii="Times New Roman" w:eastAsia="Times New Roman" w:hAnsi="Times New Roman" w:cs="Times New Roman"/>
          <w:noProof/>
          <w:sz w:val="24"/>
          <w:szCs w:val="24"/>
        </w:rPr>
        <w:t>T</w:t>
      </w:r>
      <w:r w:rsidR="000923BE" w:rsidRPr="002661A8">
        <w:rPr>
          <w:rFonts w:ascii="Times New Roman" w:eastAsia="Times New Roman" w:hAnsi="Times New Roman" w:cs="Times New Roman"/>
          <w:noProof/>
          <w:sz w:val="24"/>
          <w:szCs w:val="24"/>
        </w:rPr>
        <w:t>his option would achieve the specific objective of</w:t>
      </w:r>
      <w:r w:rsidR="000923BE" w:rsidRPr="002661A8" w:rsidDel="006C2697">
        <w:rPr>
          <w:rFonts w:ascii="Times New Roman" w:eastAsia="Times New Roman" w:hAnsi="Times New Roman" w:cs="Times New Roman"/>
          <w:noProof/>
          <w:sz w:val="24"/>
          <w:szCs w:val="24"/>
        </w:rPr>
        <w:t xml:space="preserve"> </w:t>
      </w:r>
      <w:r w:rsidR="006C2697">
        <w:rPr>
          <w:rFonts w:ascii="Times New Roman" w:eastAsia="Times New Roman" w:hAnsi="Times New Roman" w:cs="Times New Roman"/>
          <w:noProof/>
          <w:sz w:val="24"/>
          <w:szCs w:val="24"/>
        </w:rPr>
        <w:t>encouraging</w:t>
      </w:r>
      <w:r w:rsidR="006C2697" w:rsidRPr="002661A8">
        <w:rPr>
          <w:rFonts w:ascii="Times New Roman" w:eastAsia="Times New Roman" w:hAnsi="Times New Roman" w:cs="Times New Roman"/>
          <w:noProof/>
          <w:sz w:val="24"/>
          <w:szCs w:val="24"/>
        </w:rPr>
        <w:t xml:space="preserve"> </w:t>
      </w:r>
      <w:r w:rsidR="000923BE" w:rsidRPr="002661A8">
        <w:rPr>
          <w:rFonts w:ascii="Times New Roman" w:eastAsia="Times New Roman" w:hAnsi="Times New Roman" w:cs="Times New Roman"/>
          <w:noProof/>
          <w:sz w:val="24"/>
          <w:szCs w:val="24"/>
        </w:rPr>
        <w:t xml:space="preserve">clearing in the EU to </w:t>
      </w:r>
      <w:r w:rsidR="00E94056" w:rsidRPr="002661A8">
        <w:rPr>
          <w:rFonts w:ascii="Times New Roman" w:eastAsia="Times New Roman" w:hAnsi="Times New Roman" w:cs="Times New Roman"/>
          <w:noProof/>
          <w:sz w:val="24"/>
          <w:szCs w:val="24"/>
        </w:rPr>
        <w:t xml:space="preserve">a </w:t>
      </w:r>
      <w:r w:rsidR="000923BE" w:rsidRPr="002661A8">
        <w:rPr>
          <w:rFonts w:ascii="Times New Roman" w:eastAsia="Times New Roman" w:hAnsi="Times New Roman" w:cs="Times New Roman"/>
          <w:noProof/>
          <w:sz w:val="24"/>
          <w:szCs w:val="24"/>
        </w:rPr>
        <w:t>greate</w:t>
      </w:r>
      <w:r w:rsidR="007B34CD" w:rsidRPr="002661A8">
        <w:rPr>
          <w:rFonts w:ascii="Times New Roman" w:eastAsia="Times New Roman" w:hAnsi="Times New Roman" w:cs="Times New Roman"/>
          <w:noProof/>
          <w:sz w:val="24"/>
          <w:szCs w:val="24"/>
        </w:rPr>
        <w:t>r</w:t>
      </w:r>
      <w:r w:rsidR="000923BE" w:rsidRPr="002661A8">
        <w:rPr>
          <w:rFonts w:ascii="Times New Roman" w:eastAsia="Times New Roman" w:hAnsi="Times New Roman" w:cs="Times New Roman"/>
          <w:noProof/>
          <w:sz w:val="24"/>
          <w:szCs w:val="24"/>
        </w:rPr>
        <w:t xml:space="preserve"> extent </w:t>
      </w:r>
      <w:r w:rsidR="007B34CD" w:rsidRPr="002661A8">
        <w:rPr>
          <w:rFonts w:ascii="Times New Roman" w:eastAsia="Times New Roman" w:hAnsi="Times New Roman" w:cs="Times New Roman"/>
          <w:noProof/>
          <w:sz w:val="24"/>
          <w:szCs w:val="24"/>
        </w:rPr>
        <w:t xml:space="preserve">than individual options </w:t>
      </w:r>
      <w:r w:rsidR="008F5710" w:rsidRPr="002661A8">
        <w:rPr>
          <w:rFonts w:ascii="Times New Roman" w:eastAsia="Times New Roman" w:hAnsi="Times New Roman" w:cs="Times New Roman"/>
          <w:noProof/>
          <w:sz w:val="24"/>
          <w:szCs w:val="24"/>
        </w:rPr>
        <w:t>thus</w:t>
      </w:r>
      <w:r w:rsidR="000C6B2B" w:rsidRPr="002661A8">
        <w:rPr>
          <w:rFonts w:ascii="Times New Roman" w:eastAsia="Times New Roman" w:hAnsi="Times New Roman" w:cs="Times New Roman"/>
          <w:noProof/>
          <w:sz w:val="24"/>
          <w:szCs w:val="24"/>
        </w:rPr>
        <w:t xml:space="preserve"> </w:t>
      </w:r>
      <w:r w:rsidR="008F5710" w:rsidRPr="002661A8">
        <w:rPr>
          <w:rFonts w:ascii="Times New Roman" w:eastAsia="Times New Roman" w:hAnsi="Times New Roman" w:cs="Times New Roman"/>
          <w:noProof/>
          <w:sz w:val="24"/>
          <w:szCs w:val="24"/>
        </w:rPr>
        <w:t xml:space="preserve">reducing the risks to </w:t>
      </w:r>
      <w:r w:rsidR="000C6B2B" w:rsidRPr="002661A8">
        <w:rPr>
          <w:rFonts w:ascii="Times New Roman" w:eastAsia="Times New Roman" w:hAnsi="Times New Roman" w:cs="Times New Roman"/>
          <w:noProof/>
          <w:sz w:val="24"/>
          <w:szCs w:val="24"/>
        </w:rPr>
        <w:t xml:space="preserve">EU financial stability </w:t>
      </w:r>
      <w:r w:rsidR="000923BE" w:rsidRPr="002661A8">
        <w:rPr>
          <w:rFonts w:ascii="Times New Roman" w:eastAsia="Times New Roman" w:hAnsi="Times New Roman" w:cs="Times New Roman"/>
          <w:noProof/>
          <w:sz w:val="24"/>
          <w:szCs w:val="24"/>
        </w:rPr>
        <w:t xml:space="preserve">while </w:t>
      </w:r>
      <w:r w:rsidR="00B646AD" w:rsidRPr="002661A8">
        <w:rPr>
          <w:rFonts w:ascii="Times New Roman" w:eastAsia="Times New Roman" w:hAnsi="Times New Roman" w:cs="Times New Roman"/>
          <w:noProof/>
          <w:sz w:val="24"/>
          <w:szCs w:val="24"/>
        </w:rPr>
        <w:t>considering</w:t>
      </w:r>
      <w:r w:rsidR="000923BE" w:rsidRPr="002661A8">
        <w:rPr>
          <w:rFonts w:ascii="Times New Roman" w:eastAsia="Times New Roman" w:hAnsi="Times New Roman" w:cs="Times New Roman"/>
          <w:noProof/>
          <w:sz w:val="24"/>
          <w:szCs w:val="24"/>
        </w:rPr>
        <w:t xml:space="preserve"> </w:t>
      </w:r>
      <w:r w:rsidR="00993D99" w:rsidRPr="002661A8">
        <w:rPr>
          <w:rFonts w:ascii="Times New Roman" w:eastAsia="Times New Roman" w:hAnsi="Times New Roman" w:cs="Times New Roman"/>
          <w:noProof/>
          <w:sz w:val="24"/>
          <w:szCs w:val="24"/>
        </w:rPr>
        <w:t xml:space="preserve">the costs and other </w:t>
      </w:r>
      <w:r w:rsidR="000923BE" w:rsidRPr="002661A8">
        <w:rPr>
          <w:rFonts w:ascii="Times New Roman" w:eastAsia="Times New Roman" w:hAnsi="Times New Roman" w:cs="Times New Roman"/>
          <w:noProof/>
          <w:sz w:val="24"/>
          <w:szCs w:val="24"/>
        </w:rPr>
        <w:t xml:space="preserve">impacts on all actors concerned. </w:t>
      </w:r>
      <w:r w:rsidRPr="002661A8">
        <w:rPr>
          <w:rFonts w:ascii="Times New Roman" w:eastAsia="Times New Roman" w:hAnsi="Times New Roman" w:cs="Times New Roman"/>
          <w:noProof/>
          <w:sz w:val="24"/>
          <w:szCs w:val="24"/>
        </w:rPr>
        <w:t xml:space="preserve">It would </w:t>
      </w:r>
      <w:r w:rsidR="008F5710" w:rsidRPr="002661A8">
        <w:rPr>
          <w:rFonts w:ascii="Times New Roman" w:eastAsia="Times New Roman" w:hAnsi="Times New Roman" w:cs="Times New Roman"/>
          <w:noProof/>
          <w:sz w:val="24"/>
          <w:szCs w:val="24"/>
        </w:rPr>
        <w:t xml:space="preserve">gradually </w:t>
      </w:r>
      <w:r w:rsidRPr="002661A8">
        <w:rPr>
          <w:rFonts w:ascii="Times New Roman" w:eastAsia="Times New Roman" w:hAnsi="Times New Roman" w:cs="Times New Roman"/>
          <w:noProof/>
          <w:sz w:val="24"/>
          <w:szCs w:val="24"/>
        </w:rPr>
        <w:t>increas</w:t>
      </w:r>
      <w:r w:rsidR="00B646AD" w:rsidRPr="002661A8">
        <w:rPr>
          <w:rFonts w:ascii="Times New Roman" w:eastAsia="Times New Roman" w:hAnsi="Times New Roman" w:cs="Times New Roman"/>
          <w:noProof/>
          <w:sz w:val="24"/>
          <w:szCs w:val="24"/>
        </w:rPr>
        <w:t>e</w:t>
      </w:r>
      <w:r w:rsidRPr="002661A8">
        <w:rPr>
          <w:rFonts w:ascii="Times New Roman" w:eastAsia="Times New Roman" w:hAnsi="Times New Roman" w:cs="Times New Roman"/>
          <w:noProof/>
          <w:sz w:val="24"/>
          <w:szCs w:val="24"/>
        </w:rPr>
        <w:t xml:space="preserve"> clearing volumes in EU CCPs, through </w:t>
      </w:r>
      <w:r w:rsidR="00A213A1">
        <w:rPr>
          <w:rFonts w:ascii="Times New Roman" w:eastAsia="Times New Roman" w:hAnsi="Times New Roman" w:cs="Times New Roman"/>
          <w:noProof/>
          <w:sz w:val="24"/>
          <w:szCs w:val="24"/>
        </w:rPr>
        <w:t xml:space="preserve">mainly </w:t>
      </w:r>
      <w:r w:rsidRPr="002661A8">
        <w:rPr>
          <w:rFonts w:ascii="Times New Roman" w:eastAsia="Times New Roman" w:hAnsi="Times New Roman" w:cs="Times New Roman"/>
          <w:noProof/>
          <w:sz w:val="24"/>
          <w:szCs w:val="24"/>
        </w:rPr>
        <w:t>the active account measure</w:t>
      </w:r>
      <w:r w:rsidR="002A40E2">
        <w:rPr>
          <w:rFonts w:ascii="Times New Roman" w:eastAsia="Times New Roman" w:hAnsi="Times New Roman" w:cs="Times New Roman"/>
          <w:noProof/>
          <w:sz w:val="24"/>
          <w:szCs w:val="24"/>
        </w:rPr>
        <w:t xml:space="preserve"> foreseen under option B3</w:t>
      </w:r>
      <w:r w:rsidRPr="002661A8">
        <w:rPr>
          <w:rFonts w:ascii="Times New Roman" w:eastAsia="Times New Roman" w:hAnsi="Times New Roman" w:cs="Times New Roman"/>
          <w:noProof/>
          <w:sz w:val="24"/>
          <w:szCs w:val="24"/>
        </w:rPr>
        <w:t xml:space="preserve">. </w:t>
      </w:r>
      <w:r w:rsidR="00B646AD" w:rsidRPr="002661A8">
        <w:rPr>
          <w:rFonts w:ascii="Times New Roman" w:eastAsia="Times New Roman" w:hAnsi="Times New Roman" w:cs="Times New Roman"/>
          <w:noProof/>
          <w:sz w:val="24"/>
          <w:szCs w:val="24"/>
        </w:rPr>
        <w:t>I</w:t>
      </w:r>
      <w:r w:rsidRPr="002661A8">
        <w:rPr>
          <w:rFonts w:ascii="Times New Roman" w:eastAsia="Times New Roman" w:hAnsi="Times New Roman" w:cs="Times New Roman"/>
          <w:noProof/>
          <w:sz w:val="24"/>
          <w:szCs w:val="24"/>
        </w:rPr>
        <w:t xml:space="preserve">t would </w:t>
      </w:r>
      <w:r w:rsidR="00B646AD" w:rsidRPr="002661A8">
        <w:rPr>
          <w:rFonts w:ascii="Times New Roman" w:eastAsia="Times New Roman" w:hAnsi="Times New Roman" w:cs="Times New Roman"/>
          <w:noProof/>
          <w:sz w:val="24"/>
          <w:szCs w:val="24"/>
        </w:rPr>
        <w:t xml:space="preserve">also </w:t>
      </w:r>
      <w:r w:rsidRPr="002661A8">
        <w:rPr>
          <w:rFonts w:ascii="Times New Roman" w:eastAsia="Times New Roman" w:hAnsi="Times New Roman" w:cs="Times New Roman"/>
          <w:noProof/>
          <w:sz w:val="24"/>
          <w:szCs w:val="24"/>
        </w:rPr>
        <w:t xml:space="preserve">establish a credible framework for ensuring compliance </w:t>
      </w:r>
      <w:r w:rsidR="00DB1195" w:rsidRPr="002661A8">
        <w:rPr>
          <w:rFonts w:ascii="Times New Roman" w:eastAsia="Times New Roman" w:hAnsi="Times New Roman" w:cs="Times New Roman"/>
          <w:noProof/>
          <w:sz w:val="24"/>
          <w:szCs w:val="24"/>
        </w:rPr>
        <w:t>with the requirements</w:t>
      </w:r>
      <w:r w:rsidRPr="002661A8">
        <w:rPr>
          <w:rFonts w:ascii="Times New Roman" w:eastAsia="Times New Roman" w:hAnsi="Times New Roman" w:cs="Times New Roman"/>
          <w:noProof/>
          <w:sz w:val="24"/>
          <w:szCs w:val="24"/>
        </w:rPr>
        <w:t xml:space="preserve"> by banks and investment firms </w:t>
      </w:r>
      <w:r w:rsidR="00DB1195" w:rsidRPr="002661A8">
        <w:rPr>
          <w:rFonts w:ascii="Times New Roman" w:eastAsia="Times New Roman" w:hAnsi="Times New Roman" w:cs="Times New Roman"/>
          <w:noProof/>
          <w:sz w:val="24"/>
          <w:szCs w:val="24"/>
        </w:rPr>
        <w:t>-</w:t>
      </w:r>
      <w:r w:rsidRPr="002661A8">
        <w:rPr>
          <w:rFonts w:ascii="Times New Roman" w:eastAsia="Times New Roman" w:hAnsi="Times New Roman" w:cs="Times New Roman"/>
          <w:noProof/>
          <w:sz w:val="24"/>
          <w:szCs w:val="24"/>
        </w:rPr>
        <w:t xml:space="preserve"> which are the most important financial counterparties</w:t>
      </w:r>
      <w:r w:rsidR="002A40E2">
        <w:rPr>
          <w:rFonts w:ascii="Times New Roman" w:eastAsia="Times New Roman" w:hAnsi="Times New Roman" w:cs="Times New Roman"/>
          <w:noProof/>
          <w:sz w:val="24"/>
          <w:szCs w:val="24"/>
        </w:rPr>
        <w:t xml:space="preserve">, </w:t>
      </w:r>
      <w:r w:rsidR="002A40E2" w:rsidRPr="002A40E2">
        <w:rPr>
          <w:rFonts w:ascii="Times New Roman" w:eastAsia="Times New Roman" w:hAnsi="Times New Roman" w:cs="Times New Roman"/>
          <w:noProof/>
          <w:sz w:val="24"/>
          <w:szCs w:val="24"/>
        </w:rPr>
        <w:t xml:space="preserve">thereby supporting and reinforcing the effects expected through the implementation of option </w:t>
      </w:r>
      <w:r w:rsidR="002A40E2">
        <w:rPr>
          <w:rFonts w:ascii="Times New Roman" w:eastAsia="Times New Roman" w:hAnsi="Times New Roman" w:cs="Times New Roman"/>
          <w:noProof/>
          <w:sz w:val="24"/>
          <w:szCs w:val="24"/>
        </w:rPr>
        <w:t>B</w:t>
      </w:r>
      <w:r w:rsidR="002A40E2" w:rsidRPr="002A40E2">
        <w:rPr>
          <w:rFonts w:ascii="Times New Roman" w:eastAsia="Times New Roman" w:hAnsi="Times New Roman" w:cs="Times New Roman"/>
          <w:noProof/>
          <w:sz w:val="24"/>
          <w:szCs w:val="24"/>
        </w:rPr>
        <w:t>3 by providing the necessary incentive structure to encourage the best possible use of multiple active accounts</w:t>
      </w:r>
      <w:r w:rsidRPr="002661A8">
        <w:rPr>
          <w:rFonts w:ascii="Times New Roman" w:eastAsia="Times New Roman" w:hAnsi="Times New Roman" w:cs="Times New Roman"/>
          <w:noProof/>
          <w:sz w:val="24"/>
          <w:szCs w:val="24"/>
        </w:rPr>
        <w:t xml:space="preserve">. </w:t>
      </w:r>
    </w:p>
    <w:p w14:paraId="52E2C065" w14:textId="1303AEA3" w:rsidR="00DF028E" w:rsidRPr="002661A8" w:rsidRDefault="00C700F4" w:rsidP="00A61E96">
      <w:pPr>
        <w:tabs>
          <w:tab w:val="left" w:pos="2302"/>
        </w:tabs>
        <w:spacing w:after="120" w:line="240" w:lineRule="auto"/>
        <w:jc w:val="both"/>
        <w:rPr>
          <w:rFonts w:ascii="Times New Roman" w:eastAsia="Times New Roman" w:hAnsi="Times New Roman" w:cs="Times New Roman"/>
          <w:noProof/>
          <w:sz w:val="24"/>
          <w:szCs w:val="24"/>
        </w:rPr>
      </w:pPr>
      <w:r w:rsidRPr="002661A8">
        <w:rPr>
          <w:rFonts w:ascii="Times New Roman" w:eastAsia="Times New Roman" w:hAnsi="Times New Roman" w:cs="Times New Roman"/>
          <w:noProof/>
          <w:sz w:val="24"/>
          <w:szCs w:val="24"/>
        </w:rPr>
        <w:t>This option</w:t>
      </w:r>
      <w:r w:rsidR="00A213A1">
        <w:rPr>
          <w:rFonts w:ascii="Times New Roman" w:eastAsia="Times New Roman" w:hAnsi="Times New Roman" w:cs="Times New Roman"/>
          <w:noProof/>
          <w:sz w:val="24"/>
          <w:szCs w:val="24"/>
        </w:rPr>
        <w:t xml:space="preserve"> </w:t>
      </w:r>
      <w:r w:rsidR="007304EA">
        <w:rPr>
          <w:rFonts w:ascii="Times New Roman" w:eastAsia="Times New Roman" w:hAnsi="Times New Roman" w:cs="Times New Roman"/>
          <w:noProof/>
          <w:sz w:val="24"/>
          <w:szCs w:val="24"/>
        </w:rPr>
        <w:t>B</w:t>
      </w:r>
      <w:r w:rsidR="00A213A1">
        <w:rPr>
          <w:rFonts w:ascii="Times New Roman" w:eastAsia="Times New Roman" w:hAnsi="Times New Roman" w:cs="Times New Roman"/>
          <w:noProof/>
          <w:sz w:val="24"/>
          <w:szCs w:val="24"/>
        </w:rPr>
        <w:t>6</w:t>
      </w:r>
      <w:r w:rsidRPr="002661A8">
        <w:rPr>
          <w:rFonts w:ascii="Times New Roman" w:eastAsia="Times New Roman" w:hAnsi="Times New Roman" w:cs="Times New Roman"/>
          <w:noProof/>
          <w:sz w:val="24"/>
          <w:szCs w:val="24"/>
        </w:rPr>
        <w:t xml:space="preserve"> is </w:t>
      </w:r>
      <w:r w:rsidR="00A213A1">
        <w:rPr>
          <w:rFonts w:ascii="Times New Roman" w:eastAsia="Times New Roman" w:hAnsi="Times New Roman" w:cs="Times New Roman"/>
          <w:noProof/>
          <w:sz w:val="24"/>
          <w:szCs w:val="24"/>
        </w:rPr>
        <w:t xml:space="preserve">also </w:t>
      </w:r>
      <w:r w:rsidRPr="002661A8">
        <w:rPr>
          <w:rFonts w:ascii="Times New Roman" w:eastAsia="Times New Roman" w:hAnsi="Times New Roman" w:cs="Times New Roman"/>
          <w:noProof/>
          <w:sz w:val="24"/>
          <w:szCs w:val="24"/>
        </w:rPr>
        <w:t xml:space="preserve">the most suitable among those considered to avoid disruptive impacts on </w:t>
      </w:r>
      <w:r w:rsidR="00DF028E" w:rsidRPr="002661A8">
        <w:rPr>
          <w:rFonts w:ascii="Times New Roman" w:eastAsia="Times New Roman" w:hAnsi="Times New Roman" w:cs="Times New Roman"/>
          <w:noProof/>
          <w:sz w:val="24"/>
          <w:szCs w:val="24"/>
        </w:rPr>
        <w:t xml:space="preserve">the </w:t>
      </w:r>
      <w:r w:rsidR="009967DB" w:rsidRPr="002661A8">
        <w:rPr>
          <w:rFonts w:ascii="Times New Roman" w:eastAsia="Times New Roman" w:hAnsi="Times New Roman" w:cs="Times New Roman"/>
          <w:noProof/>
          <w:sz w:val="24"/>
          <w:szCs w:val="24"/>
        </w:rPr>
        <w:t xml:space="preserve">business </w:t>
      </w:r>
      <w:r w:rsidRPr="002661A8">
        <w:rPr>
          <w:rFonts w:ascii="Times New Roman" w:eastAsia="Times New Roman" w:hAnsi="Times New Roman" w:cs="Times New Roman"/>
          <w:noProof/>
          <w:sz w:val="24"/>
          <w:szCs w:val="24"/>
        </w:rPr>
        <w:t>of EU clearing members</w:t>
      </w:r>
      <w:r w:rsidR="00A26603" w:rsidRPr="002661A8">
        <w:rPr>
          <w:rFonts w:ascii="Times New Roman" w:eastAsia="Times New Roman" w:hAnsi="Times New Roman" w:cs="Times New Roman"/>
          <w:noProof/>
          <w:sz w:val="24"/>
          <w:szCs w:val="24"/>
        </w:rPr>
        <w:t xml:space="preserve"> and could be adapted to </w:t>
      </w:r>
      <w:r w:rsidR="008F5710" w:rsidRPr="002661A8">
        <w:rPr>
          <w:rFonts w:ascii="Times New Roman" w:eastAsia="Times New Roman" w:hAnsi="Times New Roman" w:cs="Times New Roman"/>
          <w:noProof/>
          <w:sz w:val="24"/>
          <w:szCs w:val="24"/>
        </w:rPr>
        <w:t>consider</w:t>
      </w:r>
      <w:r w:rsidR="00A26603" w:rsidRPr="002661A8">
        <w:rPr>
          <w:rFonts w:ascii="Times New Roman" w:eastAsia="Times New Roman" w:hAnsi="Times New Roman" w:cs="Times New Roman"/>
          <w:noProof/>
          <w:sz w:val="24"/>
          <w:szCs w:val="24"/>
        </w:rPr>
        <w:t xml:space="preserve"> cost impacts for smaller clients</w:t>
      </w:r>
      <w:r w:rsidR="00F623C2" w:rsidRPr="002661A8">
        <w:rPr>
          <w:rFonts w:ascii="Times New Roman" w:eastAsia="Times New Roman" w:hAnsi="Times New Roman" w:cs="Times New Roman"/>
          <w:noProof/>
          <w:sz w:val="24"/>
          <w:szCs w:val="24"/>
        </w:rPr>
        <w:t xml:space="preserve"> if necessary</w:t>
      </w:r>
      <w:r w:rsidR="00A26603" w:rsidRPr="002661A8">
        <w:rPr>
          <w:rFonts w:ascii="Times New Roman" w:eastAsia="Times New Roman" w:hAnsi="Times New Roman" w:cs="Times New Roman"/>
          <w:noProof/>
          <w:sz w:val="24"/>
          <w:szCs w:val="24"/>
        </w:rPr>
        <w:t xml:space="preserve">. </w:t>
      </w:r>
      <w:r w:rsidR="009716C9" w:rsidRPr="002661A8">
        <w:rPr>
          <w:rFonts w:ascii="Times New Roman" w:eastAsia="Times New Roman" w:hAnsi="Times New Roman" w:cs="Times New Roman"/>
          <w:noProof/>
          <w:sz w:val="24"/>
          <w:szCs w:val="24"/>
        </w:rPr>
        <w:t xml:space="preserve">In particular, the portion of activity to be cleared through the active account could be designed </w:t>
      </w:r>
      <w:r w:rsidR="008F5710" w:rsidRPr="002661A8">
        <w:rPr>
          <w:rFonts w:ascii="Times New Roman" w:eastAsia="Times New Roman" w:hAnsi="Times New Roman" w:cs="Times New Roman"/>
          <w:noProof/>
          <w:sz w:val="24"/>
          <w:szCs w:val="24"/>
        </w:rPr>
        <w:t xml:space="preserve">to </w:t>
      </w:r>
      <w:r w:rsidR="009716C9" w:rsidRPr="002661A8">
        <w:rPr>
          <w:rFonts w:ascii="Times New Roman" w:eastAsia="Times New Roman" w:hAnsi="Times New Roman" w:cs="Times New Roman"/>
          <w:noProof/>
          <w:sz w:val="24"/>
          <w:szCs w:val="24"/>
        </w:rPr>
        <w:t>increas</w:t>
      </w:r>
      <w:r w:rsidR="008F5710" w:rsidRPr="002661A8">
        <w:rPr>
          <w:rFonts w:ascii="Times New Roman" w:eastAsia="Times New Roman" w:hAnsi="Times New Roman" w:cs="Times New Roman"/>
          <w:noProof/>
          <w:sz w:val="24"/>
          <w:szCs w:val="24"/>
        </w:rPr>
        <w:t>e</w:t>
      </w:r>
      <w:r w:rsidR="009716C9" w:rsidRPr="002661A8">
        <w:rPr>
          <w:rFonts w:ascii="Times New Roman" w:eastAsia="Times New Roman" w:hAnsi="Times New Roman" w:cs="Times New Roman"/>
          <w:noProof/>
          <w:sz w:val="24"/>
          <w:szCs w:val="24"/>
        </w:rPr>
        <w:t xml:space="preserve"> gradually, </w:t>
      </w:r>
      <w:r w:rsidR="009716C9" w:rsidRPr="002661A8" w:rsidDel="008F5710">
        <w:rPr>
          <w:rFonts w:ascii="Times New Roman" w:eastAsia="Times New Roman" w:hAnsi="Times New Roman" w:cs="Times New Roman"/>
          <w:noProof/>
          <w:sz w:val="24"/>
          <w:szCs w:val="24"/>
        </w:rPr>
        <w:t xml:space="preserve">allowing </w:t>
      </w:r>
      <w:r w:rsidR="008F5710" w:rsidRPr="002661A8">
        <w:rPr>
          <w:rFonts w:ascii="Times New Roman" w:eastAsia="Times New Roman" w:hAnsi="Times New Roman" w:cs="Times New Roman"/>
          <w:noProof/>
          <w:sz w:val="24"/>
          <w:szCs w:val="24"/>
        </w:rPr>
        <w:t>the appropriate balance between financial stability and costs for businesses to be achieved.</w:t>
      </w:r>
      <w:r w:rsidR="009716C9" w:rsidRPr="002661A8">
        <w:rPr>
          <w:rFonts w:ascii="Times New Roman" w:eastAsia="Times New Roman" w:hAnsi="Times New Roman" w:cs="Times New Roman"/>
          <w:noProof/>
          <w:sz w:val="24"/>
          <w:szCs w:val="24"/>
        </w:rPr>
        <w:t xml:space="preserve"> </w:t>
      </w:r>
      <w:r w:rsidR="002A40E2" w:rsidRPr="002E6FDA">
        <w:rPr>
          <w:rFonts w:ascii="Times New Roman" w:eastAsia="Times New Roman" w:hAnsi="Times New Roman" w:cs="Times New Roman"/>
          <w:noProof/>
          <w:sz w:val="24"/>
          <w:szCs w:val="24"/>
        </w:rPr>
        <w:t>Similarly, the Pillar 2 framework offers the necessary flexibility to clearing participants and their competent authorities to be implemented proportionally, taking into consideration the nature, size and complexity of the business model deployed by each participant.</w:t>
      </w:r>
      <w:r w:rsidR="009716C9" w:rsidRPr="002661A8">
        <w:rPr>
          <w:rFonts w:ascii="Times New Roman" w:eastAsia="Times New Roman" w:hAnsi="Times New Roman" w:cs="Times New Roman"/>
          <w:noProof/>
          <w:sz w:val="24"/>
          <w:szCs w:val="24"/>
        </w:rPr>
        <w:t xml:space="preserve"> This would allow to spread the costs and help contain them. In this way, any costs</w:t>
      </w:r>
      <w:r w:rsidR="005174D4" w:rsidRPr="002661A8">
        <w:rPr>
          <w:rFonts w:ascii="Times New Roman" w:eastAsia="Times New Roman" w:hAnsi="Times New Roman" w:cs="Times New Roman"/>
          <w:noProof/>
          <w:sz w:val="24"/>
          <w:szCs w:val="24"/>
        </w:rPr>
        <w:t xml:space="preserve"> related to</w:t>
      </w:r>
      <w:r w:rsidR="009716C9" w:rsidRPr="002661A8">
        <w:rPr>
          <w:rFonts w:ascii="Times New Roman" w:eastAsia="Times New Roman" w:hAnsi="Times New Roman" w:cs="Times New Roman"/>
          <w:noProof/>
          <w:sz w:val="24"/>
          <w:szCs w:val="24"/>
        </w:rPr>
        <w:t xml:space="preserve"> loss</w:t>
      </w:r>
      <w:r w:rsidR="005174D4" w:rsidRPr="002661A8">
        <w:rPr>
          <w:rFonts w:ascii="Times New Roman" w:eastAsia="Times New Roman" w:hAnsi="Times New Roman" w:cs="Times New Roman"/>
          <w:noProof/>
          <w:sz w:val="24"/>
          <w:szCs w:val="24"/>
        </w:rPr>
        <w:t>es</w:t>
      </w:r>
      <w:r w:rsidR="009716C9" w:rsidRPr="002661A8">
        <w:rPr>
          <w:rFonts w:ascii="Times New Roman" w:eastAsia="Times New Roman" w:hAnsi="Times New Roman" w:cs="Times New Roman"/>
          <w:noProof/>
          <w:sz w:val="24"/>
          <w:szCs w:val="24"/>
        </w:rPr>
        <w:t xml:space="preserve"> in netting benefits (which would concern in particular market participants active in multiple currencies) could be mitigated overtime, </w:t>
      </w:r>
      <w:r w:rsidR="005174D4" w:rsidRPr="002661A8">
        <w:rPr>
          <w:rFonts w:ascii="Times New Roman" w:eastAsia="Times New Roman" w:hAnsi="Times New Roman" w:cs="Times New Roman"/>
          <w:noProof/>
          <w:sz w:val="24"/>
          <w:szCs w:val="24"/>
        </w:rPr>
        <w:t xml:space="preserve">access to clearing would be better preserved </w:t>
      </w:r>
      <w:r w:rsidR="009716C9" w:rsidRPr="002661A8">
        <w:rPr>
          <w:rFonts w:ascii="Times New Roman" w:eastAsia="Times New Roman" w:hAnsi="Times New Roman" w:cs="Times New Roman"/>
          <w:noProof/>
          <w:sz w:val="24"/>
          <w:szCs w:val="24"/>
        </w:rPr>
        <w:t xml:space="preserve">and the measures targeting the supply of clearing services in the EU could help this process. This </w:t>
      </w:r>
      <w:r w:rsidR="00DF028E" w:rsidRPr="002661A8">
        <w:rPr>
          <w:rFonts w:ascii="Times New Roman" w:eastAsia="Times New Roman" w:hAnsi="Times New Roman" w:cs="Times New Roman"/>
          <w:noProof/>
          <w:sz w:val="24"/>
          <w:szCs w:val="24"/>
        </w:rPr>
        <w:t xml:space="preserve">will imply, though, that a rebalancing of exposures between EU and third-country CCPs </w:t>
      </w:r>
      <w:r w:rsidR="002A4608" w:rsidRPr="002661A8">
        <w:rPr>
          <w:rFonts w:ascii="Times New Roman" w:eastAsia="Times New Roman" w:hAnsi="Times New Roman" w:cs="Times New Roman"/>
          <w:noProof/>
          <w:sz w:val="24"/>
          <w:szCs w:val="24"/>
        </w:rPr>
        <w:t>take</w:t>
      </w:r>
      <w:r w:rsidR="00746C05" w:rsidRPr="002661A8">
        <w:rPr>
          <w:rFonts w:ascii="Times New Roman" w:eastAsia="Times New Roman" w:hAnsi="Times New Roman" w:cs="Times New Roman"/>
          <w:noProof/>
          <w:sz w:val="24"/>
          <w:szCs w:val="24"/>
        </w:rPr>
        <w:t>s</w:t>
      </w:r>
      <w:r w:rsidR="002A4608" w:rsidRPr="002661A8">
        <w:rPr>
          <w:rFonts w:ascii="Times New Roman" w:eastAsia="Times New Roman" w:hAnsi="Times New Roman" w:cs="Times New Roman"/>
          <w:noProof/>
          <w:sz w:val="24"/>
          <w:szCs w:val="24"/>
        </w:rPr>
        <w:t xml:space="preserve"> place </w:t>
      </w:r>
      <w:r w:rsidR="00DF028E" w:rsidRPr="002661A8">
        <w:rPr>
          <w:rFonts w:ascii="Times New Roman" w:eastAsia="Times New Roman" w:hAnsi="Times New Roman" w:cs="Times New Roman"/>
          <w:noProof/>
          <w:sz w:val="24"/>
          <w:szCs w:val="24"/>
        </w:rPr>
        <w:t>over</w:t>
      </w:r>
      <w:r w:rsidR="00993D99" w:rsidRPr="002661A8">
        <w:rPr>
          <w:rFonts w:ascii="Times New Roman" w:eastAsia="Times New Roman" w:hAnsi="Times New Roman" w:cs="Times New Roman"/>
          <w:noProof/>
          <w:sz w:val="24"/>
          <w:szCs w:val="24"/>
        </w:rPr>
        <w:t xml:space="preserve"> </w:t>
      </w:r>
      <w:r w:rsidR="00DF028E" w:rsidRPr="002661A8">
        <w:rPr>
          <w:rFonts w:ascii="Times New Roman" w:eastAsia="Times New Roman" w:hAnsi="Times New Roman" w:cs="Times New Roman"/>
          <w:noProof/>
          <w:sz w:val="24"/>
          <w:szCs w:val="24"/>
        </w:rPr>
        <w:t>time</w:t>
      </w:r>
      <w:r w:rsidR="00A26603" w:rsidRPr="002661A8">
        <w:rPr>
          <w:rFonts w:ascii="Times New Roman" w:eastAsia="Times New Roman" w:hAnsi="Times New Roman" w:cs="Times New Roman"/>
          <w:noProof/>
          <w:sz w:val="24"/>
          <w:szCs w:val="24"/>
        </w:rPr>
        <w:t>, during which it will be crucial that private-led initiatives accompany and reinforce the regulatory ones</w:t>
      </w:r>
      <w:r w:rsidR="00DF028E" w:rsidRPr="002661A8">
        <w:rPr>
          <w:rFonts w:ascii="Times New Roman" w:eastAsia="Times New Roman" w:hAnsi="Times New Roman" w:cs="Times New Roman"/>
          <w:noProof/>
          <w:sz w:val="24"/>
          <w:szCs w:val="24"/>
        </w:rPr>
        <w:t>.</w:t>
      </w:r>
      <w:r w:rsidR="00B646AD" w:rsidRPr="002661A8">
        <w:rPr>
          <w:rFonts w:ascii="Times New Roman" w:eastAsia="Times New Roman" w:hAnsi="Times New Roman" w:cs="Times New Roman"/>
          <w:noProof/>
          <w:sz w:val="24"/>
          <w:szCs w:val="24"/>
        </w:rPr>
        <w:t xml:space="preserve"> Furthermore, by leading to greater clearing volumes at EU CCPs, t</w:t>
      </w:r>
      <w:r w:rsidR="00DF028E" w:rsidRPr="002661A8">
        <w:rPr>
          <w:rFonts w:ascii="Times New Roman" w:eastAsia="Times New Roman" w:hAnsi="Times New Roman" w:cs="Times New Roman"/>
          <w:noProof/>
          <w:sz w:val="24"/>
          <w:szCs w:val="24"/>
        </w:rPr>
        <w:t>his combination of options should enhanc</w:t>
      </w:r>
      <w:r w:rsidR="00FB048B" w:rsidRPr="002661A8">
        <w:rPr>
          <w:rFonts w:ascii="Times New Roman" w:eastAsia="Times New Roman" w:hAnsi="Times New Roman" w:cs="Times New Roman"/>
          <w:noProof/>
          <w:sz w:val="24"/>
          <w:szCs w:val="24"/>
        </w:rPr>
        <w:t>e</w:t>
      </w:r>
      <w:r w:rsidR="00DF028E" w:rsidRPr="002661A8">
        <w:rPr>
          <w:rFonts w:ascii="Times New Roman" w:eastAsia="Times New Roman" w:hAnsi="Times New Roman" w:cs="Times New Roman"/>
          <w:noProof/>
          <w:sz w:val="24"/>
          <w:szCs w:val="24"/>
        </w:rPr>
        <w:t xml:space="preserve"> liquidity </w:t>
      </w:r>
      <w:r w:rsidR="00B646AD" w:rsidRPr="002661A8">
        <w:rPr>
          <w:rFonts w:ascii="Times New Roman" w:eastAsia="Times New Roman" w:hAnsi="Times New Roman" w:cs="Times New Roman"/>
          <w:noProof/>
          <w:sz w:val="24"/>
          <w:szCs w:val="24"/>
        </w:rPr>
        <w:t xml:space="preserve">at EU CCPs </w:t>
      </w:r>
      <w:r w:rsidR="00DF028E" w:rsidRPr="002661A8">
        <w:rPr>
          <w:rFonts w:ascii="Times New Roman" w:eastAsia="Times New Roman" w:hAnsi="Times New Roman" w:cs="Times New Roman"/>
          <w:noProof/>
          <w:sz w:val="24"/>
          <w:szCs w:val="24"/>
        </w:rPr>
        <w:t>and in turn foster the</w:t>
      </w:r>
      <w:r w:rsidR="00B646AD" w:rsidRPr="002661A8">
        <w:rPr>
          <w:rFonts w:ascii="Times New Roman" w:eastAsia="Times New Roman" w:hAnsi="Times New Roman" w:cs="Times New Roman"/>
          <w:noProof/>
          <w:sz w:val="24"/>
          <w:szCs w:val="24"/>
        </w:rPr>
        <w:t>ir</w:t>
      </w:r>
      <w:r w:rsidR="00DF028E" w:rsidRPr="002661A8">
        <w:rPr>
          <w:rFonts w:ascii="Times New Roman" w:eastAsia="Times New Roman" w:hAnsi="Times New Roman" w:cs="Times New Roman"/>
          <w:noProof/>
          <w:sz w:val="24"/>
          <w:szCs w:val="24"/>
        </w:rPr>
        <w:t xml:space="preserve"> attractiveness and ability to compete.</w:t>
      </w:r>
    </w:p>
    <w:p w14:paraId="3D163437" w14:textId="3549BE6A" w:rsidR="00DF028E" w:rsidRPr="002661A8" w:rsidRDefault="00DF028E" w:rsidP="00A61E96">
      <w:pPr>
        <w:tabs>
          <w:tab w:val="left" w:pos="2302"/>
        </w:tabs>
        <w:spacing w:after="120" w:line="240" w:lineRule="auto"/>
        <w:jc w:val="both"/>
        <w:rPr>
          <w:rFonts w:ascii="Times New Roman" w:eastAsia="Times New Roman" w:hAnsi="Times New Roman" w:cs="Times New Roman"/>
          <w:noProof/>
          <w:sz w:val="24"/>
          <w:szCs w:val="24"/>
        </w:rPr>
      </w:pPr>
      <w:r w:rsidRPr="002661A8">
        <w:rPr>
          <w:rFonts w:ascii="Times New Roman" w:eastAsia="Times New Roman" w:hAnsi="Times New Roman" w:cs="Times New Roman"/>
          <w:noProof/>
          <w:sz w:val="24"/>
          <w:szCs w:val="24"/>
        </w:rPr>
        <w:t>As regards the specific objective of strengthening the framework to ensure better consideration of cross</w:t>
      </w:r>
      <w:r w:rsidR="00FB048B" w:rsidRPr="002661A8">
        <w:rPr>
          <w:rFonts w:ascii="Times New Roman" w:eastAsia="Times New Roman" w:hAnsi="Times New Roman" w:cs="Times New Roman"/>
          <w:noProof/>
          <w:sz w:val="24"/>
          <w:szCs w:val="24"/>
        </w:rPr>
        <w:t>-</w:t>
      </w:r>
      <w:r w:rsidRPr="002661A8">
        <w:rPr>
          <w:rFonts w:ascii="Times New Roman" w:eastAsia="Times New Roman" w:hAnsi="Times New Roman" w:cs="Times New Roman"/>
          <w:noProof/>
          <w:sz w:val="24"/>
          <w:szCs w:val="24"/>
        </w:rPr>
        <w:t xml:space="preserve">border risks, </w:t>
      </w:r>
      <w:r w:rsidR="00F85D19" w:rsidRPr="002661A8">
        <w:rPr>
          <w:rFonts w:ascii="Times New Roman" w:eastAsia="Times New Roman" w:hAnsi="Times New Roman" w:cs="Times New Roman"/>
          <w:noProof/>
          <w:sz w:val="24"/>
          <w:szCs w:val="24"/>
        </w:rPr>
        <w:t xml:space="preserve">as discussed in the previous sections, </w:t>
      </w:r>
      <w:r w:rsidRPr="002661A8">
        <w:rPr>
          <w:rFonts w:ascii="Times New Roman" w:eastAsia="Times New Roman" w:hAnsi="Times New Roman" w:cs="Times New Roman"/>
          <w:noProof/>
          <w:sz w:val="24"/>
          <w:szCs w:val="24"/>
        </w:rPr>
        <w:t xml:space="preserve">the increase in clearing volumes in the EU </w:t>
      </w:r>
      <w:r w:rsidR="00B646AD" w:rsidRPr="002661A8">
        <w:rPr>
          <w:rFonts w:ascii="Times New Roman" w:eastAsia="Times New Roman" w:hAnsi="Times New Roman" w:cs="Times New Roman"/>
          <w:noProof/>
          <w:sz w:val="24"/>
          <w:szCs w:val="24"/>
        </w:rPr>
        <w:t>as a result of this option</w:t>
      </w:r>
      <w:r w:rsidRPr="002661A8">
        <w:rPr>
          <w:rFonts w:ascii="Times New Roman" w:eastAsia="Times New Roman" w:hAnsi="Times New Roman" w:cs="Times New Roman"/>
          <w:noProof/>
          <w:sz w:val="24"/>
          <w:szCs w:val="24"/>
        </w:rPr>
        <w:t xml:space="preserve"> will need to be accompanied by </w:t>
      </w:r>
      <w:r w:rsidR="00B646AD" w:rsidRPr="002661A8">
        <w:rPr>
          <w:rFonts w:ascii="Times New Roman" w:eastAsia="Times New Roman" w:hAnsi="Times New Roman" w:cs="Times New Roman"/>
          <w:noProof/>
          <w:sz w:val="24"/>
          <w:szCs w:val="24"/>
        </w:rPr>
        <w:t>enhanced assessment and management of cross-border risks</w:t>
      </w:r>
      <w:r w:rsidRPr="002661A8">
        <w:rPr>
          <w:rFonts w:ascii="Times New Roman" w:eastAsia="Times New Roman" w:hAnsi="Times New Roman" w:cs="Times New Roman"/>
          <w:noProof/>
          <w:sz w:val="24"/>
          <w:szCs w:val="24"/>
        </w:rPr>
        <w:t xml:space="preserve">. </w:t>
      </w:r>
    </w:p>
    <w:p w14:paraId="39EDFD65" w14:textId="77777777" w:rsidR="000923BE" w:rsidRPr="002661A8" w:rsidRDefault="000923BE" w:rsidP="000923BE">
      <w:pPr>
        <w:tabs>
          <w:tab w:val="left" w:pos="2302"/>
        </w:tabs>
        <w:spacing w:after="120" w:line="240" w:lineRule="auto"/>
        <w:jc w:val="both"/>
        <w:rPr>
          <w:rFonts w:ascii="Times New Roman" w:eastAsia="Times New Roman" w:hAnsi="Times New Roman" w:cs="Times New Roman"/>
          <w:noProof/>
          <w:sz w:val="24"/>
          <w:szCs w:val="24"/>
          <w:u w:val="single"/>
        </w:rPr>
      </w:pPr>
      <w:r w:rsidRPr="002661A8">
        <w:rPr>
          <w:rFonts w:ascii="Times New Roman" w:eastAsia="Times New Roman" w:hAnsi="Times New Roman" w:cs="Times New Roman"/>
          <w:noProof/>
          <w:sz w:val="24"/>
          <w:szCs w:val="24"/>
          <w:u w:val="single"/>
        </w:rPr>
        <w:t>Coherence</w:t>
      </w:r>
    </w:p>
    <w:p w14:paraId="7A1ECCA7" w14:textId="29E9E464" w:rsidR="000923BE" w:rsidRPr="002661A8" w:rsidRDefault="00F20305" w:rsidP="00D521A6">
      <w:pPr>
        <w:spacing w:after="120" w:line="240" w:lineRule="auto"/>
        <w:jc w:val="both"/>
        <w:rPr>
          <w:rStyle w:val="CommentReference"/>
          <w:noProof/>
        </w:rPr>
      </w:pPr>
      <w:r w:rsidRPr="002661A8">
        <w:rPr>
          <w:rFonts w:ascii="Times New Roman" w:eastAsia="Times New Roman" w:hAnsi="Times New Roman" w:cs="Times New Roman"/>
          <w:noProof/>
          <w:sz w:val="24"/>
          <w:szCs w:val="24"/>
        </w:rPr>
        <w:t>A discussed above, t</w:t>
      </w:r>
      <w:r w:rsidR="000923BE" w:rsidRPr="002661A8">
        <w:rPr>
          <w:rFonts w:ascii="Times New Roman" w:eastAsia="Times New Roman" w:hAnsi="Times New Roman" w:cs="Times New Roman"/>
          <w:noProof/>
          <w:sz w:val="24"/>
          <w:szCs w:val="24"/>
        </w:rPr>
        <w:t xml:space="preserve">his option would fully </w:t>
      </w:r>
      <w:r w:rsidR="00BE77C5" w:rsidRPr="002661A8">
        <w:rPr>
          <w:rFonts w:ascii="Times New Roman" w:eastAsia="Times New Roman" w:hAnsi="Times New Roman" w:cs="Times New Roman"/>
          <w:noProof/>
          <w:sz w:val="24"/>
          <w:szCs w:val="24"/>
        </w:rPr>
        <w:t>contribute to</w:t>
      </w:r>
      <w:r w:rsidR="000923BE" w:rsidRPr="002661A8">
        <w:rPr>
          <w:rFonts w:ascii="Times New Roman" w:eastAsia="Times New Roman" w:hAnsi="Times New Roman" w:cs="Times New Roman"/>
          <w:noProof/>
          <w:sz w:val="24"/>
          <w:szCs w:val="24"/>
        </w:rPr>
        <w:t xml:space="preserve"> the EU’s policies on open strategic autonomy, CMU and preserv</w:t>
      </w:r>
      <w:r w:rsidR="00152791" w:rsidRPr="002661A8">
        <w:rPr>
          <w:rFonts w:ascii="Times New Roman" w:eastAsia="Times New Roman" w:hAnsi="Times New Roman" w:cs="Times New Roman"/>
          <w:noProof/>
          <w:sz w:val="24"/>
          <w:szCs w:val="24"/>
        </w:rPr>
        <w:t>e</w:t>
      </w:r>
      <w:r w:rsidR="000923BE" w:rsidRPr="002661A8">
        <w:rPr>
          <w:rFonts w:ascii="Times New Roman" w:eastAsia="Times New Roman" w:hAnsi="Times New Roman" w:cs="Times New Roman"/>
          <w:noProof/>
          <w:sz w:val="24"/>
          <w:szCs w:val="24"/>
        </w:rPr>
        <w:t xml:space="preserve"> financial stability</w:t>
      </w:r>
      <w:r w:rsidR="006863EC" w:rsidRPr="002661A8">
        <w:rPr>
          <w:rFonts w:ascii="Times New Roman" w:eastAsia="Times New Roman" w:hAnsi="Times New Roman" w:cs="Times New Roman"/>
          <w:noProof/>
          <w:sz w:val="24"/>
          <w:szCs w:val="24"/>
        </w:rPr>
        <w:t xml:space="preserve">, as it would </w:t>
      </w:r>
      <w:r w:rsidR="00A213A1" w:rsidRPr="002661A8">
        <w:rPr>
          <w:rFonts w:ascii="Times New Roman" w:eastAsia="Times New Roman" w:hAnsi="Times New Roman" w:cs="Times New Roman"/>
          <w:noProof/>
          <w:sz w:val="24"/>
          <w:szCs w:val="24"/>
        </w:rPr>
        <w:t>reduce over-reliance on third-country CCPs</w:t>
      </w:r>
      <w:r w:rsidR="00A213A1">
        <w:rPr>
          <w:rFonts w:ascii="Times New Roman" w:eastAsia="Times New Roman" w:hAnsi="Times New Roman" w:cs="Times New Roman"/>
          <w:noProof/>
          <w:sz w:val="24"/>
          <w:szCs w:val="24"/>
        </w:rPr>
        <w:t xml:space="preserve">, </w:t>
      </w:r>
      <w:r w:rsidR="00A213A1" w:rsidRPr="002661A8">
        <w:rPr>
          <w:rFonts w:ascii="Times New Roman" w:eastAsia="Times New Roman" w:hAnsi="Times New Roman" w:cs="Times New Roman"/>
          <w:noProof/>
          <w:sz w:val="24"/>
          <w:szCs w:val="24"/>
        </w:rPr>
        <w:t xml:space="preserve">enhance EU’s capital markets </w:t>
      </w:r>
      <w:r w:rsidR="00A213A1">
        <w:rPr>
          <w:rFonts w:ascii="Times New Roman" w:eastAsia="Times New Roman" w:hAnsi="Times New Roman" w:cs="Times New Roman"/>
          <w:noProof/>
          <w:sz w:val="24"/>
          <w:szCs w:val="24"/>
        </w:rPr>
        <w:t xml:space="preserve">and encourage </w:t>
      </w:r>
      <w:r w:rsidR="006863EC" w:rsidRPr="002661A8">
        <w:rPr>
          <w:rFonts w:ascii="Times New Roman" w:eastAsia="Times New Roman" w:hAnsi="Times New Roman" w:cs="Times New Roman"/>
          <w:noProof/>
          <w:sz w:val="24"/>
          <w:szCs w:val="24"/>
        </w:rPr>
        <w:t xml:space="preserve">clearing </w:t>
      </w:r>
      <w:r w:rsidR="00A213A1">
        <w:rPr>
          <w:rFonts w:ascii="Times New Roman" w:eastAsia="Times New Roman" w:hAnsi="Times New Roman" w:cs="Times New Roman"/>
          <w:noProof/>
          <w:sz w:val="24"/>
          <w:szCs w:val="24"/>
        </w:rPr>
        <w:t>in</w:t>
      </w:r>
      <w:r w:rsidR="006863EC" w:rsidRPr="002661A8">
        <w:rPr>
          <w:rFonts w:ascii="Times New Roman" w:eastAsia="Times New Roman" w:hAnsi="Times New Roman" w:cs="Times New Roman"/>
          <w:noProof/>
          <w:sz w:val="24"/>
          <w:szCs w:val="24"/>
        </w:rPr>
        <w:t xml:space="preserve"> the EU</w:t>
      </w:r>
      <w:r w:rsidR="000923BE" w:rsidRPr="002661A8">
        <w:rPr>
          <w:rFonts w:ascii="Times New Roman" w:eastAsia="Times New Roman" w:hAnsi="Times New Roman" w:cs="Times New Roman"/>
          <w:noProof/>
          <w:sz w:val="24"/>
          <w:szCs w:val="24"/>
        </w:rPr>
        <w:t>.</w:t>
      </w:r>
      <w:r w:rsidR="006863EC" w:rsidRPr="002661A8">
        <w:rPr>
          <w:rFonts w:ascii="Times New Roman" w:eastAsia="Times New Roman" w:hAnsi="Times New Roman" w:cs="Times New Roman"/>
          <w:noProof/>
          <w:sz w:val="24"/>
          <w:szCs w:val="24"/>
        </w:rPr>
        <w:t xml:space="preserve"> </w:t>
      </w:r>
    </w:p>
    <w:p w14:paraId="4E50151F" w14:textId="77777777" w:rsidR="00A8027C" w:rsidRPr="002661A8" w:rsidRDefault="00A8027C" w:rsidP="00A8027C">
      <w:pPr>
        <w:tabs>
          <w:tab w:val="left" w:pos="2302"/>
        </w:tabs>
        <w:spacing w:after="120" w:line="240" w:lineRule="auto"/>
        <w:jc w:val="both"/>
        <w:rPr>
          <w:rFonts w:ascii="Times New Roman" w:eastAsia="Times New Roman" w:hAnsi="Times New Roman" w:cs="Times New Roman"/>
          <w:noProof/>
          <w:sz w:val="24"/>
          <w:szCs w:val="24"/>
          <w:u w:val="single"/>
        </w:rPr>
      </w:pPr>
      <w:r>
        <w:rPr>
          <w:rFonts w:ascii="Times New Roman" w:eastAsia="Times New Roman" w:hAnsi="Times New Roman" w:cs="Times New Roman"/>
          <w:noProof/>
          <w:sz w:val="24"/>
          <w:szCs w:val="24"/>
          <w:u w:val="single"/>
        </w:rPr>
        <w:t>Assessment of the impacts by stakeholder group</w:t>
      </w:r>
    </w:p>
    <w:p w14:paraId="69A1E9AD" w14:textId="15AE30C3" w:rsidR="001C53E6" w:rsidRPr="002661A8" w:rsidRDefault="001C53E6" w:rsidP="001C53E6">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b/>
          <w:noProof/>
          <w:sz w:val="24"/>
          <w:szCs w:val="24"/>
        </w:rPr>
        <w:t>EU CCPs</w:t>
      </w:r>
      <w:r w:rsidRPr="002661A8">
        <w:rPr>
          <w:rFonts w:ascii="Times New Roman" w:eastAsia="Calibri" w:hAnsi="Times New Roman" w:cs="Times New Roman"/>
          <w:noProof/>
          <w:sz w:val="24"/>
          <w:szCs w:val="24"/>
        </w:rPr>
        <w:t xml:space="preserve"> would benefit from this option as it could bring more clearing to the EU. EU CCPs that have set up specific access models for buy-side firms could also benefit from initiatives facilitating clearing by clients. These benefits would be ongoing. </w:t>
      </w:r>
      <w:r w:rsidRPr="002661A8">
        <w:rPr>
          <w:rFonts w:ascii="Times New Roman" w:eastAsia="Calibri" w:hAnsi="Times New Roman" w:cs="Times New Roman"/>
          <w:b/>
          <w:noProof/>
          <w:sz w:val="24"/>
          <w:szCs w:val="24"/>
        </w:rPr>
        <w:t>Third-country CCPs</w:t>
      </w:r>
      <w:r w:rsidRPr="002661A8">
        <w:rPr>
          <w:rFonts w:ascii="Times New Roman" w:eastAsia="Calibri" w:hAnsi="Times New Roman" w:cs="Times New Roman"/>
          <w:noProof/>
          <w:sz w:val="24"/>
          <w:szCs w:val="24"/>
        </w:rPr>
        <w:t xml:space="preserve"> may lose some business and this cost would be ongoing.</w:t>
      </w:r>
    </w:p>
    <w:p w14:paraId="038E7B0D" w14:textId="77777777" w:rsidR="001C53E6" w:rsidRPr="002661A8" w:rsidRDefault="001C53E6" w:rsidP="001C53E6">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Most </w:t>
      </w:r>
      <w:r w:rsidRPr="002661A8">
        <w:rPr>
          <w:rFonts w:ascii="Times New Roman" w:eastAsia="Calibri" w:hAnsi="Times New Roman" w:cs="Times New Roman"/>
          <w:b/>
          <w:noProof/>
          <w:sz w:val="24"/>
          <w:szCs w:val="24"/>
        </w:rPr>
        <w:t xml:space="preserve">clearing members </w:t>
      </w:r>
      <w:r w:rsidRPr="002661A8">
        <w:rPr>
          <w:rFonts w:ascii="Times New Roman" w:eastAsia="Calibri" w:hAnsi="Times New Roman" w:cs="Times New Roman"/>
          <w:noProof/>
          <w:sz w:val="24"/>
          <w:szCs w:val="24"/>
        </w:rPr>
        <w:t>already have active accounts at EU CCPs, so there would not be significant additional operating costs for them. At the same time, the need to gradually increase the volumes cleared through the EU active account would require clearing members to plan accordingly to distribute their exposures between Tier 2 CCPs and EU CCPs in the most efficient way. This is likely to lead to some loss in netting benefits. Other costs for clearing members may arise in case clearing in the EU is more costly than clearing in third-country CCPs. This aspect is currently difficult to predict and quantify. Whether or not the costs identified would be ongoing also depends on how clearing members, CCPs and the overall clearing ecosystem will react and adjust to the requirements. Benefits for clearing members would relate to increased diversification of exposures to CCPs and reduced over-reliance on third-country CCPs. This would strengthen their resilience and would be an ongoing benefit.</w:t>
      </w:r>
    </w:p>
    <w:p w14:paraId="57BE291F" w14:textId="5FA7183D" w:rsidR="00475504" w:rsidRPr="002661A8" w:rsidRDefault="001C53E6" w:rsidP="00475504">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b/>
          <w:noProof/>
          <w:sz w:val="24"/>
          <w:szCs w:val="24"/>
        </w:rPr>
        <w:t>Clients</w:t>
      </w:r>
      <w:r w:rsidRPr="002661A8">
        <w:rPr>
          <w:rFonts w:ascii="Times New Roman" w:eastAsia="Calibri" w:hAnsi="Times New Roman" w:cs="Times New Roman"/>
          <w:noProof/>
          <w:sz w:val="24"/>
          <w:szCs w:val="24"/>
        </w:rPr>
        <w:t xml:space="preserve"> would also benefit from measures facilitating central clearing and these benefits would be ongoing. </w:t>
      </w:r>
      <w:r w:rsidR="00903829" w:rsidRPr="002661A8">
        <w:rPr>
          <w:rFonts w:ascii="Times New Roman" w:eastAsia="Calibri" w:hAnsi="Times New Roman" w:cs="Times New Roman"/>
          <w:noProof/>
          <w:sz w:val="24"/>
          <w:szCs w:val="24"/>
        </w:rPr>
        <w:t>R</w:t>
      </w:r>
      <w:r w:rsidR="00475504" w:rsidRPr="002661A8">
        <w:rPr>
          <w:rFonts w:ascii="Times New Roman" w:eastAsia="Calibri" w:hAnsi="Times New Roman" w:cs="Times New Roman"/>
          <w:noProof/>
          <w:sz w:val="24"/>
          <w:szCs w:val="24"/>
        </w:rPr>
        <w:t>oughly 60% of the European clients of EU clearing members already have an account for clearing interest rate swaps at an EU CCP, and roughly 85% do have one for credit default swaps.</w:t>
      </w:r>
      <w:r w:rsidR="00903829" w:rsidRPr="002661A8">
        <w:rPr>
          <w:rStyle w:val="FootnoteReference"/>
          <w:rFonts w:ascii="Times New Roman" w:eastAsia="Calibri" w:hAnsi="Times New Roman" w:cs="Times New Roman"/>
          <w:noProof/>
          <w:sz w:val="24"/>
          <w:szCs w:val="24"/>
        </w:rPr>
        <w:footnoteReference w:id="154"/>
      </w:r>
      <w:r w:rsidR="00475504" w:rsidRPr="002661A8">
        <w:rPr>
          <w:rFonts w:ascii="Times New Roman" w:eastAsia="Calibri" w:hAnsi="Times New Roman" w:cs="Times New Roman"/>
          <w:noProof/>
          <w:sz w:val="24"/>
          <w:szCs w:val="24"/>
        </w:rPr>
        <w:t xml:space="preserve"> So for these clients opening an account at an EU CCP for these types of products would not be an additional cost. In addition, any cost could depend on which CCP they participate: in some EU CCPs, for example, the costs of an account per se are zero under certain conditions.</w:t>
      </w:r>
      <w:r w:rsidR="00475504" w:rsidRPr="002661A8">
        <w:rPr>
          <w:rStyle w:val="FootnoteReference"/>
          <w:rFonts w:ascii="Times New Roman" w:eastAsia="Calibri" w:hAnsi="Times New Roman" w:cs="Times New Roman"/>
          <w:noProof/>
          <w:sz w:val="24"/>
          <w:szCs w:val="24"/>
        </w:rPr>
        <w:footnoteReference w:id="155"/>
      </w:r>
      <w:r w:rsidR="00475504" w:rsidRPr="002661A8">
        <w:rPr>
          <w:rFonts w:ascii="Times New Roman" w:eastAsia="Calibri" w:hAnsi="Times New Roman" w:cs="Times New Roman"/>
          <w:noProof/>
          <w:sz w:val="24"/>
          <w:szCs w:val="24"/>
        </w:rPr>
        <w:t xml:space="preserve"> Nevertheless, there may be costs related, e.g. to the need for keeping accounts at two CCPs instead of one and for gradually increasing activity in the EU account. Clients are also likely to </w:t>
      </w:r>
      <w:r w:rsidR="007C168D">
        <w:rPr>
          <w:rFonts w:ascii="Times New Roman" w:eastAsia="Calibri" w:hAnsi="Times New Roman" w:cs="Times New Roman"/>
          <w:noProof/>
          <w:sz w:val="24"/>
          <w:szCs w:val="24"/>
        </w:rPr>
        <w:t>bear the costs of</w:t>
      </w:r>
      <w:r w:rsidR="00475504" w:rsidRPr="002661A8">
        <w:rPr>
          <w:rFonts w:ascii="Times New Roman" w:eastAsia="Calibri" w:hAnsi="Times New Roman" w:cs="Times New Roman"/>
          <w:noProof/>
          <w:sz w:val="24"/>
          <w:szCs w:val="24"/>
        </w:rPr>
        <w:t xml:space="preserve"> clearing members any fees for participating in two CCPs. Whether these costs would be ongoing or not depends also on the way clients would adjust to the requirements: e.g. such costs may prompt certain clients (particularly smaller ones) to decide to clear in the EU only, to decrease the burden; in such a case, the identified costs could be reduced overtime. Clients are also likely to bear any other costs faced by clearing members, at least as long as clearing members face such costs. Similar to clearing members, benefits for clients would relate to reduced over-reliance on third-country CCPs. This would be an ongoing benefit.</w:t>
      </w:r>
      <w:r w:rsidR="00382B75" w:rsidRPr="002661A8">
        <w:rPr>
          <w:rFonts w:ascii="Times New Roman" w:eastAsia="Calibri" w:hAnsi="Times New Roman" w:cs="Times New Roman"/>
          <w:noProof/>
          <w:sz w:val="24"/>
          <w:szCs w:val="24"/>
        </w:rPr>
        <w:t xml:space="preserve"> Finally, clients will benefit from the specific option targeting them, i.e. the changes in funds and insurance frameworks, as discussed above. These benefits would be ongoing.</w:t>
      </w:r>
    </w:p>
    <w:p w14:paraId="5CDAD5A5" w14:textId="569178B6" w:rsidR="001C53E6" w:rsidRPr="002661A8" w:rsidRDefault="001C53E6" w:rsidP="001C53E6">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As in other cases </w:t>
      </w:r>
      <w:r w:rsidR="007E6B18" w:rsidRPr="002661A8">
        <w:rPr>
          <w:rFonts w:ascii="Times New Roman" w:eastAsia="Calibri" w:hAnsi="Times New Roman" w:cs="Times New Roman"/>
          <w:noProof/>
          <w:sz w:val="24"/>
          <w:szCs w:val="24"/>
        </w:rPr>
        <w:t xml:space="preserve">that </w:t>
      </w:r>
      <w:r w:rsidRPr="002661A8">
        <w:rPr>
          <w:rFonts w:ascii="Times New Roman" w:eastAsia="Calibri" w:hAnsi="Times New Roman" w:cs="Times New Roman"/>
          <w:noProof/>
          <w:sz w:val="24"/>
          <w:szCs w:val="24"/>
        </w:rPr>
        <w:t xml:space="preserve">new requirements are imposed, limited costs for </w:t>
      </w:r>
      <w:r w:rsidRPr="002661A8">
        <w:rPr>
          <w:rFonts w:ascii="Times New Roman" w:eastAsia="Calibri" w:hAnsi="Times New Roman" w:cs="Times New Roman"/>
          <w:b/>
          <w:noProof/>
          <w:sz w:val="24"/>
          <w:szCs w:val="24"/>
        </w:rPr>
        <w:t>supervisors</w:t>
      </w:r>
      <w:r w:rsidRPr="002661A8">
        <w:rPr>
          <w:rFonts w:ascii="Times New Roman" w:eastAsia="Calibri" w:hAnsi="Times New Roman" w:cs="Times New Roman"/>
          <w:noProof/>
          <w:sz w:val="24"/>
          <w:szCs w:val="24"/>
        </w:rPr>
        <w:t xml:space="preserve"> (including the SSM) would arise in terms of checking that such requirements are met. However, the overall effects are likely to be small as such costs would be integrated in ongoing supervision, so overall the impact is seen as neutral.</w:t>
      </w:r>
      <w:r w:rsidRPr="002661A8" w:rsidDel="004158E9">
        <w:rPr>
          <w:rFonts w:ascii="Times New Roman" w:eastAsia="Calibri" w:hAnsi="Times New Roman" w:cs="Times New Roman"/>
          <w:noProof/>
          <w:sz w:val="24"/>
          <w:szCs w:val="24"/>
        </w:rPr>
        <w:t xml:space="preserve"> </w:t>
      </w:r>
    </w:p>
    <w:p w14:paraId="2C974AB3" w14:textId="393C75FE" w:rsidR="001C53E6" w:rsidRPr="002661A8" w:rsidRDefault="001C53E6" w:rsidP="00D521A6">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b/>
          <w:noProof/>
          <w:sz w:val="24"/>
          <w:szCs w:val="24"/>
        </w:rPr>
        <w:t>ESMA and the ESAs</w:t>
      </w:r>
      <w:r w:rsidRPr="002661A8">
        <w:rPr>
          <w:rFonts w:ascii="Times New Roman" w:eastAsia="Calibri" w:hAnsi="Times New Roman" w:cs="Times New Roman"/>
          <w:noProof/>
          <w:sz w:val="24"/>
          <w:szCs w:val="24"/>
        </w:rPr>
        <w:t xml:space="preserve"> may have a role in the general monitoring of developments linked to these measures </w:t>
      </w:r>
      <w:r w:rsidR="007E6B18" w:rsidRPr="002661A8">
        <w:rPr>
          <w:rFonts w:ascii="Times New Roman" w:eastAsia="Calibri" w:hAnsi="Times New Roman" w:cs="Times New Roman"/>
          <w:noProof/>
          <w:sz w:val="24"/>
          <w:szCs w:val="24"/>
        </w:rPr>
        <w:t>t</w:t>
      </w:r>
      <w:r w:rsidR="00113223" w:rsidRPr="002661A8">
        <w:rPr>
          <w:rFonts w:ascii="Times New Roman" w:eastAsia="Calibri" w:hAnsi="Times New Roman" w:cs="Times New Roman"/>
          <w:noProof/>
          <w:sz w:val="24"/>
          <w:szCs w:val="24"/>
        </w:rPr>
        <w:t>h</w:t>
      </w:r>
      <w:r w:rsidR="007E6B18" w:rsidRPr="002661A8">
        <w:rPr>
          <w:rFonts w:ascii="Times New Roman" w:eastAsia="Calibri" w:hAnsi="Times New Roman" w:cs="Times New Roman"/>
          <w:noProof/>
          <w:sz w:val="24"/>
          <w:szCs w:val="24"/>
        </w:rPr>
        <w:t xml:space="preserve">rough a cross-sectoral monitoring mechanism (see </w:t>
      </w:r>
      <w:hyperlink w:anchor="_Option_2:_Targeted" w:history="1">
        <w:r w:rsidR="007E6B18" w:rsidRPr="002661A8">
          <w:rPr>
            <w:rStyle w:val="Hyperlink"/>
            <w:rFonts w:ascii="Times New Roman" w:eastAsia="Calibri" w:hAnsi="Times New Roman" w:cs="Times New Roman"/>
            <w:noProof/>
            <w:sz w:val="24"/>
            <w:szCs w:val="24"/>
          </w:rPr>
          <w:t>Section 7.3.1</w:t>
        </w:r>
      </w:hyperlink>
      <w:r w:rsidR="007E6B18" w:rsidRPr="002661A8">
        <w:rPr>
          <w:rFonts w:ascii="Times New Roman" w:eastAsia="Calibri" w:hAnsi="Times New Roman" w:cs="Times New Roman"/>
          <w:noProof/>
          <w:sz w:val="24"/>
          <w:szCs w:val="24"/>
        </w:rPr>
        <w:t>)</w:t>
      </w:r>
      <w:r w:rsidRPr="002661A8">
        <w:rPr>
          <w:rFonts w:ascii="Times New Roman" w:eastAsia="Calibri" w:hAnsi="Times New Roman" w:cs="Times New Roman"/>
          <w:noProof/>
          <w:sz w:val="24"/>
          <w:szCs w:val="24"/>
        </w:rPr>
        <w:t>. These costs would be ongoing.</w:t>
      </w:r>
    </w:p>
    <w:p w14:paraId="6CB2D91A" w14:textId="2EA961AF" w:rsidR="000923BE" w:rsidRPr="002661A8" w:rsidRDefault="000923BE" w:rsidP="00ED5088">
      <w:pPr>
        <w:pStyle w:val="Heading1"/>
        <w:numPr>
          <w:ilvl w:val="2"/>
          <w:numId w:val="6"/>
        </w:numPr>
        <w:spacing w:before="0" w:after="120"/>
        <w:rPr>
          <w:b w:val="0"/>
          <w:i/>
          <w:smallCaps w:val="0"/>
          <w:noProof/>
        </w:rPr>
      </w:pPr>
      <w:bookmarkStart w:id="1110" w:name="_Toc104310016"/>
      <w:bookmarkStart w:id="1111" w:name="_Toc105656456"/>
      <w:bookmarkStart w:id="1112" w:name="_Toc106827856"/>
      <w:bookmarkStart w:id="1113" w:name="_Toc106981732"/>
      <w:bookmarkStart w:id="1114" w:name="_Toc107493872"/>
      <w:bookmarkStart w:id="1115" w:name="_Toc107497908"/>
      <w:bookmarkStart w:id="1116" w:name="_Toc107503461"/>
      <w:bookmarkStart w:id="1117" w:name="_Toc107504609"/>
      <w:bookmarkStart w:id="1118" w:name="_Toc107505454"/>
      <w:bookmarkStart w:id="1119" w:name="_Toc107838930"/>
      <w:bookmarkStart w:id="1120" w:name="_Toc107847025"/>
      <w:bookmarkStart w:id="1121" w:name="_Toc107849262"/>
      <w:bookmarkStart w:id="1122" w:name="_Toc107853709"/>
      <w:bookmarkStart w:id="1123" w:name="_Toc107865303"/>
      <w:bookmarkStart w:id="1124" w:name="_Toc108418512"/>
      <w:bookmarkStart w:id="1125" w:name="_Toc108539604"/>
      <w:bookmarkStart w:id="1126" w:name="_Toc108539826"/>
      <w:bookmarkStart w:id="1127" w:name="_Toc108539944"/>
      <w:bookmarkStart w:id="1128" w:name="_Toc109057402"/>
      <w:bookmarkStart w:id="1129" w:name="_Toc109120768"/>
      <w:bookmarkStart w:id="1130" w:name="_Toc109122403"/>
      <w:bookmarkStart w:id="1131" w:name="_Toc109124116"/>
      <w:bookmarkStart w:id="1132" w:name="_Toc109133140"/>
      <w:bookmarkStart w:id="1133" w:name="_Toc109133316"/>
      <w:bookmarkStart w:id="1134" w:name="_Toc120291674"/>
      <w:r w:rsidRPr="002661A8">
        <w:rPr>
          <w:b w:val="0"/>
          <w:i/>
          <w:smallCaps w:val="0"/>
          <w:noProof/>
        </w:rPr>
        <w:t>Choice of preferred option</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3F7858D3" w14:textId="5591AFBE" w:rsidR="008D564C" w:rsidRPr="002661A8" w:rsidRDefault="008D564C" w:rsidP="00D9195F">
      <w:pPr>
        <w:pStyle w:val="Text1"/>
        <w:ind w:left="0"/>
        <w:rPr>
          <w:bCs/>
          <w:noProof/>
          <w:szCs w:val="24"/>
          <w:lang w:eastAsia="en-GB"/>
        </w:rPr>
      </w:pPr>
      <w:r w:rsidRPr="004A0FF2">
        <w:rPr>
          <w:iCs/>
          <w:noProof/>
          <w:szCs w:val="24"/>
          <w:lang w:eastAsia="en-GB"/>
        </w:rPr>
        <w:t xml:space="preserve">Option </w:t>
      </w:r>
      <w:r w:rsidR="00F60A62" w:rsidRPr="004A0FF2">
        <w:rPr>
          <w:iCs/>
          <w:noProof/>
          <w:szCs w:val="24"/>
          <w:lang w:eastAsia="en-GB"/>
        </w:rPr>
        <w:t>B</w:t>
      </w:r>
      <w:r w:rsidRPr="004A0FF2">
        <w:rPr>
          <w:iCs/>
          <w:noProof/>
          <w:szCs w:val="24"/>
          <w:lang w:eastAsia="en-GB"/>
        </w:rPr>
        <w:t>2 would</w:t>
      </w:r>
      <w:r w:rsidRPr="004A0FF2" w:rsidDel="005E2F69">
        <w:rPr>
          <w:iCs/>
          <w:noProof/>
          <w:szCs w:val="24"/>
          <w:lang w:eastAsia="en-GB"/>
        </w:rPr>
        <w:t xml:space="preserve"> </w:t>
      </w:r>
      <w:r w:rsidR="00D73F0A" w:rsidRPr="004A0FF2">
        <w:rPr>
          <w:iCs/>
          <w:noProof/>
          <w:szCs w:val="24"/>
          <w:lang w:eastAsia="en-GB"/>
        </w:rPr>
        <w:t xml:space="preserve">only </w:t>
      </w:r>
      <w:r w:rsidRPr="004A0FF2">
        <w:rPr>
          <w:iCs/>
          <w:noProof/>
          <w:szCs w:val="24"/>
          <w:lang w:eastAsia="en-GB"/>
        </w:rPr>
        <w:t xml:space="preserve">partially meet the objective of </w:t>
      </w:r>
      <w:r w:rsidR="00EE5774">
        <w:rPr>
          <w:iCs/>
          <w:noProof/>
          <w:szCs w:val="24"/>
        </w:rPr>
        <w:t>encouraging</w:t>
      </w:r>
      <w:r w:rsidR="00EE5774" w:rsidRPr="004A0FF2">
        <w:rPr>
          <w:iCs/>
          <w:noProof/>
          <w:szCs w:val="24"/>
        </w:rPr>
        <w:t xml:space="preserve"> </w:t>
      </w:r>
      <w:r w:rsidR="00D73F0A" w:rsidRPr="004A0FF2">
        <w:rPr>
          <w:iCs/>
          <w:noProof/>
          <w:szCs w:val="24"/>
        </w:rPr>
        <w:t>clearing in the EU</w:t>
      </w:r>
      <w:r w:rsidRPr="004A0FF2">
        <w:rPr>
          <w:iCs/>
          <w:noProof/>
          <w:szCs w:val="24"/>
          <w:lang w:eastAsia="en-GB"/>
        </w:rPr>
        <w:t xml:space="preserve">, as </w:t>
      </w:r>
      <w:r w:rsidR="00907BAF">
        <w:rPr>
          <w:iCs/>
          <w:noProof/>
          <w:szCs w:val="24"/>
          <w:lang w:eastAsia="en-GB"/>
        </w:rPr>
        <w:t xml:space="preserve">while </w:t>
      </w:r>
      <w:r w:rsidRPr="004A0FF2">
        <w:rPr>
          <w:iCs/>
          <w:noProof/>
          <w:szCs w:val="24"/>
          <w:lang w:eastAsia="en-GB"/>
        </w:rPr>
        <w:t>the</w:t>
      </w:r>
      <w:r w:rsidR="00A010C4" w:rsidRPr="004A0FF2">
        <w:rPr>
          <w:iCs/>
          <w:noProof/>
          <w:szCs w:val="24"/>
          <w:lang w:eastAsia="en-GB"/>
        </w:rPr>
        <w:t xml:space="preserve"> relevant</w:t>
      </w:r>
      <w:r w:rsidRPr="004A0FF2">
        <w:rPr>
          <w:iCs/>
          <w:noProof/>
          <w:szCs w:val="24"/>
          <w:lang w:eastAsia="en-GB"/>
        </w:rPr>
        <w:t xml:space="preserve"> </w:t>
      </w:r>
      <w:r w:rsidR="00D73F0A" w:rsidRPr="004A0FF2">
        <w:rPr>
          <w:iCs/>
          <w:noProof/>
          <w:szCs w:val="24"/>
          <w:lang w:eastAsia="en-GB"/>
        </w:rPr>
        <w:t xml:space="preserve">measures </w:t>
      </w:r>
      <w:r w:rsidR="00907BAF">
        <w:rPr>
          <w:iCs/>
          <w:noProof/>
          <w:szCs w:val="24"/>
          <w:lang w:eastAsia="en-GB"/>
        </w:rPr>
        <w:t>would</w:t>
      </w:r>
      <w:r w:rsidR="00D73F0A" w:rsidRPr="004A0FF2">
        <w:rPr>
          <w:iCs/>
          <w:noProof/>
          <w:szCs w:val="24"/>
          <w:lang w:eastAsia="en-GB"/>
        </w:rPr>
        <w:t xml:space="preserve"> limit or dis-incentivise banks’ excessive </w:t>
      </w:r>
      <w:r w:rsidR="002A40E2" w:rsidRPr="004A0FF2">
        <w:rPr>
          <w:iCs/>
          <w:noProof/>
          <w:szCs w:val="24"/>
          <w:lang w:eastAsia="en-GB"/>
        </w:rPr>
        <w:t xml:space="preserve">concentration of </w:t>
      </w:r>
      <w:r w:rsidR="00D73F0A" w:rsidRPr="004A0FF2">
        <w:rPr>
          <w:iCs/>
          <w:noProof/>
          <w:szCs w:val="24"/>
          <w:lang w:eastAsia="en-GB"/>
        </w:rPr>
        <w:t>exposures to</w:t>
      </w:r>
      <w:r w:rsidR="002A40E2" w:rsidRPr="004A0FF2">
        <w:rPr>
          <w:iCs/>
          <w:noProof/>
          <w:szCs w:val="24"/>
          <w:lang w:eastAsia="en-GB"/>
        </w:rPr>
        <w:t>wards</w:t>
      </w:r>
      <w:r w:rsidR="00D73F0A" w:rsidRPr="004A0FF2">
        <w:rPr>
          <w:iCs/>
          <w:noProof/>
          <w:szCs w:val="24"/>
          <w:lang w:eastAsia="en-GB"/>
        </w:rPr>
        <w:t xml:space="preserve"> CCPs, but </w:t>
      </w:r>
      <w:r w:rsidR="00907BAF">
        <w:rPr>
          <w:iCs/>
          <w:noProof/>
          <w:szCs w:val="24"/>
          <w:lang w:eastAsia="en-GB"/>
        </w:rPr>
        <w:t xml:space="preserve">would </w:t>
      </w:r>
      <w:r w:rsidR="00D73F0A" w:rsidRPr="004A0FF2">
        <w:rPr>
          <w:iCs/>
          <w:noProof/>
          <w:szCs w:val="24"/>
          <w:lang w:eastAsia="en-GB"/>
        </w:rPr>
        <w:t xml:space="preserve">not </w:t>
      </w:r>
      <w:r w:rsidR="00907BAF">
        <w:rPr>
          <w:iCs/>
          <w:noProof/>
          <w:szCs w:val="24"/>
          <w:lang w:eastAsia="en-GB"/>
        </w:rPr>
        <w:t xml:space="preserve">be </w:t>
      </w:r>
      <w:r w:rsidR="00D73F0A" w:rsidRPr="004A0FF2">
        <w:rPr>
          <w:iCs/>
          <w:noProof/>
          <w:szCs w:val="24"/>
          <w:lang w:eastAsia="en-GB"/>
        </w:rPr>
        <w:t>sufficient to ensure that</w:t>
      </w:r>
      <w:r w:rsidR="00907BAF">
        <w:rPr>
          <w:iCs/>
          <w:noProof/>
          <w:szCs w:val="24"/>
          <w:lang w:eastAsia="en-GB"/>
        </w:rPr>
        <w:t xml:space="preserve"> over reliance on third-country CCPs is reduced</w:t>
      </w:r>
      <w:r w:rsidR="00D73F0A" w:rsidRPr="004A0FF2">
        <w:rPr>
          <w:iCs/>
          <w:noProof/>
          <w:szCs w:val="24"/>
          <w:lang w:eastAsia="en-GB"/>
        </w:rPr>
        <w:t>. In addition, while this option</w:t>
      </w:r>
      <w:r w:rsidR="00D73F0A" w:rsidRPr="004A0FF2" w:rsidDel="00910E44">
        <w:rPr>
          <w:iCs/>
          <w:noProof/>
          <w:szCs w:val="24"/>
          <w:lang w:eastAsia="en-GB"/>
        </w:rPr>
        <w:t xml:space="preserve"> </w:t>
      </w:r>
      <w:r w:rsidR="00D73F0A" w:rsidRPr="004A0FF2">
        <w:rPr>
          <w:iCs/>
          <w:noProof/>
          <w:szCs w:val="24"/>
          <w:lang w:eastAsia="en-GB"/>
        </w:rPr>
        <w:t>target</w:t>
      </w:r>
      <w:r w:rsidR="00910E44" w:rsidRPr="004A0FF2">
        <w:rPr>
          <w:iCs/>
          <w:noProof/>
          <w:szCs w:val="24"/>
          <w:lang w:eastAsia="en-GB"/>
        </w:rPr>
        <w:t>s</w:t>
      </w:r>
      <w:r w:rsidR="00D73F0A" w:rsidRPr="004A0FF2">
        <w:rPr>
          <w:iCs/>
          <w:noProof/>
          <w:szCs w:val="24"/>
          <w:lang w:eastAsia="en-GB"/>
        </w:rPr>
        <w:t xml:space="preserve"> the most important clearing members, the </w:t>
      </w:r>
      <w:r w:rsidR="00A010C4" w:rsidRPr="004A0FF2">
        <w:rPr>
          <w:iCs/>
          <w:noProof/>
          <w:szCs w:val="24"/>
          <w:lang w:eastAsia="en-GB"/>
        </w:rPr>
        <w:t xml:space="preserve">related </w:t>
      </w:r>
      <w:r w:rsidR="00D73F0A" w:rsidRPr="004A0FF2">
        <w:rPr>
          <w:iCs/>
          <w:noProof/>
          <w:szCs w:val="24"/>
          <w:lang w:eastAsia="en-GB"/>
        </w:rPr>
        <w:t xml:space="preserve">costs need to be carefully considered. </w:t>
      </w:r>
      <w:r w:rsidR="00A010C4" w:rsidRPr="004A0FF2">
        <w:rPr>
          <w:iCs/>
          <w:noProof/>
          <w:szCs w:val="24"/>
          <w:lang w:eastAsia="en-GB"/>
        </w:rPr>
        <w:t>Consequently</w:t>
      </w:r>
      <w:r w:rsidR="00D73F0A" w:rsidRPr="004A0FF2">
        <w:rPr>
          <w:iCs/>
          <w:noProof/>
          <w:szCs w:val="24"/>
          <w:lang w:eastAsia="en-GB"/>
        </w:rPr>
        <w:t>, the sub-option relying on the Pillar 2 framework is cons</w:t>
      </w:r>
      <w:r w:rsidR="00382B75" w:rsidRPr="004A0FF2">
        <w:rPr>
          <w:iCs/>
          <w:noProof/>
          <w:szCs w:val="24"/>
          <w:lang w:eastAsia="en-GB"/>
        </w:rPr>
        <w:t>idered to be the most suitable</w:t>
      </w:r>
      <w:r w:rsidR="00A010C4" w:rsidRPr="004A0FF2">
        <w:rPr>
          <w:iCs/>
          <w:noProof/>
          <w:szCs w:val="24"/>
          <w:lang w:eastAsia="en-GB"/>
        </w:rPr>
        <w:t xml:space="preserve"> and </w:t>
      </w:r>
      <w:r w:rsidR="001C6DA6" w:rsidRPr="004A0FF2">
        <w:rPr>
          <w:iCs/>
          <w:noProof/>
          <w:szCs w:val="24"/>
          <w:lang w:eastAsia="en-GB"/>
        </w:rPr>
        <w:t xml:space="preserve">flexible enough to </w:t>
      </w:r>
      <w:r w:rsidR="00382B75" w:rsidRPr="004A0FF2">
        <w:rPr>
          <w:iCs/>
          <w:noProof/>
          <w:szCs w:val="24"/>
          <w:lang w:eastAsia="en-GB"/>
        </w:rPr>
        <w:t>take into account</w:t>
      </w:r>
      <w:r w:rsidR="001C6DA6" w:rsidRPr="004A0FF2">
        <w:rPr>
          <w:iCs/>
          <w:noProof/>
          <w:szCs w:val="24"/>
          <w:lang w:eastAsia="en-GB"/>
        </w:rPr>
        <w:t xml:space="preserve"> individual circumstances. </w:t>
      </w:r>
      <w:r w:rsidRPr="004A0FF2">
        <w:rPr>
          <w:iCs/>
          <w:noProof/>
          <w:szCs w:val="24"/>
        </w:rPr>
        <w:t xml:space="preserve">Option </w:t>
      </w:r>
      <w:r w:rsidR="00F60A62" w:rsidRPr="004A0FF2">
        <w:rPr>
          <w:iCs/>
          <w:noProof/>
          <w:szCs w:val="24"/>
        </w:rPr>
        <w:t>B</w:t>
      </w:r>
      <w:r w:rsidRPr="004A0FF2">
        <w:rPr>
          <w:iCs/>
          <w:noProof/>
          <w:szCs w:val="24"/>
        </w:rPr>
        <w:t xml:space="preserve">3 would </w:t>
      </w:r>
      <w:r w:rsidR="00D73F0A" w:rsidRPr="004A0FF2">
        <w:rPr>
          <w:iCs/>
          <w:noProof/>
          <w:szCs w:val="24"/>
        </w:rPr>
        <w:t xml:space="preserve">contribute to </w:t>
      </w:r>
      <w:r w:rsidRPr="004A0FF2">
        <w:rPr>
          <w:iCs/>
          <w:noProof/>
          <w:szCs w:val="24"/>
          <w:lang w:eastAsia="en-GB"/>
        </w:rPr>
        <w:t>meet</w:t>
      </w:r>
      <w:r w:rsidR="00D73F0A" w:rsidRPr="004A0FF2">
        <w:rPr>
          <w:iCs/>
          <w:noProof/>
          <w:szCs w:val="24"/>
          <w:lang w:eastAsia="en-GB"/>
        </w:rPr>
        <w:t>ing</w:t>
      </w:r>
      <w:r w:rsidRPr="004A0FF2">
        <w:rPr>
          <w:iCs/>
          <w:noProof/>
          <w:szCs w:val="24"/>
          <w:lang w:eastAsia="en-GB"/>
        </w:rPr>
        <w:t xml:space="preserve"> the objective, as </w:t>
      </w:r>
      <w:r w:rsidRPr="004A0FF2">
        <w:rPr>
          <w:iCs/>
          <w:noProof/>
          <w:szCs w:val="24"/>
        </w:rPr>
        <w:t xml:space="preserve">it </w:t>
      </w:r>
      <w:r w:rsidR="00D73F0A" w:rsidRPr="004A0FF2">
        <w:rPr>
          <w:iCs/>
          <w:noProof/>
          <w:szCs w:val="24"/>
        </w:rPr>
        <w:t>would require EU participants to hold an active account at an EU CCP wi</w:t>
      </w:r>
      <w:r w:rsidR="001C6DA6" w:rsidRPr="004A0FF2">
        <w:rPr>
          <w:iCs/>
          <w:noProof/>
          <w:szCs w:val="24"/>
        </w:rPr>
        <w:t xml:space="preserve">th increasing volumes. </w:t>
      </w:r>
      <w:r w:rsidR="00A010C4" w:rsidRPr="004A0FF2">
        <w:rPr>
          <w:iCs/>
          <w:noProof/>
          <w:szCs w:val="24"/>
        </w:rPr>
        <w:t>W</w:t>
      </w:r>
      <w:r w:rsidR="001C6DA6" w:rsidRPr="004A0FF2">
        <w:rPr>
          <w:iCs/>
          <w:noProof/>
          <w:szCs w:val="24"/>
        </w:rPr>
        <w:t xml:space="preserve">hile this option </w:t>
      </w:r>
      <w:r w:rsidR="00910E44" w:rsidRPr="004A0FF2">
        <w:rPr>
          <w:iCs/>
          <w:noProof/>
          <w:szCs w:val="24"/>
        </w:rPr>
        <w:t>could</w:t>
      </w:r>
      <w:r w:rsidR="001C6DA6" w:rsidRPr="004A0FF2">
        <w:rPr>
          <w:iCs/>
          <w:noProof/>
          <w:szCs w:val="24"/>
        </w:rPr>
        <w:t xml:space="preserve"> imply some costs for market participants, its actual cost impact will depend on the calibration and on how the market will adjust to the requirement overtime. Options </w:t>
      </w:r>
      <w:r w:rsidR="00F60A62" w:rsidRPr="004A0FF2">
        <w:rPr>
          <w:iCs/>
          <w:noProof/>
          <w:szCs w:val="24"/>
        </w:rPr>
        <w:t>B</w:t>
      </w:r>
      <w:r w:rsidR="001C6DA6" w:rsidRPr="004A0FF2">
        <w:rPr>
          <w:iCs/>
          <w:noProof/>
          <w:szCs w:val="24"/>
        </w:rPr>
        <w:t xml:space="preserve">4 and </w:t>
      </w:r>
      <w:r w:rsidR="00F60A62" w:rsidRPr="004A0FF2">
        <w:rPr>
          <w:iCs/>
          <w:noProof/>
          <w:szCs w:val="24"/>
        </w:rPr>
        <w:t>B</w:t>
      </w:r>
      <w:r w:rsidR="001C6DA6" w:rsidRPr="004A0FF2">
        <w:rPr>
          <w:iCs/>
          <w:noProof/>
          <w:szCs w:val="24"/>
        </w:rPr>
        <w:t>5 would</w:t>
      </w:r>
      <w:r w:rsidR="001C6DA6" w:rsidRPr="002661A8">
        <w:rPr>
          <w:noProof/>
          <w:szCs w:val="24"/>
        </w:rPr>
        <w:t xml:space="preserve"> also help</w:t>
      </w:r>
      <w:r w:rsidR="001C6DA6" w:rsidRPr="002661A8">
        <w:rPr>
          <w:noProof/>
          <w:szCs w:val="24"/>
          <w:lang w:eastAsia="en-GB"/>
        </w:rPr>
        <w:t xml:space="preserve"> meet the </w:t>
      </w:r>
      <w:r w:rsidR="001C6DA6" w:rsidRPr="002661A8">
        <w:rPr>
          <w:noProof/>
          <w:szCs w:val="24"/>
        </w:rPr>
        <w:t xml:space="preserve">specific objective of </w:t>
      </w:r>
      <w:r w:rsidR="007639A4">
        <w:rPr>
          <w:noProof/>
          <w:szCs w:val="24"/>
        </w:rPr>
        <w:t>encouraging</w:t>
      </w:r>
      <w:r w:rsidR="002D560E">
        <w:rPr>
          <w:noProof/>
          <w:szCs w:val="24"/>
        </w:rPr>
        <w:t xml:space="preserve"> </w:t>
      </w:r>
      <w:r w:rsidR="001C6DA6" w:rsidRPr="002661A8">
        <w:rPr>
          <w:noProof/>
          <w:szCs w:val="24"/>
        </w:rPr>
        <w:t>clearing in the EU</w:t>
      </w:r>
      <w:r w:rsidR="00485C29">
        <w:rPr>
          <w:noProof/>
          <w:szCs w:val="24"/>
        </w:rPr>
        <w:t xml:space="preserve"> by requiring clearing member and clients offering clearing services to inform </w:t>
      </w:r>
      <w:r w:rsidR="002E6FDA">
        <w:rPr>
          <w:noProof/>
          <w:szCs w:val="24"/>
        </w:rPr>
        <w:t xml:space="preserve">clients </w:t>
      </w:r>
      <w:r w:rsidR="00485C29">
        <w:rPr>
          <w:noProof/>
          <w:szCs w:val="24"/>
        </w:rPr>
        <w:t>about the possibility to clear in an EU CCP</w:t>
      </w:r>
      <w:r w:rsidR="00215A4D">
        <w:rPr>
          <w:noProof/>
          <w:szCs w:val="24"/>
        </w:rPr>
        <w:t xml:space="preserve"> and to improve transparency towards clients on collateral requirements</w:t>
      </w:r>
      <w:r w:rsidR="001C6DA6" w:rsidRPr="002661A8">
        <w:rPr>
          <w:noProof/>
          <w:szCs w:val="24"/>
        </w:rPr>
        <w:t xml:space="preserve">. </w:t>
      </w:r>
      <w:r w:rsidR="00A010C4" w:rsidRPr="002661A8">
        <w:rPr>
          <w:noProof/>
          <w:szCs w:val="24"/>
        </w:rPr>
        <w:t xml:space="preserve">However, they </w:t>
      </w:r>
      <w:r w:rsidR="001C6DA6" w:rsidRPr="002661A8">
        <w:rPr>
          <w:noProof/>
          <w:szCs w:val="24"/>
        </w:rPr>
        <w:t>would not be sufficient</w:t>
      </w:r>
      <w:r w:rsidR="00A010C4" w:rsidRPr="002661A8">
        <w:rPr>
          <w:noProof/>
          <w:szCs w:val="24"/>
        </w:rPr>
        <w:t xml:space="preserve"> on their own</w:t>
      </w:r>
      <w:r w:rsidR="001C6DA6" w:rsidRPr="002661A8">
        <w:rPr>
          <w:noProof/>
          <w:szCs w:val="24"/>
        </w:rPr>
        <w:t xml:space="preserve"> to fully meet the objective, as they target only </w:t>
      </w:r>
      <w:r w:rsidR="007E6B18" w:rsidRPr="002661A8">
        <w:rPr>
          <w:noProof/>
          <w:szCs w:val="24"/>
        </w:rPr>
        <w:t>certain</w:t>
      </w:r>
      <w:r w:rsidR="001C6DA6" w:rsidRPr="002661A8">
        <w:rPr>
          <w:noProof/>
          <w:szCs w:val="24"/>
        </w:rPr>
        <w:t xml:space="preserve"> actors</w:t>
      </w:r>
      <w:r w:rsidR="00215A4D">
        <w:rPr>
          <w:noProof/>
          <w:szCs w:val="24"/>
        </w:rPr>
        <w:t>, are measures merely designed to improve and enable clearing in EU CCPs,</w:t>
      </w:r>
      <w:r w:rsidR="001C6DA6" w:rsidRPr="002661A8">
        <w:rPr>
          <w:noProof/>
          <w:szCs w:val="24"/>
        </w:rPr>
        <w:t xml:space="preserve"> and, as regards the measures targeting insurance companies and investment funds, </w:t>
      </w:r>
      <w:r w:rsidR="00934732" w:rsidRPr="002661A8">
        <w:rPr>
          <w:noProof/>
          <w:szCs w:val="24"/>
        </w:rPr>
        <w:t xml:space="preserve">they </w:t>
      </w:r>
      <w:r w:rsidR="001C6DA6" w:rsidRPr="002661A8">
        <w:rPr>
          <w:noProof/>
          <w:szCs w:val="24"/>
        </w:rPr>
        <w:t xml:space="preserve">would not be sufficient per se to ensure that clearing happens at EU CCPs. </w:t>
      </w:r>
      <w:r w:rsidR="00A010C4" w:rsidRPr="002661A8">
        <w:rPr>
          <w:noProof/>
          <w:szCs w:val="24"/>
        </w:rPr>
        <w:t>T</w:t>
      </w:r>
      <w:r w:rsidR="00BE4675" w:rsidRPr="002661A8">
        <w:rPr>
          <w:noProof/>
          <w:szCs w:val="24"/>
        </w:rPr>
        <w:t xml:space="preserve">he impact </w:t>
      </w:r>
      <w:r w:rsidR="007F665E" w:rsidRPr="002661A8">
        <w:rPr>
          <w:noProof/>
          <w:szCs w:val="24"/>
        </w:rPr>
        <w:t xml:space="preserve">of these options </w:t>
      </w:r>
      <w:r w:rsidR="00BE4675" w:rsidRPr="002661A8">
        <w:rPr>
          <w:noProof/>
          <w:szCs w:val="24"/>
        </w:rPr>
        <w:t>in terms of costs is expected to be limited.</w:t>
      </w:r>
      <w:r w:rsidR="001C6DA6" w:rsidRPr="002661A8">
        <w:rPr>
          <w:noProof/>
          <w:szCs w:val="24"/>
        </w:rPr>
        <w:t xml:space="preserve"> </w:t>
      </w:r>
      <w:r w:rsidRPr="002661A8">
        <w:rPr>
          <w:noProof/>
          <w:szCs w:val="24"/>
        </w:rPr>
        <w:t xml:space="preserve">The combination of options </w:t>
      </w:r>
      <w:r w:rsidR="00F60A62">
        <w:rPr>
          <w:noProof/>
          <w:szCs w:val="24"/>
        </w:rPr>
        <w:t>B</w:t>
      </w:r>
      <w:r w:rsidRPr="002661A8">
        <w:rPr>
          <w:noProof/>
          <w:szCs w:val="24"/>
        </w:rPr>
        <w:t>2</w:t>
      </w:r>
      <w:r w:rsidR="007F665E" w:rsidRPr="002661A8">
        <w:rPr>
          <w:noProof/>
          <w:szCs w:val="24"/>
        </w:rPr>
        <w:t xml:space="preserve"> (Pillar 2 sub-option) to </w:t>
      </w:r>
      <w:r w:rsidR="00F60A62">
        <w:rPr>
          <w:noProof/>
          <w:szCs w:val="24"/>
        </w:rPr>
        <w:t>B</w:t>
      </w:r>
      <w:r w:rsidR="007F665E" w:rsidRPr="002661A8">
        <w:rPr>
          <w:noProof/>
          <w:szCs w:val="24"/>
        </w:rPr>
        <w:t>5, i</w:t>
      </w:r>
      <w:r w:rsidRPr="002661A8">
        <w:rPr>
          <w:noProof/>
          <w:szCs w:val="24"/>
        </w:rPr>
        <w:t>.e</w:t>
      </w:r>
      <w:r w:rsidRPr="004A0FF2">
        <w:rPr>
          <w:noProof/>
          <w:szCs w:val="24"/>
        </w:rPr>
        <w:t xml:space="preserve">. </w:t>
      </w:r>
      <w:r w:rsidR="007F665E" w:rsidRPr="004A0FF2">
        <w:rPr>
          <w:b/>
          <w:noProof/>
          <w:szCs w:val="24"/>
          <w:lang w:eastAsia="en-GB"/>
        </w:rPr>
        <w:t xml:space="preserve">Option </w:t>
      </w:r>
      <w:r w:rsidR="00F60A62" w:rsidRPr="004A0FF2">
        <w:rPr>
          <w:b/>
          <w:noProof/>
          <w:szCs w:val="24"/>
          <w:lang w:eastAsia="en-GB"/>
        </w:rPr>
        <w:t>B</w:t>
      </w:r>
      <w:r w:rsidR="007F665E" w:rsidRPr="004A0FF2">
        <w:rPr>
          <w:b/>
          <w:noProof/>
          <w:szCs w:val="24"/>
          <w:lang w:eastAsia="en-GB"/>
        </w:rPr>
        <w:t>6</w:t>
      </w:r>
      <w:r w:rsidRPr="004A0FF2">
        <w:rPr>
          <w:noProof/>
          <w:szCs w:val="24"/>
          <w:lang w:eastAsia="en-GB"/>
        </w:rPr>
        <w:t>, would</w:t>
      </w:r>
      <w:r w:rsidRPr="002661A8">
        <w:rPr>
          <w:noProof/>
          <w:szCs w:val="24"/>
          <w:lang w:eastAsia="en-GB"/>
        </w:rPr>
        <w:t xml:space="preserve"> be the most effective in meeting the specific objective</w:t>
      </w:r>
      <w:r w:rsidR="007F665E" w:rsidRPr="002661A8">
        <w:rPr>
          <w:noProof/>
          <w:szCs w:val="24"/>
          <w:lang w:eastAsia="en-GB"/>
        </w:rPr>
        <w:t xml:space="preserve"> of </w:t>
      </w:r>
      <w:r w:rsidR="00EE5774">
        <w:rPr>
          <w:noProof/>
          <w:szCs w:val="24"/>
          <w:lang w:eastAsia="en-GB"/>
        </w:rPr>
        <w:t>encouraging</w:t>
      </w:r>
      <w:r w:rsidR="00EE5774" w:rsidRPr="002661A8">
        <w:rPr>
          <w:noProof/>
          <w:szCs w:val="24"/>
          <w:lang w:eastAsia="en-GB"/>
        </w:rPr>
        <w:t xml:space="preserve"> </w:t>
      </w:r>
      <w:r w:rsidR="007F665E" w:rsidRPr="002661A8">
        <w:rPr>
          <w:noProof/>
          <w:szCs w:val="24"/>
          <w:lang w:eastAsia="en-GB"/>
        </w:rPr>
        <w:t>clearing in the EU</w:t>
      </w:r>
      <w:r w:rsidRPr="002661A8">
        <w:rPr>
          <w:noProof/>
          <w:szCs w:val="24"/>
          <w:lang w:eastAsia="en-GB"/>
        </w:rPr>
        <w:t xml:space="preserve"> and </w:t>
      </w:r>
      <w:r w:rsidR="007F665E" w:rsidRPr="002661A8">
        <w:rPr>
          <w:noProof/>
          <w:szCs w:val="24"/>
          <w:lang w:eastAsia="en-GB"/>
        </w:rPr>
        <w:t xml:space="preserve">is likely to have the lowest costs among all options </w:t>
      </w:r>
      <w:r w:rsidR="00910E44" w:rsidRPr="002661A8">
        <w:rPr>
          <w:noProof/>
          <w:szCs w:val="24"/>
          <w:lang w:eastAsia="en-GB"/>
        </w:rPr>
        <w:t>assessed</w:t>
      </w:r>
      <w:r w:rsidR="00A90172" w:rsidRPr="002661A8">
        <w:rPr>
          <w:noProof/>
          <w:szCs w:val="24"/>
          <w:lang w:eastAsia="en-GB"/>
        </w:rPr>
        <w:t>, as discussed above</w:t>
      </w:r>
      <w:r w:rsidR="007F665E" w:rsidRPr="002661A8">
        <w:rPr>
          <w:noProof/>
          <w:szCs w:val="24"/>
          <w:lang w:eastAsia="en-GB"/>
        </w:rPr>
        <w:t xml:space="preserve">. </w:t>
      </w:r>
      <w:r w:rsidR="000A2B61" w:rsidRPr="002661A8">
        <w:rPr>
          <w:noProof/>
          <w:szCs w:val="24"/>
          <w:lang w:eastAsia="en-GB"/>
        </w:rPr>
        <w:t>Such costs and their evolution</w:t>
      </w:r>
      <w:r w:rsidR="00E00C53" w:rsidRPr="002661A8">
        <w:rPr>
          <w:noProof/>
          <w:szCs w:val="24"/>
          <w:lang w:eastAsia="en-GB"/>
        </w:rPr>
        <w:t xml:space="preserve"> (i.e. possible decrease)</w:t>
      </w:r>
      <w:r w:rsidR="000A2B61" w:rsidRPr="002661A8">
        <w:rPr>
          <w:noProof/>
          <w:szCs w:val="24"/>
          <w:lang w:eastAsia="en-GB"/>
        </w:rPr>
        <w:t xml:space="preserve"> overtime will depend on the calibration of the demand measures</w:t>
      </w:r>
      <w:r w:rsidR="00E00C53" w:rsidRPr="002661A8">
        <w:rPr>
          <w:noProof/>
          <w:szCs w:val="24"/>
          <w:lang w:eastAsia="en-GB"/>
        </w:rPr>
        <w:t xml:space="preserve"> (through a level 2 measure</w:t>
      </w:r>
      <w:r w:rsidR="00BF5B1D">
        <w:rPr>
          <w:noProof/>
          <w:szCs w:val="24"/>
          <w:lang w:eastAsia="en-GB"/>
        </w:rPr>
        <w:t>. i.e. an RTS to be adopted by the Commission on the basis of the draft RTS submitted by ESMA,</w:t>
      </w:r>
      <w:r w:rsidR="00E00C53" w:rsidRPr="002661A8">
        <w:rPr>
          <w:noProof/>
          <w:szCs w:val="24"/>
          <w:lang w:eastAsia="en-GB"/>
        </w:rPr>
        <w:t xml:space="preserve"> for the active account), which will need to strike the balance between achieving the financial stability objectives and minimising costs for market participants (e.g. by requiring a gradual increase overtime of the activity in the account). </w:t>
      </w:r>
      <w:r w:rsidR="001C1D0E">
        <w:rPr>
          <w:noProof/>
          <w:szCs w:val="24"/>
          <w:lang w:eastAsia="en-GB"/>
        </w:rPr>
        <w:t xml:space="preserve">The use of </w:t>
      </w:r>
      <w:r w:rsidR="00BF5B1D">
        <w:rPr>
          <w:noProof/>
          <w:szCs w:val="24"/>
          <w:lang w:eastAsia="en-GB"/>
        </w:rPr>
        <w:t>l</w:t>
      </w:r>
      <w:r w:rsidR="001C1D0E">
        <w:rPr>
          <w:noProof/>
          <w:szCs w:val="24"/>
          <w:lang w:eastAsia="en-GB"/>
        </w:rPr>
        <w:t>evel 2 technical rules</w:t>
      </w:r>
      <w:r w:rsidR="004A0FF2">
        <w:rPr>
          <w:noProof/>
          <w:szCs w:val="24"/>
          <w:lang w:eastAsia="en-GB"/>
        </w:rPr>
        <w:t>, which are subject to public consultations and cost-benefit analysis,</w:t>
      </w:r>
      <w:r w:rsidR="001C1D0E">
        <w:rPr>
          <w:noProof/>
          <w:szCs w:val="24"/>
          <w:lang w:eastAsia="en-GB"/>
        </w:rPr>
        <w:t xml:space="preserve"> would also provide a degree of flexibility; the impact of these measures would be subject to close monitoring by </w:t>
      </w:r>
      <w:r w:rsidR="00F86009">
        <w:rPr>
          <w:noProof/>
          <w:szCs w:val="24"/>
          <w:lang w:eastAsia="en-GB"/>
        </w:rPr>
        <w:t>a</w:t>
      </w:r>
      <w:r w:rsidR="001C1D0E">
        <w:rPr>
          <w:noProof/>
          <w:szCs w:val="24"/>
          <w:lang w:eastAsia="en-GB"/>
        </w:rPr>
        <w:t xml:space="preserve"> Joint Monitoring Mechanism</w:t>
      </w:r>
      <w:r w:rsidR="00F86009">
        <w:rPr>
          <w:noProof/>
          <w:szCs w:val="24"/>
          <w:lang w:eastAsia="en-GB"/>
        </w:rPr>
        <w:t>, consisting of the ESAs, ECB, SSM and ESRB,</w:t>
      </w:r>
      <w:r w:rsidR="001C1D0E">
        <w:rPr>
          <w:noProof/>
          <w:szCs w:val="24"/>
          <w:lang w:eastAsia="en-GB"/>
        </w:rPr>
        <w:t xml:space="preserve"> to ensure that there are no unintended side effects. In the event such unintended side effects ensue, the technical requirements could be easily adjusted </w:t>
      </w:r>
      <w:r w:rsidR="00135947">
        <w:rPr>
          <w:noProof/>
          <w:szCs w:val="24"/>
          <w:lang w:eastAsia="en-GB"/>
        </w:rPr>
        <w:t xml:space="preserve">at the initiative of ESMA </w:t>
      </w:r>
      <w:r w:rsidR="001C1D0E">
        <w:rPr>
          <w:noProof/>
          <w:szCs w:val="24"/>
          <w:lang w:eastAsia="en-GB"/>
        </w:rPr>
        <w:t xml:space="preserve">to mitigate any unintended side effects. </w:t>
      </w:r>
      <w:r w:rsidRPr="002661A8">
        <w:rPr>
          <w:noProof/>
          <w:szCs w:val="24"/>
          <w:lang w:eastAsia="en-GB"/>
        </w:rPr>
        <w:t>This option</w:t>
      </w:r>
      <w:r w:rsidRPr="002661A8" w:rsidDel="005F7A6F">
        <w:rPr>
          <w:noProof/>
          <w:szCs w:val="24"/>
          <w:lang w:eastAsia="en-GB"/>
        </w:rPr>
        <w:t xml:space="preserve"> </w:t>
      </w:r>
      <w:r w:rsidRPr="002661A8">
        <w:rPr>
          <w:noProof/>
          <w:szCs w:val="24"/>
          <w:lang w:eastAsia="en-GB"/>
        </w:rPr>
        <w:t xml:space="preserve">would also </w:t>
      </w:r>
      <w:r w:rsidR="000704C7" w:rsidRPr="002661A8">
        <w:rPr>
          <w:noProof/>
          <w:szCs w:val="24"/>
          <w:lang w:eastAsia="en-GB"/>
        </w:rPr>
        <w:t>contribute to</w:t>
      </w:r>
      <w:r w:rsidR="007E6B18" w:rsidRPr="002661A8">
        <w:rPr>
          <w:noProof/>
          <w:szCs w:val="24"/>
          <w:lang w:eastAsia="en-GB"/>
        </w:rPr>
        <w:t xml:space="preserve"> the</w:t>
      </w:r>
      <w:r w:rsidRPr="002661A8">
        <w:rPr>
          <w:noProof/>
          <w:szCs w:val="24"/>
          <w:lang w:eastAsia="en-GB"/>
        </w:rPr>
        <w:t xml:space="preserve"> CMU </w:t>
      </w:r>
      <w:r w:rsidR="007F665E" w:rsidRPr="002661A8">
        <w:rPr>
          <w:noProof/>
          <w:szCs w:val="24"/>
          <w:lang w:eastAsia="en-GB"/>
        </w:rPr>
        <w:t>and open strategic autonomy</w:t>
      </w:r>
      <w:r w:rsidR="007E6B18" w:rsidRPr="002661A8">
        <w:rPr>
          <w:noProof/>
          <w:szCs w:val="24"/>
          <w:lang w:eastAsia="en-GB"/>
        </w:rPr>
        <w:t xml:space="preserve"> initiatives</w:t>
      </w:r>
      <w:r w:rsidR="007F665E" w:rsidRPr="002661A8">
        <w:rPr>
          <w:noProof/>
          <w:szCs w:val="24"/>
          <w:lang w:eastAsia="en-GB"/>
        </w:rPr>
        <w:t>, as well as</w:t>
      </w:r>
      <w:r w:rsidR="00140C0B" w:rsidRPr="002661A8">
        <w:rPr>
          <w:noProof/>
          <w:szCs w:val="24"/>
          <w:lang w:eastAsia="en-GB"/>
        </w:rPr>
        <w:t xml:space="preserve"> </w:t>
      </w:r>
      <w:r w:rsidR="007F665E" w:rsidRPr="002661A8">
        <w:rPr>
          <w:noProof/>
          <w:szCs w:val="24"/>
          <w:lang w:eastAsia="en-GB"/>
        </w:rPr>
        <w:t>financial stability</w:t>
      </w:r>
      <w:r w:rsidR="00140C0B" w:rsidRPr="002661A8">
        <w:rPr>
          <w:noProof/>
          <w:szCs w:val="24"/>
          <w:lang w:eastAsia="en-GB"/>
        </w:rPr>
        <w:t xml:space="preserve"> objectives</w:t>
      </w:r>
      <w:r w:rsidRPr="002661A8">
        <w:rPr>
          <w:noProof/>
          <w:szCs w:val="24"/>
          <w:lang w:eastAsia="en-GB"/>
        </w:rPr>
        <w:t xml:space="preserve">. </w:t>
      </w:r>
      <w:r w:rsidRPr="002661A8">
        <w:rPr>
          <w:bCs/>
          <w:noProof/>
          <w:szCs w:val="24"/>
          <w:lang w:eastAsia="en-GB"/>
        </w:rPr>
        <w:t>Hence, it is the preferred policy option</w:t>
      </w:r>
      <w:r w:rsidR="00910E44" w:rsidRPr="002661A8">
        <w:rPr>
          <w:bCs/>
          <w:noProof/>
          <w:szCs w:val="24"/>
          <w:lang w:eastAsia="en-GB"/>
        </w:rPr>
        <w:t>.</w:t>
      </w:r>
    </w:p>
    <w:tbl>
      <w:tblPr>
        <w:tblStyle w:val="TableGrid"/>
        <w:tblW w:w="8926" w:type="dxa"/>
        <w:jc w:val="center"/>
        <w:tblLayout w:type="fixed"/>
        <w:tblLook w:val="04A0" w:firstRow="1" w:lastRow="0" w:firstColumn="1" w:lastColumn="0" w:noHBand="0" w:noVBand="1"/>
      </w:tblPr>
      <w:tblGrid>
        <w:gridCol w:w="6"/>
        <w:gridCol w:w="2403"/>
        <w:gridCol w:w="992"/>
        <w:gridCol w:w="1276"/>
        <w:gridCol w:w="1559"/>
        <w:gridCol w:w="1559"/>
        <w:gridCol w:w="1125"/>
        <w:gridCol w:w="6"/>
      </w:tblGrid>
      <w:tr w:rsidR="002E5525" w:rsidRPr="002661A8" w14:paraId="325EDD50" w14:textId="77777777" w:rsidTr="00934309">
        <w:trPr>
          <w:gridAfter w:val="1"/>
          <w:wAfter w:w="6" w:type="dxa"/>
          <w:jc w:val="center"/>
        </w:trPr>
        <w:tc>
          <w:tcPr>
            <w:tcW w:w="2409" w:type="dxa"/>
            <w:gridSpan w:val="2"/>
            <w:vMerge w:val="restart"/>
            <w:vAlign w:val="center"/>
          </w:tcPr>
          <w:p w14:paraId="243FB3AE" w14:textId="77777777" w:rsidR="002E5525" w:rsidRPr="002661A8" w:rsidRDefault="002E5525" w:rsidP="00504DD5">
            <w:pPr>
              <w:tabs>
                <w:tab w:val="left" w:pos="2302"/>
              </w:tabs>
              <w:jc w:val="center"/>
              <w:rPr>
                <w:noProof/>
              </w:rPr>
            </w:pPr>
          </w:p>
        </w:tc>
        <w:tc>
          <w:tcPr>
            <w:tcW w:w="3827" w:type="dxa"/>
            <w:gridSpan w:val="3"/>
            <w:vAlign w:val="center"/>
          </w:tcPr>
          <w:p w14:paraId="3ADCF028" w14:textId="77777777" w:rsidR="002E5525" w:rsidRPr="002661A8" w:rsidRDefault="002E5525" w:rsidP="00504DD5">
            <w:pPr>
              <w:tabs>
                <w:tab w:val="left" w:pos="2302"/>
              </w:tabs>
              <w:jc w:val="center"/>
              <w:rPr>
                <w:noProof/>
              </w:rPr>
            </w:pPr>
            <w:r w:rsidRPr="002661A8">
              <w:rPr>
                <w:noProof/>
              </w:rPr>
              <w:t>Effectiveness</w:t>
            </w:r>
          </w:p>
        </w:tc>
        <w:tc>
          <w:tcPr>
            <w:tcW w:w="1559" w:type="dxa"/>
            <w:vMerge w:val="restart"/>
            <w:vAlign w:val="center"/>
          </w:tcPr>
          <w:p w14:paraId="48F5EF1F" w14:textId="78B3AA46" w:rsidR="002E5525" w:rsidRPr="002661A8" w:rsidRDefault="002E5525" w:rsidP="00504DD5">
            <w:pPr>
              <w:tabs>
                <w:tab w:val="left" w:pos="2302"/>
              </w:tabs>
              <w:jc w:val="center"/>
              <w:rPr>
                <w:noProof/>
              </w:rPr>
            </w:pPr>
            <w:r w:rsidRPr="002661A8">
              <w:rPr>
                <w:noProof/>
              </w:rPr>
              <w:t>Efficiency (cost- effectiveness)</w:t>
            </w:r>
          </w:p>
        </w:tc>
        <w:tc>
          <w:tcPr>
            <w:tcW w:w="1125" w:type="dxa"/>
            <w:vMerge w:val="restart"/>
            <w:vAlign w:val="center"/>
          </w:tcPr>
          <w:p w14:paraId="1DE341C5" w14:textId="77777777" w:rsidR="002E5525" w:rsidRPr="002661A8" w:rsidRDefault="002E5525" w:rsidP="00504DD5">
            <w:pPr>
              <w:tabs>
                <w:tab w:val="left" w:pos="2302"/>
              </w:tabs>
              <w:jc w:val="center"/>
              <w:rPr>
                <w:noProof/>
              </w:rPr>
            </w:pPr>
            <w:r w:rsidRPr="002661A8">
              <w:rPr>
                <w:noProof/>
              </w:rPr>
              <w:t>Coherence</w:t>
            </w:r>
          </w:p>
        </w:tc>
      </w:tr>
      <w:tr w:rsidR="002E5525" w:rsidRPr="002661A8" w14:paraId="06775597" w14:textId="77777777" w:rsidTr="00934309">
        <w:trPr>
          <w:gridAfter w:val="1"/>
          <w:wAfter w:w="6" w:type="dxa"/>
          <w:jc w:val="center"/>
        </w:trPr>
        <w:tc>
          <w:tcPr>
            <w:tcW w:w="2409" w:type="dxa"/>
            <w:gridSpan w:val="2"/>
            <w:vMerge/>
          </w:tcPr>
          <w:p w14:paraId="7C5D091F" w14:textId="77777777" w:rsidR="002E5525" w:rsidRPr="002661A8" w:rsidRDefault="002E5525" w:rsidP="00A61E96">
            <w:pPr>
              <w:tabs>
                <w:tab w:val="left" w:pos="2302"/>
              </w:tabs>
              <w:jc w:val="center"/>
              <w:rPr>
                <w:noProof/>
              </w:rPr>
            </w:pPr>
          </w:p>
        </w:tc>
        <w:tc>
          <w:tcPr>
            <w:tcW w:w="992" w:type="dxa"/>
          </w:tcPr>
          <w:p w14:paraId="1833D9E8" w14:textId="57F0926A" w:rsidR="002E5525" w:rsidRPr="002661A8" w:rsidRDefault="002E5525" w:rsidP="00A61E96">
            <w:pPr>
              <w:tabs>
                <w:tab w:val="left" w:pos="2302"/>
              </w:tabs>
              <w:jc w:val="center"/>
              <w:rPr>
                <w:noProof/>
              </w:rPr>
            </w:pPr>
            <w:r w:rsidRPr="002661A8">
              <w:rPr>
                <w:noProof/>
              </w:rPr>
              <w:t xml:space="preserve">Improve </w:t>
            </w:r>
            <w:r w:rsidR="0083377E" w:rsidRPr="002661A8">
              <w:rPr>
                <w:noProof/>
              </w:rPr>
              <w:t xml:space="preserve">attractiveness </w:t>
            </w:r>
            <w:r w:rsidRPr="002661A8">
              <w:rPr>
                <w:noProof/>
              </w:rPr>
              <w:t>of EU CCPs</w:t>
            </w:r>
          </w:p>
        </w:tc>
        <w:tc>
          <w:tcPr>
            <w:tcW w:w="1276" w:type="dxa"/>
          </w:tcPr>
          <w:p w14:paraId="183B65A3" w14:textId="77777777" w:rsidR="002E5525" w:rsidRPr="002661A8" w:rsidRDefault="002E5525" w:rsidP="00A61E96">
            <w:pPr>
              <w:tabs>
                <w:tab w:val="left" w:pos="2302"/>
              </w:tabs>
              <w:jc w:val="center"/>
              <w:rPr>
                <w:noProof/>
              </w:rPr>
            </w:pPr>
            <w:r w:rsidRPr="002661A8">
              <w:rPr>
                <w:noProof/>
              </w:rPr>
              <w:t>Encourage clearing in EU CCPs</w:t>
            </w:r>
          </w:p>
        </w:tc>
        <w:tc>
          <w:tcPr>
            <w:tcW w:w="1559" w:type="dxa"/>
          </w:tcPr>
          <w:p w14:paraId="39B6D537" w14:textId="44155198" w:rsidR="002E5525" w:rsidRPr="002661A8" w:rsidRDefault="002E5525" w:rsidP="00A61E96">
            <w:pPr>
              <w:tabs>
                <w:tab w:val="left" w:pos="2302"/>
              </w:tabs>
              <w:jc w:val="center"/>
              <w:rPr>
                <w:noProof/>
              </w:rPr>
            </w:pPr>
            <w:r w:rsidRPr="002661A8">
              <w:rPr>
                <w:noProof/>
              </w:rPr>
              <w:t>Enhance the assessment and management of cross-border risks</w:t>
            </w:r>
          </w:p>
        </w:tc>
        <w:tc>
          <w:tcPr>
            <w:tcW w:w="1559" w:type="dxa"/>
            <w:vMerge/>
          </w:tcPr>
          <w:p w14:paraId="361E5EE5" w14:textId="77777777" w:rsidR="002E5525" w:rsidRPr="002661A8" w:rsidRDefault="002E5525" w:rsidP="006B1602">
            <w:pPr>
              <w:tabs>
                <w:tab w:val="left" w:pos="2302"/>
              </w:tabs>
              <w:jc w:val="center"/>
              <w:rPr>
                <w:noProof/>
              </w:rPr>
            </w:pPr>
          </w:p>
        </w:tc>
        <w:tc>
          <w:tcPr>
            <w:tcW w:w="1125" w:type="dxa"/>
            <w:vMerge/>
          </w:tcPr>
          <w:p w14:paraId="462B4EB5" w14:textId="77777777" w:rsidR="002E5525" w:rsidRPr="002661A8" w:rsidRDefault="002E5525" w:rsidP="006B1602">
            <w:pPr>
              <w:tabs>
                <w:tab w:val="left" w:pos="2302"/>
              </w:tabs>
              <w:jc w:val="center"/>
              <w:rPr>
                <w:noProof/>
              </w:rPr>
            </w:pPr>
          </w:p>
        </w:tc>
      </w:tr>
      <w:tr w:rsidR="00F66DD4" w:rsidRPr="002661A8" w14:paraId="79CC7865" w14:textId="77777777" w:rsidTr="00934309">
        <w:trPr>
          <w:jc w:val="center"/>
        </w:trPr>
        <w:tc>
          <w:tcPr>
            <w:tcW w:w="2409" w:type="dxa"/>
            <w:gridSpan w:val="2"/>
            <w:tcBorders>
              <w:top w:val="single" w:sz="4" w:space="0" w:color="auto"/>
              <w:left w:val="single" w:sz="4" w:space="0" w:color="auto"/>
              <w:bottom w:val="single" w:sz="4" w:space="0" w:color="auto"/>
              <w:right w:val="single" w:sz="4" w:space="0" w:color="auto"/>
            </w:tcBorders>
            <w:vAlign w:val="center"/>
          </w:tcPr>
          <w:p w14:paraId="4CAE9CF0" w14:textId="1B3CA311" w:rsidR="000923BE" w:rsidRPr="002661A8" w:rsidRDefault="000923BE" w:rsidP="00504DD5">
            <w:pPr>
              <w:tabs>
                <w:tab w:val="left" w:pos="2302"/>
              </w:tabs>
              <w:jc w:val="center"/>
              <w:rPr>
                <w:i/>
                <w:noProof/>
              </w:rPr>
            </w:pPr>
            <w:r w:rsidRPr="002661A8">
              <w:rPr>
                <w:noProof/>
              </w:rPr>
              <w:t xml:space="preserve">Option </w:t>
            </w:r>
            <w:r w:rsidR="00A8027C">
              <w:rPr>
                <w:noProof/>
              </w:rPr>
              <w:t>B</w:t>
            </w:r>
            <w:r w:rsidRPr="002661A8">
              <w:rPr>
                <w:noProof/>
              </w:rPr>
              <w:t>2</w:t>
            </w:r>
          </w:p>
        </w:tc>
        <w:tc>
          <w:tcPr>
            <w:tcW w:w="992" w:type="dxa"/>
            <w:tcBorders>
              <w:top w:val="single" w:sz="4" w:space="0" w:color="auto"/>
              <w:left w:val="single" w:sz="4" w:space="0" w:color="auto"/>
              <w:bottom w:val="single" w:sz="4" w:space="0" w:color="auto"/>
              <w:right w:val="single" w:sz="4" w:space="0" w:color="auto"/>
            </w:tcBorders>
            <w:vAlign w:val="center"/>
          </w:tcPr>
          <w:p w14:paraId="61C77F7F" w14:textId="1F70B8AD" w:rsidR="000923BE" w:rsidRPr="002661A8" w:rsidRDefault="00233624" w:rsidP="00504DD5">
            <w:pPr>
              <w:tabs>
                <w:tab w:val="left" w:pos="2302"/>
              </w:tabs>
              <w:jc w:val="center"/>
              <w:rPr>
                <w:noProof/>
              </w:rPr>
            </w:pPr>
            <w:r w:rsidRPr="002661A8">
              <w:rPr>
                <w:noProof/>
              </w:rPr>
              <w:t>0/+</w:t>
            </w:r>
          </w:p>
        </w:tc>
        <w:tc>
          <w:tcPr>
            <w:tcW w:w="1276" w:type="dxa"/>
            <w:tcBorders>
              <w:top w:val="single" w:sz="4" w:space="0" w:color="auto"/>
              <w:left w:val="single" w:sz="4" w:space="0" w:color="auto"/>
              <w:bottom w:val="single" w:sz="4" w:space="0" w:color="auto"/>
              <w:right w:val="single" w:sz="4" w:space="0" w:color="auto"/>
            </w:tcBorders>
            <w:vAlign w:val="center"/>
          </w:tcPr>
          <w:p w14:paraId="3D7322F3" w14:textId="6D53A247" w:rsidR="000923BE" w:rsidRPr="002661A8" w:rsidRDefault="00CD5229" w:rsidP="00504DD5">
            <w:pPr>
              <w:tabs>
                <w:tab w:val="left" w:pos="2302"/>
              </w:tabs>
              <w:jc w:val="center"/>
              <w:rPr>
                <w:noProof/>
              </w:rPr>
            </w:pPr>
            <w:r w:rsidRPr="002661A8" w:rsidDel="003F18ED">
              <w:rPr>
                <w:noProof/>
              </w:rPr>
              <w:t>+</w:t>
            </w:r>
          </w:p>
        </w:tc>
        <w:tc>
          <w:tcPr>
            <w:tcW w:w="1559" w:type="dxa"/>
            <w:tcBorders>
              <w:top w:val="single" w:sz="4" w:space="0" w:color="auto"/>
              <w:left w:val="single" w:sz="4" w:space="0" w:color="auto"/>
              <w:bottom w:val="single" w:sz="4" w:space="0" w:color="auto"/>
              <w:right w:val="single" w:sz="4" w:space="0" w:color="auto"/>
            </w:tcBorders>
            <w:vAlign w:val="center"/>
          </w:tcPr>
          <w:p w14:paraId="051088C4" w14:textId="04184375" w:rsidR="000923BE" w:rsidRPr="002661A8" w:rsidRDefault="00F40166" w:rsidP="00504DD5">
            <w:pPr>
              <w:tabs>
                <w:tab w:val="left" w:pos="2302"/>
              </w:tabs>
              <w:jc w:val="center"/>
              <w:rPr>
                <w:noProof/>
              </w:rPr>
            </w:pPr>
            <w:r w:rsidRPr="002661A8">
              <w:rPr>
                <w:noProof/>
              </w:rPr>
              <w:t>+</w:t>
            </w:r>
          </w:p>
        </w:tc>
        <w:tc>
          <w:tcPr>
            <w:tcW w:w="1559" w:type="dxa"/>
            <w:tcBorders>
              <w:top w:val="single" w:sz="4" w:space="0" w:color="auto"/>
              <w:left w:val="single" w:sz="4" w:space="0" w:color="auto"/>
              <w:bottom w:val="single" w:sz="4" w:space="0" w:color="auto"/>
              <w:right w:val="single" w:sz="4" w:space="0" w:color="auto"/>
            </w:tcBorders>
            <w:vAlign w:val="center"/>
          </w:tcPr>
          <w:p w14:paraId="665B7B6D" w14:textId="1C3CA2CF" w:rsidR="000923BE" w:rsidRPr="002661A8" w:rsidRDefault="008224AA" w:rsidP="00504DD5">
            <w:pPr>
              <w:tabs>
                <w:tab w:val="left" w:pos="2302"/>
              </w:tabs>
              <w:jc w:val="center"/>
              <w:rPr>
                <w:noProof/>
              </w:rPr>
            </w:pPr>
            <w:r w:rsidRPr="002661A8">
              <w:rPr>
                <w:noProof/>
              </w:rPr>
              <w:t>-</w:t>
            </w:r>
            <w:r w:rsidR="009967DB" w:rsidRPr="002661A8">
              <w:rPr>
                <w:noProof/>
              </w:rPr>
              <w:t>/--</w:t>
            </w:r>
          </w:p>
        </w:tc>
        <w:tc>
          <w:tcPr>
            <w:tcW w:w="1131" w:type="dxa"/>
            <w:gridSpan w:val="2"/>
            <w:tcBorders>
              <w:top w:val="single" w:sz="4" w:space="0" w:color="auto"/>
              <w:left w:val="single" w:sz="4" w:space="0" w:color="auto"/>
              <w:bottom w:val="single" w:sz="4" w:space="0" w:color="auto"/>
              <w:right w:val="single" w:sz="4" w:space="0" w:color="auto"/>
            </w:tcBorders>
            <w:vAlign w:val="center"/>
          </w:tcPr>
          <w:p w14:paraId="5E9AF597" w14:textId="2A8636DE" w:rsidR="000923BE" w:rsidRPr="002661A8" w:rsidRDefault="008224AA" w:rsidP="00504DD5">
            <w:pPr>
              <w:tabs>
                <w:tab w:val="left" w:pos="2302"/>
              </w:tabs>
              <w:jc w:val="center"/>
              <w:rPr>
                <w:noProof/>
              </w:rPr>
            </w:pPr>
            <w:r w:rsidRPr="002661A8" w:rsidDel="003F18ED">
              <w:rPr>
                <w:noProof/>
              </w:rPr>
              <w:t>+</w:t>
            </w:r>
          </w:p>
        </w:tc>
      </w:tr>
      <w:tr w:rsidR="00F66DD4" w:rsidRPr="002661A8" w14:paraId="76FD0E33" w14:textId="77777777" w:rsidTr="00934309">
        <w:trPr>
          <w:gridBefore w:val="1"/>
          <w:wBefore w:w="6" w:type="dxa"/>
          <w:jc w:val="center"/>
        </w:trPr>
        <w:tc>
          <w:tcPr>
            <w:tcW w:w="24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3B307" w14:textId="0079B511" w:rsidR="000923BE" w:rsidRPr="002661A8" w:rsidRDefault="000923BE" w:rsidP="00504DD5">
            <w:pPr>
              <w:tabs>
                <w:tab w:val="left" w:pos="2302"/>
              </w:tabs>
              <w:jc w:val="center"/>
              <w:rPr>
                <w:noProof/>
              </w:rPr>
            </w:pPr>
            <w:r w:rsidRPr="002661A8">
              <w:rPr>
                <w:noProof/>
              </w:rPr>
              <w:t xml:space="preserve">Option </w:t>
            </w:r>
            <w:r w:rsidR="00A8027C">
              <w:rPr>
                <w:noProof/>
              </w:rPr>
              <w:t>B</w:t>
            </w:r>
            <w:r w:rsidRPr="002661A8">
              <w:rPr>
                <w:noProof/>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67E298" w14:textId="6D994EA2" w:rsidR="000923BE" w:rsidRPr="002661A8" w:rsidRDefault="00233624" w:rsidP="00504DD5">
            <w:pPr>
              <w:tabs>
                <w:tab w:val="left" w:pos="2302"/>
              </w:tabs>
              <w:jc w:val="center"/>
              <w:rPr>
                <w:noProof/>
              </w:rPr>
            </w:pPr>
            <w:r w:rsidRPr="002661A8">
              <w:rPr>
                <w:noProof/>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6CACE6" w14:textId="1BD906C8" w:rsidR="000923BE" w:rsidRPr="002661A8" w:rsidRDefault="00597338" w:rsidP="00504DD5">
            <w:pPr>
              <w:tabs>
                <w:tab w:val="left" w:pos="2302"/>
              </w:tabs>
              <w:jc w:val="center"/>
              <w:rPr>
                <w:noProof/>
              </w:rPr>
            </w:pPr>
            <w:r w:rsidRPr="002661A8">
              <w:rPr>
                <w:noProof/>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1B891" w14:textId="0B011B47" w:rsidR="000923BE" w:rsidRPr="002661A8" w:rsidRDefault="00F40166" w:rsidP="00504DD5">
            <w:pPr>
              <w:tabs>
                <w:tab w:val="left" w:pos="2302"/>
              </w:tabs>
              <w:jc w:val="center"/>
              <w:rPr>
                <w:noProof/>
              </w:rPr>
            </w:pPr>
            <w:r w:rsidRPr="002661A8">
              <w:rPr>
                <w:noProof/>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825151" w14:textId="3279E4FE" w:rsidR="000923BE" w:rsidRPr="002661A8" w:rsidRDefault="00597338" w:rsidP="00504DD5">
            <w:pPr>
              <w:tabs>
                <w:tab w:val="left" w:pos="2302"/>
              </w:tabs>
              <w:jc w:val="center"/>
              <w:rPr>
                <w:noProof/>
              </w:rPr>
            </w:pPr>
            <w:r w:rsidRPr="002661A8">
              <w:rPr>
                <w:noProof/>
              </w:rPr>
              <w:t>-</w:t>
            </w:r>
          </w:p>
        </w:tc>
        <w:tc>
          <w:tcPr>
            <w:tcW w:w="11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766492" w14:textId="0FD585F5" w:rsidR="000923BE" w:rsidRPr="002661A8" w:rsidRDefault="00597338" w:rsidP="00504DD5">
            <w:pPr>
              <w:tabs>
                <w:tab w:val="left" w:pos="2302"/>
              </w:tabs>
              <w:jc w:val="center"/>
              <w:rPr>
                <w:noProof/>
              </w:rPr>
            </w:pPr>
            <w:r w:rsidRPr="002661A8">
              <w:rPr>
                <w:noProof/>
              </w:rPr>
              <w:t>++</w:t>
            </w:r>
          </w:p>
        </w:tc>
      </w:tr>
      <w:tr w:rsidR="00814D69" w:rsidRPr="002661A8" w14:paraId="0143C6C9" w14:textId="77777777" w:rsidTr="00934309">
        <w:trPr>
          <w:gridBefore w:val="1"/>
          <w:wBefore w:w="6" w:type="dxa"/>
          <w:jc w:val="center"/>
        </w:trPr>
        <w:tc>
          <w:tcPr>
            <w:tcW w:w="2403" w:type="dxa"/>
            <w:tcBorders>
              <w:top w:val="single" w:sz="4" w:space="0" w:color="auto"/>
              <w:left w:val="single" w:sz="4" w:space="0" w:color="auto"/>
              <w:bottom w:val="single" w:sz="4" w:space="0" w:color="auto"/>
              <w:right w:val="single" w:sz="4" w:space="0" w:color="auto"/>
            </w:tcBorders>
            <w:shd w:val="clear" w:color="auto" w:fill="auto"/>
            <w:vAlign w:val="center"/>
          </w:tcPr>
          <w:p w14:paraId="62F758B1" w14:textId="4635A7D8" w:rsidR="00034667" w:rsidRPr="002661A8" w:rsidRDefault="00034667" w:rsidP="00504DD5">
            <w:pPr>
              <w:tabs>
                <w:tab w:val="left" w:pos="2302"/>
              </w:tabs>
              <w:jc w:val="center"/>
              <w:rPr>
                <w:noProof/>
              </w:rPr>
            </w:pPr>
            <w:r w:rsidRPr="002661A8">
              <w:rPr>
                <w:noProof/>
              </w:rPr>
              <w:t xml:space="preserve">Option </w:t>
            </w:r>
            <w:r w:rsidR="00A8027C">
              <w:rPr>
                <w:noProof/>
              </w:rPr>
              <w:t>B</w:t>
            </w:r>
            <w:r w:rsidRPr="002661A8">
              <w:rPr>
                <w:noProof/>
              </w:rPr>
              <w:t xml:space="preserve">4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126062" w14:textId="0A8EBD1E" w:rsidR="00034667" w:rsidRPr="002661A8" w:rsidRDefault="00034667" w:rsidP="00504DD5">
            <w:pPr>
              <w:tabs>
                <w:tab w:val="left" w:pos="2302"/>
              </w:tabs>
              <w:jc w:val="center"/>
              <w:rPr>
                <w:noProof/>
              </w:rPr>
            </w:pPr>
            <w:r w:rsidRPr="002661A8">
              <w:rPr>
                <w:noProof/>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086086" w14:textId="678D1AB5" w:rsidR="00034667" w:rsidRPr="002661A8" w:rsidRDefault="00034667" w:rsidP="00504DD5">
            <w:pPr>
              <w:tabs>
                <w:tab w:val="left" w:pos="2302"/>
              </w:tabs>
              <w:jc w:val="center"/>
              <w:rPr>
                <w:noProof/>
              </w:rPr>
            </w:pPr>
            <w:r w:rsidRPr="002661A8">
              <w:rPr>
                <w:noProof/>
              </w:rPr>
              <w:t>+</w:t>
            </w:r>
            <w:r w:rsidR="008E442B" w:rsidRPr="002661A8">
              <w:rPr>
                <w:noProof/>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E6BD51D" w14:textId="2F6420E4" w:rsidR="00034667" w:rsidRPr="002661A8" w:rsidRDefault="00034667" w:rsidP="00504DD5">
            <w:pPr>
              <w:tabs>
                <w:tab w:val="left" w:pos="2302"/>
              </w:tabs>
              <w:jc w:val="center"/>
              <w:rPr>
                <w:noProof/>
              </w:rPr>
            </w:pPr>
            <w:r w:rsidRPr="002661A8">
              <w:rPr>
                <w:noProof/>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9DB8A9B" w14:textId="281497E2" w:rsidR="00034667" w:rsidRPr="002661A8" w:rsidRDefault="00034667" w:rsidP="00504DD5">
            <w:pPr>
              <w:tabs>
                <w:tab w:val="left" w:pos="2302"/>
              </w:tabs>
              <w:jc w:val="center"/>
              <w:rPr>
                <w:noProof/>
              </w:rPr>
            </w:pPr>
            <w:r w:rsidRPr="002661A8">
              <w:rPr>
                <w:noProof/>
              </w:rPr>
              <w:t>-</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614AAF" w14:textId="2CF28969" w:rsidR="00034667" w:rsidRPr="002661A8" w:rsidRDefault="00034667" w:rsidP="00504DD5">
            <w:pPr>
              <w:tabs>
                <w:tab w:val="left" w:pos="2302"/>
              </w:tabs>
              <w:jc w:val="center"/>
              <w:rPr>
                <w:noProof/>
              </w:rPr>
            </w:pPr>
            <w:r w:rsidRPr="002661A8">
              <w:rPr>
                <w:noProof/>
              </w:rPr>
              <w:t>+/-</w:t>
            </w:r>
          </w:p>
        </w:tc>
      </w:tr>
      <w:tr w:rsidR="00814D69" w:rsidRPr="002661A8" w14:paraId="680D09C6" w14:textId="77777777" w:rsidTr="00934309">
        <w:trPr>
          <w:gridBefore w:val="1"/>
          <w:wBefore w:w="6" w:type="dxa"/>
          <w:jc w:val="center"/>
        </w:trPr>
        <w:tc>
          <w:tcPr>
            <w:tcW w:w="2403" w:type="dxa"/>
            <w:tcBorders>
              <w:top w:val="single" w:sz="4" w:space="0" w:color="auto"/>
              <w:left w:val="single" w:sz="4" w:space="0" w:color="auto"/>
              <w:bottom w:val="single" w:sz="4" w:space="0" w:color="auto"/>
              <w:right w:val="single" w:sz="4" w:space="0" w:color="auto"/>
            </w:tcBorders>
            <w:shd w:val="clear" w:color="auto" w:fill="auto"/>
            <w:vAlign w:val="center"/>
          </w:tcPr>
          <w:p w14:paraId="52C8A3E7" w14:textId="56B73EC7" w:rsidR="000923BE" w:rsidRPr="002661A8" w:rsidRDefault="000923BE" w:rsidP="00504DD5">
            <w:pPr>
              <w:tabs>
                <w:tab w:val="left" w:pos="2302"/>
              </w:tabs>
              <w:jc w:val="center"/>
              <w:rPr>
                <w:noProof/>
              </w:rPr>
            </w:pPr>
            <w:r w:rsidRPr="002661A8">
              <w:rPr>
                <w:noProof/>
              </w:rPr>
              <w:t xml:space="preserve">Option </w:t>
            </w:r>
            <w:r w:rsidR="00A8027C">
              <w:rPr>
                <w:noProof/>
              </w:rPr>
              <w:t>B</w:t>
            </w:r>
            <w:r w:rsidRPr="002661A8">
              <w:rPr>
                <w:noProof/>
              </w:rPr>
              <w:t xml:space="preserve">5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44AD2E" w14:textId="1DBE0473" w:rsidR="000923BE" w:rsidRPr="002661A8" w:rsidRDefault="002E6FF7" w:rsidP="00504DD5">
            <w:pPr>
              <w:tabs>
                <w:tab w:val="left" w:pos="2302"/>
              </w:tabs>
              <w:jc w:val="center"/>
              <w:rPr>
                <w:noProof/>
              </w:rPr>
            </w:pPr>
            <w:r w:rsidRPr="002661A8">
              <w:rPr>
                <w:noProof/>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3B4BCDD" w14:textId="72AA079D" w:rsidR="000923BE" w:rsidRPr="002661A8" w:rsidRDefault="008E442B" w:rsidP="00504DD5">
            <w:pPr>
              <w:tabs>
                <w:tab w:val="left" w:pos="2302"/>
              </w:tabs>
              <w:jc w:val="center"/>
              <w:rPr>
                <w:noProof/>
              </w:rPr>
            </w:pPr>
            <w:r w:rsidRPr="002661A8">
              <w:rPr>
                <w:noProof/>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7BE4D92" w14:textId="61AD0B62" w:rsidR="000923BE" w:rsidRPr="002661A8" w:rsidRDefault="002E6FF7" w:rsidP="00504DD5">
            <w:pPr>
              <w:tabs>
                <w:tab w:val="left" w:pos="2302"/>
              </w:tabs>
              <w:jc w:val="center"/>
              <w:rPr>
                <w:noProof/>
              </w:rPr>
            </w:pPr>
            <w:r w:rsidRPr="002661A8">
              <w:rPr>
                <w:noProof/>
              </w:rPr>
              <w:t>0</w:t>
            </w:r>
            <w:r w:rsidR="00F40166" w:rsidRPr="002661A8">
              <w:rPr>
                <w:noProof/>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AB28101" w14:textId="46E031EA" w:rsidR="000923BE" w:rsidRPr="002661A8" w:rsidRDefault="002E6FF7" w:rsidP="00504DD5">
            <w:pPr>
              <w:tabs>
                <w:tab w:val="left" w:pos="2302"/>
              </w:tabs>
              <w:jc w:val="center"/>
              <w:rPr>
                <w:noProof/>
              </w:rPr>
            </w:pPr>
            <w:r w:rsidRPr="002661A8">
              <w:rPr>
                <w:noProof/>
              </w:rPr>
              <w:t>++</w:t>
            </w:r>
          </w:p>
        </w:tc>
        <w:tc>
          <w:tcPr>
            <w:tcW w:w="11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0BC83A" w14:textId="6615B304" w:rsidR="000923BE" w:rsidRPr="002661A8" w:rsidRDefault="002E6FF7" w:rsidP="00504DD5">
            <w:pPr>
              <w:tabs>
                <w:tab w:val="left" w:pos="2302"/>
              </w:tabs>
              <w:jc w:val="center"/>
              <w:rPr>
                <w:noProof/>
              </w:rPr>
            </w:pPr>
            <w:r w:rsidRPr="002661A8">
              <w:rPr>
                <w:noProof/>
              </w:rPr>
              <w:t>++</w:t>
            </w:r>
          </w:p>
        </w:tc>
      </w:tr>
      <w:tr w:rsidR="00F66DD4" w:rsidRPr="002661A8" w14:paraId="1F2A3E85" w14:textId="77777777" w:rsidTr="00934309">
        <w:trPr>
          <w:gridBefore w:val="1"/>
          <w:wBefore w:w="6" w:type="dxa"/>
          <w:jc w:val="center"/>
        </w:trPr>
        <w:tc>
          <w:tcPr>
            <w:tcW w:w="2403" w:type="dxa"/>
            <w:tcBorders>
              <w:top w:val="single" w:sz="4" w:space="0" w:color="auto"/>
              <w:left w:val="single" w:sz="4" w:space="0" w:color="auto"/>
              <w:bottom w:val="single" w:sz="4" w:space="0" w:color="auto"/>
              <w:right w:val="single" w:sz="4" w:space="0" w:color="auto"/>
            </w:tcBorders>
            <w:shd w:val="clear" w:color="auto" w:fill="00B050"/>
            <w:vAlign w:val="center"/>
          </w:tcPr>
          <w:p w14:paraId="573CCD51" w14:textId="2C1C0C1B" w:rsidR="000923BE" w:rsidRPr="002661A8" w:rsidRDefault="000923BE" w:rsidP="00504DD5">
            <w:pPr>
              <w:tabs>
                <w:tab w:val="left" w:pos="2302"/>
              </w:tabs>
              <w:jc w:val="center"/>
              <w:rPr>
                <w:noProof/>
              </w:rPr>
            </w:pPr>
            <w:r w:rsidRPr="002661A8">
              <w:rPr>
                <w:noProof/>
              </w:rPr>
              <w:t xml:space="preserve">Option </w:t>
            </w:r>
            <w:r w:rsidR="00A8027C">
              <w:rPr>
                <w:noProof/>
              </w:rPr>
              <w:t>B</w:t>
            </w:r>
            <w:r w:rsidRPr="002661A8">
              <w:rPr>
                <w:noProof/>
              </w:rPr>
              <w:t xml:space="preserve">6 </w:t>
            </w:r>
          </w:p>
        </w:tc>
        <w:tc>
          <w:tcPr>
            <w:tcW w:w="992" w:type="dxa"/>
            <w:tcBorders>
              <w:top w:val="single" w:sz="4" w:space="0" w:color="auto"/>
              <w:left w:val="single" w:sz="4" w:space="0" w:color="auto"/>
              <w:bottom w:val="single" w:sz="4" w:space="0" w:color="auto"/>
              <w:right w:val="single" w:sz="4" w:space="0" w:color="auto"/>
            </w:tcBorders>
            <w:shd w:val="clear" w:color="auto" w:fill="00B050"/>
            <w:vAlign w:val="center"/>
          </w:tcPr>
          <w:p w14:paraId="529D74D7" w14:textId="1046B37A" w:rsidR="000923BE" w:rsidRPr="002661A8" w:rsidRDefault="00F40166" w:rsidP="00504DD5">
            <w:pPr>
              <w:tabs>
                <w:tab w:val="left" w:pos="2302"/>
              </w:tabs>
              <w:jc w:val="center"/>
              <w:rPr>
                <w:noProof/>
              </w:rPr>
            </w:pPr>
            <w:r w:rsidRPr="002661A8">
              <w:rPr>
                <w:noProof/>
              </w:rPr>
              <w:t>+</w:t>
            </w:r>
          </w:p>
        </w:tc>
        <w:tc>
          <w:tcPr>
            <w:tcW w:w="1276" w:type="dxa"/>
            <w:tcBorders>
              <w:top w:val="single" w:sz="4" w:space="0" w:color="auto"/>
              <w:left w:val="single" w:sz="4" w:space="0" w:color="auto"/>
              <w:bottom w:val="single" w:sz="4" w:space="0" w:color="auto"/>
              <w:right w:val="single" w:sz="4" w:space="0" w:color="auto"/>
            </w:tcBorders>
            <w:shd w:val="clear" w:color="auto" w:fill="00B050"/>
            <w:vAlign w:val="center"/>
          </w:tcPr>
          <w:p w14:paraId="7D9842D4" w14:textId="4032D12E" w:rsidR="000923BE" w:rsidRPr="002661A8" w:rsidRDefault="002E6FF7" w:rsidP="00504DD5">
            <w:pPr>
              <w:tabs>
                <w:tab w:val="left" w:pos="2302"/>
              </w:tabs>
              <w:jc w:val="center"/>
              <w:rPr>
                <w:noProof/>
              </w:rPr>
            </w:pPr>
            <w:r w:rsidRPr="002661A8">
              <w:rPr>
                <w:noProof/>
              </w:rPr>
              <w:t>+++</w:t>
            </w:r>
          </w:p>
        </w:tc>
        <w:tc>
          <w:tcPr>
            <w:tcW w:w="1559" w:type="dxa"/>
            <w:tcBorders>
              <w:top w:val="single" w:sz="4" w:space="0" w:color="auto"/>
              <w:left w:val="single" w:sz="4" w:space="0" w:color="auto"/>
              <w:bottom w:val="single" w:sz="4" w:space="0" w:color="auto"/>
              <w:right w:val="single" w:sz="4" w:space="0" w:color="auto"/>
            </w:tcBorders>
            <w:shd w:val="clear" w:color="auto" w:fill="00B050"/>
            <w:vAlign w:val="center"/>
          </w:tcPr>
          <w:p w14:paraId="5548C057" w14:textId="7C99E2D1" w:rsidR="000923BE" w:rsidRPr="002661A8" w:rsidRDefault="002E6FF7" w:rsidP="00504DD5">
            <w:pPr>
              <w:tabs>
                <w:tab w:val="left" w:pos="2302"/>
              </w:tabs>
              <w:jc w:val="center"/>
              <w:rPr>
                <w:noProof/>
              </w:rPr>
            </w:pPr>
            <w:r w:rsidRPr="002661A8">
              <w:rPr>
                <w:noProof/>
              </w:rPr>
              <w:t>+</w:t>
            </w:r>
          </w:p>
        </w:tc>
        <w:tc>
          <w:tcPr>
            <w:tcW w:w="1559" w:type="dxa"/>
            <w:tcBorders>
              <w:top w:val="single" w:sz="4" w:space="0" w:color="auto"/>
              <w:left w:val="single" w:sz="4" w:space="0" w:color="auto"/>
              <w:bottom w:val="single" w:sz="4" w:space="0" w:color="auto"/>
              <w:right w:val="single" w:sz="4" w:space="0" w:color="auto"/>
            </w:tcBorders>
            <w:shd w:val="clear" w:color="auto" w:fill="00B050"/>
            <w:vAlign w:val="center"/>
          </w:tcPr>
          <w:p w14:paraId="6307B739" w14:textId="60C69BEA" w:rsidR="000923BE" w:rsidRPr="002661A8" w:rsidRDefault="008E442B" w:rsidP="00504DD5">
            <w:pPr>
              <w:tabs>
                <w:tab w:val="left" w:pos="2302"/>
              </w:tabs>
              <w:jc w:val="center"/>
              <w:rPr>
                <w:noProof/>
              </w:rPr>
            </w:pPr>
            <w:r w:rsidRPr="002661A8">
              <w:rPr>
                <w:noProof/>
              </w:rPr>
              <w:t>--</w:t>
            </w:r>
          </w:p>
        </w:tc>
        <w:tc>
          <w:tcPr>
            <w:tcW w:w="1131"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3A0CFBF2" w14:textId="5C696CB5" w:rsidR="000923BE" w:rsidRPr="002661A8" w:rsidRDefault="002E6FF7" w:rsidP="00504DD5">
            <w:pPr>
              <w:tabs>
                <w:tab w:val="left" w:pos="2302"/>
              </w:tabs>
              <w:jc w:val="center"/>
              <w:rPr>
                <w:noProof/>
              </w:rPr>
            </w:pPr>
            <w:r w:rsidRPr="002661A8">
              <w:rPr>
                <w:noProof/>
              </w:rPr>
              <w:t>++</w:t>
            </w:r>
          </w:p>
        </w:tc>
      </w:tr>
    </w:tbl>
    <w:p w14:paraId="32AD325C" w14:textId="77777777" w:rsidR="000923BE" w:rsidRPr="002661A8" w:rsidRDefault="000923BE" w:rsidP="00E82C74">
      <w:pPr>
        <w:spacing w:after="0" w:line="240" w:lineRule="auto"/>
        <w:jc w:val="both"/>
        <w:rPr>
          <w:rFonts w:ascii="Times New Roman" w:eastAsia="Calibri" w:hAnsi="Times New Roman" w:cs="Times New Roman"/>
          <w:noProof/>
          <w:sz w:val="16"/>
          <w:szCs w:val="16"/>
        </w:rPr>
      </w:pPr>
    </w:p>
    <w:tbl>
      <w:tblPr>
        <w:tblStyle w:val="TableGrid"/>
        <w:tblW w:w="8842" w:type="dxa"/>
        <w:jc w:val="center"/>
        <w:tblLook w:val="04A0" w:firstRow="1" w:lastRow="0" w:firstColumn="1" w:lastColumn="0" w:noHBand="0" w:noVBand="1"/>
      </w:tblPr>
      <w:tblGrid>
        <w:gridCol w:w="1790"/>
        <w:gridCol w:w="1385"/>
        <w:gridCol w:w="1967"/>
        <w:gridCol w:w="1596"/>
        <w:gridCol w:w="2104"/>
      </w:tblGrid>
      <w:tr w:rsidR="000923BE" w:rsidRPr="002661A8" w14:paraId="3BFEC728" w14:textId="77777777" w:rsidTr="002816F7">
        <w:trPr>
          <w:jc w:val="center"/>
        </w:trPr>
        <w:tc>
          <w:tcPr>
            <w:tcW w:w="1790" w:type="dxa"/>
            <w:tcBorders>
              <w:top w:val="single" w:sz="4" w:space="0" w:color="auto"/>
              <w:left w:val="single" w:sz="4" w:space="0" w:color="auto"/>
              <w:bottom w:val="single" w:sz="4" w:space="0" w:color="auto"/>
              <w:right w:val="single" w:sz="4" w:space="0" w:color="auto"/>
            </w:tcBorders>
            <w:vAlign w:val="center"/>
          </w:tcPr>
          <w:p w14:paraId="3971B62F" w14:textId="77777777" w:rsidR="000923BE" w:rsidRPr="002661A8" w:rsidRDefault="000923BE" w:rsidP="00E82C74">
            <w:pPr>
              <w:spacing w:line="276" w:lineRule="auto"/>
              <w:jc w:val="center"/>
              <w:rPr>
                <w:noProof/>
              </w:rPr>
            </w:pPr>
          </w:p>
        </w:tc>
        <w:tc>
          <w:tcPr>
            <w:tcW w:w="7052" w:type="dxa"/>
            <w:gridSpan w:val="4"/>
            <w:tcBorders>
              <w:top w:val="single" w:sz="4" w:space="0" w:color="auto"/>
              <w:left w:val="single" w:sz="4" w:space="0" w:color="auto"/>
              <w:bottom w:val="single" w:sz="4" w:space="0" w:color="auto"/>
              <w:right w:val="single" w:sz="4" w:space="0" w:color="auto"/>
            </w:tcBorders>
          </w:tcPr>
          <w:p w14:paraId="5A66FCD8" w14:textId="69BAB010" w:rsidR="000923BE" w:rsidRPr="002661A8" w:rsidRDefault="000923BE" w:rsidP="00E82C74">
            <w:pPr>
              <w:spacing w:line="276" w:lineRule="auto"/>
              <w:jc w:val="center"/>
              <w:rPr>
                <w:noProof/>
              </w:rPr>
            </w:pPr>
            <w:r w:rsidRPr="002661A8">
              <w:rPr>
                <w:noProof/>
              </w:rPr>
              <w:t>Summary of winners and losers</w:t>
            </w:r>
          </w:p>
        </w:tc>
      </w:tr>
      <w:tr w:rsidR="00A233D8" w:rsidRPr="002661A8" w14:paraId="3D53E9D5" w14:textId="77777777" w:rsidTr="002816F7">
        <w:trPr>
          <w:jc w:val="center"/>
        </w:trPr>
        <w:tc>
          <w:tcPr>
            <w:tcW w:w="1790" w:type="dxa"/>
            <w:tcBorders>
              <w:top w:val="single" w:sz="4" w:space="0" w:color="auto"/>
              <w:left w:val="single" w:sz="4" w:space="0" w:color="auto"/>
              <w:bottom w:val="single" w:sz="4" w:space="0" w:color="auto"/>
              <w:right w:val="single" w:sz="4" w:space="0" w:color="auto"/>
            </w:tcBorders>
            <w:vAlign w:val="center"/>
          </w:tcPr>
          <w:p w14:paraId="382B1775" w14:textId="77777777" w:rsidR="000923BE" w:rsidRPr="002661A8" w:rsidRDefault="000923BE" w:rsidP="00E82C74">
            <w:pPr>
              <w:spacing w:line="276" w:lineRule="auto"/>
              <w:jc w:val="center"/>
              <w:rPr>
                <w:noProof/>
              </w:rPr>
            </w:pPr>
          </w:p>
        </w:tc>
        <w:tc>
          <w:tcPr>
            <w:tcW w:w="1385" w:type="dxa"/>
            <w:tcBorders>
              <w:top w:val="single" w:sz="4" w:space="0" w:color="auto"/>
              <w:left w:val="single" w:sz="4" w:space="0" w:color="auto"/>
              <w:bottom w:val="single" w:sz="4" w:space="0" w:color="auto"/>
              <w:right w:val="single" w:sz="4" w:space="0" w:color="auto"/>
            </w:tcBorders>
            <w:vAlign w:val="center"/>
            <w:hideMark/>
          </w:tcPr>
          <w:p w14:paraId="682FB9BF" w14:textId="03A43C42" w:rsidR="000923BE" w:rsidRPr="002661A8" w:rsidRDefault="000923BE" w:rsidP="00E82C74">
            <w:pPr>
              <w:spacing w:line="276" w:lineRule="auto"/>
              <w:jc w:val="center"/>
              <w:rPr>
                <w:noProof/>
              </w:rPr>
            </w:pPr>
            <w:r w:rsidRPr="002661A8">
              <w:rPr>
                <w:noProof/>
              </w:rPr>
              <w:t>CCPs</w:t>
            </w:r>
          </w:p>
        </w:tc>
        <w:tc>
          <w:tcPr>
            <w:tcW w:w="1967" w:type="dxa"/>
            <w:tcBorders>
              <w:top w:val="single" w:sz="4" w:space="0" w:color="auto"/>
              <w:left w:val="single" w:sz="4" w:space="0" w:color="auto"/>
              <w:bottom w:val="single" w:sz="4" w:space="0" w:color="auto"/>
              <w:right w:val="single" w:sz="4" w:space="0" w:color="auto"/>
            </w:tcBorders>
            <w:vAlign w:val="center"/>
            <w:hideMark/>
          </w:tcPr>
          <w:p w14:paraId="09F5B0DA" w14:textId="77777777" w:rsidR="000923BE" w:rsidRPr="002661A8" w:rsidRDefault="000923BE" w:rsidP="00E82C74">
            <w:pPr>
              <w:spacing w:line="276" w:lineRule="auto"/>
              <w:jc w:val="center"/>
              <w:rPr>
                <w:noProof/>
              </w:rPr>
            </w:pPr>
            <w:r w:rsidRPr="002661A8">
              <w:rPr>
                <w:noProof/>
              </w:rPr>
              <w:t>Clearing Members</w:t>
            </w:r>
          </w:p>
        </w:tc>
        <w:tc>
          <w:tcPr>
            <w:tcW w:w="1596" w:type="dxa"/>
            <w:tcBorders>
              <w:top w:val="single" w:sz="4" w:space="0" w:color="auto"/>
              <w:left w:val="single" w:sz="4" w:space="0" w:color="auto"/>
              <w:bottom w:val="single" w:sz="4" w:space="0" w:color="auto"/>
              <w:right w:val="single" w:sz="4" w:space="0" w:color="auto"/>
            </w:tcBorders>
            <w:vAlign w:val="center"/>
          </w:tcPr>
          <w:p w14:paraId="318E5438" w14:textId="77777777" w:rsidR="000923BE" w:rsidRPr="002661A8" w:rsidRDefault="000923BE" w:rsidP="00E82C74">
            <w:pPr>
              <w:spacing w:line="276" w:lineRule="auto"/>
              <w:jc w:val="center"/>
              <w:rPr>
                <w:noProof/>
              </w:rPr>
            </w:pPr>
            <w:r w:rsidRPr="002661A8">
              <w:rPr>
                <w:noProof/>
              </w:rPr>
              <w:t>Clients</w:t>
            </w:r>
          </w:p>
        </w:tc>
        <w:tc>
          <w:tcPr>
            <w:tcW w:w="2104" w:type="dxa"/>
            <w:tcBorders>
              <w:top w:val="single" w:sz="4" w:space="0" w:color="auto"/>
              <w:left w:val="single" w:sz="4" w:space="0" w:color="auto"/>
              <w:bottom w:val="single" w:sz="4" w:space="0" w:color="auto"/>
              <w:right w:val="single" w:sz="4" w:space="0" w:color="auto"/>
            </w:tcBorders>
            <w:vAlign w:val="center"/>
            <w:hideMark/>
          </w:tcPr>
          <w:p w14:paraId="3C41A496" w14:textId="77777777" w:rsidR="000923BE" w:rsidRPr="002661A8" w:rsidRDefault="000923BE" w:rsidP="00E82C74">
            <w:pPr>
              <w:spacing w:line="276" w:lineRule="auto"/>
              <w:jc w:val="center"/>
              <w:rPr>
                <w:noProof/>
              </w:rPr>
            </w:pPr>
            <w:r w:rsidRPr="002661A8">
              <w:rPr>
                <w:noProof/>
              </w:rPr>
              <w:t>Supervisory authorities</w:t>
            </w:r>
          </w:p>
        </w:tc>
      </w:tr>
      <w:tr w:rsidR="00A233D8" w:rsidRPr="002661A8" w14:paraId="47ED8E7E" w14:textId="77777777" w:rsidTr="002816F7">
        <w:trPr>
          <w:jc w:val="center"/>
        </w:trPr>
        <w:tc>
          <w:tcPr>
            <w:tcW w:w="1790" w:type="dxa"/>
            <w:tcBorders>
              <w:top w:val="single" w:sz="4" w:space="0" w:color="auto"/>
              <w:left w:val="single" w:sz="4" w:space="0" w:color="auto"/>
              <w:bottom w:val="single" w:sz="4" w:space="0" w:color="auto"/>
              <w:right w:val="single" w:sz="4" w:space="0" w:color="auto"/>
            </w:tcBorders>
            <w:vAlign w:val="center"/>
            <w:hideMark/>
          </w:tcPr>
          <w:p w14:paraId="6B3DF9D7" w14:textId="332DA892" w:rsidR="000923BE" w:rsidRPr="002661A8" w:rsidRDefault="000923BE" w:rsidP="00E82C74">
            <w:pPr>
              <w:spacing w:line="276" w:lineRule="auto"/>
              <w:jc w:val="center"/>
              <w:rPr>
                <w:noProof/>
              </w:rPr>
            </w:pPr>
            <w:r w:rsidRPr="002661A8">
              <w:rPr>
                <w:noProof/>
              </w:rPr>
              <w:t xml:space="preserve">Option </w:t>
            </w:r>
            <w:r w:rsidR="00A8027C">
              <w:rPr>
                <w:noProof/>
              </w:rPr>
              <w:t>B</w:t>
            </w:r>
            <w:r w:rsidRPr="002661A8">
              <w:rPr>
                <w:noProof/>
              </w:rPr>
              <w:t>2</w:t>
            </w:r>
          </w:p>
        </w:tc>
        <w:tc>
          <w:tcPr>
            <w:tcW w:w="1385" w:type="dxa"/>
            <w:tcBorders>
              <w:top w:val="single" w:sz="4" w:space="0" w:color="auto"/>
              <w:left w:val="single" w:sz="4" w:space="0" w:color="auto"/>
              <w:bottom w:val="single" w:sz="4" w:space="0" w:color="auto"/>
              <w:right w:val="single" w:sz="4" w:space="0" w:color="auto"/>
            </w:tcBorders>
          </w:tcPr>
          <w:p w14:paraId="43A68DD7" w14:textId="1C30A48F" w:rsidR="000923BE" w:rsidRPr="002661A8" w:rsidRDefault="006D1D48" w:rsidP="00E82C74">
            <w:pPr>
              <w:spacing w:line="276" w:lineRule="auto"/>
              <w:jc w:val="center"/>
              <w:rPr>
                <w:noProof/>
              </w:rPr>
            </w:pPr>
            <w:r w:rsidRPr="002661A8">
              <w:rPr>
                <w:noProof/>
              </w:rPr>
              <w:t>+/-</w:t>
            </w:r>
          </w:p>
        </w:tc>
        <w:tc>
          <w:tcPr>
            <w:tcW w:w="1967" w:type="dxa"/>
            <w:tcBorders>
              <w:top w:val="single" w:sz="4" w:space="0" w:color="auto"/>
              <w:left w:val="single" w:sz="4" w:space="0" w:color="auto"/>
              <w:bottom w:val="single" w:sz="4" w:space="0" w:color="auto"/>
              <w:right w:val="single" w:sz="4" w:space="0" w:color="auto"/>
            </w:tcBorders>
          </w:tcPr>
          <w:p w14:paraId="679C37C3" w14:textId="451D721F" w:rsidR="000923BE" w:rsidRPr="002661A8" w:rsidRDefault="00B535B0" w:rsidP="00E82C74">
            <w:pPr>
              <w:spacing w:line="276" w:lineRule="auto"/>
              <w:jc w:val="center"/>
              <w:rPr>
                <w:noProof/>
              </w:rPr>
            </w:pPr>
            <w:r w:rsidRPr="002661A8">
              <w:rPr>
                <w:noProof/>
              </w:rPr>
              <w:t>--</w:t>
            </w:r>
          </w:p>
        </w:tc>
        <w:tc>
          <w:tcPr>
            <w:tcW w:w="1596" w:type="dxa"/>
            <w:tcBorders>
              <w:top w:val="single" w:sz="4" w:space="0" w:color="auto"/>
              <w:left w:val="single" w:sz="4" w:space="0" w:color="auto"/>
              <w:bottom w:val="single" w:sz="4" w:space="0" w:color="auto"/>
              <w:right w:val="single" w:sz="4" w:space="0" w:color="auto"/>
            </w:tcBorders>
          </w:tcPr>
          <w:p w14:paraId="6F1418B1" w14:textId="6DBA04D8" w:rsidR="000923BE" w:rsidRPr="002661A8" w:rsidRDefault="008A73FA" w:rsidP="00D6052F">
            <w:pPr>
              <w:spacing w:line="276" w:lineRule="auto"/>
              <w:jc w:val="center"/>
              <w:rPr>
                <w:b/>
                <w:noProof/>
              </w:rPr>
            </w:pPr>
            <w:r w:rsidRPr="002661A8">
              <w:rPr>
                <w:b/>
                <w:noProof/>
              </w:rPr>
              <w:t>-</w:t>
            </w:r>
          </w:p>
        </w:tc>
        <w:tc>
          <w:tcPr>
            <w:tcW w:w="2104" w:type="dxa"/>
            <w:tcBorders>
              <w:top w:val="single" w:sz="4" w:space="0" w:color="auto"/>
              <w:left w:val="single" w:sz="4" w:space="0" w:color="auto"/>
              <w:bottom w:val="single" w:sz="4" w:space="0" w:color="auto"/>
              <w:right w:val="single" w:sz="4" w:space="0" w:color="auto"/>
            </w:tcBorders>
          </w:tcPr>
          <w:p w14:paraId="71042ADF" w14:textId="165C04D1" w:rsidR="000923BE" w:rsidRPr="002661A8" w:rsidRDefault="00B535B0" w:rsidP="00E82C74">
            <w:pPr>
              <w:spacing w:line="276" w:lineRule="auto"/>
              <w:jc w:val="center"/>
              <w:rPr>
                <w:noProof/>
              </w:rPr>
            </w:pPr>
            <w:r w:rsidRPr="002661A8">
              <w:rPr>
                <w:noProof/>
              </w:rPr>
              <w:t>0/+</w:t>
            </w:r>
          </w:p>
        </w:tc>
      </w:tr>
      <w:tr w:rsidR="00A233D8" w:rsidRPr="002661A8" w14:paraId="37CC6FF5" w14:textId="77777777" w:rsidTr="002816F7">
        <w:trPr>
          <w:jc w:val="center"/>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05DBF" w14:textId="4408CDF4" w:rsidR="000923BE" w:rsidRPr="002661A8" w:rsidRDefault="000923BE" w:rsidP="00E82C74">
            <w:pPr>
              <w:spacing w:line="276" w:lineRule="auto"/>
              <w:jc w:val="center"/>
              <w:rPr>
                <w:noProof/>
              </w:rPr>
            </w:pPr>
            <w:r w:rsidRPr="002661A8">
              <w:rPr>
                <w:noProof/>
              </w:rPr>
              <w:t xml:space="preserve">Option </w:t>
            </w:r>
            <w:r w:rsidR="00A8027C">
              <w:rPr>
                <w:noProof/>
              </w:rPr>
              <w:t>B</w:t>
            </w:r>
            <w:r w:rsidRPr="002661A8">
              <w:rPr>
                <w:noProof/>
              </w:rPr>
              <w:t>3</w:t>
            </w:r>
          </w:p>
        </w:tc>
        <w:tc>
          <w:tcPr>
            <w:tcW w:w="1385" w:type="dxa"/>
            <w:tcBorders>
              <w:top w:val="single" w:sz="4" w:space="0" w:color="auto"/>
              <w:left w:val="single" w:sz="4" w:space="0" w:color="auto"/>
              <w:bottom w:val="single" w:sz="4" w:space="0" w:color="auto"/>
              <w:right w:val="single" w:sz="4" w:space="0" w:color="auto"/>
            </w:tcBorders>
            <w:shd w:val="clear" w:color="auto" w:fill="auto"/>
          </w:tcPr>
          <w:p w14:paraId="7A9970C1" w14:textId="0A6340DE" w:rsidR="000923BE" w:rsidRPr="002661A8" w:rsidRDefault="006D1D48" w:rsidP="00E82C74">
            <w:pPr>
              <w:spacing w:line="276" w:lineRule="auto"/>
              <w:jc w:val="center"/>
              <w:rPr>
                <w:noProof/>
              </w:rPr>
            </w:pPr>
            <w:r w:rsidRPr="002661A8">
              <w:rPr>
                <w:noProof/>
              </w:rPr>
              <w:t>+/-</w:t>
            </w:r>
          </w:p>
        </w:tc>
        <w:tc>
          <w:tcPr>
            <w:tcW w:w="1967" w:type="dxa"/>
            <w:tcBorders>
              <w:top w:val="single" w:sz="4" w:space="0" w:color="auto"/>
              <w:left w:val="single" w:sz="4" w:space="0" w:color="auto"/>
              <w:bottom w:val="single" w:sz="4" w:space="0" w:color="auto"/>
              <w:right w:val="single" w:sz="4" w:space="0" w:color="auto"/>
            </w:tcBorders>
            <w:shd w:val="clear" w:color="auto" w:fill="auto"/>
          </w:tcPr>
          <w:p w14:paraId="6B878C6E" w14:textId="5604BC4C" w:rsidR="000923BE" w:rsidRPr="002661A8" w:rsidRDefault="008B3B7A" w:rsidP="00E82C74">
            <w:pPr>
              <w:spacing w:line="276" w:lineRule="auto"/>
              <w:jc w:val="center"/>
              <w:rPr>
                <w:noProof/>
              </w:rPr>
            </w:pPr>
            <w:r w:rsidRPr="002661A8">
              <w:rPr>
                <w:noProof/>
              </w:rPr>
              <w:t>0</w:t>
            </w:r>
          </w:p>
        </w:tc>
        <w:tc>
          <w:tcPr>
            <w:tcW w:w="1596" w:type="dxa"/>
            <w:tcBorders>
              <w:top w:val="single" w:sz="4" w:space="0" w:color="auto"/>
              <w:left w:val="single" w:sz="4" w:space="0" w:color="auto"/>
              <w:bottom w:val="single" w:sz="4" w:space="0" w:color="auto"/>
              <w:right w:val="single" w:sz="4" w:space="0" w:color="auto"/>
            </w:tcBorders>
          </w:tcPr>
          <w:p w14:paraId="4A233C97" w14:textId="74D48EAD" w:rsidR="000923BE" w:rsidRPr="002661A8" w:rsidRDefault="008A73FA" w:rsidP="00D6052F">
            <w:pPr>
              <w:spacing w:line="276" w:lineRule="auto"/>
              <w:jc w:val="center"/>
              <w:rPr>
                <w:b/>
                <w:noProof/>
              </w:rPr>
            </w:pPr>
            <w:r w:rsidRPr="002661A8">
              <w:rPr>
                <w:b/>
                <w:noProof/>
              </w:rPr>
              <w:t>-</w:t>
            </w:r>
          </w:p>
        </w:tc>
        <w:tc>
          <w:tcPr>
            <w:tcW w:w="2104" w:type="dxa"/>
            <w:tcBorders>
              <w:top w:val="single" w:sz="4" w:space="0" w:color="auto"/>
              <w:left w:val="single" w:sz="4" w:space="0" w:color="auto"/>
              <w:bottom w:val="single" w:sz="4" w:space="0" w:color="auto"/>
              <w:right w:val="single" w:sz="4" w:space="0" w:color="auto"/>
            </w:tcBorders>
            <w:shd w:val="clear" w:color="auto" w:fill="auto"/>
          </w:tcPr>
          <w:p w14:paraId="44D84499" w14:textId="0C87C7C1" w:rsidR="000923BE" w:rsidRPr="002661A8" w:rsidRDefault="00B535B0" w:rsidP="00E82C74">
            <w:pPr>
              <w:spacing w:line="276" w:lineRule="auto"/>
              <w:jc w:val="center"/>
              <w:rPr>
                <w:noProof/>
              </w:rPr>
            </w:pPr>
            <w:r w:rsidRPr="002661A8">
              <w:rPr>
                <w:noProof/>
              </w:rPr>
              <w:t>0/+</w:t>
            </w:r>
          </w:p>
        </w:tc>
      </w:tr>
      <w:tr w:rsidR="00D910CE" w:rsidRPr="002661A8" w14:paraId="657CA544" w14:textId="77777777" w:rsidTr="002816F7">
        <w:trPr>
          <w:jc w:val="center"/>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3D94B04F" w14:textId="7BB40F51" w:rsidR="00D2726C" w:rsidRPr="002661A8" w:rsidRDefault="00D2726C" w:rsidP="00E82C74">
            <w:pPr>
              <w:jc w:val="center"/>
              <w:rPr>
                <w:noProof/>
              </w:rPr>
            </w:pPr>
            <w:r w:rsidRPr="002661A8">
              <w:rPr>
                <w:noProof/>
              </w:rPr>
              <w:t xml:space="preserve">Option </w:t>
            </w:r>
            <w:r w:rsidR="00A8027C">
              <w:rPr>
                <w:noProof/>
              </w:rPr>
              <w:t>B</w:t>
            </w:r>
            <w:r w:rsidRPr="002661A8">
              <w:rPr>
                <w:noProof/>
              </w:rPr>
              <w:t>4</w:t>
            </w:r>
          </w:p>
        </w:tc>
        <w:tc>
          <w:tcPr>
            <w:tcW w:w="1385" w:type="dxa"/>
            <w:tcBorders>
              <w:top w:val="single" w:sz="4" w:space="0" w:color="auto"/>
              <w:left w:val="single" w:sz="4" w:space="0" w:color="auto"/>
              <w:bottom w:val="single" w:sz="4" w:space="0" w:color="auto"/>
              <w:right w:val="single" w:sz="4" w:space="0" w:color="auto"/>
            </w:tcBorders>
            <w:shd w:val="clear" w:color="auto" w:fill="auto"/>
          </w:tcPr>
          <w:p w14:paraId="0C3CA02B" w14:textId="24D64386" w:rsidR="00D2726C" w:rsidRPr="002661A8" w:rsidRDefault="00282CA0" w:rsidP="00E82C74">
            <w:pPr>
              <w:jc w:val="center"/>
              <w:rPr>
                <w:noProof/>
              </w:rPr>
            </w:pPr>
            <w:r w:rsidRPr="002661A8">
              <w:rPr>
                <w:noProof/>
              </w:rPr>
              <w:t>+</w:t>
            </w:r>
          </w:p>
        </w:tc>
        <w:tc>
          <w:tcPr>
            <w:tcW w:w="1967" w:type="dxa"/>
            <w:tcBorders>
              <w:top w:val="single" w:sz="4" w:space="0" w:color="auto"/>
              <w:left w:val="single" w:sz="4" w:space="0" w:color="auto"/>
              <w:bottom w:val="single" w:sz="4" w:space="0" w:color="auto"/>
              <w:right w:val="single" w:sz="4" w:space="0" w:color="auto"/>
            </w:tcBorders>
            <w:shd w:val="clear" w:color="auto" w:fill="auto"/>
          </w:tcPr>
          <w:p w14:paraId="0CD94BEB" w14:textId="43281357" w:rsidR="00D2726C" w:rsidRPr="002661A8" w:rsidRDefault="00282CA0" w:rsidP="00E82C74">
            <w:pPr>
              <w:jc w:val="center"/>
              <w:rPr>
                <w:noProof/>
              </w:rPr>
            </w:pPr>
            <w:r w:rsidRPr="002661A8">
              <w:rPr>
                <w:noProof/>
              </w:rPr>
              <w:t>0</w:t>
            </w:r>
          </w:p>
        </w:tc>
        <w:tc>
          <w:tcPr>
            <w:tcW w:w="1596" w:type="dxa"/>
            <w:tcBorders>
              <w:top w:val="single" w:sz="4" w:space="0" w:color="auto"/>
              <w:left w:val="single" w:sz="4" w:space="0" w:color="auto"/>
              <w:bottom w:val="single" w:sz="4" w:space="0" w:color="auto"/>
              <w:right w:val="single" w:sz="4" w:space="0" w:color="auto"/>
            </w:tcBorders>
          </w:tcPr>
          <w:p w14:paraId="074235FD" w14:textId="61DBDDB8" w:rsidR="00D2726C" w:rsidRPr="002661A8" w:rsidRDefault="00282CA0" w:rsidP="00D6052F">
            <w:pPr>
              <w:jc w:val="center"/>
              <w:rPr>
                <w:b/>
                <w:noProof/>
              </w:rPr>
            </w:pPr>
            <w:r w:rsidRPr="002661A8">
              <w:rPr>
                <w:b/>
                <w:noProof/>
              </w:rPr>
              <w:t>0</w:t>
            </w:r>
          </w:p>
        </w:tc>
        <w:tc>
          <w:tcPr>
            <w:tcW w:w="2104" w:type="dxa"/>
            <w:tcBorders>
              <w:top w:val="single" w:sz="4" w:space="0" w:color="auto"/>
              <w:left w:val="single" w:sz="4" w:space="0" w:color="auto"/>
              <w:bottom w:val="single" w:sz="4" w:space="0" w:color="auto"/>
              <w:right w:val="single" w:sz="4" w:space="0" w:color="auto"/>
            </w:tcBorders>
            <w:shd w:val="clear" w:color="auto" w:fill="auto"/>
          </w:tcPr>
          <w:p w14:paraId="121DE68E" w14:textId="13183AA6" w:rsidR="00D2726C" w:rsidRPr="002661A8" w:rsidRDefault="00282CA0" w:rsidP="00E82C74">
            <w:pPr>
              <w:jc w:val="center"/>
              <w:rPr>
                <w:noProof/>
              </w:rPr>
            </w:pPr>
            <w:r w:rsidRPr="002661A8">
              <w:rPr>
                <w:noProof/>
              </w:rPr>
              <w:t>0</w:t>
            </w:r>
            <w:r w:rsidR="00F86171" w:rsidRPr="002661A8">
              <w:rPr>
                <w:noProof/>
              </w:rPr>
              <w:t>/-</w:t>
            </w:r>
          </w:p>
        </w:tc>
      </w:tr>
      <w:tr w:rsidR="00A233D8" w:rsidRPr="002661A8" w14:paraId="0CA3AC2E" w14:textId="77777777" w:rsidTr="002816F7">
        <w:trPr>
          <w:jc w:val="center"/>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2DEFACE4" w14:textId="0D9CDD91" w:rsidR="008B3B7A" w:rsidRPr="002661A8" w:rsidRDefault="008B3B7A" w:rsidP="000923BE">
            <w:pPr>
              <w:jc w:val="center"/>
              <w:rPr>
                <w:noProof/>
              </w:rPr>
            </w:pPr>
            <w:r w:rsidRPr="002661A8">
              <w:rPr>
                <w:noProof/>
              </w:rPr>
              <w:t xml:space="preserve">Option </w:t>
            </w:r>
            <w:r w:rsidR="00A8027C">
              <w:rPr>
                <w:noProof/>
              </w:rPr>
              <w:t>B</w:t>
            </w:r>
            <w:r w:rsidRPr="002661A8">
              <w:rPr>
                <w:noProof/>
              </w:rPr>
              <w:t>5</w:t>
            </w:r>
          </w:p>
        </w:tc>
        <w:tc>
          <w:tcPr>
            <w:tcW w:w="1385" w:type="dxa"/>
            <w:tcBorders>
              <w:top w:val="single" w:sz="4" w:space="0" w:color="auto"/>
              <w:left w:val="single" w:sz="4" w:space="0" w:color="auto"/>
              <w:bottom w:val="single" w:sz="4" w:space="0" w:color="auto"/>
              <w:right w:val="single" w:sz="4" w:space="0" w:color="auto"/>
            </w:tcBorders>
            <w:shd w:val="clear" w:color="auto" w:fill="auto"/>
          </w:tcPr>
          <w:p w14:paraId="5EC8694A" w14:textId="4F9E1B64" w:rsidR="008B3B7A" w:rsidRPr="002661A8" w:rsidRDefault="006D1D48" w:rsidP="000923BE">
            <w:pPr>
              <w:jc w:val="center"/>
              <w:rPr>
                <w:b/>
                <w:noProof/>
              </w:rPr>
            </w:pPr>
            <w:r w:rsidRPr="002661A8">
              <w:rPr>
                <w:b/>
                <w:noProof/>
              </w:rPr>
              <w:t>++</w:t>
            </w:r>
          </w:p>
        </w:tc>
        <w:tc>
          <w:tcPr>
            <w:tcW w:w="1967" w:type="dxa"/>
            <w:tcBorders>
              <w:top w:val="single" w:sz="4" w:space="0" w:color="auto"/>
              <w:left w:val="single" w:sz="4" w:space="0" w:color="auto"/>
              <w:bottom w:val="single" w:sz="4" w:space="0" w:color="auto"/>
              <w:right w:val="single" w:sz="4" w:space="0" w:color="auto"/>
            </w:tcBorders>
            <w:shd w:val="clear" w:color="auto" w:fill="auto"/>
          </w:tcPr>
          <w:p w14:paraId="497C1A24" w14:textId="1748D2B6" w:rsidR="008B3B7A" w:rsidRPr="002661A8" w:rsidRDefault="006D1D48" w:rsidP="000923BE">
            <w:pPr>
              <w:jc w:val="center"/>
              <w:rPr>
                <w:b/>
                <w:noProof/>
              </w:rPr>
            </w:pPr>
            <w:r w:rsidRPr="002661A8">
              <w:rPr>
                <w:b/>
                <w:noProof/>
              </w:rPr>
              <w:t>0</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3903C440" w14:textId="11AF36A0" w:rsidR="008B3B7A" w:rsidRPr="002661A8" w:rsidRDefault="006D1D48" w:rsidP="000923BE">
            <w:pPr>
              <w:jc w:val="center"/>
              <w:rPr>
                <w:b/>
                <w:noProof/>
              </w:rPr>
            </w:pPr>
            <w:r w:rsidRPr="002661A8">
              <w:rPr>
                <w:b/>
                <w:noProof/>
              </w:rPr>
              <w:t>++</w:t>
            </w:r>
          </w:p>
        </w:tc>
        <w:tc>
          <w:tcPr>
            <w:tcW w:w="2104" w:type="dxa"/>
            <w:tcBorders>
              <w:top w:val="single" w:sz="4" w:space="0" w:color="auto"/>
              <w:left w:val="single" w:sz="4" w:space="0" w:color="auto"/>
              <w:bottom w:val="single" w:sz="4" w:space="0" w:color="auto"/>
              <w:right w:val="single" w:sz="4" w:space="0" w:color="auto"/>
            </w:tcBorders>
            <w:shd w:val="clear" w:color="auto" w:fill="auto"/>
          </w:tcPr>
          <w:p w14:paraId="608C97AD" w14:textId="639CFA07" w:rsidR="008B3B7A" w:rsidRPr="002661A8" w:rsidRDefault="006D1D48" w:rsidP="000923BE">
            <w:pPr>
              <w:jc w:val="center"/>
              <w:rPr>
                <w:b/>
                <w:noProof/>
              </w:rPr>
            </w:pPr>
            <w:r w:rsidRPr="002661A8">
              <w:rPr>
                <w:b/>
                <w:noProof/>
              </w:rPr>
              <w:t>0</w:t>
            </w:r>
            <w:r w:rsidR="00B535B0" w:rsidRPr="002661A8">
              <w:rPr>
                <w:b/>
                <w:noProof/>
              </w:rPr>
              <w:t>/+</w:t>
            </w:r>
          </w:p>
        </w:tc>
      </w:tr>
      <w:tr w:rsidR="008E38BD" w:rsidRPr="002661A8" w14:paraId="62CDBDE6" w14:textId="77777777" w:rsidTr="002816F7">
        <w:trPr>
          <w:jc w:val="center"/>
        </w:trPr>
        <w:tc>
          <w:tcPr>
            <w:tcW w:w="1790" w:type="dxa"/>
            <w:tcBorders>
              <w:top w:val="single" w:sz="4" w:space="0" w:color="auto"/>
              <w:left w:val="single" w:sz="4" w:space="0" w:color="auto"/>
              <w:bottom w:val="single" w:sz="4" w:space="0" w:color="auto"/>
              <w:right w:val="single" w:sz="4" w:space="0" w:color="auto"/>
            </w:tcBorders>
            <w:shd w:val="clear" w:color="auto" w:fill="00B050"/>
            <w:vAlign w:val="center"/>
          </w:tcPr>
          <w:p w14:paraId="38EFE3B2" w14:textId="2EF55EF4" w:rsidR="000923BE" w:rsidRPr="002661A8" w:rsidRDefault="006D1D48" w:rsidP="00E82C74">
            <w:pPr>
              <w:spacing w:line="276" w:lineRule="auto"/>
              <w:jc w:val="center"/>
              <w:rPr>
                <w:noProof/>
              </w:rPr>
            </w:pPr>
            <w:r w:rsidRPr="002661A8">
              <w:rPr>
                <w:noProof/>
              </w:rPr>
              <w:t xml:space="preserve">Option </w:t>
            </w:r>
            <w:r w:rsidR="00A8027C">
              <w:rPr>
                <w:noProof/>
              </w:rPr>
              <w:t>B</w:t>
            </w:r>
            <w:r w:rsidRPr="002661A8">
              <w:rPr>
                <w:noProof/>
              </w:rPr>
              <w:t>6</w:t>
            </w:r>
          </w:p>
        </w:tc>
        <w:tc>
          <w:tcPr>
            <w:tcW w:w="1385" w:type="dxa"/>
            <w:tcBorders>
              <w:top w:val="single" w:sz="4" w:space="0" w:color="auto"/>
              <w:left w:val="single" w:sz="4" w:space="0" w:color="auto"/>
              <w:bottom w:val="single" w:sz="4" w:space="0" w:color="auto"/>
              <w:right w:val="single" w:sz="4" w:space="0" w:color="auto"/>
            </w:tcBorders>
            <w:shd w:val="clear" w:color="auto" w:fill="00B050"/>
          </w:tcPr>
          <w:p w14:paraId="65FEE766" w14:textId="332F36D6" w:rsidR="000923BE" w:rsidRPr="002661A8" w:rsidRDefault="006D1D48" w:rsidP="00D6052F">
            <w:pPr>
              <w:spacing w:line="276" w:lineRule="auto"/>
              <w:jc w:val="center"/>
              <w:rPr>
                <w:b/>
                <w:noProof/>
              </w:rPr>
            </w:pPr>
            <w:r w:rsidRPr="002661A8">
              <w:rPr>
                <w:b/>
                <w:noProof/>
              </w:rPr>
              <w:t>+</w:t>
            </w:r>
          </w:p>
        </w:tc>
        <w:tc>
          <w:tcPr>
            <w:tcW w:w="1967" w:type="dxa"/>
            <w:tcBorders>
              <w:top w:val="single" w:sz="4" w:space="0" w:color="auto"/>
              <w:left w:val="single" w:sz="4" w:space="0" w:color="auto"/>
              <w:bottom w:val="single" w:sz="4" w:space="0" w:color="auto"/>
              <w:right w:val="single" w:sz="4" w:space="0" w:color="auto"/>
            </w:tcBorders>
            <w:shd w:val="clear" w:color="auto" w:fill="00B050"/>
          </w:tcPr>
          <w:p w14:paraId="7F0015AF" w14:textId="49C0E2B2" w:rsidR="000923BE" w:rsidRPr="002661A8" w:rsidRDefault="00B535B0" w:rsidP="00E82C74">
            <w:pPr>
              <w:spacing w:line="276" w:lineRule="auto"/>
              <w:jc w:val="center"/>
              <w:rPr>
                <w:b/>
                <w:noProof/>
              </w:rPr>
            </w:pPr>
            <w:r w:rsidRPr="002661A8">
              <w:rPr>
                <w:b/>
                <w:noProof/>
              </w:rPr>
              <w:t>-</w:t>
            </w:r>
          </w:p>
        </w:tc>
        <w:tc>
          <w:tcPr>
            <w:tcW w:w="1596" w:type="dxa"/>
            <w:tcBorders>
              <w:top w:val="single" w:sz="4" w:space="0" w:color="auto"/>
              <w:left w:val="single" w:sz="4" w:space="0" w:color="auto"/>
              <w:bottom w:val="single" w:sz="4" w:space="0" w:color="auto"/>
              <w:right w:val="single" w:sz="4" w:space="0" w:color="auto"/>
            </w:tcBorders>
            <w:shd w:val="clear" w:color="auto" w:fill="00B050"/>
          </w:tcPr>
          <w:p w14:paraId="414CCE6A" w14:textId="7D01EE61" w:rsidR="000923BE" w:rsidRPr="002661A8" w:rsidRDefault="008A73FA" w:rsidP="00E82C74">
            <w:pPr>
              <w:spacing w:line="276" w:lineRule="auto"/>
              <w:jc w:val="center"/>
              <w:rPr>
                <w:b/>
                <w:noProof/>
              </w:rPr>
            </w:pPr>
            <w:r w:rsidRPr="002661A8">
              <w:rPr>
                <w:b/>
                <w:noProof/>
              </w:rPr>
              <w:t>-</w:t>
            </w:r>
          </w:p>
        </w:tc>
        <w:tc>
          <w:tcPr>
            <w:tcW w:w="2104" w:type="dxa"/>
            <w:tcBorders>
              <w:top w:val="single" w:sz="4" w:space="0" w:color="auto"/>
              <w:left w:val="single" w:sz="4" w:space="0" w:color="auto"/>
              <w:bottom w:val="single" w:sz="4" w:space="0" w:color="auto"/>
              <w:right w:val="single" w:sz="4" w:space="0" w:color="auto"/>
            </w:tcBorders>
            <w:shd w:val="clear" w:color="auto" w:fill="00B050"/>
          </w:tcPr>
          <w:p w14:paraId="3A978B74" w14:textId="247176A0" w:rsidR="000923BE" w:rsidRPr="002661A8" w:rsidRDefault="008A73FA" w:rsidP="00E82C74">
            <w:pPr>
              <w:spacing w:line="276" w:lineRule="auto"/>
              <w:jc w:val="center"/>
              <w:rPr>
                <w:b/>
                <w:noProof/>
              </w:rPr>
            </w:pPr>
            <w:r w:rsidRPr="002661A8">
              <w:rPr>
                <w:b/>
                <w:noProof/>
              </w:rPr>
              <w:t>0/+</w:t>
            </w:r>
          </w:p>
        </w:tc>
      </w:tr>
    </w:tbl>
    <w:p w14:paraId="09FB1BD1" w14:textId="77777777" w:rsidR="000923BE" w:rsidRPr="002661A8" w:rsidRDefault="000923BE" w:rsidP="000923BE">
      <w:pPr>
        <w:tabs>
          <w:tab w:val="left" w:pos="2302"/>
        </w:tabs>
        <w:spacing w:after="0" w:line="240" w:lineRule="auto"/>
        <w:jc w:val="both"/>
        <w:rPr>
          <w:rFonts w:ascii="Times New Roman" w:eastAsia="Times New Roman" w:hAnsi="Times New Roman" w:cs="Times New Roman"/>
          <w:noProof/>
          <w:sz w:val="12"/>
          <w:szCs w:val="12"/>
        </w:rPr>
      </w:pPr>
    </w:p>
    <w:p w14:paraId="0166CCB0" w14:textId="0C41CF22" w:rsidR="000923BE" w:rsidRPr="002661A8" w:rsidRDefault="000923BE" w:rsidP="00D521A6">
      <w:pPr>
        <w:pBdr>
          <w:top w:val="single" w:sz="4" w:space="1" w:color="auto"/>
          <w:left w:val="single" w:sz="4" w:space="4" w:color="auto"/>
          <w:bottom w:val="single" w:sz="4" w:space="1" w:color="auto"/>
          <w:right w:val="single" w:sz="4" w:space="4" w:color="auto"/>
        </w:pBdr>
        <w:spacing w:line="240" w:lineRule="auto"/>
        <w:ind w:left="709" w:hanging="709"/>
        <w:jc w:val="both"/>
        <w:rPr>
          <w:rFonts w:ascii="Times New Roman" w:eastAsia="Calibri" w:hAnsi="Times New Roman" w:cs="Times New Roman"/>
          <w:noProof/>
          <w:sz w:val="20"/>
          <w:szCs w:val="20"/>
        </w:rPr>
      </w:pPr>
      <w:r w:rsidRPr="002661A8">
        <w:rPr>
          <w:rFonts w:ascii="Times New Roman" w:eastAsia="Calibri" w:hAnsi="Times New Roman" w:cs="Times New Roman"/>
          <w:b/>
          <w:noProof/>
          <w:sz w:val="20"/>
          <w:szCs w:val="20"/>
          <w:u w:val="single"/>
        </w:rPr>
        <w:t>Legend</w:t>
      </w:r>
      <w:r w:rsidRPr="002661A8">
        <w:rPr>
          <w:rFonts w:ascii="Times New Roman" w:eastAsia="Calibri" w:hAnsi="Times New Roman" w:cs="Times New Roman"/>
          <w:noProof/>
          <w:sz w:val="20"/>
          <w:szCs w:val="20"/>
        </w:rPr>
        <w:t xml:space="preserve">: </w:t>
      </w:r>
      <w:r w:rsidRPr="002661A8">
        <w:rPr>
          <w:rFonts w:ascii="Times New Roman" w:eastAsia="Calibri" w:hAnsi="Times New Roman" w:cs="Times New Roman"/>
          <w:b/>
          <w:noProof/>
          <w:sz w:val="20"/>
          <w:szCs w:val="20"/>
        </w:rPr>
        <w:t>+++</w:t>
      </w:r>
      <w:r w:rsidRPr="002661A8">
        <w:rPr>
          <w:rFonts w:ascii="Times New Roman" w:eastAsia="Calibri" w:hAnsi="Times New Roman" w:cs="Times New Roman"/>
          <w:noProof/>
          <w:sz w:val="20"/>
          <w:szCs w:val="20"/>
        </w:rPr>
        <w:t xml:space="preserve"> = Very positive</w:t>
      </w:r>
      <w:r w:rsidRPr="002661A8">
        <w:rPr>
          <w:rFonts w:ascii="Times New Roman" w:eastAsia="Calibri" w:hAnsi="Times New Roman" w:cs="Times New Roman"/>
          <w:noProof/>
          <w:sz w:val="20"/>
          <w:szCs w:val="20"/>
        </w:rPr>
        <w:tab/>
      </w:r>
      <w:r w:rsidRPr="002661A8">
        <w:rPr>
          <w:rFonts w:ascii="Times New Roman" w:eastAsia="Calibri" w:hAnsi="Times New Roman" w:cs="Times New Roman"/>
          <w:b/>
          <w:noProof/>
          <w:sz w:val="20"/>
          <w:szCs w:val="20"/>
        </w:rPr>
        <w:t>++</w:t>
      </w:r>
      <w:r w:rsidRPr="002661A8">
        <w:rPr>
          <w:rFonts w:ascii="Times New Roman" w:eastAsia="Calibri" w:hAnsi="Times New Roman" w:cs="Times New Roman"/>
          <w:noProof/>
          <w:sz w:val="20"/>
          <w:szCs w:val="20"/>
        </w:rPr>
        <w:t xml:space="preserve"> = Positive</w:t>
      </w:r>
      <w:r w:rsidRPr="002661A8">
        <w:rPr>
          <w:rFonts w:ascii="Times New Roman" w:eastAsia="Calibri" w:hAnsi="Times New Roman" w:cs="Times New Roman"/>
          <w:noProof/>
          <w:sz w:val="20"/>
          <w:szCs w:val="20"/>
        </w:rPr>
        <w:tab/>
      </w:r>
      <w:r w:rsidRPr="002661A8">
        <w:rPr>
          <w:rFonts w:ascii="Times New Roman" w:eastAsia="Calibri" w:hAnsi="Times New Roman" w:cs="Times New Roman"/>
          <w:b/>
          <w:noProof/>
          <w:sz w:val="20"/>
          <w:szCs w:val="20"/>
        </w:rPr>
        <w:t>+</w:t>
      </w:r>
      <w:r w:rsidRPr="002661A8">
        <w:rPr>
          <w:rFonts w:ascii="Times New Roman" w:eastAsia="Calibri" w:hAnsi="Times New Roman" w:cs="Times New Roman"/>
          <w:noProof/>
          <w:sz w:val="20"/>
          <w:szCs w:val="20"/>
        </w:rPr>
        <w:t xml:space="preserve"> = Slightly positive </w:t>
      </w:r>
      <w:r w:rsidRPr="002661A8">
        <w:rPr>
          <w:rFonts w:ascii="Times New Roman" w:eastAsia="Calibri" w:hAnsi="Times New Roman" w:cs="Times New Roman"/>
          <w:noProof/>
          <w:sz w:val="20"/>
          <w:szCs w:val="20"/>
        </w:rPr>
        <w:tab/>
      </w:r>
      <w:r w:rsidRPr="002661A8">
        <w:rPr>
          <w:rFonts w:ascii="Times New Roman" w:eastAsia="Calibri" w:hAnsi="Times New Roman" w:cs="Times New Roman"/>
          <w:b/>
          <w:noProof/>
          <w:sz w:val="20"/>
          <w:szCs w:val="20"/>
        </w:rPr>
        <w:t xml:space="preserve">+/- </w:t>
      </w:r>
      <w:r w:rsidRPr="002661A8">
        <w:rPr>
          <w:rFonts w:ascii="Times New Roman" w:eastAsia="Calibri" w:hAnsi="Times New Roman" w:cs="Times New Roman"/>
          <w:noProof/>
          <w:sz w:val="20"/>
          <w:szCs w:val="20"/>
        </w:rPr>
        <w:t xml:space="preserve">= Mixed effect </w:t>
      </w:r>
      <w:r w:rsidRPr="002661A8">
        <w:rPr>
          <w:rFonts w:ascii="Times New Roman" w:eastAsia="Calibri" w:hAnsi="Times New Roman" w:cs="Times New Roman"/>
          <w:b/>
          <w:noProof/>
          <w:sz w:val="20"/>
          <w:szCs w:val="20"/>
        </w:rPr>
        <w:t>0</w:t>
      </w:r>
      <w:r w:rsidRPr="002661A8">
        <w:rPr>
          <w:rFonts w:ascii="Times New Roman" w:eastAsia="Calibri" w:hAnsi="Times New Roman" w:cs="Times New Roman"/>
          <w:noProof/>
          <w:sz w:val="20"/>
          <w:szCs w:val="20"/>
        </w:rPr>
        <w:t xml:space="preserve"> = no effect</w:t>
      </w:r>
      <w:r w:rsidRPr="002661A8">
        <w:rPr>
          <w:rFonts w:ascii="Times New Roman" w:eastAsia="Calibri" w:hAnsi="Times New Roman" w:cs="Times New Roman"/>
          <w:noProof/>
          <w:sz w:val="20"/>
          <w:szCs w:val="20"/>
        </w:rPr>
        <w:tab/>
      </w:r>
      <w:r w:rsidRPr="002661A8">
        <w:rPr>
          <w:rFonts w:ascii="Times New Roman" w:eastAsia="Calibri" w:hAnsi="Times New Roman" w:cs="Times New Roman"/>
          <w:b/>
          <w:noProof/>
          <w:sz w:val="20"/>
          <w:szCs w:val="20"/>
        </w:rPr>
        <w:t>-</w:t>
      </w:r>
      <w:r w:rsidRPr="002661A8">
        <w:rPr>
          <w:rFonts w:ascii="Times New Roman" w:eastAsia="Calibri" w:hAnsi="Times New Roman" w:cs="Times New Roman"/>
          <w:noProof/>
          <w:sz w:val="20"/>
          <w:szCs w:val="20"/>
        </w:rPr>
        <w:t xml:space="preserve"> = Slightly negative</w:t>
      </w:r>
      <w:r w:rsidRPr="002661A8">
        <w:rPr>
          <w:rFonts w:ascii="Times New Roman" w:eastAsia="Calibri" w:hAnsi="Times New Roman" w:cs="Times New Roman"/>
          <w:noProof/>
          <w:sz w:val="20"/>
          <w:szCs w:val="20"/>
        </w:rPr>
        <w:tab/>
      </w:r>
      <w:r w:rsidRPr="002661A8">
        <w:rPr>
          <w:rFonts w:ascii="Times New Roman" w:eastAsia="Calibri" w:hAnsi="Times New Roman" w:cs="Times New Roman"/>
          <w:b/>
          <w:noProof/>
          <w:sz w:val="20"/>
          <w:szCs w:val="20"/>
        </w:rPr>
        <w:t>--</w:t>
      </w:r>
      <w:r w:rsidRPr="002661A8">
        <w:rPr>
          <w:rFonts w:ascii="Times New Roman" w:eastAsia="Calibri" w:hAnsi="Times New Roman" w:cs="Times New Roman"/>
          <w:noProof/>
          <w:sz w:val="20"/>
          <w:szCs w:val="20"/>
        </w:rPr>
        <w:t xml:space="preserve"> = Negative</w:t>
      </w:r>
      <w:r w:rsidRPr="002661A8">
        <w:rPr>
          <w:rFonts w:ascii="Times New Roman" w:eastAsia="Calibri" w:hAnsi="Times New Roman" w:cs="Times New Roman"/>
          <w:noProof/>
          <w:sz w:val="20"/>
          <w:szCs w:val="20"/>
        </w:rPr>
        <w:tab/>
      </w:r>
      <w:r w:rsidRPr="002661A8">
        <w:rPr>
          <w:rFonts w:ascii="Times New Roman" w:eastAsia="Calibri" w:hAnsi="Times New Roman" w:cs="Times New Roman"/>
          <w:b/>
          <w:noProof/>
          <w:sz w:val="20"/>
          <w:szCs w:val="20"/>
        </w:rPr>
        <w:t>---</w:t>
      </w:r>
      <w:r w:rsidRPr="002661A8">
        <w:rPr>
          <w:rFonts w:ascii="Times New Roman" w:eastAsia="Calibri" w:hAnsi="Times New Roman" w:cs="Times New Roman"/>
          <w:noProof/>
          <w:sz w:val="20"/>
          <w:szCs w:val="20"/>
        </w:rPr>
        <w:t xml:space="preserve"> = very negative</w:t>
      </w:r>
    </w:p>
    <w:p w14:paraId="0301A2E4" w14:textId="5352A8E6" w:rsidR="004929C3" w:rsidRPr="002661A8" w:rsidRDefault="000B50BC" w:rsidP="00ED5088">
      <w:pPr>
        <w:pStyle w:val="Heading1"/>
        <w:numPr>
          <w:ilvl w:val="1"/>
          <w:numId w:val="6"/>
        </w:numPr>
        <w:spacing w:before="0" w:after="120"/>
        <w:rPr>
          <w:rFonts w:eastAsiaTheme="minorEastAsia"/>
          <w:smallCaps w:val="0"/>
          <w:noProof/>
        </w:rPr>
      </w:pPr>
      <w:bookmarkStart w:id="1135" w:name="_Toc108539827"/>
      <w:bookmarkStart w:id="1136" w:name="_Toc108539945"/>
      <w:bookmarkStart w:id="1137" w:name="_Toc109057403"/>
      <w:bookmarkStart w:id="1138" w:name="_Toc109120769"/>
      <w:bookmarkStart w:id="1139" w:name="_Toc109122404"/>
      <w:bookmarkStart w:id="1140" w:name="_Toc109133141"/>
      <w:bookmarkStart w:id="1141" w:name="_Toc120291675"/>
      <w:bookmarkEnd w:id="802"/>
      <w:r>
        <w:rPr>
          <w:rFonts w:eastAsiaTheme="minorEastAsia"/>
          <w:smallCaps w:val="0"/>
          <w:noProof/>
        </w:rPr>
        <w:t xml:space="preserve">C - </w:t>
      </w:r>
      <w:r w:rsidR="00055C17" w:rsidRPr="002661A8">
        <w:rPr>
          <w:rFonts w:eastAsiaTheme="minorEastAsia"/>
          <w:smallCaps w:val="0"/>
          <w:noProof/>
        </w:rPr>
        <w:t>Measures to enhance the assessment and management of cross-border risk</w:t>
      </w:r>
      <w:bookmarkEnd w:id="1135"/>
      <w:bookmarkEnd w:id="1136"/>
      <w:bookmarkEnd w:id="1137"/>
      <w:bookmarkEnd w:id="1138"/>
      <w:bookmarkEnd w:id="1139"/>
      <w:bookmarkEnd w:id="1140"/>
      <w:bookmarkEnd w:id="1141"/>
    </w:p>
    <w:p w14:paraId="4CA773BC" w14:textId="743AC0E8" w:rsidR="003407B6" w:rsidRPr="002661A8" w:rsidRDefault="003407B6" w:rsidP="00ED5088">
      <w:pPr>
        <w:pStyle w:val="Heading1"/>
        <w:numPr>
          <w:ilvl w:val="2"/>
          <w:numId w:val="6"/>
        </w:numPr>
        <w:spacing w:before="0" w:after="120"/>
        <w:rPr>
          <w:b w:val="0"/>
          <w:i/>
          <w:smallCaps w:val="0"/>
          <w:noProof/>
        </w:rPr>
      </w:pPr>
      <w:bookmarkStart w:id="1142" w:name="_Toc103337526"/>
      <w:bookmarkStart w:id="1143" w:name="_Toc104310018"/>
      <w:bookmarkStart w:id="1144" w:name="_Toc105656458"/>
      <w:bookmarkStart w:id="1145" w:name="_Toc106827858"/>
      <w:bookmarkStart w:id="1146" w:name="_Toc106981734"/>
      <w:bookmarkStart w:id="1147" w:name="_Toc107493874"/>
      <w:bookmarkStart w:id="1148" w:name="_Toc107497910"/>
      <w:bookmarkStart w:id="1149" w:name="_Toc107503463"/>
      <w:bookmarkStart w:id="1150" w:name="_Toc107504611"/>
      <w:bookmarkStart w:id="1151" w:name="_Toc107505456"/>
      <w:bookmarkStart w:id="1152" w:name="_Toc107838932"/>
      <w:bookmarkStart w:id="1153" w:name="_Toc107847027"/>
      <w:bookmarkStart w:id="1154" w:name="_Toc107849264"/>
      <w:bookmarkStart w:id="1155" w:name="_Toc107853711"/>
      <w:bookmarkStart w:id="1156" w:name="_Toc107865305"/>
      <w:bookmarkStart w:id="1157" w:name="_Toc108418514"/>
      <w:bookmarkStart w:id="1158" w:name="_Toc108539606"/>
      <w:bookmarkStart w:id="1159" w:name="_Toc108539828"/>
      <w:bookmarkStart w:id="1160" w:name="_Toc108539946"/>
      <w:bookmarkStart w:id="1161" w:name="_Toc108540025"/>
      <w:bookmarkStart w:id="1162" w:name="_Toc109057404"/>
      <w:bookmarkStart w:id="1163" w:name="_Toc109120770"/>
      <w:bookmarkStart w:id="1164" w:name="_Toc109122405"/>
      <w:bookmarkStart w:id="1165" w:name="_Toc109124118"/>
      <w:bookmarkStart w:id="1166" w:name="_Toc109133142"/>
      <w:bookmarkStart w:id="1167" w:name="_Toc109133318"/>
      <w:bookmarkStart w:id="1168" w:name="_Toc120291676"/>
      <w:r w:rsidRPr="002661A8">
        <w:rPr>
          <w:b w:val="0"/>
          <w:i/>
          <w:smallCaps w:val="0"/>
          <w:noProof/>
        </w:rPr>
        <w:t xml:space="preserve">Option </w:t>
      </w:r>
      <w:r w:rsidR="00A8027C">
        <w:rPr>
          <w:b w:val="0"/>
          <w:i/>
          <w:smallCaps w:val="0"/>
          <w:noProof/>
        </w:rPr>
        <w:t>C</w:t>
      </w:r>
      <w:r w:rsidRPr="002661A8">
        <w:rPr>
          <w:b w:val="0"/>
          <w:i/>
          <w:smallCaps w:val="0"/>
          <w:noProof/>
        </w:rPr>
        <w:t>2:</w:t>
      </w:r>
      <w:r w:rsidR="006C30AA" w:rsidRPr="002661A8">
        <w:rPr>
          <w:b w:val="0"/>
          <w:i/>
          <w:smallCaps w:val="0"/>
          <w:noProof/>
        </w:rPr>
        <w:t xml:space="preserve"> </w:t>
      </w:r>
      <w:r w:rsidR="0033373A" w:rsidRPr="002661A8">
        <w:rPr>
          <w:b w:val="0"/>
          <w:i/>
          <w:smallCaps w:val="0"/>
          <w:noProof/>
        </w:rPr>
        <w:t>T</w:t>
      </w:r>
      <w:r w:rsidR="006C30AA" w:rsidRPr="002661A8">
        <w:rPr>
          <w:b w:val="0"/>
          <w:i/>
          <w:smallCaps w:val="0"/>
          <w:noProof/>
        </w:rPr>
        <w:t>argeted amendments to current supervisory framework</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14:paraId="630B2193" w14:textId="4AD78458" w:rsidR="003407B6" w:rsidRPr="002661A8" w:rsidRDefault="003407B6" w:rsidP="00CC2BF1">
      <w:pPr>
        <w:spacing w:after="120" w:line="240" w:lineRule="auto"/>
        <w:jc w:val="both"/>
        <w:rPr>
          <w:rFonts w:ascii="Times New Roman" w:hAnsi="Times New Roman" w:cs="Times New Roman"/>
          <w:noProof/>
          <w:sz w:val="24"/>
          <w:szCs w:val="24"/>
          <w:u w:val="single"/>
        </w:rPr>
      </w:pPr>
      <w:r w:rsidRPr="002661A8">
        <w:rPr>
          <w:rFonts w:ascii="Times New Roman" w:hAnsi="Times New Roman" w:cs="Times New Roman"/>
          <w:noProof/>
          <w:sz w:val="24"/>
          <w:szCs w:val="24"/>
          <w:u w:val="single"/>
        </w:rPr>
        <w:t xml:space="preserve">Effectiveness in meeting the specific objectives </w:t>
      </w:r>
    </w:p>
    <w:p w14:paraId="74AE2F7E" w14:textId="632B4650" w:rsidR="005D2AF8" w:rsidRDefault="00FC1DBF" w:rsidP="003407B6">
      <w:pPr>
        <w:pStyle w:val="Text2"/>
        <w:spacing w:after="120"/>
        <w:ind w:left="0"/>
        <w:rPr>
          <w:noProof/>
        </w:rPr>
      </w:pPr>
      <w:r w:rsidRPr="002661A8">
        <w:rPr>
          <w:noProof/>
        </w:rPr>
        <w:t>Th</w:t>
      </w:r>
      <w:r w:rsidR="007E6B18" w:rsidRPr="002661A8">
        <w:rPr>
          <w:noProof/>
        </w:rPr>
        <w:t xml:space="preserve">is </w:t>
      </w:r>
      <w:r w:rsidRPr="002661A8">
        <w:rPr>
          <w:noProof/>
        </w:rPr>
        <w:t xml:space="preserve">initiative should, over time, lead to additional volumes of clearing in the EU, increased activities in </w:t>
      </w:r>
      <w:r w:rsidR="007E6B18" w:rsidRPr="002661A8">
        <w:rPr>
          <w:noProof/>
        </w:rPr>
        <w:t xml:space="preserve">certain </w:t>
      </w:r>
      <w:r w:rsidRPr="002661A8">
        <w:rPr>
          <w:noProof/>
        </w:rPr>
        <w:t xml:space="preserve">EU CCPs and </w:t>
      </w:r>
      <w:r w:rsidR="005F791D" w:rsidRPr="002661A8">
        <w:rPr>
          <w:noProof/>
        </w:rPr>
        <w:t xml:space="preserve">thus </w:t>
      </w:r>
      <w:r w:rsidRPr="002661A8">
        <w:rPr>
          <w:noProof/>
        </w:rPr>
        <w:t xml:space="preserve">increased cross-border activity in the EU. </w:t>
      </w:r>
      <w:r w:rsidR="004911A3" w:rsidRPr="002661A8">
        <w:rPr>
          <w:noProof/>
        </w:rPr>
        <w:t xml:space="preserve">This option </w:t>
      </w:r>
      <w:r w:rsidR="00545860" w:rsidRPr="002661A8">
        <w:rPr>
          <w:noProof/>
        </w:rPr>
        <w:t xml:space="preserve">would </w:t>
      </w:r>
      <w:r w:rsidR="004911A3" w:rsidRPr="002661A8">
        <w:rPr>
          <w:noProof/>
        </w:rPr>
        <w:t xml:space="preserve">effectively meet </w:t>
      </w:r>
      <w:r w:rsidR="00545860" w:rsidRPr="002661A8">
        <w:rPr>
          <w:noProof/>
        </w:rPr>
        <w:t>the specific objective</w:t>
      </w:r>
      <w:r w:rsidR="00545860" w:rsidRPr="002661A8" w:rsidDel="00DA61A5">
        <w:rPr>
          <w:noProof/>
        </w:rPr>
        <w:t>s</w:t>
      </w:r>
      <w:r w:rsidR="00545860" w:rsidRPr="002661A8">
        <w:rPr>
          <w:noProof/>
        </w:rPr>
        <w:t xml:space="preserve"> of ensuring a</w:t>
      </w:r>
      <w:r w:rsidR="00F7667F" w:rsidRPr="002661A8">
        <w:rPr>
          <w:noProof/>
        </w:rPr>
        <w:t xml:space="preserve"> more robust consideration of </w:t>
      </w:r>
      <w:r w:rsidR="00545860" w:rsidRPr="002661A8">
        <w:rPr>
          <w:noProof/>
        </w:rPr>
        <w:t>cross-border risks</w:t>
      </w:r>
      <w:r w:rsidR="002F1A0D" w:rsidRPr="002661A8">
        <w:rPr>
          <w:noProof/>
        </w:rPr>
        <w:t xml:space="preserve">, and </w:t>
      </w:r>
      <w:r w:rsidR="005F791D" w:rsidRPr="002661A8">
        <w:rPr>
          <w:noProof/>
        </w:rPr>
        <w:t xml:space="preserve">thus </w:t>
      </w:r>
      <w:r w:rsidR="002F1A0D" w:rsidRPr="002661A8">
        <w:rPr>
          <w:noProof/>
        </w:rPr>
        <w:t>enhanced EU financial stability,</w:t>
      </w:r>
      <w:r w:rsidR="00545860" w:rsidRPr="002661A8">
        <w:rPr>
          <w:noProof/>
        </w:rPr>
        <w:t xml:space="preserve"> </w:t>
      </w:r>
      <w:r w:rsidR="00FD7601" w:rsidRPr="002661A8">
        <w:rPr>
          <w:noProof/>
        </w:rPr>
        <w:t xml:space="preserve">for </w:t>
      </w:r>
      <w:r w:rsidRPr="002661A8">
        <w:rPr>
          <w:noProof/>
        </w:rPr>
        <w:t>three</w:t>
      </w:r>
      <w:r w:rsidR="00FD7601" w:rsidRPr="002661A8">
        <w:rPr>
          <w:noProof/>
        </w:rPr>
        <w:t xml:space="preserve"> reasons. </w:t>
      </w:r>
    </w:p>
    <w:p w14:paraId="6E2DB29D" w14:textId="77401C6B" w:rsidR="005D2AF8" w:rsidRDefault="00FD7601" w:rsidP="003407B6">
      <w:pPr>
        <w:pStyle w:val="Text2"/>
        <w:spacing w:after="120"/>
        <w:ind w:left="0"/>
        <w:rPr>
          <w:noProof/>
        </w:rPr>
      </w:pPr>
      <w:r w:rsidRPr="002661A8">
        <w:rPr>
          <w:noProof/>
        </w:rPr>
        <w:t xml:space="preserve">First, </w:t>
      </w:r>
      <w:r w:rsidR="00DA61A5" w:rsidRPr="002661A8">
        <w:rPr>
          <w:noProof/>
        </w:rPr>
        <w:t xml:space="preserve">it </w:t>
      </w:r>
      <w:r w:rsidR="00081D60" w:rsidRPr="002661A8">
        <w:rPr>
          <w:noProof/>
        </w:rPr>
        <w:t>w</w:t>
      </w:r>
      <w:r w:rsidR="00056FC1" w:rsidRPr="002661A8">
        <w:rPr>
          <w:noProof/>
        </w:rPr>
        <w:t>ould</w:t>
      </w:r>
      <w:r w:rsidR="00DA61A5" w:rsidRPr="002661A8">
        <w:rPr>
          <w:noProof/>
        </w:rPr>
        <w:t xml:space="preserve"> </w:t>
      </w:r>
      <w:r w:rsidRPr="002661A8">
        <w:rPr>
          <w:noProof/>
        </w:rPr>
        <w:t>provide EU authorities with an</w:t>
      </w:r>
      <w:r w:rsidR="00711B1A" w:rsidRPr="002661A8">
        <w:rPr>
          <w:noProof/>
        </w:rPr>
        <w:t xml:space="preserve"> increased say in the ongoing supervision of EU CCPs</w:t>
      </w:r>
      <w:r w:rsidR="002F1A0D" w:rsidRPr="002661A8">
        <w:rPr>
          <w:noProof/>
        </w:rPr>
        <w:t xml:space="preserve"> by </w:t>
      </w:r>
      <w:r w:rsidR="00746C05" w:rsidRPr="002661A8">
        <w:rPr>
          <w:noProof/>
        </w:rPr>
        <w:t>NCAs</w:t>
      </w:r>
      <w:r w:rsidR="00D21040" w:rsidRPr="002661A8">
        <w:rPr>
          <w:noProof/>
        </w:rPr>
        <w:t xml:space="preserve"> who retain the </w:t>
      </w:r>
      <w:r w:rsidR="00C8295E" w:rsidRPr="002661A8">
        <w:rPr>
          <w:noProof/>
        </w:rPr>
        <w:t xml:space="preserve">supervisory </w:t>
      </w:r>
      <w:r w:rsidR="00D21040" w:rsidRPr="002661A8">
        <w:rPr>
          <w:noProof/>
        </w:rPr>
        <w:t>responsibility for CCPs authorised in their jurisdiction</w:t>
      </w:r>
      <w:r w:rsidRPr="002661A8">
        <w:rPr>
          <w:noProof/>
        </w:rPr>
        <w:t xml:space="preserve">. </w:t>
      </w:r>
      <w:r w:rsidR="007D5249">
        <w:rPr>
          <w:noProof/>
        </w:rPr>
        <w:t xml:space="preserve">This could be done by </w:t>
      </w:r>
      <w:r w:rsidR="007D5249" w:rsidRPr="007D5249">
        <w:rPr>
          <w:noProof/>
        </w:rPr>
        <w:t>strengthening EU input in the adoption of decisions by NCAs (e.g. by extending the supervisory areas for which an ESMA opinion is required, such as withdrawal of authorisation, annual review and evaluation</w:t>
      </w:r>
      <w:r w:rsidR="00BF5B1D">
        <w:rPr>
          <w:noProof/>
        </w:rPr>
        <w:t>)</w:t>
      </w:r>
      <w:r w:rsidR="007D5249">
        <w:rPr>
          <w:noProof/>
        </w:rPr>
        <w:t xml:space="preserve">. ESMA could also be given the possibility </w:t>
      </w:r>
      <w:r w:rsidR="007D5249" w:rsidRPr="007D5249">
        <w:rPr>
          <w:noProof/>
        </w:rPr>
        <w:t>to publish the fact that a</w:t>
      </w:r>
      <w:r w:rsidR="00BF5B1D">
        <w:rPr>
          <w:noProof/>
        </w:rPr>
        <w:t>n</w:t>
      </w:r>
      <w:r w:rsidR="007D5249" w:rsidRPr="007D5249">
        <w:rPr>
          <w:noProof/>
        </w:rPr>
        <w:t xml:space="preserve"> NCA has not complied with an ESMA opinion</w:t>
      </w:r>
      <w:r w:rsidR="007D5249">
        <w:rPr>
          <w:noProof/>
        </w:rPr>
        <w:t>.</w:t>
      </w:r>
      <w:r w:rsidR="00FA3E59">
        <w:rPr>
          <w:noProof/>
        </w:rPr>
        <w:t xml:space="preserve"> </w:t>
      </w:r>
      <w:r w:rsidR="007D5249">
        <w:rPr>
          <w:noProof/>
        </w:rPr>
        <w:t xml:space="preserve">Another option would be to give </w:t>
      </w:r>
      <w:r w:rsidR="007D5249" w:rsidRPr="007D5249">
        <w:rPr>
          <w:noProof/>
        </w:rPr>
        <w:t>the right to central banks of issue to participate to the CCP Supervisory Co</w:t>
      </w:r>
      <w:r w:rsidR="007D5249">
        <w:rPr>
          <w:noProof/>
        </w:rPr>
        <w:t xml:space="preserve">mmittee meetings on more topics. </w:t>
      </w:r>
      <w:r w:rsidR="006A6036" w:rsidRPr="002661A8">
        <w:rPr>
          <w:noProof/>
        </w:rPr>
        <w:t>As such</w:t>
      </w:r>
      <w:r w:rsidRPr="002661A8">
        <w:rPr>
          <w:noProof/>
        </w:rPr>
        <w:t xml:space="preserve">, EU authorities </w:t>
      </w:r>
      <w:r w:rsidR="006A6036" w:rsidRPr="002661A8">
        <w:rPr>
          <w:noProof/>
        </w:rPr>
        <w:t>could</w:t>
      </w:r>
      <w:r w:rsidR="00056FC1" w:rsidRPr="002661A8">
        <w:rPr>
          <w:noProof/>
        </w:rPr>
        <w:t xml:space="preserve"> </w:t>
      </w:r>
      <w:r w:rsidRPr="002661A8">
        <w:rPr>
          <w:noProof/>
        </w:rPr>
        <w:t>better ensure that the same financial stability considerations are applied in the supervision of all EU CCPs</w:t>
      </w:r>
      <w:r w:rsidR="00D21040" w:rsidRPr="002661A8">
        <w:rPr>
          <w:noProof/>
        </w:rPr>
        <w:t xml:space="preserve">; at the same time, it would be </w:t>
      </w:r>
      <w:r w:rsidR="003A0419">
        <w:rPr>
          <w:noProof/>
        </w:rPr>
        <w:t xml:space="preserve">clear that the CCP’s competent authority remains </w:t>
      </w:r>
      <w:r w:rsidR="00BF5B1D">
        <w:rPr>
          <w:noProof/>
        </w:rPr>
        <w:t>responsible</w:t>
      </w:r>
      <w:r w:rsidR="003A0419">
        <w:rPr>
          <w:noProof/>
        </w:rPr>
        <w:t xml:space="preserve"> for the CCP’s supervision. To have ESMA (and the college) assessing relevant aspects</w:t>
      </w:r>
      <w:r w:rsidR="00BF5B1D">
        <w:rPr>
          <w:noProof/>
        </w:rPr>
        <w:t>,</w:t>
      </w:r>
      <w:r w:rsidR="003A0419">
        <w:rPr>
          <w:noProof/>
        </w:rPr>
        <w:t xml:space="preserve"> with a </w:t>
      </w:r>
      <w:r w:rsidR="00BF5B1D">
        <w:rPr>
          <w:noProof/>
        </w:rPr>
        <w:t xml:space="preserve">particular </w:t>
      </w:r>
      <w:r w:rsidR="003A0419">
        <w:rPr>
          <w:noProof/>
        </w:rPr>
        <w:t>focus on cross-border elements at the same time as the CCP’s competent authority</w:t>
      </w:r>
      <w:r w:rsidR="00BF5B1D">
        <w:rPr>
          <w:noProof/>
        </w:rPr>
        <w:t>,</w:t>
      </w:r>
      <w:r w:rsidR="003A0419">
        <w:rPr>
          <w:noProof/>
        </w:rPr>
        <w:t xml:space="preserve"> would ensure convergence in supervision and </w:t>
      </w:r>
      <w:r w:rsidR="00D21040" w:rsidRPr="002661A8">
        <w:rPr>
          <w:noProof/>
        </w:rPr>
        <w:t xml:space="preserve">that the overall timeline of </w:t>
      </w:r>
      <w:r w:rsidR="00BF5B1D">
        <w:rPr>
          <w:noProof/>
        </w:rPr>
        <w:t xml:space="preserve">the overall </w:t>
      </w:r>
      <w:r w:rsidR="00D21040" w:rsidRPr="002661A8">
        <w:rPr>
          <w:noProof/>
        </w:rPr>
        <w:t>procedures does not increase</w:t>
      </w:r>
      <w:r w:rsidRPr="002661A8">
        <w:rPr>
          <w:noProof/>
        </w:rPr>
        <w:t xml:space="preserve">. </w:t>
      </w:r>
    </w:p>
    <w:p w14:paraId="0B6946AD" w14:textId="176603DC" w:rsidR="005D2AF8" w:rsidRDefault="00FD7601" w:rsidP="003407B6">
      <w:pPr>
        <w:pStyle w:val="Text2"/>
        <w:spacing w:after="120"/>
        <w:ind w:left="0"/>
        <w:rPr>
          <w:noProof/>
        </w:rPr>
      </w:pPr>
      <w:r w:rsidRPr="002661A8">
        <w:rPr>
          <w:noProof/>
        </w:rPr>
        <w:t>Second,</w:t>
      </w:r>
      <w:r w:rsidR="00FA3E59">
        <w:rPr>
          <w:noProof/>
        </w:rPr>
        <w:t xml:space="preserve"> joint supervisory teams consisting of the competent authority, ESMA and certain members of the college </w:t>
      </w:r>
      <w:r w:rsidR="004971FD">
        <w:rPr>
          <w:noProof/>
        </w:rPr>
        <w:t xml:space="preserve">could be set </w:t>
      </w:r>
      <w:r w:rsidR="001D43DC">
        <w:rPr>
          <w:noProof/>
        </w:rPr>
        <w:t>up</w:t>
      </w:r>
      <w:r w:rsidR="00FA3E59">
        <w:rPr>
          <w:noProof/>
        </w:rPr>
        <w:t xml:space="preserve"> to assist on certain aspects, such as providing input on </w:t>
      </w:r>
      <w:r w:rsidR="004971FD">
        <w:rPr>
          <w:noProof/>
        </w:rPr>
        <w:t>specific</w:t>
      </w:r>
      <w:r w:rsidR="00FA3E59">
        <w:rPr>
          <w:noProof/>
        </w:rPr>
        <w:t xml:space="preserve"> supervisory matters and participating to onsite inspections. </w:t>
      </w:r>
      <w:r w:rsidR="001C57A7">
        <w:rPr>
          <w:noProof/>
          <w:szCs w:val="24"/>
        </w:rPr>
        <w:t>In meetings with Member States, a few Member States expressed concerns due to potential challenge</w:t>
      </w:r>
      <w:r w:rsidR="001D43DC">
        <w:rPr>
          <w:noProof/>
          <w:szCs w:val="24"/>
        </w:rPr>
        <w:t>s</w:t>
      </w:r>
      <w:r w:rsidR="001C57A7">
        <w:rPr>
          <w:noProof/>
          <w:szCs w:val="24"/>
        </w:rPr>
        <w:t xml:space="preserve"> of </w:t>
      </w:r>
      <w:r w:rsidR="001D43DC">
        <w:rPr>
          <w:noProof/>
          <w:szCs w:val="24"/>
        </w:rPr>
        <w:t>ensuring</w:t>
      </w:r>
      <w:r w:rsidR="001C57A7">
        <w:rPr>
          <w:noProof/>
          <w:szCs w:val="24"/>
        </w:rPr>
        <w:t xml:space="preserve"> clearly defined roles and responsibilities. </w:t>
      </w:r>
    </w:p>
    <w:p w14:paraId="0466E12F" w14:textId="303CD570" w:rsidR="005D2AF8" w:rsidRDefault="007D5249" w:rsidP="003407B6">
      <w:pPr>
        <w:pStyle w:val="Text2"/>
        <w:spacing w:after="120"/>
        <w:ind w:left="0"/>
        <w:rPr>
          <w:noProof/>
        </w:rPr>
      </w:pPr>
      <w:r>
        <w:rPr>
          <w:noProof/>
        </w:rPr>
        <w:t xml:space="preserve">Third, </w:t>
      </w:r>
      <w:r w:rsidR="002319D4" w:rsidRPr="002661A8">
        <w:rPr>
          <w:noProof/>
        </w:rPr>
        <w:t>ESMA</w:t>
      </w:r>
      <w:r w:rsidR="00BF5B1D">
        <w:rPr>
          <w:noProof/>
        </w:rPr>
        <w:t>’s</w:t>
      </w:r>
      <w:r w:rsidR="002319D4" w:rsidRPr="002661A8">
        <w:rPr>
          <w:noProof/>
        </w:rPr>
        <w:t xml:space="preserve"> </w:t>
      </w:r>
      <w:r w:rsidR="00711B1A" w:rsidRPr="002661A8">
        <w:rPr>
          <w:noProof/>
        </w:rPr>
        <w:t>powers in case of emergency situations</w:t>
      </w:r>
      <w:r w:rsidR="007E6B18" w:rsidRPr="002661A8">
        <w:rPr>
          <w:noProof/>
        </w:rPr>
        <w:t xml:space="preserve"> </w:t>
      </w:r>
      <w:r w:rsidR="00BF5B1D">
        <w:rPr>
          <w:noProof/>
        </w:rPr>
        <w:t>could be enhanced; it could be entrusted with</w:t>
      </w:r>
      <w:r w:rsidR="00D506A4" w:rsidDel="00BF5B1D">
        <w:rPr>
          <w:noProof/>
        </w:rPr>
        <w:t xml:space="preserve"> </w:t>
      </w:r>
      <w:r w:rsidR="00D506A4">
        <w:rPr>
          <w:noProof/>
        </w:rPr>
        <w:t>coordinat</w:t>
      </w:r>
      <w:r w:rsidR="00BF5B1D">
        <w:rPr>
          <w:noProof/>
        </w:rPr>
        <w:t>ing</w:t>
      </w:r>
      <w:r w:rsidR="00D506A4">
        <w:rPr>
          <w:noProof/>
        </w:rPr>
        <w:t xml:space="preserve"> responses to a crisis and </w:t>
      </w:r>
      <w:r w:rsidR="00BF5B1D">
        <w:rPr>
          <w:noProof/>
        </w:rPr>
        <w:t xml:space="preserve">empowered </w:t>
      </w:r>
      <w:r w:rsidR="00D506A4">
        <w:rPr>
          <w:noProof/>
        </w:rPr>
        <w:t xml:space="preserve">to request </w:t>
      </w:r>
      <w:r w:rsidR="00BF5B1D">
        <w:rPr>
          <w:noProof/>
        </w:rPr>
        <w:t xml:space="preserve">relevant </w:t>
      </w:r>
      <w:r w:rsidR="00D506A4">
        <w:rPr>
          <w:noProof/>
        </w:rPr>
        <w:t xml:space="preserve">information </w:t>
      </w:r>
      <w:r w:rsidR="00BF5B1D">
        <w:rPr>
          <w:noProof/>
        </w:rPr>
        <w:t>directly from market participants</w:t>
      </w:r>
      <w:r w:rsidR="00D506A4">
        <w:rPr>
          <w:noProof/>
        </w:rPr>
        <w:t xml:space="preserve"> </w:t>
      </w:r>
      <w:r w:rsidR="00FC1DBF" w:rsidRPr="002661A8">
        <w:rPr>
          <w:noProof/>
        </w:rPr>
        <w:t xml:space="preserve">and </w:t>
      </w:r>
      <w:r w:rsidR="00FA3E59">
        <w:rPr>
          <w:noProof/>
        </w:rPr>
        <w:t xml:space="preserve">to establish </w:t>
      </w:r>
      <w:r w:rsidR="00FC1DBF" w:rsidRPr="002661A8">
        <w:rPr>
          <w:noProof/>
        </w:rPr>
        <w:t xml:space="preserve">effective practices to address </w:t>
      </w:r>
      <w:r w:rsidR="00FA3E59">
        <w:rPr>
          <w:noProof/>
        </w:rPr>
        <w:t xml:space="preserve">and share information on </w:t>
      </w:r>
      <w:r w:rsidR="00FC1DBF" w:rsidRPr="002661A8">
        <w:rPr>
          <w:noProof/>
        </w:rPr>
        <w:t xml:space="preserve">emerging risks. </w:t>
      </w:r>
      <w:r w:rsidR="00E17E28" w:rsidRPr="002661A8">
        <w:rPr>
          <w:noProof/>
        </w:rPr>
        <w:t>T</w:t>
      </w:r>
      <w:r w:rsidR="00FC1DBF" w:rsidRPr="002661A8">
        <w:rPr>
          <w:noProof/>
        </w:rPr>
        <w:t xml:space="preserve">his </w:t>
      </w:r>
      <w:r w:rsidR="00081D60" w:rsidRPr="002661A8">
        <w:rPr>
          <w:noProof/>
        </w:rPr>
        <w:t>w</w:t>
      </w:r>
      <w:r w:rsidR="00FC1DBF" w:rsidRPr="002661A8">
        <w:rPr>
          <w:noProof/>
        </w:rPr>
        <w:t>ould</w:t>
      </w:r>
      <w:r w:rsidR="00E17E28" w:rsidRPr="002661A8">
        <w:rPr>
          <w:noProof/>
        </w:rPr>
        <w:t xml:space="preserve"> also</w:t>
      </w:r>
      <w:r w:rsidR="00FC1DBF" w:rsidRPr="002661A8">
        <w:rPr>
          <w:noProof/>
        </w:rPr>
        <w:t xml:space="preserve"> help to speed up the EU response, clarify expectations regarding data sharing and availability for the relevant authorities and supervised CCPs, reduce the potential risk of conflicting approaches and promote convergence of crisis management responses. </w:t>
      </w:r>
      <w:r w:rsidR="00D506A4">
        <w:rPr>
          <w:noProof/>
        </w:rPr>
        <w:t>ESMA could also be provided the possibility to issue recommendation</w:t>
      </w:r>
      <w:r w:rsidR="005D2AF8">
        <w:rPr>
          <w:noProof/>
        </w:rPr>
        <w:t>s</w:t>
      </w:r>
      <w:r w:rsidR="00D506A4">
        <w:rPr>
          <w:noProof/>
        </w:rPr>
        <w:t xml:space="preserve"> if certain conditions are met, </w:t>
      </w:r>
      <w:r w:rsidR="005D2AF8">
        <w:rPr>
          <w:noProof/>
        </w:rPr>
        <w:t>e.g.</w:t>
      </w:r>
      <w:r w:rsidR="00D506A4">
        <w:rPr>
          <w:noProof/>
        </w:rPr>
        <w:t xml:space="preserve"> the emergency </w:t>
      </w:r>
      <w:r w:rsidR="005D2AF8">
        <w:rPr>
          <w:noProof/>
        </w:rPr>
        <w:t>a</w:t>
      </w:r>
      <w:r w:rsidR="00D506A4">
        <w:rPr>
          <w:noProof/>
        </w:rPr>
        <w:t>ffect</w:t>
      </w:r>
      <w:r w:rsidR="005D2AF8">
        <w:rPr>
          <w:noProof/>
        </w:rPr>
        <w:t>s</w:t>
      </w:r>
      <w:r w:rsidR="00D506A4">
        <w:rPr>
          <w:noProof/>
        </w:rPr>
        <w:t xml:space="preserve"> more than one CCP</w:t>
      </w:r>
      <w:r w:rsidR="005D2AF8">
        <w:rPr>
          <w:noProof/>
        </w:rPr>
        <w:t>s or in case of Union-wide events destabilising cross-border cleared markets</w:t>
      </w:r>
      <w:r w:rsidR="00D506A4">
        <w:rPr>
          <w:noProof/>
        </w:rPr>
        <w:t xml:space="preserve">. </w:t>
      </w:r>
      <w:r w:rsidR="004971FD">
        <w:rPr>
          <w:noProof/>
          <w:szCs w:val="24"/>
        </w:rPr>
        <w:t>S</w:t>
      </w:r>
      <w:r w:rsidR="001C57A7">
        <w:rPr>
          <w:noProof/>
          <w:szCs w:val="24"/>
        </w:rPr>
        <w:t>everal</w:t>
      </w:r>
      <w:r w:rsidR="004971FD">
        <w:rPr>
          <w:noProof/>
          <w:szCs w:val="24"/>
        </w:rPr>
        <w:t xml:space="preserve"> Member States</w:t>
      </w:r>
      <w:r w:rsidR="001C57A7">
        <w:rPr>
          <w:noProof/>
          <w:szCs w:val="24"/>
        </w:rPr>
        <w:t xml:space="preserve"> indicated their support for </w:t>
      </w:r>
      <w:r w:rsidR="001C57A7" w:rsidRPr="00AA3386">
        <w:rPr>
          <w:noProof/>
          <w:szCs w:val="24"/>
        </w:rPr>
        <w:t>strengthening ESMA’s coordinating function in emergency situations</w:t>
      </w:r>
      <w:r w:rsidR="001C57A7">
        <w:rPr>
          <w:noProof/>
          <w:szCs w:val="24"/>
        </w:rPr>
        <w:t>.</w:t>
      </w:r>
      <w:r w:rsidR="0055703B">
        <w:rPr>
          <w:rStyle w:val="FootnoteReference"/>
          <w:noProof/>
          <w:szCs w:val="24"/>
        </w:rPr>
        <w:footnoteReference w:id="156"/>
      </w:r>
    </w:p>
    <w:p w14:paraId="7F577E75" w14:textId="309A765D" w:rsidR="00FD7601" w:rsidRPr="002661A8" w:rsidRDefault="007D5249" w:rsidP="003407B6">
      <w:pPr>
        <w:pStyle w:val="Text2"/>
        <w:spacing w:after="120"/>
        <w:ind w:left="0"/>
        <w:rPr>
          <w:noProof/>
        </w:rPr>
      </w:pPr>
      <w:r>
        <w:rPr>
          <w:noProof/>
        </w:rPr>
        <w:t>Fourth,</w:t>
      </w:r>
      <w:r w:rsidR="00FC1DBF" w:rsidRPr="002661A8" w:rsidDel="001D43DC">
        <w:rPr>
          <w:noProof/>
        </w:rPr>
        <w:t xml:space="preserve"> </w:t>
      </w:r>
      <w:r w:rsidR="00FC1DBF" w:rsidRPr="002661A8">
        <w:rPr>
          <w:noProof/>
        </w:rPr>
        <w:t xml:space="preserve">the establishment of </w:t>
      </w:r>
      <w:r w:rsidRPr="007D5249">
        <w:rPr>
          <w:noProof/>
        </w:rPr>
        <w:t xml:space="preserve">a Joint Monitoring Mechanism (comprising amongst others the ESAs, the ECB, the SSM, the ESRB and the Commission) to </w:t>
      </w:r>
      <w:r w:rsidRPr="002661A8">
        <w:rPr>
          <w:noProof/>
        </w:rPr>
        <w:t>monitor at EU level the transfer of EU firms’ excessive exposures from Tier 2 CCPs to EU CCPs</w:t>
      </w:r>
      <w:r w:rsidR="005C76C6">
        <w:rPr>
          <w:noProof/>
        </w:rPr>
        <w:t xml:space="preserve">; </w:t>
      </w:r>
      <w:r w:rsidR="00FA3E59" w:rsidRPr="007D5249">
        <w:rPr>
          <w:noProof/>
        </w:rPr>
        <w:t>contribute to the development of Union-wide assess</w:t>
      </w:r>
      <w:r w:rsidR="00FA3E59">
        <w:rPr>
          <w:noProof/>
        </w:rPr>
        <w:t>ments of the resilience of CCPs</w:t>
      </w:r>
      <w:r w:rsidR="00FA3E59" w:rsidRPr="007D5249">
        <w:rPr>
          <w:noProof/>
        </w:rPr>
        <w:t xml:space="preserve"> focussing on liquidity risks concerning CCPs, clearing members and clients; identify concentration risks, in particular in client clearing, due to the integration of </w:t>
      </w:r>
      <w:r w:rsidR="009E14C7">
        <w:rPr>
          <w:noProof/>
        </w:rPr>
        <w:t>EU</w:t>
      </w:r>
      <w:r w:rsidR="00FA3E59" w:rsidRPr="007D5249">
        <w:rPr>
          <w:noProof/>
        </w:rPr>
        <w:t xml:space="preserve"> financial markets, including where several CCPs, clearing members or clients use the same service providers; monitor the effectiveness of the measures aimed at improving the attractiveness of EU CCPs, encouraging clearing at EU CCPs and enhancing the mon</w:t>
      </w:r>
      <w:r w:rsidR="00FA3E59">
        <w:rPr>
          <w:noProof/>
        </w:rPr>
        <w:t xml:space="preserve">itoring of cross-border risks. </w:t>
      </w:r>
      <w:r w:rsidR="00FA3E59" w:rsidRPr="007D5249">
        <w:rPr>
          <w:noProof/>
        </w:rPr>
        <w:t>ESMA, in cooperation with the other bodies participating to the Joint Monitoring Mechanism, could be requested to submit an annual report on the results of the</w:t>
      </w:r>
      <w:r w:rsidR="009E14C7">
        <w:rPr>
          <w:noProof/>
        </w:rPr>
        <w:t>ir</w:t>
      </w:r>
      <w:r w:rsidR="00FA3E59" w:rsidRPr="007D5249">
        <w:rPr>
          <w:noProof/>
        </w:rPr>
        <w:t xml:space="preserve"> monitoring activity. In addition, if ESMA were to identify that </w:t>
      </w:r>
      <w:r w:rsidR="0055703B">
        <w:rPr>
          <w:noProof/>
        </w:rPr>
        <w:t>national</w:t>
      </w:r>
      <w:r w:rsidR="00FA3E59" w:rsidRPr="007D5249">
        <w:rPr>
          <w:noProof/>
        </w:rPr>
        <w:t xml:space="preserve"> authorities fail to ensure compliance with potential requirements on clearing at EU CCPs, </w:t>
      </w:r>
      <w:r w:rsidR="004971FD">
        <w:rPr>
          <w:noProof/>
        </w:rPr>
        <w:t>it</w:t>
      </w:r>
      <w:r w:rsidR="004971FD" w:rsidRPr="007D5249">
        <w:rPr>
          <w:noProof/>
        </w:rPr>
        <w:t xml:space="preserve"> </w:t>
      </w:r>
      <w:r w:rsidR="00FA3E59" w:rsidRPr="007D5249">
        <w:rPr>
          <w:noProof/>
        </w:rPr>
        <w:t xml:space="preserve">could issue guidelines or recommendations or </w:t>
      </w:r>
      <w:r w:rsidR="009E14C7">
        <w:rPr>
          <w:noProof/>
        </w:rPr>
        <w:t xml:space="preserve">launch a breach of Union law </w:t>
      </w:r>
      <w:r w:rsidR="00330754">
        <w:rPr>
          <w:noProof/>
        </w:rPr>
        <w:t>procedure</w:t>
      </w:r>
      <w:r w:rsidR="00FA3E59" w:rsidRPr="007D5249">
        <w:rPr>
          <w:noProof/>
        </w:rPr>
        <w:t xml:space="preserve">. Finally, ESMA could also be requested to </w:t>
      </w:r>
      <w:r w:rsidR="003662AC">
        <w:rPr>
          <w:noProof/>
        </w:rPr>
        <w:t xml:space="preserve">monitor and keep under </w:t>
      </w:r>
      <w:r w:rsidR="00FA3E59" w:rsidRPr="007D5249">
        <w:rPr>
          <w:noProof/>
        </w:rPr>
        <w:t>review the proportion of the activity to be cleared in active account</w:t>
      </w:r>
      <w:r w:rsidR="009E14C7">
        <w:rPr>
          <w:noProof/>
        </w:rPr>
        <w:t xml:space="preserve"> at EU CCPs</w:t>
      </w:r>
      <w:r w:rsidR="00FA3E59">
        <w:rPr>
          <w:noProof/>
        </w:rPr>
        <w:t xml:space="preserve">. </w:t>
      </w:r>
      <w:r w:rsidR="004971FD">
        <w:rPr>
          <w:noProof/>
          <w:szCs w:val="24"/>
        </w:rPr>
        <w:t xml:space="preserve">In meetings with </w:t>
      </w:r>
      <w:r w:rsidR="004971FD" w:rsidRPr="00AA3386">
        <w:rPr>
          <w:noProof/>
          <w:szCs w:val="24"/>
        </w:rPr>
        <w:t>Member State</w:t>
      </w:r>
      <w:r w:rsidR="004971FD">
        <w:rPr>
          <w:noProof/>
          <w:szCs w:val="24"/>
        </w:rPr>
        <w:t xml:space="preserve">s, several indicated their support for </w:t>
      </w:r>
      <w:r w:rsidR="004971FD" w:rsidRPr="00AA3386">
        <w:rPr>
          <w:noProof/>
          <w:szCs w:val="24"/>
        </w:rPr>
        <w:t xml:space="preserve">introducing a stronger cross-sectoral monitoring mechanism </w:t>
      </w:r>
      <w:r w:rsidR="004971FD">
        <w:rPr>
          <w:noProof/>
          <w:szCs w:val="24"/>
        </w:rPr>
        <w:t>for</w:t>
      </w:r>
      <w:r w:rsidR="004971FD" w:rsidRPr="00AA3386">
        <w:rPr>
          <w:noProof/>
          <w:szCs w:val="24"/>
        </w:rPr>
        <w:t xml:space="preserve"> the EU’s exposures to Tier 2 CCPs.</w:t>
      </w:r>
      <w:r w:rsidR="004971FD" w:rsidRPr="0055703B">
        <w:rPr>
          <w:rStyle w:val="FootnoteReference"/>
          <w:noProof/>
          <w:szCs w:val="24"/>
        </w:rPr>
        <w:t xml:space="preserve"> </w:t>
      </w:r>
      <w:r w:rsidR="0055703B">
        <w:rPr>
          <w:rStyle w:val="FootnoteReference"/>
          <w:noProof/>
          <w:szCs w:val="24"/>
        </w:rPr>
        <w:footnoteReference w:id="157"/>
      </w:r>
      <w:r w:rsidR="004971FD">
        <w:rPr>
          <w:noProof/>
          <w:szCs w:val="24"/>
        </w:rPr>
        <w:t xml:space="preserve"> </w:t>
      </w:r>
      <w:r w:rsidR="00FD7601" w:rsidRPr="002661A8">
        <w:rPr>
          <w:noProof/>
        </w:rPr>
        <w:t xml:space="preserve">In addition, by streamlining procedures and clarifying the roles of various authorities involved in the supervision of EU CCPs, this option </w:t>
      </w:r>
      <w:r w:rsidR="00884A14" w:rsidRPr="002661A8">
        <w:rPr>
          <w:noProof/>
        </w:rPr>
        <w:t xml:space="preserve">would </w:t>
      </w:r>
      <w:r w:rsidR="00FC1DBF" w:rsidRPr="002661A8">
        <w:rPr>
          <w:noProof/>
        </w:rPr>
        <w:t xml:space="preserve">render </w:t>
      </w:r>
      <w:r w:rsidR="00FD7601" w:rsidRPr="002661A8">
        <w:rPr>
          <w:noProof/>
        </w:rPr>
        <w:t>the framework simpler and less costly for all actors involved</w:t>
      </w:r>
      <w:r w:rsidR="00FC1B6A" w:rsidRPr="002661A8">
        <w:rPr>
          <w:noProof/>
        </w:rPr>
        <w:t>,</w:t>
      </w:r>
      <w:r w:rsidR="00FD7601" w:rsidRPr="002661A8">
        <w:rPr>
          <w:noProof/>
        </w:rPr>
        <w:t xml:space="preserve"> </w:t>
      </w:r>
      <w:r w:rsidR="00545860" w:rsidRPr="002661A8" w:rsidDel="00FD7601">
        <w:rPr>
          <w:noProof/>
        </w:rPr>
        <w:t xml:space="preserve">and </w:t>
      </w:r>
      <w:r w:rsidR="00545860" w:rsidRPr="002661A8">
        <w:rPr>
          <w:noProof/>
        </w:rPr>
        <w:t>improv</w:t>
      </w:r>
      <w:r w:rsidR="00AD6BD7" w:rsidRPr="002661A8">
        <w:rPr>
          <w:noProof/>
        </w:rPr>
        <w:t>e</w:t>
      </w:r>
      <w:r w:rsidR="00F7667F" w:rsidRPr="002661A8">
        <w:rPr>
          <w:noProof/>
        </w:rPr>
        <w:t xml:space="preserve"> the </w:t>
      </w:r>
      <w:r w:rsidR="00FE4BB5" w:rsidRPr="002661A8">
        <w:rPr>
          <w:noProof/>
          <w:szCs w:val="24"/>
        </w:rPr>
        <w:t>attractiveness</w:t>
      </w:r>
      <w:r w:rsidR="00F7667F" w:rsidRPr="002661A8">
        <w:rPr>
          <w:noProof/>
        </w:rPr>
        <w:t xml:space="preserve"> of EU CCPs</w:t>
      </w:r>
      <w:r w:rsidR="004911A3" w:rsidRPr="002661A8" w:rsidDel="00FD7601">
        <w:rPr>
          <w:noProof/>
        </w:rPr>
        <w:t xml:space="preserve"> by addressing the driv</w:t>
      </w:r>
      <w:r w:rsidR="007701AC" w:rsidRPr="002661A8" w:rsidDel="00FD7601">
        <w:rPr>
          <w:noProof/>
        </w:rPr>
        <w:t>ers linked to these objectives</w:t>
      </w:r>
      <w:r w:rsidR="007701AC" w:rsidRPr="002661A8">
        <w:rPr>
          <w:noProof/>
        </w:rPr>
        <w:t xml:space="preserve">. </w:t>
      </w:r>
    </w:p>
    <w:p w14:paraId="4107C241" w14:textId="4E6BDC71" w:rsidR="003407B6" w:rsidRPr="002661A8" w:rsidRDefault="003407B6" w:rsidP="003407B6">
      <w:pPr>
        <w:pStyle w:val="Text2"/>
        <w:spacing w:after="120"/>
        <w:ind w:left="0"/>
        <w:rPr>
          <w:noProof/>
          <w:u w:val="single"/>
        </w:rPr>
      </w:pPr>
      <w:r w:rsidRPr="002661A8">
        <w:rPr>
          <w:noProof/>
          <w:u w:val="single"/>
        </w:rPr>
        <w:t>Coherence</w:t>
      </w:r>
    </w:p>
    <w:p w14:paraId="31F1D9BE" w14:textId="58D2E025" w:rsidR="00926372" w:rsidRPr="002661A8" w:rsidRDefault="007701AC" w:rsidP="00CA7F91">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This option is coherent with the current EMIR framework, as it builds upon the already foreseen arrangements</w:t>
      </w:r>
      <w:r w:rsidR="00E25F58" w:rsidRPr="002661A8">
        <w:rPr>
          <w:rFonts w:ascii="Times New Roman" w:hAnsi="Times New Roman" w:cs="Times New Roman"/>
          <w:noProof/>
          <w:sz w:val="24"/>
          <w:szCs w:val="24"/>
        </w:rPr>
        <w:t xml:space="preserve"> under EMIR 2.2</w:t>
      </w:r>
      <w:r w:rsidR="00C8295E" w:rsidRPr="002661A8">
        <w:rPr>
          <w:rFonts w:ascii="Times New Roman" w:hAnsi="Times New Roman" w:cs="Times New Roman"/>
          <w:noProof/>
          <w:sz w:val="24"/>
          <w:szCs w:val="24"/>
        </w:rPr>
        <w:t xml:space="preserve"> and </w:t>
      </w:r>
      <w:r w:rsidRPr="002661A8">
        <w:rPr>
          <w:rFonts w:ascii="Times New Roman" w:hAnsi="Times New Roman" w:cs="Times New Roman"/>
          <w:noProof/>
          <w:sz w:val="24"/>
          <w:szCs w:val="24"/>
        </w:rPr>
        <w:t xml:space="preserve">with the </w:t>
      </w:r>
      <w:r w:rsidR="00E25F58" w:rsidRPr="002661A8">
        <w:rPr>
          <w:rFonts w:ascii="Times New Roman" w:hAnsi="Times New Roman" w:cs="Times New Roman"/>
          <w:noProof/>
          <w:sz w:val="24"/>
          <w:szCs w:val="24"/>
        </w:rPr>
        <w:t xml:space="preserve">2020 </w:t>
      </w:r>
      <w:r w:rsidRPr="002661A8">
        <w:rPr>
          <w:rFonts w:ascii="Times New Roman" w:hAnsi="Times New Roman" w:cs="Times New Roman"/>
          <w:noProof/>
          <w:sz w:val="24"/>
          <w:szCs w:val="24"/>
        </w:rPr>
        <w:t xml:space="preserve">CMU Action Plan, which highlights </w:t>
      </w:r>
      <w:r w:rsidR="0019642D" w:rsidRPr="002661A8">
        <w:rPr>
          <w:rFonts w:ascii="Times New Roman" w:hAnsi="Times New Roman" w:cs="Times New Roman"/>
          <w:noProof/>
          <w:sz w:val="24"/>
          <w:szCs w:val="24"/>
        </w:rPr>
        <w:t>the need for a more integrated</w:t>
      </w:r>
      <w:r w:rsidR="00E25F58" w:rsidRPr="002661A8">
        <w:rPr>
          <w:rFonts w:ascii="Times New Roman" w:hAnsi="Times New Roman" w:cs="Times New Roman"/>
          <w:noProof/>
          <w:sz w:val="24"/>
          <w:szCs w:val="24"/>
        </w:rPr>
        <w:t xml:space="preserve"> post-trading landscape in the EU while noting </w:t>
      </w:r>
      <w:r w:rsidRPr="002661A8">
        <w:rPr>
          <w:rFonts w:ascii="Times New Roman" w:hAnsi="Times New Roman" w:cs="Times New Roman"/>
          <w:noProof/>
          <w:sz w:val="24"/>
          <w:szCs w:val="24"/>
        </w:rPr>
        <w:t xml:space="preserve">that the Commission will consider proposing measures for stronger supervisory coordination or direct supervision by the </w:t>
      </w:r>
      <w:r w:rsidR="00C8295E" w:rsidRPr="002661A8">
        <w:rPr>
          <w:rFonts w:ascii="Times New Roman" w:hAnsi="Times New Roman" w:cs="Times New Roman"/>
          <w:noProof/>
          <w:sz w:val="24"/>
          <w:szCs w:val="24"/>
        </w:rPr>
        <w:t>ESAs</w:t>
      </w:r>
      <w:r w:rsidRPr="002661A8">
        <w:rPr>
          <w:rFonts w:ascii="Times New Roman" w:hAnsi="Times New Roman" w:cs="Times New Roman"/>
          <w:noProof/>
          <w:sz w:val="24"/>
          <w:szCs w:val="24"/>
        </w:rPr>
        <w:t xml:space="preserve">. </w:t>
      </w:r>
      <w:r w:rsidR="00AD6BD7" w:rsidRPr="002661A8">
        <w:rPr>
          <w:rFonts w:ascii="Times New Roman" w:hAnsi="Times New Roman" w:cs="Times New Roman"/>
          <w:noProof/>
          <w:sz w:val="24"/>
          <w:szCs w:val="24"/>
        </w:rPr>
        <w:t xml:space="preserve">Finally, it would increase the overall consistency in the application of the EU </w:t>
      </w:r>
      <w:r w:rsidR="0033373A" w:rsidRPr="002661A8">
        <w:rPr>
          <w:rFonts w:ascii="Times New Roman" w:hAnsi="Times New Roman" w:cs="Times New Roman"/>
          <w:noProof/>
          <w:sz w:val="24"/>
          <w:szCs w:val="24"/>
        </w:rPr>
        <w:t xml:space="preserve">rules on </w:t>
      </w:r>
      <w:r w:rsidR="002F1A0D" w:rsidRPr="002661A8">
        <w:rPr>
          <w:rFonts w:ascii="Times New Roman" w:hAnsi="Times New Roman" w:cs="Times New Roman"/>
          <w:noProof/>
          <w:sz w:val="24"/>
          <w:szCs w:val="24"/>
        </w:rPr>
        <w:t>financial services</w:t>
      </w:r>
      <w:r w:rsidR="00AD6BD7" w:rsidRPr="002661A8">
        <w:rPr>
          <w:rFonts w:ascii="Times New Roman" w:hAnsi="Times New Roman" w:cs="Times New Roman"/>
          <w:noProof/>
          <w:sz w:val="24"/>
          <w:szCs w:val="24"/>
        </w:rPr>
        <w:t>.</w:t>
      </w:r>
    </w:p>
    <w:p w14:paraId="3A97C06F" w14:textId="41E4878A" w:rsidR="00A8027C" w:rsidRPr="002661A8" w:rsidRDefault="00A8027C" w:rsidP="00A8027C">
      <w:pPr>
        <w:tabs>
          <w:tab w:val="left" w:pos="2302"/>
        </w:tabs>
        <w:spacing w:after="120" w:line="240" w:lineRule="auto"/>
        <w:jc w:val="both"/>
        <w:rPr>
          <w:rFonts w:ascii="Times New Roman" w:eastAsia="Times New Roman" w:hAnsi="Times New Roman" w:cs="Times New Roman"/>
          <w:noProof/>
          <w:sz w:val="24"/>
          <w:szCs w:val="24"/>
          <w:u w:val="single"/>
        </w:rPr>
      </w:pPr>
      <w:r>
        <w:rPr>
          <w:rFonts w:ascii="Times New Roman" w:eastAsia="Times New Roman" w:hAnsi="Times New Roman" w:cs="Times New Roman"/>
          <w:noProof/>
          <w:sz w:val="24"/>
          <w:szCs w:val="24"/>
          <w:u w:val="single"/>
        </w:rPr>
        <w:t>Assessment of the impacts by stakeholder group</w:t>
      </w:r>
    </w:p>
    <w:p w14:paraId="64F0CD1B" w14:textId="671E0FC4" w:rsidR="002E650C" w:rsidRPr="002661A8" w:rsidRDefault="002E650C" w:rsidP="002E650C">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By streamlining the procedures and various authorities’ role, </w:t>
      </w:r>
      <w:r w:rsidRPr="002661A8">
        <w:rPr>
          <w:rFonts w:ascii="Times New Roman" w:eastAsia="Calibri" w:hAnsi="Times New Roman" w:cs="Times New Roman"/>
          <w:b/>
          <w:noProof/>
          <w:sz w:val="24"/>
          <w:szCs w:val="24"/>
        </w:rPr>
        <w:t>EU CCPs</w:t>
      </w:r>
      <w:r w:rsidRPr="002661A8">
        <w:rPr>
          <w:rFonts w:ascii="Times New Roman" w:eastAsia="Calibri" w:hAnsi="Times New Roman" w:cs="Times New Roman"/>
          <w:noProof/>
          <w:sz w:val="24"/>
          <w:szCs w:val="24"/>
        </w:rPr>
        <w:t xml:space="preserve"> would be subject to more effective</w:t>
      </w:r>
      <w:r w:rsidR="0083374B" w:rsidRPr="002661A8">
        <w:rPr>
          <w:rFonts w:ascii="Times New Roman" w:eastAsia="Calibri" w:hAnsi="Times New Roman" w:cs="Times New Roman"/>
          <w:noProof/>
          <w:sz w:val="24"/>
          <w:szCs w:val="24"/>
        </w:rPr>
        <w:t>,</w:t>
      </w:r>
      <w:r w:rsidRPr="002661A8">
        <w:rPr>
          <w:rFonts w:ascii="Times New Roman" w:eastAsia="Calibri" w:hAnsi="Times New Roman" w:cs="Times New Roman"/>
          <w:noProof/>
          <w:sz w:val="24"/>
          <w:szCs w:val="24"/>
        </w:rPr>
        <w:t xml:space="preserve"> convergent </w:t>
      </w:r>
      <w:r w:rsidR="0083374B" w:rsidRPr="002661A8">
        <w:rPr>
          <w:rFonts w:ascii="Times New Roman" w:eastAsia="Calibri" w:hAnsi="Times New Roman" w:cs="Times New Roman"/>
          <w:noProof/>
          <w:sz w:val="24"/>
          <w:szCs w:val="24"/>
        </w:rPr>
        <w:t>and thus efficien</w:t>
      </w:r>
      <w:r w:rsidR="00152791" w:rsidRPr="002661A8">
        <w:rPr>
          <w:rFonts w:ascii="Times New Roman" w:eastAsia="Calibri" w:hAnsi="Times New Roman" w:cs="Times New Roman"/>
          <w:noProof/>
          <w:sz w:val="24"/>
          <w:szCs w:val="24"/>
        </w:rPr>
        <w:t>t</w:t>
      </w:r>
      <w:r w:rsidR="0083374B"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supervisory arrangements</w:t>
      </w:r>
      <w:r w:rsidR="0083374B"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Th</w:t>
      </w:r>
      <w:r w:rsidR="0083374B" w:rsidRPr="002661A8">
        <w:rPr>
          <w:rFonts w:ascii="Times New Roman" w:eastAsia="Calibri" w:hAnsi="Times New Roman" w:cs="Times New Roman"/>
          <w:noProof/>
          <w:sz w:val="24"/>
          <w:szCs w:val="24"/>
        </w:rPr>
        <w:t>e option</w:t>
      </w:r>
      <w:r w:rsidRPr="002661A8">
        <w:rPr>
          <w:rFonts w:ascii="Times New Roman" w:eastAsia="Calibri" w:hAnsi="Times New Roman" w:cs="Times New Roman"/>
          <w:noProof/>
          <w:sz w:val="24"/>
          <w:szCs w:val="24"/>
        </w:rPr>
        <w:t xml:space="preserve"> would decrease the costs </w:t>
      </w:r>
      <w:r w:rsidR="0083374B" w:rsidRPr="002661A8">
        <w:rPr>
          <w:rFonts w:ascii="Times New Roman" w:eastAsia="Calibri" w:hAnsi="Times New Roman" w:cs="Times New Roman"/>
          <w:noProof/>
          <w:sz w:val="24"/>
          <w:szCs w:val="24"/>
        </w:rPr>
        <w:t xml:space="preserve">that </w:t>
      </w:r>
      <w:r w:rsidRPr="002661A8">
        <w:rPr>
          <w:rFonts w:ascii="Times New Roman" w:eastAsia="Calibri" w:hAnsi="Times New Roman" w:cs="Times New Roman"/>
          <w:noProof/>
          <w:sz w:val="24"/>
          <w:szCs w:val="24"/>
        </w:rPr>
        <w:t xml:space="preserve">CCPs incur due to duplicative or contradicting rules and the lack of supervisory convergence. </w:t>
      </w:r>
      <w:r w:rsidR="00943D15" w:rsidRPr="002661A8">
        <w:rPr>
          <w:rFonts w:ascii="Times New Roman" w:eastAsia="Calibri" w:hAnsi="Times New Roman" w:cs="Times New Roman"/>
          <w:noProof/>
          <w:sz w:val="24"/>
          <w:szCs w:val="24"/>
        </w:rPr>
        <w:t>As such</w:t>
      </w:r>
      <w:r w:rsidRPr="002661A8">
        <w:rPr>
          <w:rFonts w:ascii="Times New Roman" w:eastAsia="Calibri" w:hAnsi="Times New Roman" w:cs="Times New Roman"/>
          <w:noProof/>
          <w:sz w:val="24"/>
          <w:szCs w:val="24"/>
        </w:rPr>
        <w:t xml:space="preserve">, they would be </w:t>
      </w:r>
      <w:r w:rsidR="00943D15" w:rsidRPr="002661A8">
        <w:rPr>
          <w:rFonts w:ascii="Times New Roman" w:eastAsia="Calibri" w:hAnsi="Times New Roman" w:cs="Times New Roman"/>
          <w:noProof/>
          <w:sz w:val="24"/>
          <w:szCs w:val="24"/>
        </w:rPr>
        <w:t>more</w:t>
      </w:r>
      <w:r w:rsidRPr="002661A8">
        <w:rPr>
          <w:rFonts w:ascii="Times New Roman" w:eastAsia="Calibri" w:hAnsi="Times New Roman" w:cs="Times New Roman"/>
          <w:noProof/>
          <w:sz w:val="24"/>
          <w:szCs w:val="24"/>
        </w:rPr>
        <w:t xml:space="preserve"> able to compete internationally and in the EU</w:t>
      </w:r>
      <w:r w:rsidR="004971FD">
        <w:rPr>
          <w:rFonts w:ascii="Times New Roman" w:eastAsia="Calibri" w:hAnsi="Times New Roman" w:cs="Times New Roman"/>
          <w:noProof/>
          <w:sz w:val="24"/>
          <w:szCs w:val="24"/>
        </w:rPr>
        <w:t>.</w:t>
      </w:r>
      <w:r w:rsidRPr="002661A8">
        <w:rPr>
          <w:rFonts w:ascii="Times New Roman" w:eastAsia="Calibri" w:hAnsi="Times New Roman" w:cs="Times New Roman"/>
          <w:noProof/>
          <w:sz w:val="24"/>
          <w:szCs w:val="24"/>
        </w:rPr>
        <w:t xml:space="preserve"> </w:t>
      </w:r>
      <w:r w:rsidR="004971FD">
        <w:rPr>
          <w:rFonts w:ascii="Times New Roman" w:eastAsia="Calibri" w:hAnsi="Times New Roman" w:cs="Times New Roman"/>
          <w:noProof/>
          <w:sz w:val="24"/>
          <w:szCs w:val="24"/>
        </w:rPr>
        <w:t>A</w:t>
      </w:r>
      <w:r w:rsidRPr="002661A8">
        <w:rPr>
          <w:rFonts w:ascii="Times New Roman" w:eastAsia="Calibri" w:hAnsi="Times New Roman" w:cs="Times New Roman"/>
          <w:noProof/>
          <w:sz w:val="24"/>
          <w:szCs w:val="24"/>
        </w:rPr>
        <w:t xml:space="preserve"> more efficient and effective supervisory framework </w:t>
      </w:r>
      <w:r w:rsidR="004971FD">
        <w:rPr>
          <w:rFonts w:ascii="Times New Roman" w:eastAsia="Calibri" w:hAnsi="Times New Roman" w:cs="Times New Roman"/>
          <w:noProof/>
          <w:sz w:val="24"/>
          <w:szCs w:val="24"/>
        </w:rPr>
        <w:t>also</w:t>
      </w:r>
      <w:r w:rsidRPr="002661A8">
        <w:rPr>
          <w:rFonts w:ascii="Times New Roman" w:eastAsia="Calibri" w:hAnsi="Times New Roman" w:cs="Times New Roman"/>
          <w:noProof/>
          <w:sz w:val="24"/>
          <w:szCs w:val="24"/>
        </w:rPr>
        <w:t xml:space="preserve"> contributes to enhanced EU financial stability. These benefits would be ongoing. In addition, the changes aimed at enhancing the authorities’ capacity to monitor cross-border risks, cooperate and act in emergency situations would benefit EU CCPs as their operations would be safer.</w:t>
      </w:r>
    </w:p>
    <w:p w14:paraId="04F96F10" w14:textId="7D3997EC" w:rsidR="002E650C" w:rsidRPr="002661A8" w:rsidRDefault="00943D15" w:rsidP="002E650C">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Through</w:t>
      </w:r>
      <w:r w:rsidR="005B0707" w:rsidRPr="002661A8">
        <w:rPr>
          <w:rFonts w:ascii="Times New Roman" w:eastAsia="Calibri" w:hAnsi="Times New Roman" w:cs="Times New Roman"/>
          <w:noProof/>
          <w:sz w:val="24"/>
          <w:szCs w:val="24"/>
        </w:rPr>
        <w:t xml:space="preserve"> </w:t>
      </w:r>
      <w:r w:rsidR="008D4E6E" w:rsidRPr="002661A8">
        <w:rPr>
          <w:rFonts w:ascii="Times New Roman" w:eastAsia="Calibri" w:hAnsi="Times New Roman" w:cs="Times New Roman"/>
          <w:noProof/>
          <w:sz w:val="24"/>
          <w:szCs w:val="24"/>
        </w:rPr>
        <w:t>this option’s</w:t>
      </w:r>
      <w:r w:rsidR="005B0707" w:rsidRPr="002661A8">
        <w:rPr>
          <w:rFonts w:ascii="Times New Roman" w:eastAsia="Calibri" w:hAnsi="Times New Roman" w:cs="Times New Roman"/>
          <w:noProof/>
          <w:sz w:val="24"/>
          <w:szCs w:val="24"/>
        </w:rPr>
        <w:t xml:space="preserve"> benefits for EU CCPs,</w:t>
      </w:r>
      <w:r w:rsidR="005B0707" w:rsidRPr="002661A8">
        <w:rPr>
          <w:rFonts w:ascii="Times New Roman" w:eastAsia="Calibri" w:hAnsi="Times New Roman" w:cs="Times New Roman"/>
          <w:b/>
          <w:noProof/>
          <w:sz w:val="24"/>
          <w:szCs w:val="24"/>
        </w:rPr>
        <w:t xml:space="preserve"> c</w:t>
      </w:r>
      <w:r w:rsidR="002E650C" w:rsidRPr="002661A8">
        <w:rPr>
          <w:rFonts w:ascii="Times New Roman" w:eastAsia="Calibri" w:hAnsi="Times New Roman" w:cs="Times New Roman"/>
          <w:b/>
          <w:noProof/>
          <w:sz w:val="24"/>
          <w:szCs w:val="24"/>
        </w:rPr>
        <w:t>learing members</w:t>
      </w:r>
      <w:r w:rsidR="002E650C" w:rsidRPr="002661A8">
        <w:rPr>
          <w:rFonts w:ascii="Times New Roman" w:eastAsia="Calibri" w:hAnsi="Times New Roman" w:cs="Times New Roman"/>
          <w:noProof/>
          <w:sz w:val="24"/>
          <w:szCs w:val="24"/>
        </w:rPr>
        <w:t xml:space="preserve"> </w:t>
      </w:r>
      <w:r w:rsidR="006A6036" w:rsidRPr="002661A8">
        <w:rPr>
          <w:rFonts w:ascii="Times New Roman" w:eastAsia="Calibri" w:hAnsi="Times New Roman" w:cs="Times New Roman"/>
          <w:noProof/>
          <w:sz w:val="24"/>
          <w:szCs w:val="24"/>
        </w:rPr>
        <w:t>could</w:t>
      </w:r>
      <w:r w:rsidR="002E650C" w:rsidRPr="002661A8">
        <w:rPr>
          <w:rFonts w:ascii="Times New Roman" w:eastAsia="Calibri" w:hAnsi="Times New Roman" w:cs="Times New Roman"/>
          <w:noProof/>
          <w:sz w:val="24"/>
          <w:szCs w:val="24"/>
        </w:rPr>
        <w:t xml:space="preserve"> benefit from greater offer by CCPs in a faster way, and would thus have more choices where to clear. The reduction of regulatory costs for CCPs could imply a reduction of the costs for clearing also for clearing members. In addition, clearing members would benefit from a safer environment for their operations, including </w:t>
      </w:r>
      <w:r w:rsidR="002816F7" w:rsidRPr="002661A8">
        <w:rPr>
          <w:rFonts w:ascii="Times New Roman" w:eastAsia="Calibri" w:hAnsi="Times New Roman" w:cs="Times New Roman"/>
          <w:noProof/>
          <w:sz w:val="24"/>
          <w:szCs w:val="24"/>
        </w:rPr>
        <w:t>because of</w:t>
      </w:r>
      <w:r w:rsidR="002E650C" w:rsidRPr="002661A8">
        <w:rPr>
          <w:rFonts w:ascii="Times New Roman" w:eastAsia="Calibri" w:hAnsi="Times New Roman" w:cs="Times New Roman"/>
          <w:noProof/>
          <w:sz w:val="24"/>
          <w:szCs w:val="24"/>
        </w:rPr>
        <w:t xml:space="preserve"> the changes aimed at ensuring better monitoring of cross-border risks. These benefits would be ongoing.</w:t>
      </w:r>
    </w:p>
    <w:p w14:paraId="70265BA7" w14:textId="6B4CC3FA" w:rsidR="002E650C" w:rsidRPr="002661A8" w:rsidRDefault="002E650C" w:rsidP="002E650C">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As for clearing members, </w:t>
      </w:r>
      <w:r w:rsidRPr="002661A8">
        <w:rPr>
          <w:rFonts w:ascii="Times New Roman" w:eastAsia="Calibri" w:hAnsi="Times New Roman" w:cs="Times New Roman"/>
          <w:b/>
          <w:noProof/>
          <w:sz w:val="24"/>
          <w:szCs w:val="24"/>
        </w:rPr>
        <w:t>clients</w:t>
      </w:r>
      <w:r w:rsidRPr="002661A8">
        <w:rPr>
          <w:rFonts w:ascii="Times New Roman" w:eastAsia="Calibri" w:hAnsi="Times New Roman" w:cs="Times New Roman"/>
          <w:noProof/>
          <w:sz w:val="24"/>
          <w:szCs w:val="24"/>
        </w:rPr>
        <w:t xml:space="preserve"> would also be able to benefit from greater offer by CCPs in a faster way, and would thus have more choices where to clear. The reduction of regulatory costs for CCPs would imply a reduction of costs also for clients</w:t>
      </w:r>
      <w:r w:rsidR="0083374B" w:rsidRPr="002661A8">
        <w:rPr>
          <w:rFonts w:ascii="Times New Roman" w:eastAsia="Calibri" w:hAnsi="Times New Roman" w:cs="Times New Roman"/>
          <w:noProof/>
          <w:sz w:val="24"/>
          <w:szCs w:val="24"/>
        </w:rPr>
        <w:t xml:space="preserve">, provided there is competition between CCPs in the </w:t>
      </w:r>
      <w:r w:rsidR="00FD78A6" w:rsidRPr="002661A8">
        <w:rPr>
          <w:rFonts w:ascii="Times New Roman" w:eastAsia="Calibri" w:hAnsi="Times New Roman" w:cs="Times New Roman"/>
          <w:noProof/>
          <w:sz w:val="24"/>
          <w:szCs w:val="24"/>
        </w:rPr>
        <w:t>medium term</w:t>
      </w:r>
      <w:r w:rsidR="0083374B" w:rsidRPr="002661A8">
        <w:rPr>
          <w:rFonts w:ascii="Times New Roman" w:eastAsia="Calibri" w:hAnsi="Times New Roman" w:cs="Times New Roman"/>
          <w:noProof/>
          <w:sz w:val="24"/>
          <w:szCs w:val="24"/>
        </w:rPr>
        <w:t xml:space="preserve"> and cost benefits are passed on</w:t>
      </w:r>
      <w:r w:rsidRPr="002661A8">
        <w:rPr>
          <w:rFonts w:ascii="Times New Roman" w:eastAsia="Calibri" w:hAnsi="Times New Roman" w:cs="Times New Roman"/>
          <w:noProof/>
          <w:sz w:val="24"/>
          <w:szCs w:val="24"/>
        </w:rPr>
        <w:t xml:space="preserve">. In addition, they would benefit from a safer environment for their operations, including </w:t>
      </w:r>
      <w:r w:rsidR="00FE77E5" w:rsidRPr="002661A8">
        <w:rPr>
          <w:rFonts w:ascii="Times New Roman" w:eastAsia="Calibri" w:hAnsi="Times New Roman" w:cs="Times New Roman"/>
          <w:noProof/>
          <w:sz w:val="24"/>
          <w:szCs w:val="24"/>
        </w:rPr>
        <w:t>those</w:t>
      </w:r>
      <w:r w:rsidRPr="002661A8">
        <w:rPr>
          <w:rFonts w:ascii="Times New Roman" w:eastAsia="Calibri" w:hAnsi="Times New Roman" w:cs="Times New Roman"/>
          <w:noProof/>
          <w:sz w:val="24"/>
          <w:szCs w:val="24"/>
        </w:rPr>
        <w:t xml:space="preserve"> changes aim</w:t>
      </w:r>
      <w:r w:rsidR="00FE77E5" w:rsidRPr="002661A8">
        <w:rPr>
          <w:rFonts w:ascii="Times New Roman" w:eastAsia="Calibri" w:hAnsi="Times New Roman" w:cs="Times New Roman"/>
          <w:noProof/>
          <w:sz w:val="24"/>
          <w:szCs w:val="24"/>
        </w:rPr>
        <w:t xml:space="preserve">ing to improve the </w:t>
      </w:r>
      <w:r w:rsidRPr="002661A8">
        <w:rPr>
          <w:rFonts w:ascii="Times New Roman" w:eastAsia="Calibri" w:hAnsi="Times New Roman" w:cs="Times New Roman"/>
          <w:noProof/>
          <w:sz w:val="24"/>
          <w:szCs w:val="24"/>
        </w:rPr>
        <w:t>monitoring of cross-border risks. These benefits would be ongoing.</w:t>
      </w:r>
    </w:p>
    <w:p w14:paraId="0A970145" w14:textId="3B624E0D" w:rsidR="002E650C" w:rsidRPr="002661A8" w:rsidRDefault="002E650C" w:rsidP="002E650C">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The proposed new arrangements would take more account of the mandates of </w:t>
      </w:r>
      <w:r w:rsidRPr="002661A8">
        <w:rPr>
          <w:rFonts w:ascii="Times New Roman" w:eastAsia="Calibri" w:hAnsi="Times New Roman" w:cs="Times New Roman"/>
          <w:b/>
          <w:bCs/>
          <w:noProof/>
          <w:sz w:val="24"/>
          <w:szCs w:val="24"/>
        </w:rPr>
        <w:t>national</w:t>
      </w:r>
      <w:r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b/>
          <w:bCs/>
          <w:noProof/>
          <w:sz w:val="24"/>
          <w:szCs w:val="24"/>
        </w:rPr>
        <w:t>supervisory</w:t>
      </w:r>
      <w:r w:rsidRPr="002661A8">
        <w:rPr>
          <w:rFonts w:ascii="Times New Roman" w:eastAsia="Calibri" w:hAnsi="Times New Roman" w:cs="Times New Roman"/>
          <w:b/>
          <w:noProof/>
          <w:sz w:val="24"/>
          <w:szCs w:val="24"/>
        </w:rPr>
        <w:t xml:space="preserve"> authorities</w:t>
      </w:r>
      <w:r w:rsidRPr="002661A8">
        <w:rPr>
          <w:rFonts w:ascii="Times New Roman" w:eastAsia="Calibri" w:hAnsi="Times New Roman" w:cs="Times New Roman"/>
          <w:noProof/>
          <w:sz w:val="24"/>
          <w:szCs w:val="24"/>
        </w:rPr>
        <w:t xml:space="preserve"> and central banks of issue by strengthening their input to the supervisory process, relative to the situation today. This option </w:t>
      </w:r>
      <w:r w:rsidR="00FD78A6" w:rsidRPr="002661A8">
        <w:rPr>
          <w:rFonts w:ascii="Times New Roman" w:eastAsia="Calibri" w:hAnsi="Times New Roman" w:cs="Times New Roman"/>
          <w:noProof/>
          <w:sz w:val="24"/>
          <w:szCs w:val="24"/>
        </w:rPr>
        <w:t xml:space="preserve">would </w:t>
      </w:r>
      <w:r w:rsidRPr="002661A8">
        <w:rPr>
          <w:rFonts w:ascii="Times New Roman" w:eastAsia="Calibri" w:hAnsi="Times New Roman" w:cs="Times New Roman"/>
          <w:noProof/>
          <w:sz w:val="24"/>
          <w:szCs w:val="24"/>
        </w:rPr>
        <w:t>help to clarify the different roles</w:t>
      </w:r>
      <w:r w:rsidRPr="002661A8" w:rsidDel="009D12D1">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 xml:space="preserve">of ESMA and the colleges, which had been criticised as being unclear or duplicative by respondents to the </w:t>
      </w:r>
      <w:r w:rsidR="00152791" w:rsidRPr="002661A8">
        <w:rPr>
          <w:rFonts w:ascii="Times New Roman" w:eastAsia="Calibri" w:hAnsi="Times New Roman" w:cs="Times New Roman"/>
          <w:noProof/>
          <w:sz w:val="24"/>
          <w:szCs w:val="24"/>
        </w:rPr>
        <w:t xml:space="preserve">targeted </w:t>
      </w:r>
      <w:r w:rsidRPr="002661A8">
        <w:rPr>
          <w:rFonts w:ascii="Times New Roman" w:eastAsia="Calibri" w:hAnsi="Times New Roman" w:cs="Times New Roman"/>
          <w:noProof/>
          <w:sz w:val="24"/>
          <w:szCs w:val="24"/>
        </w:rPr>
        <w:t xml:space="preserve">consultation. The establishment of joint supervisory teams would further enhance supervisory convergence and would ensure knowledge sharing between supervisors at national and EU level. By having ESMA, national supervisors and </w:t>
      </w:r>
      <w:r w:rsidR="00FD78A6" w:rsidRPr="002661A8">
        <w:rPr>
          <w:rFonts w:ascii="Times New Roman" w:eastAsia="Calibri" w:hAnsi="Times New Roman" w:cs="Times New Roman"/>
          <w:noProof/>
          <w:sz w:val="24"/>
          <w:szCs w:val="24"/>
        </w:rPr>
        <w:t xml:space="preserve">central banks </w:t>
      </w:r>
      <w:r w:rsidRPr="002661A8">
        <w:rPr>
          <w:rFonts w:ascii="Times New Roman" w:eastAsia="Calibri" w:hAnsi="Times New Roman" w:cs="Times New Roman"/>
          <w:noProof/>
          <w:sz w:val="24"/>
          <w:szCs w:val="24"/>
        </w:rPr>
        <w:t>share responsibilities in a more coherent arrangement, this option would allow for a more holistic supervision of CCP</w:t>
      </w:r>
      <w:r w:rsidR="00FD78A6" w:rsidRPr="002661A8">
        <w:rPr>
          <w:rFonts w:ascii="Times New Roman" w:eastAsia="Calibri" w:hAnsi="Times New Roman" w:cs="Times New Roman"/>
          <w:noProof/>
          <w:sz w:val="24"/>
          <w:szCs w:val="24"/>
        </w:rPr>
        <w:t>s</w:t>
      </w:r>
      <w:r w:rsidRPr="002661A8">
        <w:rPr>
          <w:rFonts w:ascii="Times New Roman" w:eastAsia="Calibri" w:hAnsi="Times New Roman" w:cs="Times New Roman"/>
          <w:noProof/>
          <w:sz w:val="24"/>
          <w:szCs w:val="24"/>
        </w:rPr>
        <w:t xml:space="preserve"> which responds </w:t>
      </w:r>
      <w:r w:rsidR="00F7351E" w:rsidRPr="002661A8">
        <w:rPr>
          <w:rFonts w:ascii="Times New Roman" w:eastAsia="Calibri" w:hAnsi="Times New Roman" w:cs="Times New Roman"/>
          <w:noProof/>
          <w:sz w:val="24"/>
          <w:szCs w:val="24"/>
        </w:rPr>
        <w:t xml:space="preserve">better </w:t>
      </w:r>
      <w:r w:rsidRPr="002661A8">
        <w:rPr>
          <w:rFonts w:ascii="Times New Roman" w:eastAsia="Calibri" w:hAnsi="Times New Roman" w:cs="Times New Roman"/>
          <w:noProof/>
          <w:sz w:val="24"/>
          <w:szCs w:val="24"/>
        </w:rPr>
        <w:t>to the increasingly systemic nature of these infrastructures in the EU financial system. These benefits would be ongoing. Finally, this option ensures that Member States</w:t>
      </w:r>
      <w:r w:rsidR="00FD78A6" w:rsidRPr="002661A8">
        <w:rPr>
          <w:rFonts w:ascii="Times New Roman" w:eastAsia="Calibri" w:hAnsi="Times New Roman" w:cs="Times New Roman"/>
          <w:noProof/>
          <w:sz w:val="24"/>
          <w:szCs w:val="24"/>
        </w:rPr>
        <w:t>,</w:t>
      </w:r>
      <w:r w:rsidRPr="002661A8">
        <w:rPr>
          <w:rFonts w:ascii="Times New Roman" w:eastAsia="Calibri" w:hAnsi="Times New Roman" w:cs="Times New Roman"/>
          <w:noProof/>
          <w:sz w:val="24"/>
          <w:szCs w:val="24"/>
        </w:rPr>
        <w:t xml:space="preserve"> that are ultimately responsible for helping financially a failing CCP</w:t>
      </w:r>
      <w:r w:rsidR="00FD78A6" w:rsidRPr="002661A8">
        <w:rPr>
          <w:rFonts w:ascii="Times New Roman" w:eastAsia="Calibri" w:hAnsi="Times New Roman" w:cs="Times New Roman"/>
          <w:noProof/>
          <w:sz w:val="24"/>
          <w:szCs w:val="24"/>
        </w:rPr>
        <w:t xml:space="preserve"> established in their jurisdiction,</w:t>
      </w:r>
      <w:r w:rsidRPr="002661A8">
        <w:rPr>
          <w:rFonts w:ascii="Times New Roman" w:eastAsia="Calibri" w:hAnsi="Times New Roman" w:cs="Times New Roman"/>
          <w:noProof/>
          <w:sz w:val="24"/>
          <w:szCs w:val="24"/>
        </w:rPr>
        <w:t xml:space="preserve"> continue to be ultimately responsible also for taking decisions in relation to </w:t>
      </w:r>
      <w:r w:rsidR="00FD78A6" w:rsidRPr="002661A8">
        <w:rPr>
          <w:rFonts w:ascii="Times New Roman" w:eastAsia="Calibri" w:hAnsi="Times New Roman" w:cs="Times New Roman"/>
          <w:noProof/>
          <w:sz w:val="24"/>
          <w:szCs w:val="24"/>
        </w:rPr>
        <w:t xml:space="preserve">its </w:t>
      </w:r>
      <w:r w:rsidRPr="002661A8">
        <w:rPr>
          <w:rFonts w:ascii="Times New Roman" w:eastAsia="Calibri" w:hAnsi="Times New Roman" w:cs="Times New Roman"/>
          <w:noProof/>
          <w:sz w:val="24"/>
          <w:szCs w:val="24"/>
        </w:rPr>
        <w:t>ongoing</w:t>
      </w:r>
      <w:r w:rsidR="004D3936" w:rsidRPr="002661A8">
        <w:rPr>
          <w:rFonts w:ascii="Times New Roman" w:eastAsia="Calibri" w:hAnsi="Times New Roman" w:cs="Times New Roman"/>
          <w:noProof/>
          <w:sz w:val="24"/>
          <w:szCs w:val="24"/>
        </w:rPr>
        <w:t xml:space="preserve"> supervision</w:t>
      </w:r>
      <w:r w:rsidRPr="002661A8">
        <w:rPr>
          <w:rFonts w:ascii="Times New Roman" w:eastAsia="Calibri" w:hAnsi="Times New Roman" w:cs="Times New Roman"/>
          <w:noProof/>
          <w:sz w:val="24"/>
          <w:szCs w:val="24"/>
        </w:rPr>
        <w:t xml:space="preserve">. Regarding costs, one-off adjustment costs to modify the procedures and tools used at national level when cooperating with ESMA and other supervisors may be needed. In addition, recurring costs may stem from </w:t>
      </w:r>
      <w:r w:rsidR="00FD78A6" w:rsidRPr="002661A8">
        <w:rPr>
          <w:rFonts w:ascii="Times New Roman" w:eastAsia="Calibri" w:hAnsi="Times New Roman" w:cs="Times New Roman"/>
          <w:noProof/>
          <w:sz w:val="24"/>
          <w:szCs w:val="24"/>
        </w:rPr>
        <w:t>NCAs</w:t>
      </w:r>
      <w:r w:rsidRPr="002661A8">
        <w:rPr>
          <w:rFonts w:ascii="Times New Roman" w:eastAsia="Calibri" w:hAnsi="Times New Roman" w:cs="Times New Roman"/>
          <w:noProof/>
          <w:sz w:val="24"/>
          <w:szCs w:val="24"/>
        </w:rPr>
        <w:t>’ staff cooperation with other authorities (e.g. in</w:t>
      </w:r>
      <w:r w:rsidRPr="002661A8" w:rsidDel="00F7351E">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 xml:space="preserve">joint supervisory teams). However, the simplification of procedures should </w:t>
      </w:r>
      <w:r w:rsidR="00FA19F2" w:rsidRPr="002661A8">
        <w:rPr>
          <w:rFonts w:ascii="Times New Roman" w:eastAsia="Calibri" w:hAnsi="Times New Roman" w:cs="Times New Roman"/>
          <w:noProof/>
          <w:sz w:val="24"/>
          <w:szCs w:val="24"/>
        </w:rPr>
        <w:t>help</w:t>
      </w:r>
      <w:r w:rsidRPr="002661A8">
        <w:rPr>
          <w:rFonts w:ascii="Times New Roman" w:eastAsia="Calibri" w:hAnsi="Times New Roman" w:cs="Times New Roman"/>
          <w:noProof/>
          <w:sz w:val="24"/>
          <w:szCs w:val="24"/>
        </w:rPr>
        <w:t xml:space="preserve"> reduc</w:t>
      </w:r>
      <w:r w:rsidR="00FA19F2" w:rsidRPr="002661A8">
        <w:rPr>
          <w:rFonts w:ascii="Times New Roman" w:eastAsia="Calibri" w:hAnsi="Times New Roman" w:cs="Times New Roman"/>
          <w:noProof/>
          <w:sz w:val="24"/>
          <w:szCs w:val="24"/>
        </w:rPr>
        <w:t>e</w:t>
      </w:r>
      <w:r w:rsidRPr="002661A8">
        <w:rPr>
          <w:rFonts w:ascii="Times New Roman" w:eastAsia="Calibri" w:hAnsi="Times New Roman" w:cs="Times New Roman"/>
          <w:noProof/>
          <w:sz w:val="24"/>
          <w:szCs w:val="24"/>
        </w:rPr>
        <w:t xml:space="preserve"> these costs. </w:t>
      </w:r>
    </w:p>
    <w:p w14:paraId="5E18613F" w14:textId="013E2A73" w:rsidR="002E650C" w:rsidRPr="002661A8" w:rsidRDefault="002E650C" w:rsidP="002E650C">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This option would strengthen </w:t>
      </w:r>
      <w:r w:rsidRPr="002661A8">
        <w:rPr>
          <w:rFonts w:ascii="Times New Roman" w:eastAsia="Calibri" w:hAnsi="Times New Roman" w:cs="Times New Roman"/>
          <w:b/>
          <w:noProof/>
          <w:sz w:val="24"/>
          <w:szCs w:val="24"/>
        </w:rPr>
        <w:t>ESMA’s</w:t>
      </w:r>
      <w:r w:rsidRPr="002661A8">
        <w:rPr>
          <w:rFonts w:ascii="Times New Roman" w:eastAsia="Calibri" w:hAnsi="Times New Roman" w:cs="Times New Roman"/>
          <w:noProof/>
          <w:sz w:val="24"/>
          <w:szCs w:val="24"/>
        </w:rPr>
        <w:t xml:space="preserve"> input in the ongoing supervision of EU CCPs, allowing </w:t>
      </w:r>
      <w:r w:rsidR="00A046F1" w:rsidRPr="002661A8">
        <w:rPr>
          <w:rFonts w:ascii="Times New Roman" w:eastAsia="Calibri" w:hAnsi="Times New Roman" w:cs="Times New Roman"/>
          <w:noProof/>
          <w:sz w:val="24"/>
          <w:szCs w:val="24"/>
        </w:rPr>
        <w:t>it</w:t>
      </w:r>
      <w:r w:rsidRPr="002661A8">
        <w:rPr>
          <w:rFonts w:ascii="Times New Roman" w:eastAsia="Calibri" w:hAnsi="Times New Roman" w:cs="Times New Roman"/>
          <w:noProof/>
          <w:sz w:val="24"/>
          <w:szCs w:val="24"/>
        </w:rPr>
        <w:t xml:space="preserve"> to further build its supervisory capacity. ESMA may incur additional costs from the revised supervisory arrangements, one-off (e.g. setting up of procedures and tools for the cooperation of authorities in the context of the joint supervisory teams and the cross-sectoral monitoring mechanism) and recurring (e.g. participation to joint supervisory teams, increase of the supervisory areas for which an ESMA opinion is required, or operation of the cross-sectoral monitoring mechanism). For example,</w:t>
      </w:r>
      <w:r w:rsidRPr="002661A8" w:rsidDel="00F7351E">
        <w:rPr>
          <w:rFonts w:ascii="Times New Roman" w:eastAsia="Calibri" w:hAnsi="Times New Roman" w:cs="Times New Roman"/>
          <w:noProof/>
          <w:sz w:val="24"/>
          <w:szCs w:val="24"/>
        </w:rPr>
        <w:t xml:space="preserve"> </w:t>
      </w:r>
      <w:r w:rsidR="00F7351E" w:rsidRPr="002661A8">
        <w:rPr>
          <w:rFonts w:ascii="Times New Roman" w:eastAsia="Calibri" w:hAnsi="Times New Roman" w:cs="Times New Roman"/>
          <w:noProof/>
          <w:sz w:val="24"/>
          <w:szCs w:val="24"/>
        </w:rPr>
        <w:t xml:space="preserve">under </w:t>
      </w:r>
      <w:r w:rsidR="00DF57D1" w:rsidRPr="002661A8">
        <w:rPr>
          <w:rFonts w:ascii="Times New Roman" w:eastAsia="Calibri" w:hAnsi="Times New Roman" w:cs="Times New Roman"/>
          <w:noProof/>
          <w:sz w:val="24"/>
          <w:szCs w:val="24"/>
        </w:rPr>
        <w:t>the</w:t>
      </w:r>
      <w:r w:rsidRPr="002661A8" w:rsidDel="00DF57D1">
        <w:rPr>
          <w:rFonts w:ascii="Times New Roman" w:eastAsia="Calibri" w:hAnsi="Times New Roman" w:cs="Times New Roman"/>
          <w:noProof/>
          <w:sz w:val="24"/>
          <w:szCs w:val="24"/>
        </w:rPr>
        <w:t xml:space="preserve"> </w:t>
      </w:r>
      <w:r w:rsidR="00DF57D1" w:rsidRPr="002661A8">
        <w:rPr>
          <w:rFonts w:ascii="Times New Roman" w:eastAsia="Calibri" w:hAnsi="Times New Roman" w:cs="Times New Roman"/>
          <w:noProof/>
          <w:sz w:val="24"/>
          <w:szCs w:val="24"/>
        </w:rPr>
        <w:t xml:space="preserve">existing </w:t>
      </w:r>
      <w:r w:rsidRPr="002661A8">
        <w:rPr>
          <w:rFonts w:ascii="Times New Roman" w:eastAsia="Calibri" w:hAnsi="Times New Roman" w:cs="Times New Roman"/>
          <w:noProof/>
          <w:sz w:val="24"/>
          <w:szCs w:val="24"/>
        </w:rPr>
        <w:t>budgetary arrangements, ESMA estimates that</w:t>
      </w:r>
      <w:r w:rsidRPr="002661A8">
        <w:rPr>
          <w:noProof/>
        </w:rPr>
        <w:t xml:space="preserve"> </w:t>
      </w:r>
      <w:r w:rsidR="00221727" w:rsidRPr="002661A8">
        <w:rPr>
          <w:rFonts w:ascii="Times New Roman" w:eastAsia="Calibri" w:hAnsi="Times New Roman" w:cs="Times New Roman"/>
          <w:noProof/>
          <w:sz w:val="24"/>
          <w:szCs w:val="24"/>
        </w:rPr>
        <w:t>to make the process more efficient and effective</w:t>
      </w:r>
      <w:r w:rsidRPr="002661A8">
        <w:rPr>
          <w:rFonts w:ascii="Times New Roman" w:eastAsia="Calibri" w:hAnsi="Times New Roman" w:cs="Times New Roman"/>
          <w:noProof/>
          <w:sz w:val="24"/>
          <w:szCs w:val="24"/>
        </w:rPr>
        <w:t xml:space="preserve"> </w:t>
      </w:r>
      <w:r w:rsidR="003818DB" w:rsidRPr="002661A8">
        <w:rPr>
          <w:rFonts w:ascii="Times New Roman" w:eastAsia="Calibri" w:hAnsi="Times New Roman" w:cs="Times New Roman"/>
          <w:noProof/>
          <w:sz w:val="24"/>
          <w:szCs w:val="24"/>
        </w:rPr>
        <w:t xml:space="preserve">for </w:t>
      </w:r>
      <w:r w:rsidR="00DF57D1" w:rsidRPr="002661A8">
        <w:rPr>
          <w:rFonts w:ascii="Times New Roman" w:eastAsia="Calibri" w:hAnsi="Times New Roman" w:cs="Times New Roman"/>
          <w:noProof/>
          <w:sz w:val="24"/>
          <w:szCs w:val="24"/>
        </w:rPr>
        <w:t>its current</w:t>
      </w:r>
      <w:r w:rsidR="003818DB" w:rsidRPr="002661A8">
        <w:rPr>
          <w:rFonts w:ascii="Times New Roman" w:eastAsia="Calibri" w:hAnsi="Times New Roman" w:cs="Times New Roman"/>
          <w:noProof/>
          <w:sz w:val="24"/>
          <w:szCs w:val="24"/>
        </w:rPr>
        <w:t xml:space="preserve"> tasks it needs</w:t>
      </w:r>
      <w:r w:rsidRPr="002661A8">
        <w:rPr>
          <w:rFonts w:ascii="Times New Roman" w:eastAsia="Calibri" w:hAnsi="Times New Roman" w:cs="Times New Roman"/>
          <w:noProof/>
          <w:sz w:val="24"/>
          <w:szCs w:val="24"/>
        </w:rPr>
        <w:t xml:space="preserve"> 2.5 FTEs per year for the issuance of approximately 9 opinions; 3 FTEs per year for model validations; 2.5 FTEs per year for participation to CCP colleges</w:t>
      </w:r>
      <w:r w:rsidR="0034243E" w:rsidRPr="002661A8">
        <w:rPr>
          <w:rFonts w:ascii="Times New Roman" w:eastAsia="Calibri" w:hAnsi="Times New Roman" w:cs="Times New Roman"/>
          <w:noProof/>
          <w:sz w:val="24"/>
          <w:szCs w:val="24"/>
        </w:rPr>
        <w:t>.</w:t>
      </w:r>
      <w:r w:rsidR="003818DB" w:rsidRPr="002661A8">
        <w:rPr>
          <w:rStyle w:val="FootnoteReference"/>
          <w:rFonts w:ascii="Times New Roman" w:eastAsia="Calibri" w:hAnsi="Times New Roman" w:cs="Times New Roman"/>
          <w:noProof/>
          <w:sz w:val="24"/>
          <w:szCs w:val="24"/>
        </w:rPr>
        <w:footnoteReference w:id="158"/>
      </w:r>
      <w:r w:rsidR="003818DB" w:rsidRPr="002661A8">
        <w:rPr>
          <w:rFonts w:ascii="Times New Roman" w:eastAsia="Calibri" w:hAnsi="Times New Roman" w:cs="Times New Roman"/>
          <w:noProof/>
          <w:sz w:val="24"/>
          <w:szCs w:val="24"/>
        </w:rPr>
        <w:t xml:space="preserve"> If ESMA’s tasks are expanded or increased in number, it can be expected that additional resources may be required</w:t>
      </w:r>
      <w:r w:rsidRPr="002661A8">
        <w:rPr>
          <w:rFonts w:ascii="Times New Roman" w:eastAsia="Calibri" w:hAnsi="Times New Roman" w:cs="Times New Roman"/>
          <w:noProof/>
          <w:sz w:val="24"/>
          <w:szCs w:val="24"/>
        </w:rPr>
        <w:t xml:space="preserve">. </w:t>
      </w:r>
      <w:r w:rsidR="003818DB" w:rsidRPr="002661A8">
        <w:rPr>
          <w:rFonts w:ascii="Times New Roman" w:eastAsia="Calibri" w:hAnsi="Times New Roman" w:cs="Times New Roman"/>
          <w:noProof/>
          <w:sz w:val="24"/>
          <w:szCs w:val="24"/>
        </w:rPr>
        <w:t>However, c</w:t>
      </w:r>
      <w:r w:rsidRPr="002661A8">
        <w:rPr>
          <w:rFonts w:ascii="Times New Roman" w:eastAsia="Calibri" w:hAnsi="Times New Roman" w:cs="Times New Roman"/>
          <w:noProof/>
          <w:sz w:val="24"/>
          <w:szCs w:val="24"/>
        </w:rPr>
        <w:t>onsidering that</w:t>
      </w:r>
      <w:r w:rsidR="003818DB" w:rsidRPr="002661A8">
        <w:rPr>
          <w:rFonts w:ascii="Times New Roman" w:eastAsia="Calibri" w:hAnsi="Times New Roman" w:cs="Times New Roman"/>
          <w:noProof/>
          <w:sz w:val="24"/>
          <w:szCs w:val="24"/>
        </w:rPr>
        <w:t xml:space="preserve"> ESMA has already experience in the supervision of CCPs and that</w:t>
      </w:r>
      <w:r w:rsidRPr="002661A8">
        <w:rPr>
          <w:rFonts w:ascii="Times New Roman" w:eastAsia="Calibri" w:hAnsi="Times New Roman" w:cs="Times New Roman"/>
          <w:noProof/>
          <w:sz w:val="24"/>
          <w:szCs w:val="24"/>
        </w:rPr>
        <w:t xml:space="preserve"> </w:t>
      </w:r>
      <w:r w:rsidR="003818DB" w:rsidRPr="002661A8">
        <w:rPr>
          <w:rFonts w:ascii="Times New Roman" w:eastAsia="Calibri" w:hAnsi="Times New Roman" w:cs="Times New Roman"/>
          <w:noProof/>
          <w:sz w:val="24"/>
          <w:szCs w:val="24"/>
        </w:rPr>
        <w:t>its</w:t>
      </w:r>
      <w:r w:rsidRPr="002661A8">
        <w:rPr>
          <w:rFonts w:ascii="Times New Roman" w:eastAsia="Calibri" w:hAnsi="Times New Roman" w:cs="Times New Roman"/>
          <w:noProof/>
          <w:sz w:val="24"/>
          <w:szCs w:val="24"/>
        </w:rPr>
        <w:t xml:space="preserve"> regulatory work in </w:t>
      </w:r>
      <w:r w:rsidR="003818DB" w:rsidRPr="002661A8">
        <w:rPr>
          <w:rFonts w:ascii="Times New Roman" w:eastAsia="Calibri" w:hAnsi="Times New Roman" w:cs="Times New Roman"/>
          <w:noProof/>
          <w:sz w:val="24"/>
          <w:szCs w:val="24"/>
        </w:rPr>
        <w:t xml:space="preserve">this </w:t>
      </w:r>
      <w:r w:rsidRPr="002661A8">
        <w:rPr>
          <w:rFonts w:ascii="Times New Roman" w:eastAsia="Calibri" w:hAnsi="Times New Roman" w:cs="Times New Roman"/>
          <w:noProof/>
          <w:sz w:val="24"/>
          <w:szCs w:val="24"/>
        </w:rPr>
        <w:t>area</w:t>
      </w:r>
      <w:r w:rsidRPr="002661A8" w:rsidDel="003818DB">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 xml:space="preserve">to a significant extent is completed, it can be expected that </w:t>
      </w:r>
      <w:r w:rsidR="003818DB" w:rsidRPr="002661A8">
        <w:rPr>
          <w:rFonts w:ascii="Times New Roman" w:eastAsia="Calibri" w:hAnsi="Times New Roman" w:cs="Times New Roman"/>
          <w:noProof/>
          <w:sz w:val="24"/>
          <w:szCs w:val="24"/>
        </w:rPr>
        <w:t xml:space="preserve">such </w:t>
      </w:r>
      <w:r w:rsidRPr="002661A8">
        <w:rPr>
          <w:rFonts w:ascii="Times New Roman" w:eastAsia="Calibri" w:hAnsi="Times New Roman" w:cs="Times New Roman"/>
          <w:noProof/>
          <w:sz w:val="24"/>
          <w:szCs w:val="24"/>
        </w:rPr>
        <w:t xml:space="preserve">additional resources can be addressed by reallocating existing staff. One option could be to cover some of these additional costs </w:t>
      </w:r>
      <w:r w:rsidR="00FD78A6" w:rsidRPr="002661A8">
        <w:rPr>
          <w:rFonts w:ascii="Times New Roman" w:eastAsia="Calibri" w:hAnsi="Times New Roman" w:cs="Times New Roman"/>
          <w:noProof/>
          <w:sz w:val="24"/>
          <w:szCs w:val="24"/>
        </w:rPr>
        <w:t xml:space="preserve">through </w:t>
      </w:r>
      <w:r w:rsidRPr="002661A8">
        <w:rPr>
          <w:rFonts w:ascii="Times New Roman" w:eastAsia="Calibri" w:hAnsi="Times New Roman" w:cs="Times New Roman"/>
          <w:noProof/>
          <w:sz w:val="24"/>
          <w:szCs w:val="24"/>
        </w:rPr>
        <w:t xml:space="preserve">fees to EU CCPs. </w:t>
      </w:r>
    </w:p>
    <w:p w14:paraId="481B7634" w14:textId="3B4636A8" w:rsidR="002E650C" w:rsidRPr="002661A8" w:rsidRDefault="002E650C" w:rsidP="00CA7F91">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This option would strengthen the input of </w:t>
      </w:r>
      <w:r w:rsidRPr="002661A8">
        <w:rPr>
          <w:rFonts w:ascii="Times New Roman" w:eastAsia="Calibri" w:hAnsi="Times New Roman" w:cs="Times New Roman"/>
          <w:b/>
          <w:noProof/>
          <w:sz w:val="24"/>
          <w:szCs w:val="24"/>
        </w:rPr>
        <w:t>central banks of issue</w:t>
      </w:r>
      <w:r w:rsidRPr="002661A8">
        <w:rPr>
          <w:rFonts w:ascii="Times New Roman" w:eastAsia="Calibri" w:hAnsi="Times New Roman" w:cs="Times New Roman"/>
          <w:noProof/>
          <w:sz w:val="24"/>
          <w:szCs w:val="24"/>
        </w:rPr>
        <w:t xml:space="preserve"> in the ongoing supervision of EU CCPs, thereby ensuring that they have more adequate information on the operation of CCPs which is essential considering the role of the latter in the conduct of monetary policy. While this option might entail some additional costs for central banks of issue (e.g. if they are granted with the right to participate to the CCP Supervisory Committee on a broader range of topics), these could be counterbalanced by the increased knowledge-sharing and elimination of the need to submit duplicative requests for information to supervised entities.</w:t>
      </w:r>
    </w:p>
    <w:p w14:paraId="2C5AC0A1" w14:textId="28C3DC32" w:rsidR="003407B6" w:rsidRPr="00CE73C6" w:rsidRDefault="003407B6" w:rsidP="00ED5088">
      <w:pPr>
        <w:pStyle w:val="Heading1"/>
        <w:numPr>
          <w:ilvl w:val="2"/>
          <w:numId w:val="6"/>
        </w:numPr>
        <w:spacing w:before="0" w:after="120"/>
        <w:rPr>
          <w:b w:val="0"/>
          <w:i/>
          <w:smallCaps w:val="0"/>
          <w:noProof/>
          <w:lang w:val="fr-BE"/>
        </w:rPr>
      </w:pPr>
      <w:bookmarkStart w:id="1169" w:name="_Toc103337527"/>
      <w:bookmarkStart w:id="1170" w:name="_Toc104310019"/>
      <w:bookmarkStart w:id="1171" w:name="_Toc105656459"/>
      <w:bookmarkStart w:id="1172" w:name="_Toc106827859"/>
      <w:bookmarkStart w:id="1173" w:name="_Toc106981735"/>
      <w:bookmarkStart w:id="1174" w:name="_Toc107493875"/>
      <w:bookmarkStart w:id="1175" w:name="_Toc107497911"/>
      <w:bookmarkStart w:id="1176" w:name="_Toc107503464"/>
      <w:bookmarkStart w:id="1177" w:name="_Toc107504612"/>
      <w:bookmarkStart w:id="1178" w:name="_Toc107505457"/>
      <w:bookmarkStart w:id="1179" w:name="_Toc107838933"/>
      <w:bookmarkStart w:id="1180" w:name="_Toc107847028"/>
      <w:bookmarkStart w:id="1181" w:name="_Toc107849265"/>
      <w:bookmarkStart w:id="1182" w:name="_Toc107853712"/>
      <w:bookmarkStart w:id="1183" w:name="_Toc107865306"/>
      <w:bookmarkStart w:id="1184" w:name="_Toc108418515"/>
      <w:bookmarkStart w:id="1185" w:name="_Toc108539607"/>
      <w:bookmarkStart w:id="1186" w:name="_Toc108539829"/>
      <w:bookmarkStart w:id="1187" w:name="_Toc108539947"/>
      <w:bookmarkStart w:id="1188" w:name="_Toc108540026"/>
      <w:bookmarkStart w:id="1189" w:name="_Toc109057405"/>
      <w:bookmarkStart w:id="1190" w:name="_Toc109120771"/>
      <w:bookmarkStart w:id="1191" w:name="_Toc109122406"/>
      <w:bookmarkStart w:id="1192" w:name="_Toc109124119"/>
      <w:bookmarkStart w:id="1193" w:name="_Toc109133143"/>
      <w:bookmarkStart w:id="1194" w:name="_Toc109133319"/>
      <w:bookmarkStart w:id="1195" w:name="_Toc120291677"/>
      <w:r w:rsidRPr="00CE73C6">
        <w:rPr>
          <w:b w:val="0"/>
          <w:i/>
          <w:smallCaps w:val="0"/>
          <w:noProof/>
          <w:lang w:val="fr-BE"/>
        </w:rPr>
        <w:t xml:space="preserve">Option </w:t>
      </w:r>
      <w:r w:rsidR="00A8027C" w:rsidRPr="00CE73C6">
        <w:rPr>
          <w:b w:val="0"/>
          <w:i/>
          <w:smallCaps w:val="0"/>
          <w:noProof/>
          <w:lang w:val="fr-BE"/>
        </w:rPr>
        <w:t>C</w:t>
      </w:r>
      <w:r w:rsidRPr="00CE73C6">
        <w:rPr>
          <w:b w:val="0"/>
          <w:i/>
          <w:smallCaps w:val="0"/>
          <w:noProof/>
          <w:lang w:val="fr-BE"/>
        </w:rPr>
        <w:t>3: Centralise EU CCP supervision</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2122FA61" w14:textId="2ADF1A59" w:rsidR="00D6102B" w:rsidRPr="002661A8" w:rsidRDefault="003407B6" w:rsidP="00CC2BF1">
      <w:pPr>
        <w:spacing w:after="120" w:line="240" w:lineRule="auto"/>
        <w:jc w:val="both"/>
        <w:rPr>
          <w:rFonts w:ascii="Times New Roman" w:hAnsi="Times New Roman" w:cs="Times New Roman"/>
          <w:noProof/>
          <w:sz w:val="24"/>
          <w:szCs w:val="24"/>
          <w:u w:val="single"/>
        </w:rPr>
      </w:pPr>
      <w:r w:rsidRPr="002661A8">
        <w:rPr>
          <w:rFonts w:ascii="Times New Roman" w:hAnsi="Times New Roman" w:cs="Times New Roman"/>
          <w:noProof/>
          <w:sz w:val="24"/>
          <w:szCs w:val="24"/>
          <w:u w:val="single"/>
        </w:rPr>
        <w:t xml:space="preserve">Effectiveness in meeting the specific objectives </w:t>
      </w:r>
    </w:p>
    <w:p w14:paraId="55EC2694" w14:textId="2C5BCDC4" w:rsidR="00D6102B" w:rsidRPr="002661A8" w:rsidRDefault="00D95112" w:rsidP="00CC2BF1">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A</w:t>
      </w:r>
      <w:r w:rsidR="00D6102B" w:rsidRPr="002661A8">
        <w:rPr>
          <w:rFonts w:ascii="Times New Roman" w:hAnsi="Times New Roman" w:cs="Times New Roman"/>
          <w:noProof/>
          <w:sz w:val="24"/>
          <w:szCs w:val="24"/>
        </w:rPr>
        <w:t xml:space="preserve"> single </w:t>
      </w:r>
      <w:r w:rsidR="002723D5" w:rsidRPr="002661A8">
        <w:rPr>
          <w:rFonts w:ascii="Times New Roman" w:hAnsi="Times New Roman" w:cs="Times New Roman"/>
          <w:noProof/>
          <w:sz w:val="24"/>
          <w:szCs w:val="24"/>
        </w:rPr>
        <w:t>authority</w:t>
      </w:r>
      <w:r w:rsidR="00CF3125" w:rsidRPr="002661A8">
        <w:rPr>
          <w:rFonts w:ascii="Times New Roman" w:hAnsi="Times New Roman" w:cs="Times New Roman"/>
          <w:noProof/>
          <w:sz w:val="24"/>
          <w:szCs w:val="24"/>
        </w:rPr>
        <w:t>, ESMA,</w:t>
      </w:r>
      <w:r w:rsidR="00D6102B" w:rsidRPr="002661A8">
        <w:rPr>
          <w:rFonts w:ascii="Times New Roman" w:hAnsi="Times New Roman" w:cs="Times New Roman"/>
          <w:noProof/>
          <w:sz w:val="24"/>
          <w:szCs w:val="24"/>
        </w:rPr>
        <w:t xml:space="preserve"> would </w:t>
      </w:r>
      <w:r w:rsidR="002723D5" w:rsidRPr="002661A8">
        <w:rPr>
          <w:rFonts w:ascii="Times New Roman" w:hAnsi="Times New Roman" w:cs="Times New Roman"/>
          <w:noProof/>
          <w:sz w:val="24"/>
          <w:szCs w:val="24"/>
        </w:rPr>
        <w:t>responsible for the supervision of</w:t>
      </w:r>
      <w:r w:rsidR="00CF3125" w:rsidRPr="002661A8">
        <w:rPr>
          <w:rFonts w:ascii="Times New Roman" w:hAnsi="Times New Roman" w:cs="Times New Roman"/>
          <w:noProof/>
          <w:sz w:val="24"/>
          <w:szCs w:val="24"/>
        </w:rPr>
        <w:t xml:space="preserve"> some or all</w:t>
      </w:r>
      <w:r w:rsidR="00D6102B" w:rsidRPr="002661A8">
        <w:rPr>
          <w:rFonts w:ascii="Times New Roman" w:hAnsi="Times New Roman" w:cs="Times New Roman"/>
          <w:noProof/>
          <w:sz w:val="24"/>
          <w:szCs w:val="24"/>
        </w:rPr>
        <w:t xml:space="preserve"> EU CCPs. </w:t>
      </w:r>
      <w:r w:rsidR="00CF3125" w:rsidRPr="002661A8">
        <w:rPr>
          <w:rFonts w:ascii="Times New Roman" w:hAnsi="Times New Roman" w:cs="Times New Roman"/>
          <w:noProof/>
          <w:sz w:val="24"/>
          <w:szCs w:val="24"/>
        </w:rPr>
        <w:t>While</w:t>
      </w:r>
      <w:r w:rsidR="008A0DA6" w:rsidRPr="002661A8">
        <w:rPr>
          <w:rFonts w:ascii="Times New Roman" w:hAnsi="Times New Roman" w:cs="Times New Roman"/>
          <w:noProof/>
          <w:sz w:val="24"/>
          <w:szCs w:val="24"/>
        </w:rPr>
        <w:t xml:space="preserve"> </w:t>
      </w:r>
      <w:r w:rsidR="00D6102B" w:rsidRPr="002661A8">
        <w:rPr>
          <w:rFonts w:ascii="Times New Roman" w:hAnsi="Times New Roman" w:cs="Times New Roman"/>
          <w:noProof/>
          <w:sz w:val="24"/>
          <w:szCs w:val="24"/>
        </w:rPr>
        <w:t>ESMA</w:t>
      </w:r>
      <w:r w:rsidR="002723D5" w:rsidRPr="002661A8">
        <w:rPr>
          <w:rFonts w:ascii="Times New Roman" w:hAnsi="Times New Roman" w:cs="Times New Roman"/>
          <w:noProof/>
          <w:sz w:val="24"/>
          <w:szCs w:val="24"/>
        </w:rPr>
        <w:t xml:space="preserve"> </w:t>
      </w:r>
      <w:r w:rsidR="008A0DA6" w:rsidRPr="002661A8">
        <w:rPr>
          <w:rFonts w:ascii="Times New Roman" w:hAnsi="Times New Roman" w:cs="Times New Roman"/>
          <w:noProof/>
          <w:sz w:val="24"/>
          <w:szCs w:val="24"/>
        </w:rPr>
        <w:t>c</w:t>
      </w:r>
      <w:r w:rsidR="00D6102B" w:rsidRPr="002661A8">
        <w:rPr>
          <w:rFonts w:ascii="Times New Roman" w:hAnsi="Times New Roman" w:cs="Times New Roman"/>
          <w:noProof/>
          <w:sz w:val="24"/>
          <w:szCs w:val="24"/>
        </w:rPr>
        <w:t xml:space="preserve">ould be required to cooperate closely with other bodies, </w:t>
      </w:r>
      <w:r w:rsidR="00E24B88" w:rsidRPr="002661A8">
        <w:rPr>
          <w:rFonts w:ascii="Times New Roman" w:hAnsi="Times New Roman" w:cs="Times New Roman"/>
          <w:noProof/>
          <w:sz w:val="24"/>
          <w:szCs w:val="24"/>
        </w:rPr>
        <w:t>e.g.</w:t>
      </w:r>
      <w:r w:rsidR="00D6102B" w:rsidRPr="002661A8">
        <w:rPr>
          <w:rFonts w:ascii="Times New Roman" w:hAnsi="Times New Roman" w:cs="Times New Roman"/>
          <w:noProof/>
          <w:sz w:val="24"/>
          <w:szCs w:val="24"/>
        </w:rPr>
        <w:t xml:space="preserve"> the ESCB</w:t>
      </w:r>
      <w:r w:rsidR="002F1A0D" w:rsidRPr="002661A8">
        <w:rPr>
          <w:rFonts w:ascii="Times New Roman" w:hAnsi="Times New Roman" w:cs="Times New Roman"/>
          <w:noProof/>
          <w:sz w:val="24"/>
          <w:szCs w:val="24"/>
        </w:rPr>
        <w:t>,</w:t>
      </w:r>
      <w:r w:rsidR="002723D5" w:rsidRPr="002661A8">
        <w:rPr>
          <w:rFonts w:ascii="Times New Roman" w:hAnsi="Times New Roman" w:cs="Times New Roman"/>
          <w:noProof/>
          <w:sz w:val="24"/>
          <w:szCs w:val="24"/>
        </w:rPr>
        <w:t xml:space="preserve"> </w:t>
      </w:r>
      <w:r w:rsidR="00D6102B" w:rsidRPr="002661A8">
        <w:rPr>
          <w:rFonts w:ascii="Times New Roman" w:hAnsi="Times New Roman" w:cs="Times New Roman"/>
          <w:noProof/>
          <w:sz w:val="24"/>
          <w:szCs w:val="24"/>
        </w:rPr>
        <w:t>none of the</w:t>
      </w:r>
      <w:r w:rsidR="00324045">
        <w:rPr>
          <w:rFonts w:ascii="Times New Roman" w:hAnsi="Times New Roman" w:cs="Times New Roman"/>
          <w:noProof/>
          <w:sz w:val="24"/>
          <w:szCs w:val="24"/>
        </w:rPr>
        <w:t>m</w:t>
      </w:r>
      <w:r w:rsidR="00D6102B" w:rsidRPr="002661A8">
        <w:rPr>
          <w:rFonts w:ascii="Times New Roman" w:hAnsi="Times New Roman" w:cs="Times New Roman"/>
          <w:noProof/>
          <w:sz w:val="24"/>
          <w:szCs w:val="24"/>
        </w:rPr>
        <w:t xml:space="preserve"> would have binding powers over the single supervisor. </w:t>
      </w:r>
      <w:r w:rsidR="004C0A2C" w:rsidRPr="002661A8">
        <w:rPr>
          <w:rFonts w:ascii="Times New Roman" w:hAnsi="Times New Roman" w:cs="Times New Roman"/>
          <w:noProof/>
          <w:sz w:val="24"/>
          <w:szCs w:val="24"/>
        </w:rPr>
        <w:t>For those CCPs under ESMA’s direct supervision, t</w:t>
      </w:r>
      <w:r w:rsidR="00D6102B" w:rsidRPr="002661A8">
        <w:rPr>
          <w:rFonts w:ascii="Times New Roman" w:hAnsi="Times New Roman" w:cs="Times New Roman"/>
          <w:noProof/>
          <w:sz w:val="24"/>
          <w:szCs w:val="24"/>
        </w:rPr>
        <w:t xml:space="preserve">his option would eliminate the problems arising from authorities’ inefficient supervisory cooperation </w:t>
      </w:r>
      <w:r w:rsidR="002723D5" w:rsidRPr="002661A8">
        <w:rPr>
          <w:rFonts w:ascii="Times New Roman" w:hAnsi="Times New Roman" w:cs="Times New Roman"/>
          <w:noProof/>
          <w:sz w:val="24"/>
          <w:szCs w:val="24"/>
        </w:rPr>
        <w:t>and ensure full supervisory convergence</w:t>
      </w:r>
      <w:r w:rsidR="000F5064" w:rsidRPr="002661A8">
        <w:rPr>
          <w:rFonts w:ascii="Times New Roman" w:hAnsi="Times New Roman" w:cs="Times New Roman"/>
          <w:noProof/>
          <w:sz w:val="24"/>
          <w:szCs w:val="24"/>
        </w:rPr>
        <w:t xml:space="preserve"> throughout the EU</w:t>
      </w:r>
      <w:r w:rsidR="002723D5" w:rsidRPr="002661A8">
        <w:rPr>
          <w:rFonts w:ascii="Times New Roman" w:hAnsi="Times New Roman" w:cs="Times New Roman"/>
          <w:noProof/>
          <w:sz w:val="24"/>
          <w:szCs w:val="24"/>
        </w:rPr>
        <w:t xml:space="preserve">. As such, </w:t>
      </w:r>
      <w:r w:rsidR="000F5064" w:rsidRPr="002661A8">
        <w:rPr>
          <w:rFonts w:ascii="Times New Roman" w:hAnsi="Times New Roman" w:cs="Times New Roman"/>
          <w:noProof/>
          <w:sz w:val="24"/>
          <w:szCs w:val="24"/>
        </w:rPr>
        <w:t>it</w:t>
      </w:r>
      <w:r w:rsidR="002723D5" w:rsidRPr="002661A8">
        <w:rPr>
          <w:rFonts w:ascii="Times New Roman" w:hAnsi="Times New Roman" w:cs="Times New Roman"/>
          <w:noProof/>
          <w:sz w:val="24"/>
          <w:szCs w:val="24"/>
        </w:rPr>
        <w:t xml:space="preserve"> would </w:t>
      </w:r>
      <w:r w:rsidR="00D6102B" w:rsidRPr="002661A8">
        <w:rPr>
          <w:rFonts w:ascii="Times New Roman" w:hAnsi="Times New Roman" w:cs="Times New Roman"/>
          <w:noProof/>
          <w:sz w:val="24"/>
          <w:szCs w:val="24"/>
        </w:rPr>
        <w:t>simplify the current burdensome procedures</w:t>
      </w:r>
      <w:r w:rsidR="00CF3125" w:rsidRPr="002661A8">
        <w:rPr>
          <w:rFonts w:ascii="Times New Roman" w:hAnsi="Times New Roman" w:cs="Times New Roman"/>
          <w:noProof/>
          <w:sz w:val="24"/>
          <w:szCs w:val="24"/>
        </w:rPr>
        <w:t xml:space="preserve"> a</w:t>
      </w:r>
      <w:r w:rsidR="002723D5" w:rsidRPr="002661A8">
        <w:rPr>
          <w:rFonts w:ascii="Times New Roman" w:hAnsi="Times New Roman" w:cs="Times New Roman"/>
          <w:noProof/>
          <w:sz w:val="24"/>
          <w:szCs w:val="24"/>
        </w:rPr>
        <w:t>nd r</w:t>
      </w:r>
      <w:r w:rsidR="000F5064" w:rsidRPr="002661A8">
        <w:rPr>
          <w:rFonts w:ascii="Times New Roman" w:hAnsi="Times New Roman" w:cs="Times New Roman"/>
          <w:noProof/>
          <w:sz w:val="24"/>
          <w:szCs w:val="24"/>
        </w:rPr>
        <w:t>educe</w:t>
      </w:r>
      <w:r w:rsidR="002723D5" w:rsidRPr="002661A8">
        <w:rPr>
          <w:rFonts w:ascii="Times New Roman" w:hAnsi="Times New Roman" w:cs="Times New Roman"/>
          <w:noProof/>
          <w:sz w:val="24"/>
          <w:szCs w:val="24"/>
        </w:rPr>
        <w:t xml:space="preserve"> costs for EU CCPs, directly</w:t>
      </w:r>
      <w:r w:rsidR="00CF3125" w:rsidRPr="002661A8">
        <w:rPr>
          <w:rFonts w:ascii="Times New Roman" w:hAnsi="Times New Roman" w:cs="Times New Roman"/>
          <w:noProof/>
          <w:sz w:val="24"/>
          <w:szCs w:val="24"/>
        </w:rPr>
        <w:t xml:space="preserve"> contr</w:t>
      </w:r>
      <w:r w:rsidR="002723D5" w:rsidRPr="002661A8">
        <w:rPr>
          <w:rFonts w:ascii="Times New Roman" w:hAnsi="Times New Roman" w:cs="Times New Roman"/>
          <w:noProof/>
          <w:sz w:val="24"/>
          <w:szCs w:val="24"/>
        </w:rPr>
        <w:t>ibuting</w:t>
      </w:r>
      <w:r w:rsidR="000F5064" w:rsidRPr="002661A8">
        <w:rPr>
          <w:rFonts w:ascii="Times New Roman" w:hAnsi="Times New Roman" w:cs="Times New Roman"/>
          <w:noProof/>
          <w:sz w:val="24"/>
          <w:szCs w:val="24"/>
        </w:rPr>
        <w:t xml:space="preserve">, and to a greater extent than </w:t>
      </w:r>
      <w:r w:rsidR="003F3165">
        <w:rPr>
          <w:rFonts w:ascii="Times New Roman" w:hAnsi="Times New Roman" w:cs="Times New Roman"/>
          <w:noProof/>
          <w:sz w:val="24"/>
          <w:szCs w:val="24"/>
        </w:rPr>
        <w:t>o</w:t>
      </w:r>
      <w:r w:rsidR="000F5064" w:rsidRPr="002661A8">
        <w:rPr>
          <w:rFonts w:ascii="Times New Roman" w:hAnsi="Times New Roman" w:cs="Times New Roman"/>
          <w:noProof/>
          <w:sz w:val="24"/>
          <w:szCs w:val="24"/>
        </w:rPr>
        <w:t>ption 2,</w:t>
      </w:r>
      <w:r w:rsidR="002723D5" w:rsidRPr="002661A8">
        <w:rPr>
          <w:rFonts w:ascii="Times New Roman" w:hAnsi="Times New Roman" w:cs="Times New Roman"/>
          <w:noProof/>
          <w:sz w:val="24"/>
          <w:szCs w:val="24"/>
        </w:rPr>
        <w:t xml:space="preserve"> to</w:t>
      </w:r>
      <w:r w:rsidR="00CF3125" w:rsidRPr="002661A8">
        <w:rPr>
          <w:rFonts w:ascii="Times New Roman" w:hAnsi="Times New Roman" w:cs="Times New Roman"/>
          <w:noProof/>
          <w:sz w:val="24"/>
          <w:szCs w:val="24"/>
        </w:rPr>
        <w:t xml:space="preserve"> the objective of enhancing </w:t>
      </w:r>
      <w:r w:rsidR="002723D5" w:rsidRPr="002661A8">
        <w:rPr>
          <w:rFonts w:ascii="Times New Roman" w:hAnsi="Times New Roman" w:cs="Times New Roman"/>
          <w:noProof/>
          <w:sz w:val="24"/>
          <w:szCs w:val="24"/>
        </w:rPr>
        <w:t>EU CCPs’</w:t>
      </w:r>
      <w:r w:rsidR="00CF3125" w:rsidRPr="002661A8">
        <w:rPr>
          <w:rFonts w:ascii="Times New Roman" w:hAnsi="Times New Roman" w:cs="Times New Roman"/>
          <w:noProof/>
          <w:sz w:val="24"/>
          <w:szCs w:val="24"/>
        </w:rPr>
        <w:t xml:space="preserve"> attractiveness. In addition, </w:t>
      </w:r>
      <w:r w:rsidR="002723D5" w:rsidRPr="002661A8">
        <w:rPr>
          <w:rFonts w:ascii="Times New Roman" w:hAnsi="Times New Roman" w:cs="Times New Roman"/>
          <w:noProof/>
          <w:sz w:val="24"/>
          <w:szCs w:val="24"/>
        </w:rPr>
        <w:t xml:space="preserve">a single supervisor would have direct access to all necessary supervisory information and would be </w:t>
      </w:r>
      <w:r w:rsidR="000F5064" w:rsidRPr="002661A8">
        <w:rPr>
          <w:rFonts w:ascii="Times New Roman" w:hAnsi="Times New Roman" w:cs="Times New Roman"/>
          <w:noProof/>
          <w:sz w:val="24"/>
          <w:szCs w:val="24"/>
        </w:rPr>
        <w:t>competent to take</w:t>
      </w:r>
      <w:r w:rsidR="002723D5" w:rsidRPr="002661A8">
        <w:rPr>
          <w:rFonts w:ascii="Times New Roman" w:hAnsi="Times New Roman" w:cs="Times New Roman"/>
          <w:noProof/>
          <w:sz w:val="24"/>
          <w:szCs w:val="24"/>
        </w:rPr>
        <w:t xml:space="preserve"> al</w:t>
      </w:r>
      <w:r w:rsidR="000F5064" w:rsidRPr="002661A8">
        <w:rPr>
          <w:rFonts w:ascii="Times New Roman" w:hAnsi="Times New Roman" w:cs="Times New Roman"/>
          <w:noProof/>
          <w:sz w:val="24"/>
          <w:szCs w:val="24"/>
        </w:rPr>
        <w:t xml:space="preserve">l supervisory decisions; consequently, </w:t>
      </w:r>
      <w:r w:rsidR="00D6102B" w:rsidRPr="002661A8">
        <w:rPr>
          <w:rFonts w:ascii="Times New Roman" w:hAnsi="Times New Roman" w:cs="Times New Roman"/>
          <w:noProof/>
          <w:sz w:val="24"/>
          <w:szCs w:val="24"/>
        </w:rPr>
        <w:t xml:space="preserve">cross-border risks </w:t>
      </w:r>
      <w:r w:rsidR="002723D5" w:rsidRPr="002661A8">
        <w:rPr>
          <w:rFonts w:ascii="Times New Roman" w:hAnsi="Times New Roman" w:cs="Times New Roman"/>
          <w:noProof/>
          <w:sz w:val="24"/>
          <w:szCs w:val="24"/>
        </w:rPr>
        <w:t xml:space="preserve">would be </w:t>
      </w:r>
      <w:r w:rsidR="00BC222F" w:rsidRPr="002661A8">
        <w:rPr>
          <w:rFonts w:ascii="Times New Roman" w:hAnsi="Times New Roman" w:cs="Times New Roman"/>
          <w:noProof/>
          <w:sz w:val="24"/>
          <w:szCs w:val="24"/>
        </w:rPr>
        <w:t>considered</w:t>
      </w:r>
      <w:r w:rsidR="00D6102B" w:rsidRPr="002661A8">
        <w:rPr>
          <w:rFonts w:ascii="Times New Roman" w:hAnsi="Times New Roman" w:cs="Times New Roman"/>
          <w:noProof/>
          <w:sz w:val="24"/>
          <w:szCs w:val="24"/>
        </w:rPr>
        <w:t xml:space="preserve"> </w:t>
      </w:r>
      <w:r w:rsidR="002723D5" w:rsidRPr="002661A8">
        <w:rPr>
          <w:rFonts w:ascii="Times New Roman" w:hAnsi="Times New Roman" w:cs="Times New Roman"/>
          <w:noProof/>
          <w:sz w:val="24"/>
          <w:szCs w:val="24"/>
        </w:rPr>
        <w:t xml:space="preserve">and effectively addressed </w:t>
      </w:r>
      <w:r w:rsidR="000F5064" w:rsidRPr="002661A8">
        <w:rPr>
          <w:rFonts w:ascii="Times New Roman" w:hAnsi="Times New Roman" w:cs="Times New Roman"/>
          <w:noProof/>
          <w:sz w:val="24"/>
          <w:szCs w:val="24"/>
        </w:rPr>
        <w:t>more</w:t>
      </w:r>
      <w:r w:rsidR="002723D5" w:rsidRPr="002661A8">
        <w:rPr>
          <w:rFonts w:ascii="Times New Roman" w:hAnsi="Times New Roman" w:cs="Times New Roman"/>
          <w:noProof/>
          <w:sz w:val="24"/>
          <w:szCs w:val="24"/>
        </w:rPr>
        <w:t xml:space="preserve"> than in option 2</w:t>
      </w:r>
      <w:r w:rsidR="009525D6" w:rsidRPr="002661A8">
        <w:rPr>
          <w:rFonts w:ascii="Times New Roman" w:hAnsi="Times New Roman" w:cs="Times New Roman"/>
          <w:noProof/>
          <w:sz w:val="24"/>
          <w:szCs w:val="24"/>
        </w:rPr>
        <w:t>, ensuring EU financial stability</w:t>
      </w:r>
      <w:r w:rsidR="002723D5" w:rsidRPr="002661A8">
        <w:rPr>
          <w:rFonts w:ascii="Times New Roman" w:hAnsi="Times New Roman" w:cs="Times New Roman"/>
          <w:noProof/>
          <w:sz w:val="24"/>
          <w:szCs w:val="24"/>
        </w:rPr>
        <w:t>.</w:t>
      </w:r>
      <w:r w:rsidR="00324045" w:rsidRPr="00324045">
        <w:rPr>
          <w:rFonts w:ascii="Times New Roman" w:hAnsi="Times New Roman" w:cs="Times New Roman"/>
          <w:noProof/>
          <w:sz w:val="24"/>
          <w:szCs w:val="24"/>
        </w:rPr>
        <w:t xml:space="preserve"> </w:t>
      </w:r>
      <w:r w:rsidR="00324045">
        <w:rPr>
          <w:rFonts w:ascii="Times New Roman" w:hAnsi="Times New Roman" w:cs="Times New Roman"/>
          <w:noProof/>
          <w:sz w:val="24"/>
          <w:szCs w:val="24"/>
        </w:rPr>
        <w:t>This option would require changes under EMIR as this would change the supervision model currently set out therein. There could also be a need for level 2 acts, such as RTSs and ITSs, to further establish details as to such supervisory approach.</w:t>
      </w:r>
    </w:p>
    <w:p w14:paraId="5F90DAF6" w14:textId="4F614927" w:rsidR="00D6102B" w:rsidRDefault="005F791D" w:rsidP="00CC2BF1">
      <w:pPr>
        <w:spacing w:after="120" w:line="240" w:lineRule="auto"/>
        <w:jc w:val="both"/>
        <w:rPr>
          <w:rFonts w:ascii="Times New Roman" w:hAnsi="Times New Roman"/>
          <w:noProof/>
          <w:sz w:val="24"/>
          <w:szCs w:val="24"/>
        </w:rPr>
      </w:pPr>
      <w:r w:rsidRPr="002661A8">
        <w:rPr>
          <w:rFonts w:ascii="Times New Roman" w:hAnsi="Times New Roman" w:cs="Times New Roman"/>
          <w:noProof/>
          <w:sz w:val="24"/>
          <w:szCs w:val="24"/>
        </w:rPr>
        <w:t>T</w:t>
      </w:r>
      <w:r w:rsidR="00D6102B" w:rsidRPr="002661A8">
        <w:rPr>
          <w:rFonts w:ascii="Times New Roman" w:hAnsi="Times New Roman" w:cs="Times New Roman"/>
          <w:noProof/>
          <w:sz w:val="24"/>
          <w:szCs w:val="24"/>
        </w:rPr>
        <w:t>he final responsibility for managing an ailing CCP remains at national level</w:t>
      </w:r>
      <w:r w:rsidR="002723D5" w:rsidRPr="002661A8">
        <w:rPr>
          <w:rFonts w:ascii="Times New Roman" w:hAnsi="Times New Roman" w:cs="Times New Roman"/>
          <w:noProof/>
          <w:sz w:val="24"/>
          <w:szCs w:val="24"/>
        </w:rPr>
        <w:t xml:space="preserve">: while </w:t>
      </w:r>
      <w:r w:rsidR="00C07CF1" w:rsidRPr="002661A8">
        <w:rPr>
          <w:rFonts w:ascii="Times New Roman" w:hAnsi="Times New Roman" w:cs="Times New Roman"/>
          <w:noProof/>
          <w:sz w:val="24"/>
          <w:szCs w:val="24"/>
        </w:rPr>
        <w:t>under</w:t>
      </w:r>
      <w:r w:rsidR="00F37603" w:rsidRPr="002661A8">
        <w:rPr>
          <w:rFonts w:ascii="Times New Roman" w:hAnsi="Times New Roman" w:cs="Times New Roman"/>
          <w:noProof/>
          <w:sz w:val="24"/>
          <w:szCs w:val="24"/>
        </w:rPr>
        <w:t xml:space="preserve"> the CCP Recovery and Resolution Regulation</w:t>
      </w:r>
      <w:r w:rsidR="00D6102B" w:rsidRPr="002661A8">
        <w:rPr>
          <w:rFonts w:ascii="Times New Roman" w:hAnsi="Times New Roman" w:cs="Times New Roman"/>
          <w:noProof/>
          <w:sz w:val="24"/>
          <w:szCs w:val="24"/>
        </w:rPr>
        <w:t xml:space="preserve"> a CCP failure first need</w:t>
      </w:r>
      <w:r w:rsidR="00F37603" w:rsidRPr="002661A8">
        <w:rPr>
          <w:rFonts w:ascii="Times New Roman" w:hAnsi="Times New Roman" w:cs="Times New Roman"/>
          <w:noProof/>
          <w:sz w:val="24"/>
          <w:szCs w:val="24"/>
        </w:rPr>
        <w:t>s</w:t>
      </w:r>
      <w:r w:rsidR="00D6102B" w:rsidRPr="002661A8">
        <w:rPr>
          <w:rFonts w:ascii="Times New Roman" w:hAnsi="Times New Roman" w:cs="Times New Roman"/>
          <w:noProof/>
          <w:sz w:val="24"/>
          <w:szCs w:val="24"/>
        </w:rPr>
        <w:t xml:space="preserve"> to be addressed by using the CCP’s own resources as well as contributions from its clearing members which may be located throughout the EU (and beyond)</w:t>
      </w:r>
      <w:r w:rsidR="002723D5" w:rsidRPr="002661A8">
        <w:rPr>
          <w:rFonts w:ascii="Times New Roman" w:hAnsi="Times New Roman" w:cs="Times New Roman"/>
          <w:noProof/>
          <w:sz w:val="24"/>
          <w:szCs w:val="24"/>
        </w:rPr>
        <w:t>, Member States may in specific circumstances support financially failing CCPs</w:t>
      </w:r>
      <w:r w:rsidR="00D6102B" w:rsidRPr="002661A8">
        <w:rPr>
          <w:rFonts w:ascii="Times New Roman" w:hAnsi="Times New Roman" w:cs="Times New Roman"/>
          <w:noProof/>
          <w:sz w:val="24"/>
          <w:szCs w:val="24"/>
        </w:rPr>
        <w:t xml:space="preserve">. </w:t>
      </w:r>
      <w:r w:rsidRPr="002661A8">
        <w:rPr>
          <w:rFonts w:ascii="Times New Roman" w:hAnsi="Times New Roman" w:cs="Times New Roman"/>
          <w:noProof/>
          <w:sz w:val="24"/>
          <w:szCs w:val="24"/>
        </w:rPr>
        <w:t>As such</w:t>
      </w:r>
      <w:r w:rsidR="00D6102B" w:rsidRPr="002661A8" w:rsidDel="005F791D">
        <w:rPr>
          <w:rFonts w:ascii="Times New Roman" w:hAnsi="Times New Roman" w:cs="Times New Roman"/>
          <w:noProof/>
          <w:sz w:val="24"/>
          <w:szCs w:val="24"/>
        </w:rPr>
        <w:t>, t</w:t>
      </w:r>
      <w:r w:rsidR="00D6102B" w:rsidRPr="002661A8">
        <w:rPr>
          <w:rFonts w:ascii="Times New Roman" w:hAnsi="Times New Roman" w:cs="Times New Roman"/>
          <w:noProof/>
          <w:sz w:val="24"/>
          <w:szCs w:val="24"/>
        </w:rPr>
        <w:t xml:space="preserve">his option </w:t>
      </w:r>
      <w:r w:rsidR="00D9340E" w:rsidRPr="002661A8">
        <w:rPr>
          <w:rFonts w:ascii="Times New Roman" w:hAnsi="Times New Roman" w:cs="Times New Roman"/>
          <w:noProof/>
          <w:sz w:val="24"/>
          <w:szCs w:val="24"/>
        </w:rPr>
        <w:t xml:space="preserve">may be perceived at this point </w:t>
      </w:r>
      <w:r w:rsidR="00D6102B" w:rsidRPr="002661A8">
        <w:rPr>
          <w:rFonts w:ascii="Times New Roman" w:hAnsi="Times New Roman" w:cs="Times New Roman"/>
          <w:noProof/>
          <w:sz w:val="24"/>
          <w:szCs w:val="24"/>
        </w:rPr>
        <w:t xml:space="preserve">as </w:t>
      </w:r>
      <w:r w:rsidR="00D9340E" w:rsidRPr="002661A8">
        <w:rPr>
          <w:rFonts w:ascii="Times New Roman" w:hAnsi="Times New Roman" w:cs="Times New Roman"/>
          <w:noProof/>
          <w:sz w:val="24"/>
          <w:szCs w:val="24"/>
        </w:rPr>
        <w:t>splitting</w:t>
      </w:r>
      <w:r w:rsidR="00D6102B" w:rsidRPr="002661A8">
        <w:rPr>
          <w:rFonts w:ascii="Times New Roman" w:hAnsi="Times New Roman" w:cs="Times New Roman"/>
          <w:noProof/>
          <w:sz w:val="24"/>
          <w:szCs w:val="24"/>
        </w:rPr>
        <w:t xml:space="preserve"> supervisory </w:t>
      </w:r>
      <w:r w:rsidR="00D9340E" w:rsidRPr="002661A8">
        <w:rPr>
          <w:rFonts w:ascii="Times New Roman" w:hAnsi="Times New Roman" w:cs="Times New Roman"/>
          <w:noProof/>
          <w:sz w:val="24"/>
          <w:szCs w:val="24"/>
        </w:rPr>
        <w:t xml:space="preserve">and fiscal </w:t>
      </w:r>
      <w:r w:rsidR="00610778" w:rsidRPr="002661A8">
        <w:rPr>
          <w:rFonts w:ascii="Times New Roman" w:hAnsi="Times New Roman" w:cs="Times New Roman"/>
          <w:noProof/>
          <w:sz w:val="24"/>
          <w:szCs w:val="24"/>
        </w:rPr>
        <w:t>responsibilities</w:t>
      </w:r>
      <w:r w:rsidR="00D9340E" w:rsidRPr="002661A8">
        <w:rPr>
          <w:rFonts w:ascii="Times New Roman" w:hAnsi="Times New Roman" w:cs="Times New Roman"/>
          <w:noProof/>
          <w:sz w:val="24"/>
          <w:szCs w:val="24"/>
        </w:rPr>
        <w:t>.</w:t>
      </w:r>
      <w:r w:rsidR="005C3317" w:rsidRPr="002661A8">
        <w:rPr>
          <w:rFonts w:ascii="Times New Roman" w:hAnsi="Times New Roman"/>
          <w:noProof/>
          <w:sz w:val="24"/>
          <w:szCs w:val="24"/>
        </w:rPr>
        <w:t xml:space="preserve"> To address this, it may be necessar</w:t>
      </w:r>
      <w:r w:rsidR="00935F21" w:rsidRPr="002661A8">
        <w:rPr>
          <w:rFonts w:ascii="Times New Roman" w:hAnsi="Times New Roman"/>
          <w:noProof/>
          <w:sz w:val="24"/>
          <w:szCs w:val="24"/>
        </w:rPr>
        <w:t>y</w:t>
      </w:r>
      <w:r w:rsidR="005C3317" w:rsidRPr="002661A8">
        <w:rPr>
          <w:rFonts w:ascii="Times New Roman" w:hAnsi="Times New Roman"/>
          <w:noProof/>
          <w:sz w:val="24"/>
          <w:szCs w:val="24"/>
        </w:rPr>
        <w:t xml:space="preserve"> to also review the CCP Recovery and Resolution Regulation</w:t>
      </w:r>
      <w:r w:rsidR="00935F21" w:rsidRPr="002661A8">
        <w:rPr>
          <w:rFonts w:ascii="Times New Roman" w:hAnsi="Times New Roman"/>
          <w:noProof/>
          <w:sz w:val="24"/>
          <w:szCs w:val="24"/>
        </w:rPr>
        <w:t>.</w:t>
      </w:r>
    </w:p>
    <w:p w14:paraId="718AC03D" w14:textId="0FC6A5BB" w:rsidR="002D2813" w:rsidRPr="002661A8" w:rsidRDefault="00376189" w:rsidP="00CC2BF1">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meeting with Member States on 16 June 2022, </w:t>
      </w:r>
      <w:r w:rsidR="008C2B70">
        <w:rPr>
          <w:rFonts w:ascii="Times New Roman" w:hAnsi="Times New Roman" w:cs="Times New Roman"/>
          <w:noProof/>
          <w:sz w:val="24"/>
          <w:szCs w:val="24"/>
        </w:rPr>
        <w:t>several</w:t>
      </w:r>
      <w:r w:rsidRPr="00AA3386">
        <w:rPr>
          <w:rFonts w:ascii="Times New Roman" w:hAnsi="Times New Roman" w:cs="Times New Roman"/>
          <w:noProof/>
          <w:sz w:val="24"/>
          <w:szCs w:val="24"/>
        </w:rPr>
        <w:t xml:space="preserve"> Member States </w:t>
      </w:r>
      <w:r w:rsidR="008C2B70">
        <w:rPr>
          <w:rFonts w:ascii="Times New Roman" w:hAnsi="Times New Roman" w:cs="Times New Roman"/>
          <w:noProof/>
          <w:sz w:val="24"/>
          <w:szCs w:val="24"/>
        </w:rPr>
        <w:t>argued that</w:t>
      </w:r>
      <w:r w:rsidRPr="00AA3386">
        <w:rPr>
          <w:rFonts w:ascii="Times New Roman" w:hAnsi="Times New Roman" w:cs="Times New Roman"/>
          <w:noProof/>
          <w:sz w:val="24"/>
          <w:szCs w:val="24"/>
        </w:rPr>
        <w:t xml:space="preserve"> that supervision should not be fundamentally changed by granting ESMA with the power to supervise </w:t>
      </w:r>
      <w:r>
        <w:rPr>
          <w:rFonts w:ascii="Times New Roman" w:hAnsi="Times New Roman" w:cs="Times New Roman"/>
          <w:noProof/>
          <w:sz w:val="24"/>
          <w:szCs w:val="24"/>
        </w:rPr>
        <w:t xml:space="preserve">directly </w:t>
      </w:r>
      <w:r w:rsidRPr="00AA3386">
        <w:rPr>
          <w:rFonts w:ascii="Times New Roman" w:hAnsi="Times New Roman" w:cs="Times New Roman"/>
          <w:noProof/>
          <w:sz w:val="24"/>
          <w:szCs w:val="24"/>
        </w:rPr>
        <w:t>some or all EU CCPs.</w:t>
      </w:r>
      <w:r>
        <w:rPr>
          <w:rFonts w:ascii="Times New Roman" w:hAnsi="Times New Roman" w:cs="Times New Roman"/>
          <w:noProof/>
          <w:sz w:val="24"/>
          <w:szCs w:val="24"/>
        </w:rPr>
        <w:t xml:space="preserve"> </w:t>
      </w:r>
      <w:r w:rsidRPr="00AA3386">
        <w:rPr>
          <w:rFonts w:ascii="Times New Roman" w:hAnsi="Times New Roman" w:cs="Times New Roman"/>
          <w:noProof/>
          <w:sz w:val="24"/>
          <w:szCs w:val="24"/>
        </w:rPr>
        <w:t>Two of them stated</w:t>
      </w:r>
      <w:r>
        <w:rPr>
          <w:rFonts w:ascii="Times New Roman" w:hAnsi="Times New Roman" w:cs="Times New Roman"/>
          <w:noProof/>
          <w:sz w:val="24"/>
          <w:szCs w:val="24"/>
        </w:rPr>
        <w:t xml:space="preserve"> </w:t>
      </w:r>
      <w:r w:rsidRPr="00AA3386">
        <w:rPr>
          <w:rFonts w:ascii="Times New Roman" w:hAnsi="Times New Roman" w:cs="Times New Roman"/>
          <w:noProof/>
          <w:sz w:val="24"/>
          <w:szCs w:val="24"/>
        </w:rPr>
        <w:t>that fiscal responsibility should go hand in hand with supervisory responsibility and therefore were clearly against the supervision of all or certain EU CCPs at EU level.</w:t>
      </w:r>
      <w:r w:rsidR="001C57A7">
        <w:rPr>
          <w:rFonts w:ascii="Times New Roman" w:hAnsi="Times New Roman" w:cs="Times New Roman"/>
          <w:noProof/>
          <w:sz w:val="24"/>
          <w:szCs w:val="24"/>
        </w:rPr>
        <w:t xml:space="preserve"> </w:t>
      </w:r>
      <w:r w:rsidR="001C57A7" w:rsidRPr="00E11BC4">
        <w:rPr>
          <w:rFonts w:ascii="Times New Roman" w:hAnsi="Times New Roman" w:cs="Times New Roman"/>
          <w:noProof/>
          <w:sz w:val="24"/>
          <w:szCs w:val="24"/>
        </w:rPr>
        <w:t xml:space="preserve">According to stakeholders </w:t>
      </w:r>
      <w:r w:rsidR="008C2B70">
        <w:rPr>
          <w:rFonts w:ascii="Times New Roman" w:hAnsi="Times New Roman" w:cs="Times New Roman"/>
          <w:noProof/>
          <w:sz w:val="24"/>
          <w:szCs w:val="24"/>
        </w:rPr>
        <w:t xml:space="preserve">responding to the targeted consultation </w:t>
      </w:r>
      <w:r w:rsidR="001C57A7" w:rsidRPr="00E11BC4">
        <w:rPr>
          <w:rFonts w:ascii="Times New Roman" w:hAnsi="Times New Roman" w:cs="Times New Roman"/>
          <w:noProof/>
          <w:sz w:val="24"/>
          <w:szCs w:val="24"/>
        </w:rPr>
        <w:t xml:space="preserve">(including a public authority and a non-EU CCP), </w:t>
      </w:r>
      <w:r w:rsidR="008C2B70">
        <w:rPr>
          <w:rFonts w:ascii="Times New Roman" w:hAnsi="Times New Roman" w:cs="Times New Roman"/>
          <w:noProof/>
          <w:sz w:val="24"/>
          <w:szCs w:val="24"/>
        </w:rPr>
        <w:t xml:space="preserve">the </w:t>
      </w:r>
      <w:r w:rsidR="001C57A7" w:rsidRPr="00E11BC4">
        <w:rPr>
          <w:rFonts w:ascii="Times New Roman" w:hAnsi="Times New Roman" w:cs="Times New Roman"/>
          <w:noProof/>
          <w:sz w:val="24"/>
          <w:szCs w:val="24"/>
        </w:rPr>
        <w:t>benefits of a stronger EU supervision could be uniformity of supervisory practices and outcomes. Those against a stronger EU supervision (two public authorities, an EU CCP, a central bank) argued that it would not reduce costs, as costs were a result of the EMIR regulatory requirements and therefore unrelated to the level at which supervision is exercised. In addition, it was mentioned that ESMA may not be best placed to deal with interpretation of national law.</w:t>
      </w:r>
    </w:p>
    <w:p w14:paraId="532CF3C5" w14:textId="77777777" w:rsidR="00D6102B" w:rsidRPr="002661A8" w:rsidRDefault="00D6102B" w:rsidP="00D6102B">
      <w:pPr>
        <w:pStyle w:val="Text2"/>
        <w:spacing w:after="120"/>
        <w:ind w:left="0"/>
        <w:rPr>
          <w:noProof/>
          <w:u w:val="single"/>
        </w:rPr>
      </w:pPr>
      <w:r w:rsidRPr="002661A8">
        <w:rPr>
          <w:noProof/>
          <w:u w:val="single"/>
        </w:rPr>
        <w:t>Coherence</w:t>
      </w:r>
    </w:p>
    <w:p w14:paraId="4878C72E" w14:textId="0069FBCB" w:rsidR="003407B6" w:rsidRPr="002661A8" w:rsidRDefault="00D6102B" w:rsidP="00D6102B">
      <w:pPr>
        <w:pStyle w:val="Text2"/>
        <w:spacing w:after="120"/>
        <w:ind w:left="0"/>
        <w:rPr>
          <w:noProof/>
        </w:rPr>
      </w:pPr>
      <w:r w:rsidRPr="002661A8">
        <w:rPr>
          <w:noProof/>
        </w:rPr>
        <w:t xml:space="preserve">This option is coherent with the CMU 2020 Action Plan, which highlights the need to develop a more integrated </w:t>
      </w:r>
      <w:r w:rsidR="0000371C" w:rsidRPr="002661A8">
        <w:rPr>
          <w:noProof/>
        </w:rPr>
        <w:t xml:space="preserve">EU </w:t>
      </w:r>
      <w:r w:rsidRPr="002661A8">
        <w:rPr>
          <w:noProof/>
        </w:rPr>
        <w:t xml:space="preserve">post-trading landscape and states that if there are indications that the supervisory set-up is inadequate for the desired level of market integration, stronger supervisory coordination or direct supervision by the </w:t>
      </w:r>
      <w:r w:rsidR="00EB1674" w:rsidRPr="002661A8">
        <w:rPr>
          <w:noProof/>
        </w:rPr>
        <w:t>ESAs</w:t>
      </w:r>
      <w:r w:rsidRPr="002661A8">
        <w:rPr>
          <w:noProof/>
        </w:rPr>
        <w:t xml:space="preserve"> should be considered. It is </w:t>
      </w:r>
      <w:r w:rsidR="0000371C" w:rsidRPr="002661A8">
        <w:rPr>
          <w:noProof/>
        </w:rPr>
        <w:t xml:space="preserve">also </w:t>
      </w:r>
      <w:r w:rsidRPr="002661A8">
        <w:rPr>
          <w:noProof/>
        </w:rPr>
        <w:t xml:space="preserve">coherent with the approach </w:t>
      </w:r>
      <w:r w:rsidR="00E25F58" w:rsidRPr="002661A8">
        <w:rPr>
          <w:noProof/>
        </w:rPr>
        <w:t>for third-country CCPs, and particular</w:t>
      </w:r>
      <w:r w:rsidR="0000371C" w:rsidRPr="002661A8">
        <w:rPr>
          <w:noProof/>
        </w:rPr>
        <w:t>ly</w:t>
      </w:r>
      <w:r w:rsidR="00E25F58" w:rsidRPr="002661A8">
        <w:rPr>
          <w:noProof/>
        </w:rPr>
        <w:t xml:space="preserve"> </w:t>
      </w:r>
      <w:r w:rsidR="008A0DA6" w:rsidRPr="002661A8">
        <w:rPr>
          <w:noProof/>
        </w:rPr>
        <w:t>Tier 2 CCPs</w:t>
      </w:r>
      <w:r w:rsidR="00E25F58" w:rsidRPr="002661A8">
        <w:rPr>
          <w:noProof/>
        </w:rPr>
        <w:t xml:space="preserve"> over which ESMA has direct supervisory powers, and for</w:t>
      </w:r>
      <w:r w:rsidRPr="002661A8">
        <w:rPr>
          <w:noProof/>
        </w:rPr>
        <w:t xml:space="preserve"> other financial institutions for which ESMA has already been granted direct supervisory powers (e.g. for credit rating agencies and trade repositories)</w:t>
      </w:r>
      <w:r w:rsidR="00E25F58" w:rsidRPr="002661A8">
        <w:rPr>
          <w:noProof/>
        </w:rPr>
        <w:t>.</w:t>
      </w:r>
      <w:r w:rsidR="003D606C" w:rsidRPr="002661A8">
        <w:rPr>
          <w:noProof/>
        </w:rPr>
        <w:t xml:space="preserve"> Nonetheless, it</w:t>
      </w:r>
      <w:r w:rsidR="003D606C" w:rsidRPr="002661A8" w:rsidDel="00D9340E">
        <w:rPr>
          <w:noProof/>
        </w:rPr>
        <w:t xml:space="preserve"> </w:t>
      </w:r>
      <w:r w:rsidR="00D9340E" w:rsidRPr="002661A8">
        <w:rPr>
          <w:noProof/>
        </w:rPr>
        <w:t xml:space="preserve">may be seen as </w:t>
      </w:r>
      <w:r w:rsidR="003D606C" w:rsidRPr="002661A8">
        <w:rPr>
          <w:noProof/>
        </w:rPr>
        <w:t xml:space="preserve">inconsistent with the architecture under the CCP Recovery and Resolution Regulation, whereby decisions for CCPs in distress are taken at national level and </w:t>
      </w:r>
      <w:r w:rsidR="00610778" w:rsidRPr="002661A8">
        <w:rPr>
          <w:noProof/>
        </w:rPr>
        <w:t xml:space="preserve">Member States may be called upon to contribute </w:t>
      </w:r>
      <w:r w:rsidR="003D606C" w:rsidRPr="002661A8">
        <w:rPr>
          <w:noProof/>
        </w:rPr>
        <w:t>for failing CCPs</w:t>
      </w:r>
      <w:r w:rsidR="005C3317" w:rsidRPr="002661A8">
        <w:rPr>
          <w:noProof/>
        </w:rPr>
        <w:t>; a review of that Regulation may</w:t>
      </w:r>
      <w:r w:rsidR="005C3317" w:rsidRPr="002661A8" w:rsidDel="005F791D">
        <w:rPr>
          <w:noProof/>
        </w:rPr>
        <w:t xml:space="preserve"> </w:t>
      </w:r>
      <w:r w:rsidR="005C3317" w:rsidRPr="002661A8">
        <w:rPr>
          <w:noProof/>
        </w:rPr>
        <w:t>also be required</w:t>
      </w:r>
      <w:r w:rsidR="003D606C" w:rsidRPr="002661A8">
        <w:rPr>
          <w:noProof/>
        </w:rPr>
        <w:t xml:space="preserve">. </w:t>
      </w:r>
    </w:p>
    <w:p w14:paraId="062B1033" w14:textId="6129923C" w:rsidR="002E650C" w:rsidRPr="002661A8" w:rsidRDefault="002E650C" w:rsidP="002E650C">
      <w:pPr>
        <w:tabs>
          <w:tab w:val="left" w:pos="2302"/>
        </w:tabs>
        <w:spacing w:after="120" w:line="240" w:lineRule="auto"/>
        <w:jc w:val="both"/>
        <w:rPr>
          <w:rFonts w:ascii="Times New Roman" w:eastAsia="Times New Roman" w:hAnsi="Times New Roman" w:cs="Times New Roman"/>
          <w:noProof/>
          <w:sz w:val="24"/>
          <w:szCs w:val="24"/>
          <w:u w:val="single"/>
        </w:rPr>
      </w:pPr>
      <w:r w:rsidRPr="002661A8">
        <w:rPr>
          <w:rFonts w:ascii="Times New Roman" w:eastAsia="Times New Roman" w:hAnsi="Times New Roman" w:cs="Times New Roman"/>
          <w:noProof/>
          <w:sz w:val="24"/>
          <w:szCs w:val="24"/>
          <w:u w:val="single"/>
        </w:rPr>
        <w:t>Cost</w:t>
      </w:r>
      <w:r w:rsidR="008A0DA6" w:rsidRPr="002661A8">
        <w:rPr>
          <w:rFonts w:ascii="Times New Roman" w:eastAsia="Times New Roman" w:hAnsi="Times New Roman" w:cs="Times New Roman"/>
          <w:noProof/>
          <w:sz w:val="24"/>
          <w:szCs w:val="24"/>
          <w:u w:val="single"/>
        </w:rPr>
        <w:t xml:space="preserve">s and </w:t>
      </w:r>
      <w:r w:rsidRPr="002661A8">
        <w:rPr>
          <w:rFonts w:ascii="Times New Roman" w:eastAsia="Times New Roman" w:hAnsi="Times New Roman" w:cs="Times New Roman"/>
          <w:noProof/>
          <w:sz w:val="24"/>
          <w:szCs w:val="24"/>
          <w:u w:val="single"/>
        </w:rPr>
        <w:t>benefit</w:t>
      </w:r>
      <w:r w:rsidR="008A0DA6" w:rsidRPr="002661A8">
        <w:rPr>
          <w:rFonts w:ascii="Times New Roman" w:eastAsia="Times New Roman" w:hAnsi="Times New Roman" w:cs="Times New Roman"/>
          <w:noProof/>
          <w:sz w:val="24"/>
          <w:szCs w:val="24"/>
          <w:u w:val="single"/>
        </w:rPr>
        <w:t>s</w:t>
      </w:r>
      <w:r w:rsidRPr="002661A8">
        <w:rPr>
          <w:rFonts w:ascii="Times New Roman" w:eastAsia="Times New Roman" w:hAnsi="Times New Roman" w:cs="Times New Roman"/>
          <w:noProof/>
          <w:sz w:val="24"/>
          <w:szCs w:val="24"/>
          <w:u w:val="single"/>
        </w:rPr>
        <w:t xml:space="preserve"> </w:t>
      </w:r>
      <w:r w:rsidR="008A0DA6" w:rsidRPr="002661A8">
        <w:rPr>
          <w:rFonts w:ascii="Times New Roman" w:eastAsia="Times New Roman" w:hAnsi="Times New Roman" w:cs="Times New Roman"/>
          <w:noProof/>
          <w:sz w:val="24"/>
          <w:szCs w:val="24"/>
          <w:u w:val="single"/>
        </w:rPr>
        <w:t>by stakeholder group</w:t>
      </w:r>
    </w:p>
    <w:p w14:paraId="3D191559" w14:textId="51FF559C" w:rsidR="002E650C" w:rsidRPr="002661A8" w:rsidRDefault="002E650C" w:rsidP="002E650C">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By addressing </w:t>
      </w:r>
      <w:r w:rsidR="00907ED0" w:rsidRPr="002661A8">
        <w:rPr>
          <w:rFonts w:ascii="Times New Roman" w:eastAsia="Calibri" w:hAnsi="Times New Roman" w:cs="Times New Roman"/>
          <w:noProof/>
          <w:sz w:val="24"/>
          <w:szCs w:val="24"/>
        </w:rPr>
        <w:t xml:space="preserve">inefficiencies of the </w:t>
      </w:r>
      <w:r w:rsidRPr="002661A8">
        <w:rPr>
          <w:rFonts w:ascii="Times New Roman" w:eastAsia="Calibri" w:hAnsi="Times New Roman" w:cs="Times New Roman"/>
          <w:noProof/>
          <w:sz w:val="24"/>
          <w:szCs w:val="24"/>
        </w:rPr>
        <w:t xml:space="preserve">supervisory framework, </w:t>
      </w:r>
      <w:r w:rsidR="008A0DA6" w:rsidRPr="002661A8">
        <w:rPr>
          <w:rFonts w:ascii="Times New Roman" w:eastAsia="Calibri" w:hAnsi="Times New Roman" w:cs="Times New Roman"/>
          <w:noProof/>
          <w:sz w:val="24"/>
          <w:szCs w:val="24"/>
        </w:rPr>
        <w:t xml:space="preserve">mainly </w:t>
      </w:r>
      <w:r w:rsidRPr="002661A8">
        <w:rPr>
          <w:rFonts w:ascii="Times New Roman" w:eastAsia="Calibri" w:hAnsi="Times New Roman" w:cs="Times New Roman"/>
          <w:noProof/>
          <w:sz w:val="24"/>
          <w:szCs w:val="24"/>
        </w:rPr>
        <w:t xml:space="preserve">the complex arrangements between authorities that lead to long and burdensome procedures, </w:t>
      </w:r>
      <w:r w:rsidRPr="002661A8">
        <w:rPr>
          <w:rFonts w:ascii="Times New Roman" w:eastAsia="Calibri" w:hAnsi="Times New Roman" w:cs="Times New Roman"/>
          <w:b/>
          <w:noProof/>
          <w:sz w:val="24"/>
          <w:szCs w:val="24"/>
        </w:rPr>
        <w:t>CCPs</w:t>
      </w:r>
      <w:r w:rsidRPr="002661A8">
        <w:rPr>
          <w:rFonts w:ascii="Times New Roman" w:eastAsia="Calibri" w:hAnsi="Times New Roman" w:cs="Times New Roman"/>
          <w:noProof/>
          <w:sz w:val="24"/>
          <w:szCs w:val="24"/>
        </w:rPr>
        <w:t xml:space="preserve"> </w:t>
      </w:r>
      <w:r w:rsidR="006A6036" w:rsidRPr="002661A8">
        <w:rPr>
          <w:rFonts w:ascii="Times New Roman" w:eastAsia="Calibri" w:hAnsi="Times New Roman" w:cs="Times New Roman"/>
          <w:noProof/>
          <w:sz w:val="24"/>
          <w:szCs w:val="24"/>
        </w:rPr>
        <w:t>could</w:t>
      </w:r>
      <w:r w:rsidRPr="002661A8">
        <w:rPr>
          <w:rFonts w:ascii="Times New Roman" w:eastAsia="Calibri" w:hAnsi="Times New Roman" w:cs="Times New Roman"/>
          <w:noProof/>
          <w:sz w:val="24"/>
          <w:szCs w:val="24"/>
        </w:rPr>
        <w:t xml:space="preserve"> launch new products or adapt their models quicker. </w:t>
      </w:r>
      <w:r w:rsidR="00907ED0" w:rsidRPr="002661A8">
        <w:rPr>
          <w:rFonts w:ascii="Times New Roman" w:eastAsia="Calibri" w:hAnsi="Times New Roman" w:cs="Times New Roman"/>
          <w:noProof/>
          <w:sz w:val="24"/>
          <w:szCs w:val="24"/>
        </w:rPr>
        <w:t>T</w:t>
      </w:r>
      <w:r w:rsidRPr="002661A8">
        <w:rPr>
          <w:rFonts w:ascii="Times New Roman" w:eastAsia="Calibri" w:hAnsi="Times New Roman" w:cs="Times New Roman"/>
          <w:noProof/>
          <w:sz w:val="24"/>
          <w:szCs w:val="24"/>
        </w:rPr>
        <w:t xml:space="preserve">hey would no longer </w:t>
      </w:r>
      <w:r w:rsidR="001A6579" w:rsidRPr="002661A8">
        <w:rPr>
          <w:rFonts w:ascii="Times New Roman" w:eastAsia="Calibri" w:hAnsi="Times New Roman" w:cs="Times New Roman"/>
          <w:noProof/>
          <w:sz w:val="24"/>
          <w:szCs w:val="24"/>
        </w:rPr>
        <w:t>face</w:t>
      </w:r>
      <w:r w:rsidRPr="002661A8">
        <w:rPr>
          <w:rFonts w:ascii="Times New Roman" w:eastAsia="Calibri" w:hAnsi="Times New Roman" w:cs="Times New Roman"/>
          <w:noProof/>
          <w:sz w:val="24"/>
          <w:szCs w:val="24"/>
        </w:rPr>
        <w:t xml:space="preserve"> divergent supervisory practices and a</w:t>
      </w:r>
      <w:r w:rsidR="008A0DA6" w:rsidRPr="002661A8">
        <w:rPr>
          <w:rFonts w:ascii="Times New Roman" w:eastAsia="Calibri" w:hAnsi="Times New Roman" w:cs="Times New Roman"/>
          <w:noProof/>
          <w:sz w:val="24"/>
          <w:szCs w:val="24"/>
        </w:rPr>
        <w:t>n increased</w:t>
      </w:r>
      <w:r w:rsidRPr="002661A8">
        <w:rPr>
          <w:rFonts w:ascii="Times New Roman" w:eastAsia="Calibri" w:hAnsi="Times New Roman" w:cs="Times New Roman"/>
          <w:noProof/>
          <w:sz w:val="24"/>
          <w:szCs w:val="24"/>
        </w:rPr>
        <w:t xml:space="preserve"> level playing field amongst all </w:t>
      </w:r>
      <w:r w:rsidR="008A0DA6" w:rsidRPr="002661A8">
        <w:rPr>
          <w:rFonts w:ascii="Times New Roman" w:eastAsia="Calibri" w:hAnsi="Times New Roman" w:cs="Times New Roman"/>
          <w:noProof/>
          <w:sz w:val="24"/>
          <w:szCs w:val="24"/>
        </w:rPr>
        <w:t>CCPs</w:t>
      </w:r>
      <w:r w:rsidRPr="002661A8">
        <w:rPr>
          <w:rFonts w:ascii="Times New Roman" w:eastAsia="Calibri" w:hAnsi="Times New Roman" w:cs="Times New Roman"/>
          <w:noProof/>
          <w:sz w:val="24"/>
          <w:szCs w:val="24"/>
        </w:rPr>
        <w:t xml:space="preserve"> would be ensured. CCPs would</w:t>
      </w:r>
      <w:r w:rsidRPr="002661A8" w:rsidDel="005F791D">
        <w:rPr>
          <w:rFonts w:ascii="Times New Roman" w:eastAsia="Calibri" w:hAnsi="Times New Roman" w:cs="Times New Roman"/>
          <w:noProof/>
          <w:sz w:val="24"/>
          <w:szCs w:val="24"/>
        </w:rPr>
        <w:t xml:space="preserve"> </w:t>
      </w:r>
      <w:r w:rsidR="005F791D" w:rsidRPr="002661A8">
        <w:rPr>
          <w:rFonts w:ascii="Times New Roman" w:eastAsia="Calibri" w:hAnsi="Times New Roman" w:cs="Times New Roman"/>
          <w:noProof/>
          <w:sz w:val="24"/>
          <w:szCs w:val="24"/>
        </w:rPr>
        <w:t xml:space="preserve">thus </w:t>
      </w:r>
      <w:r w:rsidRPr="002661A8">
        <w:rPr>
          <w:rFonts w:ascii="Times New Roman" w:eastAsia="Calibri" w:hAnsi="Times New Roman" w:cs="Times New Roman"/>
          <w:noProof/>
          <w:sz w:val="24"/>
          <w:szCs w:val="24"/>
        </w:rPr>
        <w:t xml:space="preserve">benefit from a reduction of costs when operating in the EU. </w:t>
      </w:r>
      <w:r w:rsidR="00907ED0" w:rsidRPr="002661A8">
        <w:rPr>
          <w:rFonts w:ascii="Times New Roman" w:eastAsia="Calibri" w:hAnsi="Times New Roman" w:cs="Times New Roman"/>
          <w:noProof/>
          <w:sz w:val="24"/>
          <w:szCs w:val="24"/>
        </w:rPr>
        <w:t>T</w:t>
      </w:r>
      <w:r w:rsidRPr="002661A8">
        <w:rPr>
          <w:rFonts w:ascii="Times New Roman" w:eastAsia="Calibri" w:hAnsi="Times New Roman" w:cs="Times New Roman"/>
          <w:noProof/>
          <w:sz w:val="24"/>
          <w:szCs w:val="24"/>
        </w:rPr>
        <w:t xml:space="preserve">here would </w:t>
      </w:r>
      <w:r w:rsidR="00907ED0" w:rsidRPr="002661A8">
        <w:rPr>
          <w:rFonts w:ascii="Times New Roman" w:eastAsia="Calibri" w:hAnsi="Times New Roman" w:cs="Times New Roman"/>
          <w:noProof/>
          <w:sz w:val="24"/>
          <w:szCs w:val="24"/>
        </w:rPr>
        <w:t xml:space="preserve">also </w:t>
      </w:r>
      <w:r w:rsidRPr="002661A8">
        <w:rPr>
          <w:rFonts w:ascii="Times New Roman" w:eastAsia="Calibri" w:hAnsi="Times New Roman" w:cs="Times New Roman"/>
          <w:noProof/>
          <w:sz w:val="24"/>
          <w:szCs w:val="24"/>
        </w:rPr>
        <w:t>be a better management of cross-border risks, which would make CCPs’</w:t>
      </w:r>
      <w:r w:rsidR="008A0DA6" w:rsidRPr="002661A8">
        <w:rPr>
          <w:rFonts w:ascii="Times New Roman" w:eastAsia="Calibri" w:hAnsi="Times New Roman" w:cs="Times New Roman"/>
          <w:noProof/>
          <w:sz w:val="24"/>
          <w:szCs w:val="24"/>
        </w:rPr>
        <w:t xml:space="preserve"> </w:t>
      </w:r>
      <w:r w:rsidRPr="002661A8">
        <w:rPr>
          <w:rFonts w:ascii="Times New Roman" w:eastAsia="Calibri" w:hAnsi="Times New Roman" w:cs="Times New Roman"/>
          <w:noProof/>
          <w:sz w:val="24"/>
          <w:szCs w:val="24"/>
        </w:rPr>
        <w:t xml:space="preserve">operations safer. These benefits would be ongoing, and greater than in </w:t>
      </w:r>
      <w:r w:rsidR="00454123" w:rsidRPr="002661A8">
        <w:rPr>
          <w:rFonts w:ascii="Times New Roman" w:eastAsia="Calibri" w:hAnsi="Times New Roman" w:cs="Times New Roman"/>
          <w:noProof/>
          <w:sz w:val="24"/>
          <w:szCs w:val="24"/>
        </w:rPr>
        <w:t>O</w:t>
      </w:r>
      <w:r w:rsidRPr="002661A8">
        <w:rPr>
          <w:rFonts w:ascii="Times New Roman" w:eastAsia="Calibri" w:hAnsi="Times New Roman" w:cs="Times New Roman"/>
          <w:noProof/>
          <w:sz w:val="24"/>
          <w:szCs w:val="24"/>
        </w:rPr>
        <w:t xml:space="preserve">ption 2. </w:t>
      </w:r>
      <w:r w:rsidR="00907ED0" w:rsidRPr="002661A8">
        <w:rPr>
          <w:rFonts w:ascii="Times New Roman" w:eastAsia="Calibri" w:hAnsi="Times New Roman" w:cs="Times New Roman"/>
          <w:noProof/>
          <w:sz w:val="24"/>
          <w:szCs w:val="24"/>
        </w:rPr>
        <w:t>I</w:t>
      </w:r>
      <w:r w:rsidRPr="002661A8">
        <w:rPr>
          <w:rFonts w:ascii="Times New Roman" w:eastAsia="Calibri" w:hAnsi="Times New Roman" w:cs="Times New Roman"/>
          <w:noProof/>
          <w:sz w:val="24"/>
          <w:szCs w:val="24"/>
        </w:rPr>
        <w:t>f</w:t>
      </w:r>
      <w:r w:rsidR="00907ED0" w:rsidRPr="002661A8">
        <w:rPr>
          <w:rFonts w:ascii="Times New Roman" w:eastAsia="Calibri" w:hAnsi="Times New Roman" w:cs="Times New Roman"/>
          <w:noProof/>
          <w:sz w:val="24"/>
          <w:szCs w:val="24"/>
        </w:rPr>
        <w:t xml:space="preserve"> however</w:t>
      </w:r>
      <w:r w:rsidRPr="002661A8">
        <w:rPr>
          <w:rFonts w:ascii="Times New Roman" w:eastAsia="Calibri" w:hAnsi="Times New Roman" w:cs="Times New Roman"/>
          <w:noProof/>
          <w:sz w:val="24"/>
          <w:szCs w:val="24"/>
        </w:rPr>
        <w:t xml:space="preserve"> the costs of EU supervision were passed to CCPs, they could face higher costs (to the extent that they are not subject to </w:t>
      </w:r>
      <w:r w:rsidR="00907ED0" w:rsidRPr="002661A8">
        <w:rPr>
          <w:rFonts w:ascii="Times New Roman" w:eastAsia="Calibri" w:hAnsi="Times New Roman" w:cs="Times New Roman"/>
          <w:noProof/>
          <w:sz w:val="24"/>
          <w:szCs w:val="24"/>
        </w:rPr>
        <w:t xml:space="preserve">national </w:t>
      </w:r>
      <w:r w:rsidRPr="002661A8">
        <w:rPr>
          <w:rFonts w:ascii="Times New Roman" w:eastAsia="Calibri" w:hAnsi="Times New Roman" w:cs="Times New Roman"/>
          <w:noProof/>
          <w:sz w:val="24"/>
          <w:szCs w:val="24"/>
        </w:rPr>
        <w:t>supervisory fees</w:t>
      </w:r>
      <w:r w:rsidR="003F3165">
        <w:rPr>
          <w:rFonts w:ascii="Times New Roman" w:eastAsia="Calibri" w:hAnsi="Times New Roman" w:cs="Times New Roman"/>
          <w:noProof/>
          <w:sz w:val="24"/>
          <w:szCs w:val="24"/>
        </w:rPr>
        <w:t xml:space="preserve"> or where </w:t>
      </w:r>
      <w:r w:rsidR="003F3165" w:rsidRPr="003F3165">
        <w:rPr>
          <w:rFonts w:ascii="Times New Roman" w:eastAsia="Calibri" w:hAnsi="Times New Roman" w:cs="Times New Roman"/>
          <w:noProof/>
          <w:sz w:val="24"/>
          <w:szCs w:val="24"/>
        </w:rPr>
        <w:t>national supervisory fees</w:t>
      </w:r>
      <w:r w:rsidR="003F3165">
        <w:rPr>
          <w:rFonts w:ascii="Times New Roman" w:eastAsia="Calibri" w:hAnsi="Times New Roman" w:cs="Times New Roman"/>
          <w:noProof/>
          <w:sz w:val="24"/>
          <w:szCs w:val="24"/>
        </w:rPr>
        <w:t xml:space="preserve"> are lower</w:t>
      </w:r>
      <w:r w:rsidRPr="002661A8">
        <w:rPr>
          <w:rFonts w:ascii="Times New Roman" w:eastAsia="Calibri" w:hAnsi="Times New Roman" w:cs="Times New Roman"/>
          <w:noProof/>
          <w:sz w:val="24"/>
          <w:szCs w:val="24"/>
        </w:rPr>
        <w:t xml:space="preserve">) which could impact their </w:t>
      </w:r>
      <w:r w:rsidR="00FE4BB5" w:rsidRPr="002661A8">
        <w:rPr>
          <w:rFonts w:ascii="Times New Roman" w:eastAsia="Times New Roman" w:hAnsi="Times New Roman" w:cs="Times New Roman"/>
          <w:noProof/>
          <w:sz w:val="24"/>
          <w:szCs w:val="24"/>
        </w:rPr>
        <w:t>attractiveness</w:t>
      </w:r>
      <w:r w:rsidRPr="002661A8">
        <w:rPr>
          <w:rFonts w:ascii="Times New Roman" w:eastAsia="Calibri" w:hAnsi="Times New Roman" w:cs="Times New Roman"/>
          <w:noProof/>
          <w:sz w:val="24"/>
          <w:szCs w:val="24"/>
        </w:rPr>
        <w:t xml:space="preserve">. EU CCPs who are currently subject to national fees may </w:t>
      </w:r>
      <w:r w:rsidR="00907ED0" w:rsidRPr="002661A8">
        <w:rPr>
          <w:rFonts w:ascii="Times New Roman" w:eastAsia="Calibri" w:hAnsi="Times New Roman" w:cs="Times New Roman"/>
          <w:noProof/>
          <w:sz w:val="24"/>
          <w:szCs w:val="24"/>
        </w:rPr>
        <w:t xml:space="preserve">however </w:t>
      </w:r>
      <w:r w:rsidRPr="002661A8">
        <w:rPr>
          <w:rFonts w:ascii="Times New Roman" w:eastAsia="Calibri" w:hAnsi="Times New Roman" w:cs="Times New Roman"/>
          <w:noProof/>
          <w:sz w:val="24"/>
          <w:szCs w:val="24"/>
        </w:rPr>
        <w:t>potentially profit from reduced fees</w:t>
      </w:r>
      <w:r w:rsidR="008A0DA6" w:rsidRPr="002661A8">
        <w:rPr>
          <w:rFonts w:ascii="Times New Roman" w:eastAsia="Calibri" w:hAnsi="Times New Roman" w:cs="Times New Roman"/>
          <w:noProof/>
          <w:sz w:val="24"/>
          <w:szCs w:val="24"/>
        </w:rPr>
        <w:t>;</w:t>
      </w:r>
      <w:r w:rsidRPr="002661A8">
        <w:rPr>
          <w:rFonts w:ascii="Times New Roman" w:eastAsia="Calibri" w:hAnsi="Times New Roman" w:cs="Times New Roman"/>
          <w:noProof/>
          <w:sz w:val="24"/>
          <w:szCs w:val="24"/>
        </w:rPr>
        <w:t xml:space="preserve"> </w:t>
      </w:r>
      <w:r w:rsidR="008A0DA6" w:rsidRPr="002661A8">
        <w:rPr>
          <w:rFonts w:ascii="Times New Roman" w:eastAsia="Calibri" w:hAnsi="Times New Roman" w:cs="Times New Roman"/>
          <w:noProof/>
          <w:sz w:val="24"/>
          <w:szCs w:val="24"/>
        </w:rPr>
        <w:t>a</w:t>
      </w:r>
      <w:r w:rsidRPr="002661A8">
        <w:rPr>
          <w:rFonts w:ascii="Times New Roman" w:eastAsia="Calibri" w:hAnsi="Times New Roman" w:cs="Times New Roman"/>
          <w:noProof/>
          <w:sz w:val="24"/>
          <w:szCs w:val="24"/>
        </w:rPr>
        <w:t>s only one or two CCPs are established in a single Member State, a single supervisor should be able to reduce the supervisory costs for each CCP because of its economies of scale.</w:t>
      </w:r>
    </w:p>
    <w:p w14:paraId="7C5FB3E1" w14:textId="58F193EB" w:rsidR="002E650C" w:rsidRPr="002661A8" w:rsidRDefault="002E650C" w:rsidP="002E650C">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b/>
          <w:noProof/>
          <w:sz w:val="24"/>
          <w:szCs w:val="24"/>
        </w:rPr>
        <w:t>Clearing members</w:t>
      </w:r>
      <w:r w:rsidRPr="002661A8">
        <w:rPr>
          <w:rFonts w:ascii="Times New Roman" w:eastAsia="Calibri" w:hAnsi="Times New Roman" w:cs="Times New Roman"/>
          <w:noProof/>
          <w:sz w:val="24"/>
          <w:szCs w:val="24"/>
        </w:rPr>
        <w:t xml:space="preserve"> </w:t>
      </w:r>
      <w:r w:rsidR="008A0DA6" w:rsidRPr="002661A8">
        <w:rPr>
          <w:rFonts w:ascii="Times New Roman" w:eastAsia="Calibri" w:hAnsi="Times New Roman" w:cs="Times New Roman"/>
          <w:noProof/>
          <w:sz w:val="24"/>
          <w:szCs w:val="24"/>
        </w:rPr>
        <w:t xml:space="preserve">and </w:t>
      </w:r>
      <w:r w:rsidR="008A0DA6" w:rsidRPr="002661A8">
        <w:rPr>
          <w:rFonts w:ascii="Times New Roman" w:eastAsia="Calibri" w:hAnsi="Times New Roman" w:cs="Times New Roman"/>
          <w:b/>
          <w:noProof/>
          <w:sz w:val="24"/>
          <w:szCs w:val="24"/>
        </w:rPr>
        <w:t>clients</w:t>
      </w:r>
      <w:r w:rsidR="008A0DA6" w:rsidRPr="002661A8">
        <w:rPr>
          <w:rFonts w:ascii="Times New Roman" w:eastAsia="Calibri" w:hAnsi="Times New Roman" w:cs="Times New Roman"/>
          <w:noProof/>
          <w:sz w:val="24"/>
          <w:szCs w:val="24"/>
        </w:rPr>
        <w:t xml:space="preserve"> </w:t>
      </w:r>
      <w:r w:rsidR="006A6036" w:rsidRPr="002661A8">
        <w:rPr>
          <w:rFonts w:ascii="Times New Roman" w:eastAsia="Calibri" w:hAnsi="Times New Roman" w:cs="Times New Roman"/>
          <w:noProof/>
          <w:sz w:val="24"/>
          <w:szCs w:val="24"/>
        </w:rPr>
        <w:t>could</w:t>
      </w:r>
      <w:r w:rsidRPr="002661A8">
        <w:rPr>
          <w:rFonts w:ascii="Times New Roman" w:eastAsia="Calibri" w:hAnsi="Times New Roman" w:cs="Times New Roman"/>
          <w:noProof/>
          <w:sz w:val="24"/>
          <w:szCs w:val="24"/>
        </w:rPr>
        <w:t xml:space="preserve"> benefit from </w:t>
      </w:r>
      <w:r w:rsidR="00907ED0" w:rsidRPr="002661A8">
        <w:rPr>
          <w:rFonts w:ascii="Times New Roman" w:eastAsia="Calibri" w:hAnsi="Times New Roman" w:cs="Times New Roman"/>
          <w:noProof/>
          <w:sz w:val="24"/>
          <w:szCs w:val="24"/>
        </w:rPr>
        <w:t xml:space="preserve">a wider </w:t>
      </w:r>
      <w:r w:rsidRPr="002661A8">
        <w:rPr>
          <w:rFonts w:ascii="Times New Roman" w:eastAsia="Calibri" w:hAnsi="Times New Roman" w:cs="Times New Roman"/>
          <w:noProof/>
          <w:sz w:val="24"/>
          <w:szCs w:val="24"/>
        </w:rPr>
        <w:t xml:space="preserve">offer by CCPs </w:t>
      </w:r>
      <w:r w:rsidR="00324045">
        <w:rPr>
          <w:rFonts w:ascii="Times New Roman" w:eastAsia="Calibri" w:hAnsi="Times New Roman" w:cs="Times New Roman"/>
          <w:noProof/>
          <w:sz w:val="24"/>
          <w:szCs w:val="24"/>
        </w:rPr>
        <w:t>quicker</w:t>
      </w:r>
      <w:r w:rsidRPr="002661A8">
        <w:rPr>
          <w:rFonts w:ascii="Times New Roman" w:eastAsia="Calibri" w:hAnsi="Times New Roman" w:cs="Times New Roman"/>
          <w:noProof/>
          <w:sz w:val="24"/>
          <w:szCs w:val="24"/>
        </w:rPr>
        <w:t xml:space="preserve">, and would have more choices where to clear. </w:t>
      </w:r>
      <w:r w:rsidR="00907ED0" w:rsidRPr="002661A8">
        <w:rPr>
          <w:rFonts w:ascii="Times New Roman" w:eastAsia="Calibri" w:hAnsi="Times New Roman" w:cs="Times New Roman"/>
          <w:noProof/>
          <w:sz w:val="24"/>
          <w:szCs w:val="24"/>
        </w:rPr>
        <w:t>T</w:t>
      </w:r>
      <w:r w:rsidRPr="002661A8">
        <w:rPr>
          <w:rFonts w:ascii="Times New Roman" w:eastAsia="Calibri" w:hAnsi="Times New Roman" w:cs="Times New Roman"/>
          <w:noProof/>
          <w:sz w:val="24"/>
          <w:szCs w:val="24"/>
        </w:rPr>
        <w:t xml:space="preserve">hey would </w:t>
      </w:r>
      <w:r w:rsidR="00907ED0" w:rsidRPr="002661A8">
        <w:rPr>
          <w:rFonts w:ascii="Times New Roman" w:eastAsia="Calibri" w:hAnsi="Times New Roman" w:cs="Times New Roman"/>
          <w:noProof/>
          <w:sz w:val="24"/>
          <w:szCs w:val="24"/>
        </w:rPr>
        <w:t xml:space="preserve">also </w:t>
      </w:r>
      <w:r w:rsidRPr="002661A8">
        <w:rPr>
          <w:rFonts w:ascii="Times New Roman" w:eastAsia="Calibri" w:hAnsi="Times New Roman" w:cs="Times New Roman"/>
          <w:noProof/>
          <w:sz w:val="24"/>
          <w:szCs w:val="24"/>
        </w:rPr>
        <w:t xml:space="preserve">benefit from a safer environment for their operations </w:t>
      </w:r>
      <w:r w:rsidR="00907ED0" w:rsidRPr="002661A8">
        <w:rPr>
          <w:rFonts w:ascii="Times New Roman" w:eastAsia="Calibri" w:hAnsi="Times New Roman" w:cs="Times New Roman"/>
          <w:noProof/>
          <w:sz w:val="24"/>
          <w:szCs w:val="24"/>
        </w:rPr>
        <w:t>following</w:t>
      </w:r>
      <w:r w:rsidRPr="002661A8">
        <w:rPr>
          <w:rFonts w:ascii="Times New Roman" w:eastAsia="Calibri" w:hAnsi="Times New Roman" w:cs="Times New Roman"/>
          <w:noProof/>
          <w:sz w:val="24"/>
          <w:szCs w:val="24"/>
        </w:rPr>
        <w:t xml:space="preserve"> the changes </w:t>
      </w:r>
      <w:r w:rsidR="00907ED0" w:rsidRPr="002661A8">
        <w:rPr>
          <w:rFonts w:ascii="Times New Roman" w:eastAsia="Calibri" w:hAnsi="Times New Roman" w:cs="Times New Roman"/>
          <w:noProof/>
          <w:sz w:val="24"/>
          <w:szCs w:val="24"/>
        </w:rPr>
        <w:t xml:space="preserve">to </w:t>
      </w:r>
      <w:r w:rsidRPr="002661A8">
        <w:rPr>
          <w:rFonts w:ascii="Times New Roman" w:eastAsia="Calibri" w:hAnsi="Times New Roman" w:cs="Times New Roman"/>
          <w:noProof/>
          <w:sz w:val="24"/>
          <w:szCs w:val="24"/>
        </w:rPr>
        <w:t>ensur</w:t>
      </w:r>
      <w:r w:rsidR="00907ED0" w:rsidRPr="002661A8">
        <w:rPr>
          <w:rFonts w:ascii="Times New Roman" w:eastAsia="Calibri" w:hAnsi="Times New Roman" w:cs="Times New Roman"/>
          <w:noProof/>
          <w:sz w:val="24"/>
          <w:szCs w:val="24"/>
        </w:rPr>
        <w:t xml:space="preserve">e a </w:t>
      </w:r>
      <w:r w:rsidRPr="002661A8">
        <w:rPr>
          <w:rFonts w:ascii="Times New Roman" w:eastAsia="Calibri" w:hAnsi="Times New Roman" w:cs="Times New Roman"/>
          <w:noProof/>
          <w:sz w:val="24"/>
          <w:szCs w:val="24"/>
        </w:rPr>
        <w:t xml:space="preserve">better monitoring of cross-border risks. These benefits would be ongoing and greater than in </w:t>
      </w:r>
      <w:r w:rsidR="00454123" w:rsidRPr="002661A8">
        <w:rPr>
          <w:rFonts w:ascii="Times New Roman" w:eastAsia="Calibri" w:hAnsi="Times New Roman" w:cs="Times New Roman"/>
          <w:noProof/>
          <w:sz w:val="24"/>
          <w:szCs w:val="24"/>
        </w:rPr>
        <w:t>O</w:t>
      </w:r>
      <w:r w:rsidRPr="002661A8">
        <w:rPr>
          <w:rFonts w:ascii="Times New Roman" w:eastAsia="Calibri" w:hAnsi="Times New Roman" w:cs="Times New Roman"/>
          <w:noProof/>
          <w:sz w:val="24"/>
          <w:szCs w:val="24"/>
        </w:rPr>
        <w:t xml:space="preserve">ption 2. Nonetheless, should EU CCPs be required to pay supervisory fees, such costs could be passed on to clearing members; these costs would be ongoing. </w:t>
      </w:r>
    </w:p>
    <w:p w14:paraId="7E84C921" w14:textId="2CB09E51" w:rsidR="002E650C" w:rsidRPr="002661A8" w:rsidRDefault="002E650C" w:rsidP="002E650C">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The costs for </w:t>
      </w:r>
      <w:r w:rsidR="00746C05" w:rsidRPr="002661A8">
        <w:rPr>
          <w:rFonts w:ascii="Times New Roman" w:eastAsia="Calibri" w:hAnsi="Times New Roman" w:cs="Times New Roman"/>
          <w:b/>
          <w:noProof/>
          <w:sz w:val="24"/>
          <w:szCs w:val="24"/>
        </w:rPr>
        <w:t>NCAs</w:t>
      </w:r>
      <w:r w:rsidRPr="002661A8">
        <w:rPr>
          <w:rFonts w:ascii="Times New Roman" w:eastAsia="Calibri" w:hAnsi="Times New Roman" w:cs="Times New Roman"/>
          <w:noProof/>
          <w:sz w:val="24"/>
          <w:szCs w:val="24"/>
        </w:rPr>
        <w:t xml:space="preserve"> would be significantly reduced, as authorisation and supervisory powers would be moved at EU level. Staff from national authorities could also move to the EU supervisor, either permanently or on a seconded basis.</w:t>
      </w:r>
    </w:p>
    <w:p w14:paraId="4724E3B6" w14:textId="6ADD16DA" w:rsidR="002E650C" w:rsidRPr="002661A8" w:rsidRDefault="002E650C" w:rsidP="002E650C">
      <w:pPr>
        <w:spacing w:after="120" w:line="240" w:lineRule="auto"/>
        <w:jc w:val="both"/>
        <w:rPr>
          <w:rFonts w:ascii="Times New Roman" w:eastAsia="Calibri" w:hAnsi="Times New Roman" w:cs="Times New Roman"/>
          <w:noProof/>
          <w:sz w:val="24"/>
          <w:szCs w:val="24"/>
        </w:rPr>
      </w:pPr>
      <w:r w:rsidRPr="002661A8">
        <w:rPr>
          <w:rFonts w:ascii="Times New Roman" w:eastAsia="Calibri" w:hAnsi="Times New Roman" w:cs="Times New Roman"/>
          <w:noProof/>
          <w:sz w:val="24"/>
          <w:szCs w:val="24"/>
        </w:rPr>
        <w:t xml:space="preserve">This </w:t>
      </w:r>
      <w:r w:rsidR="008A0DA6" w:rsidRPr="002661A8">
        <w:rPr>
          <w:rFonts w:ascii="Times New Roman" w:eastAsia="Calibri" w:hAnsi="Times New Roman" w:cs="Times New Roman"/>
          <w:noProof/>
          <w:sz w:val="24"/>
          <w:szCs w:val="24"/>
        </w:rPr>
        <w:t xml:space="preserve">option </w:t>
      </w:r>
      <w:r w:rsidRPr="002661A8">
        <w:rPr>
          <w:rFonts w:ascii="Times New Roman" w:eastAsia="Calibri" w:hAnsi="Times New Roman" w:cs="Times New Roman"/>
          <w:noProof/>
          <w:sz w:val="24"/>
          <w:szCs w:val="24"/>
        </w:rPr>
        <w:t xml:space="preserve">would </w:t>
      </w:r>
      <w:r w:rsidR="004D682B" w:rsidRPr="002661A8">
        <w:rPr>
          <w:rFonts w:ascii="Times New Roman" w:eastAsia="Calibri" w:hAnsi="Times New Roman" w:cs="Times New Roman"/>
          <w:noProof/>
          <w:sz w:val="24"/>
          <w:szCs w:val="24"/>
        </w:rPr>
        <w:t>imply</w:t>
      </w:r>
      <w:r w:rsidRPr="002661A8">
        <w:rPr>
          <w:rFonts w:ascii="Times New Roman" w:eastAsia="Calibri" w:hAnsi="Times New Roman" w:cs="Times New Roman"/>
          <w:noProof/>
          <w:sz w:val="24"/>
          <w:szCs w:val="24"/>
        </w:rPr>
        <w:t xml:space="preserve"> significant costs for </w:t>
      </w:r>
      <w:r w:rsidRPr="002661A8">
        <w:rPr>
          <w:rFonts w:ascii="Times New Roman" w:eastAsia="Calibri" w:hAnsi="Times New Roman" w:cs="Times New Roman"/>
          <w:b/>
          <w:noProof/>
          <w:sz w:val="24"/>
          <w:szCs w:val="24"/>
        </w:rPr>
        <w:t>ESMA</w:t>
      </w:r>
      <w:r w:rsidRPr="002661A8">
        <w:rPr>
          <w:rFonts w:ascii="Times New Roman" w:eastAsia="Calibri" w:hAnsi="Times New Roman" w:cs="Times New Roman"/>
          <w:noProof/>
          <w:sz w:val="24"/>
          <w:szCs w:val="24"/>
        </w:rPr>
        <w:t xml:space="preserve">, one-off (e.g. setting up procedures and tools to assume the role of the single supervisor and for cooperating, to the extent necessary, with other authorities) and recurrent (significant extension of supervisory capacity in ESMA, operation of the single supervisor). These costs would be ongoing and could be covered via fees </w:t>
      </w:r>
      <w:r w:rsidR="008A0DA6" w:rsidRPr="002661A8">
        <w:rPr>
          <w:rFonts w:ascii="Times New Roman" w:eastAsia="Calibri" w:hAnsi="Times New Roman" w:cs="Times New Roman"/>
          <w:noProof/>
          <w:sz w:val="24"/>
          <w:szCs w:val="24"/>
        </w:rPr>
        <w:t xml:space="preserve">on EU CCPs </w:t>
      </w:r>
      <w:r w:rsidR="004D682B" w:rsidRPr="002661A8">
        <w:rPr>
          <w:rFonts w:ascii="Times New Roman" w:eastAsia="Calibri" w:hAnsi="Times New Roman" w:cs="Times New Roman"/>
          <w:noProof/>
          <w:sz w:val="24"/>
          <w:szCs w:val="24"/>
        </w:rPr>
        <w:t>that</w:t>
      </w:r>
      <w:r w:rsidRPr="002661A8">
        <w:rPr>
          <w:rFonts w:ascii="Times New Roman" w:eastAsia="Calibri" w:hAnsi="Times New Roman" w:cs="Times New Roman"/>
          <w:noProof/>
          <w:sz w:val="24"/>
          <w:szCs w:val="24"/>
        </w:rPr>
        <w:t xml:space="preserve"> could potentially range from EUR</w:t>
      </w:r>
      <w:r w:rsidR="002748D5" w:rsidRPr="002661A8">
        <w:rPr>
          <w:noProof/>
        </w:rPr>
        <w:t> </w:t>
      </w:r>
      <w:r w:rsidR="00011114" w:rsidRPr="002661A8">
        <w:rPr>
          <w:rFonts w:ascii="Times New Roman" w:eastAsia="Calibri" w:hAnsi="Times New Roman" w:cs="Times New Roman"/>
          <w:noProof/>
          <w:sz w:val="24"/>
          <w:szCs w:val="24"/>
        </w:rPr>
        <w:t>9 912</w:t>
      </w:r>
      <w:r w:rsidR="002748D5" w:rsidRPr="002661A8">
        <w:rPr>
          <w:noProof/>
        </w:rPr>
        <w:t> </w:t>
      </w:r>
      <w:r w:rsidRPr="002661A8">
        <w:rPr>
          <w:rFonts w:ascii="Times New Roman" w:eastAsia="Calibri" w:hAnsi="Times New Roman" w:cs="Times New Roman"/>
          <w:noProof/>
          <w:sz w:val="24"/>
          <w:szCs w:val="24"/>
        </w:rPr>
        <w:t>000 to EUR</w:t>
      </w:r>
      <w:r w:rsidR="002748D5" w:rsidRPr="002661A8">
        <w:rPr>
          <w:noProof/>
        </w:rPr>
        <w:t> </w:t>
      </w:r>
      <w:r w:rsidR="00011114" w:rsidRPr="002661A8">
        <w:rPr>
          <w:rFonts w:ascii="Times New Roman" w:eastAsia="Calibri" w:hAnsi="Times New Roman" w:cs="Times New Roman"/>
          <w:noProof/>
          <w:sz w:val="24"/>
          <w:szCs w:val="24"/>
        </w:rPr>
        <w:t>23 260</w:t>
      </w:r>
      <w:r w:rsidR="002748D5" w:rsidRPr="002661A8">
        <w:rPr>
          <w:noProof/>
        </w:rPr>
        <w:t> </w:t>
      </w:r>
      <w:r w:rsidR="000B4C25" w:rsidRPr="002661A8">
        <w:rPr>
          <w:rFonts w:ascii="Times New Roman" w:hAnsi="Times New Roman" w:cs="Times New Roman"/>
          <w:noProof/>
          <w:sz w:val="24"/>
          <w:szCs w:val="24"/>
        </w:rPr>
        <w:t>000</w:t>
      </w:r>
      <w:r w:rsidRPr="002661A8">
        <w:rPr>
          <w:rFonts w:ascii="Times New Roman" w:eastAsia="Calibri" w:hAnsi="Times New Roman" w:cs="Times New Roman"/>
          <w:noProof/>
          <w:sz w:val="24"/>
          <w:szCs w:val="24"/>
        </w:rPr>
        <w:t xml:space="preserve"> for </w:t>
      </w:r>
      <w:r w:rsidR="009E7E10" w:rsidRPr="002661A8">
        <w:rPr>
          <w:rFonts w:ascii="Times New Roman" w:eastAsia="Calibri" w:hAnsi="Times New Roman" w:cs="Times New Roman"/>
          <w:noProof/>
          <w:sz w:val="24"/>
          <w:szCs w:val="24"/>
        </w:rPr>
        <w:t>all of them depending on, e.g. each CCP’s size, complexity of activities, etc.</w:t>
      </w:r>
      <w:r w:rsidRPr="002661A8">
        <w:rPr>
          <w:rStyle w:val="FootnoteReference"/>
          <w:rFonts w:ascii="Times New Roman" w:eastAsia="Calibri" w:hAnsi="Times New Roman" w:cs="Times New Roman"/>
          <w:noProof/>
          <w:sz w:val="24"/>
          <w:szCs w:val="24"/>
        </w:rPr>
        <w:footnoteReference w:id="159"/>
      </w:r>
      <w:r w:rsidR="002570C2" w:rsidRPr="002661A8" w:rsidDel="002570C2">
        <w:rPr>
          <w:rFonts w:ascii="Times New Roman" w:eastAsia="Calibri" w:hAnsi="Times New Roman" w:cs="Times New Roman"/>
          <w:noProof/>
          <w:sz w:val="24"/>
          <w:szCs w:val="24"/>
        </w:rPr>
        <w:t xml:space="preserve"> </w:t>
      </w:r>
    </w:p>
    <w:p w14:paraId="6D40862B" w14:textId="77777777" w:rsidR="002E650C" w:rsidRPr="002661A8" w:rsidRDefault="002E650C" w:rsidP="002E650C">
      <w:pPr>
        <w:spacing w:after="120" w:line="240" w:lineRule="auto"/>
        <w:jc w:val="both"/>
        <w:rPr>
          <w:noProof/>
        </w:rPr>
      </w:pPr>
      <w:r w:rsidRPr="002661A8">
        <w:rPr>
          <w:rFonts w:ascii="Times New Roman" w:eastAsia="Calibri" w:hAnsi="Times New Roman" w:cs="Times New Roman"/>
          <w:noProof/>
          <w:sz w:val="24"/>
          <w:szCs w:val="24"/>
        </w:rPr>
        <w:t xml:space="preserve">This option would strengthen the input of </w:t>
      </w:r>
      <w:r w:rsidRPr="002661A8">
        <w:rPr>
          <w:rFonts w:ascii="Times New Roman" w:eastAsia="Calibri" w:hAnsi="Times New Roman" w:cs="Times New Roman"/>
          <w:b/>
          <w:noProof/>
          <w:sz w:val="24"/>
          <w:szCs w:val="24"/>
        </w:rPr>
        <w:t>central banks of issue</w:t>
      </w:r>
      <w:r w:rsidRPr="002661A8">
        <w:rPr>
          <w:rFonts w:ascii="Times New Roman" w:eastAsia="Calibri" w:hAnsi="Times New Roman" w:cs="Times New Roman"/>
          <w:noProof/>
          <w:sz w:val="24"/>
          <w:szCs w:val="24"/>
        </w:rPr>
        <w:t xml:space="preserve"> in the ongoing supervision of EU CCPs, thereby ensuring that they have more adequate information on the operation of CCPs which is essential considering the role of the latter in the conduct of monetary policy. While this option might entail some additional costs for central banks of issue (e.g. if they are granted with the right to participate to the CCP Supervisory Committee on a broader range of topics), these could be counterbalanced by the increased knowledge-sharing and the elimination of the need for them to submit separate requests for information to the supervised entities.</w:t>
      </w:r>
    </w:p>
    <w:p w14:paraId="02DC5CBD" w14:textId="373D19AA" w:rsidR="00E25F58" w:rsidRPr="002661A8" w:rsidRDefault="003407B6" w:rsidP="00ED5088">
      <w:pPr>
        <w:pStyle w:val="Heading1"/>
        <w:numPr>
          <w:ilvl w:val="2"/>
          <w:numId w:val="6"/>
        </w:numPr>
        <w:spacing w:before="0" w:after="120"/>
        <w:rPr>
          <w:b w:val="0"/>
          <w:i/>
          <w:smallCaps w:val="0"/>
          <w:noProof/>
        </w:rPr>
      </w:pPr>
      <w:bookmarkStart w:id="1196" w:name="_Toc103337528"/>
      <w:bookmarkStart w:id="1197" w:name="_Toc104310020"/>
      <w:bookmarkStart w:id="1198" w:name="_Toc105656460"/>
      <w:bookmarkStart w:id="1199" w:name="_Toc106827860"/>
      <w:bookmarkStart w:id="1200" w:name="_Toc106981736"/>
      <w:bookmarkStart w:id="1201" w:name="_Toc107493876"/>
      <w:bookmarkStart w:id="1202" w:name="_Toc107497912"/>
      <w:bookmarkStart w:id="1203" w:name="_Toc107503465"/>
      <w:bookmarkStart w:id="1204" w:name="_Toc107504613"/>
      <w:bookmarkStart w:id="1205" w:name="_Toc107505458"/>
      <w:bookmarkStart w:id="1206" w:name="_Toc107838934"/>
      <w:bookmarkStart w:id="1207" w:name="_Toc107847029"/>
      <w:bookmarkStart w:id="1208" w:name="_Toc107849266"/>
      <w:bookmarkStart w:id="1209" w:name="_Toc107853713"/>
      <w:bookmarkStart w:id="1210" w:name="_Toc107865307"/>
      <w:bookmarkStart w:id="1211" w:name="_Toc108418516"/>
      <w:bookmarkStart w:id="1212" w:name="_Toc108539608"/>
      <w:bookmarkStart w:id="1213" w:name="_Toc108539830"/>
      <w:bookmarkStart w:id="1214" w:name="_Toc108539948"/>
      <w:bookmarkStart w:id="1215" w:name="_Toc109057406"/>
      <w:bookmarkStart w:id="1216" w:name="_Toc109120772"/>
      <w:bookmarkStart w:id="1217" w:name="_Toc109122407"/>
      <w:bookmarkStart w:id="1218" w:name="_Toc109124120"/>
      <w:bookmarkStart w:id="1219" w:name="_Toc109133144"/>
      <w:bookmarkStart w:id="1220" w:name="_Toc109133320"/>
      <w:bookmarkStart w:id="1221" w:name="_Toc120291678"/>
      <w:r w:rsidRPr="002661A8">
        <w:rPr>
          <w:b w:val="0"/>
          <w:i/>
          <w:smallCaps w:val="0"/>
          <w:noProof/>
        </w:rPr>
        <w:t>Choice of preferred policy option</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50A3C99A" w14:textId="06E4B6A9" w:rsidR="003407B6" w:rsidRPr="002661A8" w:rsidRDefault="00E25F58" w:rsidP="00A61E96">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In view of the political priority of the review to strengthen the framework for robust consideration of cross-border risks</w:t>
      </w:r>
      <w:r w:rsidR="00D21040" w:rsidRPr="002661A8">
        <w:rPr>
          <w:rFonts w:ascii="Times New Roman" w:hAnsi="Times New Roman" w:cs="Times New Roman"/>
          <w:noProof/>
          <w:sz w:val="24"/>
          <w:szCs w:val="24"/>
        </w:rPr>
        <w:t>, and enhance EU financial stability,</w:t>
      </w:r>
      <w:r w:rsidRPr="002661A8">
        <w:rPr>
          <w:rFonts w:ascii="Times New Roman" w:hAnsi="Times New Roman" w:cs="Times New Roman"/>
          <w:noProof/>
          <w:sz w:val="24"/>
          <w:szCs w:val="24"/>
        </w:rPr>
        <w:t xml:space="preserve"> as well as </w:t>
      </w:r>
      <w:r w:rsidR="00FE4BB5" w:rsidRPr="002661A8">
        <w:rPr>
          <w:rFonts w:ascii="Times New Roman" w:hAnsi="Times New Roman" w:cs="Times New Roman"/>
          <w:noProof/>
          <w:sz w:val="24"/>
          <w:szCs w:val="24"/>
        </w:rPr>
        <w:t>improve</w:t>
      </w:r>
      <w:r w:rsidRPr="002661A8">
        <w:rPr>
          <w:rFonts w:ascii="Times New Roman" w:hAnsi="Times New Roman" w:cs="Times New Roman"/>
          <w:noProof/>
          <w:sz w:val="24"/>
          <w:szCs w:val="24"/>
        </w:rPr>
        <w:t xml:space="preserve"> the </w:t>
      </w:r>
      <w:r w:rsidR="00FE4BB5" w:rsidRPr="002661A8">
        <w:rPr>
          <w:rFonts w:ascii="Times New Roman" w:eastAsia="Times New Roman" w:hAnsi="Times New Roman" w:cs="Times New Roman"/>
          <w:noProof/>
          <w:sz w:val="24"/>
          <w:szCs w:val="24"/>
        </w:rPr>
        <w:t>attractiveness</w:t>
      </w:r>
      <w:r w:rsidRPr="002661A8">
        <w:rPr>
          <w:rFonts w:ascii="Times New Roman" w:eastAsia="Times New Roman" w:hAnsi="Times New Roman" w:cs="Times New Roman"/>
          <w:noProof/>
          <w:sz w:val="24"/>
          <w:szCs w:val="24"/>
        </w:rPr>
        <w:t xml:space="preserve"> </w:t>
      </w:r>
      <w:r w:rsidRPr="002661A8">
        <w:rPr>
          <w:rFonts w:ascii="Times New Roman" w:hAnsi="Times New Roman" w:cs="Times New Roman"/>
          <w:noProof/>
          <w:sz w:val="24"/>
          <w:szCs w:val="24"/>
        </w:rPr>
        <w:t>of EU CCPs</w:t>
      </w:r>
      <w:r w:rsidR="005F791D" w:rsidRPr="002661A8">
        <w:rPr>
          <w:rFonts w:ascii="Times New Roman" w:hAnsi="Times New Roman" w:cs="Times New Roman"/>
          <w:noProof/>
          <w:sz w:val="24"/>
          <w:szCs w:val="24"/>
        </w:rPr>
        <w:t>,</w:t>
      </w:r>
      <w:r w:rsidR="002B669D" w:rsidRPr="002661A8">
        <w:rPr>
          <w:rFonts w:ascii="Times New Roman" w:hAnsi="Times New Roman" w:cs="Times New Roman"/>
          <w:noProof/>
          <w:sz w:val="24"/>
          <w:szCs w:val="24"/>
        </w:rPr>
        <w:t xml:space="preserve"> </w:t>
      </w:r>
      <w:r w:rsidRPr="002661A8">
        <w:rPr>
          <w:rFonts w:ascii="Times New Roman" w:hAnsi="Times New Roman" w:cs="Times New Roman"/>
          <w:noProof/>
          <w:sz w:val="24"/>
          <w:szCs w:val="24"/>
        </w:rPr>
        <w:t xml:space="preserve">while acknowledging that </w:t>
      </w:r>
      <w:r w:rsidR="00974429" w:rsidRPr="002661A8">
        <w:rPr>
          <w:rFonts w:ascii="Times New Roman" w:hAnsi="Times New Roman" w:cs="Times New Roman"/>
          <w:noProof/>
          <w:sz w:val="24"/>
          <w:szCs w:val="24"/>
        </w:rPr>
        <w:t xml:space="preserve">resolution decisions impacting CCPs, clearing members and clients are taken at national level and </w:t>
      </w:r>
      <w:r w:rsidRPr="002661A8">
        <w:rPr>
          <w:rFonts w:ascii="Times New Roman" w:hAnsi="Times New Roman" w:cs="Times New Roman"/>
          <w:noProof/>
          <w:sz w:val="24"/>
          <w:szCs w:val="24"/>
        </w:rPr>
        <w:t>Member States remain eventually responsible for</w:t>
      </w:r>
      <w:r w:rsidR="00D9587F" w:rsidRPr="002661A8">
        <w:rPr>
          <w:rFonts w:ascii="Times New Roman" w:hAnsi="Times New Roman" w:cs="Times New Roman"/>
          <w:noProof/>
          <w:sz w:val="24"/>
          <w:szCs w:val="24"/>
        </w:rPr>
        <w:t xml:space="preserve"> supporting financially</w:t>
      </w:r>
      <w:r w:rsidRPr="002661A8">
        <w:rPr>
          <w:rFonts w:ascii="Times New Roman" w:hAnsi="Times New Roman" w:cs="Times New Roman"/>
          <w:noProof/>
          <w:sz w:val="24"/>
          <w:szCs w:val="24"/>
        </w:rPr>
        <w:t xml:space="preserve"> CCPs authorised in their jurisdiction</w:t>
      </w:r>
      <w:r w:rsidR="002B669D" w:rsidRPr="002661A8">
        <w:rPr>
          <w:rFonts w:ascii="Times New Roman" w:hAnsi="Times New Roman" w:cs="Times New Roman"/>
          <w:noProof/>
          <w:sz w:val="24"/>
          <w:szCs w:val="24"/>
        </w:rPr>
        <w:t xml:space="preserve">, </w:t>
      </w:r>
      <w:r w:rsidR="00F273DB" w:rsidRPr="002661A8">
        <w:rPr>
          <w:rFonts w:ascii="Times New Roman" w:hAnsi="Times New Roman" w:cs="Times New Roman"/>
          <w:b/>
          <w:noProof/>
          <w:sz w:val="24"/>
          <w:szCs w:val="24"/>
        </w:rPr>
        <w:t>O</w:t>
      </w:r>
      <w:r w:rsidR="002B669D" w:rsidRPr="002661A8">
        <w:rPr>
          <w:rFonts w:ascii="Times New Roman" w:hAnsi="Times New Roman" w:cs="Times New Roman"/>
          <w:b/>
          <w:noProof/>
          <w:sz w:val="24"/>
          <w:szCs w:val="24"/>
        </w:rPr>
        <w:t>ption 2</w:t>
      </w:r>
      <w:r w:rsidR="002B669D" w:rsidRPr="002661A8">
        <w:rPr>
          <w:rFonts w:ascii="Times New Roman" w:hAnsi="Times New Roman" w:cs="Times New Roman"/>
          <w:noProof/>
          <w:sz w:val="24"/>
          <w:szCs w:val="24"/>
        </w:rPr>
        <w:t xml:space="preserve"> is deemed more appropriate and proportionate at this point in time as it attains the right balance between achieving the aforementioned objectives</w:t>
      </w:r>
      <w:r w:rsidRPr="002661A8">
        <w:rPr>
          <w:rFonts w:ascii="Times New Roman" w:hAnsi="Times New Roman" w:cs="Times New Roman"/>
          <w:noProof/>
          <w:sz w:val="24"/>
          <w:szCs w:val="24"/>
        </w:rPr>
        <w:t>.</w:t>
      </w:r>
    </w:p>
    <w:tbl>
      <w:tblPr>
        <w:tblStyle w:val="TableGrid"/>
        <w:tblW w:w="0" w:type="auto"/>
        <w:jc w:val="center"/>
        <w:tblLayout w:type="fixed"/>
        <w:tblLook w:val="04A0" w:firstRow="1" w:lastRow="0" w:firstColumn="1" w:lastColumn="0" w:noHBand="0" w:noVBand="1"/>
      </w:tblPr>
      <w:tblGrid>
        <w:gridCol w:w="2093"/>
        <w:gridCol w:w="1417"/>
        <w:gridCol w:w="1134"/>
        <w:gridCol w:w="1535"/>
        <w:gridCol w:w="1327"/>
        <w:gridCol w:w="1072"/>
      </w:tblGrid>
      <w:tr w:rsidR="00844101" w:rsidRPr="002661A8" w14:paraId="502545E4" w14:textId="77777777" w:rsidTr="009211F6">
        <w:trPr>
          <w:jc w:val="center"/>
        </w:trPr>
        <w:tc>
          <w:tcPr>
            <w:tcW w:w="2093" w:type="dxa"/>
            <w:vMerge w:val="restart"/>
            <w:vAlign w:val="center"/>
          </w:tcPr>
          <w:p w14:paraId="05D4CCCA" w14:textId="77777777" w:rsidR="00844101" w:rsidRPr="002661A8" w:rsidRDefault="00844101" w:rsidP="00E31CB8">
            <w:pPr>
              <w:tabs>
                <w:tab w:val="left" w:pos="2302"/>
              </w:tabs>
              <w:jc w:val="center"/>
              <w:rPr>
                <w:noProof/>
              </w:rPr>
            </w:pPr>
          </w:p>
        </w:tc>
        <w:tc>
          <w:tcPr>
            <w:tcW w:w="4086" w:type="dxa"/>
            <w:gridSpan w:val="3"/>
            <w:vAlign w:val="center"/>
          </w:tcPr>
          <w:p w14:paraId="4FC106EC" w14:textId="77777777" w:rsidR="00844101" w:rsidRPr="002661A8" w:rsidRDefault="00844101" w:rsidP="00ED4530">
            <w:pPr>
              <w:tabs>
                <w:tab w:val="left" w:pos="2302"/>
              </w:tabs>
              <w:jc w:val="center"/>
              <w:rPr>
                <w:noProof/>
              </w:rPr>
            </w:pPr>
            <w:r w:rsidRPr="002661A8">
              <w:rPr>
                <w:noProof/>
              </w:rPr>
              <w:t>Effectiveness</w:t>
            </w:r>
          </w:p>
        </w:tc>
        <w:tc>
          <w:tcPr>
            <w:tcW w:w="1327" w:type="dxa"/>
            <w:vMerge w:val="restart"/>
            <w:vAlign w:val="center"/>
          </w:tcPr>
          <w:p w14:paraId="3B3365A6" w14:textId="315D4378" w:rsidR="00844101" w:rsidRPr="002661A8" w:rsidRDefault="00844101" w:rsidP="00ED4530">
            <w:pPr>
              <w:tabs>
                <w:tab w:val="left" w:pos="2302"/>
              </w:tabs>
              <w:jc w:val="center"/>
              <w:rPr>
                <w:noProof/>
              </w:rPr>
            </w:pPr>
            <w:r w:rsidRPr="002661A8">
              <w:rPr>
                <w:noProof/>
              </w:rPr>
              <w:t>Efficiency (cost-effectiveness)</w:t>
            </w:r>
          </w:p>
        </w:tc>
        <w:tc>
          <w:tcPr>
            <w:tcW w:w="1072" w:type="dxa"/>
            <w:vMerge w:val="restart"/>
            <w:vAlign w:val="center"/>
          </w:tcPr>
          <w:p w14:paraId="3DCF69F2" w14:textId="77777777" w:rsidR="00844101" w:rsidRPr="002661A8" w:rsidRDefault="00844101" w:rsidP="00E31CB8">
            <w:pPr>
              <w:tabs>
                <w:tab w:val="left" w:pos="2302"/>
              </w:tabs>
              <w:jc w:val="center"/>
              <w:rPr>
                <w:noProof/>
              </w:rPr>
            </w:pPr>
            <w:r w:rsidRPr="002661A8">
              <w:rPr>
                <w:noProof/>
              </w:rPr>
              <w:t>Coherence</w:t>
            </w:r>
          </w:p>
        </w:tc>
      </w:tr>
      <w:tr w:rsidR="00844101" w:rsidRPr="002661A8" w14:paraId="2EF89EE7" w14:textId="77777777" w:rsidTr="00E94056">
        <w:trPr>
          <w:jc w:val="center"/>
        </w:trPr>
        <w:tc>
          <w:tcPr>
            <w:tcW w:w="2093" w:type="dxa"/>
            <w:vMerge/>
          </w:tcPr>
          <w:p w14:paraId="59203E2E" w14:textId="77777777" w:rsidR="00844101" w:rsidRPr="002661A8" w:rsidRDefault="00844101" w:rsidP="00E31CB8">
            <w:pPr>
              <w:tabs>
                <w:tab w:val="left" w:pos="2302"/>
              </w:tabs>
              <w:jc w:val="center"/>
              <w:rPr>
                <w:noProof/>
              </w:rPr>
            </w:pPr>
          </w:p>
        </w:tc>
        <w:tc>
          <w:tcPr>
            <w:tcW w:w="1417" w:type="dxa"/>
            <w:vAlign w:val="center"/>
          </w:tcPr>
          <w:p w14:paraId="44FE5FAD" w14:textId="70EC0333" w:rsidR="00844101" w:rsidRPr="002661A8" w:rsidRDefault="00844101" w:rsidP="00ED4530">
            <w:pPr>
              <w:tabs>
                <w:tab w:val="left" w:pos="2302"/>
              </w:tabs>
              <w:jc w:val="center"/>
              <w:rPr>
                <w:noProof/>
              </w:rPr>
            </w:pPr>
            <w:r w:rsidRPr="002661A8">
              <w:rPr>
                <w:noProof/>
              </w:rPr>
              <w:t xml:space="preserve">Improve the </w:t>
            </w:r>
            <w:r w:rsidR="00FE4BB5" w:rsidRPr="002661A8">
              <w:rPr>
                <w:noProof/>
              </w:rPr>
              <w:t>attractiveness</w:t>
            </w:r>
            <w:r w:rsidRPr="002661A8">
              <w:rPr>
                <w:noProof/>
              </w:rPr>
              <w:t xml:space="preserve"> of EU CCPs</w:t>
            </w:r>
          </w:p>
        </w:tc>
        <w:tc>
          <w:tcPr>
            <w:tcW w:w="1134" w:type="dxa"/>
            <w:vAlign w:val="center"/>
          </w:tcPr>
          <w:p w14:paraId="6DA93813" w14:textId="5E1F4DA7" w:rsidR="00844101" w:rsidRPr="002661A8" w:rsidRDefault="00844101" w:rsidP="00ED4530">
            <w:pPr>
              <w:tabs>
                <w:tab w:val="left" w:pos="2302"/>
              </w:tabs>
              <w:jc w:val="center"/>
              <w:rPr>
                <w:noProof/>
              </w:rPr>
            </w:pPr>
            <w:r w:rsidRPr="002661A8">
              <w:rPr>
                <w:noProof/>
              </w:rPr>
              <w:t>Encourage clearing in EU CCPs</w:t>
            </w:r>
          </w:p>
        </w:tc>
        <w:tc>
          <w:tcPr>
            <w:tcW w:w="1535" w:type="dxa"/>
            <w:vAlign w:val="center"/>
          </w:tcPr>
          <w:p w14:paraId="0FD93501" w14:textId="107F16BA" w:rsidR="00844101" w:rsidRPr="002661A8" w:rsidRDefault="008A60F0" w:rsidP="00ED4530">
            <w:pPr>
              <w:tabs>
                <w:tab w:val="left" w:pos="2302"/>
              </w:tabs>
              <w:jc w:val="center"/>
              <w:rPr>
                <w:noProof/>
              </w:rPr>
            </w:pPr>
            <w:r w:rsidRPr="002661A8">
              <w:rPr>
                <w:noProof/>
              </w:rPr>
              <w:t>Enhance the assessment and management of cross-border risks</w:t>
            </w:r>
          </w:p>
        </w:tc>
        <w:tc>
          <w:tcPr>
            <w:tcW w:w="1327" w:type="dxa"/>
            <w:vMerge/>
          </w:tcPr>
          <w:p w14:paraId="1AD323D5" w14:textId="77777777" w:rsidR="00844101" w:rsidRPr="002661A8" w:rsidRDefault="00844101" w:rsidP="00ED4530">
            <w:pPr>
              <w:tabs>
                <w:tab w:val="left" w:pos="2302"/>
              </w:tabs>
              <w:jc w:val="center"/>
              <w:rPr>
                <w:noProof/>
              </w:rPr>
            </w:pPr>
          </w:p>
        </w:tc>
        <w:tc>
          <w:tcPr>
            <w:tcW w:w="1072" w:type="dxa"/>
            <w:vMerge/>
          </w:tcPr>
          <w:p w14:paraId="31126C42" w14:textId="77777777" w:rsidR="00844101" w:rsidRPr="002661A8" w:rsidRDefault="00844101" w:rsidP="00E31CB8">
            <w:pPr>
              <w:tabs>
                <w:tab w:val="left" w:pos="2302"/>
              </w:tabs>
              <w:jc w:val="center"/>
              <w:rPr>
                <w:noProof/>
              </w:rPr>
            </w:pPr>
          </w:p>
        </w:tc>
      </w:tr>
      <w:tr w:rsidR="00A93F4A" w:rsidRPr="002661A8" w14:paraId="3C0FA64B" w14:textId="77777777" w:rsidTr="00387954">
        <w:trPr>
          <w:jc w:val="center"/>
        </w:trPr>
        <w:tc>
          <w:tcPr>
            <w:tcW w:w="2093" w:type="dxa"/>
            <w:tcBorders>
              <w:top w:val="single" w:sz="4" w:space="0" w:color="auto"/>
              <w:left w:val="single" w:sz="4" w:space="0" w:color="auto"/>
              <w:bottom w:val="single" w:sz="4" w:space="0" w:color="auto"/>
              <w:right w:val="single" w:sz="4" w:space="0" w:color="auto"/>
            </w:tcBorders>
            <w:shd w:val="clear" w:color="auto" w:fill="00B050"/>
            <w:vAlign w:val="center"/>
          </w:tcPr>
          <w:p w14:paraId="36E98C6B" w14:textId="43D1C55E" w:rsidR="00352D1F" w:rsidRPr="002661A8" w:rsidRDefault="00352D1F" w:rsidP="00E31CB8">
            <w:pPr>
              <w:tabs>
                <w:tab w:val="left" w:pos="2302"/>
              </w:tabs>
              <w:jc w:val="center"/>
              <w:rPr>
                <w:noProof/>
              </w:rPr>
            </w:pPr>
            <w:r w:rsidRPr="002661A8">
              <w:rPr>
                <w:noProof/>
              </w:rPr>
              <w:t xml:space="preserve">Option </w:t>
            </w:r>
            <w:r w:rsidR="00A8027C">
              <w:rPr>
                <w:noProof/>
              </w:rPr>
              <w:t>C</w:t>
            </w:r>
            <w:r w:rsidRPr="002661A8">
              <w:rPr>
                <w:noProof/>
              </w:rPr>
              <w:t>2</w:t>
            </w:r>
          </w:p>
        </w:tc>
        <w:tc>
          <w:tcPr>
            <w:tcW w:w="1417" w:type="dxa"/>
            <w:tcBorders>
              <w:top w:val="single" w:sz="4" w:space="0" w:color="auto"/>
              <w:left w:val="single" w:sz="4" w:space="0" w:color="auto"/>
              <w:bottom w:val="single" w:sz="4" w:space="0" w:color="auto"/>
              <w:right w:val="single" w:sz="4" w:space="0" w:color="auto"/>
            </w:tcBorders>
            <w:shd w:val="clear" w:color="auto" w:fill="00B050"/>
            <w:vAlign w:val="center"/>
          </w:tcPr>
          <w:p w14:paraId="38BCC59B" w14:textId="200E74E0" w:rsidR="00352D1F" w:rsidRPr="002661A8" w:rsidRDefault="00E25F58" w:rsidP="00E31CB8">
            <w:pPr>
              <w:tabs>
                <w:tab w:val="left" w:pos="2302"/>
              </w:tabs>
              <w:jc w:val="center"/>
              <w:rPr>
                <w:noProof/>
              </w:rPr>
            </w:pPr>
            <w:r w:rsidRPr="002661A8">
              <w:rPr>
                <w:noProof/>
              </w:rPr>
              <w:t>++</w:t>
            </w:r>
          </w:p>
        </w:tc>
        <w:tc>
          <w:tcPr>
            <w:tcW w:w="1134" w:type="dxa"/>
            <w:tcBorders>
              <w:top w:val="single" w:sz="4" w:space="0" w:color="auto"/>
              <w:left w:val="single" w:sz="4" w:space="0" w:color="auto"/>
              <w:bottom w:val="single" w:sz="4" w:space="0" w:color="auto"/>
              <w:right w:val="single" w:sz="4" w:space="0" w:color="auto"/>
            </w:tcBorders>
            <w:shd w:val="clear" w:color="auto" w:fill="00B050"/>
            <w:vAlign w:val="center"/>
          </w:tcPr>
          <w:p w14:paraId="3CF591E4" w14:textId="00A351A7" w:rsidR="00352D1F" w:rsidRPr="002661A8" w:rsidRDefault="00E25F58" w:rsidP="00E31CB8">
            <w:pPr>
              <w:tabs>
                <w:tab w:val="left" w:pos="2302"/>
              </w:tabs>
              <w:jc w:val="center"/>
              <w:rPr>
                <w:noProof/>
              </w:rPr>
            </w:pPr>
            <w:r w:rsidRPr="002661A8">
              <w:rPr>
                <w:noProof/>
              </w:rPr>
              <w:t>+</w:t>
            </w:r>
            <w:r w:rsidR="00776C0F" w:rsidRPr="002661A8">
              <w:rPr>
                <w:noProof/>
              </w:rPr>
              <w:t>-</w:t>
            </w:r>
          </w:p>
        </w:tc>
        <w:tc>
          <w:tcPr>
            <w:tcW w:w="1535" w:type="dxa"/>
            <w:tcBorders>
              <w:top w:val="single" w:sz="4" w:space="0" w:color="auto"/>
              <w:left w:val="single" w:sz="4" w:space="0" w:color="auto"/>
              <w:bottom w:val="single" w:sz="4" w:space="0" w:color="auto"/>
              <w:right w:val="single" w:sz="4" w:space="0" w:color="auto"/>
            </w:tcBorders>
            <w:shd w:val="clear" w:color="auto" w:fill="00B050"/>
            <w:vAlign w:val="center"/>
          </w:tcPr>
          <w:p w14:paraId="33EAB5B7" w14:textId="3B906A15" w:rsidR="00352D1F" w:rsidRPr="002661A8" w:rsidRDefault="00E25F58" w:rsidP="00E31CB8">
            <w:pPr>
              <w:tabs>
                <w:tab w:val="left" w:pos="2302"/>
              </w:tabs>
              <w:jc w:val="center"/>
              <w:rPr>
                <w:noProof/>
              </w:rPr>
            </w:pPr>
            <w:r w:rsidRPr="002661A8">
              <w:rPr>
                <w:noProof/>
              </w:rPr>
              <w:t>++</w:t>
            </w:r>
          </w:p>
        </w:tc>
        <w:tc>
          <w:tcPr>
            <w:tcW w:w="1327" w:type="dxa"/>
            <w:tcBorders>
              <w:top w:val="single" w:sz="4" w:space="0" w:color="auto"/>
              <w:left w:val="single" w:sz="4" w:space="0" w:color="auto"/>
              <w:bottom w:val="single" w:sz="4" w:space="0" w:color="auto"/>
              <w:right w:val="single" w:sz="4" w:space="0" w:color="auto"/>
            </w:tcBorders>
            <w:shd w:val="clear" w:color="auto" w:fill="00B050"/>
            <w:vAlign w:val="center"/>
          </w:tcPr>
          <w:p w14:paraId="4E49F7CF" w14:textId="1955D3D4" w:rsidR="00352D1F" w:rsidRPr="002661A8" w:rsidRDefault="00E25F58" w:rsidP="00E31CB8">
            <w:pPr>
              <w:tabs>
                <w:tab w:val="left" w:pos="2302"/>
              </w:tabs>
              <w:jc w:val="center"/>
              <w:rPr>
                <w:noProof/>
              </w:rPr>
            </w:pPr>
            <w:r w:rsidRPr="002661A8">
              <w:rPr>
                <w:noProof/>
              </w:rPr>
              <w:t>++</w:t>
            </w:r>
          </w:p>
        </w:tc>
        <w:tc>
          <w:tcPr>
            <w:tcW w:w="1072" w:type="dxa"/>
            <w:tcBorders>
              <w:top w:val="single" w:sz="4" w:space="0" w:color="auto"/>
              <w:left w:val="single" w:sz="4" w:space="0" w:color="auto"/>
              <w:bottom w:val="single" w:sz="4" w:space="0" w:color="auto"/>
              <w:right w:val="single" w:sz="4" w:space="0" w:color="auto"/>
            </w:tcBorders>
            <w:shd w:val="clear" w:color="auto" w:fill="00B050"/>
            <w:vAlign w:val="center"/>
          </w:tcPr>
          <w:p w14:paraId="06B4A13C" w14:textId="1C92DEAB" w:rsidR="00352D1F" w:rsidRPr="002661A8" w:rsidRDefault="00E25F58" w:rsidP="00E31CB8">
            <w:pPr>
              <w:tabs>
                <w:tab w:val="left" w:pos="2302"/>
              </w:tabs>
              <w:jc w:val="center"/>
              <w:rPr>
                <w:noProof/>
              </w:rPr>
            </w:pPr>
            <w:r w:rsidRPr="002661A8">
              <w:rPr>
                <w:noProof/>
              </w:rPr>
              <w:t>++</w:t>
            </w:r>
          </w:p>
        </w:tc>
      </w:tr>
      <w:tr w:rsidR="00A93F4A" w:rsidRPr="002661A8" w14:paraId="55E1385F" w14:textId="77777777" w:rsidTr="00387954">
        <w:trPr>
          <w:jc w:val="center"/>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A36E3" w14:textId="117EB6B9" w:rsidR="00352D1F" w:rsidRPr="002661A8" w:rsidRDefault="00352D1F" w:rsidP="00E31CB8">
            <w:pPr>
              <w:tabs>
                <w:tab w:val="left" w:pos="2302"/>
              </w:tabs>
              <w:jc w:val="center"/>
              <w:rPr>
                <w:noProof/>
                <w:lang w:val="fr-BE"/>
              </w:rPr>
            </w:pPr>
            <w:r w:rsidRPr="002661A8">
              <w:rPr>
                <w:noProof/>
                <w:lang w:val="fr-BE"/>
              </w:rPr>
              <w:t xml:space="preserve">Option </w:t>
            </w:r>
            <w:r w:rsidR="00A8027C">
              <w:rPr>
                <w:noProof/>
                <w:lang w:val="fr-BE"/>
              </w:rPr>
              <w:t>C</w:t>
            </w:r>
            <w:r w:rsidRPr="002661A8">
              <w:rPr>
                <w:noProof/>
                <w:lang w:val="fr-BE"/>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8963A" w14:textId="1E0CA889" w:rsidR="00352D1F" w:rsidRPr="002661A8" w:rsidRDefault="00776C0F" w:rsidP="00E31CB8">
            <w:pPr>
              <w:tabs>
                <w:tab w:val="left" w:pos="2302"/>
              </w:tabs>
              <w:jc w:val="center"/>
              <w:rPr>
                <w:noProof/>
              </w:rPr>
            </w:pPr>
            <w:r w:rsidRPr="002661A8">
              <w:rPr>
                <w:noProof/>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E82143" w14:textId="6479CA5B" w:rsidR="00352D1F" w:rsidRPr="002661A8" w:rsidRDefault="00776C0F" w:rsidP="00E31CB8">
            <w:pPr>
              <w:tabs>
                <w:tab w:val="left" w:pos="2302"/>
              </w:tabs>
              <w:jc w:val="center"/>
              <w:rPr>
                <w:noProof/>
              </w:rPr>
            </w:pPr>
            <w:r w:rsidRPr="002661A8">
              <w:rPr>
                <w:noProof/>
              </w:rPr>
              <w:t>+</w:t>
            </w:r>
            <w:r w:rsidR="0025671E" w:rsidRPr="002661A8">
              <w:rPr>
                <w:noProof/>
              </w:rPr>
              <w:t>-</w:t>
            </w:r>
          </w:p>
        </w:tc>
        <w:tc>
          <w:tcPr>
            <w:tcW w:w="1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50DA48" w14:textId="22457C63" w:rsidR="00352D1F" w:rsidRPr="002661A8" w:rsidRDefault="00776C0F" w:rsidP="00E31CB8">
            <w:pPr>
              <w:tabs>
                <w:tab w:val="left" w:pos="2302"/>
              </w:tabs>
              <w:jc w:val="center"/>
              <w:rPr>
                <w:noProof/>
              </w:rPr>
            </w:pPr>
            <w:r w:rsidRPr="002661A8">
              <w:rPr>
                <w:noProof/>
              </w:rPr>
              <w:t>+++</w:t>
            </w:r>
          </w:p>
        </w:tc>
        <w:tc>
          <w:tcPr>
            <w:tcW w:w="13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2FF49" w14:textId="51308917" w:rsidR="00352D1F" w:rsidRPr="002661A8" w:rsidRDefault="0088508B" w:rsidP="00E31CB8">
            <w:pPr>
              <w:tabs>
                <w:tab w:val="left" w:pos="2302"/>
              </w:tabs>
              <w:jc w:val="center"/>
              <w:rPr>
                <w:noProof/>
              </w:rPr>
            </w:pPr>
            <w:r w:rsidRPr="002661A8">
              <w:rPr>
                <w:noProof/>
              </w:rPr>
              <w:t>+/</w:t>
            </w:r>
            <w:r w:rsidR="00776C0F" w:rsidRPr="002661A8">
              <w:rPr>
                <w:noProof/>
              </w:rPr>
              <w:t>-</w:t>
            </w:r>
          </w:p>
        </w:tc>
        <w:tc>
          <w:tcPr>
            <w:tcW w:w="1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84233" w14:textId="217B323B" w:rsidR="00352D1F" w:rsidRPr="002661A8" w:rsidRDefault="003D606C" w:rsidP="00E31CB8">
            <w:pPr>
              <w:tabs>
                <w:tab w:val="left" w:pos="2302"/>
              </w:tabs>
              <w:jc w:val="center"/>
              <w:rPr>
                <w:noProof/>
              </w:rPr>
            </w:pPr>
            <w:r w:rsidRPr="002661A8">
              <w:rPr>
                <w:noProof/>
              </w:rPr>
              <w:t>+-</w:t>
            </w:r>
          </w:p>
        </w:tc>
      </w:tr>
    </w:tbl>
    <w:p w14:paraId="5E783FC3" w14:textId="77777777" w:rsidR="00352D1F" w:rsidRPr="002661A8" w:rsidRDefault="00352D1F" w:rsidP="00AC403F">
      <w:pPr>
        <w:pStyle w:val="Text1"/>
        <w:spacing w:after="0"/>
        <w:ind w:left="0"/>
        <w:rPr>
          <w:rFonts w:eastAsiaTheme="minorHAnsi"/>
          <w:noProof/>
          <w:sz w:val="12"/>
          <w:szCs w:val="12"/>
        </w:rPr>
      </w:pPr>
    </w:p>
    <w:tbl>
      <w:tblPr>
        <w:tblStyle w:val="TableGrid"/>
        <w:tblW w:w="0" w:type="auto"/>
        <w:jc w:val="center"/>
        <w:tblLook w:val="04A0" w:firstRow="1" w:lastRow="0" w:firstColumn="1" w:lastColumn="0" w:noHBand="0" w:noVBand="1"/>
      </w:tblPr>
      <w:tblGrid>
        <w:gridCol w:w="1759"/>
        <w:gridCol w:w="1429"/>
        <w:gridCol w:w="2028"/>
        <w:gridCol w:w="1646"/>
        <w:gridCol w:w="1972"/>
      </w:tblGrid>
      <w:tr w:rsidR="00352D1F" w:rsidRPr="002661A8" w14:paraId="378388FA" w14:textId="77777777" w:rsidTr="00C75886">
        <w:trPr>
          <w:jc w:val="center"/>
        </w:trPr>
        <w:tc>
          <w:tcPr>
            <w:tcW w:w="1759" w:type="dxa"/>
            <w:tcBorders>
              <w:top w:val="single" w:sz="4" w:space="0" w:color="auto"/>
              <w:left w:val="single" w:sz="4" w:space="0" w:color="auto"/>
              <w:bottom w:val="single" w:sz="4" w:space="0" w:color="auto"/>
              <w:right w:val="single" w:sz="4" w:space="0" w:color="auto"/>
            </w:tcBorders>
            <w:vAlign w:val="center"/>
          </w:tcPr>
          <w:p w14:paraId="46331380" w14:textId="77777777" w:rsidR="00352D1F" w:rsidRPr="002661A8" w:rsidRDefault="00352D1F" w:rsidP="00B4176F">
            <w:pPr>
              <w:jc w:val="center"/>
              <w:rPr>
                <w:noProof/>
              </w:rPr>
            </w:pPr>
          </w:p>
        </w:tc>
        <w:tc>
          <w:tcPr>
            <w:tcW w:w="7075" w:type="dxa"/>
            <w:gridSpan w:val="4"/>
            <w:tcBorders>
              <w:top w:val="single" w:sz="4" w:space="0" w:color="auto"/>
              <w:left w:val="single" w:sz="4" w:space="0" w:color="auto"/>
              <w:bottom w:val="single" w:sz="4" w:space="0" w:color="auto"/>
              <w:right w:val="single" w:sz="4" w:space="0" w:color="auto"/>
            </w:tcBorders>
          </w:tcPr>
          <w:p w14:paraId="307FF26A" w14:textId="2D065B59" w:rsidR="00352D1F" w:rsidRPr="002661A8" w:rsidRDefault="00352D1F" w:rsidP="00B4176F">
            <w:pPr>
              <w:jc w:val="center"/>
              <w:rPr>
                <w:noProof/>
              </w:rPr>
            </w:pPr>
            <w:r w:rsidRPr="002661A8">
              <w:rPr>
                <w:noProof/>
              </w:rPr>
              <w:t>Summary of winners and losers</w:t>
            </w:r>
          </w:p>
        </w:tc>
      </w:tr>
      <w:tr w:rsidR="00352D1F" w:rsidRPr="002661A8" w14:paraId="6F4D68C1" w14:textId="77777777" w:rsidTr="00C75886">
        <w:trPr>
          <w:jc w:val="center"/>
        </w:trPr>
        <w:tc>
          <w:tcPr>
            <w:tcW w:w="1759" w:type="dxa"/>
            <w:tcBorders>
              <w:top w:val="single" w:sz="4" w:space="0" w:color="auto"/>
              <w:left w:val="single" w:sz="4" w:space="0" w:color="auto"/>
              <w:bottom w:val="single" w:sz="4" w:space="0" w:color="auto"/>
              <w:right w:val="single" w:sz="4" w:space="0" w:color="auto"/>
            </w:tcBorders>
            <w:vAlign w:val="center"/>
          </w:tcPr>
          <w:p w14:paraId="4C2AA8B3" w14:textId="77777777" w:rsidR="00352D1F" w:rsidRPr="002661A8" w:rsidRDefault="00352D1F" w:rsidP="00B4176F">
            <w:pPr>
              <w:jc w:val="center"/>
              <w:rPr>
                <w:noProof/>
              </w:rPr>
            </w:pPr>
          </w:p>
        </w:tc>
        <w:tc>
          <w:tcPr>
            <w:tcW w:w="1429" w:type="dxa"/>
            <w:tcBorders>
              <w:top w:val="single" w:sz="4" w:space="0" w:color="auto"/>
              <w:left w:val="single" w:sz="4" w:space="0" w:color="auto"/>
              <w:bottom w:val="single" w:sz="4" w:space="0" w:color="auto"/>
              <w:right w:val="single" w:sz="4" w:space="0" w:color="auto"/>
            </w:tcBorders>
            <w:vAlign w:val="center"/>
            <w:hideMark/>
          </w:tcPr>
          <w:p w14:paraId="1B96B89E" w14:textId="77777777" w:rsidR="00352D1F" w:rsidRPr="002661A8" w:rsidRDefault="00352D1F" w:rsidP="00B4176F">
            <w:pPr>
              <w:jc w:val="center"/>
              <w:rPr>
                <w:noProof/>
              </w:rPr>
            </w:pPr>
            <w:r w:rsidRPr="002661A8">
              <w:rPr>
                <w:noProof/>
              </w:rPr>
              <w:t>CCPs</w:t>
            </w:r>
          </w:p>
        </w:tc>
        <w:tc>
          <w:tcPr>
            <w:tcW w:w="2028" w:type="dxa"/>
            <w:tcBorders>
              <w:top w:val="single" w:sz="4" w:space="0" w:color="auto"/>
              <w:left w:val="single" w:sz="4" w:space="0" w:color="auto"/>
              <w:bottom w:val="single" w:sz="4" w:space="0" w:color="auto"/>
              <w:right w:val="single" w:sz="4" w:space="0" w:color="auto"/>
            </w:tcBorders>
            <w:vAlign w:val="center"/>
            <w:hideMark/>
          </w:tcPr>
          <w:p w14:paraId="003533DC" w14:textId="77777777" w:rsidR="00352D1F" w:rsidRPr="002661A8" w:rsidRDefault="00352D1F" w:rsidP="00B4176F">
            <w:pPr>
              <w:jc w:val="center"/>
              <w:rPr>
                <w:noProof/>
              </w:rPr>
            </w:pPr>
            <w:r w:rsidRPr="002661A8">
              <w:rPr>
                <w:noProof/>
              </w:rPr>
              <w:t>Clearing Members</w:t>
            </w:r>
          </w:p>
        </w:tc>
        <w:tc>
          <w:tcPr>
            <w:tcW w:w="1646" w:type="dxa"/>
            <w:tcBorders>
              <w:top w:val="single" w:sz="4" w:space="0" w:color="auto"/>
              <w:left w:val="single" w:sz="4" w:space="0" w:color="auto"/>
              <w:bottom w:val="single" w:sz="4" w:space="0" w:color="auto"/>
              <w:right w:val="single" w:sz="4" w:space="0" w:color="auto"/>
            </w:tcBorders>
            <w:vAlign w:val="center"/>
          </w:tcPr>
          <w:p w14:paraId="141323B7" w14:textId="77777777" w:rsidR="00352D1F" w:rsidRPr="002661A8" w:rsidRDefault="00352D1F" w:rsidP="00B4176F">
            <w:pPr>
              <w:jc w:val="center"/>
              <w:rPr>
                <w:noProof/>
              </w:rPr>
            </w:pPr>
            <w:r w:rsidRPr="002661A8">
              <w:rPr>
                <w:noProof/>
              </w:rPr>
              <w:t>Clients</w:t>
            </w:r>
          </w:p>
        </w:tc>
        <w:tc>
          <w:tcPr>
            <w:tcW w:w="1972" w:type="dxa"/>
            <w:tcBorders>
              <w:top w:val="single" w:sz="4" w:space="0" w:color="auto"/>
              <w:left w:val="single" w:sz="4" w:space="0" w:color="auto"/>
              <w:bottom w:val="single" w:sz="4" w:space="0" w:color="auto"/>
              <w:right w:val="single" w:sz="4" w:space="0" w:color="auto"/>
            </w:tcBorders>
            <w:vAlign w:val="center"/>
            <w:hideMark/>
          </w:tcPr>
          <w:p w14:paraId="3D4DDE14" w14:textId="172B97C2" w:rsidR="00352D1F" w:rsidRPr="002661A8" w:rsidRDefault="00974429" w:rsidP="00B4176F">
            <w:pPr>
              <w:jc w:val="center"/>
              <w:rPr>
                <w:noProof/>
              </w:rPr>
            </w:pPr>
            <w:r w:rsidRPr="002661A8">
              <w:rPr>
                <w:noProof/>
              </w:rPr>
              <w:t>National s</w:t>
            </w:r>
            <w:r w:rsidR="00352D1F" w:rsidRPr="002661A8">
              <w:rPr>
                <w:noProof/>
              </w:rPr>
              <w:t>upervisory authorities</w:t>
            </w:r>
          </w:p>
        </w:tc>
      </w:tr>
      <w:tr w:rsidR="00352D1F" w:rsidRPr="002661A8" w14:paraId="24BDA12E" w14:textId="77777777" w:rsidTr="00C75886">
        <w:trPr>
          <w:jc w:val="center"/>
        </w:trPr>
        <w:tc>
          <w:tcPr>
            <w:tcW w:w="1759" w:type="dxa"/>
            <w:tcBorders>
              <w:top w:val="single" w:sz="4" w:space="0" w:color="auto"/>
              <w:left w:val="single" w:sz="4" w:space="0" w:color="auto"/>
              <w:bottom w:val="single" w:sz="4" w:space="0" w:color="auto"/>
              <w:right w:val="single" w:sz="4" w:space="0" w:color="auto"/>
            </w:tcBorders>
            <w:vAlign w:val="center"/>
            <w:hideMark/>
          </w:tcPr>
          <w:p w14:paraId="5A2D2C40" w14:textId="34C76F04" w:rsidR="00352D1F" w:rsidRPr="002661A8" w:rsidRDefault="00352D1F" w:rsidP="00B4176F">
            <w:pPr>
              <w:jc w:val="center"/>
              <w:rPr>
                <w:noProof/>
              </w:rPr>
            </w:pPr>
            <w:r w:rsidRPr="002661A8">
              <w:rPr>
                <w:noProof/>
              </w:rPr>
              <w:t xml:space="preserve">Option </w:t>
            </w:r>
            <w:r w:rsidR="00A8027C">
              <w:rPr>
                <w:noProof/>
              </w:rPr>
              <w:t>C</w:t>
            </w:r>
            <w:r w:rsidRPr="002661A8">
              <w:rPr>
                <w:noProof/>
              </w:rPr>
              <w:t>2</w:t>
            </w:r>
          </w:p>
        </w:tc>
        <w:tc>
          <w:tcPr>
            <w:tcW w:w="1429" w:type="dxa"/>
            <w:tcBorders>
              <w:top w:val="single" w:sz="4" w:space="0" w:color="auto"/>
              <w:left w:val="single" w:sz="4" w:space="0" w:color="auto"/>
              <w:bottom w:val="single" w:sz="4" w:space="0" w:color="auto"/>
              <w:right w:val="single" w:sz="4" w:space="0" w:color="auto"/>
            </w:tcBorders>
          </w:tcPr>
          <w:p w14:paraId="12076E98" w14:textId="56714872" w:rsidR="00352D1F" w:rsidRPr="002661A8" w:rsidRDefault="00974429" w:rsidP="00B4176F">
            <w:pPr>
              <w:jc w:val="center"/>
              <w:rPr>
                <w:noProof/>
              </w:rPr>
            </w:pPr>
            <w:r w:rsidRPr="002661A8">
              <w:rPr>
                <w:noProof/>
              </w:rPr>
              <w:t>++</w:t>
            </w:r>
          </w:p>
        </w:tc>
        <w:tc>
          <w:tcPr>
            <w:tcW w:w="2028" w:type="dxa"/>
            <w:tcBorders>
              <w:top w:val="single" w:sz="4" w:space="0" w:color="auto"/>
              <w:left w:val="single" w:sz="4" w:space="0" w:color="auto"/>
              <w:bottom w:val="single" w:sz="4" w:space="0" w:color="auto"/>
              <w:right w:val="single" w:sz="4" w:space="0" w:color="auto"/>
            </w:tcBorders>
          </w:tcPr>
          <w:p w14:paraId="422A7172" w14:textId="424CA974" w:rsidR="00352D1F" w:rsidRPr="002661A8" w:rsidRDefault="00974429" w:rsidP="00B4176F">
            <w:pPr>
              <w:jc w:val="center"/>
              <w:rPr>
                <w:noProof/>
              </w:rPr>
            </w:pPr>
            <w:r w:rsidRPr="002661A8">
              <w:rPr>
                <w:noProof/>
              </w:rPr>
              <w:t>++</w:t>
            </w:r>
          </w:p>
        </w:tc>
        <w:tc>
          <w:tcPr>
            <w:tcW w:w="1646" w:type="dxa"/>
            <w:tcBorders>
              <w:top w:val="single" w:sz="4" w:space="0" w:color="auto"/>
              <w:left w:val="single" w:sz="4" w:space="0" w:color="auto"/>
              <w:bottom w:val="single" w:sz="4" w:space="0" w:color="auto"/>
              <w:right w:val="single" w:sz="4" w:space="0" w:color="auto"/>
            </w:tcBorders>
          </w:tcPr>
          <w:p w14:paraId="714EED0A" w14:textId="1B94DBD0" w:rsidR="00352D1F" w:rsidRPr="002661A8" w:rsidRDefault="00974429" w:rsidP="00B4176F">
            <w:pPr>
              <w:jc w:val="center"/>
              <w:rPr>
                <w:b/>
                <w:noProof/>
              </w:rPr>
            </w:pPr>
            <w:r w:rsidRPr="002661A8">
              <w:rPr>
                <w:b/>
                <w:noProof/>
              </w:rPr>
              <w:t>++</w:t>
            </w:r>
          </w:p>
        </w:tc>
        <w:tc>
          <w:tcPr>
            <w:tcW w:w="1972" w:type="dxa"/>
            <w:tcBorders>
              <w:top w:val="single" w:sz="4" w:space="0" w:color="auto"/>
              <w:left w:val="single" w:sz="4" w:space="0" w:color="auto"/>
              <w:bottom w:val="single" w:sz="4" w:space="0" w:color="auto"/>
              <w:right w:val="single" w:sz="4" w:space="0" w:color="auto"/>
            </w:tcBorders>
          </w:tcPr>
          <w:p w14:paraId="7BE89589" w14:textId="68E57D76" w:rsidR="00352D1F" w:rsidRPr="002661A8" w:rsidRDefault="00974429" w:rsidP="00B4176F">
            <w:pPr>
              <w:jc w:val="center"/>
              <w:rPr>
                <w:noProof/>
              </w:rPr>
            </w:pPr>
            <w:r w:rsidRPr="002661A8">
              <w:rPr>
                <w:noProof/>
              </w:rPr>
              <w:t>++</w:t>
            </w:r>
          </w:p>
        </w:tc>
      </w:tr>
      <w:tr w:rsidR="00352D1F" w:rsidRPr="002661A8" w14:paraId="58F80B67" w14:textId="77777777" w:rsidTr="00C75886">
        <w:trPr>
          <w:jc w:val="center"/>
        </w:trPr>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D37A8" w14:textId="23722A14" w:rsidR="00352D1F" w:rsidRPr="002661A8" w:rsidRDefault="00352D1F" w:rsidP="00B4176F">
            <w:pPr>
              <w:jc w:val="center"/>
              <w:rPr>
                <w:noProof/>
              </w:rPr>
            </w:pPr>
            <w:r w:rsidRPr="002661A8">
              <w:rPr>
                <w:noProof/>
              </w:rPr>
              <w:t xml:space="preserve">Option </w:t>
            </w:r>
            <w:r w:rsidR="00A8027C">
              <w:rPr>
                <w:noProof/>
              </w:rPr>
              <w:t>C</w:t>
            </w:r>
            <w:r w:rsidRPr="002661A8">
              <w:rPr>
                <w:noProof/>
              </w:rPr>
              <w:t>3</w:t>
            </w:r>
          </w:p>
        </w:tc>
        <w:tc>
          <w:tcPr>
            <w:tcW w:w="1429" w:type="dxa"/>
            <w:tcBorders>
              <w:top w:val="single" w:sz="4" w:space="0" w:color="auto"/>
              <w:left w:val="single" w:sz="4" w:space="0" w:color="auto"/>
              <w:bottom w:val="single" w:sz="4" w:space="0" w:color="auto"/>
              <w:right w:val="single" w:sz="4" w:space="0" w:color="auto"/>
            </w:tcBorders>
            <w:shd w:val="clear" w:color="auto" w:fill="auto"/>
          </w:tcPr>
          <w:p w14:paraId="56ACE89E" w14:textId="6BDBC20A" w:rsidR="00352D1F" w:rsidRPr="002661A8" w:rsidRDefault="00974429" w:rsidP="00B4176F">
            <w:pPr>
              <w:jc w:val="center"/>
              <w:rPr>
                <w:noProof/>
              </w:rPr>
            </w:pPr>
            <w:r w:rsidRPr="002661A8">
              <w:rPr>
                <w:noProof/>
              </w:rPr>
              <w:t>+-</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4264E544" w14:textId="0D4711E8" w:rsidR="00352D1F" w:rsidRPr="002661A8" w:rsidRDefault="00974429" w:rsidP="00B4176F">
            <w:pPr>
              <w:jc w:val="center"/>
              <w:rPr>
                <w:noProof/>
              </w:rPr>
            </w:pPr>
            <w:r w:rsidRPr="002661A8">
              <w:rPr>
                <w:noProof/>
              </w:rPr>
              <w:t>+</w:t>
            </w:r>
            <w:r w:rsidR="002B669D" w:rsidRPr="002661A8">
              <w:rPr>
                <w:noProof/>
              </w:rPr>
              <w:t>+</w:t>
            </w:r>
          </w:p>
        </w:tc>
        <w:tc>
          <w:tcPr>
            <w:tcW w:w="1646" w:type="dxa"/>
            <w:tcBorders>
              <w:top w:val="single" w:sz="4" w:space="0" w:color="auto"/>
              <w:left w:val="single" w:sz="4" w:space="0" w:color="auto"/>
              <w:bottom w:val="single" w:sz="4" w:space="0" w:color="auto"/>
              <w:right w:val="single" w:sz="4" w:space="0" w:color="auto"/>
            </w:tcBorders>
          </w:tcPr>
          <w:p w14:paraId="33BC42D0" w14:textId="240D00DE" w:rsidR="00352D1F" w:rsidRPr="002661A8" w:rsidRDefault="00974429" w:rsidP="00B4176F">
            <w:pPr>
              <w:jc w:val="center"/>
              <w:rPr>
                <w:b/>
                <w:noProof/>
              </w:rPr>
            </w:pPr>
            <w:r w:rsidRPr="002661A8">
              <w:rPr>
                <w:b/>
                <w:noProof/>
              </w:rPr>
              <w:t>+</w:t>
            </w:r>
            <w:r w:rsidR="002B669D" w:rsidRPr="002661A8">
              <w:rPr>
                <w:b/>
                <w:noProof/>
              </w:rPr>
              <w:t>+</w:t>
            </w:r>
          </w:p>
        </w:tc>
        <w:tc>
          <w:tcPr>
            <w:tcW w:w="1972" w:type="dxa"/>
            <w:tcBorders>
              <w:top w:val="single" w:sz="4" w:space="0" w:color="auto"/>
              <w:left w:val="single" w:sz="4" w:space="0" w:color="auto"/>
              <w:bottom w:val="single" w:sz="4" w:space="0" w:color="auto"/>
              <w:right w:val="single" w:sz="4" w:space="0" w:color="auto"/>
            </w:tcBorders>
            <w:shd w:val="clear" w:color="auto" w:fill="auto"/>
          </w:tcPr>
          <w:p w14:paraId="585BE89F" w14:textId="20236D79" w:rsidR="00352D1F" w:rsidRPr="002661A8" w:rsidRDefault="00974429" w:rsidP="00B4176F">
            <w:pPr>
              <w:jc w:val="center"/>
              <w:rPr>
                <w:noProof/>
              </w:rPr>
            </w:pPr>
            <w:r w:rsidRPr="002661A8">
              <w:rPr>
                <w:noProof/>
              </w:rPr>
              <w:t>--</w:t>
            </w:r>
          </w:p>
        </w:tc>
      </w:tr>
    </w:tbl>
    <w:p w14:paraId="74E64988" w14:textId="77777777" w:rsidR="00352D1F" w:rsidRPr="002661A8" w:rsidRDefault="00352D1F" w:rsidP="00352D1F">
      <w:pPr>
        <w:pStyle w:val="Text2"/>
        <w:spacing w:after="0"/>
        <w:ind w:left="0"/>
        <w:rPr>
          <w:noProof/>
          <w:sz w:val="12"/>
          <w:szCs w:val="12"/>
        </w:rPr>
      </w:pPr>
    </w:p>
    <w:p w14:paraId="419FCB56" w14:textId="77777777" w:rsidR="00352D1F" w:rsidRPr="002661A8" w:rsidRDefault="00352D1F" w:rsidP="00D521A6">
      <w:pPr>
        <w:pBdr>
          <w:top w:val="single" w:sz="4" w:space="1" w:color="auto"/>
          <w:left w:val="single" w:sz="4" w:space="4" w:color="auto"/>
          <w:bottom w:val="single" w:sz="4" w:space="1" w:color="auto"/>
          <w:right w:val="single" w:sz="4" w:space="4" w:color="auto"/>
        </w:pBdr>
        <w:spacing w:line="240" w:lineRule="auto"/>
        <w:ind w:left="709" w:hanging="709"/>
        <w:jc w:val="both"/>
        <w:rPr>
          <w:rFonts w:ascii="Times New Roman" w:hAnsi="Times New Roman" w:cs="Times New Roman"/>
          <w:noProof/>
          <w:sz w:val="20"/>
          <w:szCs w:val="20"/>
        </w:rPr>
      </w:pPr>
      <w:r w:rsidRPr="002661A8">
        <w:rPr>
          <w:rFonts w:ascii="Times New Roman" w:hAnsi="Times New Roman" w:cs="Times New Roman"/>
          <w:b/>
          <w:noProof/>
          <w:sz w:val="20"/>
          <w:szCs w:val="20"/>
          <w:u w:val="single"/>
        </w:rPr>
        <w:t>Legend</w:t>
      </w:r>
      <w:r w:rsidRPr="002661A8">
        <w:rPr>
          <w:rFonts w:ascii="Times New Roman" w:hAnsi="Times New Roman" w:cs="Times New Roman"/>
          <w:noProof/>
          <w:sz w:val="20"/>
          <w:szCs w:val="20"/>
        </w:rPr>
        <w:t xml:space="preserve">: </w:t>
      </w:r>
      <w:r w:rsidRPr="002661A8">
        <w:rPr>
          <w:rFonts w:ascii="Times New Roman" w:hAnsi="Times New Roman" w:cs="Times New Roman"/>
          <w:b/>
          <w:noProof/>
          <w:sz w:val="20"/>
          <w:szCs w:val="20"/>
        </w:rPr>
        <w:t>+++</w:t>
      </w:r>
      <w:r w:rsidRPr="002661A8">
        <w:rPr>
          <w:rFonts w:ascii="Times New Roman" w:hAnsi="Times New Roman" w:cs="Times New Roman"/>
          <w:noProof/>
          <w:sz w:val="20"/>
          <w:szCs w:val="20"/>
        </w:rPr>
        <w:t xml:space="preserve"> = Very positive</w:t>
      </w:r>
      <w:r w:rsidRPr="002661A8">
        <w:rPr>
          <w:rFonts w:ascii="Times New Roman" w:hAnsi="Times New Roman" w:cs="Times New Roman"/>
          <w:noProof/>
          <w:sz w:val="20"/>
          <w:szCs w:val="20"/>
        </w:rPr>
        <w:tab/>
      </w:r>
      <w:r w:rsidRPr="002661A8">
        <w:rPr>
          <w:rFonts w:ascii="Times New Roman" w:hAnsi="Times New Roman" w:cs="Times New Roman"/>
          <w:b/>
          <w:noProof/>
          <w:sz w:val="20"/>
          <w:szCs w:val="20"/>
        </w:rPr>
        <w:t>++</w:t>
      </w:r>
      <w:r w:rsidRPr="002661A8">
        <w:rPr>
          <w:rFonts w:ascii="Times New Roman" w:hAnsi="Times New Roman" w:cs="Times New Roman"/>
          <w:noProof/>
          <w:sz w:val="20"/>
          <w:szCs w:val="20"/>
        </w:rPr>
        <w:t xml:space="preserve"> = Positive</w:t>
      </w:r>
      <w:r w:rsidRPr="002661A8">
        <w:rPr>
          <w:rFonts w:ascii="Times New Roman" w:hAnsi="Times New Roman" w:cs="Times New Roman"/>
          <w:noProof/>
          <w:sz w:val="20"/>
          <w:szCs w:val="20"/>
        </w:rPr>
        <w:tab/>
      </w:r>
      <w:r w:rsidRPr="002661A8">
        <w:rPr>
          <w:rFonts w:ascii="Times New Roman" w:hAnsi="Times New Roman" w:cs="Times New Roman"/>
          <w:b/>
          <w:noProof/>
          <w:sz w:val="20"/>
          <w:szCs w:val="20"/>
        </w:rPr>
        <w:t>+</w:t>
      </w:r>
      <w:r w:rsidRPr="002661A8">
        <w:rPr>
          <w:rFonts w:ascii="Times New Roman" w:hAnsi="Times New Roman" w:cs="Times New Roman"/>
          <w:noProof/>
          <w:sz w:val="20"/>
          <w:szCs w:val="20"/>
        </w:rPr>
        <w:t xml:space="preserve"> = Slightly positive </w:t>
      </w:r>
      <w:r w:rsidRPr="002661A8">
        <w:rPr>
          <w:rFonts w:ascii="Times New Roman" w:hAnsi="Times New Roman" w:cs="Times New Roman"/>
          <w:noProof/>
          <w:sz w:val="20"/>
          <w:szCs w:val="20"/>
        </w:rPr>
        <w:tab/>
      </w:r>
      <w:r w:rsidRPr="002661A8">
        <w:rPr>
          <w:rFonts w:ascii="Times New Roman" w:hAnsi="Times New Roman" w:cs="Times New Roman"/>
          <w:b/>
          <w:noProof/>
          <w:sz w:val="20"/>
          <w:szCs w:val="20"/>
        </w:rPr>
        <w:t xml:space="preserve">+/- </w:t>
      </w:r>
      <w:r w:rsidRPr="002661A8">
        <w:rPr>
          <w:rFonts w:ascii="Times New Roman" w:hAnsi="Times New Roman" w:cs="Times New Roman"/>
          <w:noProof/>
          <w:sz w:val="20"/>
          <w:szCs w:val="20"/>
        </w:rPr>
        <w:t xml:space="preserve">= Mixed effect                </w:t>
      </w:r>
      <w:r w:rsidRPr="002661A8">
        <w:rPr>
          <w:rFonts w:ascii="Times New Roman" w:hAnsi="Times New Roman" w:cs="Times New Roman"/>
          <w:b/>
          <w:noProof/>
          <w:sz w:val="20"/>
          <w:szCs w:val="20"/>
        </w:rPr>
        <w:t>0</w:t>
      </w:r>
      <w:r w:rsidRPr="002661A8">
        <w:rPr>
          <w:rFonts w:ascii="Times New Roman" w:hAnsi="Times New Roman" w:cs="Times New Roman"/>
          <w:noProof/>
          <w:sz w:val="20"/>
          <w:szCs w:val="20"/>
        </w:rPr>
        <w:t xml:space="preserve"> = no effect</w:t>
      </w:r>
      <w:r w:rsidRPr="002661A8">
        <w:rPr>
          <w:rFonts w:ascii="Times New Roman" w:hAnsi="Times New Roman" w:cs="Times New Roman"/>
          <w:noProof/>
          <w:sz w:val="20"/>
          <w:szCs w:val="20"/>
        </w:rPr>
        <w:tab/>
      </w:r>
      <w:r w:rsidRPr="002661A8">
        <w:rPr>
          <w:rFonts w:ascii="Times New Roman" w:hAnsi="Times New Roman" w:cs="Times New Roman"/>
          <w:b/>
          <w:noProof/>
          <w:sz w:val="20"/>
          <w:szCs w:val="20"/>
        </w:rPr>
        <w:t>-</w:t>
      </w:r>
      <w:r w:rsidRPr="002661A8">
        <w:rPr>
          <w:rFonts w:ascii="Times New Roman" w:hAnsi="Times New Roman" w:cs="Times New Roman"/>
          <w:noProof/>
          <w:sz w:val="20"/>
          <w:szCs w:val="20"/>
        </w:rPr>
        <w:t xml:space="preserve"> = Slightly negative</w:t>
      </w:r>
      <w:r w:rsidRPr="002661A8">
        <w:rPr>
          <w:rFonts w:ascii="Times New Roman" w:hAnsi="Times New Roman" w:cs="Times New Roman"/>
          <w:noProof/>
          <w:sz w:val="20"/>
          <w:szCs w:val="20"/>
        </w:rPr>
        <w:tab/>
      </w:r>
      <w:r w:rsidRPr="002661A8">
        <w:rPr>
          <w:rFonts w:ascii="Times New Roman" w:hAnsi="Times New Roman" w:cs="Times New Roman"/>
          <w:b/>
          <w:noProof/>
          <w:sz w:val="20"/>
          <w:szCs w:val="20"/>
        </w:rPr>
        <w:t>--</w:t>
      </w:r>
      <w:r w:rsidRPr="002661A8">
        <w:rPr>
          <w:rFonts w:ascii="Times New Roman" w:hAnsi="Times New Roman" w:cs="Times New Roman"/>
          <w:noProof/>
          <w:sz w:val="20"/>
          <w:szCs w:val="20"/>
        </w:rPr>
        <w:t xml:space="preserve"> = Negative</w:t>
      </w:r>
      <w:r w:rsidRPr="002661A8">
        <w:rPr>
          <w:rFonts w:ascii="Times New Roman" w:hAnsi="Times New Roman" w:cs="Times New Roman"/>
          <w:noProof/>
          <w:sz w:val="20"/>
          <w:szCs w:val="20"/>
        </w:rPr>
        <w:tab/>
      </w:r>
      <w:r w:rsidRPr="002661A8">
        <w:rPr>
          <w:rFonts w:ascii="Times New Roman" w:hAnsi="Times New Roman" w:cs="Times New Roman"/>
          <w:b/>
          <w:noProof/>
          <w:sz w:val="20"/>
          <w:szCs w:val="20"/>
        </w:rPr>
        <w:t>---</w:t>
      </w:r>
      <w:r w:rsidRPr="002661A8">
        <w:rPr>
          <w:rFonts w:ascii="Times New Roman" w:hAnsi="Times New Roman" w:cs="Times New Roman"/>
          <w:noProof/>
          <w:sz w:val="20"/>
          <w:szCs w:val="20"/>
        </w:rPr>
        <w:t xml:space="preserve"> = very negative</w:t>
      </w:r>
    </w:p>
    <w:p w14:paraId="725C7E87" w14:textId="1EC36891" w:rsidR="006B087E" w:rsidRPr="002661A8" w:rsidRDefault="3FA542DF" w:rsidP="00ED5088">
      <w:pPr>
        <w:pStyle w:val="Heading1"/>
        <w:numPr>
          <w:ilvl w:val="0"/>
          <w:numId w:val="6"/>
        </w:numPr>
        <w:spacing w:before="0" w:after="120"/>
        <w:rPr>
          <w:noProof/>
        </w:rPr>
      </w:pPr>
      <w:bookmarkStart w:id="1222" w:name="_Toc103337532"/>
      <w:bookmarkStart w:id="1223" w:name="_Toc104310022"/>
      <w:bookmarkStart w:id="1224" w:name="_Toc105656462"/>
      <w:bookmarkStart w:id="1225" w:name="_Toc106827862"/>
      <w:bookmarkStart w:id="1226" w:name="_Toc106981737"/>
      <w:bookmarkStart w:id="1227" w:name="_Toc107493877"/>
      <w:bookmarkStart w:id="1228" w:name="_Toc107497913"/>
      <w:bookmarkStart w:id="1229" w:name="_Toc107503466"/>
      <w:bookmarkStart w:id="1230" w:name="_Toc107504614"/>
      <w:bookmarkStart w:id="1231" w:name="_Toc107505459"/>
      <w:bookmarkStart w:id="1232" w:name="_Toc107838935"/>
      <w:bookmarkStart w:id="1233" w:name="_Toc107847030"/>
      <w:bookmarkStart w:id="1234" w:name="_Toc107849267"/>
      <w:bookmarkStart w:id="1235" w:name="_Toc107853714"/>
      <w:bookmarkStart w:id="1236" w:name="_Toc108539831"/>
      <w:bookmarkStart w:id="1237" w:name="_Toc108539949"/>
      <w:bookmarkStart w:id="1238" w:name="_Toc109057407"/>
      <w:bookmarkStart w:id="1239" w:name="_Toc109120773"/>
      <w:bookmarkStart w:id="1240" w:name="_Toc109122408"/>
      <w:bookmarkStart w:id="1241" w:name="_Toc109133145"/>
      <w:bookmarkStart w:id="1242" w:name="_Toc120291679"/>
      <w:r w:rsidRPr="002661A8">
        <w:rPr>
          <w:noProof/>
        </w:rPr>
        <w:t>Preferred option</w:t>
      </w:r>
      <w:r w:rsidR="000D6895" w:rsidRPr="002661A8">
        <w:rPr>
          <w:noProof/>
        </w:rPr>
        <w:t>s</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616F0344" w14:textId="6973AA3A" w:rsidR="006B087E" w:rsidRPr="002661A8" w:rsidRDefault="009B3ADD" w:rsidP="00ED5088">
      <w:pPr>
        <w:pStyle w:val="Heading1"/>
        <w:numPr>
          <w:ilvl w:val="1"/>
          <w:numId w:val="6"/>
        </w:numPr>
        <w:spacing w:before="0" w:after="120"/>
        <w:rPr>
          <w:smallCaps w:val="0"/>
          <w:noProof/>
        </w:rPr>
      </w:pPr>
      <w:bookmarkStart w:id="1243" w:name="_Toc103337533"/>
      <w:bookmarkStart w:id="1244" w:name="_Toc104310023"/>
      <w:bookmarkStart w:id="1245" w:name="_Toc105656463"/>
      <w:bookmarkStart w:id="1246" w:name="_Toc106827863"/>
      <w:bookmarkStart w:id="1247" w:name="_Toc107838936"/>
      <w:bookmarkStart w:id="1248" w:name="_Toc106981738"/>
      <w:bookmarkStart w:id="1249" w:name="_Toc107493878"/>
      <w:bookmarkStart w:id="1250" w:name="_Toc107497914"/>
      <w:bookmarkStart w:id="1251" w:name="_Toc107503467"/>
      <w:bookmarkStart w:id="1252" w:name="_Toc107504615"/>
      <w:bookmarkStart w:id="1253" w:name="_Toc107505460"/>
      <w:bookmarkStart w:id="1254" w:name="_Toc107847031"/>
      <w:bookmarkStart w:id="1255" w:name="_Toc107849268"/>
      <w:bookmarkStart w:id="1256" w:name="_Toc107853715"/>
      <w:bookmarkStart w:id="1257" w:name="_Toc108539832"/>
      <w:bookmarkStart w:id="1258" w:name="_Toc108539950"/>
      <w:bookmarkStart w:id="1259" w:name="_Toc109057408"/>
      <w:bookmarkStart w:id="1260" w:name="_Toc109120774"/>
      <w:bookmarkStart w:id="1261" w:name="_Toc109122409"/>
      <w:bookmarkStart w:id="1262" w:name="_Toc109133146"/>
      <w:bookmarkStart w:id="1263" w:name="_Toc120291680"/>
      <w:r w:rsidRPr="002661A8">
        <w:rPr>
          <w:smallCaps w:val="0"/>
          <w:noProof/>
        </w:rPr>
        <w:t>Summary of the preferred package</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14:paraId="15566244" w14:textId="4B84263A" w:rsidR="00394F92" w:rsidRPr="002661A8" w:rsidRDefault="00F705E6" w:rsidP="00A61E96">
      <w:pPr>
        <w:pStyle w:val="Text2"/>
        <w:spacing w:after="120"/>
        <w:ind w:left="0"/>
        <w:rPr>
          <w:noProof/>
        </w:rPr>
      </w:pPr>
      <w:hyperlink w:anchor="_What_are_the_1" w:history="1">
        <w:r w:rsidR="00394F92" w:rsidRPr="002661A8">
          <w:rPr>
            <w:rStyle w:val="Hyperlink"/>
            <w:noProof/>
          </w:rPr>
          <w:t>Section 7</w:t>
        </w:r>
      </w:hyperlink>
      <w:r w:rsidR="00394F92" w:rsidRPr="002661A8">
        <w:rPr>
          <w:noProof/>
        </w:rPr>
        <w:t xml:space="preserve"> analyses and compares the policy options </w:t>
      </w:r>
      <w:r w:rsidR="008937B3" w:rsidRPr="002661A8">
        <w:rPr>
          <w:noProof/>
        </w:rPr>
        <w:t xml:space="preserve">and establishes a preferred option </w:t>
      </w:r>
      <w:r w:rsidR="00394F92" w:rsidRPr="002661A8">
        <w:rPr>
          <w:noProof/>
        </w:rPr>
        <w:t xml:space="preserve">for each </w:t>
      </w:r>
      <w:r w:rsidR="00E37BDC" w:rsidRPr="002661A8">
        <w:rPr>
          <w:noProof/>
        </w:rPr>
        <w:t xml:space="preserve">objective </w:t>
      </w:r>
      <w:r w:rsidR="00394F92" w:rsidRPr="002661A8">
        <w:rPr>
          <w:noProof/>
        </w:rPr>
        <w:t>considered in this impact assessment. Th</w:t>
      </w:r>
      <w:r w:rsidR="00D85CD7" w:rsidRPr="002661A8">
        <w:rPr>
          <w:noProof/>
        </w:rPr>
        <w:t xml:space="preserve">is </w:t>
      </w:r>
      <w:r w:rsidR="00394F92" w:rsidRPr="002661A8">
        <w:rPr>
          <w:noProof/>
        </w:rPr>
        <w:t xml:space="preserve">section </w:t>
      </w:r>
      <w:r w:rsidR="000573D6" w:rsidRPr="002661A8">
        <w:rPr>
          <w:noProof/>
        </w:rPr>
        <w:t xml:space="preserve">considers </w:t>
      </w:r>
      <w:r w:rsidR="00394F92" w:rsidRPr="002661A8">
        <w:rPr>
          <w:noProof/>
        </w:rPr>
        <w:t xml:space="preserve">why </w:t>
      </w:r>
      <w:r w:rsidR="008937B3" w:rsidRPr="002661A8">
        <w:rPr>
          <w:noProof/>
        </w:rPr>
        <w:t xml:space="preserve">the </w:t>
      </w:r>
      <w:r w:rsidR="00394F92" w:rsidRPr="002661A8">
        <w:rPr>
          <w:noProof/>
        </w:rPr>
        <w:t xml:space="preserve">preferred options </w:t>
      </w:r>
      <w:r w:rsidR="00BE48C8" w:rsidRPr="002661A8">
        <w:rPr>
          <w:noProof/>
        </w:rPr>
        <w:t>strike the appropriate balance</w:t>
      </w:r>
      <w:r w:rsidR="00394F92" w:rsidRPr="002661A8">
        <w:rPr>
          <w:noProof/>
        </w:rPr>
        <w:t xml:space="preserve"> between effectiveness and costs, hence </w:t>
      </w:r>
      <w:r w:rsidR="00F273DB" w:rsidRPr="002661A8">
        <w:rPr>
          <w:noProof/>
        </w:rPr>
        <w:t xml:space="preserve">are </w:t>
      </w:r>
      <w:r w:rsidR="00394F92" w:rsidRPr="002661A8">
        <w:rPr>
          <w:noProof/>
        </w:rPr>
        <w:t>the most proportionate and efficient one in the long run.</w:t>
      </w:r>
    </w:p>
    <w:p w14:paraId="7E50E941" w14:textId="74873D4C" w:rsidR="00394F92" w:rsidRPr="002661A8" w:rsidRDefault="00394F92" w:rsidP="00A61E96">
      <w:pPr>
        <w:pStyle w:val="Text2"/>
        <w:spacing w:after="120"/>
        <w:ind w:left="0"/>
        <w:rPr>
          <w:noProof/>
        </w:rPr>
      </w:pPr>
      <w:r w:rsidRPr="002661A8">
        <w:rPr>
          <w:b/>
          <w:noProof/>
        </w:rPr>
        <w:t>Supply side measures:</w:t>
      </w:r>
      <w:r w:rsidR="002760C9" w:rsidRPr="002661A8">
        <w:rPr>
          <w:noProof/>
        </w:rPr>
        <w:t xml:space="preserve"> </w:t>
      </w:r>
      <w:r w:rsidR="002760C9" w:rsidRPr="002661A8">
        <w:rPr>
          <w:b/>
          <w:noProof/>
        </w:rPr>
        <w:t xml:space="preserve">Option </w:t>
      </w:r>
      <w:r w:rsidR="00A8027C">
        <w:rPr>
          <w:b/>
          <w:noProof/>
        </w:rPr>
        <w:t>A</w:t>
      </w:r>
      <w:r w:rsidR="002760C9" w:rsidRPr="002661A8">
        <w:rPr>
          <w:b/>
          <w:noProof/>
        </w:rPr>
        <w:t xml:space="preserve">4 </w:t>
      </w:r>
      <w:r w:rsidR="002760C9" w:rsidRPr="002661A8">
        <w:rPr>
          <w:noProof/>
        </w:rPr>
        <w:t>(</w:t>
      </w:r>
      <w:r w:rsidR="002760C9" w:rsidRPr="002661A8">
        <w:rPr>
          <w:b/>
          <w:noProof/>
        </w:rPr>
        <w:t>combination of Option</w:t>
      </w:r>
      <w:r w:rsidR="00C00195" w:rsidRPr="002661A8">
        <w:rPr>
          <w:b/>
          <w:noProof/>
        </w:rPr>
        <w:t>s</w:t>
      </w:r>
      <w:r w:rsidR="002760C9" w:rsidRPr="002661A8">
        <w:rPr>
          <w:b/>
          <w:noProof/>
        </w:rPr>
        <w:t xml:space="preserve"> </w:t>
      </w:r>
      <w:r w:rsidR="00A8027C">
        <w:rPr>
          <w:b/>
          <w:noProof/>
        </w:rPr>
        <w:t>A</w:t>
      </w:r>
      <w:r w:rsidR="002760C9" w:rsidRPr="002661A8">
        <w:rPr>
          <w:b/>
          <w:noProof/>
        </w:rPr>
        <w:t>2</w:t>
      </w:r>
      <w:r w:rsidR="00C00195" w:rsidRPr="002661A8">
        <w:rPr>
          <w:noProof/>
        </w:rPr>
        <w:t xml:space="preserve"> (</w:t>
      </w:r>
      <w:r w:rsidR="002760C9" w:rsidRPr="002661A8">
        <w:rPr>
          <w:b/>
          <w:noProof/>
        </w:rPr>
        <w:t>simplify procedures</w:t>
      </w:r>
      <w:r w:rsidR="00C00195" w:rsidRPr="002661A8">
        <w:rPr>
          <w:noProof/>
        </w:rPr>
        <w:t>)</w:t>
      </w:r>
      <w:r w:rsidR="002760C9" w:rsidRPr="002661A8">
        <w:rPr>
          <w:noProof/>
        </w:rPr>
        <w:t xml:space="preserve"> </w:t>
      </w:r>
      <w:r w:rsidR="002760C9" w:rsidRPr="002661A8">
        <w:rPr>
          <w:b/>
          <w:noProof/>
        </w:rPr>
        <w:t>and</w:t>
      </w:r>
      <w:r w:rsidR="002760C9" w:rsidRPr="002661A8">
        <w:rPr>
          <w:noProof/>
        </w:rPr>
        <w:t xml:space="preserve"> </w:t>
      </w:r>
      <w:r w:rsidR="00A8027C">
        <w:rPr>
          <w:noProof/>
        </w:rPr>
        <w:t>A</w:t>
      </w:r>
      <w:r w:rsidR="002760C9" w:rsidRPr="002661A8">
        <w:rPr>
          <w:b/>
          <w:noProof/>
        </w:rPr>
        <w:t>3</w:t>
      </w:r>
      <w:r w:rsidR="002760C9" w:rsidRPr="002661A8">
        <w:rPr>
          <w:noProof/>
        </w:rPr>
        <w:t xml:space="preserve"> </w:t>
      </w:r>
      <w:r w:rsidR="00C00195" w:rsidRPr="002661A8">
        <w:rPr>
          <w:b/>
          <w:noProof/>
        </w:rPr>
        <w:t>(</w:t>
      </w:r>
      <w:r w:rsidR="002760C9" w:rsidRPr="002661A8">
        <w:rPr>
          <w:b/>
          <w:noProof/>
        </w:rPr>
        <w:t>introduce ex-post procedures</w:t>
      </w:r>
      <w:r w:rsidR="002760C9" w:rsidRPr="002661A8">
        <w:rPr>
          <w:noProof/>
        </w:rPr>
        <w:t>)</w:t>
      </w:r>
      <w:r w:rsidR="002760C9" w:rsidRPr="002661A8">
        <w:rPr>
          <w:b/>
          <w:noProof/>
        </w:rPr>
        <w:t xml:space="preserve"> is the preferred option</w:t>
      </w:r>
      <w:r w:rsidR="002760C9" w:rsidRPr="002661A8">
        <w:rPr>
          <w:noProof/>
        </w:rPr>
        <w:t xml:space="preserve">. </w:t>
      </w:r>
      <w:r w:rsidR="00CC6CE7" w:rsidRPr="002661A8">
        <w:rPr>
          <w:noProof/>
        </w:rPr>
        <w:t xml:space="preserve">It </w:t>
      </w:r>
      <w:r w:rsidR="005D39DF" w:rsidRPr="002661A8">
        <w:rPr>
          <w:noProof/>
        </w:rPr>
        <w:t xml:space="preserve">helps </w:t>
      </w:r>
      <w:r w:rsidR="00CC6CE7" w:rsidRPr="002661A8">
        <w:rPr>
          <w:noProof/>
        </w:rPr>
        <w:t xml:space="preserve">achieve the specific objectives of improving the </w:t>
      </w:r>
      <w:r w:rsidR="00FE4BB5" w:rsidRPr="002661A8">
        <w:rPr>
          <w:noProof/>
          <w:szCs w:val="24"/>
        </w:rPr>
        <w:t>attractiveness</w:t>
      </w:r>
      <w:r w:rsidR="00CC6CE7" w:rsidRPr="002661A8">
        <w:rPr>
          <w:noProof/>
        </w:rPr>
        <w:t xml:space="preserve"> of EU CCPs </w:t>
      </w:r>
      <w:r w:rsidR="005D71CE" w:rsidRPr="002661A8">
        <w:rPr>
          <w:noProof/>
        </w:rPr>
        <w:t xml:space="preserve">by allowing them to expand their offer or adjust </w:t>
      </w:r>
      <w:r w:rsidR="00935F21" w:rsidRPr="002661A8">
        <w:rPr>
          <w:noProof/>
        </w:rPr>
        <w:t xml:space="preserve">their </w:t>
      </w:r>
      <w:r w:rsidR="005D71CE" w:rsidRPr="002661A8">
        <w:rPr>
          <w:noProof/>
        </w:rPr>
        <w:t xml:space="preserve">risk models in a </w:t>
      </w:r>
      <w:r w:rsidR="00AA4990" w:rsidRPr="002661A8">
        <w:rPr>
          <w:noProof/>
        </w:rPr>
        <w:t xml:space="preserve">faster </w:t>
      </w:r>
      <w:r w:rsidR="005D71CE" w:rsidRPr="002661A8">
        <w:rPr>
          <w:noProof/>
        </w:rPr>
        <w:t xml:space="preserve">and more efficient manner. </w:t>
      </w:r>
      <w:r w:rsidR="00FA19F2" w:rsidRPr="002661A8">
        <w:rPr>
          <w:noProof/>
        </w:rPr>
        <w:t>These</w:t>
      </w:r>
      <w:r w:rsidR="005D71CE" w:rsidRPr="002661A8">
        <w:rPr>
          <w:noProof/>
        </w:rPr>
        <w:t xml:space="preserve"> will </w:t>
      </w:r>
      <w:r w:rsidR="008F5710" w:rsidRPr="002661A8">
        <w:rPr>
          <w:noProof/>
        </w:rPr>
        <w:t>reduce</w:t>
      </w:r>
      <w:r w:rsidR="005D71CE" w:rsidRPr="002661A8">
        <w:rPr>
          <w:noProof/>
        </w:rPr>
        <w:t xml:space="preserve"> expenses linked to regulatory compliance without compromising the </w:t>
      </w:r>
      <w:r w:rsidR="008F5710" w:rsidRPr="002661A8">
        <w:rPr>
          <w:noProof/>
        </w:rPr>
        <w:t xml:space="preserve">safety </w:t>
      </w:r>
      <w:r w:rsidR="005D71CE" w:rsidRPr="002661A8">
        <w:rPr>
          <w:noProof/>
        </w:rPr>
        <w:t xml:space="preserve">of CCPs’ operations. </w:t>
      </w:r>
      <w:r w:rsidR="005D39DF" w:rsidRPr="002661A8">
        <w:rPr>
          <w:noProof/>
        </w:rPr>
        <w:t xml:space="preserve">By enabling EU CCPs to respond </w:t>
      </w:r>
      <w:r w:rsidR="009D217A" w:rsidRPr="002661A8">
        <w:rPr>
          <w:noProof/>
        </w:rPr>
        <w:t>sooner</w:t>
      </w:r>
      <w:r w:rsidR="005D39DF" w:rsidRPr="002661A8">
        <w:rPr>
          <w:noProof/>
        </w:rPr>
        <w:t xml:space="preserve"> to market demands, it could help attract clearing business to the EU, particularly in new products and/or asset classes, reinforcing demand side</w:t>
      </w:r>
      <w:r w:rsidR="008F5710" w:rsidRPr="002661A8">
        <w:rPr>
          <w:noProof/>
        </w:rPr>
        <w:t xml:space="preserve"> measures</w:t>
      </w:r>
      <w:r w:rsidR="005D39DF" w:rsidRPr="002661A8">
        <w:rPr>
          <w:noProof/>
        </w:rPr>
        <w:t xml:space="preserve">. </w:t>
      </w:r>
      <w:r w:rsidR="00CD5EAA">
        <w:rPr>
          <w:noProof/>
        </w:rPr>
        <w:t xml:space="preserve">These options would require an amendment of EMIR, which currently sets out the </w:t>
      </w:r>
      <w:r w:rsidR="0038175B">
        <w:rPr>
          <w:noProof/>
        </w:rPr>
        <w:t>relevant</w:t>
      </w:r>
      <w:r w:rsidR="00CD5EAA">
        <w:rPr>
          <w:noProof/>
        </w:rPr>
        <w:t xml:space="preserve"> procedures. They should</w:t>
      </w:r>
      <w:r w:rsidR="00324045">
        <w:rPr>
          <w:noProof/>
        </w:rPr>
        <w:t>,</w:t>
      </w:r>
      <w:r w:rsidR="00CD5EAA">
        <w:rPr>
          <w:noProof/>
        </w:rPr>
        <w:t xml:space="preserve"> however</w:t>
      </w:r>
      <w:r w:rsidR="00324045">
        <w:rPr>
          <w:noProof/>
        </w:rPr>
        <w:t>,</w:t>
      </w:r>
      <w:r w:rsidR="00CD5EAA">
        <w:rPr>
          <w:noProof/>
        </w:rPr>
        <w:t xml:space="preserve"> be complemented by technical rules to, </w:t>
      </w:r>
      <w:r w:rsidR="0038175B">
        <w:rPr>
          <w:noProof/>
        </w:rPr>
        <w:t xml:space="preserve">e.g. </w:t>
      </w:r>
      <w:r w:rsidR="00CD5EAA">
        <w:rPr>
          <w:noProof/>
        </w:rPr>
        <w:t xml:space="preserve">specify the documentation to </w:t>
      </w:r>
      <w:r w:rsidR="00324045">
        <w:rPr>
          <w:noProof/>
        </w:rPr>
        <w:t xml:space="preserve">be </w:t>
      </w:r>
      <w:r w:rsidR="00CD5EAA">
        <w:rPr>
          <w:noProof/>
        </w:rPr>
        <w:t xml:space="preserve">provided and </w:t>
      </w:r>
      <w:r w:rsidR="0038175B">
        <w:rPr>
          <w:noProof/>
        </w:rPr>
        <w:t>its</w:t>
      </w:r>
      <w:r w:rsidR="00CD5EAA">
        <w:rPr>
          <w:noProof/>
        </w:rPr>
        <w:t xml:space="preserve"> format in order to provide legal certainty to CCPs and offer greater clarity and predictability, thus further shortening the processes.</w:t>
      </w:r>
    </w:p>
    <w:p w14:paraId="414042FC" w14:textId="7EAE2E76" w:rsidR="002C1EC8" w:rsidRDefault="00394F92" w:rsidP="00A61E96">
      <w:pPr>
        <w:pStyle w:val="Text2"/>
        <w:spacing w:after="120"/>
        <w:ind w:left="0"/>
        <w:rPr>
          <w:noProof/>
        </w:rPr>
      </w:pPr>
      <w:r w:rsidRPr="002661A8">
        <w:rPr>
          <w:b/>
          <w:noProof/>
        </w:rPr>
        <w:t xml:space="preserve">Demand side measures: </w:t>
      </w:r>
      <w:r w:rsidR="002760C9" w:rsidRPr="002661A8">
        <w:rPr>
          <w:b/>
          <w:noProof/>
        </w:rPr>
        <w:t xml:space="preserve">Option </w:t>
      </w:r>
      <w:r w:rsidR="00A8027C">
        <w:rPr>
          <w:b/>
          <w:noProof/>
        </w:rPr>
        <w:t>B</w:t>
      </w:r>
      <w:r w:rsidR="002760C9" w:rsidRPr="002661A8">
        <w:rPr>
          <w:b/>
          <w:noProof/>
        </w:rPr>
        <w:t>6 (combination of all options</w:t>
      </w:r>
      <w:r w:rsidR="00C00195" w:rsidRPr="002661A8">
        <w:rPr>
          <w:b/>
          <w:noProof/>
        </w:rPr>
        <w:t>, i.e.</w:t>
      </w:r>
      <w:r w:rsidR="002760C9" w:rsidRPr="002661A8">
        <w:rPr>
          <w:b/>
          <w:noProof/>
        </w:rPr>
        <w:t xml:space="preserve"> </w:t>
      </w:r>
      <w:r w:rsidR="007C4BE0" w:rsidRPr="002661A8">
        <w:rPr>
          <w:b/>
          <w:noProof/>
        </w:rPr>
        <w:t xml:space="preserve">disincentivise </w:t>
      </w:r>
      <w:r w:rsidR="002760C9" w:rsidRPr="002661A8">
        <w:rPr>
          <w:b/>
          <w:noProof/>
        </w:rPr>
        <w:t xml:space="preserve">participants’ </w:t>
      </w:r>
      <w:r w:rsidR="00F04AF9" w:rsidRPr="002661A8">
        <w:rPr>
          <w:b/>
          <w:noProof/>
        </w:rPr>
        <w:t xml:space="preserve">excessive </w:t>
      </w:r>
      <w:r w:rsidR="002760C9" w:rsidRPr="002661A8">
        <w:rPr>
          <w:b/>
          <w:noProof/>
        </w:rPr>
        <w:t>exposures to CCPs</w:t>
      </w:r>
      <w:r w:rsidR="008A78BB" w:rsidRPr="002661A8">
        <w:rPr>
          <w:b/>
          <w:noProof/>
        </w:rPr>
        <w:t xml:space="preserve"> </w:t>
      </w:r>
      <w:r w:rsidR="00C00195" w:rsidRPr="002661A8">
        <w:rPr>
          <w:b/>
          <w:noProof/>
        </w:rPr>
        <w:t xml:space="preserve">through </w:t>
      </w:r>
      <w:r w:rsidR="008A78BB" w:rsidRPr="002661A8">
        <w:rPr>
          <w:b/>
          <w:noProof/>
        </w:rPr>
        <w:t xml:space="preserve">Pillar 2 </w:t>
      </w:r>
      <w:r w:rsidR="00C00195" w:rsidRPr="002661A8">
        <w:rPr>
          <w:b/>
          <w:noProof/>
        </w:rPr>
        <w:t>measures</w:t>
      </w:r>
      <w:r w:rsidR="002760C9" w:rsidRPr="002661A8">
        <w:rPr>
          <w:b/>
          <w:noProof/>
        </w:rPr>
        <w:t xml:space="preserve">, </w:t>
      </w:r>
      <w:r w:rsidR="00324045">
        <w:rPr>
          <w:b/>
          <w:noProof/>
        </w:rPr>
        <w:t xml:space="preserve">require an </w:t>
      </w:r>
      <w:r w:rsidR="002760C9" w:rsidRPr="002661A8">
        <w:rPr>
          <w:b/>
          <w:noProof/>
        </w:rPr>
        <w:t>active account</w:t>
      </w:r>
      <w:r w:rsidR="00324045">
        <w:rPr>
          <w:b/>
          <w:noProof/>
        </w:rPr>
        <w:t xml:space="preserve"> at EU CCPs</w:t>
      </w:r>
      <w:r w:rsidR="002760C9" w:rsidRPr="002661A8">
        <w:rPr>
          <w:b/>
          <w:noProof/>
        </w:rPr>
        <w:t>, broaden the scope of market participants clearing in the EU, facilitate clearing by clients) is the preferred option</w:t>
      </w:r>
      <w:r w:rsidR="002760C9" w:rsidRPr="002661A8">
        <w:rPr>
          <w:noProof/>
        </w:rPr>
        <w:t xml:space="preserve">. </w:t>
      </w:r>
      <w:r w:rsidR="00C00195" w:rsidRPr="002661A8">
        <w:rPr>
          <w:noProof/>
        </w:rPr>
        <w:t>It</w:t>
      </w:r>
      <w:r w:rsidR="00FE0978" w:rsidRPr="002661A8">
        <w:rPr>
          <w:noProof/>
        </w:rPr>
        <w:t xml:space="preserve"> will foster greater demand for clearing in EU CCPs </w:t>
      </w:r>
      <w:r w:rsidR="008937B3" w:rsidRPr="002661A8">
        <w:rPr>
          <w:noProof/>
        </w:rPr>
        <w:t>and</w:t>
      </w:r>
      <w:r w:rsidR="00FE0978" w:rsidRPr="002661A8">
        <w:rPr>
          <w:noProof/>
        </w:rPr>
        <w:t xml:space="preserve"> a</w:t>
      </w:r>
      <w:r w:rsidR="008937B3" w:rsidRPr="002661A8">
        <w:rPr>
          <w:noProof/>
        </w:rPr>
        <w:t xml:space="preserve"> corresponding</w:t>
      </w:r>
      <w:r w:rsidR="00FE0978" w:rsidRPr="002661A8">
        <w:rPr>
          <w:noProof/>
        </w:rPr>
        <w:t xml:space="preserve"> reduction in the over</w:t>
      </w:r>
      <w:r w:rsidR="008A78BB" w:rsidRPr="002661A8">
        <w:rPr>
          <w:noProof/>
        </w:rPr>
        <w:t>-</w:t>
      </w:r>
      <w:r w:rsidR="00FE0978" w:rsidRPr="002661A8">
        <w:rPr>
          <w:noProof/>
        </w:rPr>
        <w:t xml:space="preserve">reliance </w:t>
      </w:r>
      <w:r w:rsidR="008937B3" w:rsidRPr="002661A8">
        <w:rPr>
          <w:noProof/>
        </w:rPr>
        <w:t xml:space="preserve">on </w:t>
      </w:r>
      <w:r w:rsidR="00FE0978" w:rsidRPr="002661A8">
        <w:rPr>
          <w:noProof/>
        </w:rPr>
        <w:t xml:space="preserve">systemic </w:t>
      </w:r>
      <w:r w:rsidR="00324045">
        <w:rPr>
          <w:noProof/>
        </w:rPr>
        <w:t>third-country</w:t>
      </w:r>
      <w:r w:rsidR="00FE0978" w:rsidRPr="002661A8">
        <w:rPr>
          <w:noProof/>
        </w:rPr>
        <w:t xml:space="preserve"> CCPs, contributing to the overarching goal of preserving</w:t>
      </w:r>
      <w:r w:rsidR="00C00195" w:rsidRPr="002661A8">
        <w:rPr>
          <w:noProof/>
        </w:rPr>
        <w:t xml:space="preserve"> EU</w:t>
      </w:r>
      <w:r w:rsidR="00FE0978" w:rsidRPr="002661A8">
        <w:rPr>
          <w:noProof/>
        </w:rPr>
        <w:t xml:space="preserve"> financial stability</w:t>
      </w:r>
      <w:r w:rsidR="00F1344B" w:rsidRPr="002661A8">
        <w:rPr>
          <w:noProof/>
        </w:rPr>
        <w:t xml:space="preserve"> while leaving enough flexibility to minimise the </w:t>
      </w:r>
      <w:r w:rsidR="00C00195" w:rsidRPr="002661A8">
        <w:rPr>
          <w:noProof/>
        </w:rPr>
        <w:t xml:space="preserve">measures’ </w:t>
      </w:r>
      <w:r w:rsidR="00F1344B" w:rsidRPr="002661A8">
        <w:rPr>
          <w:noProof/>
        </w:rPr>
        <w:t>potential costs through a proportionate approach</w:t>
      </w:r>
      <w:r w:rsidR="00FE0978" w:rsidRPr="002661A8">
        <w:rPr>
          <w:noProof/>
        </w:rPr>
        <w:t>.</w:t>
      </w:r>
      <w:r w:rsidR="00DF7307" w:rsidRPr="002661A8">
        <w:rPr>
          <w:noProof/>
        </w:rPr>
        <w:t xml:space="preserve"> The greater demand for clearing services provided by EU CCPs would be reinforced by </w:t>
      </w:r>
      <w:r w:rsidR="00C00195" w:rsidRPr="002661A8">
        <w:rPr>
          <w:noProof/>
        </w:rPr>
        <w:t xml:space="preserve">the aforementioned </w:t>
      </w:r>
      <w:r w:rsidR="00DF7307" w:rsidRPr="002661A8">
        <w:rPr>
          <w:noProof/>
        </w:rPr>
        <w:t>measures on the supply side</w:t>
      </w:r>
      <w:r w:rsidR="000B7C13" w:rsidRPr="002661A8">
        <w:rPr>
          <w:noProof/>
        </w:rPr>
        <w:t xml:space="preserve"> paving the way for market-led initiatives</w:t>
      </w:r>
      <w:r w:rsidR="00DF7307" w:rsidRPr="002661A8">
        <w:rPr>
          <w:noProof/>
        </w:rPr>
        <w:t>.</w:t>
      </w:r>
      <w:r w:rsidR="008937B3" w:rsidRPr="002661A8">
        <w:rPr>
          <w:noProof/>
        </w:rPr>
        <w:t xml:space="preserve"> </w:t>
      </w:r>
      <w:r w:rsidR="00A90172" w:rsidRPr="002661A8">
        <w:rPr>
          <w:noProof/>
        </w:rPr>
        <w:t>This, together with the specific design of the active account measure (e.g. gradual increase) can contribute to minimis</w:t>
      </w:r>
      <w:r w:rsidR="00324045">
        <w:rPr>
          <w:noProof/>
        </w:rPr>
        <w:t>ing</w:t>
      </w:r>
      <w:r w:rsidR="00A90172" w:rsidRPr="002661A8">
        <w:rPr>
          <w:noProof/>
        </w:rPr>
        <w:t xml:space="preserve"> costs for clearing participants.</w:t>
      </w:r>
      <w:r w:rsidR="008937B3" w:rsidRPr="002661A8">
        <w:rPr>
          <w:noProof/>
        </w:rPr>
        <w:t xml:space="preserve"> </w:t>
      </w:r>
      <w:r w:rsidR="00A046F1" w:rsidRPr="002661A8">
        <w:rPr>
          <w:noProof/>
        </w:rPr>
        <w:t>Simultaneously</w:t>
      </w:r>
      <w:r w:rsidR="008937B3" w:rsidRPr="002661A8">
        <w:rPr>
          <w:noProof/>
        </w:rPr>
        <w:t xml:space="preserve">, this increases </w:t>
      </w:r>
      <w:r w:rsidR="00C00195" w:rsidRPr="002661A8">
        <w:rPr>
          <w:noProof/>
        </w:rPr>
        <w:t xml:space="preserve">the </w:t>
      </w:r>
      <w:r w:rsidR="008937B3" w:rsidRPr="002661A8">
        <w:rPr>
          <w:noProof/>
        </w:rPr>
        <w:t>need to strengthen</w:t>
      </w:r>
      <w:r w:rsidR="00C00195" w:rsidRPr="002661A8">
        <w:rPr>
          <w:noProof/>
        </w:rPr>
        <w:t xml:space="preserve"> EU CCP</w:t>
      </w:r>
      <w:r w:rsidR="008937B3" w:rsidRPr="002661A8">
        <w:rPr>
          <w:noProof/>
        </w:rPr>
        <w:t xml:space="preserve"> supervision in the single market. </w:t>
      </w:r>
    </w:p>
    <w:p w14:paraId="1F300D50" w14:textId="0B614F56" w:rsidR="00394F92" w:rsidRPr="002661A8" w:rsidRDefault="00CD5EAA" w:rsidP="00A61E96">
      <w:pPr>
        <w:pStyle w:val="Text2"/>
        <w:spacing w:after="120"/>
        <w:ind w:left="0"/>
        <w:rPr>
          <w:b/>
          <w:noProof/>
        </w:rPr>
      </w:pPr>
      <w:r>
        <w:rPr>
          <w:noProof/>
        </w:rPr>
        <w:t xml:space="preserve">These measures would require a combination of different tools. Legislative changes would be required </w:t>
      </w:r>
      <w:r w:rsidR="0038175B">
        <w:rPr>
          <w:noProof/>
        </w:rPr>
        <w:t>in</w:t>
      </w:r>
      <w:r>
        <w:rPr>
          <w:noProof/>
        </w:rPr>
        <w:t xml:space="preserve"> EMIR and CRR to introduce the active account </w:t>
      </w:r>
      <w:r w:rsidR="0038175B">
        <w:rPr>
          <w:noProof/>
        </w:rPr>
        <w:t>requirement</w:t>
      </w:r>
      <w:r>
        <w:rPr>
          <w:noProof/>
        </w:rPr>
        <w:t xml:space="preserve"> and</w:t>
      </w:r>
      <w:r w:rsidR="0038175B">
        <w:rPr>
          <w:noProof/>
        </w:rPr>
        <w:t xml:space="preserve"> the</w:t>
      </w:r>
      <w:r>
        <w:rPr>
          <w:noProof/>
        </w:rPr>
        <w:t xml:space="preserve"> Pillar 2 measures as well as technical rules (</w:t>
      </w:r>
      <w:r w:rsidR="0038175B">
        <w:rPr>
          <w:noProof/>
        </w:rPr>
        <w:t>level 2 acts, RTS to be adopted by the Commission following a draft proposed by ESMA</w:t>
      </w:r>
      <w:r>
        <w:rPr>
          <w:noProof/>
        </w:rPr>
        <w:t xml:space="preserve">) to specify the operational implementation of </w:t>
      </w:r>
      <w:r w:rsidR="00A969EF">
        <w:rPr>
          <w:noProof/>
        </w:rPr>
        <w:t xml:space="preserve">certain </w:t>
      </w:r>
      <w:r>
        <w:rPr>
          <w:noProof/>
        </w:rPr>
        <w:t xml:space="preserve">rules. Measures to facilitate client clearing, would also, in some cases, require </w:t>
      </w:r>
      <w:r w:rsidR="00A969EF">
        <w:rPr>
          <w:noProof/>
        </w:rPr>
        <w:t xml:space="preserve">targeted </w:t>
      </w:r>
      <w:r>
        <w:rPr>
          <w:noProof/>
        </w:rPr>
        <w:t>modification</w:t>
      </w:r>
      <w:r w:rsidR="00A969EF">
        <w:rPr>
          <w:noProof/>
        </w:rPr>
        <w:t>s</w:t>
      </w:r>
      <w:r>
        <w:rPr>
          <w:noProof/>
        </w:rPr>
        <w:t xml:space="preserve"> of level 1, notably </w:t>
      </w:r>
      <w:r w:rsidR="0038175B">
        <w:rPr>
          <w:noProof/>
        </w:rPr>
        <w:t xml:space="preserve">the </w:t>
      </w:r>
      <w:r>
        <w:rPr>
          <w:noProof/>
        </w:rPr>
        <w:t>UCITS Directive</w:t>
      </w:r>
      <w:r w:rsidR="00A969EF">
        <w:rPr>
          <w:noProof/>
        </w:rPr>
        <w:t>,</w:t>
      </w:r>
      <w:r>
        <w:rPr>
          <w:noProof/>
        </w:rPr>
        <w:t xml:space="preserve"> </w:t>
      </w:r>
      <w:r w:rsidR="0038175B">
        <w:rPr>
          <w:noProof/>
        </w:rPr>
        <w:t xml:space="preserve">the </w:t>
      </w:r>
      <w:r>
        <w:rPr>
          <w:noProof/>
        </w:rPr>
        <w:t>MMF Regulation</w:t>
      </w:r>
      <w:r w:rsidR="00A969EF" w:rsidRPr="00A969EF">
        <w:rPr>
          <w:noProof/>
        </w:rPr>
        <w:t xml:space="preserve"> </w:t>
      </w:r>
      <w:r w:rsidR="00A969EF">
        <w:rPr>
          <w:noProof/>
        </w:rPr>
        <w:t>and EMIR</w:t>
      </w:r>
      <w:r>
        <w:rPr>
          <w:noProof/>
        </w:rPr>
        <w:t xml:space="preserve">. </w:t>
      </w:r>
      <w:r w:rsidR="0038175B">
        <w:rPr>
          <w:noProof/>
        </w:rPr>
        <w:t>ESMA, and the other EU bodies</w:t>
      </w:r>
      <w:r w:rsidR="00A969EF">
        <w:rPr>
          <w:noProof/>
        </w:rPr>
        <w:t>,</w:t>
      </w:r>
      <w:r w:rsidR="0038175B" w:rsidDel="00A969EF">
        <w:rPr>
          <w:noProof/>
        </w:rPr>
        <w:t xml:space="preserve"> </w:t>
      </w:r>
      <w:r w:rsidR="0038175B">
        <w:rPr>
          <w:noProof/>
        </w:rPr>
        <w:t>will consult before proposing the relevant rules</w:t>
      </w:r>
      <w:r w:rsidR="00B778EE">
        <w:rPr>
          <w:noProof/>
        </w:rPr>
        <w:t>. It is understood that those entities</w:t>
      </w:r>
      <w:r>
        <w:rPr>
          <w:noProof/>
        </w:rPr>
        <w:t xml:space="preserve"> would have access to more data</w:t>
      </w:r>
      <w:r w:rsidR="0038175B">
        <w:rPr>
          <w:noProof/>
        </w:rPr>
        <w:t xml:space="preserve"> than the Commission</w:t>
      </w:r>
      <w:r>
        <w:rPr>
          <w:noProof/>
        </w:rPr>
        <w:t xml:space="preserve">, </w:t>
      </w:r>
      <w:r w:rsidR="0038175B">
        <w:rPr>
          <w:noProof/>
        </w:rPr>
        <w:t xml:space="preserve">and </w:t>
      </w:r>
      <w:r>
        <w:rPr>
          <w:noProof/>
        </w:rPr>
        <w:t xml:space="preserve">thus </w:t>
      </w:r>
      <w:r w:rsidR="0038175B">
        <w:rPr>
          <w:noProof/>
        </w:rPr>
        <w:t>would</w:t>
      </w:r>
      <w:r>
        <w:rPr>
          <w:noProof/>
        </w:rPr>
        <w:t xml:space="preserve"> be able to ensure careful and appropriate calibration</w:t>
      </w:r>
      <w:r w:rsidR="00B778EE">
        <w:rPr>
          <w:noProof/>
        </w:rPr>
        <w:t xml:space="preserve">s </w:t>
      </w:r>
      <w:r w:rsidR="00324045">
        <w:rPr>
          <w:noProof/>
        </w:rPr>
        <w:t xml:space="preserve">in </w:t>
      </w:r>
      <w:r w:rsidR="00B778EE">
        <w:rPr>
          <w:noProof/>
        </w:rPr>
        <w:t xml:space="preserve">the level 2 acts to ensure they would </w:t>
      </w:r>
      <w:r>
        <w:rPr>
          <w:noProof/>
        </w:rPr>
        <w:t xml:space="preserve">have the desired impact, while at the same time mitigating, to the extent possible, costs and benefits. Finally, as concerns </w:t>
      </w:r>
      <w:r w:rsidR="00B54DCD">
        <w:rPr>
          <w:noProof/>
        </w:rPr>
        <w:t>measures to broaden the scope of clearing</w:t>
      </w:r>
      <w:r w:rsidR="00B778EE">
        <w:rPr>
          <w:noProof/>
        </w:rPr>
        <w:t xml:space="preserve"> by public entities</w:t>
      </w:r>
      <w:r w:rsidR="00B54DCD">
        <w:rPr>
          <w:noProof/>
        </w:rPr>
        <w:t>, this is something that could be implemented in a binding form through legislation, however it may be more appropriate</w:t>
      </w:r>
      <w:r w:rsidR="008F2D69">
        <w:rPr>
          <w:noProof/>
        </w:rPr>
        <w:t>,</w:t>
      </w:r>
      <w:r w:rsidR="00B54DCD">
        <w:rPr>
          <w:noProof/>
        </w:rPr>
        <w:t xml:space="preserve"> </w:t>
      </w:r>
      <w:r w:rsidR="0038175B">
        <w:rPr>
          <w:noProof/>
        </w:rPr>
        <w:t>as a first step</w:t>
      </w:r>
      <w:r w:rsidR="008F2D69">
        <w:rPr>
          <w:noProof/>
        </w:rPr>
        <w:t>,</w:t>
      </w:r>
      <w:r w:rsidR="00B54DCD">
        <w:rPr>
          <w:noProof/>
        </w:rPr>
        <w:t xml:space="preserve"> to communicate </w:t>
      </w:r>
      <w:r w:rsidR="0038175B">
        <w:rPr>
          <w:noProof/>
        </w:rPr>
        <w:t>in a non-binding manner</w:t>
      </w:r>
      <w:r w:rsidR="00B54DCD">
        <w:rPr>
          <w:noProof/>
        </w:rPr>
        <w:t xml:space="preserve"> on the needs for such action.</w:t>
      </w:r>
      <w:r>
        <w:rPr>
          <w:noProof/>
        </w:rPr>
        <w:t xml:space="preserve"> </w:t>
      </w:r>
    </w:p>
    <w:p w14:paraId="35AC6908" w14:textId="4EE5B89C" w:rsidR="00394F92" w:rsidRPr="002661A8" w:rsidRDefault="00394F92" w:rsidP="00A61E96">
      <w:pPr>
        <w:pStyle w:val="Text2"/>
        <w:spacing w:after="120"/>
        <w:ind w:left="0"/>
        <w:rPr>
          <w:noProof/>
        </w:rPr>
      </w:pPr>
      <w:r w:rsidRPr="002661A8">
        <w:rPr>
          <w:b/>
          <w:noProof/>
        </w:rPr>
        <w:t>Strengthened supervision:</w:t>
      </w:r>
      <w:r w:rsidR="00532145" w:rsidRPr="002661A8">
        <w:rPr>
          <w:b/>
          <w:noProof/>
        </w:rPr>
        <w:t xml:space="preserve"> </w:t>
      </w:r>
      <w:r w:rsidR="00483F1B" w:rsidRPr="002661A8">
        <w:rPr>
          <w:b/>
          <w:noProof/>
        </w:rPr>
        <w:t xml:space="preserve">Option </w:t>
      </w:r>
      <w:r w:rsidR="00A8027C">
        <w:rPr>
          <w:b/>
          <w:noProof/>
        </w:rPr>
        <w:t>C</w:t>
      </w:r>
      <w:r w:rsidR="00483F1B" w:rsidRPr="002661A8">
        <w:rPr>
          <w:b/>
          <w:noProof/>
        </w:rPr>
        <w:t xml:space="preserve">2 </w:t>
      </w:r>
      <w:r w:rsidR="00091092" w:rsidRPr="002661A8">
        <w:rPr>
          <w:b/>
          <w:noProof/>
        </w:rPr>
        <w:t>(</w:t>
      </w:r>
      <w:r w:rsidR="00483F1B" w:rsidRPr="002661A8">
        <w:rPr>
          <w:b/>
          <w:noProof/>
        </w:rPr>
        <w:t>targeted amendments to the current supervisory framework</w:t>
      </w:r>
      <w:r w:rsidR="00091092" w:rsidRPr="002661A8">
        <w:rPr>
          <w:b/>
          <w:noProof/>
        </w:rPr>
        <w:t>)</w:t>
      </w:r>
      <w:r w:rsidR="00483F1B" w:rsidRPr="002661A8">
        <w:rPr>
          <w:b/>
          <w:noProof/>
        </w:rPr>
        <w:t xml:space="preserve"> is the preferred option</w:t>
      </w:r>
      <w:r w:rsidR="00483F1B" w:rsidRPr="002661A8">
        <w:rPr>
          <w:noProof/>
        </w:rPr>
        <w:t xml:space="preserve">. The analysis shows it </w:t>
      </w:r>
      <w:r w:rsidR="00697A5F">
        <w:rPr>
          <w:noProof/>
        </w:rPr>
        <w:t xml:space="preserve">is </w:t>
      </w:r>
      <w:r w:rsidR="00091092" w:rsidRPr="002661A8">
        <w:rPr>
          <w:noProof/>
        </w:rPr>
        <w:t xml:space="preserve">the most efficient, </w:t>
      </w:r>
      <w:r w:rsidR="00877AC7" w:rsidRPr="002661A8">
        <w:rPr>
          <w:noProof/>
        </w:rPr>
        <w:t>albeit not necessarily the most effective</w:t>
      </w:r>
      <w:r w:rsidR="00C00195" w:rsidRPr="002661A8">
        <w:rPr>
          <w:noProof/>
        </w:rPr>
        <w:t>,</w:t>
      </w:r>
      <w:r w:rsidR="00877AC7" w:rsidRPr="002661A8">
        <w:rPr>
          <w:noProof/>
        </w:rPr>
        <w:t xml:space="preserve"> option </w:t>
      </w:r>
      <w:r w:rsidR="00AA4990" w:rsidRPr="002661A8">
        <w:rPr>
          <w:noProof/>
        </w:rPr>
        <w:t xml:space="preserve">to </w:t>
      </w:r>
      <w:r w:rsidR="00C00195" w:rsidRPr="002661A8">
        <w:rPr>
          <w:noProof/>
        </w:rPr>
        <w:t>enhance the assessment and management of</w:t>
      </w:r>
      <w:r w:rsidR="00AA4990" w:rsidRPr="002661A8">
        <w:rPr>
          <w:noProof/>
        </w:rPr>
        <w:t xml:space="preserve"> cross-border risks</w:t>
      </w:r>
      <w:r w:rsidR="00483F1B" w:rsidRPr="002661A8">
        <w:rPr>
          <w:noProof/>
        </w:rPr>
        <w:t xml:space="preserve">. </w:t>
      </w:r>
      <w:r w:rsidR="005118CB" w:rsidRPr="002661A8">
        <w:rPr>
          <w:noProof/>
        </w:rPr>
        <w:t>It is also politically more feasible and reduces c</w:t>
      </w:r>
      <w:r w:rsidR="00483F1B" w:rsidRPr="002661A8">
        <w:rPr>
          <w:noProof/>
        </w:rPr>
        <w:t xml:space="preserve">oncerns of certain </w:t>
      </w:r>
      <w:r w:rsidR="00C00195" w:rsidRPr="002661A8">
        <w:rPr>
          <w:noProof/>
        </w:rPr>
        <w:t>Member States</w:t>
      </w:r>
      <w:r w:rsidR="00483F1B" w:rsidRPr="002661A8">
        <w:rPr>
          <w:noProof/>
        </w:rPr>
        <w:t xml:space="preserve"> that their powers may be reduced and that </w:t>
      </w:r>
      <w:r w:rsidR="00C00195" w:rsidRPr="002661A8">
        <w:rPr>
          <w:noProof/>
        </w:rPr>
        <w:t>centralised</w:t>
      </w:r>
      <w:r w:rsidR="00483F1B" w:rsidRPr="002661A8">
        <w:rPr>
          <w:noProof/>
        </w:rPr>
        <w:t xml:space="preserve"> EU supervision </w:t>
      </w:r>
      <w:r w:rsidR="00217231" w:rsidRPr="002661A8">
        <w:rPr>
          <w:noProof/>
        </w:rPr>
        <w:t>would not be consistent with the</w:t>
      </w:r>
      <w:r w:rsidR="00C00195" w:rsidRPr="002661A8">
        <w:rPr>
          <w:noProof/>
        </w:rPr>
        <w:t xml:space="preserve"> fact that</w:t>
      </w:r>
      <w:r w:rsidR="00217231" w:rsidRPr="002661A8">
        <w:rPr>
          <w:noProof/>
        </w:rPr>
        <w:t xml:space="preserve"> ultimate</w:t>
      </w:r>
      <w:r w:rsidR="00C00195" w:rsidRPr="002661A8">
        <w:rPr>
          <w:noProof/>
        </w:rPr>
        <w:t>ly the</w:t>
      </w:r>
      <w:r w:rsidR="00217231" w:rsidRPr="002661A8">
        <w:rPr>
          <w:noProof/>
        </w:rPr>
        <w:t xml:space="preserve"> responsibility for potentially supporting a CCP in a crisis</w:t>
      </w:r>
      <w:r w:rsidR="00C00195" w:rsidRPr="002661A8">
        <w:rPr>
          <w:noProof/>
        </w:rPr>
        <w:t xml:space="preserve"> </w:t>
      </w:r>
      <w:r w:rsidR="00217231" w:rsidRPr="002661A8">
        <w:rPr>
          <w:noProof/>
        </w:rPr>
        <w:t>remain</w:t>
      </w:r>
      <w:r w:rsidR="00C00195" w:rsidRPr="002661A8">
        <w:rPr>
          <w:noProof/>
        </w:rPr>
        <w:t>s</w:t>
      </w:r>
      <w:r w:rsidR="00217231" w:rsidRPr="002661A8">
        <w:rPr>
          <w:noProof/>
        </w:rPr>
        <w:t xml:space="preserve"> with </w:t>
      </w:r>
      <w:r w:rsidR="00C00195" w:rsidRPr="002661A8">
        <w:rPr>
          <w:noProof/>
        </w:rPr>
        <w:t xml:space="preserve">that CCP’s </w:t>
      </w:r>
      <w:r w:rsidR="00217231" w:rsidRPr="002661A8">
        <w:rPr>
          <w:noProof/>
        </w:rPr>
        <w:t>Member State of establishment</w:t>
      </w:r>
      <w:r w:rsidR="00483F1B" w:rsidRPr="002661A8">
        <w:rPr>
          <w:noProof/>
        </w:rPr>
        <w:t>.</w:t>
      </w:r>
      <w:r w:rsidR="00B54DCD">
        <w:rPr>
          <w:noProof/>
        </w:rPr>
        <w:t xml:space="preserve"> These options would require an amendment of EMIR, which currently sets out the supervisory framework for EU CCPs</w:t>
      </w:r>
      <w:r w:rsidR="00890D9B">
        <w:rPr>
          <w:noProof/>
        </w:rPr>
        <w:t xml:space="preserve"> to introduce targeted changes on supervision and emergency management, and to include the new functions of the joint supervisory teams </w:t>
      </w:r>
      <w:r w:rsidR="00A953B5">
        <w:rPr>
          <w:noProof/>
        </w:rPr>
        <w:t>to assist on certain aspects of the supervision and the j</w:t>
      </w:r>
      <w:r w:rsidR="00890D9B">
        <w:rPr>
          <w:noProof/>
        </w:rPr>
        <w:t>oint monitoring mechanism</w:t>
      </w:r>
      <w:r w:rsidR="00A953B5">
        <w:rPr>
          <w:noProof/>
        </w:rPr>
        <w:t xml:space="preserve"> established to assess the overall clearing in EU CCPs, aspects related to client clearing and union-wide </w:t>
      </w:r>
      <w:r w:rsidR="00C32B8C">
        <w:rPr>
          <w:noProof/>
        </w:rPr>
        <w:t>assessment</w:t>
      </w:r>
      <w:r w:rsidR="00A953B5">
        <w:rPr>
          <w:noProof/>
        </w:rPr>
        <w:t xml:space="preserve">. </w:t>
      </w:r>
      <w:r w:rsidR="00890D9B" w:rsidRPr="00890D9B">
        <w:rPr>
          <w:noProof/>
        </w:rPr>
        <w:t>ESMA, in cooperation with the other bodies participating to the Joint Monitoring Mechanism, could be requested to submit an annual report on the results of their monitoring activity</w:t>
      </w:r>
      <w:r w:rsidR="00A953B5">
        <w:rPr>
          <w:noProof/>
        </w:rPr>
        <w:t xml:space="preserve"> to the European Parliament, the Council and the Commission.</w:t>
      </w:r>
      <w:r w:rsidR="00B54DCD">
        <w:rPr>
          <w:noProof/>
        </w:rPr>
        <w:t xml:space="preserve"> </w:t>
      </w:r>
    </w:p>
    <w:p w14:paraId="48DBD97D" w14:textId="7B20DFF8" w:rsidR="009B3ADD" w:rsidRPr="002661A8" w:rsidRDefault="009B3ADD" w:rsidP="00ED5088">
      <w:pPr>
        <w:pStyle w:val="Heading1"/>
        <w:numPr>
          <w:ilvl w:val="1"/>
          <w:numId w:val="6"/>
        </w:numPr>
        <w:spacing w:before="0" w:after="120"/>
        <w:rPr>
          <w:smallCaps w:val="0"/>
          <w:noProof/>
        </w:rPr>
      </w:pPr>
      <w:bookmarkStart w:id="1264" w:name="_Toc103337534"/>
      <w:bookmarkStart w:id="1265" w:name="_Toc104310024"/>
      <w:bookmarkStart w:id="1266" w:name="_Toc105656464"/>
      <w:bookmarkStart w:id="1267" w:name="_Toc106827864"/>
      <w:bookmarkStart w:id="1268" w:name="_Toc106981739"/>
      <w:bookmarkStart w:id="1269" w:name="_Toc107503468"/>
      <w:bookmarkStart w:id="1270" w:name="_Toc107493879"/>
      <w:bookmarkStart w:id="1271" w:name="_Toc107497915"/>
      <w:bookmarkStart w:id="1272" w:name="_Toc107504616"/>
      <w:bookmarkStart w:id="1273" w:name="_Toc107505461"/>
      <w:bookmarkStart w:id="1274" w:name="_Toc107838937"/>
      <w:bookmarkStart w:id="1275" w:name="_Toc107847032"/>
      <w:bookmarkStart w:id="1276" w:name="_Toc107849269"/>
      <w:bookmarkStart w:id="1277" w:name="_Toc107853716"/>
      <w:bookmarkStart w:id="1278" w:name="_Toc108539833"/>
      <w:bookmarkStart w:id="1279" w:name="_Toc108539951"/>
      <w:bookmarkStart w:id="1280" w:name="_Toc109057409"/>
      <w:bookmarkStart w:id="1281" w:name="_Toc109120775"/>
      <w:bookmarkStart w:id="1282" w:name="_Toc109122410"/>
      <w:bookmarkStart w:id="1283" w:name="_Toc109133147"/>
      <w:bookmarkStart w:id="1284" w:name="_Toc120291681"/>
      <w:r w:rsidRPr="002661A8">
        <w:rPr>
          <w:smallCaps w:val="0"/>
          <w:noProof/>
        </w:rPr>
        <w:t>Combined impacts</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14:paraId="7F1EFD71" w14:textId="61F55914" w:rsidR="009B3ADD" w:rsidRPr="002661A8" w:rsidRDefault="009B3ADD" w:rsidP="00ED5088">
      <w:pPr>
        <w:pStyle w:val="Heading1"/>
        <w:numPr>
          <w:ilvl w:val="2"/>
          <w:numId w:val="6"/>
        </w:numPr>
        <w:spacing w:before="0" w:after="120"/>
        <w:rPr>
          <w:b w:val="0"/>
          <w:i/>
          <w:noProof/>
        </w:rPr>
      </w:pPr>
      <w:bookmarkStart w:id="1285" w:name="_Toc82710787"/>
      <w:bookmarkStart w:id="1286" w:name="_Toc82711041"/>
      <w:bookmarkStart w:id="1287" w:name="_Toc82712939"/>
      <w:bookmarkStart w:id="1288" w:name="_Toc82716916"/>
      <w:bookmarkStart w:id="1289" w:name="_Toc83227196"/>
      <w:bookmarkStart w:id="1290" w:name="_Toc83227879"/>
      <w:bookmarkStart w:id="1291" w:name="_Toc83229502"/>
      <w:bookmarkStart w:id="1292" w:name="_Toc83277648"/>
      <w:bookmarkStart w:id="1293" w:name="_Toc83741001"/>
      <w:bookmarkStart w:id="1294" w:name="_Toc83741133"/>
      <w:bookmarkStart w:id="1295" w:name="_Toc83744534"/>
      <w:bookmarkStart w:id="1296" w:name="_Toc90571182"/>
      <w:bookmarkStart w:id="1297" w:name="_Toc90573483"/>
      <w:bookmarkStart w:id="1298" w:name="_Toc103337535"/>
      <w:bookmarkStart w:id="1299" w:name="_Toc104310025"/>
      <w:bookmarkStart w:id="1300" w:name="_Toc105656465"/>
      <w:bookmarkStart w:id="1301" w:name="_Toc106827865"/>
      <w:bookmarkStart w:id="1302" w:name="_Toc106981740"/>
      <w:bookmarkStart w:id="1303" w:name="_Toc107493880"/>
      <w:bookmarkStart w:id="1304" w:name="_Toc107497916"/>
      <w:bookmarkStart w:id="1305" w:name="_Toc107503469"/>
      <w:bookmarkStart w:id="1306" w:name="_Toc107504617"/>
      <w:bookmarkStart w:id="1307" w:name="_Toc107505462"/>
      <w:bookmarkStart w:id="1308" w:name="_Toc107838938"/>
      <w:bookmarkStart w:id="1309" w:name="_Toc107847033"/>
      <w:bookmarkStart w:id="1310" w:name="_Toc107849270"/>
      <w:bookmarkStart w:id="1311" w:name="_Toc107853717"/>
      <w:bookmarkStart w:id="1312" w:name="_Toc107865311"/>
      <w:bookmarkStart w:id="1313" w:name="_Toc108418520"/>
      <w:bookmarkStart w:id="1314" w:name="_Toc108539612"/>
      <w:bookmarkStart w:id="1315" w:name="_Toc108539834"/>
      <w:bookmarkStart w:id="1316" w:name="_Toc108539952"/>
      <w:bookmarkStart w:id="1317" w:name="_Toc108540031"/>
      <w:bookmarkStart w:id="1318" w:name="_Toc109057410"/>
      <w:bookmarkStart w:id="1319" w:name="_Toc109120776"/>
      <w:bookmarkStart w:id="1320" w:name="_Toc109122411"/>
      <w:bookmarkStart w:id="1321" w:name="_Toc109124124"/>
      <w:bookmarkStart w:id="1322" w:name="_Toc109133148"/>
      <w:bookmarkStart w:id="1323" w:name="_Toc109133324"/>
      <w:bookmarkStart w:id="1324" w:name="_Toc120291682"/>
      <w:r w:rsidRPr="002661A8">
        <w:rPr>
          <w:b w:val="0"/>
          <w:i/>
          <w:smallCaps w:val="0"/>
          <w:noProof/>
        </w:rPr>
        <w:t>Overall impact of the package on relevant stakeholders</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r w:rsidRPr="002661A8">
        <w:rPr>
          <w:b w:val="0"/>
          <w:i/>
          <w:noProof/>
        </w:rPr>
        <w:t xml:space="preserve"> </w:t>
      </w:r>
    </w:p>
    <w:p w14:paraId="7ADD3C37" w14:textId="68BBC6D3" w:rsidR="006B087E" w:rsidRPr="002661A8" w:rsidRDefault="001E3B84" w:rsidP="00A61E96">
      <w:pPr>
        <w:pStyle w:val="Text2"/>
        <w:spacing w:after="120"/>
        <w:ind w:left="0"/>
        <w:rPr>
          <w:noProof/>
        </w:rPr>
      </w:pPr>
      <w:r w:rsidRPr="002661A8">
        <w:rPr>
          <w:noProof/>
        </w:rPr>
        <w:t xml:space="preserve">The overall package of options will have a positive effect, by </w:t>
      </w:r>
      <w:r w:rsidR="00FE4BB5" w:rsidRPr="002661A8">
        <w:rPr>
          <w:noProof/>
        </w:rPr>
        <w:t>improving</w:t>
      </w:r>
      <w:r w:rsidRPr="002661A8">
        <w:rPr>
          <w:noProof/>
        </w:rPr>
        <w:t xml:space="preserve"> the </w:t>
      </w:r>
      <w:r w:rsidR="00FE4BB5" w:rsidRPr="002661A8">
        <w:rPr>
          <w:noProof/>
          <w:szCs w:val="24"/>
        </w:rPr>
        <w:t>attractiveness</w:t>
      </w:r>
      <w:r w:rsidRPr="002661A8">
        <w:rPr>
          <w:noProof/>
        </w:rPr>
        <w:t xml:space="preserve"> of EU CCPs and safeguarding </w:t>
      </w:r>
      <w:r w:rsidR="00F7351E" w:rsidRPr="002661A8">
        <w:rPr>
          <w:noProof/>
        </w:rPr>
        <w:t xml:space="preserve">EU </w:t>
      </w:r>
      <w:r w:rsidRPr="002661A8">
        <w:rPr>
          <w:noProof/>
        </w:rPr>
        <w:t>financial stability and in a cross-border context, reducing the over-</w:t>
      </w:r>
      <w:r w:rsidR="00007C18" w:rsidRPr="002661A8">
        <w:rPr>
          <w:noProof/>
        </w:rPr>
        <w:t xml:space="preserve">reliance </w:t>
      </w:r>
      <w:r w:rsidRPr="002661A8">
        <w:rPr>
          <w:noProof/>
        </w:rPr>
        <w:t xml:space="preserve">on third-country CCPs and contributing to deepening the </w:t>
      </w:r>
      <w:r w:rsidR="00856B54" w:rsidRPr="002661A8">
        <w:rPr>
          <w:noProof/>
        </w:rPr>
        <w:t>CMU</w:t>
      </w:r>
      <w:r w:rsidRPr="002661A8">
        <w:rPr>
          <w:noProof/>
        </w:rPr>
        <w:t>.</w:t>
      </w:r>
    </w:p>
    <w:p w14:paraId="0DBAA01C" w14:textId="06C77721" w:rsidR="001E3B84" w:rsidRPr="002661A8" w:rsidRDefault="00D0278E" w:rsidP="00A61E96">
      <w:pPr>
        <w:pStyle w:val="Text2"/>
        <w:spacing w:after="120"/>
        <w:ind w:left="0"/>
        <w:rPr>
          <w:noProof/>
        </w:rPr>
      </w:pPr>
      <w:r w:rsidRPr="002661A8">
        <w:rPr>
          <w:b/>
          <w:noProof/>
        </w:rPr>
        <w:t xml:space="preserve">EU </w:t>
      </w:r>
      <w:r w:rsidR="001E3B84" w:rsidRPr="002661A8">
        <w:rPr>
          <w:b/>
          <w:noProof/>
        </w:rPr>
        <w:t>CCPs</w:t>
      </w:r>
      <w:r w:rsidR="001E3B84" w:rsidRPr="002661A8" w:rsidDel="00D0278E">
        <w:rPr>
          <w:noProof/>
        </w:rPr>
        <w:t xml:space="preserve"> </w:t>
      </w:r>
      <w:r w:rsidR="001E3B84" w:rsidRPr="002661A8">
        <w:rPr>
          <w:noProof/>
        </w:rPr>
        <w:t xml:space="preserve">will benefit </w:t>
      </w:r>
      <w:r w:rsidR="00F5295E" w:rsidRPr="002661A8">
        <w:rPr>
          <w:noProof/>
        </w:rPr>
        <w:t xml:space="preserve">first </w:t>
      </w:r>
      <w:r w:rsidR="001E3B84" w:rsidRPr="002661A8">
        <w:rPr>
          <w:noProof/>
        </w:rPr>
        <w:t xml:space="preserve">from the </w:t>
      </w:r>
      <w:r w:rsidR="000D57EF" w:rsidRPr="002661A8">
        <w:rPr>
          <w:noProof/>
        </w:rPr>
        <w:t xml:space="preserve">increased </w:t>
      </w:r>
      <w:r w:rsidR="001E3B84" w:rsidRPr="002661A8">
        <w:rPr>
          <w:noProof/>
        </w:rPr>
        <w:t xml:space="preserve">clearing flows from existing </w:t>
      </w:r>
      <w:r w:rsidRPr="002661A8">
        <w:rPr>
          <w:noProof/>
        </w:rPr>
        <w:t>and</w:t>
      </w:r>
      <w:r w:rsidR="001E3B84" w:rsidRPr="002661A8">
        <w:rPr>
          <w:noProof/>
        </w:rPr>
        <w:t xml:space="preserve"> new participants </w:t>
      </w:r>
      <w:r w:rsidR="00A010C4" w:rsidRPr="002661A8">
        <w:rPr>
          <w:noProof/>
        </w:rPr>
        <w:t xml:space="preserve">due </w:t>
      </w:r>
      <w:r w:rsidR="001E3B84" w:rsidRPr="002661A8">
        <w:rPr>
          <w:noProof/>
        </w:rPr>
        <w:t>to the measures boost</w:t>
      </w:r>
      <w:r w:rsidR="00A010C4" w:rsidRPr="002661A8">
        <w:rPr>
          <w:noProof/>
        </w:rPr>
        <w:t>ing</w:t>
      </w:r>
      <w:r w:rsidR="001E3B84" w:rsidRPr="002661A8">
        <w:rPr>
          <w:noProof/>
        </w:rPr>
        <w:t xml:space="preserve"> the demand for </w:t>
      </w:r>
      <w:r w:rsidR="00F5295E" w:rsidRPr="002661A8">
        <w:rPr>
          <w:noProof/>
        </w:rPr>
        <w:t xml:space="preserve">EU </w:t>
      </w:r>
      <w:r w:rsidR="001E3B84" w:rsidRPr="002661A8">
        <w:rPr>
          <w:noProof/>
        </w:rPr>
        <w:t xml:space="preserve">clearing. Such a rise in the liquidity might attract flows that are not targeted as part of this initiative but for which a spiral effect could be </w:t>
      </w:r>
      <w:r w:rsidRPr="002661A8">
        <w:rPr>
          <w:noProof/>
        </w:rPr>
        <w:t>spurred</w:t>
      </w:r>
      <w:r w:rsidR="00EB51CE" w:rsidRPr="002661A8">
        <w:rPr>
          <w:noProof/>
        </w:rPr>
        <w:t>: more liquidity at EU CCPs will make them more attractive, thus in turn potentially attracting further market participants</w:t>
      </w:r>
      <w:r w:rsidR="001E3B84" w:rsidRPr="002661A8">
        <w:rPr>
          <w:noProof/>
        </w:rPr>
        <w:t xml:space="preserve">. </w:t>
      </w:r>
      <w:r w:rsidRPr="002661A8">
        <w:rPr>
          <w:noProof/>
        </w:rPr>
        <w:t>Second</w:t>
      </w:r>
      <w:r w:rsidR="007D5010" w:rsidRPr="002661A8">
        <w:rPr>
          <w:noProof/>
        </w:rPr>
        <w:t>,</w:t>
      </w:r>
      <w:r w:rsidRPr="002661A8">
        <w:rPr>
          <w:noProof/>
        </w:rPr>
        <w:t xml:space="preserve"> the measures aimed at addressing the supply side will allow EU CCPs to </w:t>
      </w:r>
      <w:r w:rsidR="001E3B84" w:rsidRPr="002661A8">
        <w:rPr>
          <w:noProof/>
        </w:rPr>
        <w:t xml:space="preserve">bring </w:t>
      </w:r>
      <w:r w:rsidR="0035689A" w:rsidRPr="002661A8">
        <w:rPr>
          <w:noProof/>
        </w:rPr>
        <w:t xml:space="preserve">new </w:t>
      </w:r>
      <w:r w:rsidR="001E3B84" w:rsidRPr="002661A8">
        <w:rPr>
          <w:noProof/>
        </w:rPr>
        <w:t>products to the market</w:t>
      </w:r>
      <w:r w:rsidRPr="002661A8">
        <w:rPr>
          <w:noProof/>
        </w:rPr>
        <w:t xml:space="preserve"> and adapt their risk models</w:t>
      </w:r>
      <w:r w:rsidR="001E3B84" w:rsidRPr="002661A8">
        <w:rPr>
          <w:noProof/>
        </w:rPr>
        <w:t xml:space="preserve"> </w:t>
      </w:r>
      <w:r w:rsidR="009175DD" w:rsidRPr="002661A8">
        <w:rPr>
          <w:noProof/>
        </w:rPr>
        <w:t>quicker</w:t>
      </w:r>
      <w:r w:rsidR="001E3B84" w:rsidRPr="002661A8" w:rsidDel="009175DD">
        <w:rPr>
          <w:noProof/>
        </w:rPr>
        <w:t xml:space="preserve"> </w:t>
      </w:r>
      <w:r w:rsidR="001E3B84" w:rsidRPr="002661A8">
        <w:rPr>
          <w:noProof/>
        </w:rPr>
        <w:t xml:space="preserve">than today. </w:t>
      </w:r>
      <w:r w:rsidR="0035689A" w:rsidRPr="002661A8">
        <w:rPr>
          <w:noProof/>
        </w:rPr>
        <w:t>This</w:t>
      </w:r>
      <w:r w:rsidR="001E3B84" w:rsidRPr="002661A8">
        <w:rPr>
          <w:noProof/>
        </w:rPr>
        <w:t xml:space="preserve"> will benefit CCPs’ revenues</w:t>
      </w:r>
      <w:r w:rsidR="0095568E" w:rsidRPr="002661A8">
        <w:rPr>
          <w:noProof/>
        </w:rPr>
        <w:t xml:space="preserve"> and enable their timely reaction to changed risk situations</w:t>
      </w:r>
      <w:r w:rsidR="001E3B84" w:rsidRPr="002661A8">
        <w:rPr>
          <w:noProof/>
        </w:rPr>
        <w:t>.</w:t>
      </w:r>
      <w:r w:rsidRPr="002661A8">
        <w:rPr>
          <w:noProof/>
        </w:rPr>
        <w:t xml:space="preserve"> </w:t>
      </w:r>
      <w:r w:rsidR="00047833">
        <w:rPr>
          <w:noProof/>
        </w:rPr>
        <w:t xml:space="preserve">It will also help CCPs </w:t>
      </w:r>
      <w:r w:rsidR="00647D2B">
        <w:rPr>
          <w:noProof/>
        </w:rPr>
        <w:t>in facing and adapting to</w:t>
      </w:r>
      <w:r w:rsidR="00047833">
        <w:rPr>
          <w:noProof/>
        </w:rPr>
        <w:t xml:space="preserve"> the incoming pressure of new business from third-country CCPs.</w:t>
      </w:r>
      <w:r w:rsidRPr="002661A8">
        <w:rPr>
          <w:noProof/>
        </w:rPr>
        <w:t xml:space="preserve"> CCPs will </w:t>
      </w:r>
      <w:r w:rsidR="0035689A" w:rsidRPr="002661A8">
        <w:rPr>
          <w:noProof/>
        </w:rPr>
        <w:t xml:space="preserve">also </w:t>
      </w:r>
      <w:r w:rsidRPr="002661A8">
        <w:rPr>
          <w:noProof/>
        </w:rPr>
        <w:t xml:space="preserve">benefit from lower </w:t>
      </w:r>
      <w:r w:rsidR="000D57EF" w:rsidRPr="002661A8">
        <w:rPr>
          <w:noProof/>
        </w:rPr>
        <w:t xml:space="preserve">compliance </w:t>
      </w:r>
      <w:r w:rsidRPr="002661A8">
        <w:rPr>
          <w:noProof/>
        </w:rPr>
        <w:t xml:space="preserve">costs as </w:t>
      </w:r>
      <w:r w:rsidR="000D57EF" w:rsidRPr="002661A8">
        <w:rPr>
          <w:noProof/>
        </w:rPr>
        <w:t xml:space="preserve">approval </w:t>
      </w:r>
      <w:r w:rsidRPr="002661A8">
        <w:rPr>
          <w:noProof/>
        </w:rPr>
        <w:t>procedures will be streamlined</w:t>
      </w:r>
      <w:r w:rsidR="00BC687F" w:rsidRPr="002661A8">
        <w:rPr>
          <w:noProof/>
        </w:rPr>
        <w:t xml:space="preserve"> and more clarity on the overall process will be provided while they will have </w:t>
      </w:r>
      <w:r w:rsidRPr="002661A8">
        <w:rPr>
          <w:noProof/>
        </w:rPr>
        <w:t xml:space="preserve">greater certainty as to the time </w:t>
      </w:r>
      <w:r w:rsidR="002504D9">
        <w:rPr>
          <w:noProof/>
        </w:rPr>
        <w:t>required</w:t>
      </w:r>
      <w:r w:rsidR="002504D9" w:rsidRPr="002661A8">
        <w:rPr>
          <w:noProof/>
        </w:rPr>
        <w:t xml:space="preserve"> </w:t>
      </w:r>
      <w:r w:rsidRPr="002661A8">
        <w:rPr>
          <w:noProof/>
        </w:rPr>
        <w:t>for their initiatives to become operational, reduc</w:t>
      </w:r>
      <w:r w:rsidR="00BC687F" w:rsidRPr="002661A8">
        <w:rPr>
          <w:noProof/>
        </w:rPr>
        <w:t>ing</w:t>
      </w:r>
      <w:r w:rsidR="000D57EF" w:rsidRPr="002661A8">
        <w:rPr>
          <w:noProof/>
        </w:rPr>
        <w:t xml:space="preserve"> existing</w:t>
      </w:r>
      <w:r w:rsidRPr="002661A8">
        <w:rPr>
          <w:noProof/>
        </w:rPr>
        <w:t xml:space="preserve"> disincentives to offer new products. </w:t>
      </w:r>
      <w:r w:rsidR="00EA05CF" w:rsidRPr="002661A8">
        <w:rPr>
          <w:noProof/>
        </w:rPr>
        <w:t>Moreover, some CCPs may profit from lower supervisory fees</w:t>
      </w:r>
      <w:r w:rsidR="000516B4" w:rsidRPr="002661A8">
        <w:rPr>
          <w:noProof/>
        </w:rPr>
        <w:t xml:space="preserve"> </w:t>
      </w:r>
      <w:r w:rsidR="005B0707" w:rsidRPr="002661A8">
        <w:rPr>
          <w:noProof/>
        </w:rPr>
        <w:t xml:space="preserve">by their </w:t>
      </w:r>
      <w:r w:rsidR="00746C05" w:rsidRPr="002661A8">
        <w:rPr>
          <w:noProof/>
        </w:rPr>
        <w:t>NCAs</w:t>
      </w:r>
      <w:r w:rsidR="000516B4" w:rsidRPr="002661A8">
        <w:rPr>
          <w:noProof/>
        </w:rPr>
        <w:t xml:space="preserve"> and overall costs</w:t>
      </w:r>
      <w:r w:rsidR="00EA05CF" w:rsidRPr="002661A8">
        <w:rPr>
          <w:noProof/>
        </w:rPr>
        <w:t xml:space="preserve"> as a result of the possibility to follow a fast-track procedure for the authorisation/validation of certain initiatives. </w:t>
      </w:r>
      <w:r w:rsidR="00907ED0" w:rsidRPr="002661A8">
        <w:rPr>
          <w:noProof/>
        </w:rPr>
        <w:t>C</w:t>
      </w:r>
      <w:r w:rsidR="00137DAC" w:rsidRPr="002661A8">
        <w:rPr>
          <w:noProof/>
        </w:rPr>
        <w:t xml:space="preserve">ompetition in and outside the EU will </w:t>
      </w:r>
      <w:r w:rsidR="00907ED0" w:rsidRPr="002661A8">
        <w:rPr>
          <w:noProof/>
        </w:rPr>
        <w:t xml:space="preserve">thus </w:t>
      </w:r>
      <w:r w:rsidR="00137DAC" w:rsidRPr="002661A8">
        <w:rPr>
          <w:noProof/>
        </w:rPr>
        <w:t>be improved.</w:t>
      </w:r>
      <w:r w:rsidRPr="002661A8">
        <w:rPr>
          <w:noProof/>
        </w:rPr>
        <w:t xml:space="preserve"> </w:t>
      </w:r>
      <w:r w:rsidR="00EA05CF" w:rsidRPr="002661A8">
        <w:rPr>
          <w:noProof/>
        </w:rPr>
        <w:t>Third</w:t>
      </w:r>
      <w:r w:rsidRPr="002661A8">
        <w:rPr>
          <w:noProof/>
        </w:rPr>
        <w:t xml:space="preserve">, by </w:t>
      </w:r>
      <w:r w:rsidR="00BC687F" w:rsidRPr="002661A8">
        <w:rPr>
          <w:noProof/>
        </w:rPr>
        <w:t>strengthening the supervisory framework</w:t>
      </w:r>
      <w:r w:rsidRPr="002661A8">
        <w:rPr>
          <w:noProof/>
        </w:rPr>
        <w:t>, EU CCPs would be subject to more effective and convergent arrangements. This would decrease the costs CCPs incur due to duplicative or contradicting rules and the lack of supervisory convergence. In addition, changes aimed at enhancing the authorities’ capacity to monitor cross-border risks, cooperate and act in emergency situations would benefit EU CCPs as their operations would be made safer. All benefits would be ongoing.</w:t>
      </w:r>
    </w:p>
    <w:p w14:paraId="37133372" w14:textId="7E2C3912" w:rsidR="00567FDF" w:rsidRPr="002661A8" w:rsidRDefault="00A11F3F" w:rsidP="00A61E96">
      <w:pPr>
        <w:pStyle w:val="Text2"/>
        <w:spacing w:after="120"/>
        <w:ind w:left="0"/>
        <w:rPr>
          <w:noProof/>
        </w:rPr>
      </w:pPr>
      <w:r w:rsidRPr="002661A8">
        <w:rPr>
          <w:b/>
          <w:bCs/>
          <w:noProof/>
        </w:rPr>
        <w:t>Clearing members</w:t>
      </w:r>
      <w:r w:rsidRPr="002661A8">
        <w:rPr>
          <w:noProof/>
        </w:rPr>
        <w:t xml:space="preserve"> will benefit from greater offer by CCPs, in a faster way, and w</w:t>
      </w:r>
      <w:r w:rsidR="002504D9">
        <w:rPr>
          <w:noProof/>
        </w:rPr>
        <w:t>ill</w:t>
      </w:r>
      <w:r w:rsidRPr="002661A8">
        <w:rPr>
          <w:noProof/>
        </w:rPr>
        <w:t xml:space="preserve"> have more choices where to clear. The increased competition amongst CCP</w:t>
      </w:r>
      <w:r w:rsidR="00B44787">
        <w:rPr>
          <w:noProof/>
        </w:rPr>
        <w:t>s</w:t>
      </w:r>
      <w:r w:rsidRPr="002661A8">
        <w:rPr>
          <w:noProof/>
        </w:rPr>
        <w:t xml:space="preserve"> could trigger a virtuous circle with increasing opportunities for clearing members. </w:t>
      </w:r>
      <w:r w:rsidR="00C43394" w:rsidRPr="002661A8">
        <w:rPr>
          <w:noProof/>
        </w:rPr>
        <w:t>T</w:t>
      </w:r>
      <w:r w:rsidRPr="002661A8">
        <w:rPr>
          <w:noProof/>
        </w:rPr>
        <w:t xml:space="preserve">he reduction of regulatory costs incurred by CCPs </w:t>
      </w:r>
      <w:r w:rsidR="00D46C03" w:rsidRPr="002661A8">
        <w:rPr>
          <w:noProof/>
        </w:rPr>
        <w:t>may</w:t>
      </w:r>
      <w:r w:rsidRPr="002661A8">
        <w:rPr>
          <w:noProof/>
        </w:rPr>
        <w:t xml:space="preserve"> </w:t>
      </w:r>
      <w:r w:rsidR="00C43394" w:rsidRPr="002661A8">
        <w:rPr>
          <w:noProof/>
        </w:rPr>
        <w:t xml:space="preserve">also </w:t>
      </w:r>
      <w:r w:rsidRPr="002661A8">
        <w:rPr>
          <w:noProof/>
        </w:rPr>
        <w:t>lead to a reduc</w:t>
      </w:r>
      <w:r w:rsidR="00C43394" w:rsidRPr="002661A8">
        <w:rPr>
          <w:noProof/>
        </w:rPr>
        <w:t>ed</w:t>
      </w:r>
      <w:r w:rsidRPr="002661A8">
        <w:rPr>
          <w:noProof/>
        </w:rPr>
        <w:t xml:space="preserve"> cost of clearing for clearing members</w:t>
      </w:r>
      <w:r w:rsidR="00D46C03" w:rsidRPr="002661A8">
        <w:rPr>
          <w:noProof/>
        </w:rPr>
        <w:t>, provided that there is competition between CCPs and cost savings are passed on to members</w:t>
      </w:r>
      <w:r w:rsidRPr="002661A8">
        <w:rPr>
          <w:noProof/>
        </w:rPr>
        <w:t xml:space="preserve">. Clarity over CCPs’ launch dates for a specific service or activity would reduce legal uncertainty and additional implementation costs (e.g. IT </w:t>
      </w:r>
      <w:r w:rsidR="002C47A5" w:rsidRPr="002661A8">
        <w:rPr>
          <w:noProof/>
        </w:rPr>
        <w:t>changes</w:t>
      </w:r>
      <w:r w:rsidRPr="002661A8">
        <w:rPr>
          <w:noProof/>
        </w:rPr>
        <w:t>, maintain</w:t>
      </w:r>
      <w:r w:rsidR="002C47A5" w:rsidRPr="002661A8">
        <w:rPr>
          <w:noProof/>
        </w:rPr>
        <w:t>ing a</w:t>
      </w:r>
      <w:r w:rsidRPr="002661A8">
        <w:rPr>
          <w:noProof/>
        </w:rPr>
        <w:t xml:space="preserve"> dual CCP set-up, </w:t>
      </w:r>
      <w:r w:rsidR="002C47A5" w:rsidRPr="002661A8">
        <w:rPr>
          <w:noProof/>
        </w:rPr>
        <w:t>changes</w:t>
      </w:r>
      <w:r w:rsidRPr="002661A8">
        <w:rPr>
          <w:noProof/>
        </w:rPr>
        <w:t xml:space="preserve"> of procedures and contracts with </w:t>
      </w:r>
      <w:r w:rsidR="002C47A5" w:rsidRPr="002661A8">
        <w:rPr>
          <w:noProof/>
        </w:rPr>
        <w:t>clients</w:t>
      </w:r>
      <w:r w:rsidRPr="002661A8">
        <w:rPr>
          <w:noProof/>
        </w:rPr>
        <w:t xml:space="preserve">) for clearing members. </w:t>
      </w:r>
      <w:r w:rsidR="006B36A0">
        <w:rPr>
          <w:noProof/>
        </w:rPr>
        <w:t>Increased competition amongst CCPs, either on a cross-border basis or within the EU</w:t>
      </w:r>
      <w:r w:rsidR="00B44787">
        <w:rPr>
          <w:noProof/>
        </w:rPr>
        <w:t>,</w:t>
      </w:r>
      <w:r w:rsidR="006B36A0">
        <w:rPr>
          <w:noProof/>
        </w:rPr>
        <w:t xml:space="preserve"> shall contribute to lower clearing prices. It is unlikely that the measures taken under this initiative lead to disruptive and inefficient market fragmentation given their progressive and proportionate nature as well as the reasonable objective set. One can again note that</w:t>
      </w:r>
      <w:r w:rsidR="00B44787">
        <w:rPr>
          <w:noProof/>
        </w:rPr>
        <w:t>,</w:t>
      </w:r>
      <w:r w:rsidR="006B36A0">
        <w:rPr>
          <w:noProof/>
        </w:rPr>
        <w:t xml:space="preserve"> e.g. for the clearing of US dollar-denominated interest rate derivatives, clearing members are satisfied with the existence of two competing CCPs sharing the market in a fluctuating and balanced manner. In a similar manner, it is unlikely that the proposal leads to undue concentration in EU CCPs. </w:t>
      </w:r>
      <w:r w:rsidR="000C1C64">
        <w:rPr>
          <w:noProof/>
        </w:rPr>
        <w:t>W</w:t>
      </w:r>
      <w:r w:rsidR="006B36A0">
        <w:rPr>
          <w:noProof/>
        </w:rPr>
        <w:t xml:space="preserve">ere </w:t>
      </w:r>
      <w:r w:rsidR="000C1C64">
        <w:rPr>
          <w:noProof/>
        </w:rPr>
        <w:t xml:space="preserve">this </w:t>
      </w:r>
      <w:r w:rsidR="006B36A0">
        <w:rPr>
          <w:noProof/>
        </w:rPr>
        <w:t xml:space="preserve">to happen, the proposed measures also increase the supervisory framework within the EU, making it an even better place to be concentrated in than in third countries. </w:t>
      </w:r>
      <w:r w:rsidRPr="002661A8">
        <w:rPr>
          <w:noProof/>
        </w:rPr>
        <w:t xml:space="preserve">These benefits would be ongoing. </w:t>
      </w:r>
    </w:p>
    <w:p w14:paraId="619860C4" w14:textId="019671A3" w:rsidR="00A11F3F" w:rsidRPr="002661A8" w:rsidRDefault="00567FDF" w:rsidP="00A61E96">
      <w:pPr>
        <w:pStyle w:val="Text2"/>
        <w:spacing w:after="120"/>
        <w:ind w:left="0"/>
        <w:rPr>
          <w:noProof/>
        </w:rPr>
      </w:pPr>
      <w:r w:rsidRPr="002661A8">
        <w:rPr>
          <w:noProof/>
        </w:rPr>
        <w:t>T</w:t>
      </w:r>
      <w:r w:rsidR="00A11F3F" w:rsidRPr="002661A8">
        <w:rPr>
          <w:noProof/>
        </w:rPr>
        <w:t>he measures aimed at increasing the demand side for EU clearing services</w:t>
      </w:r>
      <w:r w:rsidR="00754435" w:rsidRPr="002661A8">
        <w:rPr>
          <w:noProof/>
        </w:rPr>
        <w:t xml:space="preserve"> (Pillar 2 measures, requirement to have an active account at an EU CCP)</w:t>
      </w:r>
      <w:r w:rsidR="00A11F3F" w:rsidRPr="002661A8">
        <w:rPr>
          <w:noProof/>
        </w:rPr>
        <w:t xml:space="preserve"> </w:t>
      </w:r>
      <w:r w:rsidR="00D46C03" w:rsidRPr="002661A8">
        <w:rPr>
          <w:noProof/>
        </w:rPr>
        <w:t xml:space="preserve">will </w:t>
      </w:r>
      <w:r w:rsidRPr="002661A8">
        <w:rPr>
          <w:noProof/>
        </w:rPr>
        <w:t xml:space="preserve">also </w:t>
      </w:r>
      <w:r w:rsidR="00A11F3F" w:rsidRPr="002661A8">
        <w:rPr>
          <w:noProof/>
        </w:rPr>
        <w:t xml:space="preserve">entail costs for EU </w:t>
      </w:r>
      <w:r w:rsidR="00754435" w:rsidRPr="002661A8">
        <w:rPr>
          <w:noProof/>
        </w:rPr>
        <w:t xml:space="preserve">clearing </w:t>
      </w:r>
      <w:r w:rsidR="00EB51CE" w:rsidRPr="002661A8">
        <w:rPr>
          <w:noProof/>
        </w:rPr>
        <w:t>participants</w:t>
      </w:r>
      <w:r w:rsidR="00D46C03" w:rsidRPr="002661A8">
        <w:rPr>
          <w:noProof/>
        </w:rPr>
        <w:t xml:space="preserve">. </w:t>
      </w:r>
      <w:r w:rsidR="00D907A5" w:rsidRPr="002661A8">
        <w:rPr>
          <w:noProof/>
        </w:rPr>
        <w:t xml:space="preserve">The size of those costs will depend on whether a clearing member, and even more so a client, is </w:t>
      </w:r>
      <w:r w:rsidR="00891046" w:rsidRPr="002661A8">
        <w:rPr>
          <w:noProof/>
        </w:rPr>
        <w:t xml:space="preserve">already </w:t>
      </w:r>
      <w:r w:rsidR="00D907A5" w:rsidRPr="002661A8">
        <w:rPr>
          <w:noProof/>
        </w:rPr>
        <w:t xml:space="preserve">set up to clear in EU CCPs or not. </w:t>
      </w:r>
      <w:r w:rsidR="001A58B2" w:rsidRPr="002661A8">
        <w:rPr>
          <w:noProof/>
        </w:rPr>
        <w:t>T</w:t>
      </w:r>
      <w:r w:rsidR="008F2690" w:rsidRPr="002661A8">
        <w:rPr>
          <w:noProof/>
        </w:rPr>
        <w:t xml:space="preserve">he vast majority of clearing members already </w:t>
      </w:r>
      <w:r w:rsidR="001A58B2" w:rsidRPr="002661A8">
        <w:rPr>
          <w:noProof/>
        </w:rPr>
        <w:t xml:space="preserve">seem to </w:t>
      </w:r>
      <w:r w:rsidR="008F2690" w:rsidRPr="002661A8">
        <w:rPr>
          <w:noProof/>
        </w:rPr>
        <w:t>have accounts at EU CCPs. As regards clients, e</w:t>
      </w:r>
      <w:r w:rsidR="00D907A5" w:rsidRPr="002661A8">
        <w:rPr>
          <w:noProof/>
        </w:rPr>
        <w:t>stimates are that around 60% of E</w:t>
      </w:r>
      <w:r w:rsidR="00891046" w:rsidRPr="002661A8">
        <w:rPr>
          <w:noProof/>
        </w:rPr>
        <w:t>uropean</w:t>
      </w:r>
      <w:r w:rsidR="00D907A5" w:rsidRPr="002661A8">
        <w:rPr>
          <w:noProof/>
        </w:rPr>
        <w:t xml:space="preserve"> clients </w:t>
      </w:r>
      <w:r w:rsidR="00891046" w:rsidRPr="002661A8">
        <w:rPr>
          <w:noProof/>
        </w:rPr>
        <w:t xml:space="preserve">of </w:t>
      </w:r>
      <w:r w:rsidR="00D907A5" w:rsidRPr="002661A8">
        <w:rPr>
          <w:noProof/>
        </w:rPr>
        <w:t xml:space="preserve">EU </w:t>
      </w:r>
      <w:r w:rsidR="00891046" w:rsidRPr="002661A8">
        <w:rPr>
          <w:noProof/>
        </w:rPr>
        <w:t>clearing members</w:t>
      </w:r>
      <w:r w:rsidR="00D907A5" w:rsidRPr="002661A8">
        <w:rPr>
          <w:noProof/>
        </w:rPr>
        <w:t xml:space="preserve"> already have accounts ready to use in the EU</w:t>
      </w:r>
      <w:r w:rsidR="008F2690" w:rsidRPr="002661A8">
        <w:rPr>
          <w:noProof/>
        </w:rPr>
        <w:t xml:space="preserve"> for interest rate swaps and around 85% do for credit default swaps</w:t>
      </w:r>
      <w:r w:rsidR="00D907A5" w:rsidRPr="002661A8">
        <w:rPr>
          <w:noProof/>
        </w:rPr>
        <w:t>.</w:t>
      </w:r>
      <w:r w:rsidR="00D907A5" w:rsidRPr="002661A8">
        <w:rPr>
          <w:rStyle w:val="FootnoteReference"/>
          <w:noProof/>
        </w:rPr>
        <w:footnoteReference w:id="160"/>
      </w:r>
      <w:r w:rsidR="00D907A5" w:rsidRPr="002661A8">
        <w:rPr>
          <w:noProof/>
        </w:rPr>
        <w:t xml:space="preserve"> </w:t>
      </w:r>
      <w:r w:rsidR="008F2690" w:rsidRPr="002661A8">
        <w:rPr>
          <w:noProof/>
        </w:rPr>
        <w:t>In addition, depending on the EU CCP where the account needs to be open, costs may vary as</w:t>
      </w:r>
      <w:r w:rsidR="001A58B2" w:rsidRPr="002661A8">
        <w:rPr>
          <w:noProof/>
        </w:rPr>
        <w:t>,</w:t>
      </w:r>
      <w:r w:rsidR="008F2690" w:rsidRPr="002661A8">
        <w:rPr>
          <w:noProof/>
        </w:rPr>
        <w:t xml:space="preserve"> </w:t>
      </w:r>
      <w:r w:rsidR="001A58B2" w:rsidRPr="002661A8">
        <w:rPr>
          <w:noProof/>
        </w:rPr>
        <w:t>e.g.</w:t>
      </w:r>
      <w:r w:rsidR="008F2690" w:rsidRPr="002661A8">
        <w:rPr>
          <w:noProof/>
        </w:rPr>
        <w:t xml:space="preserve"> some EU CCPs are offering to open an account for free</w:t>
      </w:r>
      <w:r w:rsidR="008F2690" w:rsidRPr="002661A8">
        <w:rPr>
          <w:rStyle w:val="FootnoteReference"/>
          <w:noProof/>
        </w:rPr>
        <w:footnoteReference w:id="161"/>
      </w:r>
      <w:r w:rsidR="008F2690" w:rsidRPr="002661A8">
        <w:rPr>
          <w:noProof/>
        </w:rPr>
        <w:t>.</w:t>
      </w:r>
      <w:r w:rsidR="00D907A5" w:rsidRPr="002661A8">
        <w:rPr>
          <w:noProof/>
        </w:rPr>
        <w:t xml:space="preserve"> Other running c</w:t>
      </w:r>
      <w:r w:rsidR="009A722F" w:rsidRPr="002661A8">
        <w:rPr>
          <w:noProof/>
        </w:rPr>
        <w:t>osts,</w:t>
      </w:r>
      <w:r w:rsidR="003A6953" w:rsidRPr="002661A8">
        <w:rPr>
          <w:noProof/>
        </w:rPr>
        <w:t xml:space="preserve"> which</w:t>
      </w:r>
      <w:r w:rsidR="009A722F" w:rsidRPr="002661A8">
        <w:rPr>
          <w:noProof/>
        </w:rPr>
        <w:t xml:space="preserve"> </w:t>
      </w:r>
      <w:r w:rsidR="003637AC" w:rsidRPr="002661A8">
        <w:rPr>
          <w:noProof/>
        </w:rPr>
        <w:t xml:space="preserve">can </w:t>
      </w:r>
      <w:r w:rsidR="003A6953" w:rsidRPr="002661A8">
        <w:rPr>
          <w:noProof/>
        </w:rPr>
        <w:t>arise</w:t>
      </w:r>
      <w:r w:rsidR="009A722F" w:rsidRPr="002661A8">
        <w:rPr>
          <w:noProof/>
        </w:rPr>
        <w:t xml:space="preserve"> in the form of </w:t>
      </w:r>
      <w:r w:rsidR="00B63E2C" w:rsidRPr="002661A8">
        <w:rPr>
          <w:noProof/>
        </w:rPr>
        <w:t xml:space="preserve">lower liquidity and </w:t>
      </w:r>
      <w:r w:rsidR="009A722F" w:rsidRPr="002661A8">
        <w:rPr>
          <w:noProof/>
        </w:rPr>
        <w:t>lost netting benefits,</w:t>
      </w:r>
      <w:r w:rsidR="00D46C03" w:rsidRPr="002661A8">
        <w:rPr>
          <w:noProof/>
        </w:rPr>
        <w:t xml:space="preserve"> will depend on the calibration </w:t>
      </w:r>
      <w:r w:rsidR="00891046" w:rsidRPr="002661A8">
        <w:rPr>
          <w:noProof/>
        </w:rPr>
        <w:t xml:space="preserve">and design </w:t>
      </w:r>
      <w:r w:rsidR="00D46C03" w:rsidRPr="002661A8">
        <w:rPr>
          <w:noProof/>
        </w:rPr>
        <w:t>of the demand</w:t>
      </w:r>
      <w:r w:rsidR="003637AC" w:rsidRPr="002661A8">
        <w:rPr>
          <w:noProof/>
        </w:rPr>
        <w:t>-</w:t>
      </w:r>
      <w:r w:rsidR="00D46C03" w:rsidRPr="002661A8">
        <w:rPr>
          <w:noProof/>
        </w:rPr>
        <w:t xml:space="preserve">side measures. There is a key trade-off between the effectiveness of measures to </w:t>
      </w:r>
      <w:r w:rsidR="003637AC" w:rsidRPr="002661A8">
        <w:rPr>
          <w:noProof/>
        </w:rPr>
        <w:t>increase</w:t>
      </w:r>
      <w:r w:rsidR="00D46C03" w:rsidRPr="002661A8">
        <w:rPr>
          <w:noProof/>
        </w:rPr>
        <w:t xml:space="preserve"> clearing </w:t>
      </w:r>
      <w:r w:rsidR="003637AC" w:rsidRPr="002661A8">
        <w:rPr>
          <w:noProof/>
        </w:rPr>
        <w:t>at</w:t>
      </w:r>
      <w:r w:rsidR="00D46C03" w:rsidRPr="002661A8">
        <w:rPr>
          <w:noProof/>
        </w:rPr>
        <w:t xml:space="preserve"> EU CCP</w:t>
      </w:r>
      <w:r w:rsidR="009A722F" w:rsidRPr="002661A8">
        <w:rPr>
          <w:noProof/>
        </w:rPr>
        <w:t>s</w:t>
      </w:r>
      <w:r w:rsidR="00D46C03" w:rsidRPr="002661A8">
        <w:rPr>
          <w:noProof/>
        </w:rPr>
        <w:t xml:space="preserve"> and </w:t>
      </w:r>
      <w:r w:rsidR="009A722F" w:rsidRPr="002661A8">
        <w:rPr>
          <w:noProof/>
        </w:rPr>
        <w:t xml:space="preserve">the cost impact on clearing </w:t>
      </w:r>
      <w:r w:rsidR="00EB51CE" w:rsidRPr="002661A8">
        <w:rPr>
          <w:noProof/>
        </w:rPr>
        <w:t>participants</w:t>
      </w:r>
      <w:r w:rsidR="00891046" w:rsidRPr="002661A8">
        <w:rPr>
          <w:noProof/>
        </w:rPr>
        <w:t xml:space="preserve">, and this trade-off can be </w:t>
      </w:r>
      <w:r w:rsidR="00BC222F" w:rsidRPr="002661A8">
        <w:rPr>
          <w:noProof/>
        </w:rPr>
        <w:t>considered</w:t>
      </w:r>
      <w:r w:rsidR="00891046" w:rsidRPr="002661A8">
        <w:rPr>
          <w:noProof/>
        </w:rPr>
        <w:t xml:space="preserve"> in the calibration and design of the measures themselves, so as to make costs proportionate</w:t>
      </w:r>
      <w:r w:rsidR="00B44787">
        <w:rPr>
          <w:noProof/>
        </w:rPr>
        <w:t xml:space="preserve"> (e.g. the further specification of certain requirements through RTSs ensures that ESMA makes the relevant proposals after consulting, where relevant, other EU bodies such as the ESCB and the ESAs that have access to relevant supervisory data and after having conducted a public consultation and a cost-benefit analysis)</w:t>
      </w:r>
      <w:r w:rsidR="009A722F" w:rsidRPr="002661A8">
        <w:rPr>
          <w:noProof/>
        </w:rPr>
        <w:t xml:space="preserve">. </w:t>
      </w:r>
      <w:r w:rsidR="00A470AA" w:rsidRPr="002661A8">
        <w:rPr>
          <w:noProof/>
        </w:rPr>
        <w:t>There will be a</w:t>
      </w:r>
      <w:r w:rsidR="00754435" w:rsidRPr="002661A8">
        <w:rPr>
          <w:noProof/>
        </w:rPr>
        <w:t xml:space="preserve"> benefit </w:t>
      </w:r>
      <w:r w:rsidR="00A470AA" w:rsidRPr="002661A8">
        <w:rPr>
          <w:noProof/>
        </w:rPr>
        <w:t>however in the form of</w:t>
      </w:r>
      <w:r w:rsidR="00754435" w:rsidRPr="002661A8">
        <w:rPr>
          <w:noProof/>
        </w:rPr>
        <w:t xml:space="preserve"> increased diversification of exposures to CCPs, greater choice where to clear, reduced over-reliance on third-country CCPs</w:t>
      </w:r>
      <w:r w:rsidR="00754435" w:rsidRPr="002661A8" w:rsidDel="00A470AA">
        <w:rPr>
          <w:noProof/>
        </w:rPr>
        <w:t xml:space="preserve"> and, </w:t>
      </w:r>
      <w:r w:rsidR="00907ED0" w:rsidRPr="002661A8">
        <w:rPr>
          <w:noProof/>
        </w:rPr>
        <w:t>as such</w:t>
      </w:r>
      <w:r w:rsidR="00754435" w:rsidRPr="002661A8">
        <w:rPr>
          <w:noProof/>
        </w:rPr>
        <w:t>, from increased financial stability in the EU. Finally, measures aimed at strengthening the EU supervisory framework would also allow clearing members to benefit from greater offer by CCPs in a faster way, and would thus have more choices where to clear. The reduction of regulatory costs for CCPs could imply a reduction of the costs for clearing also for clearing members. In addition, clearing members would benefit from a safer environment for</w:t>
      </w:r>
      <w:r w:rsidR="00EC0AEC" w:rsidRPr="002661A8">
        <w:rPr>
          <w:noProof/>
        </w:rPr>
        <w:t xml:space="preserve"> their operations </w:t>
      </w:r>
      <w:r w:rsidR="00FE77E5" w:rsidRPr="002661A8">
        <w:rPr>
          <w:noProof/>
        </w:rPr>
        <w:t>following</w:t>
      </w:r>
      <w:r w:rsidR="00754435" w:rsidRPr="002661A8">
        <w:rPr>
          <w:noProof/>
        </w:rPr>
        <w:t xml:space="preserve"> the changes </w:t>
      </w:r>
      <w:r w:rsidR="00FE77E5" w:rsidRPr="002661A8">
        <w:rPr>
          <w:noProof/>
        </w:rPr>
        <w:t>to improve the</w:t>
      </w:r>
      <w:r w:rsidR="00754435" w:rsidRPr="002661A8">
        <w:rPr>
          <w:noProof/>
        </w:rPr>
        <w:t xml:space="preserve"> monitoring of cross-border risks. These benefits would be ongoing.</w:t>
      </w:r>
    </w:p>
    <w:p w14:paraId="5E077A64" w14:textId="27BB4FC5" w:rsidR="00B930D6" w:rsidRPr="002661A8" w:rsidRDefault="009B3ADD" w:rsidP="00A61E96">
      <w:pPr>
        <w:pStyle w:val="Text2"/>
        <w:spacing w:after="120"/>
        <w:ind w:left="0"/>
        <w:rPr>
          <w:noProof/>
        </w:rPr>
      </w:pPr>
      <w:r w:rsidRPr="002661A8">
        <w:rPr>
          <w:b/>
          <w:noProof/>
        </w:rPr>
        <w:t>Clients</w:t>
      </w:r>
      <w:r w:rsidR="00DC3064" w:rsidRPr="002661A8">
        <w:rPr>
          <w:noProof/>
        </w:rPr>
        <w:t xml:space="preserve"> will</w:t>
      </w:r>
      <w:r w:rsidR="003D6BB6" w:rsidRPr="002661A8">
        <w:rPr>
          <w:noProof/>
        </w:rPr>
        <w:t xml:space="preserve"> </w:t>
      </w:r>
      <w:r w:rsidR="00DC3064" w:rsidRPr="002661A8">
        <w:rPr>
          <w:noProof/>
        </w:rPr>
        <w:t>benefit from the package</w:t>
      </w:r>
      <w:r w:rsidR="00A11F3F" w:rsidRPr="002661A8">
        <w:rPr>
          <w:noProof/>
        </w:rPr>
        <w:t xml:space="preserve"> in various ways. First,</w:t>
      </w:r>
      <w:r w:rsidR="002E4929" w:rsidRPr="002661A8">
        <w:rPr>
          <w:noProof/>
        </w:rPr>
        <w:t xml:space="preserve"> </w:t>
      </w:r>
      <w:r w:rsidR="00D27BBB" w:rsidRPr="002661A8">
        <w:rPr>
          <w:noProof/>
        </w:rPr>
        <w:t>the preferred policy options</w:t>
      </w:r>
      <w:r w:rsidR="009A2805" w:rsidRPr="002661A8">
        <w:rPr>
          <w:noProof/>
        </w:rPr>
        <w:t xml:space="preserve"> </w:t>
      </w:r>
      <w:r w:rsidR="00DC3064" w:rsidRPr="002661A8">
        <w:rPr>
          <w:noProof/>
        </w:rPr>
        <w:t xml:space="preserve">will </w:t>
      </w:r>
      <w:r w:rsidR="00DB6F1C" w:rsidRPr="002661A8">
        <w:rPr>
          <w:noProof/>
        </w:rPr>
        <w:t xml:space="preserve">give </w:t>
      </w:r>
      <w:r w:rsidR="009F1831" w:rsidRPr="002661A8">
        <w:rPr>
          <w:noProof/>
        </w:rPr>
        <w:t xml:space="preserve">them </w:t>
      </w:r>
      <w:r w:rsidR="00DC3064" w:rsidRPr="002661A8">
        <w:rPr>
          <w:noProof/>
        </w:rPr>
        <w:t>a</w:t>
      </w:r>
      <w:r w:rsidR="000D6D99" w:rsidRPr="002661A8">
        <w:rPr>
          <w:noProof/>
        </w:rPr>
        <w:t>n</w:t>
      </w:r>
      <w:r w:rsidR="00DC3064" w:rsidRPr="002661A8">
        <w:rPr>
          <w:noProof/>
        </w:rPr>
        <w:t xml:space="preserve"> alternative offer to non-EU CCPs. This will </w:t>
      </w:r>
      <w:r w:rsidR="00DB6F1C" w:rsidRPr="002661A8">
        <w:rPr>
          <w:noProof/>
        </w:rPr>
        <w:t>provide</w:t>
      </w:r>
      <w:r w:rsidR="00CD6CE6" w:rsidRPr="002661A8">
        <w:rPr>
          <w:noProof/>
        </w:rPr>
        <w:t xml:space="preserve"> more choice and increased </w:t>
      </w:r>
      <w:r w:rsidR="002157EA" w:rsidRPr="002661A8">
        <w:rPr>
          <w:noProof/>
        </w:rPr>
        <w:t xml:space="preserve">competition </w:t>
      </w:r>
      <w:r w:rsidR="00A24693" w:rsidRPr="002661A8">
        <w:rPr>
          <w:noProof/>
        </w:rPr>
        <w:t xml:space="preserve">which </w:t>
      </w:r>
      <w:r w:rsidR="00DE407C" w:rsidRPr="002661A8">
        <w:rPr>
          <w:noProof/>
        </w:rPr>
        <w:t>may</w:t>
      </w:r>
      <w:r w:rsidR="00B87CBE" w:rsidRPr="002661A8">
        <w:rPr>
          <w:noProof/>
        </w:rPr>
        <w:t xml:space="preserve"> </w:t>
      </w:r>
      <w:r w:rsidR="00A24693" w:rsidRPr="002661A8">
        <w:rPr>
          <w:noProof/>
        </w:rPr>
        <w:t xml:space="preserve">result </w:t>
      </w:r>
      <w:r w:rsidR="00B87CBE" w:rsidRPr="002661A8">
        <w:rPr>
          <w:noProof/>
        </w:rPr>
        <w:t>overall</w:t>
      </w:r>
      <w:r w:rsidR="00A24693" w:rsidRPr="002661A8">
        <w:rPr>
          <w:noProof/>
        </w:rPr>
        <w:t xml:space="preserve"> in </w:t>
      </w:r>
      <w:r w:rsidR="00ED138B" w:rsidRPr="002661A8">
        <w:rPr>
          <w:noProof/>
        </w:rPr>
        <w:t>reduced</w:t>
      </w:r>
      <w:r w:rsidR="00A11F3F" w:rsidRPr="002661A8">
        <w:rPr>
          <w:noProof/>
        </w:rPr>
        <w:t xml:space="preserve"> costs</w:t>
      </w:r>
      <w:r w:rsidR="002157EA" w:rsidRPr="002661A8">
        <w:rPr>
          <w:noProof/>
        </w:rPr>
        <w:t xml:space="preserve">. </w:t>
      </w:r>
      <w:r w:rsidR="00DB6F1C" w:rsidRPr="002661A8">
        <w:rPr>
          <w:noProof/>
        </w:rPr>
        <w:t>Moreover</w:t>
      </w:r>
      <w:r w:rsidR="007D5010" w:rsidRPr="002661A8">
        <w:rPr>
          <w:noProof/>
        </w:rPr>
        <w:t>,</w:t>
      </w:r>
      <w:r w:rsidR="002157EA" w:rsidRPr="002661A8">
        <w:rPr>
          <w:noProof/>
        </w:rPr>
        <w:t xml:space="preserve"> the options retained will ensure clients </w:t>
      </w:r>
      <w:r w:rsidR="002E4929" w:rsidRPr="002661A8">
        <w:rPr>
          <w:noProof/>
        </w:rPr>
        <w:t>have</w:t>
      </w:r>
      <w:r w:rsidR="002157EA" w:rsidRPr="002661A8">
        <w:rPr>
          <w:noProof/>
        </w:rPr>
        <w:t xml:space="preserve"> better access to EU CCPs by </w:t>
      </w:r>
      <w:r w:rsidR="00DB6F1C" w:rsidRPr="002661A8">
        <w:rPr>
          <w:noProof/>
        </w:rPr>
        <w:t xml:space="preserve">giving </w:t>
      </w:r>
      <w:r w:rsidR="002157EA" w:rsidRPr="002661A8">
        <w:rPr>
          <w:noProof/>
        </w:rPr>
        <w:t xml:space="preserve">them a transparent </w:t>
      </w:r>
      <w:r w:rsidR="00F66DD4" w:rsidRPr="002661A8">
        <w:rPr>
          <w:noProof/>
        </w:rPr>
        <w:t xml:space="preserve">EU CCP </w:t>
      </w:r>
      <w:r w:rsidR="002157EA" w:rsidRPr="002661A8">
        <w:rPr>
          <w:noProof/>
        </w:rPr>
        <w:t>offer by direct and indirect clearing members</w:t>
      </w:r>
      <w:r w:rsidR="007D5010" w:rsidRPr="002661A8">
        <w:rPr>
          <w:noProof/>
        </w:rPr>
        <w:t xml:space="preserve"> and allowing them to </w:t>
      </w:r>
      <w:r w:rsidR="007D5010" w:rsidRPr="002661A8" w:rsidDel="00DB6F1C">
        <w:rPr>
          <w:noProof/>
        </w:rPr>
        <w:t>benefit from new CCPs’ access models</w:t>
      </w:r>
      <w:r w:rsidR="00DB6F1C" w:rsidRPr="002661A8">
        <w:rPr>
          <w:noProof/>
        </w:rPr>
        <w:t xml:space="preserve"> more easily</w:t>
      </w:r>
      <w:r w:rsidR="002157EA" w:rsidRPr="002661A8">
        <w:rPr>
          <w:noProof/>
        </w:rPr>
        <w:t>. The proposed approach is also proportionate and avoid</w:t>
      </w:r>
      <w:r w:rsidR="002504D9">
        <w:rPr>
          <w:noProof/>
        </w:rPr>
        <w:t>s</w:t>
      </w:r>
      <w:r w:rsidR="002157EA" w:rsidRPr="002661A8">
        <w:rPr>
          <w:noProof/>
        </w:rPr>
        <w:t xml:space="preserve"> </w:t>
      </w:r>
      <w:r w:rsidR="00CD6CE6" w:rsidRPr="002661A8">
        <w:rPr>
          <w:noProof/>
        </w:rPr>
        <w:t xml:space="preserve">disproportionate </w:t>
      </w:r>
      <w:r w:rsidR="002157EA" w:rsidRPr="002661A8">
        <w:rPr>
          <w:noProof/>
        </w:rPr>
        <w:t xml:space="preserve">costs to end clients while preserving financial stability and deepening </w:t>
      </w:r>
      <w:r w:rsidR="00856B54" w:rsidRPr="002661A8">
        <w:rPr>
          <w:noProof/>
        </w:rPr>
        <w:t>CMU</w:t>
      </w:r>
      <w:r w:rsidR="00D907A5" w:rsidRPr="002661A8" w:rsidDel="00DB6F1C">
        <w:rPr>
          <w:noProof/>
        </w:rPr>
        <w:t xml:space="preserve">, </w:t>
      </w:r>
      <w:r w:rsidR="00D907A5" w:rsidRPr="002661A8">
        <w:rPr>
          <w:noProof/>
        </w:rPr>
        <w:t xml:space="preserve">given that estimates are that around 60% of EU clients already have account at an EU CCP. </w:t>
      </w:r>
      <w:r w:rsidR="009A2805" w:rsidRPr="002661A8">
        <w:rPr>
          <w:noProof/>
        </w:rPr>
        <w:t>O</w:t>
      </w:r>
      <w:r w:rsidR="00D27BBB" w:rsidRPr="002661A8">
        <w:rPr>
          <w:noProof/>
        </w:rPr>
        <w:t>ptions to</w:t>
      </w:r>
      <w:r w:rsidR="002E4929" w:rsidRPr="002661A8">
        <w:rPr>
          <w:noProof/>
        </w:rPr>
        <w:t xml:space="preserve"> address the demand side of the problem </w:t>
      </w:r>
      <w:r w:rsidR="00D27BBB" w:rsidRPr="002661A8">
        <w:rPr>
          <w:noProof/>
        </w:rPr>
        <w:t>are</w:t>
      </w:r>
      <w:r w:rsidR="002E4929" w:rsidRPr="002661A8">
        <w:rPr>
          <w:noProof/>
        </w:rPr>
        <w:t xml:space="preserve"> expected to facilitate central clearing and reduce over-reliance on third-country CCPs, thereby strengthening clients’ resilience. However, </w:t>
      </w:r>
      <w:r w:rsidR="00B87CBE" w:rsidRPr="002661A8">
        <w:rPr>
          <w:noProof/>
        </w:rPr>
        <w:t>in particular</w:t>
      </w:r>
      <w:r w:rsidR="002E4929" w:rsidRPr="002661A8">
        <w:rPr>
          <w:noProof/>
        </w:rPr>
        <w:t xml:space="preserve"> clients that do not currently clear in the EU, or </w:t>
      </w:r>
      <w:r w:rsidR="00E55168" w:rsidRPr="002661A8">
        <w:rPr>
          <w:noProof/>
        </w:rPr>
        <w:t>who clear in the EU but not to the</w:t>
      </w:r>
      <w:r w:rsidR="002E4929" w:rsidRPr="002661A8">
        <w:rPr>
          <w:noProof/>
        </w:rPr>
        <w:t xml:space="preserve"> extent</w:t>
      </w:r>
      <w:r w:rsidR="00E55168" w:rsidRPr="002661A8">
        <w:rPr>
          <w:noProof/>
        </w:rPr>
        <w:t xml:space="preserve"> required for an account to be considered active</w:t>
      </w:r>
      <w:r w:rsidR="002E4929" w:rsidRPr="002661A8">
        <w:rPr>
          <w:noProof/>
        </w:rPr>
        <w:t xml:space="preserve">, </w:t>
      </w:r>
      <w:r w:rsidR="00511AE0" w:rsidRPr="002661A8">
        <w:rPr>
          <w:noProof/>
        </w:rPr>
        <w:t>will</w:t>
      </w:r>
      <w:r w:rsidR="002E4929" w:rsidRPr="002661A8">
        <w:rPr>
          <w:noProof/>
        </w:rPr>
        <w:t xml:space="preserve"> bear </w:t>
      </w:r>
      <w:r w:rsidR="00B87CBE" w:rsidRPr="002661A8">
        <w:rPr>
          <w:noProof/>
        </w:rPr>
        <w:t xml:space="preserve">some </w:t>
      </w:r>
      <w:r w:rsidR="002E4929" w:rsidRPr="002661A8">
        <w:rPr>
          <w:noProof/>
        </w:rPr>
        <w:t xml:space="preserve">costs </w:t>
      </w:r>
      <w:r w:rsidR="009F1831" w:rsidRPr="002661A8">
        <w:rPr>
          <w:noProof/>
        </w:rPr>
        <w:t>under</w:t>
      </w:r>
      <w:r w:rsidR="002E4929" w:rsidRPr="002661A8">
        <w:rPr>
          <w:noProof/>
        </w:rPr>
        <w:t xml:space="preserve"> the obligation to keep an active account at an EU CCP. Whether these costs would be ongoing or not depends on the </w:t>
      </w:r>
      <w:r w:rsidR="00E55168" w:rsidRPr="002661A8">
        <w:rPr>
          <w:noProof/>
        </w:rPr>
        <w:t xml:space="preserve">precise calibration of the requirements and </w:t>
      </w:r>
      <w:r w:rsidR="002E4929" w:rsidRPr="002661A8">
        <w:rPr>
          <w:noProof/>
        </w:rPr>
        <w:t xml:space="preserve">on the way </w:t>
      </w:r>
      <w:r w:rsidR="00E55168" w:rsidRPr="002661A8">
        <w:rPr>
          <w:noProof/>
        </w:rPr>
        <w:t>market participants</w:t>
      </w:r>
      <w:r w:rsidR="002E4929" w:rsidRPr="002661A8">
        <w:rPr>
          <w:noProof/>
        </w:rPr>
        <w:t xml:space="preserve"> would adjust to the</w:t>
      </w:r>
      <w:r w:rsidR="00E55168" w:rsidRPr="002661A8">
        <w:rPr>
          <w:noProof/>
        </w:rPr>
        <w:t>m, which will also impact netting efficiencies at EU CCPs</w:t>
      </w:r>
      <w:r w:rsidR="002E4929" w:rsidRPr="002661A8">
        <w:rPr>
          <w:noProof/>
        </w:rPr>
        <w:t xml:space="preserve">. More in general, clients are also likely to bear any additional costs faced by clearing members </w:t>
      </w:r>
      <w:r w:rsidR="009F1831" w:rsidRPr="002661A8">
        <w:rPr>
          <w:noProof/>
        </w:rPr>
        <w:t>under</w:t>
      </w:r>
      <w:r w:rsidR="002E4929" w:rsidRPr="002661A8">
        <w:rPr>
          <w:noProof/>
        </w:rPr>
        <w:t xml:space="preserve"> the proposed measures, at least as long as clearing members do face such costs.</w:t>
      </w:r>
    </w:p>
    <w:p w14:paraId="6EDB7270" w14:textId="08A2F877" w:rsidR="002111D2" w:rsidRPr="002661A8" w:rsidRDefault="002111D2" w:rsidP="00A61E96">
      <w:pPr>
        <w:pStyle w:val="Text2"/>
        <w:spacing w:after="120"/>
        <w:ind w:left="0"/>
        <w:rPr>
          <w:noProof/>
        </w:rPr>
      </w:pPr>
      <w:r w:rsidRPr="002661A8">
        <w:rPr>
          <w:noProof/>
        </w:rPr>
        <w:t xml:space="preserve">Under the preferred policy options, </w:t>
      </w:r>
      <w:r w:rsidR="002157EA" w:rsidRPr="002661A8">
        <w:rPr>
          <w:b/>
          <w:noProof/>
        </w:rPr>
        <w:t>ESMA</w:t>
      </w:r>
      <w:r w:rsidRPr="002661A8">
        <w:rPr>
          <w:noProof/>
        </w:rPr>
        <w:t xml:space="preserve"> may incur limited additional costs but would benefit from a strengthened supervisory environment due to </w:t>
      </w:r>
      <w:r w:rsidR="00A73527" w:rsidRPr="002661A8">
        <w:rPr>
          <w:noProof/>
        </w:rPr>
        <w:t>additional responsibilities it will be given</w:t>
      </w:r>
      <w:r w:rsidRPr="002661A8">
        <w:rPr>
          <w:noProof/>
        </w:rPr>
        <w:t xml:space="preserve">. In terms of costs, ESMA would mainly be impacted by the </w:t>
      </w:r>
      <w:r w:rsidR="00A73527" w:rsidRPr="002661A8">
        <w:rPr>
          <w:noProof/>
        </w:rPr>
        <w:t xml:space="preserve">additional supervisory tasks provided for under the policy options as well as the various pieces of secondary legislation it might be empowered to develop. </w:t>
      </w:r>
      <w:r w:rsidR="007A6C22" w:rsidRPr="002661A8">
        <w:rPr>
          <w:noProof/>
        </w:rPr>
        <w:t xml:space="preserve">On the one hand, certain preferred policy options should lead to the reduction or simplification of ESMA’s work (e.g. streamlining of procedures, standardisation of documentation submitted to ESMA). </w:t>
      </w:r>
      <w:r w:rsidR="00CD0A24" w:rsidRPr="002661A8">
        <w:rPr>
          <w:noProof/>
        </w:rPr>
        <w:t xml:space="preserve">Overall, </w:t>
      </w:r>
      <w:r w:rsidR="00A73527" w:rsidRPr="002661A8">
        <w:rPr>
          <w:noProof/>
        </w:rPr>
        <w:t xml:space="preserve">ESMA would benefit from </w:t>
      </w:r>
      <w:r w:rsidR="00CD0A24" w:rsidRPr="002661A8">
        <w:rPr>
          <w:noProof/>
        </w:rPr>
        <w:t>having a clearer overview</w:t>
      </w:r>
      <w:r w:rsidR="00A73527" w:rsidRPr="002661A8">
        <w:rPr>
          <w:noProof/>
        </w:rPr>
        <w:t xml:space="preserve"> on EU CCPs</w:t>
      </w:r>
      <w:r w:rsidR="008B0E1C" w:rsidRPr="002661A8">
        <w:rPr>
          <w:noProof/>
        </w:rPr>
        <w:t xml:space="preserve"> </w:t>
      </w:r>
      <w:r w:rsidR="00CD0A24" w:rsidRPr="002661A8">
        <w:rPr>
          <w:noProof/>
        </w:rPr>
        <w:t>and relevant financial stability risks</w:t>
      </w:r>
      <w:r w:rsidR="00A73527" w:rsidRPr="002661A8">
        <w:rPr>
          <w:noProof/>
        </w:rPr>
        <w:t>.</w:t>
      </w:r>
    </w:p>
    <w:p w14:paraId="4E38EBAA" w14:textId="0ED62D59" w:rsidR="009B3ADD" w:rsidRPr="002661A8" w:rsidRDefault="00F1344B" w:rsidP="00A61E96">
      <w:pPr>
        <w:pStyle w:val="Text2"/>
        <w:spacing w:after="120"/>
        <w:ind w:left="0"/>
        <w:rPr>
          <w:noProof/>
        </w:rPr>
      </w:pPr>
      <w:r w:rsidRPr="002661A8">
        <w:rPr>
          <w:noProof/>
        </w:rPr>
        <w:t>T</w:t>
      </w:r>
      <w:r w:rsidR="002157EA" w:rsidRPr="002661A8">
        <w:rPr>
          <w:noProof/>
        </w:rPr>
        <w:t xml:space="preserve">he impact of the preferred options on </w:t>
      </w:r>
      <w:r w:rsidR="002716AE" w:rsidRPr="002661A8">
        <w:rPr>
          <w:b/>
          <w:noProof/>
        </w:rPr>
        <w:t>NCAs</w:t>
      </w:r>
      <w:r w:rsidR="002157EA" w:rsidRPr="002661A8">
        <w:rPr>
          <w:noProof/>
        </w:rPr>
        <w:t xml:space="preserve"> would be limited but generally positive. </w:t>
      </w:r>
      <w:r w:rsidR="00644771" w:rsidRPr="002661A8">
        <w:rPr>
          <w:noProof/>
        </w:rPr>
        <w:t>S</w:t>
      </w:r>
      <w:r w:rsidR="007D5010" w:rsidRPr="002661A8">
        <w:rPr>
          <w:noProof/>
        </w:rPr>
        <w:t xml:space="preserve">ome of their supervisory tasks </w:t>
      </w:r>
      <w:r w:rsidR="002157EA" w:rsidRPr="002661A8">
        <w:rPr>
          <w:noProof/>
        </w:rPr>
        <w:t xml:space="preserve">will </w:t>
      </w:r>
      <w:r w:rsidR="007D5010" w:rsidRPr="002661A8">
        <w:rPr>
          <w:noProof/>
        </w:rPr>
        <w:t xml:space="preserve">be simplified, </w:t>
      </w:r>
      <w:r w:rsidR="00162C84">
        <w:rPr>
          <w:noProof/>
        </w:rPr>
        <w:t xml:space="preserve">and </w:t>
      </w:r>
      <w:r w:rsidR="002157EA" w:rsidRPr="002661A8">
        <w:rPr>
          <w:noProof/>
        </w:rPr>
        <w:t xml:space="preserve">some of the procedures will be streamlined and specified, </w:t>
      </w:r>
      <w:r w:rsidR="00162C84">
        <w:rPr>
          <w:noProof/>
        </w:rPr>
        <w:t xml:space="preserve">therefore </w:t>
      </w:r>
      <w:r w:rsidR="002157EA" w:rsidRPr="002661A8">
        <w:rPr>
          <w:noProof/>
        </w:rPr>
        <w:t xml:space="preserve">authorities will benefit from </w:t>
      </w:r>
      <w:r w:rsidR="007A66E1" w:rsidRPr="002661A8">
        <w:rPr>
          <w:noProof/>
        </w:rPr>
        <w:t>reduced interactions with</w:t>
      </w:r>
      <w:r w:rsidR="002157EA" w:rsidRPr="002661A8">
        <w:rPr>
          <w:noProof/>
        </w:rPr>
        <w:t xml:space="preserve"> CCPs</w:t>
      </w:r>
      <w:r w:rsidR="007A66E1" w:rsidRPr="002661A8">
        <w:rPr>
          <w:noProof/>
        </w:rPr>
        <w:t xml:space="preserve"> for additional documentation</w:t>
      </w:r>
      <w:r w:rsidR="002157EA" w:rsidRPr="002661A8">
        <w:rPr>
          <w:noProof/>
        </w:rPr>
        <w:t xml:space="preserve"> and a better flow of communication between CCPs, the college and ESMA. The initial costs of setting up the new procedures, </w:t>
      </w:r>
      <w:r w:rsidR="007D5010" w:rsidRPr="002661A8">
        <w:rPr>
          <w:noProof/>
        </w:rPr>
        <w:t>e.g.</w:t>
      </w:r>
      <w:r w:rsidR="002157EA" w:rsidRPr="002661A8">
        <w:rPr>
          <w:noProof/>
        </w:rPr>
        <w:t xml:space="preserve"> the development of new IT tools</w:t>
      </w:r>
      <w:r w:rsidR="007A6C22" w:rsidRPr="002661A8">
        <w:rPr>
          <w:noProof/>
        </w:rPr>
        <w:t>,</w:t>
      </w:r>
      <w:r w:rsidR="002157EA" w:rsidRPr="002661A8">
        <w:rPr>
          <w:noProof/>
        </w:rPr>
        <w:t xml:space="preserve"> will be minimal compared to the benefits provided. </w:t>
      </w:r>
      <w:r w:rsidR="00E17E28" w:rsidRPr="002661A8">
        <w:rPr>
          <w:noProof/>
        </w:rPr>
        <w:t>S</w:t>
      </w:r>
      <w:r w:rsidR="002157EA" w:rsidRPr="002661A8">
        <w:rPr>
          <w:noProof/>
        </w:rPr>
        <w:t>ome costs may be shared across authorities and ESMA.</w:t>
      </w:r>
      <w:r w:rsidR="00E17E28" w:rsidRPr="002661A8">
        <w:rPr>
          <w:noProof/>
        </w:rPr>
        <w:t xml:space="preserve"> S</w:t>
      </w:r>
      <w:r w:rsidR="007A6C22" w:rsidRPr="002661A8">
        <w:rPr>
          <w:noProof/>
        </w:rPr>
        <w:t xml:space="preserve">ome limited costs for supervisors </w:t>
      </w:r>
      <w:r w:rsidR="007A6C22" w:rsidRPr="002661A8" w:rsidDel="00162C84">
        <w:rPr>
          <w:noProof/>
        </w:rPr>
        <w:t xml:space="preserve">(including the SSM) </w:t>
      </w:r>
      <w:r w:rsidR="007A6C22" w:rsidRPr="002661A8">
        <w:rPr>
          <w:noProof/>
        </w:rPr>
        <w:t xml:space="preserve">could arise </w:t>
      </w:r>
      <w:r w:rsidR="00777E3A" w:rsidRPr="002661A8">
        <w:rPr>
          <w:noProof/>
        </w:rPr>
        <w:t>from</w:t>
      </w:r>
      <w:r w:rsidR="007A6C22" w:rsidRPr="002661A8">
        <w:rPr>
          <w:noProof/>
        </w:rPr>
        <w:t xml:space="preserve"> checking that compliance with requirements introduce</w:t>
      </w:r>
      <w:r w:rsidR="00777E3A" w:rsidRPr="002661A8">
        <w:rPr>
          <w:noProof/>
        </w:rPr>
        <w:t>d</w:t>
      </w:r>
      <w:r w:rsidR="007A6C22" w:rsidRPr="002661A8">
        <w:rPr>
          <w:noProof/>
        </w:rPr>
        <w:t xml:space="preserve"> to address the demand-side of the problem. </w:t>
      </w:r>
      <w:r w:rsidR="00777E3A" w:rsidRPr="002661A8">
        <w:rPr>
          <w:noProof/>
        </w:rPr>
        <w:t>A</w:t>
      </w:r>
      <w:r w:rsidR="007A6C22" w:rsidRPr="002661A8">
        <w:rPr>
          <w:noProof/>
        </w:rPr>
        <w:t>s such costs are expected to be small and would be integrated in ongoing supervision, the overall impact could be seen as neutral.</w:t>
      </w:r>
      <w:r w:rsidR="00E1708B" w:rsidRPr="002661A8">
        <w:rPr>
          <w:noProof/>
        </w:rPr>
        <w:t xml:space="preserve"> The use of IT tools is also coherent with the “digital by default” principle.</w:t>
      </w:r>
    </w:p>
    <w:p w14:paraId="178D360C" w14:textId="18B47C54" w:rsidR="000C393E" w:rsidRPr="002661A8" w:rsidRDefault="00F1344B" w:rsidP="00A61E96">
      <w:pPr>
        <w:pStyle w:val="Text2"/>
        <w:spacing w:after="120"/>
        <w:ind w:left="0"/>
        <w:rPr>
          <w:noProof/>
        </w:rPr>
      </w:pPr>
      <w:r w:rsidRPr="002661A8">
        <w:rPr>
          <w:noProof/>
        </w:rPr>
        <w:t xml:space="preserve">Finally, the measures taken to reduce the </w:t>
      </w:r>
      <w:r w:rsidR="007C4BE0" w:rsidRPr="002661A8">
        <w:rPr>
          <w:noProof/>
        </w:rPr>
        <w:t>over-</w:t>
      </w:r>
      <w:r w:rsidRPr="002661A8">
        <w:rPr>
          <w:noProof/>
        </w:rPr>
        <w:t>reliance on systemic</w:t>
      </w:r>
      <w:r w:rsidR="000C393E" w:rsidRPr="002661A8">
        <w:rPr>
          <w:noProof/>
        </w:rPr>
        <w:t>ally important</w:t>
      </w:r>
      <w:r w:rsidRPr="002661A8">
        <w:rPr>
          <w:noProof/>
        </w:rPr>
        <w:t xml:space="preserve"> </w:t>
      </w:r>
      <w:r w:rsidRPr="004A0FF2">
        <w:rPr>
          <w:b/>
          <w:noProof/>
        </w:rPr>
        <w:t xml:space="preserve">third-country CCPs </w:t>
      </w:r>
      <w:r w:rsidRPr="002661A8">
        <w:rPr>
          <w:noProof/>
        </w:rPr>
        <w:t xml:space="preserve">are likely to have </w:t>
      </w:r>
      <w:r w:rsidR="003C2777" w:rsidRPr="002661A8">
        <w:rPr>
          <w:noProof/>
        </w:rPr>
        <w:t>a negative</w:t>
      </w:r>
      <w:r w:rsidRPr="002661A8">
        <w:rPr>
          <w:noProof/>
        </w:rPr>
        <w:t xml:space="preserve"> impact on these CCPs as some of the clearing business</w:t>
      </w:r>
      <w:r w:rsidR="003C2777" w:rsidRPr="002661A8">
        <w:rPr>
          <w:noProof/>
        </w:rPr>
        <w:t>, at least from EU market participants,</w:t>
      </w:r>
      <w:r w:rsidRPr="002661A8">
        <w:rPr>
          <w:noProof/>
        </w:rPr>
        <w:t xml:space="preserve"> is meant to move away </w:t>
      </w:r>
      <w:r w:rsidR="003C2777" w:rsidRPr="002661A8">
        <w:rPr>
          <w:noProof/>
        </w:rPr>
        <w:t>from them. It could however as well be a benefit for other non-systemic</w:t>
      </w:r>
      <w:r w:rsidR="000C393E" w:rsidRPr="002661A8">
        <w:rPr>
          <w:noProof/>
        </w:rPr>
        <w:t>ally important</w:t>
      </w:r>
      <w:r w:rsidR="003C2777" w:rsidRPr="002661A8">
        <w:rPr>
          <w:noProof/>
        </w:rPr>
        <w:t xml:space="preserve"> third-country CCPs which could inherit </w:t>
      </w:r>
      <w:r w:rsidR="007C4BE0" w:rsidRPr="002661A8">
        <w:rPr>
          <w:noProof/>
        </w:rPr>
        <w:t>those flows, including by proactively</w:t>
      </w:r>
      <w:r w:rsidR="003C2777" w:rsidRPr="002661A8">
        <w:rPr>
          <w:noProof/>
        </w:rPr>
        <w:t xml:space="preserve"> attract</w:t>
      </w:r>
      <w:r w:rsidR="007C4BE0" w:rsidRPr="002661A8">
        <w:rPr>
          <w:noProof/>
        </w:rPr>
        <w:t>ing</w:t>
      </w:r>
      <w:r w:rsidR="003C2777" w:rsidRPr="002661A8">
        <w:rPr>
          <w:noProof/>
        </w:rPr>
        <w:t xml:space="preserve"> th</w:t>
      </w:r>
      <w:r w:rsidR="007C4BE0" w:rsidRPr="002661A8">
        <w:rPr>
          <w:noProof/>
        </w:rPr>
        <w:t>em</w:t>
      </w:r>
      <w:r w:rsidR="003C2777" w:rsidRPr="002661A8">
        <w:rPr>
          <w:noProof/>
        </w:rPr>
        <w:t>.</w:t>
      </w:r>
    </w:p>
    <w:p w14:paraId="7D0DD469" w14:textId="77777777" w:rsidR="000C393E" w:rsidRPr="002661A8" w:rsidRDefault="000C393E" w:rsidP="00ED5088">
      <w:pPr>
        <w:pStyle w:val="Heading1"/>
        <w:numPr>
          <w:ilvl w:val="2"/>
          <w:numId w:val="6"/>
        </w:numPr>
        <w:spacing w:before="0" w:after="120"/>
        <w:rPr>
          <w:b w:val="0"/>
          <w:i/>
          <w:noProof/>
        </w:rPr>
      </w:pPr>
      <w:bookmarkStart w:id="1325" w:name="_Toc108539613"/>
      <w:bookmarkStart w:id="1326" w:name="_Toc108539835"/>
      <w:bookmarkStart w:id="1327" w:name="_Toc108539953"/>
      <w:bookmarkStart w:id="1328" w:name="_Toc108540032"/>
      <w:bookmarkStart w:id="1329" w:name="_Toc109057411"/>
      <w:bookmarkStart w:id="1330" w:name="_Toc109120777"/>
      <w:bookmarkStart w:id="1331" w:name="_Toc109122412"/>
      <w:bookmarkStart w:id="1332" w:name="_Toc109124125"/>
      <w:bookmarkStart w:id="1333" w:name="_Toc109133149"/>
      <w:bookmarkStart w:id="1334" w:name="_Toc109133325"/>
      <w:bookmarkStart w:id="1335" w:name="_Toc120291683"/>
      <w:r w:rsidRPr="002661A8">
        <w:rPr>
          <w:b w:val="0"/>
          <w:i/>
          <w:smallCaps w:val="0"/>
          <w:noProof/>
        </w:rPr>
        <w:t>Impact on financial stability</w:t>
      </w:r>
      <w:bookmarkEnd w:id="1325"/>
      <w:bookmarkEnd w:id="1326"/>
      <w:bookmarkEnd w:id="1327"/>
      <w:bookmarkEnd w:id="1328"/>
      <w:bookmarkEnd w:id="1329"/>
      <w:bookmarkEnd w:id="1330"/>
      <w:bookmarkEnd w:id="1331"/>
      <w:bookmarkEnd w:id="1332"/>
      <w:bookmarkEnd w:id="1333"/>
      <w:bookmarkEnd w:id="1334"/>
      <w:bookmarkEnd w:id="1335"/>
      <w:r w:rsidRPr="002661A8">
        <w:rPr>
          <w:b w:val="0"/>
          <w:i/>
          <w:smallCaps w:val="0"/>
          <w:noProof/>
        </w:rPr>
        <w:t xml:space="preserve"> </w:t>
      </w:r>
    </w:p>
    <w:p w14:paraId="169AB2A3" w14:textId="534A2CAD" w:rsidR="000C393E" w:rsidRPr="002661A8" w:rsidRDefault="000C393E" w:rsidP="000C393E">
      <w:pPr>
        <w:pStyle w:val="Text2"/>
        <w:spacing w:after="120"/>
        <w:ind w:left="0"/>
        <w:rPr>
          <w:noProof/>
          <w:szCs w:val="24"/>
        </w:rPr>
      </w:pPr>
      <w:r w:rsidRPr="002661A8">
        <w:rPr>
          <w:noProof/>
        </w:rPr>
        <w:t>The combination of preferred options has a positive impact on financial stability</w:t>
      </w:r>
      <w:r w:rsidR="007C1480" w:rsidRPr="002661A8">
        <w:rPr>
          <w:noProof/>
        </w:rPr>
        <w:t xml:space="preserve"> which is a societal benefit</w:t>
      </w:r>
      <w:r w:rsidRPr="002661A8">
        <w:rPr>
          <w:noProof/>
        </w:rPr>
        <w:t>. By making EU CCPs more attractive while ensuring appropriate supervision, the EU’s overreliance on third-country CCPs can be reduced. This has a positive impact on financial stability</w:t>
      </w:r>
      <w:r w:rsidR="00A010C4" w:rsidRPr="002661A8">
        <w:rPr>
          <w:noProof/>
        </w:rPr>
        <w:t xml:space="preserve"> by:</w:t>
      </w:r>
      <w:r w:rsidRPr="002661A8">
        <w:rPr>
          <w:noProof/>
        </w:rPr>
        <w:t xml:space="preserve"> (i) reducing CCPs</w:t>
      </w:r>
      <w:r w:rsidR="00A010C4" w:rsidRPr="002661A8">
        <w:rPr>
          <w:noProof/>
        </w:rPr>
        <w:t>’</w:t>
      </w:r>
      <w:r w:rsidRPr="002661A8">
        <w:rPr>
          <w:noProof/>
        </w:rPr>
        <w:t xml:space="preserve"> concentration rates (ii) </w:t>
      </w:r>
      <w:r w:rsidR="00AA515E" w:rsidRPr="002661A8">
        <w:rPr>
          <w:noProof/>
        </w:rPr>
        <w:t xml:space="preserve">ensuring effective alternative clearing solutions are available in case of market stress, with </w:t>
      </w:r>
      <w:r w:rsidRPr="002661A8">
        <w:rPr>
          <w:noProof/>
        </w:rPr>
        <w:t>reduc</w:t>
      </w:r>
      <w:r w:rsidR="00AA515E" w:rsidRPr="002661A8">
        <w:rPr>
          <w:noProof/>
        </w:rPr>
        <w:t>ed</w:t>
      </w:r>
      <w:r w:rsidRPr="002661A8">
        <w:rPr>
          <w:noProof/>
        </w:rPr>
        <w:t xml:space="preserve"> frictional costs in case </w:t>
      </w:r>
      <w:r w:rsidR="00AA515E" w:rsidRPr="002661A8">
        <w:rPr>
          <w:noProof/>
        </w:rPr>
        <w:t>this</w:t>
      </w:r>
      <w:r w:rsidRPr="002661A8">
        <w:rPr>
          <w:noProof/>
        </w:rPr>
        <w:t xml:space="preserve"> would require a massive shift of positions towards EU CCPs, and (iii) ensuring that EU supervisors are given adequate powers and monitoring capabilities.</w:t>
      </w:r>
    </w:p>
    <w:p w14:paraId="588AD728" w14:textId="0CC1580A" w:rsidR="000C393E" w:rsidRPr="002661A8" w:rsidRDefault="000C393E" w:rsidP="00D907A5">
      <w:pPr>
        <w:pStyle w:val="Text2"/>
        <w:spacing w:after="120"/>
        <w:ind w:left="0"/>
        <w:rPr>
          <w:noProof/>
          <w:szCs w:val="24"/>
        </w:rPr>
      </w:pPr>
      <w:bookmarkStart w:id="1336" w:name="_Toc82710788"/>
      <w:bookmarkStart w:id="1337" w:name="_Toc82711042"/>
      <w:bookmarkStart w:id="1338" w:name="_Toc82712940"/>
      <w:bookmarkStart w:id="1339" w:name="_Toc82716917"/>
      <w:bookmarkStart w:id="1340" w:name="_Toc83227197"/>
      <w:bookmarkStart w:id="1341" w:name="_Toc83227880"/>
      <w:bookmarkStart w:id="1342" w:name="_Toc83229503"/>
      <w:bookmarkStart w:id="1343" w:name="_Toc83277649"/>
      <w:bookmarkStart w:id="1344" w:name="_Toc83741002"/>
      <w:bookmarkStart w:id="1345" w:name="_Toc83741134"/>
      <w:bookmarkStart w:id="1346" w:name="_Toc83744535"/>
      <w:bookmarkStart w:id="1347" w:name="_Toc90571183"/>
      <w:bookmarkStart w:id="1348" w:name="_Toc90573484"/>
      <w:bookmarkStart w:id="1349" w:name="_Toc103337536"/>
      <w:bookmarkStart w:id="1350" w:name="_Toc104310026"/>
      <w:bookmarkStart w:id="1351" w:name="_Toc105656466"/>
      <w:bookmarkStart w:id="1352" w:name="_Toc106827866"/>
      <w:bookmarkStart w:id="1353" w:name="_Toc106981741"/>
      <w:bookmarkStart w:id="1354" w:name="_Toc107493881"/>
      <w:bookmarkStart w:id="1355" w:name="_Toc107497917"/>
      <w:bookmarkStart w:id="1356" w:name="_Toc107503470"/>
      <w:bookmarkStart w:id="1357" w:name="_Toc107504618"/>
      <w:bookmarkStart w:id="1358" w:name="_Toc107505463"/>
      <w:bookmarkStart w:id="1359" w:name="_Toc107838939"/>
      <w:bookmarkStart w:id="1360" w:name="_Toc107847034"/>
      <w:bookmarkStart w:id="1361" w:name="_Toc107849271"/>
      <w:bookmarkStart w:id="1362" w:name="_Toc107853718"/>
      <w:bookmarkStart w:id="1363" w:name="_Toc107865312"/>
      <w:bookmarkStart w:id="1364" w:name="_Toc108418521"/>
      <w:r w:rsidRPr="002661A8">
        <w:rPr>
          <w:noProof/>
        </w:rPr>
        <w:t xml:space="preserve">More specifically, by increasing the attractiveness of the EU as a clearing hub, the preferred policy options address the financial stability risks that arise from EU firms’ overreliance on </w:t>
      </w:r>
      <w:r w:rsidR="00294A2C" w:rsidRPr="002661A8">
        <w:rPr>
          <w:noProof/>
        </w:rPr>
        <w:t>Tier 2</w:t>
      </w:r>
      <w:r w:rsidRPr="002661A8">
        <w:rPr>
          <w:noProof/>
        </w:rPr>
        <w:t xml:space="preserve"> CCPs. EU authorities have limited means for protecting EU firms that use a third-country CCP’s services in times of </w:t>
      </w:r>
      <w:r w:rsidR="003E4A87" w:rsidRPr="002661A8">
        <w:rPr>
          <w:noProof/>
        </w:rPr>
        <w:t>stress</w:t>
      </w:r>
      <w:r w:rsidRPr="002661A8">
        <w:rPr>
          <w:noProof/>
        </w:rPr>
        <w:t xml:space="preserve">, as they have no control over the situation. Reducing EU firms’ overreliance on </w:t>
      </w:r>
      <w:r w:rsidR="00294A2C" w:rsidRPr="002661A8">
        <w:rPr>
          <w:noProof/>
        </w:rPr>
        <w:t>Tier 2</w:t>
      </w:r>
      <w:r w:rsidRPr="002661A8">
        <w:rPr>
          <w:noProof/>
        </w:rPr>
        <w:t xml:space="preserve"> CCPs will have a directly positive impact on financial stability, especially as this will be combined with changes in the EU supervisory framework aiming at ensuring better consideration of cross-border risks in the EU. Indeed, the introduction of targeted amendments in the EU supervisory framework to ensure increased input of EU authorities in the supervision of EU CCPs and the granting of powers to ESMA in emergency situations aim at making certain that supervisory decisions are taken, more than today, with a systemic pan-EU perspective.</w:t>
      </w:r>
    </w:p>
    <w:p w14:paraId="1F96C570" w14:textId="5F8F58D6" w:rsidR="009B3ADD" w:rsidRPr="002661A8" w:rsidRDefault="009B3ADD" w:rsidP="00ED5088">
      <w:pPr>
        <w:pStyle w:val="Heading1"/>
        <w:numPr>
          <w:ilvl w:val="2"/>
          <w:numId w:val="6"/>
        </w:numPr>
        <w:spacing w:before="0" w:after="120"/>
        <w:rPr>
          <w:b w:val="0"/>
          <w:i/>
          <w:noProof/>
        </w:rPr>
      </w:pPr>
      <w:bookmarkStart w:id="1365" w:name="_Toc108539614"/>
      <w:bookmarkStart w:id="1366" w:name="_Toc108539836"/>
      <w:bookmarkStart w:id="1367" w:name="_Toc108539954"/>
      <w:bookmarkStart w:id="1368" w:name="_Toc108540033"/>
      <w:bookmarkStart w:id="1369" w:name="_Toc109057412"/>
      <w:bookmarkStart w:id="1370" w:name="_Toc109120778"/>
      <w:bookmarkStart w:id="1371" w:name="_Toc109122413"/>
      <w:bookmarkStart w:id="1372" w:name="_Toc109124126"/>
      <w:bookmarkStart w:id="1373" w:name="_Toc109133150"/>
      <w:bookmarkStart w:id="1374" w:name="_Toc109133326"/>
      <w:bookmarkStart w:id="1375" w:name="_Toc120291684"/>
      <w:r w:rsidRPr="002661A8">
        <w:rPr>
          <w:b w:val="0"/>
          <w:i/>
          <w:smallCaps w:val="0"/>
          <w:noProof/>
        </w:rPr>
        <w:t>Impact on small and medium sized enterprises</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7874BAF3" w14:textId="1896C07F" w:rsidR="00081D60" w:rsidRPr="002661A8" w:rsidRDefault="00220B4C" w:rsidP="00A61E96">
      <w:pPr>
        <w:pStyle w:val="Text2"/>
        <w:spacing w:after="120"/>
        <w:ind w:left="0"/>
        <w:rPr>
          <w:noProof/>
        </w:rPr>
      </w:pPr>
      <w:r w:rsidRPr="002661A8">
        <w:rPr>
          <w:noProof/>
        </w:rPr>
        <w:t xml:space="preserve">This initiative does not have any direct or specific impacts on SMEs. Like other businesses, </w:t>
      </w:r>
      <w:r w:rsidR="00AB57E9" w:rsidRPr="002661A8">
        <w:rPr>
          <w:noProof/>
        </w:rPr>
        <w:t xml:space="preserve">SMEs will benefit from the greater consideration of cross-border risks in the </w:t>
      </w:r>
      <w:r w:rsidR="00856B54" w:rsidRPr="002661A8">
        <w:rPr>
          <w:noProof/>
        </w:rPr>
        <w:t>EU</w:t>
      </w:r>
      <w:r w:rsidR="00AB57E9" w:rsidRPr="002661A8">
        <w:rPr>
          <w:noProof/>
        </w:rPr>
        <w:t xml:space="preserve">. </w:t>
      </w:r>
      <w:r w:rsidR="00E15AD4" w:rsidRPr="002661A8">
        <w:rPr>
          <w:noProof/>
        </w:rPr>
        <w:t>By enhancing financial stability, this initiative would reduce the</w:t>
      </w:r>
      <w:r w:rsidR="00AB57E9" w:rsidRPr="002661A8">
        <w:rPr>
          <w:noProof/>
        </w:rPr>
        <w:t xml:space="preserve"> potential for negative knock-on effects of a crisis affecting the financial sector</w:t>
      </w:r>
      <w:r w:rsidR="00AD673B" w:rsidRPr="002661A8">
        <w:rPr>
          <w:noProof/>
        </w:rPr>
        <w:t>,</w:t>
      </w:r>
      <w:r w:rsidR="00AB57E9" w:rsidRPr="002661A8">
        <w:rPr>
          <w:noProof/>
        </w:rPr>
        <w:t xml:space="preserve"> e.g. reduced capacity of the banking sector to provide financing to the real economy, recessions etc. that tend to </w:t>
      </w:r>
      <w:r w:rsidR="00E15AD4" w:rsidRPr="002661A8">
        <w:rPr>
          <w:noProof/>
        </w:rPr>
        <w:t xml:space="preserve">more </w:t>
      </w:r>
      <w:r w:rsidR="00AB57E9" w:rsidRPr="002661A8">
        <w:rPr>
          <w:noProof/>
        </w:rPr>
        <w:t xml:space="preserve">heavily impact SMEs. SMEs </w:t>
      </w:r>
      <w:r w:rsidRPr="002661A8">
        <w:rPr>
          <w:noProof/>
        </w:rPr>
        <w:t>may also indirectly</w:t>
      </w:r>
      <w:r w:rsidR="00AB57E9" w:rsidRPr="002661A8">
        <w:rPr>
          <w:noProof/>
        </w:rPr>
        <w:t xml:space="preserve"> benefit from the </w:t>
      </w:r>
      <w:r w:rsidR="009A18EE" w:rsidRPr="002661A8">
        <w:rPr>
          <w:noProof/>
        </w:rPr>
        <w:t xml:space="preserve">increased </w:t>
      </w:r>
      <w:r w:rsidR="00AB57E9" w:rsidRPr="002661A8">
        <w:rPr>
          <w:noProof/>
        </w:rPr>
        <w:t xml:space="preserve">attractiveness of EU CCPs. </w:t>
      </w:r>
      <w:r w:rsidR="00A64070" w:rsidRPr="002661A8">
        <w:rPr>
          <w:noProof/>
        </w:rPr>
        <w:t>This initiative</w:t>
      </w:r>
      <w:r w:rsidR="00AB57E9" w:rsidRPr="002661A8">
        <w:rPr>
          <w:noProof/>
        </w:rPr>
        <w:t xml:space="preserve"> should help promote further the use of central clearing and facilitate SMEs</w:t>
      </w:r>
      <w:r w:rsidR="00A010C4" w:rsidRPr="002661A8">
        <w:rPr>
          <w:noProof/>
        </w:rPr>
        <w:t>’ ability</w:t>
      </w:r>
      <w:r w:rsidR="00AB57E9" w:rsidRPr="002661A8">
        <w:rPr>
          <w:noProof/>
        </w:rPr>
        <w:t xml:space="preserve"> to hedge their transactions or invest. The proposal will </w:t>
      </w:r>
      <w:r w:rsidR="00AD673B" w:rsidRPr="002661A8">
        <w:rPr>
          <w:noProof/>
        </w:rPr>
        <w:t>thus</w:t>
      </w:r>
      <w:r w:rsidR="00AB57E9" w:rsidRPr="002661A8">
        <w:rPr>
          <w:noProof/>
        </w:rPr>
        <w:t xml:space="preserve"> contribute to </w:t>
      </w:r>
      <w:r w:rsidR="00A64070" w:rsidRPr="002661A8">
        <w:rPr>
          <w:noProof/>
        </w:rPr>
        <w:t>deepening</w:t>
      </w:r>
      <w:r w:rsidR="00AB57E9" w:rsidRPr="002661A8">
        <w:rPr>
          <w:noProof/>
        </w:rPr>
        <w:t xml:space="preserve"> the </w:t>
      </w:r>
      <w:r w:rsidR="00856B54" w:rsidRPr="002661A8">
        <w:rPr>
          <w:noProof/>
        </w:rPr>
        <w:t>CMU</w:t>
      </w:r>
      <w:r w:rsidR="00AB57E9" w:rsidRPr="002661A8">
        <w:rPr>
          <w:noProof/>
        </w:rPr>
        <w:t>.</w:t>
      </w:r>
      <w:r w:rsidR="00A010C4" w:rsidRPr="002661A8">
        <w:rPr>
          <w:noProof/>
        </w:rPr>
        <w:t xml:space="preserve"> </w:t>
      </w:r>
      <w:r w:rsidR="00091092" w:rsidRPr="002661A8">
        <w:rPr>
          <w:noProof/>
        </w:rPr>
        <w:t>T</w:t>
      </w:r>
      <w:r w:rsidR="00081D60" w:rsidRPr="002661A8">
        <w:rPr>
          <w:noProof/>
        </w:rPr>
        <w:t>here will be some negative impacts on SMEs in the short-</w:t>
      </w:r>
      <w:r w:rsidR="006921C5" w:rsidRPr="002661A8">
        <w:rPr>
          <w:noProof/>
        </w:rPr>
        <w:t>t</w:t>
      </w:r>
      <w:r w:rsidR="00081D60" w:rsidRPr="002661A8">
        <w:rPr>
          <w:noProof/>
        </w:rPr>
        <w:t>o</w:t>
      </w:r>
      <w:r w:rsidR="006921C5" w:rsidRPr="002661A8">
        <w:rPr>
          <w:noProof/>
        </w:rPr>
        <w:t>-</w:t>
      </w:r>
      <w:r w:rsidR="00081D60" w:rsidRPr="002661A8">
        <w:rPr>
          <w:noProof/>
        </w:rPr>
        <w:t>medium</w:t>
      </w:r>
      <w:r w:rsidR="006921C5" w:rsidRPr="002661A8">
        <w:rPr>
          <w:noProof/>
        </w:rPr>
        <w:t xml:space="preserve"> </w:t>
      </w:r>
      <w:r w:rsidR="00081D60" w:rsidRPr="002661A8">
        <w:rPr>
          <w:noProof/>
        </w:rPr>
        <w:t>run</w:t>
      </w:r>
      <w:r w:rsidR="00A010C4" w:rsidRPr="002661A8">
        <w:rPr>
          <w:noProof/>
        </w:rPr>
        <w:t>;</w:t>
      </w:r>
      <w:r w:rsidR="00081D60" w:rsidRPr="002661A8">
        <w:rPr>
          <w:noProof/>
        </w:rPr>
        <w:t xml:space="preserve"> </w:t>
      </w:r>
      <w:r w:rsidR="00A010C4" w:rsidRPr="002661A8">
        <w:rPr>
          <w:noProof/>
        </w:rPr>
        <w:t>they</w:t>
      </w:r>
      <w:r w:rsidR="00081D60" w:rsidRPr="002661A8">
        <w:rPr>
          <w:noProof/>
        </w:rPr>
        <w:t xml:space="preserve"> are </w:t>
      </w:r>
      <w:r w:rsidR="006921C5" w:rsidRPr="002661A8">
        <w:rPr>
          <w:noProof/>
        </w:rPr>
        <w:t xml:space="preserve">similar to </w:t>
      </w:r>
      <w:r w:rsidR="00081D60" w:rsidRPr="002661A8">
        <w:rPr>
          <w:noProof/>
        </w:rPr>
        <w:t>those for financial counterparties (</w:t>
      </w:r>
      <w:r w:rsidR="006921C5" w:rsidRPr="002661A8">
        <w:rPr>
          <w:noProof/>
        </w:rPr>
        <w:t>e.g.</w:t>
      </w:r>
      <w:r w:rsidR="002504D9">
        <w:rPr>
          <w:noProof/>
        </w:rPr>
        <w:t xml:space="preserve"> </w:t>
      </w:r>
      <w:r w:rsidR="006921C5" w:rsidRPr="002661A8">
        <w:rPr>
          <w:noProof/>
        </w:rPr>
        <w:t xml:space="preserve">less </w:t>
      </w:r>
      <w:r w:rsidR="00081D60" w:rsidRPr="002661A8">
        <w:rPr>
          <w:noProof/>
        </w:rPr>
        <w:t xml:space="preserve">netting benefits) but will be smaller </w:t>
      </w:r>
      <w:r w:rsidR="007C4BE0" w:rsidRPr="002661A8">
        <w:rPr>
          <w:noProof/>
        </w:rPr>
        <w:t>in absolute terms</w:t>
      </w:r>
      <w:r w:rsidR="00081D60" w:rsidRPr="002661A8">
        <w:rPr>
          <w:noProof/>
        </w:rPr>
        <w:t xml:space="preserve"> for SMEs </w:t>
      </w:r>
      <w:r w:rsidR="007C4BE0" w:rsidRPr="002661A8">
        <w:rPr>
          <w:noProof/>
        </w:rPr>
        <w:t>than for larger corporates</w:t>
      </w:r>
      <w:r w:rsidR="00081D60" w:rsidRPr="002661A8">
        <w:rPr>
          <w:noProof/>
        </w:rPr>
        <w:t xml:space="preserve"> given</w:t>
      </w:r>
      <w:r w:rsidR="00A010C4" w:rsidRPr="002661A8">
        <w:rPr>
          <w:noProof/>
        </w:rPr>
        <w:t xml:space="preserve"> the</w:t>
      </w:r>
      <w:r w:rsidR="00081D60" w:rsidRPr="002661A8">
        <w:rPr>
          <w:noProof/>
        </w:rPr>
        <w:t xml:space="preserve"> limited outstanding positions of most SMEs.</w:t>
      </w:r>
      <w:r w:rsidR="00912982" w:rsidRPr="00912982">
        <w:rPr>
          <w:noProof/>
        </w:rPr>
        <w:t xml:space="preserve"> </w:t>
      </w:r>
      <w:r w:rsidR="00912982">
        <w:rPr>
          <w:noProof/>
        </w:rPr>
        <w:t>T</w:t>
      </w:r>
      <w:r w:rsidR="00912982" w:rsidRPr="00912982">
        <w:rPr>
          <w:noProof/>
        </w:rPr>
        <w:t>hese</w:t>
      </w:r>
      <w:r w:rsidR="00912982">
        <w:rPr>
          <w:noProof/>
        </w:rPr>
        <w:t xml:space="preserve"> costs</w:t>
      </w:r>
      <w:r w:rsidR="00912982" w:rsidRPr="00912982">
        <w:rPr>
          <w:noProof/>
        </w:rPr>
        <w:t xml:space="preserve"> would be smaller in absolute terms for SMEs than for larger corporates given the limited outstanding positions of most SMEs – although this does not necessarily imply that such impacts would be negligible</w:t>
      </w:r>
      <w:r w:rsidR="00912982">
        <w:rPr>
          <w:noProof/>
        </w:rPr>
        <w:t xml:space="preserve">. </w:t>
      </w:r>
    </w:p>
    <w:p w14:paraId="3524ADEE" w14:textId="67B73036" w:rsidR="009B3ADD" w:rsidRPr="002661A8" w:rsidRDefault="009B3ADD" w:rsidP="00ED5088">
      <w:pPr>
        <w:pStyle w:val="Heading1"/>
        <w:numPr>
          <w:ilvl w:val="2"/>
          <w:numId w:val="6"/>
        </w:numPr>
        <w:spacing w:before="0" w:after="120"/>
        <w:rPr>
          <w:b w:val="0"/>
          <w:i/>
          <w:noProof/>
        </w:rPr>
      </w:pPr>
      <w:bookmarkStart w:id="1376" w:name="_Toc82710789"/>
      <w:bookmarkStart w:id="1377" w:name="_Toc82711043"/>
      <w:bookmarkStart w:id="1378" w:name="_Toc82712941"/>
      <w:bookmarkStart w:id="1379" w:name="_Toc82716918"/>
      <w:bookmarkStart w:id="1380" w:name="_Toc83227198"/>
      <w:bookmarkStart w:id="1381" w:name="_Toc83227881"/>
      <w:bookmarkStart w:id="1382" w:name="_Toc83229504"/>
      <w:bookmarkStart w:id="1383" w:name="_Toc83277650"/>
      <w:bookmarkStart w:id="1384" w:name="_Toc83741003"/>
      <w:bookmarkStart w:id="1385" w:name="_Toc83741135"/>
      <w:bookmarkStart w:id="1386" w:name="_Toc83744536"/>
      <w:bookmarkStart w:id="1387" w:name="_Toc90571184"/>
      <w:bookmarkStart w:id="1388" w:name="_Toc90573485"/>
      <w:bookmarkStart w:id="1389" w:name="_Toc103337537"/>
      <w:bookmarkStart w:id="1390" w:name="_Toc104310027"/>
      <w:bookmarkStart w:id="1391" w:name="_Toc105656467"/>
      <w:bookmarkStart w:id="1392" w:name="_Toc106827867"/>
      <w:bookmarkStart w:id="1393" w:name="_Toc106981742"/>
      <w:bookmarkStart w:id="1394" w:name="_Toc107493882"/>
      <w:bookmarkStart w:id="1395" w:name="_Toc107497918"/>
      <w:bookmarkStart w:id="1396" w:name="_Toc107503471"/>
      <w:bookmarkStart w:id="1397" w:name="_Toc107504619"/>
      <w:bookmarkStart w:id="1398" w:name="_Toc107505464"/>
      <w:bookmarkStart w:id="1399" w:name="_Toc107838940"/>
      <w:bookmarkStart w:id="1400" w:name="_Toc107847035"/>
      <w:bookmarkStart w:id="1401" w:name="_Toc107849272"/>
      <w:bookmarkStart w:id="1402" w:name="_Toc107853719"/>
      <w:bookmarkStart w:id="1403" w:name="_Toc107865313"/>
      <w:bookmarkStart w:id="1404" w:name="_Toc108418522"/>
      <w:bookmarkStart w:id="1405" w:name="_Toc108539615"/>
      <w:bookmarkStart w:id="1406" w:name="_Toc108539837"/>
      <w:bookmarkStart w:id="1407" w:name="_Toc108539955"/>
      <w:bookmarkStart w:id="1408" w:name="_Toc108540034"/>
      <w:bookmarkStart w:id="1409" w:name="_Toc109057413"/>
      <w:bookmarkStart w:id="1410" w:name="_Toc109120779"/>
      <w:bookmarkStart w:id="1411" w:name="_Toc109122414"/>
      <w:bookmarkStart w:id="1412" w:name="_Toc109124127"/>
      <w:bookmarkStart w:id="1413" w:name="_Toc109133151"/>
      <w:bookmarkStart w:id="1414" w:name="_Toc109133327"/>
      <w:bookmarkStart w:id="1415" w:name="_Toc120291685"/>
      <w:r w:rsidRPr="002661A8">
        <w:rPr>
          <w:b w:val="0"/>
          <w:i/>
          <w:smallCaps w:val="0"/>
          <w:noProof/>
        </w:rPr>
        <w:t>Social</w:t>
      </w:r>
      <w:r w:rsidR="00F7351E" w:rsidRPr="002661A8">
        <w:rPr>
          <w:b w:val="0"/>
          <w:i/>
          <w:smallCaps w:val="0"/>
          <w:noProof/>
        </w:rPr>
        <w:t xml:space="preserve"> and environmental</w:t>
      </w:r>
      <w:r w:rsidRPr="002661A8">
        <w:rPr>
          <w:b w:val="0"/>
          <w:i/>
          <w:smallCaps w:val="0"/>
          <w:noProof/>
        </w:rPr>
        <w:t xml:space="preserve"> impact</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p>
    <w:p w14:paraId="3695B391" w14:textId="6A638276" w:rsidR="00F360E2" w:rsidRPr="002661A8" w:rsidRDefault="009B3ADD" w:rsidP="006F3D3B">
      <w:pPr>
        <w:pStyle w:val="Text2"/>
        <w:spacing w:after="120"/>
        <w:ind w:left="0"/>
        <w:rPr>
          <w:noProof/>
        </w:rPr>
      </w:pPr>
      <w:r w:rsidRPr="002661A8">
        <w:rPr>
          <w:noProof/>
        </w:rPr>
        <w:t xml:space="preserve">The proposed options are </w:t>
      </w:r>
      <w:r w:rsidR="00F50B82" w:rsidRPr="002661A8">
        <w:rPr>
          <w:noProof/>
        </w:rPr>
        <w:t xml:space="preserve">not </w:t>
      </w:r>
      <w:r w:rsidRPr="002661A8">
        <w:rPr>
          <w:noProof/>
        </w:rPr>
        <w:t xml:space="preserve">expected to have any </w:t>
      </w:r>
      <w:r w:rsidR="003D5FF8" w:rsidRPr="002661A8">
        <w:rPr>
          <w:noProof/>
        </w:rPr>
        <w:t xml:space="preserve">material negative </w:t>
      </w:r>
      <w:r w:rsidRPr="002661A8">
        <w:rPr>
          <w:noProof/>
        </w:rPr>
        <w:t>social impact.</w:t>
      </w:r>
      <w:r w:rsidR="0078584C" w:rsidRPr="002661A8">
        <w:rPr>
          <w:noProof/>
        </w:rPr>
        <w:t xml:space="preserve"> </w:t>
      </w:r>
      <w:r w:rsidR="003D5FF8" w:rsidRPr="002661A8">
        <w:rPr>
          <w:noProof/>
        </w:rPr>
        <w:t>Some indirect</w:t>
      </w:r>
      <w:r w:rsidR="00F360E2" w:rsidRPr="002661A8">
        <w:rPr>
          <w:noProof/>
        </w:rPr>
        <w:t xml:space="preserve"> </w:t>
      </w:r>
      <w:r w:rsidR="00E40FEA" w:rsidRPr="002661A8">
        <w:rPr>
          <w:noProof/>
        </w:rPr>
        <w:t xml:space="preserve">positive social impacts </w:t>
      </w:r>
      <w:r w:rsidR="003D5FF8" w:rsidRPr="002661A8">
        <w:rPr>
          <w:noProof/>
        </w:rPr>
        <w:t>are also expected</w:t>
      </w:r>
      <w:r w:rsidR="00C244B7" w:rsidRPr="002661A8">
        <w:rPr>
          <w:noProof/>
        </w:rPr>
        <w:t>. First, t</w:t>
      </w:r>
      <w:r w:rsidR="00F360E2" w:rsidRPr="002661A8">
        <w:rPr>
          <w:noProof/>
        </w:rPr>
        <w:t xml:space="preserve">he enhancement of EU CCPs’ attractiveness </w:t>
      </w:r>
      <w:r w:rsidR="00AB59BD" w:rsidRPr="002661A8">
        <w:rPr>
          <w:noProof/>
        </w:rPr>
        <w:t xml:space="preserve">will contribute to </w:t>
      </w:r>
      <w:r w:rsidR="00F50B82" w:rsidRPr="002661A8">
        <w:rPr>
          <w:noProof/>
        </w:rPr>
        <w:t xml:space="preserve">the </w:t>
      </w:r>
      <w:r w:rsidR="00856B54" w:rsidRPr="002661A8">
        <w:rPr>
          <w:noProof/>
        </w:rPr>
        <w:t>CMU</w:t>
      </w:r>
      <w:r w:rsidR="00AB59BD" w:rsidRPr="002661A8">
        <w:rPr>
          <w:noProof/>
        </w:rPr>
        <w:t xml:space="preserve">. </w:t>
      </w:r>
      <w:r w:rsidR="00636D4D" w:rsidRPr="002661A8">
        <w:rPr>
          <w:noProof/>
        </w:rPr>
        <w:t>As a result, more jobs could be created</w:t>
      </w:r>
      <w:r w:rsidR="00F67C43" w:rsidRPr="002661A8">
        <w:rPr>
          <w:noProof/>
        </w:rPr>
        <w:t>, e.g.</w:t>
      </w:r>
      <w:r w:rsidR="00636D4D" w:rsidRPr="002661A8">
        <w:rPr>
          <w:noProof/>
        </w:rPr>
        <w:t xml:space="preserve"> at EU CCPs, which would have greater business flows and potentially increase the scope of their activities. </w:t>
      </w:r>
      <w:r w:rsidR="00BE2FBF" w:rsidRPr="002661A8">
        <w:rPr>
          <w:noProof/>
        </w:rPr>
        <w:t xml:space="preserve">The broader development of </w:t>
      </w:r>
      <w:r w:rsidR="003E4A87" w:rsidRPr="002661A8">
        <w:rPr>
          <w:noProof/>
        </w:rPr>
        <w:t xml:space="preserve">EU </w:t>
      </w:r>
      <w:r w:rsidR="00BE2FBF" w:rsidRPr="002661A8">
        <w:rPr>
          <w:noProof/>
        </w:rPr>
        <w:t>markets may lead to positive effects on employment.</w:t>
      </w:r>
      <w:r w:rsidR="00C244B7" w:rsidRPr="002661A8">
        <w:rPr>
          <w:noProof/>
        </w:rPr>
        <w:t xml:space="preserve"> Second, t</w:t>
      </w:r>
      <w:r w:rsidR="00AB59BD" w:rsidRPr="002661A8">
        <w:rPr>
          <w:noProof/>
        </w:rPr>
        <w:t>he</w:t>
      </w:r>
      <w:r w:rsidR="00F360E2" w:rsidRPr="002661A8">
        <w:rPr>
          <w:noProof/>
        </w:rPr>
        <w:t xml:space="preserve"> improved level of financial stability </w:t>
      </w:r>
      <w:r w:rsidR="00F50B82" w:rsidRPr="002661A8">
        <w:rPr>
          <w:noProof/>
        </w:rPr>
        <w:t>following</w:t>
      </w:r>
      <w:r w:rsidR="00091092" w:rsidRPr="002661A8">
        <w:rPr>
          <w:noProof/>
        </w:rPr>
        <w:t xml:space="preserve"> </w:t>
      </w:r>
      <w:r w:rsidR="00F360E2" w:rsidRPr="002661A8">
        <w:rPr>
          <w:noProof/>
        </w:rPr>
        <w:t xml:space="preserve">better consideration of cross-border risks will </w:t>
      </w:r>
      <w:r w:rsidR="003D5FF8" w:rsidRPr="002661A8">
        <w:rPr>
          <w:noProof/>
        </w:rPr>
        <w:t>contribute to</w:t>
      </w:r>
      <w:r w:rsidR="00F360E2" w:rsidRPr="002661A8">
        <w:rPr>
          <w:noProof/>
        </w:rPr>
        <w:t xml:space="preserve"> </w:t>
      </w:r>
      <w:r w:rsidR="00AB59BD" w:rsidRPr="002661A8">
        <w:rPr>
          <w:noProof/>
        </w:rPr>
        <w:t xml:space="preserve">better protection of </w:t>
      </w:r>
      <w:r w:rsidR="003D5FF8" w:rsidRPr="002661A8">
        <w:rPr>
          <w:noProof/>
        </w:rPr>
        <w:t xml:space="preserve">the EU </w:t>
      </w:r>
      <w:r w:rsidR="00E40FEA" w:rsidRPr="002661A8">
        <w:rPr>
          <w:noProof/>
        </w:rPr>
        <w:t>economy from</w:t>
      </w:r>
      <w:r w:rsidR="003D5FF8" w:rsidRPr="002661A8">
        <w:rPr>
          <w:noProof/>
        </w:rPr>
        <w:t xml:space="preserve"> contagion and feedback loops </w:t>
      </w:r>
      <w:r w:rsidR="00AB59BD" w:rsidRPr="002661A8">
        <w:rPr>
          <w:noProof/>
        </w:rPr>
        <w:t xml:space="preserve">in case of a crisis, </w:t>
      </w:r>
      <w:r w:rsidR="00431C74" w:rsidRPr="002661A8">
        <w:rPr>
          <w:noProof/>
        </w:rPr>
        <w:t>contributing to minimising</w:t>
      </w:r>
      <w:r w:rsidR="00AB59BD" w:rsidRPr="002661A8">
        <w:rPr>
          <w:noProof/>
        </w:rPr>
        <w:t xml:space="preserve"> the impact of a shock </w:t>
      </w:r>
      <w:r w:rsidR="00F50B82" w:rsidRPr="002661A8">
        <w:rPr>
          <w:noProof/>
        </w:rPr>
        <w:t>on jobs</w:t>
      </w:r>
      <w:r w:rsidR="00AB59BD" w:rsidRPr="002661A8">
        <w:rPr>
          <w:noProof/>
        </w:rPr>
        <w:t>.</w:t>
      </w:r>
      <w:r w:rsidR="00081D60" w:rsidRPr="002661A8">
        <w:rPr>
          <w:noProof/>
        </w:rPr>
        <w:t xml:space="preserve"> </w:t>
      </w:r>
      <w:r w:rsidR="00E1708B" w:rsidRPr="002661A8">
        <w:rPr>
          <w:noProof/>
        </w:rPr>
        <w:t>No impact on fundamental rights is expected and only limited impact on SDG no. 8 (see Annex 3</w:t>
      </w:r>
      <w:r w:rsidR="00F50B82" w:rsidRPr="002661A8">
        <w:rPr>
          <w:noProof/>
        </w:rPr>
        <w:t>,</w:t>
      </w:r>
      <w:r w:rsidR="00E1708B" w:rsidRPr="002661A8">
        <w:rPr>
          <w:noProof/>
        </w:rPr>
        <w:t xml:space="preserve"> “Relevant sustainable development goals”). </w:t>
      </w:r>
    </w:p>
    <w:p w14:paraId="22EE9B40" w14:textId="09E59136" w:rsidR="00C23FA4" w:rsidRPr="002661A8" w:rsidRDefault="00AB57E9" w:rsidP="00A61E96">
      <w:pPr>
        <w:pStyle w:val="Text1"/>
        <w:spacing w:after="120"/>
        <w:ind w:left="0"/>
        <w:rPr>
          <w:noProof/>
        </w:rPr>
      </w:pPr>
      <w:r w:rsidRPr="002661A8">
        <w:rPr>
          <w:noProof/>
        </w:rPr>
        <w:t>Th</w:t>
      </w:r>
      <w:r w:rsidR="0000371C" w:rsidRPr="002661A8">
        <w:rPr>
          <w:noProof/>
        </w:rPr>
        <w:t>is</w:t>
      </w:r>
      <w:r w:rsidRPr="002661A8">
        <w:rPr>
          <w:noProof/>
        </w:rPr>
        <w:t xml:space="preserve"> initiative</w:t>
      </w:r>
      <w:r w:rsidRPr="002661A8" w:rsidDel="0000371C">
        <w:rPr>
          <w:noProof/>
        </w:rPr>
        <w:t xml:space="preserve"> </w:t>
      </w:r>
      <w:r w:rsidRPr="002661A8">
        <w:rPr>
          <w:noProof/>
        </w:rPr>
        <w:t xml:space="preserve">has no direct and/or identifiable impacts leading to significant harm or </w:t>
      </w:r>
      <w:r w:rsidR="00F50B82" w:rsidRPr="002661A8">
        <w:rPr>
          <w:noProof/>
        </w:rPr>
        <w:t>in</w:t>
      </w:r>
      <w:r w:rsidRPr="002661A8">
        <w:rPr>
          <w:noProof/>
        </w:rPr>
        <w:t>consistenc</w:t>
      </w:r>
      <w:r w:rsidR="00F50B82" w:rsidRPr="002661A8">
        <w:rPr>
          <w:noProof/>
        </w:rPr>
        <w:t>ies</w:t>
      </w:r>
      <w:r w:rsidRPr="002661A8">
        <w:rPr>
          <w:noProof/>
        </w:rPr>
        <w:t xml:space="preserve"> with the climate-neutrality objectives and the obligations arising out of the European Climate Law. </w:t>
      </w:r>
    </w:p>
    <w:p w14:paraId="0B7383C3" w14:textId="5D22D66B" w:rsidR="009B3ADD" w:rsidRPr="002661A8" w:rsidRDefault="009B3ADD" w:rsidP="00ED5088">
      <w:pPr>
        <w:pStyle w:val="Heading1"/>
        <w:numPr>
          <w:ilvl w:val="2"/>
          <w:numId w:val="6"/>
        </w:numPr>
        <w:spacing w:before="0" w:after="120"/>
        <w:rPr>
          <w:b w:val="0"/>
          <w:i/>
          <w:noProof/>
        </w:rPr>
      </w:pPr>
      <w:bookmarkStart w:id="1416" w:name="_Toc83227201"/>
      <w:bookmarkStart w:id="1417" w:name="_Toc83227884"/>
      <w:bookmarkStart w:id="1418" w:name="_Toc83229507"/>
      <w:bookmarkStart w:id="1419" w:name="_Toc83277653"/>
      <w:bookmarkStart w:id="1420" w:name="_Toc83741006"/>
      <w:bookmarkStart w:id="1421" w:name="_Toc83741138"/>
      <w:bookmarkStart w:id="1422" w:name="_Toc83744539"/>
      <w:bookmarkStart w:id="1423" w:name="_Toc90571187"/>
      <w:bookmarkStart w:id="1424" w:name="_Toc90573488"/>
      <w:bookmarkStart w:id="1425" w:name="_Toc103337540"/>
      <w:bookmarkStart w:id="1426" w:name="_Toc104310030"/>
      <w:bookmarkStart w:id="1427" w:name="_Toc105656470"/>
      <w:bookmarkStart w:id="1428" w:name="_Toc106827870"/>
      <w:bookmarkStart w:id="1429" w:name="_Toc106981745"/>
      <w:bookmarkStart w:id="1430" w:name="_Toc107493885"/>
      <w:bookmarkStart w:id="1431" w:name="_Toc107497921"/>
      <w:bookmarkStart w:id="1432" w:name="_Toc107503474"/>
      <w:bookmarkStart w:id="1433" w:name="_Toc107504622"/>
      <w:bookmarkStart w:id="1434" w:name="_Toc107505467"/>
      <w:bookmarkStart w:id="1435" w:name="_Toc107838943"/>
      <w:bookmarkStart w:id="1436" w:name="_Toc107847038"/>
      <w:bookmarkStart w:id="1437" w:name="_Toc107849275"/>
      <w:bookmarkStart w:id="1438" w:name="_Toc107853722"/>
      <w:bookmarkStart w:id="1439" w:name="_Toc107865316"/>
      <w:bookmarkStart w:id="1440" w:name="_Toc108418525"/>
      <w:bookmarkStart w:id="1441" w:name="_Toc108539617"/>
      <w:bookmarkStart w:id="1442" w:name="_Toc108539839"/>
      <w:bookmarkStart w:id="1443" w:name="_Toc108539957"/>
      <w:bookmarkStart w:id="1444" w:name="_Toc109057414"/>
      <w:bookmarkStart w:id="1445" w:name="_Toc109120780"/>
      <w:bookmarkStart w:id="1446" w:name="_Toc109122415"/>
      <w:bookmarkStart w:id="1447" w:name="_Toc109124128"/>
      <w:bookmarkStart w:id="1448" w:name="_Toc109133152"/>
      <w:bookmarkStart w:id="1449" w:name="_Toc109133328"/>
      <w:bookmarkStart w:id="1450" w:name="_Toc120291686"/>
      <w:r w:rsidRPr="002661A8">
        <w:rPr>
          <w:b w:val="0"/>
          <w:i/>
          <w:smallCaps w:val="0"/>
          <w:noProof/>
        </w:rPr>
        <w:t>Impact on the EU budget</w:t>
      </w:r>
      <w:bookmarkStart w:id="1451" w:name="_Toc82710792"/>
      <w:bookmarkStart w:id="1452" w:name="_Toc82711046"/>
      <w:bookmarkStart w:id="1453" w:name="_Toc82712944"/>
      <w:bookmarkStart w:id="1454" w:name="_Toc82716921"/>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6A707F45" w14:textId="41BDFF83" w:rsidR="009B3ADD" w:rsidRPr="002661A8" w:rsidRDefault="00A00BC5" w:rsidP="00A61E96">
      <w:pPr>
        <w:pStyle w:val="Text2"/>
        <w:spacing w:after="120"/>
        <w:ind w:left="0"/>
        <w:rPr>
          <w:noProof/>
        </w:rPr>
      </w:pPr>
      <w:r w:rsidRPr="002661A8">
        <w:rPr>
          <w:noProof/>
        </w:rPr>
        <w:t xml:space="preserve">The </w:t>
      </w:r>
      <w:r w:rsidR="00857156" w:rsidRPr="002661A8">
        <w:rPr>
          <w:noProof/>
        </w:rPr>
        <w:t>preferred package</w:t>
      </w:r>
      <w:r w:rsidRPr="002661A8">
        <w:rPr>
          <w:noProof/>
        </w:rPr>
        <w:t xml:space="preserve"> should not have any </w:t>
      </w:r>
      <w:r w:rsidR="009F5570" w:rsidRPr="002661A8">
        <w:rPr>
          <w:noProof/>
        </w:rPr>
        <w:t>implications for the EU budget. A</w:t>
      </w:r>
      <w:r w:rsidRPr="002661A8">
        <w:rPr>
          <w:noProof/>
        </w:rPr>
        <w:t>d</w:t>
      </w:r>
      <w:r w:rsidR="009F5570" w:rsidRPr="002661A8">
        <w:rPr>
          <w:noProof/>
        </w:rPr>
        <w:t>ditional tasks may arise for</w:t>
      </w:r>
      <w:r w:rsidRPr="002661A8">
        <w:rPr>
          <w:noProof/>
        </w:rPr>
        <w:t xml:space="preserve"> ESMA (e.g. technical standards, </w:t>
      </w:r>
      <w:r w:rsidR="00DB6F1C" w:rsidRPr="002661A8">
        <w:rPr>
          <w:noProof/>
        </w:rPr>
        <w:t>stronger</w:t>
      </w:r>
      <w:r w:rsidR="0067166C" w:rsidRPr="002661A8">
        <w:rPr>
          <w:noProof/>
        </w:rPr>
        <w:t xml:space="preserve"> role</w:t>
      </w:r>
      <w:r w:rsidRPr="002661A8">
        <w:rPr>
          <w:noProof/>
        </w:rPr>
        <w:t xml:space="preserve"> in emergency situations, </w:t>
      </w:r>
      <w:r w:rsidR="009F5570" w:rsidRPr="002661A8">
        <w:rPr>
          <w:noProof/>
        </w:rPr>
        <w:t>opinions in additional areas</w:t>
      </w:r>
      <w:r w:rsidR="0067166C" w:rsidRPr="002661A8">
        <w:rPr>
          <w:noProof/>
        </w:rPr>
        <w:t xml:space="preserve">, </w:t>
      </w:r>
      <w:r w:rsidR="009F5570" w:rsidRPr="002661A8">
        <w:rPr>
          <w:noProof/>
        </w:rPr>
        <w:t>participation</w:t>
      </w:r>
      <w:r w:rsidRPr="002661A8">
        <w:rPr>
          <w:noProof/>
        </w:rPr>
        <w:t xml:space="preserve"> in joint supervisory teams) and the other ESAs (e.g. </w:t>
      </w:r>
      <w:r w:rsidR="0067166C" w:rsidRPr="002661A8">
        <w:rPr>
          <w:noProof/>
        </w:rPr>
        <w:t>establishment of a</w:t>
      </w:r>
      <w:r w:rsidRPr="002661A8">
        <w:rPr>
          <w:noProof/>
        </w:rPr>
        <w:t xml:space="preserve"> cross-</w:t>
      </w:r>
      <w:r w:rsidR="0067166C" w:rsidRPr="002661A8">
        <w:rPr>
          <w:noProof/>
        </w:rPr>
        <w:t>sectoral</w:t>
      </w:r>
      <w:r w:rsidRPr="002661A8">
        <w:rPr>
          <w:noProof/>
        </w:rPr>
        <w:t xml:space="preserve"> mechanism </w:t>
      </w:r>
      <w:r w:rsidR="0067166C" w:rsidRPr="002661A8">
        <w:rPr>
          <w:noProof/>
        </w:rPr>
        <w:t>monitoring the</w:t>
      </w:r>
      <w:r w:rsidRPr="002661A8">
        <w:rPr>
          <w:noProof/>
        </w:rPr>
        <w:t xml:space="preserve"> transfer of </w:t>
      </w:r>
      <w:r w:rsidR="007C4BE0" w:rsidRPr="002661A8">
        <w:rPr>
          <w:noProof/>
        </w:rPr>
        <w:t xml:space="preserve">excessive </w:t>
      </w:r>
      <w:r w:rsidRPr="002661A8">
        <w:rPr>
          <w:noProof/>
        </w:rPr>
        <w:t>exposures from Tier 2 to EU</w:t>
      </w:r>
      <w:r w:rsidR="00BF7635" w:rsidRPr="002661A8">
        <w:rPr>
          <w:noProof/>
        </w:rPr>
        <w:t xml:space="preserve"> CCPs</w:t>
      </w:r>
      <w:r w:rsidRPr="002661A8">
        <w:rPr>
          <w:noProof/>
        </w:rPr>
        <w:t>)</w:t>
      </w:r>
      <w:r w:rsidR="009F5570" w:rsidRPr="002661A8">
        <w:rPr>
          <w:noProof/>
        </w:rPr>
        <w:t xml:space="preserve">. </w:t>
      </w:r>
      <w:r w:rsidR="00182918" w:rsidRPr="002661A8">
        <w:rPr>
          <w:noProof/>
        </w:rPr>
        <w:t xml:space="preserve">Due to reduced regulatory work for ESMA on other CCP files (e.g. under the CCP Recovery and Resolution Regulation), ESMA should be able to achieve efficiencies through the internal reallocation of its resources. </w:t>
      </w:r>
      <w:r w:rsidR="007C0D80" w:rsidRPr="002661A8">
        <w:rPr>
          <w:noProof/>
        </w:rPr>
        <w:t>A</w:t>
      </w:r>
      <w:r w:rsidR="00182918" w:rsidRPr="002661A8">
        <w:rPr>
          <w:noProof/>
        </w:rPr>
        <w:t>ny additional tasks under this initiative</w:t>
      </w:r>
      <w:r w:rsidRPr="002661A8">
        <w:rPr>
          <w:noProof/>
        </w:rPr>
        <w:t xml:space="preserve"> </w:t>
      </w:r>
      <w:r w:rsidR="007C0D80" w:rsidRPr="002661A8">
        <w:rPr>
          <w:noProof/>
        </w:rPr>
        <w:t xml:space="preserve">therefore </w:t>
      </w:r>
      <w:r w:rsidRPr="002661A8">
        <w:rPr>
          <w:noProof/>
        </w:rPr>
        <w:t xml:space="preserve">should be manageable </w:t>
      </w:r>
      <w:r w:rsidR="00F7351E" w:rsidRPr="002661A8">
        <w:rPr>
          <w:noProof/>
        </w:rPr>
        <w:t xml:space="preserve">under </w:t>
      </w:r>
      <w:r w:rsidR="00BF7635" w:rsidRPr="002661A8">
        <w:rPr>
          <w:noProof/>
        </w:rPr>
        <w:t xml:space="preserve">ESMA’s </w:t>
      </w:r>
      <w:r w:rsidRPr="002661A8">
        <w:rPr>
          <w:noProof/>
        </w:rPr>
        <w:t xml:space="preserve">current resources, </w:t>
      </w:r>
      <w:r w:rsidR="00BF7635" w:rsidRPr="002661A8">
        <w:rPr>
          <w:noProof/>
        </w:rPr>
        <w:t xml:space="preserve">also </w:t>
      </w:r>
      <w:r w:rsidRPr="002661A8">
        <w:rPr>
          <w:noProof/>
        </w:rPr>
        <w:t xml:space="preserve">given the </w:t>
      </w:r>
      <w:r w:rsidR="009F5570" w:rsidRPr="002661A8">
        <w:rPr>
          <w:noProof/>
        </w:rPr>
        <w:t>reduction of</w:t>
      </w:r>
      <w:r w:rsidRPr="002661A8">
        <w:rPr>
          <w:noProof/>
        </w:rPr>
        <w:t xml:space="preserve"> administrative costs for all stakeholders involved </w:t>
      </w:r>
      <w:r w:rsidR="00C00195" w:rsidRPr="002661A8">
        <w:rPr>
          <w:noProof/>
        </w:rPr>
        <w:t xml:space="preserve">in </w:t>
      </w:r>
      <w:r w:rsidRPr="002661A8">
        <w:rPr>
          <w:noProof/>
        </w:rPr>
        <w:t xml:space="preserve">the supervision of EU CCPs </w:t>
      </w:r>
      <w:r w:rsidR="00BF7635" w:rsidRPr="002661A8">
        <w:rPr>
          <w:noProof/>
        </w:rPr>
        <w:t xml:space="preserve">thanks to the </w:t>
      </w:r>
      <w:r w:rsidRPr="002661A8">
        <w:rPr>
          <w:noProof/>
        </w:rPr>
        <w:t xml:space="preserve">streamlining of procedures. </w:t>
      </w:r>
      <w:r w:rsidR="000573D6" w:rsidRPr="002661A8">
        <w:rPr>
          <w:noProof/>
        </w:rPr>
        <w:t xml:space="preserve">Some </w:t>
      </w:r>
      <w:r w:rsidR="009F5570" w:rsidRPr="002661A8">
        <w:rPr>
          <w:noProof/>
        </w:rPr>
        <w:t xml:space="preserve">costs may </w:t>
      </w:r>
      <w:r w:rsidR="000573D6" w:rsidRPr="002661A8">
        <w:rPr>
          <w:noProof/>
        </w:rPr>
        <w:t xml:space="preserve">however </w:t>
      </w:r>
      <w:r w:rsidR="009F5570" w:rsidRPr="002661A8">
        <w:rPr>
          <w:noProof/>
        </w:rPr>
        <w:t>be covered by fees on EU CCPs</w:t>
      </w:r>
      <w:r w:rsidRPr="002661A8">
        <w:rPr>
          <w:noProof/>
        </w:rPr>
        <w:t>.</w:t>
      </w:r>
    </w:p>
    <w:p w14:paraId="145BF522" w14:textId="0683AFF5" w:rsidR="006B087E" w:rsidRPr="002661A8" w:rsidRDefault="3FA542DF" w:rsidP="00ED5088">
      <w:pPr>
        <w:pStyle w:val="Heading1"/>
        <w:numPr>
          <w:ilvl w:val="1"/>
          <w:numId w:val="6"/>
        </w:numPr>
        <w:spacing w:before="0" w:after="120"/>
        <w:rPr>
          <w:noProof/>
        </w:rPr>
      </w:pPr>
      <w:bookmarkStart w:id="1455" w:name="_Toc103337541"/>
      <w:bookmarkStart w:id="1456" w:name="_Toc104310031"/>
      <w:bookmarkStart w:id="1457" w:name="_Toc105656471"/>
      <w:bookmarkStart w:id="1458" w:name="_Toc106827871"/>
      <w:bookmarkStart w:id="1459" w:name="_Toc106981746"/>
      <w:bookmarkStart w:id="1460" w:name="_Toc107493886"/>
      <w:bookmarkStart w:id="1461" w:name="_Toc107497922"/>
      <w:bookmarkStart w:id="1462" w:name="_Toc107503475"/>
      <w:bookmarkStart w:id="1463" w:name="_Toc107504623"/>
      <w:bookmarkStart w:id="1464" w:name="_Toc107505468"/>
      <w:bookmarkStart w:id="1465" w:name="_Toc107838944"/>
      <w:bookmarkStart w:id="1466" w:name="_Toc107847039"/>
      <w:bookmarkStart w:id="1467" w:name="_Toc107849276"/>
      <w:bookmarkStart w:id="1468" w:name="_Toc107853723"/>
      <w:bookmarkStart w:id="1469" w:name="_Toc108539840"/>
      <w:bookmarkStart w:id="1470" w:name="_Toc108539958"/>
      <w:bookmarkStart w:id="1471" w:name="_Toc109057415"/>
      <w:bookmarkStart w:id="1472" w:name="_Toc109120781"/>
      <w:bookmarkStart w:id="1473" w:name="_Toc109122416"/>
      <w:bookmarkStart w:id="1474" w:name="_Toc109133153"/>
      <w:bookmarkStart w:id="1475" w:name="_Toc120291687"/>
      <w:r w:rsidRPr="002661A8">
        <w:rPr>
          <w:smallCaps w:val="0"/>
          <w:noProof/>
        </w:rPr>
        <w:t>REFIT (simplification and improved efficiency)</w:t>
      </w:r>
      <w:bookmarkEnd w:id="1455"/>
      <w:bookmarkEnd w:id="1456"/>
      <w:bookmarkEnd w:id="1457"/>
      <w:bookmarkEnd w:id="1458"/>
      <w:r w:rsidR="00F477CD" w:rsidRPr="002661A8">
        <w:rPr>
          <w:smallCaps w:val="0"/>
          <w:noProof/>
        </w:rPr>
        <w:t xml:space="preserve"> </w:t>
      </w:r>
      <w:r w:rsidR="00347E4D" w:rsidRPr="002661A8">
        <w:rPr>
          <w:smallCaps w:val="0"/>
          <w:noProof/>
        </w:rPr>
        <w:t>and application of the ‘one in, one out’ approach</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14:paraId="5E90FA11" w14:textId="77777777" w:rsidR="006909FA" w:rsidRDefault="002A6051" w:rsidP="0042396B">
      <w:pPr>
        <w:spacing w:after="120" w:line="240" w:lineRule="auto"/>
        <w:jc w:val="both"/>
        <w:rPr>
          <w:rFonts w:ascii="Times New Roman" w:eastAsia="Times New Roman" w:hAnsi="Times New Roman" w:cs="Times New Roman"/>
          <w:noProof/>
          <w:sz w:val="24"/>
          <w:szCs w:val="24"/>
        </w:rPr>
      </w:pPr>
      <w:r w:rsidRPr="002661A8">
        <w:rPr>
          <w:rFonts w:ascii="Times New Roman" w:eastAsia="Times New Roman" w:hAnsi="Times New Roman" w:cs="Times New Roman"/>
          <w:noProof/>
          <w:sz w:val="24"/>
          <w:szCs w:val="24"/>
        </w:rPr>
        <w:t>The initiative aims to reduce the over-</w:t>
      </w:r>
      <w:r w:rsidR="00DD1031" w:rsidRPr="002661A8">
        <w:rPr>
          <w:rFonts w:ascii="Times New Roman" w:eastAsia="Times New Roman" w:hAnsi="Times New Roman" w:cs="Times New Roman"/>
          <w:noProof/>
          <w:sz w:val="24"/>
          <w:szCs w:val="24"/>
        </w:rPr>
        <w:t xml:space="preserve">reliance </w:t>
      </w:r>
      <w:r w:rsidRPr="002661A8">
        <w:rPr>
          <w:rFonts w:ascii="Times New Roman" w:eastAsia="Times New Roman" w:hAnsi="Times New Roman" w:cs="Times New Roman"/>
          <w:noProof/>
          <w:sz w:val="24"/>
          <w:szCs w:val="24"/>
        </w:rPr>
        <w:t xml:space="preserve">of EU market participants </w:t>
      </w:r>
      <w:r w:rsidR="00DD1031" w:rsidRPr="002661A8">
        <w:rPr>
          <w:rFonts w:ascii="Times New Roman" w:eastAsia="Times New Roman" w:hAnsi="Times New Roman" w:cs="Times New Roman"/>
          <w:noProof/>
          <w:sz w:val="24"/>
          <w:szCs w:val="24"/>
        </w:rPr>
        <w:t xml:space="preserve">on </w:t>
      </w:r>
      <w:r w:rsidRPr="002661A8">
        <w:rPr>
          <w:rFonts w:ascii="Times New Roman" w:eastAsia="Times New Roman" w:hAnsi="Times New Roman" w:cs="Times New Roman"/>
          <w:noProof/>
          <w:sz w:val="24"/>
          <w:szCs w:val="24"/>
        </w:rPr>
        <w:t>non-EU CCPs and safeguard</w:t>
      </w:r>
      <w:r w:rsidR="00A010C4" w:rsidRPr="002661A8">
        <w:rPr>
          <w:rFonts w:ascii="Times New Roman" w:eastAsia="Times New Roman" w:hAnsi="Times New Roman" w:cs="Times New Roman"/>
          <w:noProof/>
          <w:sz w:val="24"/>
          <w:szCs w:val="24"/>
        </w:rPr>
        <w:t xml:space="preserve"> EU</w:t>
      </w:r>
      <w:r w:rsidRPr="002661A8">
        <w:rPr>
          <w:rFonts w:ascii="Times New Roman" w:eastAsia="Times New Roman" w:hAnsi="Times New Roman" w:cs="Times New Roman"/>
          <w:noProof/>
          <w:sz w:val="24"/>
          <w:szCs w:val="24"/>
        </w:rPr>
        <w:t xml:space="preserve"> financial stability. As such</w:t>
      </w:r>
      <w:r w:rsidR="00436363" w:rsidRPr="002661A8">
        <w:rPr>
          <w:rFonts w:ascii="Times New Roman" w:eastAsia="Times New Roman" w:hAnsi="Times New Roman" w:cs="Times New Roman"/>
          <w:noProof/>
          <w:sz w:val="24"/>
          <w:szCs w:val="24"/>
        </w:rPr>
        <w:t>,</w:t>
      </w:r>
      <w:r w:rsidRPr="002661A8">
        <w:rPr>
          <w:rFonts w:ascii="Times New Roman" w:eastAsia="Times New Roman" w:hAnsi="Times New Roman" w:cs="Times New Roman"/>
          <w:noProof/>
          <w:sz w:val="24"/>
          <w:szCs w:val="24"/>
        </w:rPr>
        <w:t xml:space="preserve"> it does not aim at reducing costs</w:t>
      </w:r>
      <w:r w:rsidR="00EE5CF2" w:rsidRPr="002661A8">
        <w:rPr>
          <w:rFonts w:ascii="Times New Roman" w:eastAsia="Times New Roman" w:hAnsi="Times New Roman" w:cs="Times New Roman"/>
          <w:noProof/>
          <w:sz w:val="24"/>
          <w:szCs w:val="24"/>
        </w:rPr>
        <w:t xml:space="preserve"> per se</w:t>
      </w:r>
      <w:r w:rsidRPr="002661A8">
        <w:rPr>
          <w:rFonts w:ascii="Times New Roman" w:eastAsia="Times New Roman" w:hAnsi="Times New Roman" w:cs="Times New Roman"/>
          <w:noProof/>
          <w:sz w:val="24"/>
          <w:szCs w:val="24"/>
        </w:rPr>
        <w:t>.</w:t>
      </w:r>
      <w:r w:rsidR="004E4208" w:rsidRPr="002661A8">
        <w:rPr>
          <w:rFonts w:ascii="Times New Roman" w:eastAsia="Times New Roman" w:hAnsi="Times New Roman" w:cs="Times New Roman"/>
          <w:noProof/>
          <w:sz w:val="24"/>
          <w:szCs w:val="24"/>
        </w:rPr>
        <w:t xml:space="preserve"> However,</w:t>
      </w:r>
      <w:r w:rsidRPr="002661A8">
        <w:rPr>
          <w:rFonts w:ascii="Times New Roman" w:eastAsia="Times New Roman" w:hAnsi="Times New Roman" w:cs="Times New Roman"/>
          <w:noProof/>
          <w:sz w:val="24"/>
          <w:szCs w:val="24"/>
        </w:rPr>
        <w:t xml:space="preserve"> </w:t>
      </w:r>
      <w:r w:rsidR="00A010C4" w:rsidRPr="002661A8">
        <w:rPr>
          <w:rFonts w:ascii="Times New Roman" w:eastAsia="Times New Roman" w:hAnsi="Times New Roman" w:cs="Times New Roman"/>
          <w:noProof/>
          <w:sz w:val="24"/>
          <w:szCs w:val="24"/>
        </w:rPr>
        <w:t>t</w:t>
      </w:r>
      <w:r w:rsidR="00BE1833" w:rsidRPr="002661A8">
        <w:rPr>
          <w:rFonts w:ascii="Times New Roman" w:eastAsia="Times New Roman" w:hAnsi="Times New Roman" w:cs="Times New Roman"/>
          <w:noProof/>
          <w:sz w:val="24"/>
          <w:szCs w:val="24"/>
        </w:rPr>
        <w:t>he preferred</w:t>
      </w:r>
      <w:r w:rsidRPr="002661A8">
        <w:rPr>
          <w:rFonts w:ascii="Times New Roman" w:eastAsia="Times New Roman" w:hAnsi="Times New Roman" w:cs="Times New Roman"/>
          <w:noProof/>
          <w:sz w:val="24"/>
          <w:szCs w:val="24"/>
        </w:rPr>
        <w:t xml:space="preserve"> policy option </w:t>
      </w:r>
      <w:r w:rsidR="00BE1833" w:rsidRPr="002661A8">
        <w:rPr>
          <w:rFonts w:ascii="Times New Roman" w:eastAsia="Times New Roman" w:hAnsi="Times New Roman" w:cs="Times New Roman"/>
          <w:noProof/>
          <w:sz w:val="24"/>
          <w:szCs w:val="24"/>
        </w:rPr>
        <w:t xml:space="preserve">related to </w:t>
      </w:r>
      <w:r w:rsidR="00A010C4" w:rsidRPr="002661A8">
        <w:rPr>
          <w:rFonts w:ascii="Times New Roman" w:eastAsia="Times New Roman" w:hAnsi="Times New Roman" w:cs="Times New Roman"/>
          <w:noProof/>
          <w:sz w:val="24"/>
          <w:szCs w:val="24"/>
        </w:rPr>
        <w:t xml:space="preserve">the </w:t>
      </w:r>
      <w:r w:rsidR="00BE1833" w:rsidRPr="002661A8">
        <w:rPr>
          <w:rFonts w:ascii="Times New Roman" w:eastAsia="Times New Roman" w:hAnsi="Times New Roman" w:cs="Times New Roman"/>
          <w:noProof/>
          <w:sz w:val="24"/>
          <w:szCs w:val="24"/>
        </w:rPr>
        <w:t>objective</w:t>
      </w:r>
      <w:r w:rsidR="00A010C4" w:rsidRPr="002661A8">
        <w:rPr>
          <w:rFonts w:ascii="Times New Roman" w:eastAsia="Times New Roman" w:hAnsi="Times New Roman" w:cs="Times New Roman"/>
          <w:noProof/>
          <w:sz w:val="24"/>
          <w:szCs w:val="24"/>
        </w:rPr>
        <w:t xml:space="preserve"> of increasing EU CCPs</w:t>
      </w:r>
      <w:r w:rsidR="002504D9">
        <w:rPr>
          <w:rFonts w:ascii="Times New Roman" w:eastAsia="Times New Roman" w:hAnsi="Times New Roman" w:cs="Times New Roman"/>
          <w:noProof/>
          <w:sz w:val="24"/>
          <w:szCs w:val="24"/>
        </w:rPr>
        <w:t>’</w:t>
      </w:r>
      <w:r w:rsidR="00A010C4" w:rsidRPr="002661A8">
        <w:rPr>
          <w:rFonts w:ascii="Times New Roman" w:eastAsia="Times New Roman" w:hAnsi="Times New Roman" w:cs="Times New Roman"/>
          <w:noProof/>
          <w:sz w:val="24"/>
          <w:szCs w:val="24"/>
        </w:rPr>
        <w:t xml:space="preserve"> attractiveness</w:t>
      </w:r>
      <w:r w:rsidRPr="002661A8">
        <w:rPr>
          <w:rFonts w:ascii="Times New Roman" w:eastAsia="Times New Roman" w:hAnsi="Times New Roman" w:cs="Times New Roman"/>
          <w:noProof/>
          <w:sz w:val="24"/>
          <w:szCs w:val="24"/>
        </w:rPr>
        <w:t xml:space="preserve"> will lead to a simplification of procedures for EU CCPs</w:t>
      </w:r>
      <w:r w:rsidR="004E4208" w:rsidRPr="002661A8">
        <w:rPr>
          <w:rFonts w:ascii="Times New Roman" w:eastAsia="Times New Roman" w:hAnsi="Times New Roman" w:cs="Times New Roman"/>
          <w:noProof/>
          <w:sz w:val="24"/>
          <w:szCs w:val="24"/>
        </w:rPr>
        <w:t>,</w:t>
      </w:r>
      <w:r w:rsidRPr="002661A8">
        <w:rPr>
          <w:rFonts w:ascii="Times New Roman" w:eastAsia="Times New Roman" w:hAnsi="Times New Roman" w:cs="Times New Roman"/>
          <w:noProof/>
          <w:sz w:val="24"/>
          <w:szCs w:val="24"/>
        </w:rPr>
        <w:t xml:space="preserve"> reducing administrative burden</w:t>
      </w:r>
      <w:r w:rsidR="00BE1833" w:rsidRPr="002661A8">
        <w:rPr>
          <w:rFonts w:ascii="Times New Roman" w:eastAsia="Times New Roman" w:hAnsi="Times New Roman" w:cs="Times New Roman"/>
          <w:noProof/>
          <w:sz w:val="24"/>
          <w:szCs w:val="24"/>
        </w:rPr>
        <w:t>s</w:t>
      </w:r>
      <w:r w:rsidRPr="002661A8">
        <w:rPr>
          <w:rFonts w:ascii="Times New Roman" w:eastAsia="Times New Roman" w:hAnsi="Times New Roman" w:cs="Times New Roman"/>
          <w:noProof/>
          <w:sz w:val="24"/>
          <w:szCs w:val="24"/>
        </w:rPr>
        <w:t xml:space="preserve"> </w:t>
      </w:r>
      <w:r w:rsidR="00BE1833" w:rsidRPr="002661A8">
        <w:rPr>
          <w:rFonts w:ascii="Times New Roman" w:eastAsia="Times New Roman" w:hAnsi="Times New Roman" w:cs="Times New Roman"/>
          <w:noProof/>
          <w:sz w:val="24"/>
          <w:szCs w:val="24"/>
        </w:rPr>
        <w:t>and making their operations more efficient</w:t>
      </w:r>
      <w:r w:rsidR="00EE5CF2" w:rsidRPr="002661A8">
        <w:rPr>
          <w:rFonts w:ascii="Times New Roman" w:eastAsia="Times New Roman" w:hAnsi="Times New Roman" w:cs="Times New Roman"/>
          <w:noProof/>
          <w:sz w:val="24"/>
          <w:szCs w:val="24"/>
        </w:rPr>
        <w:t>, thus also bringing about a reduction of costs</w:t>
      </w:r>
      <w:r w:rsidRPr="002661A8">
        <w:rPr>
          <w:rFonts w:ascii="Times New Roman" w:eastAsia="Times New Roman" w:hAnsi="Times New Roman" w:cs="Times New Roman"/>
          <w:noProof/>
          <w:sz w:val="24"/>
          <w:szCs w:val="24"/>
        </w:rPr>
        <w:t>.</w:t>
      </w:r>
      <w:r w:rsidR="00A010C4" w:rsidRPr="002661A8">
        <w:rPr>
          <w:rFonts w:ascii="Times New Roman" w:eastAsia="Times New Roman" w:hAnsi="Times New Roman" w:cs="Times New Roman"/>
          <w:noProof/>
          <w:sz w:val="24"/>
          <w:szCs w:val="24"/>
        </w:rPr>
        <w:t xml:space="preserve"> </w:t>
      </w:r>
    </w:p>
    <w:p w14:paraId="74EF8F4F" w14:textId="64DB1CB2" w:rsidR="00936650" w:rsidRPr="002661A8" w:rsidRDefault="00A010C4" w:rsidP="0042396B">
      <w:pPr>
        <w:spacing w:after="120" w:line="240" w:lineRule="auto"/>
        <w:jc w:val="both"/>
        <w:rPr>
          <w:rFonts w:ascii="Times New Roman" w:eastAsia="Times New Roman" w:hAnsi="Times New Roman" w:cs="Times New Roman"/>
          <w:noProof/>
          <w:sz w:val="24"/>
          <w:szCs w:val="24"/>
        </w:rPr>
      </w:pPr>
      <w:r w:rsidRPr="002661A8">
        <w:rPr>
          <w:rFonts w:ascii="Times New Roman" w:eastAsia="Times New Roman" w:hAnsi="Times New Roman" w:cs="Times New Roman"/>
          <w:noProof/>
          <w:sz w:val="24"/>
          <w:szCs w:val="24"/>
        </w:rPr>
        <w:t>T</w:t>
      </w:r>
      <w:r w:rsidR="00D10EA6" w:rsidRPr="002661A8">
        <w:rPr>
          <w:rFonts w:ascii="Times New Roman" w:eastAsia="Times New Roman" w:hAnsi="Times New Roman" w:cs="Times New Roman"/>
          <w:noProof/>
          <w:sz w:val="24"/>
          <w:szCs w:val="24"/>
        </w:rPr>
        <w:t>he approximate range of these cost savings</w:t>
      </w:r>
      <w:r w:rsidRPr="002661A8">
        <w:rPr>
          <w:rFonts w:ascii="Times New Roman" w:eastAsia="Times New Roman" w:hAnsi="Times New Roman" w:cs="Times New Roman"/>
          <w:noProof/>
          <w:sz w:val="24"/>
          <w:szCs w:val="24"/>
        </w:rPr>
        <w:t xml:space="preserve"> has been estimated</w:t>
      </w:r>
      <w:r w:rsidR="00557D91" w:rsidRPr="002661A8">
        <w:rPr>
          <w:rFonts w:ascii="Times New Roman" w:eastAsia="Times New Roman" w:hAnsi="Times New Roman" w:cs="Times New Roman"/>
          <w:noProof/>
          <w:sz w:val="24"/>
          <w:szCs w:val="24"/>
        </w:rPr>
        <w:t xml:space="preserve"> based on interaction</w:t>
      </w:r>
      <w:r w:rsidRPr="002661A8">
        <w:rPr>
          <w:rFonts w:ascii="Times New Roman" w:eastAsia="Times New Roman" w:hAnsi="Times New Roman" w:cs="Times New Roman"/>
          <w:noProof/>
          <w:sz w:val="24"/>
          <w:szCs w:val="24"/>
        </w:rPr>
        <w:t>s</w:t>
      </w:r>
      <w:r w:rsidR="00557D91" w:rsidRPr="002661A8">
        <w:rPr>
          <w:rFonts w:ascii="Times New Roman" w:eastAsia="Times New Roman" w:hAnsi="Times New Roman" w:cs="Times New Roman"/>
          <w:noProof/>
          <w:sz w:val="24"/>
          <w:szCs w:val="24"/>
        </w:rPr>
        <w:t xml:space="preserve"> with stakeholders and several</w:t>
      </w:r>
      <w:r w:rsidR="002A6051" w:rsidRPr="002661A8">
        <w:rPr>
          <w:rFonts w:ascii="Times New Roman" w:eastAsia="Times New Roman" w:hAnsi="Times New Roman" w:cs="Times New Roman"/>
          <w:noProof/>
          <w:sz w:val="24"/>
          <w:szCs w:val="24"/>
        </w:rPr>
        <w:t xml:space="preserve"> assumptions </w:t>
      </w:r>
      <w:r w:rsidR="00557D91" w:rsidRPr="002661A8">
        <w:rPr>
          <w:rFonts w:ascii="Times New Roman" w:eastAsia="Times New Roman" w:hAnsi="Times New Roman" w:cs="Times New Roman"/>
          <w:noProof/>
          <w:sz w:val="24"/>
          <w:szCs w:val="24"/>
        </w:rPr>
        <w:t>which were needed to</w:t>
      </w:r>
      <w:r w:rsidR="002A6051" w:rsidRPr="002661A8">
        <w:rPr>
          <w:rFonts w:ascii="Times New Roman" w:eastAsia="Times New Roman" w:hAnsi="Times New Roman" w:cs="Times New Roman"/>
          <w:noProof/>
          <w:sz w:val="24"/>
          <w:szCs w:val="24"/>
        </w:rPr>
        <w:t xml:space="preserve"> extrapolate the effects </w:t>
      </w:r>
      <w:r w:rsidR="00557D91" w:rsidRPr="002661A8">
        <w:rPr>
          <w:rFonts w:ascii="Times New Roman" w:eastAsia="Times New Roman" w:hAnsi="Times New Roman" w:cs="Times New Roman"/>
          <w:noProof/>
          <w:sz w:val="24"/>
          <w:szCs w:val="24"/>
        </w:rPr>
        <w:t>to the whole EU</w:t>
      </w:r>
      <w:r w:rsidR="00557D91" w:rsidRPr="002661A8">
        <w:rPr>
          <w:rStyle w:val="FootnoteReference"/>
          <w:rFonts w:ascii="Times New Roman" w:eastAsia="Times New Roman" w:hAnsi="Times New Roman" w:cs="Times New Roman"/>
          <w:noProof/>
          <w:sz w:val="24"/>
          <w:szCs w:val="24"/>
        </w:rPr>
        <w:footnoteReference w:id="162"/>
      </w:r>
      <w:r w:rsidR="00772281">
        <w:rPr>
          <w:rFonts w:ascii="Times New Roman" w:eastAsia="Times New Roman" w:hAnsi="Times New Roman" w:cs="Times New Roman"/>
          <w:noProof/>
          <w:sz w:val="24"/>
          <w:szCs w:val="24"/>
        </w:rPr>
        <w:t>.</w:t>
      </w:r>
      <w:r w:rsidR="00347E4D" w:rsidRPr="002661A8">
        <w:rPr>
          <w:rFonts w:ascii="Times New Roman" w:eastAsia="Times New Roman" w:hAnsi="Times New Roman" w:cs="Times New Roman"/>
          <w:noProof/>
          <w:sz w:val="24"/>
          <w:szCs w:val="24"/>
        </w:rPr>
        <w:t xml:space="preserve"> This cost saving is of </w:t>
      </w:r>
      <w:r w:rsidR="002504D9">
        <w:rPr>
          <w:rFonts w:ascii="Times New Roman" w:eastAsia="Times New Roman" w:hAnsi="Times New Roman" w:cs="Times New Roman"/>
          <w:noProof/>
          <w:sz w:val="24"/>
          <w:szCs w:val="24"/>
        </w:rPr>
        <w:t>an</w:t>
      </w:r>
      <w:r w:rsidR="00347E4D" w:rsidRPr="002661A8">
        <w:rPr>
          <w:rFonts w:ascii="Times New Roman" w:eastAsia="Times New Roman" w:hAnsi="Times New Roman" w:cs="Times New Roman"/>
          <w:noProof/>
          <w:sz w:val="24"/>
          <w:szCs w:val="24"/>
        </w:rPr>
        <w:t xml:space="preserve"> administrative nature and</w:t>
      </w:r>
      <w:r w:rsidR="00347E4D" w:rsidRPr="002661A8" w:rsidDel="005F791D">
        <w:rPr>
          <w:rFonts w:ascii="Times New Roman" w:eastAsia="Times New Roman" w:hAnsi="Times New Roman" w:cs="Times New Roman"/>
          <w:noProof/>
          <w:sz w:val="24"/>
          <w:szCs w:val="24"/>
        </w:rPr>
        <w:t xml:space="preserve"> </w:t>
      </w:r>
      <w:r w:rsidR="005F791D" w:rsidRPr="002661A8">
        <w:rPr>
          <w:rFonts w:ascii="Times New Roman" w:eastAsia="Times New Roman" w:hAnsi="Times New Roman" w:cs="Times New Roman"/>
          <w:noProof/>
          <w:sz w:val="24"/>
          <w:szCs w:val="24"/>
        </w:rPr>
        <w:t xml:space="preserve">thus </w:t>
      </w:r>
      <w:r w:rsidR="00347E4D" w:rsidRPr="002661A8">
        <w:rPr>
          <w:rFonts w:ascii="Times New Roman" w:eastAsia="Times New Roman" w:hAnsi="Times New Roman" w:cs="Times New Roman"/>
          <w:noProof/>
          <w:sz w:val="24"/>
          <w:szCs w:val="24"/>
        </w:rPr>
        <w:t xml:space="preserve">counts under the “one in, one out” approach as an “out” in the range of </w:t>
      </w:r>
      <w:r w:rsidR="005F791D" w:rsidRPr="002661A8">
        <w:rPr>
          <w:rFonts w:ascii="Times New Roman" w:eastAsia="Times New Roman" w:hAnsi="Times New Roman" w:cs="Times New Roman"/>
          <w:noProof/>
          <w:sz w:val="24"/>
          <w:szCs w:val="24"/>
        </w:rPr>
        <w:t xml:space="preserve">approx. </w:t>
      </w:r>
      <w:r w:rsidR="00347E4D" w:rsidRPr="002661A8">
        <w:rPr>
          <w:rFonts w:ascii="Times New Roman" w:eastAsia="Times New Roman" w:hAnsi="Times New Roman" w:cs="Times New Roman"/>
          <w:noProof/>
          <w:sz w:val="24"/>
          <w:szCs w:val="24"/>
        </w:rPr>
        <w:t>EUR</w:t>
      </w:r>
      <w:r w:rsidR="00A91D95" w:rsidRPr="002661A8">
        <w:rPr>
          <w:noProof/>
        </w:rPr>
        <w:t> </w:t>
      </w:r>
      <w:r w:rsidR="00273F44">
        <w:rPr>
          <w:rFonts w:ascii="Times New Roman" w:eastAsia="Times New Roman" w:hAnsi="Times New Roman" w:cs="Times New Roman"/>
          <w:noProof/>
          <w:sz w:val="24"/>
          <w:szCs w:val="24"/>
        </w:rPr>
        <w:t>5</w:t>
      </w:r>
      <w:r w:rsidR="00A91D95" w:rsidRPr="002661A8">
        <w:rPr>
          <w:noProof/>
        </w:rPr>
        <w:t> </w:t>
      </w:r>
      <w:r w:rsidR="00557D91" w:rsidRPr="002661A8">
        <w:rPr>
          <w:rFonts w:ascii="Times New Roman" w:eastAsia="Times New Roman" w:hAnsi="Times New Roman" w:cs="Times New Roman"/>
          <w:noProof/>
          <w:sz w:val="24"/>
          <w:szCs w:val="24"/>
        </w:rPr>
        <w:t>million to</w:t>
      </w:r>
      <w:r w:rsidR="00347E4D" w:rsidRPr="002661A8">
        <w:rPr>
          <w:rFonts w:ascii="Times New Roman" w:eastAsia="Times New Roman" w:hAnsi="Times New Roman" w:cs="Times New Roman"/>
          <w:noProof/>
          <w:sz w:val="24"/>
          <w:szCs w:val="24"/>
        </w:rPr>
        <w:t xml:space="preserve"> EUR</w:t>
      </w:r>
      <w:r w:rsidR="00A91D95" w:rsidRPr="002661A8">
        <w:rPr>
          <w:noProof/>
        </w:rPr>
        <w:t> </w:t>
      </w:r>
      <w:r w:rsidR="00557D91" w:rsidRPr="002661A8">
        <w:rPr>
          <w:rFonts w:ascii="Times New Roman" w:eastAsia="Times New Roman" w:hAnsi="Times New Roman" w:cs="Times New Roman"/>
          <w:noProof/>
          <w:sz w:val="24"/>
          <w:szCs w:val="24"/>
        </w:rPr>
        <w:t>1</w:t>
      </w:r>
      <w:r w:rsidR="00273F44">
        <w:rPr>
          <w:rFonts w:ascii="Times New Roman" w:eastAsia="Times New Roman" w:hAnsi="Times New Roman" w:cs="Times New Roman"/>
          <w:noProof/>
          <w:sz w:val="24"/>
          <w:szCs w:val="24"/>
        </w:rPr>
        <w:t>5</w:t>
      </w:r>
      <w:r w:rsidR="00A91D95" w:rsidRPr="002661A8">
        <w:rPr>
          <w:noProof/>
        </w:rPr>
        <w:t> </w:t>
      </w:r>
      <w:r w:rsidR="00557D91" w:rsidRPr="002661A8">
        <w:rPr>
          <w:rFonts w:ascii="Times New Roman" w:eastAsia="Times New Roman" w:hAnsi="Times New Roman" w:cs="Times New Roman"/>
          <w:noProof/>
          <w:sz w:val="24"/>
          <w:szCs w:val="24"/>
        </w:rPr>
        <w:t>million</w:t>
      </w:r>
      <w:r w:rsidR="00E77511">
        <w:rPr>
          <w:rFonts w:ascii="Times New Roman" w:eastAsia="Times New Roman" w:hAnsi="Times New Roman" w:cs="Times New Roman"/>
          <w:noProof/>
          <w:sz w:val="24"/>
          <w:szCs w:val="24"/>
        </w:rPr>
        <w:t xml:space="preserve"> (EU total)</w:t>
      </w:r>
      <w:r w:rsidR="00347E4D" w:rsidRPr="002661A8">
        <w:rPr>
          <w:rFonts w:ascii="Times New Roman" w:eastAsia="Times New Roman" w:hAnsi="Times New Roman" w:cs="Times New Roman"/>
          <w:noProof/>
          <w:sz w:val="24"/>
          <w:szCs w:val="24"/>
        </w:rPr>
        <w:t>.</w:t>
      </w:r>
      <w:r w:rsidR="00557D91" w:rsidRPr="002661A8">
        <w:rPr>
          <w:rFonts w:ascii="Times New Roman" w:eastAsia="Times New Roman" w:hAnsi="Times New Roman" w:cs="Times New Roman"/>
          <w:noProof/>
          <w:sz w:val="24"/>
          <w:szCs w:val="24"/>
        </w:rPr>
        <w:t xml:space="preserve"> </w:t>
      </w:r>
      <w:r w:rsidR="00617B66" w:rsidRPr="002661A8">
        <w:rPr>
          <w:rFonts w:ascii="Times New Roman" w:eastAsia="Times New Roman" w:hAnsi="Times New Roman" w:cs="Times New Roman"/>
          <w:noProof/>
          <w:sz w:val="24"/>
          <w:szCs w:val="24"/>
        </w:rPr>
        <w:t>This</w:t>
      </w:r>
      <w:r w:rsidR="00557D91" w:rsidRPr="002661A8">
        <w:rPr>
          <w:rFonts w:ascii="Times New Roman" w:eastAsia="Times New Roman" w:hAnsi="Times New Roman" w:cs="Times New Roman"/>
          <w:noProof/>
          <w:sz w:val="24"/>
          <w:szCs w:val="24"/>
        </w:rPr>
        <w:t xml:space="preserve"> </w:t>
      </w:r>
      <w:r w:rsidR="00617B66" w:rsidRPr="002661A8">
        <w:rPr>
          <w:rFonts w:ascii="Times New Roman" w:eastAsia="Times New Roman" w:hAnsi="Times New Roman" w:cs="Times New Roman"/>
          <w:noProof/>
          <w:sz w:val="24"/>
          <w:szCs w:val="24"/>
        </w:rPr>
        <w:t xml:space="preserve">is likely to </w:t>
      </w:r>
      <w:r w:rsidR="00557D91" w:rsidRPr="002661A8">
        <w:rPr>
          <w:rFonts w:ascii="Times New Roman" w:eastAsia="Times New Roman" w:hAnsi="Times New Roman" w:cs="Times New Roman"/>
          <w:noProof/>
          <w:sz w:val="24"/>
          <w:szCs w:val="24"/>
        </w:rPr>
        <w:t xml:space="preserve">be concentrated in </w:t>
      </w:r>
      <w:r w:rsidR="0033659C" w:rsidRPr="002661A8">
        <w:rPr>
          <w:rFonts w:ascii="Times New Roman" w:eastAsia="Times New Roman" w:hAnsi="Times New Roman" w:cs="Times New Roman"/>
          <w:noProof/>
          <w:sz w:val="24"/>
          <w:szCs w:val="24"/>
        </w:rPr>
        <w:t xml:space="preserve">few </w:t>
      </w:r>
      <w:r w:rsidRPr="002661A8">
        <w:rPr>
          <w:rFonts w:ascii="Times New Roman" w:eastAsia="Times New Roman" w:hAnsi="Times New Roman" w:cs="Times New Roman"/>
          <w:noProof/>
          <w:sz w:val="24"/>
          <w:szCs w:val="24"/>
        </w:rPr>
        <w:t xml:space="preserve">EU CCPs </w:t>
      </w:r>
      <w:r w:rsidR="00557D91" w:rsidRPr="002661A8">
        <w:rPr>
          <w:rFonts w:ascii="Times New Roman" w:eastAsia="Times New Roman" w:hAnsi="Times New Roman" w:cs="Times New Roman"/>
          <w:noProof/>
          <w:sz w:val="24"/>
          <w:szCs w:val="24"/>
        </w:rPr>
        <w:t xml:space="preserve">(as </w:t>
      </w:r>
      <w:r w:rsidR="000D5D06" w:rsidRPr="002661A8">
        <w:rPr>
          <w:rFonts w:ascii="Times New Roman" w:eastAsia="Times New Roman" w:hAnsi="Times New Roman" w:cs="Times New Roman"/>
          <w:noProof/>
          <w:sz w:val="24"/>
          <w:szCs w:val="24"/>
        </w:rPr>
        <w:t>few</w:t>
      </w:r>
      <w:r w:rsidRPr="002661A8">
        <w:rPr>
          <w:rFonts w:ascii="Times New Roman" w:eastAsia="Times New Roman" w:hAnsi="Times New Roman" w:cs="Times New Roman"/>
          <w:noProof/>
          <w:sz w:val="24"/>
          <w:szCs w:val="24"/>
        </w:rPr>
        <w:t xml:space="preserve"> EU CCPs</w:t>
      </w:r>
      <w:r w:rsidR="00557D91" w:rsidRPr="002661A8">
        <w:rPr>
          <w:rFonts w:ascii="Times New Roman" w:eastAsia="Times New Roman" w:hAnsi="Times New Roman" w:cs="Times New Roman"/>
          <w:noProof/>
          <w:sz w:val="24"/>
          <w:szCs w:val="24"/>
        </w:rPr>
        <w:t xml:space="preserve"> might bring new product</w:t>
      </w:r>
      <w:r w:rsidR="00617B66" w:rsidRPr="002661A8">
        <w:rPr>
          <w:rFonts w:ascii="Times New Roman" w:eastAsia="Times New Roman" w:hAnsi="Times New Roman" w:cs="Times New Roman"/>
          <w:noProof/>
          <w:sz w:val="24"/>
          <w:szCs w:val="24"/>
        </w:rPr>
        <w:t>s</w:t>
      </w:r>
      <w:r w:rsidR="00557D91" w:rsidRPr="002661A8">
        <w:rPr>
          <w:rFonts w:ascii="Times New Roman" w:eastAsia="Times New Roman" w:hAnsi="Times New Roman" w:cs="Times New Roman"/>
          <w:noProof/>
          <w:sz w:val="24"/>
          <w:szCs w:val="24"/>
        </w:rPr>
        <w:t xml:space="preserve"> to the market </w:t>
      </w:r>
      <w:r w:rsidR="0033659C" w:rsidRPr="002661A8">
        <w:rPr>
          <w:rFonts w:ascii="Times New Roman" w:eastAsia="Times New Roman" w:hAnsi="Times New Roman" w:cs="Times New Roman"/>
          <w:noProof/>
          <w:sz w:val="24"/>
          <w:szCs w:val="24"/>
        </w:rPr>
        <w:t xml:space="preserve">in </w:t>
      </w:r>
      <w:r w:rsidR="00557D91" w:rsidRPr="002661A8">
        <w:rPr>
          <w:rFonts w:ascii="Times New Roman" w:eastAsia="Times New Roman" w:hAnsi="Times New Roman" w:cs="Times New Roman"/>
          <w:noProof/>
          <w:sz w:val="24"/>
          <w:szCs w:val="24"/>
        </w:rPr>
        <w:t xml:space="preserve">a given year) and is likely to </w:t>
      </w:r>
      <w:r w:rsidR="00055F36" w:rsidRPr="002661A8">
        <w:rPr>
          <w:rFonts w:ascii="Times New Roman" w:eastAsia="Times New Roman" w:hAnsi="Times New Roman" w:cs="Times New Roman"/>
          <w:noProof/>
          <w:sz w:val="24"/>
          <w:szCs w:val="24"/>
        </w:rPr>
        <w:t>be beneficial in terms of</w:t>
      </w:r>
      <w:r w:rsidR="00557D91" w:rsidRPr="002661A8">
        <w:rPr>
          <w:rFonts w:ascii="Times New Roman" w:eastAsia="Times New Roman" w:hAnsi="Times New Roman" w:cs="Times New Roman"/>
          <w:noProof/>
          <w:sz w:val="24"/>
          <w:szCs w:val="24"/>
        </w:rPr>
        <w:t xml:space="preserve"> </w:t>
      </w:r>
      <w:r w:rsidRPr="002661A8">
        <w:rPr>
          <w:rFonts w:ascii="Times New Roman" w:eastAsia="Times New Roman" w:hAnsi="Times New Roman" w:cs="Times New Roman"/>
          <w:noProof/>
          <w:sz w:val="24"/>
          <w:szCs w:val="24"/>
        </w:rPr>
        <w:t>their</w:t>
      </w:r>
      <w:r w:rsidR="00557D91" w:rsidRPr="002661A8">
        <w:rPr>
          <w:rFonts w:ascii="Times New Roman" w:eastAsia="Times New Roman" w:hAnsi="Times New Roman" w:cs="Times New Roman"/>
          <w:noProof/>
          <w:sz w:val="24"/>
          <w:szCs w:val="24"/>
        </w:rPr>
        <w:t xml:space="preserve"> </w:t>
      </w:r>
      <w:r w:rsidR="00531F0B" w:rsidRPr="002661A8">
        <w:rPr>
          <w:rFonts w:ascii="Times New Roman" w:eastAsia="Times New Roman" w:hAnsi="Times New Roman" w:cs="Times New Roman"/>
          <w:noProof/>
          <w:sz w:val="24"/>
          <w:szCs w:val="24"/>
        </w:rPr>
        <w:t>attractiveness</w:t>
      </w:r>
      <w:r w:rsidR="00557D91" w:rsidRPr="002661A8">
        <w:rPr>
          <w:rFonts w:ascii="Times New Roman" w:eastAsia="Times New Roman" w:hAnsi="Times New Roman" w:cs="Times New Roman"/>
          <w:noProof/>
          <w:sz w:val="24"/>
          <w:szCs w:val="24"/>
        </w:rPr>
        <w:t xml:space="preserve">. </w:t>
      </w:r>
      <w:r w:rsidR="00777018">
        <w:rPr>
          <w:rFonts w:ascii="Times New Roman" w:eastAsia="Times New Roman" w:hAnsi="Times New Roman" w:cs="Times New Roman"/>
          <w:noProof/>
          <w:sz w:val="24"/>
          <w:szCs w:val="24"/>
        </w:rPr>
        <w:t>These r</w:t>
      </w:r>
      <w:r w:rsidR="009252B8">
        <w:rPr>
          <w:rFonts w:ascii="Times New Roman" w:eastAsia="Times New Roman" w:hAnsi="Times New Roman" w:cs="Times New Roman"/>
          <w:noProof/>
          <w:sz w:val="24"/>
          <w:szCs w:val="24"/>
        </w:rPr>
        <w:t xml:space="preserve">educed administrative costs related to </w:t>
      </w:r>
      <w:r w:rsidR="0042396B">
        <w:rPr>
          <w:rFonts w:ascii="Times New Roman" w:eastAsia="Times New Roman" w:hAnsi="Times New Roman" w:cs="Times New Roman"/>
          <w:noProof/>
          <w:sz w:val="24"/>
          <w:szCs w:val="24"/>
        </w:rPr>
        <w:t xml:space="preserve">simplified procedures for launching products and changing models and parameters </w:t>
      </w:r>
      <w:r w:rsidR="005862CE">
        <w:rPr>
          <w:rFonts w:ascii="Times New Roman" w:eastAsia="Times New Roman" w:hAnsi="Times New Roman" w:cs="Times New Roman"/>
          <w:noProof/>
          <w:sz w:val="24"/>
          <w:szCs w:val="24"/>
        </w:rPr>
        <w:t xml:space="preserve">as well as </w:t>
      </w:r>
      <w:r w:rsidR="00D403B8">
        <w:rPr>
          <w:rFonts w:ascii="Times New Roman" w:eastAsia="Times New Roman" w:hAnsi="Times New Roman" w:cs="Times New Roman"/>
          <w:noProof/>
          <w:sz w:val="24"/>
          <w:szCs w:val="24"/>
        </w:rPr>
        <w:t>the</w:t>
      </w:r>
      <w:r w:rsidR="005862CE">
        <w:rPr>
          <w:rFonts w:ascii="Times New Roman" w:eastAsia="Times New Roman" w:hAnsi="Times New Roman" w:cs="Times New Roman"/>
          <w:noProof/>
          <w:sz w:val="24"/>
          <w:szCs w:val="24"/>
        </w:rPr>
        <w:t xml:space="preserve"> </w:t>
      </w:r>
      <w:r w:rsidR="005862CE" w:rsidRPr="005862CE">
        <w:rPr>
          <w:rFonts w:ascii="Times New Roman" w:eastAsia="Times New Roman" w:hAnsi="Times New Roman" w:cs="Times New Roman"/>
          <w:noProof/>
          <w:sz w:val="24"/>
          <w:szCs w:val="24"/>
        </w:rPr>
        <w:t xml:space="preserve">ex-post approval/non-objection procedure/review for certain changes </w:t>
      </w:r>
      <w:r w:rsidR="009252B8">
        <w:rPr>
          <w:rFonts w:ascii="Times New Roman" w:eastAsia="Times New Roman" w:hAnsi="Times New Roman" w:cs="Times New Roman"/>
          <w:noProof/>
          <w:sz w:val="24"/>
          <w:szCs w:val="24"/>
        </w:rPr>
        <w:t xml:space="preserve">will be of a recurrent nature as CCPs benefit from </w:t>
      </w:r>
      <w:r w:rsidR="004D317C">
        <w:rPr>
          <w:rFonts w:ascii="Times New Roman" w:eastAsia="Times New Roman" w:hAnsi="Times New Roman" w:cs="Times New Roman"/>
          <w:noProof/>
          <w:sz w:val="24"/>
          <w:szCs w:val="24"/>
        </w:rPr>
        <w:t xml:space="preserve">leaner processes every time they ask for the introduction of new products or risk models. </w:t>
      </w:r>
      <w:r w:rsidR="001E5195">
        <w:rPr>
          <w:rFonts w:ascii="Times New Roman" w:eastAsia="Times New Roman" w:hAnsi="Times New Roman" w:cs="Times New Roman"/>
          <w:noProof/>
          <w:sz w:val="24"/>
          <w:szCs w:val="24"/>
        </w:rPr>
        <w:t xml:space="preserve">The estimates assume a reduction of costs related to staff, legal opinions and external consultants as a greater standardisation of documents as well as greater clarity on what needs to be submitted is introduced and less interaction with supervisors is needed. </w:t>
      </w:r>
      <w:r w:rsidR="00EF4052">
        <w:rPr>
          <w:rFonts w:ascii="Times New Roman" w:eastAsia="Times New Roman" w:hAnsi="Times New Roman" w:cs="Times New Roman"/>
          <w:noProof/>
          <w:sz w:val="24"/>
          <w:szCs w:val="24"/>
        </w:rPr>
        <w:t xml:space="preserve">The magnitude </w:t>
      </w:r>
      <w:r w:rsidR="001E5195">
        <w:rPr>
          <w:rFonts w:ascii="Times New Roman" w:eastAsia="Times New Roman" w:hAnsi="Times New Roman" w:cs="Times New Roman"/>
          <w:noProof/>
          <w:sz w:val="24"/>
          <w:szCs w:val="24"/>
        </w:rPr>
        <w:t xml:space="preserve">of related cost savings </w:t>
      </w:r>
      <w:r w:rsidR="00EF4052">
        <w:rPr>
          <w:rFonts w:ascii="Times New Roman" w:eastAsia="Times New Roman" w:hAnsi="Times New Roman" w:cs="Times New Roman"/>
          <w:noProof/>
          <w:sz w:val="24"/>
          <w:szCs w:val="24"/>
        </w:rPr>
        <w:t xml:space="preserve">will depend on the number </w:t>
      </w:r>
      <w:r w:rsidR="00290B5D">
        <w:rPr>
          <w:rFonts w:ascii="Times New Roman" w:eastAsia="Times New Roman" w:hAnsi="Times New Roman" w:cs="Times New Roman"/>
          <w:noProof/>
          <w:sz w:val="24"/>
          <w:szCs w:val="24"/>
        </w:rPr>
        <w:t xml:space="preserve">and complexity </w:t>
      </w:r>
      <w:r w:rsidR="00EF4052">
        <w:rPr>
          <w:rFonts w:ascii="Times New Roman" w:eastAsia="Times New Roman" w:hAnsi="Times New Roman" w:cs="Times New Roman"/>
          <w:noProof/>
          <w:sz w:val="24"/>
          <w:szCs w:val="24"/>
        </w:rPr>
        <w:t xml:space="preserve">of new products brought to the market as well as model </w:t>
      </w:r>
      <w:r w:rsidR="00D403B8">
        <w:rPr>
          <w:rFonts w:ascii="Times New Roman" w:eastAsia="Times New Roman" w:hAnsi="Times New Roman" w:cs="Times New Roman"/>
          <w:noProof/>
          <w:sz w:val="24"/>
          <w:szCs w:val="24"/>
        </w:rPr>
        <w:t xml:space="preserve">and parameter </w:t>
      </w:r>
      <w:r w:rsidR="00EF4052">
        <w:rPr>
          <w:rFonts w:ascii="Times New Roman" w:eastAsia="Times New Roman" w:hAnsi="Times New Roman" w:cs="Times New Roman"/>
          <w:noProof/>
          <w:sz w:val="24"/>
          <w:szCs w:val="24"/>
        </w:rPr>
        <w:t>changes asked for</w:t>
      </w:r>
      <w:r w:rsidR="00D940FB">
        <w:rPr>
          <w:rFonts w:ascii="Times New Roman" w:eastAsia="Times New Roman" w:hAnsi="Times New Roman" w:cs="Times New Roman"/>
          <w:noProof/>
          <w:sz w:val="24"/>
          <w:szCs w:val="24"/>
        </w:rPr>
        <w:t xml:space="preserve"> (for more details on the estimates, see </w:t>
      </w:r>
      <w:r w:rsidR="00544EAC">
        <w:rPr>
          <w:rFonts w:ascii="Times New Roman" w:eastAsia="Times New Roman" w:hAnsi="Times New Roman" w:cs="Times New Roman"/>
          <w:noProof/>
          <w:sz w:val="24"/>
          <w:szCs w:val="24"/>
        </w:rPr>
        <w:t xml:space="preserve">Annex </w:t>
      </w:r>
      <w:r w:rsidR="001B4DD6">
        <w:rPr>
          <w:rFonts w:ascii="Times New Roman" w:eastAsia="Times New Roman" w:hAnsi="Times New Roman" w:cs="Times New Roman"/>
          <w:noProof/>
          <w:sz w:val="24"/>
          <w:szCs w:val="24"/>
        </w:rPr>
        <w:t>3</w:t>
      </w:r>
      <w:r w:rsidR="00544EAC">
        <w:rPr>
          <w:rFonts w:ascii="Times New Roman" w:eastAsia="Times New Roman" w:hAnsi="Times New Roman" w:cs="Times New Roman"/>
          <w:noProof/>
          <w:sz w:val="24"/>
          <w:szCs w:val="24"/>
        </w:rPr>
        <w:t>, Table I</w:t>
      </w:r>
      <w:r w:rsidR="00D940FB">
        <w:rPr>
          <w:rFonts w:ascii="Times New Roman" w:eastAsia="Times New Roman" w:hAnsi="Times New Roman" w:cs="Times New Roman"/>
          <w:noProof/>
          <w:sz w:val="24"/>
          <w:szCs w:val="24"/>
        </w:rPr>
        <w:t xml:space="preserve"> of this impact assessment).</w:t>
      </w:r>
      <w:r w:rsidR="006B36E4">
        <w:rPr>
          <w:rFonts w:ascii="Times New Roman" w:eastAsia="Times New Roman" w:hAnsi="Times New Roman" w:cs="Times New Roman"/>
          <w:noProof/>
          <w:sz w:val="24"/>
          <w:szCs w:val="24"/>
        </w:rPr>
        <w:t xml:space="preserve"> There are no one-off administrative cost savings as the general requirement for these procedures remains in place.</w:t>
      </w:r>
      <w:r w:rsidR="00D940FB">
        <w:rPr>
          <w:rFonts w:ascii="Times New Roman" w:eastAsia="Times New Roman" w:hAnsi="Times New Roman" w:cs="Times New Roman"/>
          <w:noProof/>
          <w:sz w:val="24"/>
          <w:szCs w:val="24"/>
        </w:rPr>
        <w:t xml:space="preserve"> </w:t>
      </w:r>
      <w:r w:rsidR="00347E4D" w:rsidRPr="002661A8">
        <w:rPr>
          <w:rFonts w:ascii="Times New Roman" w:eastAsia="Times New Roman" w:hAnsi="Times New Roman" w:cs="Times New Roman"/>
          <w:noProof/>
          <w:sz w:val="24"/>
          <w:szCs w:val="24"/>
        </w:rPr>
        <w:t xml:space="preserve">As regards </w:t>
      </w:r>
      <w:r w:rsidR="008A6E18" w:rsidRPr="002661A8">
        <w:rPr>
          <w:rFonts w:ascii="Times New Roman" w:eastAsia="Times New Roman" w:hAnsi="Times New Roman" w:cs="Times New Roman"/>
          <w:noProof/>
          <w:sz w:val="24"/>
          <w:szCs w:val="24"/>
        </w:rPr>
        <w:t xml:space="preserve">potential additional </w:t>
      </w:r>
      <w:r w:rsidR="00347E4D" w:rsidRPr="002661A8">
        <w:rPr>
          <w:rFonts w:ascii="Times New Roman" w:eastAsia="Times New Roman" w:hAnsi="Times New Roman" w:cs="Times New Roman"/>
          <w:noProof/>
          <w:sz w:val="24"/>
          <w:szCs w:val="24"/>
        </w:rPr>
        <w:t>costs</w:t>
      </w:r>
      <w:r w:rsidR="008A6E18" w:rsidRPr="002661A8">
        <w:rPr>
          <w:rFonts w:ascii="Times New Roman" w:eastAsia="Times New Roman" w:hAnsi="Times New Roman" w:cs="Times New Roman"/>
          <w:noProof/>
          <w:sz w:val="24"/>
          <w:szCs w:val="24"/>
        </w:rPr>
        <w:t xml:space="preserve"> relevant for “one in</w:t>
      </w:r>
      <w:r w:rsidR="002504D9">
        <w:rPr>
          <w:rFonts w:ascii="Times New Roman" w:eastAsia="Times New Roman" w:hAnsi="Times New Roman" w:cs="Times New Roman"/>
          <w:noProof/>
          <w:sz w:val="24"/>
          <w:szCs w:val="24"/>
        </w:rPr>
        <w:t>,</w:t>
      </w:r>
      <w:r w:rsidR="008A6E18" w:rsidRPr="002661A8">
        <w:rPr>
          <w:rFonts w:ascii="Times New Roman" w:eastAsia="Times New Roman" w:hAnsi="Times New Roman" w:cs="Times New Roman"/>
          <w:noProof/>
          <w:sz w:val="24"/>
          <w:szCs w:val="24"/>
        </w:rPr>
        <w:t xml:space="preserve"> one out”</w:t>
      </w:r>
      <w:r w:rsidR="00347E4D" w:rsidRPr="002661A8">
        <w:rPr>
          <w:rFonts w:ascii="Times New Roman" w:eastAsia="Times New Roman" w:hAnsi="Times New Roman" w:cs="Times New Roman"/>
          <w:noProof/>
          <w:sz w:val="24"/>
          <w:szCs w:val="24"/>
        </w:rPr>
        <w:t>, the</w:t>
      </w:r>
      <w:r w:rsidR="00273F44">
        <w:rPr>
          <w:rFonts w:ascii="Times New Roman" w:eastAsia="Times New Roman" w:hAnsi="Times New Roman" w:cs="Times New Roman"/>
          <w:noProof/>
          <w:sz w:val="24"/>
          <w:szCs w:val="24"/>
        </w:rPr>
        <w:t>re will be some</w:t>
      </w:r>
      <w:r w:rsidR="00347E4D" w:rsidRPr="002661A8">
        <w:rPr>
          <w:rFonts w:ascii="Times New Roman" w:eastAsia="Times New Roman" w:hAnsi="Times New Roman" w:cs="Times New Roman"/>
          <w:noProof/>
          <w:sz w:val="24"/>
          <w:szCs w:val="24"/>
        </w:rPr>
        <w:t xml:space="preserve"> </w:t>
      </w:r>
      <w:r w:rsidR="003F7E65" w:rsidRPr="002661A8">
        <w:rPr>
          <w:rFonts w:ascii="Times New Roman" w:eastAsia="Times New Roman" w:hAnsi="Times New Roman" w:cs="Times New Roman"/>
          <w:noProof/>
          <w:sz w:val="24"/>
          <w:szCs w:val="24"/>
        </w:rPr>
        <w:t xml:space="preserve">administrative </w:t>
      </w:r>
      <w:r w:rsidR="00347E4D" w:rsidRPr="002661A8">
        <w:rPr>
          <w:rFonts w:ascii="Times New Roman" w:eastAsia="Times New Roman" w:hAnsi="Times New Roman" w:cs="Times New Roman"/>
          <w:noProof/>
          <w:sz w:val="24"/>
          <w:szCs w:val="24"/>
        </w:rPr>
        <w:t xml:space="preserve">costs </w:t>
      </w:r>
      <w:r w:rsidR="00273F44">
        <w:rPr>
          <w:rFonts w:ascii="Times New Roman" w:eastAsia="Times New Roman" w:hAnsi="Times New Roman" w:cs="Times New Roman"/>
          <w:noProof/>
          <w:sz w:val="24"/>
          <w:szCs w:val="24"/>
        </w:rPr>
        <w:t xml:space="preserve">related to the reporting of active account requirements as </w:t>
      </w:r>
      <w:r w:rsidR="006A4509">
        <w:rPr>
          <w:rFonts w:ascii="Times New Roman" w:eastAsia="Times New Roman" w:hAnsi="Times New Roman" w:cs="Times New Roman"/>
          <w:noProof/>
          <w:sz w:val="24"/>
          <w:szCs w:val="24"/>
        </w:rPr>
        <w:t xml:space="preserve">well as </w:t>
      </w:r>
      <w:r w:rsidR="00E77511">
        <w:rPr>
          <w:rFonts w:ascii="Times New Roman" w:eastAsia="Times New Roman" w:hAnsi="Times New Roman" w:cs="Times New Roman"/>
          <w:noProof/>
          <w:sz w:val="24"/>
          <w:szCs w:val="24"/>
        </w:rPr>
        <w:t>very limited paperwork related to opening an account with a CCP</w:t>
      </w:r>
      <w:r w:rsidR="00347E4D" w:rsidRPr="002661A8">
        <w:rPr>
          <w:rFonts w:ascii="Times New Roman" w:eastAsia="Times New Roman" w:hAnsi="Times New Roman" w:cs="Times New Roman"/>
          <w:noProof/>
          <w:sz w:val="24"/>
          <w:szCs w:val="24"/>
        </w:rPr>
        <w:t xml:space="preserve">. </w:t>
      </w:r>
      <w:r w:rsidR="002A0FD7">
        <w:rPr>
          <w:rFonts w:ascii="Times New Roman" w:eastAsia="Times New Roman" w:hAnsi="Times New Roman" w:cs="Times New Roman"/>
          <w:noProof/>
          <w:sz w:val="24"/>
          <w:szCs w:val="24"/>
        </w:rPr>
        <w:t xml:space="preserve">The reporting of active account requirements needs to be ensured continuously and the related costs will therefore be of a recurrent nature. However, the limited paperwork related to opening an account with a CCP will be a one-off cost occurring when the account is actually opened. </w:t>
      </w:r>
      <w:r w:rsidR="006A4509">
        <w:rPr>
          <w:rFonts w:ascii="Times New Roman" w:eastAsia="Times New Roman" w:hAnsi="Times New Roman" w:cs="Times New Roman"/>
          <w:noProof/>
          <w:sz w:val="24"/>
          <w:szCs w:val="24"/>
        </w:rPr>
        <w:t xml:space="preserve">The magnitude of these costs depends on the specification of the active account requirements in the delegated act and the frequency of reporting.  </w:t>
      </w:r>
    </w:p>
    <w:p w14:paraId="32CF0E4E" w14:textId="569B527C" w:rsidR="006B087E" w:rsidRPr="002661A8" w:rsidRDefault="3FA542DF" w:rsidP="00ED5088">
      <w:pPr>
        <w:pStyle w:val="Heading1"/>
        <w:numPr>
          <w:ilvl w:val="0"/>
          <w:numId w:val="6"/>
        </w:numPr>
        <w:spacing w:before="0" w:after="120"/>
        <w:rPr>
          <w:noProof/>
        </w:rPr>
      </w:pPr>
      <w:bookmarkStart w:id="1476" w:name="_Toc103337543"/>
      <w:bookmarkStart w:id="1477" w:name="_Toc104310033"/>
      <w:bookmarkStart w:id="1478" w:name="_Toc105656473"/>
      <w:bookmarkStart w:id="1479" w:name="_Toc106827873"/>
      <w:bookmarkStart w:id="1480" w:name="_Toc106981747"/>
      <w:bookmarkStart w:id="1481" w:name="_Toc107493887"/>
      <w:bookmarkStart w:id="1482" w:name="_Toc107497923"/>
      <w:bookmarkStart w:id="1483" w:name="_Toc107503476"/>
      <w:bookmarkStart w:id="1484" w:name="_Toc107504624"/>
      <w:bookmarkStart w:id="1485" w:name="_Toc107505469"/>
      <w:bookmarkStart w:id="1486" w:name="_Toc107838945"/>
      <w:bookmarkStart w:id="1487" w:name="_Toc107847040"/>
      <w:bookmarkStart w:id="1488" w:name="_Toc107849277"/>
      <w:bookmarkStart w:id="1489" w:name="_Toc107853724"/>
      <w:bookmarkStart w:id="1490" w:name="_Toc108539841"/>
      <w:bookmarkStart w:id="1491" w:name="_Toc108539959"/>
      <w:bookmarkStart w:id="1492" w:name="_Toc109057416"/>
      <w:bookmarkStart w:id="1493" w:name="_Toc109120782"/>
      <w:bookmarkStart w:id="1494" w:name="_Toc109122417"/>
      <w:bookmarkStart w:id="1495" w:name="_Toc109133154"/>
      <w:bookmarkStart w:id="1496" w:name="_Toc120291688"/>
      <w:r w:rsidRPr="002661A8">
        <w:rPr>
          <w:noProof/>
        </w:rPr>
        <w:t>How will actual impacts be monitored and evaluated?</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456685A6" w14:textId="59C2919B" w:rsidR="003A303B" w:rsidRPr="002661A8" w:rsidRDefault="00B40B54" w:rsidP="008673B9">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The </w:t>
      </w:r>
      <w:r w:rsidR="00857156" w:rsidRPr="002661A8">
        <w:rPr>
          <w:rFonts w:ascii="Times New Roman" w:hAnsi="Times New Roman" w:cs="Times New Roman"/>
          <w:noProof/>
          <w:sz w:val="24"/>
          <w:szCs w:val="24"/>
        </w:rPr>
        <w:t>measures</w:t>
      </w:r>
      <w:r w:rsidRPr="002661A8">
        <w:rPr>
          <w:rFonts w:ascii="Times New Roman" w:hAnsi="Times New Roman" w:cs="Times New Roman"/>
          <w:noProof/>
          <w:sz w:val="24"/>
          <w:szCs w:val="24"/>
        </w:rPr>
        <w:t xml:space="preserve"> aim at improving the attractiveness of EU CCPs, incentivising business to </w:t>
      </w:r>
      <w:r w:rsidR="00C92942" w:rsidRPr="002661A8">
        <w:rPr>
          <w:rFonts w:ascii="Times New Roman" w:hAnsi="Times New Roman" w:cs="Times New Roman"/>
          <w:noProof/>
          <w:sz w:val="24"/>
          <w:szCs w:val="24"/>
        </w:rPr>
        <w:t>clear in</w:t>
      </w:r>
      <w:r w:rsidRPr="002661A8">
        <w:rPr>
          <w:rFonts w:ascii="Times New Roman" w:hAnsi="Times New Roman" w:cs="Times New Roman"/>
          <w:noProof/>
          <w:sz w:val="24"/>
          <w:szCs w:val="24"/>
        </w:rPr>
        <w:t xml:space="preserve"> the EU and enhancing the supervision of cross-border risks in the EU. </w:t>
      </w:r>
      <w:r w:rsidR="00857156" w:rsidRPr="002661A8">
        <w:rPr>
          <w:rFonts w:ascii="Times New Roman" w:hAnsi="Times New Roman" w:cs="Times New Roman"/>
          <w:noProof/>
          <w:sz w:val="24"/>
          <w:szCs w:val="24"/>
        </w:rPr>
        <w:t>As such</w:t>
      </w:r>
      <w:r w:rsidRPr="002661A8">
        <w:rPr>
          <w:rFonts w:ascii="Times New Roman" w:hAnsi="Times New Roman" w:cs="Times New Roman"/>
          <w:noProof/>
          <w:sz w:val="24"/>
          <w:szCs w:val="24"/>
        </w:rPr>
        <w:t xml:space="preserve">, </w:t>
      </w:r>
      <w:r w:rsidR="00644771" w:rsidRPr="002661A8">
        <w:rPr>
          <w:rFonts w:ascii="Times New Roman" w:hAnsi="Times New Roman" w:cs="Times New Roman"/>
          <w:noProof/>
          <w:sz w:val="24"/>
          <w:szCs w:val="24"/>
        </w:rPr>
        <w:t>several</w:t>
      </w:r>
      <w:r w:rsidRPr="002661A8">
        <w:rPr>
          <w:rFonts w:ascii="Times New Roman" w:hAnsi="Times New Roman" w:cs="Times New Roman"/>
          <w:noProof/>
          <w:sz w:val="24"/>
          <w:szCs w:val="24"/>
        </w:rPr>
        <w:t xml:space="preserve"> changes to EMIR are considered </w:t>
      </w:r>
      <w:r w:rsidR="00976E67" w:rsidRPr="002661A8">
        <w:rPr>
          <w:rFonts w:ascii="Times New Roman" w:hAnsi="Times New Roman" w:cs="Times New Roman"/>
          <w:noProof/>
          <w:sz w:val="24"/>
          <w:szCs w:val="24"/>
        </w:rPr>
        <w:t>and</w:t>
      </w:r>
      <w:r w:rsidRPr="002661A8">
        <w:rPr>
          <w:rFonts w:ascii="Times New Roman" w:hAnsi="Times New Roman" w:cs="Times New Roman"/>
          <w:noProof/>
          <w:sz w:val="24"/>
          <w:szCs w:val="24"/>
        </w:rPr>
        <w:t xml:space="preserve">, in some cases, amendments to other </w:t>
      </w:r>
      <w:r w:rsidR="00C92942" w:rsidRPr="002661A8">
        <w:rPr>
          <w:rFonts w:ascii="Times New Roman" w:hAnsi="Times New Roman" w:cs="Times New Roman"/>
          <w:noProof/>
          <w:sz w:val="24"/>
          <w:szCs w:val="24"/>
        </w:rPr>
        <w:t xml:space="preserve">pieces of </w:t>
      </w:r>
      <w:r w:rsidRPr="002661A8">
        <w:rPr>
          <w:rFonts w:ascii="Times New Roman" w:hAnsi="Times New Roman" w:cs="Times New Roman"/>
          <w:noProof/>
          <w:sz w:val="24"/>
          <w:szCs w:val="24"/>
        </w:rPr>
        <w:t>EU legislation</w:t>
      </w:r>
      <w:r w:rsidR="00976E67" w:rsidRPr="002661A8">
        <w:rPr>
          <w:rFonts w:ascii="Times New Roman" w:hAnsi="Times New Roman" w:cs="Times New Roman"/>
          <w:noProof/>
          <w:sz w:val="24"/>
          <w:szCs w:val="24"/>
        </w:rPr>
        <w:t xml:space="preserve">. </w:t>
      </w:r>
      <w:r w:rsidR="008673B9" w:rsidRPr="002661A8">
        <w:rPr>
          <w:rFonts w:ascii="Times New Roman" w:hAnsi="Times New Roman" w:cs="Times New Roman"/>
          <w:noProof/>
          <w:sz w:val="24"/>
          <w:szCs w:val="24"/>
        </w:rPr>
        <w:t>T</w:t>
      </w:r>
      <w:r w:rsidR="002D2C6A" w:rsidRPr="002661A8">
        <w:rPr>
          <w:rFonts w:ascii="Times New Roman" w:hAnsi="Times New Roman" w:cs="Times New Roman"/>
          <w:noProof/>
          <w:sz w:val="24"/>
          <w:szCs w:val="24"/>
        </w:rPr>
        <w:t>he proposal should ensur</w:t>
      </w:r>
      <w:r w:rsidR="00566827" w:rsidRPr="002661A8">
        <w:rPr>
          <w:rFonts w:ascii="Times New Roman" w:hAnsi="Times New Roman" w:cs="Times New Roman"/>
          <w:noProof/>
          <w:sz w:val="24"/>
          <w:szCs w:val="24"/>
        </w:rPr>
        <w:t>e</w:t>
      </w:r>
      <w:r w:rsidR="002D2C6A" w:rsidRPr="002661A8">
        <w:rPr>
          <w:rFonts w:ascii="Times New Roman" w:hAnsi="Times New Roman" w:cs="Times New Roman"/>
          <w:noProof/>
          <w:sz w:val="24"/>
          <w:szCs w:val="24"/>
        </w:rPr>
        <w:t xml:space="preserve"> that the relevant EU bodies </w:t>
      </w:r>
      <w:r w:rsidR="00AD673B" w:rsidRPr="002661A8">
        <w:rPr>
          <w:rFonts w:ascii="Times New Roman" w:hAnsi="Times New Roman" w:cs="Times New Roman"/>
          <w:noProof/>
          <w:sz w:val="24"/>
          <w:szCs w:val="24"/>
        </w:rPr>
        <w:t xml:space="preserve">can </w:t>
      </w:r>
      <w:r w:rsidR="002D2C6A" w:rsidRPr="002661A8">
        <w:rPr>
          <w:rFonts w:ascii="Times New Roman" w:hAnsi="Times New Roman" w:cs="Times New Roman"/>
          <w:noProof/>
          <w:sz w:val="24"/>
          <w:szCs w:val="24"/>
        </w:rPr>
        <w:t>access the relevant information</w:t>
      </w:r>
      <w:r w:rsidR="00566827" w:rsidRPr="002661A8">
        <w:rPr>
          <w:rFonts w:ascii="Times New Roman" w:hAnsi="Times New Roman" w:cs="Times New Roman"/>
          <w:noProof/>
          <w:sz w:val="24"/>
          <w:szCs w:val="24"/>
        </w:rPr>
        <w:t>, while not giving rise to undue cost</w:t>
      </w:r>
      <w:r w:rsidR="008673B9" w:rsidRPr="002661A8">
        <w:rPr>
          <w:rFonts w:ascii="Times New Roman" w:hAnsi="Times New Roman" w:cs="Times New Roman"/>
          <w:noProof/>
          <w:sz w:val="24"/>
          <w:szCs w:val="24"/>
        </w:rPr>
        <w:t>s</w:t>
      </w:r>
      <w:r w:rsidR="002D2C6A" w:rsidRPr="002661A8">
        <w:rPr>
          <w:rFonts w:ascii="Times New Roman" w:hAnsi="Times New Roman" w:cs="Times New Roman"/>
          <w:noProof/>
          <w:sz w:val="24"/>
          <w:szCs w:val="24"/>
        </w:rPr>
        <w:t xml:space="preserve">. </w:t>
      </w:r>
      <w:r w:rsidRPr="002661A8">
        <w:rPr>
          <w:rFonts w:ascii="Times New Roman" w:hAnsi="Times New Roman" w:cs="Times New Roman"/>
          <w:noProof/>
          <w:sz w:val="24"/>
          <w:szCs w:val="24"/>
        </w:rPr>
        <w:t xml:space="preserve">The </w:t>
      </w:r>
      <w:r w:rsidR="008673B9" w:rsidRPr="002661A8">
        <w:rPr>
          <w:rFonts w:ascii="Times New Roman" w:hAnsi="Times New Roman" w:cs="Times New Roman"/>
          <w:noProof/>
          <w:sz w:val="24"/>
          <w:szCs w:val="24"/>
        </w:rPr>
        <w:t>proposal</w:t>
      </w:r>
      <w:r w:rsidRPr="002661A8">
        <w:rPr>
          <w:rFonts w:ascii="Times New Roman" w:hAnsi="Times New Roman" w:cs="Times New Roman"/>
          <w:noProof/>
          <w:sz w:val="24"/>
          <w:szCs w:val="24"/>
        </w:rPr>
        <w:t xml:space="preserve"> should </w:t>
      </w:r>
      <w:r w:rsidR="008673B9" w:rsidRPr="002661A8">
        <w:rPr>
          <w:rFonts w:ascii="Times New Roman" w:hAnsi="Times New Roman" w:cs="Times New Roman"/>
          <w:noProof/>
          <w:sz w:val="24"/>
          <w:szCs w:val="24"/>
        </w:rPr>
        <w:t>also</w:t>
      </w:r>
      <w:r w:rsidRPr="002661A8">
        <w:rPr>
          <w:rFonts w:ascii="Times New Roman" w:hAnsi="Times New Roman" w:cs="Times New Roman"/>
          <w:noProof/>
          <w:sz w:val="24"/>
          <w:szCs w:val="24"/>
        </w:rPr>
        <w:t xml:space="preserve"> include a provision that an evaluation of </w:t>
      </w:r>
      <w:r w:rsidR="00C92942" w:rsidRPr="002661A8">
        <w:rPr>
          <w:rFonts w:ascii="Times New Roman" w:hAnsi="Times New Roman" w:cs="Times New Roman"/>
          <w:noProof/>
          <w:sz w:val="24"/>
          <w:szCs w:val="24"/>
        </w:rPr>
        <w:t>EMIR</w:t>
      </w:r>
      <w:r w:rsidRPr="002661A8">
        <w:rPr>
          <w:rFonts w:ascii="Times New Roman" w:hAnsi="Times New Roman" w:cs="Times New Roman"/>
          <w:noProof/>
          <w:sz w:val="24"/>
          <w:szCs w:val="24"/>
        </w:rPr>
        <w:t xml:space="preserve"> in its entirety should be carried out, with a focus on its effectiveness and efficiency in meeting its original </w:t>
      </w:r>
      <w:r w:rsidR="005176B8" w:rsidRPr="002661A8">
        <w:rPr>
          <w:rFonts w:ascii="Times New Roman" w:hAnsi="Times New Roman" w:cs="Times New Roman"/>
          <w:noProof/>
          <w:sz w:val="24"/>
          <w:szCs w:val="24"/>
        </w:rPr>
        <w:t xml:space="preserve">aims </w:t>
      </w:r>
      <w:r w:rsidRPr="002661A8">
        <w:rPr>
          <w:rFonts w:ascii="Times New Roman" w:hAnsi="Times New Roman" w:cs="Times New Roman"/>
          <w:noProof/>
          <w:sz w:val="24"/>
          <w:szCs w:val="24"/>
        </w:rPr>
        <w:t xml:space="preserve">(i.e. </w:t>
      </w:r>
      <w:r w:rsidR="00C92942" w:rsidRPr="002661A8">
        <w:rPr>
          <w:rFonts w:ascii="Times New Roman" w:hAnsi="Times New Roman" w:cs="Times New Roman"/>
          <w:noProof/>
          <w:sz w:val="24"/>
          <w:szCs w:val="24"/>
        </w:rPr>
        <w:t>improving</w:t>
      </w:r>
      <w:r w:rsidRPr="002661A8">
        <w:rPr>
          <w:rFonts w:ascii="Times New Roman" w:hAnsi="Times New Roman" w:cs="Times New Roman"/>
          <w:noProof/>
          <w:sz w:val="24"/>
          <w:szCs w:val="24"/>
        </w:rPr>
        <w:t xml:space="preserve"> the efficiency and safety of EU </w:t>
      </w:r>
      <w:r w:rsidR="00C92942" w:rsidRPr="002661A8">
        <w:rPr>
          <w:rFonts w:ascii="Times New Roman" w:hAnsi="Times New Roman" w:cs="Times New Roman"/>
          <w:noProof/>
          <w:sz w:val="24"/>
          <w:szCs w:val="24"/>
        </w:rPr>
        <w:t>clearing</w:t>
      </w:r>
      <w:r w:rsidRPr="002661A8">
        <w:rPr>
          <w:rFonts w:ascii="Times New Roman" w:hAnsi="Times New Roman" w:cs="Times New Roman"/>
          <w:noProof/>
          <w:sz w:val="24"/>
          <w:szCs w:val="24"/>
        </w:rPr>
        <w:t xml:space="preserve"> markets</w:t>
      </w:r>
      <w:r w:rsidR="00C92942" w:rsidRPr="002661A8">
        <w:rPr>
          <w:rFonts w:ascii="Times New Roman" w:hAnsi="Times New Roman" w:cs="Times New Roman"/>
          <w:noProof/>
          <w:sz w:val="24"/>
          <w:szCs w:val="24"/>
        </w:rPr>
        <w:t xml:space="preserve"> and preserving financial stability</w:t>
      </w:r>
      <w:r w:rsidRPr="002661A8">
        <w:rPr>
          <w:rFonts w:ascii="Times New Roman" w:hAnsi="Times New Roman" w:cs="Times New Roman"/>
          <w:noProof/>
          <w:sz w:val="24"/>
          <w:szCs w:val="24"/>
        </w:rPr>
        <w:t xml:space="preserve">). The evaluation should consider all aspects of </w:t>
      </w:r>
      <w:r w:rsidR="003A303B" w:rsidRPr="002661A8">
        <w:rPr>
          <w:rFonts w:ascii="Times New Roman" w:hAnsi="Times New Roman" w:cs="Times New Roman"/>
          <w:noProof/>
          <w:sz w:val="24"/>
          <w:szCs w:val="24"/>
        </w:rPr>
        <w:t>EMIR</w:t>
      </w:r>
      <w:r w:rsidRPr="002661A8">
        <w:rPr>
          <w:rFonts w:ascii="Times New Roman" w:hAnsi="Times New Roman" w:cs="Times New Roman"/>
          <w:noProof/>
          <w:sz w:val="24"/>
          <w:szCs w:val="24"/>
        </w:rPr>
        <w:t xml:space="preserve">, but </w:t>
      </w:r>
      <w:r w:rsidR="00AD673B" w:rsidRPr="002661A8">
        <w:rPr>
          <w:rFonts w:ascii="Times New Roman" w:hAnsi="Times New Roman" w:cs="Times New Roman"/>
          <w:noProof/>
          <w:sz w:val="24"/>
          <w:szCs w:val="24"/>
        </w:rPr>
        <w:t>especially</w:t>
      </w:r>
      <w:r w:rsidRPr="002661A8">
        <w:rPr>
          <w:rFonts w:ascii="Times New Roman" w:hAnsi="Times New Roman" w:cs="Times New Roman"/>
          <w:noProof/>
          <w:sz w:val="24"/>
          <w:szCs w:val="24"/>
        </w:rPr>
        <w:t xml:space="preserve"> elements in the table below to monitor and evaluate progress to meeting the specific objectives</w:t>
      </w:r>
      <w:r w:rsidR="003A303B" w:rsidRPr="002661A8">
        <w:rPr>
          <w:rFonts w:ascii="Times New Roman" w:hAnsi="Times New Roman" w:cs="Times New Roman"/>
          <w:noProof/>
          <w:sz w:val="24"/>
          <w:szCs w:val="24"/>
        </w:rPr>
        <w:t>.</w:t>
      </w:r>
      <w:r w:rsidR="00976E67" w:rsidRPr="002661A8">
        <w:rPr>
          <w:rFonts w:ascii="Times New Roman" w:hAnsi="Times New Roman" w:cs="Times New Roman"/>
          <w:noProof/>
          <w:sz w:val="24"/>
          <w:szCs w:val="24"/>
        </w:rPr>
        <w:t xml:space="preserve"> In principle, this evaluation should take place at least 5 years after application. The evaluation would seek to collect input from all relevant stakeholders, but particularly CCPs, clearing members and clients. Input would also be sought from ESMA as well as national authorities and central banks. Statistical data for the analysis would be sought primarily from ESMA and the ESRB.</w:t>
      </w:r>
    </w:p>
    <w:tbl>
      <w:tblPr>
        <w:tblStyle w:val="TableGrid"/>
        <w:tblW w:w="0" w:type="auto"/>
        <w:tblLook w:val="04A0" w:firstRow="1" w:lastRow="0" w:firstColumn="1" w:lastColumn="0" w:noHBand="0" w:noVBand="1"/>
      </w:tblPr>
      <w:tblGrid>
        <w:gridCol w:w="1217"/>
        <w:gridCol w:w="3569"/>
        <w:gridCol w:w="1299"/>
        <w:gridCol w:w="1242"/>
        <w:gridCol w:w="1231"/>
        <w:gridCol w:w="20"/>
      </w:tblGrid>
      <w:tr w:rsidR="003A303B" w:rsidRPr="002661A8" w14:paraId="16AAC925" w14:textId="77777777" w:rsidTr="00FA19F2">
        <w:trPr>
          <w:gridAfter w:val="1"/>
          <w:wAfter w:w="20" w:type="dxa"/>
        </w:trPr>
        <w:tc>
          <w:tcPr>
            <w:tcW w:w="1217" w:type="dxa"/>
          </w:tcPr>
          <w:p w14:paraId="59D5C4D5" w14:textId="09204116" w:rsidR="003A303B" w:rsidRPr="002661A8" w:rsidRDefault="003A303B" w:rsidP="00FA19F2">
            <w:pPr>
              <w:ind w:right="-88"/>
              <w:jc w:val="center"/>
              <w:rPr>
                <w:b/>
                <w:noProof/>
              </w:rPr>
            </w:pPr>
            <w:r w:rsidRPr="002661A8">
              <w:rPr>
                <w:b/>
                <w:noProof/>
              </w:rPr>
              <w:t>Specific objective to measure</w:t>
            </w:r>
          </w:p>
        </w:tc>
        <w:tc>
          <w:tcPr>
            <w:tcW w:w="3569" w:type="dxa"/>
          </w:tcPr>
          <w:p w14:paraId="78ED1490" w14:textId="792DBA5F" w:rsidR="003A303B" w:rsidRPr="002661A8" w:rsidRDefault="003A303B" w:rsidP="00FA19F2">
            <w:pPr>
              <w:ind w:left="-84" w:right="-73"/>
              <w:jc w:val="center"/>
              <w:rPr>
                <w:b/>
                <w:noProof/>
              </w:rPr>
            </w:pPr>
            <w:r w:rsidRPr="002661A8">
              <w:rPr>
                <w:b/>
                <w:noProof/>
              </w:rPr>
              <w:t>Monitoring indicators</w:t>
            </w:r>
          </w:p>
        </w:tc>
        <w:tc>
          <w:tcPr>
            <w:tcW w:w="1299" w:type="dxa"/>
          </w:tcPr>
          <w:p w14:paraId="3A3ADBD0" w14:textId="59D987B2" w:rsidR="003A303B" w:rsidRPr="002661A8" w:rsidRDefault="003A303B" w:rsidP="00BC222F">
            <w:pPr>
              <w:ind w:left="-46" w:right="-112"/>
              <w:jc w:val="center"/>
              <w:rPr>
                <w:b/>
                <w:noProof/>
              </w:rPr>
            </w:pPr>
            <w:r w:rsidRPr="002661A8">
              <w:rPr>
                <w:b/>
                <w:noProof/>
              </w:rPr>
              <w:t>When will monitoring start?</w:t>
            </w:r>
          </w:p>
        </w:tc>
        <w:tc>
          <w:tcPr>
            <w:tcW w:w="1242" w:type="dxa"/>
          </w:tcPr>
          <w:p w14:paraId="7F0F8C02" w14:textId="36C6790F" w:rsidR="003A303B" w:rsidRPr="002661A8" w:rsidRDefault="003A303B" w:rsidP="00FA19F2">
            <w:pPr>
              <w:ind w:right="-122"/>
              <w:jc w:val="center"/>
              <w:rPr>
                <w:b/>
                <w:noProof/>
              </w:rPr>
            </w:pPr>
            <w:r w:rsidRPr="002661A8">
              <w:rPr>
                <w:b/>
                <w:noProof/>
              </w:rPr>
              <w:t>By whom?</w:t>
            </w:r>
          </w:p>
        </w:tc>
        <w:tc>
          <w:tcPr>
            <w:tcW w:w="1231" w:type="dxa"/>
          </w:tcPr>
          <w:p w14:paraId="127B1394" w14:textId="761471B4" w:rsidR="003A303B" w:rsidRPr="002661A8" w:rsidRDefault="003A303B" w:rsidP="00FA19F2">
            <w:pPr>
              <w:ind w:left="-96" w:right="-46"/>
              <w:jc w:val="center"/>
              <w:rPr>
                <w:b/>
                <w:noProof/>
              </w:rPr>
            </w:pPr>
            <w:r w:rsidRPr="002661A8">
              <w:rPr>
                <w:b/>
                <w:noProof/>
              </w:rPr>
              <w:t>Source of information</w:t>
            </w:r>
          </w:p>
        </w:tc>
      </w:tr>
      <w:tr w:rsidR="003A303B" w:rsidRPr="002661A8" w14:paraId="5A61F827" w14:textId="77777777" w:rsidTr="00FA19F2">
        <w:trPr>
          <w:gridAfter w:val="1"/>
          <w:wAfter w:w="20" w:type="dxa"/>
        </w:trPr>
        <w:tc>
          <w:tcPr>
            <w:tcW w:w="1217" w:type="dxa"/>
            <w:vMerge w:val="restart"/>
          </w:tcPr>
          <w:p w14:paraId="30F342A5" w14:textId="31B7C1C9" w:rsidR="003A303B" w:rsidRPr="002661A8" w:rsidRDefault="003A303B" w:rsidP="00FA19F2">
            <w:pPr>
              <w:ind w:right="-88"/>
              <w:rPr>
                <w:noProof/>
              </w:rPr>
            </w:pPr>
            <w:r w:rsidRPr="002661A8">
              <w:rPr>
                <w:noProof/>
              </w:rPr>
              <w:t>Improve attractiveness of EU CCPs</w:t>
            </w:r>
          </w:p>
        </w:tc>
        <w:tc>
          <w:tcPr>
            <w:tcW w:w="3569" w:type="dxa"/>
          </w:tcPr>
          <w:p w14:paraId="7F50823D" w14:textId="2528D47A" w:rsidR="003A303B" w:rsidRPr="002661A8" w:rsidRDefault="009A4CA2" w:rsidP="00FA19F2">
            <w:pPr>
              <w:ind w:left="-84" w:right="-73"/>
              <w:jc w:val="center"/>
              <w:rPr>
                <w:noProof/>
              </w:rPr>
            </w:pPr>
            <w:r w:rsidRPr="002661A8">
              <w:rPr>
                <w:noProof/>
              </w:rPr>
              <w:t xml:space="preserve">% of contracts cleared by EU </w:t>
            </w:r>
            <w:r w:rsidR="00BF745F" w:rsidRPr="002661A8">
              <w:rPr>
                <w:noProof/>
              </w:rPr>
              <w:t>clearing participants</w:t>
            </w:r>
            <w:r w:rsidRPr="002661A8">
              <w:rPr>
                <w:noProof/>
              </w:rPr>
              <w:t xml:space="preserve"> in EU and third</w:t>
            </w:r>
            <w:r w:rsidR="00C244B7" w:rsidRPr="002661A8">
              <w:rPr>
                <w:noProof/>
              </w:rPr>
              <w:t>-</w:t>
            </w:r>
            <w:r w:rsidRPr="002661A8">
              <w:rPr>
                <w:noProof/>
              </w:rPr>
              <w:t>country CCPs</w:t>
            </w:r>
          </w:p>
        </w:tc>
        <w:tc>
          <w:tcPr>
            <w:tcW w:w="1299" w:type="dxa"/>
          </w:tcPr>
          <w:p w14:paraId="4EA1573E" w14:textId="56574FCE" w:rsidR="003A303B" w:rsidRPr="002661A8" w:rsidRDefault="009A4CA2" w:rsidP="00FA19F2">
            <w:pPr>
              <w:ind w:left="-46" w:right="-112"/>
              <w:jc w:val="center"/>
              <w:rPr>
                <w:noProof/>
              </w:rPr>
            </w:pPr>
            <w:r w:rsidRPr="002661A8">
              <w:rPr>
                <w:noProof/>
              </w:rPr>
              <w:t>1 year after application.</w:t>
            </w:r>
          </w:p>
        </w:tc>
        <w:tc>
          <w:tcPr>
            <w:tcW w:w="1242" w:type="dxa"/>
          </w:tcPr>
          <w:p w14:paraId="1E9CD3BF" w14:textId="2A6C2470" w:rsidR="003A303B" w:rsidRPr="002661A8" w:rsidRDefault="009A4CA2" w:rsidP="00FA19F2">
            <w:pPr>
              <w:ind w:right="-122"/>
              <w:rPr>
                <w:noProof/>
              </w:rPr>
            </w:pPr>
            <w:r w:rsidRPr="002661A8">
              <w:rPr>
                <w:noProof/>
              </w:rPr>
              <w:t>ESMA with ESRB, EBA</w:t>
            </w:r>
            <w:r w:rsidR="00CB15DE" w:rsidRPr="002661A8">
              <w:rPr>
                <w:noProof/>
              </w:rPr>
              <w:t>,</w:t>
            </w:r>
            <w:r w:rsidRPr="002661A8">
              <w:rPr>
                <w:noProof/>
              </w:rPr>
              <w:t xml:space="preserve"> SSM</w:t>
            </w:r>
          </w:p>
        </w:tc>
        <w:tc>
          <w:tcPr>
            <w:tcW w:w="1231" w:type="dxa"/>
          </w:tcPr>
          <w:p w14:paraId="01740149" w14:textId="2B211C07" w:rsidR="003A303B" w:rsidRPr="002661A8" w:rsidRDefault="009A4CA2" w:rsidP="00FA19F2">
            <w:pPr>
              <w:ind w:left="-96" w:right="-46"/>
              <w:rPr>
                <w:noProof/>
              </w:rPr>
            </w:pPr>
            <w:r w:rsidRPr="002661A8">
              <w:rPr>
                <w:noProof/>
              </w:rPr>
              <w:t>ESMA, ESRB, EBA, SSM.</w:t>
            </w:r>
          </w:p>
        </w:tc>
      </w:tr>
      <w:tr w:rsidR="008B77F2" w:rsidRPr="002661A8" w14:paraId="28810BBD" w14:textId="77777777" w:rsidTr="00FA19F2">
        <w:trPr>
          <w:gridAfter w:val="1"/>
          <w:wAfter w:w="20" w:type="dxa"/>
        </w:trPr>
        <w:tc>
          <w:tcPr>
            <w:tcW w:w="1217" w:type="dxa"/>
            <w:vMerge/>
          </w:tcPr>
          <w:p w14:paraId="00F6DD6C" w14:textId="77777777" w:rsidR="009A4CA2" w:rsidRPr="002661A8" w:rsidRDefault="009A4CA2" w:rsidP="00FA19F2">
            <w:pPr>
              <w:ind w:right="-88"/>
              <w:rPr>
                <w:noProof/>
              </w:rPr>
            </w:pPr>
          </w:p>
        </w:tc>
        <w:tc>
          <w:tcPr>
            <w:tcW w:w="3569" w:type="dxa"/>
          </w:tcPr>
          <w:p w14:paraId="1999202D" w14:textId="2A8D8591" w:rsidR="009A4CA2" w:rsidRPr="002661A8" w:rsidRDefault="009A4CA2" w:rsidP="00FA19F2">
            <w:pPr>
              <w:ind w:left="-84" w:right="-73"/>
              <w:jc w:val="center"/>
              <w:rPr>
                <w:noProof/>
              </w:rPr>
            </w:pPr>
            <w:r w:rsidRPr="002661A8">
              <w:rPr>
                <w:noProof/>
              </w:rPr>
              <w:t>No</w:t>
            </w:r>
            <w:r w:rsidR="00BF745F" w:rsidRPr="002661A8">
              <w:rPr>
                <w:noProof/>
              </w:rPr>
              <w:t>.</w:t>
            </w:r>
            <w:r w:rsidRPr="002661A8">
              <w:rPr>
                <w:noProof/>
              </w:rPr>
              <w:t xml:space="preserve"> of new EU CCP products approved</w:t>
            </w:r>
          </w:p>
        </w:tc>
        <w:tc>
          <w:tcPr>
            <w:tcW w:w="1299" w:type="dxa"/>
          </w:tcPr>
          <w:p w14:paraId="22741635" w14:textId="05FD39F4" w:rsidR="009A4CA2" w:rsidRPr="002661A8" w:rsidRDefault="009A4CA2" w:rsidP="00FA19F2">
            <w:pPr>
              <w:ind w:left="-46" w:right="-112"/>
              <w:jc w:val="center"/>
              <w:rPr>
                <w:noProof/>
              </w:rPr>
            </w:pPr>
            <w:r w:rsidRPr="002661A8">
              <w:rPr>
                <w:noProof/>
              </w:rPr>
              <w:t>1 year after entry into force</w:t>
            </w:r>
          </w:p>
        </w:tc>
        <w:tc>
          <w:tcPr>
            <w:tcW w:w="1242" w:type="dxa"/>
          </w:tcPr>
          <w:p w14:paraId="5A84AEC1" w14:textId="7952DC71" w:rsidR="009A4CA2" w:rsidRPr="002661A8" w:rsidRDefault="009A4CA2" w:rsidP="00FA19F2">
            <w:pPr>
              <w:ind w:right="-122"/>
              <w:rPr>
                <w:noProof/>
              </w:rPr>
            </w:pPr>
            <w:r w:rsidRPr="002661A8">
              <w:rPr>
                <w:noProof/>
              </w:rPr>
              <w:t>ESMA</w:t>
            </w:r>
          </w:p>
        </w:tc>
        <w:tc>
          <w:tcPr>
            <w:tcW w:w="1231" w:type="dxa"/>
          </w:tcPr>
          <w:p w14:paraId="2F310CDA" w14:textId="2B186B50" w:rsidR="009A4CA2" w:rsidRPr="002661A8" w:rsidRDefault="009A4CA2" w:rsidP="00FA19F2">
            <w:pPr>
              <w:ind w:left="-96" w:right="-46"/>
              <w:rPr>
                <w:noProof/>
              </w:rPr>
            </w:pPr>
            <w:r w:rsidRPr="002661A8">
              <w:rPr>
                <w:noProof/>
              </w:rPr>
              <w:t>ESMA</w:t>
            </w:r>
          </w:p>
        </w:tc>
      </w:tr>
      <w:tr w:rsidR="008B77F2" w:rsidRPr="002661A8" w14:paraId="49DA7917" w14:textId="77777777" w:rsidTr="00FA19F2">
        <w:trPr>
          <w:gridAfter w:val="1"/>
          <w:wAfter w:w="20" w:type="dxa"/>
        </w:trPr>
        <w:tc>
          <w:tcPr>
            <w:tcW w:w="1217" w:type="dxa"/>
            <w:vMerge/>
          </w:tcPr>
          <w:p w14:paraId="272A6E1D" w14:textId="77777777" w:rsidR="009A4CA2" w:rsidRPr="002661A8" w:rsidRDefault="009A4CA2" w:rsidP="00FA19F2">
            <w:pPr>
              <w:ind w:right="-88"/>
              <w:rPr>
                <w:noProof/>
              </w:rPr>
            </w:pPr>
          </w:p>
        </w:tc>
        <w:tc>
          <w:tcPr>
            <w:tcW w:w="3569" w:type="dxa"/>
          </w:tcPr>
          <w:p w14:paraId="21CF0CF4" w14:textId="07449AE3" w:rsidR="009A4CA2" w:rsidRPr="002661A8" w:rsidRDefault="009A4CA2" w:rsidP="00FA19F2">
            <w:pPr>
              <w:ind w:left="-84" w:right="-73"/>
              <w:jc w:val="center"/>
              <w:rPr>
                <w:noProof/>
              </w:rPr>
            </w:pPr>
            <w:r w:rsidRPr="002661A8">
              <w:rPr>
                <w:noProof/>
              </w:rPr>
              <w:t>Time taken on average to approve new CCP products</w:t>
            </w:r>
            <w:r w:rsidR="002A6698" w:rsidRPr="002661A8">
              <w:rPr>
                <w:noProof/>
              </w:rPr>
              <w:t xml:space="preserve"> and validate model changes</w:t>
            </w:r>
          </w:p>
        </w:tc>
        <w:tc>
          <w:tcPr>
            <w:tcW w:w="1299" w:type="dxa"/>
          </w:tcPr>
          <w:p w14:paraId="1F30ABE2" w14:textId="45C9F8F0" w:rsidR="009A4CA2" w:rsidRPr="002661A8" w:rsidRDefault="009A4CA2" w:rsidP="00FA19F2">
            <w:pPr>
              <w:ind w:left="-46" w:right="-112"/>
              <w:jc w:val="center"/>
              <w:rPr>
                <w:noProof/>
              </w:rPr>
            </w:pPr>
            <w:r w:rsidRPr="002661A8">
              <w:rPr>
                <w:noProof/>
              </w:rPr>
              <w:t>1 year after entry into force</w:t>
            </w:r>
          </w:p>
        </w:tc>
        <w:tc>
          <w:tcPr>
            <w:tcW w:w="1242" w:type="dxa"/>
          </w:tcPr>
          <w:p w14:paraId="293EBC45" w14:textId="705FDB3D" w:rsidR="009A4CA2" w:rsidRPr="002661A8" w:rsidRDefault="009A4CA2" w:rsidP="00FA19F2">
            <w:pPr>
              <w:ind w:right="-122"/>
              <w:rPr>
                <w:noProof/>
              </w:rPr>
            </w:pPr>
            <w:r w:rsidRPr="002661A8">
              <w:rPr>
                <w:noProof/>
              </w:rPr>
              <w:t>ESMA</w:t>
            </w:r>
          </w:p>
        </w:tc>
        <w:tc>
          <w:tcPr>
            <w:tcW w:w="1231" w:type="dxa"/>
          </w:tcPr>
          <w:p w14:paraId="66C95B43" w14:textId="286A9B03" w:rsidR="009A4CA2" w:rsidRPr="002661A8" w:rsidRDefault="009A4CA2" w:rsidP="00FA19F2">
            <w:pPr>
              <w:ind w:left="-96" w:right="-46"/>
              <w:rPr>
                <w:noProof/>
              </w:rPr>
            </w:pPr>
            <w:r w:rsidRPr="002661A8">
              <w:rPr>
                <w:noProof/>
              </w:rPr>
              <w:t>ESMA</w:t>
            </w:r>
          </w:p>
        </w:tc>
      </w:tr>
      <w:tr w:rsidR="003A303B" w:rsidRPr="002661A8" w14:paraId="1345361F" w14:textId="77777777" w:rsidTr="00FA19F2">
        <w:trPr>
          <w:gridAfter w:val="1"/>
          <w:wAfter w:w="20" w:type="dxa"/>
        </w:trPr>
        <w:tc>
          <w:tcPr>
            <w:tcW w:w="1217" w:type="dxa"/>
            <w:vMerge w:val="restart"/>
          </w:tcPr>
          <w:p w14:paraId="7B79D791" w14:textId="16ECDEC2" w:rsidR="003A303B" w:rsidRPr="002661A8" w:rsidRDefault="003A303B" w:rsidP="00FA19F2">
            <w:pPr>
              <w:ind w:right="-88"/>
              <w:rPr>
                <w:noProof/>
              </w:rPr>
            </w:pPr>
            <w:r w:rsidRPr="002661A8">
              <w:rPr>
                <w:noProof/>
              </w:rPr>
              <w:t>Incentivise clearing in the EU</w:t>
            </w:r>
          </w:p>
        </w:tc>
        <w:tc>
          <w:tcPr>
            <w:tcW w:w="3569" w:type="dxa"/>
          </w:tcPr>
          <w:p w14:paraId="0C4FD475" w14:textId="1BD1E3F5" w:rsidR="003A303B" w:rsidRPr="002661A8" w:rsidRDefault="009A4CA2" w:rsidP="00FA19F2">
            <w:pPr>
              <w:ind w:left="-84" w:right="-73"/>
              <w:jc w:val="center"/>
              <w:rPr>
                <w:noProof/>
              </w:rPr>
            </w:pPr>
            <w:r w:rsidRPr="002661A8">
              <w:rPr>
                <w:noProof/>
              </w:rPr>
              <w:t>Transactions cleared in EU CCPs in different currencies (absolute value and compared to global markets)</w:t>
            </w:r>
          </w:p>
        </w:tc>
        <w:tc>
          <w:tcPr>
            <w:tcW w:w="1299" w:type="dxa"/>
          </w:tcPr>
          <w:p w14:paraId="6D964CDD" w14:textId="644988B0" w:rsidR="003A303B" w:rsidRPr="002661A8" w:rsidRDefault="009A4CA2" w:rsidP="00FA19F2">
            <w:pPr>
              <w:ind w:left="-46" w:right="-112"/>
              <w:jc w:val="center"/>
              <w:rPr>
                <w:noProof/>
              </w:rPr>
            </w:pPr>
            <w:r w:rsidRPr="002661A8">
              <w:rPr>
                <w:noProof/>
              </w:rPr>
              <w:t>1 year after application.</w:t>
            </w:r>
          </w:p>
        </w:tc>
        <w:tc>
          <w:tcPr>
            <w:tcW w:w="1242" w:type="dxa"/>
          </w:tcPr>
          <w:p w14:paraId="3A0FBB9D" w14:textId="5A2E4494" w:rsidR="003A303B" w:rsidRPr="002661A8" w:rsidRDefault="009A4CA2" w:rsidP="00FA19F2">
            <w:pPr>
              <w:ind w:right="-122"/>
              <w:rPr>
                <w:noProof/>
              </w:rPr>
            </w:pPr>
            <w:r w:rsidRPr="002661A8">
              <w:rPr>
                <w:noProof/>
              </w:rPr>
              <w:t>ESMA with the ESRB, EBA</w:t>
            </w:r>
            <w:r w:rsidR="001A6579" w:rsidRPr="002661A8">
              <w:rPr>
                <w:noProof/>
              </w:rPr>
              <w:t>,</w:t>
            </w:r>
            <w:r w:rsidRPr="002661A8">
              <w:rPr>
                <w:noProof/>
              </w:rPr>
              <w:t xml:space="preserve"> SSM</w:t>
            </w:r>
          </w:p>
        </w:tc>
        <w:tc>
          <w:tcPr>
            <w:tcW w:w="1231" w:type="dxa"/>
          </w:tcPr>
          <w:p w14:paraId="089D3D4C" w14:textId="21A91A29" w:rsidR="003A303B" w:rsidRPr="002661A8" w:rsidRDefault="009A4CA2" w:rsidP="00FA19F2">
            <w:pPr>
              <w:ind w:left="-96" w:right="-46"/>
              <w:rPr>
                <w:noProof/>
              </w:rPr>
            </w:pPr>
            <w:r w:rsidRPr="002661A8">
              <w:rPr>
                <w:noProof/>
              </w:rPr>
              <w:t>ESMA, ESRB, EBA, SSM.</w:t>
            </w:r>
          </w:p>
        </w:tc>
      </w:tr>
      <w:tr w:rsidR="008B77F2" w:rsidRPr="002661A8" w14:paraId="3DAF585F" w14:textId="77777777" w:rsidTr="00FA19F2">
        <w:trPr>
          <w:gridAfter w:val="1"/>
          <w:wAfter w:w="20" w:type="dxa"/>
        </w:trPr>
        <w:tc>
          <w:tcPr>
            <w:tcW w:w="1217" w:type="dxa"/>
            <w:vMerge/>
          </w:tcPr>
          <w:p w14:paraId="414B19B9" w14:textId="77777777" w:rsidR="009A4CA2" w:rsidRPr="002661A8" w:rsidRDefault="009A4CA2" w:rsidP="00FA19F2">
            <w:pPr>
              <w:ind w:right="-88"/>
              <w:rPr>
                <w:noProof/>
              </w:rPr>
            </w:pPr>
          </w:p>
        </w:tc>
        <w:tc>
          <w:tcPr>
            <w:tcW w:w="3569" w:type="dxa"/>
          </w:tcPr>
          <w:p w14:paraId="7926B1C9" w14:textId="22DCB021" w:rsidR="009A4CA2" w:rsidRPr="002661A8" w:rsidRDefault="009A4CA2" w:rsidP="00FA19F2">
            <w:pPr>
              <w:ind w:left="-84" w:right="-73"/>
              <w:jc w:val="center"/>
              <w:rPr>
                <w:noProof/>
              </w:rPr>
            </w:pPr>
            <w:r w:rsidRPr="002661A8">
              <w:rPr>
                <w:noProof/>
                <w:lang w:eastAsia="it-IT"/>
              </w:rPr>
              <w:t>Volume of contracts cleared outside EU CCPs by EU actors or for EU-currency denominated contracts</w:t>
            </w:r>
          </w:p>
        </w:tc>
        <w:tc>
          <w:tcPr>
            <w:tcW w:w="1299" w:type="dxa"/>
          </w:tcPr>
          <w:p w14:paraId="5C7F5538" w14:textId="1CE44F5A" w:rsidR="009A4CA2" w:rsidRPr="002661A8" w:rsidRDefault="009A4CA2" w:rsidP="00FA19F2">
            <w:pPr>
              <w:ind w:left="-46" w:right="-112"/>
              <w:jc w:val="center"/>
              <w:rPr>
                <w:noProof/>
              </w:rPr>
            </w:pPr>
            <w:r w:rsidRPr="002661A8">
              <w:rPr>
                <w:noProof/>
              </w:rPr>
              <w:t>1 year after application.</w:t>
            </w:r>
          </w:p>
        </w:tc>
        <w:tc>
          <w:tcPr>
            <w:tcW w:w="1242" w:type="dxa"/>
          </w:tcPr>
          <w:p w14:paraId="1BF52016" w14:textId="5F269BAF" w:rsidR="009A4CA2" w:rsidRPr="002661A8" w:rsidRDefault="009A4CA2" w:rsidP="00FA19F2">
            <w:pPr>
              <w:ind w:right="-122"/>
              <w:rPr>
                <w:noProof/>
              </w:rPr>
            </w:pPr>
            <w:r w:rsidRPr="002661A8">
              <w:rPr>
                <w:noProof/>
              </w:rPr>
              <w:t>ESMA with the ESRB, EBA</w:t>
            </w:r>
            <w:r w:rsidR="001A6579" w:rsidRPr="002661A8">
              <w:rPr>
                <w:noProof/>
              </w:rPr>
              <w:t>,</w:t>
            </w:r>
            <w:r w:rsidRPr="002661A8">
              <w:rPr>
                <w:noProof/>
              </w:rPr>
              <w:t xml:space="preserve"> SSM</w:t>
            </w:r>
          </w:p>
        </w:tc>
        <w:tc>
          <w:tcPr>
            <w:tcW w:w="1231" w:type="dxa"/>
          </w:tcPr>
          <w:p w14:paraId="25DC9E32" w14:textId="09B2C4F8" w:rsidR="009A4CA2" w:rsidRPr="002661A8" w:rsidRDefault="009A4CA2" w:rsidP="00FA19F2">
            <w:pPr>
              <w:ind w:left="-96" w:right="-46"/>
              <w:rPr>
                <w:noProof/>
              </w:rPr>
            </w:pPr>
            <w:r w:rsidRPr="002661A8">
              <w:rPr>
                <w:noProof/>
              </w:rPr>
              <w:t>ESMA, ESRB, EBA, SSM.</w:t>
            </w:r>
          </w:p>
        </w:tc>
      </w:tr>
      <w:tr w:rsidR="003A303B" w:rsidRPr="002661A8" w14:paraId="33541598" w14:textId="77777777" w:rsidTr="00FA19F2">
        <w:tc>
          <w:tcPr>
            <w:tcW w:w="1217" w:type="dxa"/>
            <w:vMerge w:val="restart"/>
          </w:tcPr>
          <w:p w14:paraId="613A0EDD" w14:textId="2667B1FE" w:rsidR="003A303B" w:rsidRPr="002661A8" w:rsidRDefault="008A60F0" w:rsidP="00FA19F2">
            <w:pPr>
              <w:ind w:right="-88"/>
              <w:rPr>
                <w:noProof/>
              </w:rPr>
            </w:pPr>
            <w:r w:rsidRPr="002661A8">
              <w:rPr>
                <w:noProof/>
              </w:rPr>
              <w:t>Enhance the assessment and management of cross-border risks</w:t>
            </w:r>
          </w:p>
        </w:tc>
        <w:tc>
          <w:tcPr>
            <w:tcW w:w="3569" w:type="dxa"/>
          </w:tcPr>
          <w:p w14:paraId="0B5918B1" w14:textId="294FE654" w:rsidR="003A303B" w:rsidRPr="002661A8" w:rsidRDefault="008F5710" w:rsidP="00FA19F2">
            <w:pPr>
              <w:ind w:left="-84" w:right="-73"/>
              <w:jc w:val="center"/>
              <w:rPr>
                <w:noProof/>
              </w:rPr>
            </w:pPr>
            <w:r w:rsidRPr="002661A8">
              <w:rPr>
                <w:noProof/>
              </w:rPr>
              <w:t xml:space="preserve">No. </w:t>
            </w:r>
            <w:r w:rsidR="00930546" w:rsidRPr="002661A8">
              <w:rPr>
                <w:noProof/>
              </w:rPr>
              <w:t>of opinions issued by ESMA per year</w:t>
            </w:r>
            <w:r w:rsidR="002A6698" w:rsidRPr="002661A8">
              <w:rPr>
                <w:noProof/>
              </w:rPr>
              <w:t xml:space="preserve"> and cases where </w:t>
            </w:r>
            <w:r w:rsidR="00746C05" w:rsidRPr="002661A8">
              <w:rPr>
                <w:noProof/>
              </w:rPr>
              <w:t>NCAs</w:t>
            </w:r>
            <w:r w:rsidR="002A6698" w:rsidRPr="002661A8">
              <w:rPr>
                <w:noProof/>
              </w:rPr>
              <w:t xml:space="preserve"> deviate from ESMA opinions</w:t>
            </w:r>
          </w:p>
        </w:tc>
        <w:tc>
          <w:tcPr>
            <w:tcW w:w="1299" w:type="dxa"/>
          </w:tcPr>
          <w:p w14:paraId="7415010F" w14:textId="6EC5F9A2" w:rsidR="003A303B" w:rsidRPr="002661A8" w:rsidRDefault="00930546" w:rsidP="00FA19F2">
            <w:pPr>
              <w:ind w:left="-46" w:right="-112"/>
              <w:jc w:val="center"/>
              <w:rPr>
                <w:noProof/>
              </w:rPr>
            </w:pPr>
            <w:r w:rsidRPr="002661A8">
              <w:rPr>
                <w:noProof/>
              </w:rPr>
              <w:t>1 year after application</w:t>
            </w:r>
          </w:p>
        </w:tc>
        <w:tc>
          <w:tcPr>
            <w:tcW w:w="1242" w:type="dxa"/>
          </w:tcPr>
          <w:p w14:paraId="64D69695" w14:textId="4D7728D5" w:rsidR="003A303B" w:rsidRPr="002661A8" w:rsidRDefault="00930546" w:rsidP="00FA19F2">
            <w:pPr>
              <w:ind w:right="-122"/>
              <w:rPr>
                <w:noProof/>
              </w:rPr>
            </w:pPr>
            <w:r w:rsidRPr="002661A8">
              <w:rPr>
                <w:noProof/>
              </w:rPr>
              <w:t>ESMA</w:t>
            </w:r>
          </w:p>
        </w:tc>
        <w:tc>
          <w:tcPr>
            <w:tcW w:w="1251" w:type="dxa"/>
            <w:gridSpan w:val="2"/>
          </w:tcPr>
          <w:p w14:paraId="175BAEF8" w14:textId="68E6C676" w:rsidR="003A303B" w:rsidRPr="002661A8" w:rsidRDefault="00CB15DE" w:rsidP="00FA19F2">
            <w:pPr>
              <w:ind w:left="-96" w:right="-46"/>
              <w:rPr>
                <w:noProof/>
              </w:rPr>
            </w:pPr>
            <w:r w:rsidRPr="002661A8">
              <w:rPr>
                <w:noProof/>
              </w:rPr>
              <w:t>ESMA</w:t>
            </w:r>
          </w:p>
        </w:tc>
      </w:tr>
      <w:tr w:rsidR="00930546" w:rsidRPr="002661A8" w14:paraId="4FEEF133" w14:textId="77777777" w:rsidTr="00FA19F2">
        <w:tc>
          <w:tcPr>
            <w:tcW w:w="1217" w:type="dxa"/>
            <w:vMerge/>
          </w:tcPr>
          <w:p w14:paraId="4086D017" w14:textId="2DDCA347" w:rsidR="00930546" w:rsidRPr="002661A8" w:rsidRDefault="00930546" w:rsidP="00FA19F2">
            <w:pPr>
              <w:ind w:right="-88"/>
              <w:rPr>
                <w:noProof/>
              </w:rPr>
            </w:pPr>
          </w:p>
        </w:tc>
        <w:tc>
          <w:tcPr>
            <w:tcW w:w="3569" w:type="dxa"/>
          </w:tcPr>
          <w:p w14:paraId="0EE9E989" w14:textId="7943FF8D" w:rsidR="00930546" w:rsidRPr="002661A8" w:rsidRDefault="00930546" w:rsidP="00FA19F2">
            <w:pPr>
              <w:ind w:left="-84" w:right="-73"/>
              <w:jc w:val="center"/>
              <w:rPr>
                <w:noProof/>
              </w:rPr>
            </w:pPr>
            <w:r w:rsidRPr="002661A8">
              <w:rPr>
                <w:noProof/>
              </w:rPr>
              <w:t>N</w:t>
            </w:r>
            <w:r w:rsidR="008F5710" w:rsidRPr="002661A8">
              <w:rPr>
                <w:noProof/>
              </w:rPr>
              <w:t>o.</w:t>
            </w:r>
            <w:r w:rsidRPr="002661A8">
              <w:rPr>
                <w:noProof/>
              </w:rPr>
              <w:t xml:space="preserve"> of </w:t>
            </w:r>
            <w:r w:rsidR="00A54CAC" w:rsidRPr="002661A8">
              <w:rPr>
                <w:noProof/>
              </w:rPr>
              <w:t>joint supervisory teams established and tasks performed</w:t>
            </w:r>
          </w:p>
        </w:tc>
        <w:tc>
          <w:tcPr>
            <w:tcW w:w="1299" w:type="dxa"/>
          </w:tcPr>
          <w:p w14:paraId="3EB0E4D1" w14:textId="7CC3863D" w:rsidR="00930546" w:rsidRPr="002661A8" w:rsidRDefault="00A54CAC" w:rsidP="00FA19F2">
            <w:pPr>
              <w:ind w:left="-46" w:right="-112"/>
              <w:jc w:val="center"/>
              <w:rPr>
                <w:noProof/>
              </w:rPr>
            </w:pPr>
            <w:r w:rsidRPr="002661A8">
              <w:rPr>
                <w:noProof/>
              </w:rPr>
              <w:t>1 year after application</w:t>
            </w:r>
          </w:p>
        </w:tc>
        <w:tc>
          <w:tcPr>
            <w:tcW w:w="1242" w:type="dxa"/>
          </w:tcPr>
          <w:p w14:paraId="2346FAAC" w14:textId="672F621D" w:rsidR="00930546" w:rsidRPr="002661A8" w:rsidRDefault="00A54CAC" w:rsidP="00FA19F2">
            <w:pPr>
              <w:ind w:right="-122"/>
              <w:rPr>
                <w:noProof/>
              </w:rPr>
            </w:pPr>
            <w:r w:rsidRPr="002661A8">
              <w:rPr>
                <w:noProof/>
              </w:rPr>
              <w:t>ESMA, with</w:t>
            </w:r>
            <w:r w:rsidR="002A6698" w:rsidRPr="002661A8">
              <w:rPr>
                <w:noProof/>
              </w:rPr>
              <w:t xml:space="preserve"> </w:t>
            </w:r>
            <w:r w:rsidR="00CB15DE" w:rsidRPr="002661A8">
              <w:rPr>
                <w:noProof/>
              </w:rPr>
              <w:t>NCAs</w:t>
            </w:r>
            <w:r w:rsidRPr="002661A8">
              <w:rPr>
                <w:noProof/>
              </w:rPr>
              <w:t xml:space="preserve"> </w:t>
            </w:r>
          </w:p>
        </w:tc>
        <w:tc>
          <w:tcPr>
            <w:tcW w:w="1251" w:type="dxa"/>
            <w:gridSpan w:val="2"/>
          </w:tcPr>
          <w:p w14:paraId="750B5CAB" w14:textId="1583C230" w:rsidR="00930546" w:rsidRPr="002661A8" w:rsidRDefault="00CB15DE" w:rsidP="00FA19F2">
            <w:pPr>
              <w:ind w:left="-96" w:right="-46"/>
              <w:rPr>
                <w:noProof/>
              </w:rPr>
            </w:pPr>
            <w:r w:rsidRPr="002661A8">
              <w:rPr>
                <w:noProof/>
              </w:rPr>
              <w:t>ESMA, NCAs</w:t>
            </w:r>
          </w:p>
        </w:tc>
      </w:tr>
      <w:tr w:rsidR="002A6698" w:rsidRPr="002661A8" w14:paraId="2C272384" w14:textId="77777777" w:rsidTr="00FA19F2">
        <w:tc>
          <w:tcPr>
            <w:tcW w:w="1217" w:type="dxa"/>
            <w:vMerge/>
          </w:tcPr>
          <w:p w14:paraId="6F29A993" w14:textId="77777777" w:rsidR="002A6698" w:rsidRPr="002661A8" w:rsidRDefault="002A6698" w:rsidP="00FA19F2">
            <w:pPr>
              <w:ind w:right="-88"/>
              <w:rPr>
                <w:noProof/>
              </w:rPr>
            </w:pPr>
          </w:p>
        </w:tc>
        <w:tc>
          <w:tcPr>
            <w:tcW w:w="3569" w:type="dxa"/>
          </w:tcPr>
          <w:p w14:paraId="2C5B6FD4" w14:textId="40AFB8A9" w:rsidR="002A6698" w:rsidRPr="002661A8" w:rsidRDefault="002A6698" w:rsidP="00FA19F2">
            <w:pPr>
              <w:ind w:left="-84" w:right="-73"/>
              <w:jc w:val="center"/>
              <w:rPr>
                <w:noProof/>
              </w:rPr>
            </w:pPr>
            <w:r w:rsidRPr="002661A8">
              <w:rPr>
                <w:noProof/>
              </w:rPr>
              <w:t>N</w:t>
            </w:r>
            <w:r w:rsidR="008F5710" w:rsidRPr="002661A8">
              <w:rPr>
                <w:noProof/>
              </w:rPr>
              <w:t>o.</w:t>
            </w:r>
            <w:r w:rsidRPr="002661A8">
              <w:rPr>
                <w:noProof/>
              </w:rPr>
              <w:t xml:space="preserve"> of times ESMA coordinated information requests or asked information directly from CCPs in emergency situations</w:t>
            </w:r>
          </w:p>
        </w:tc>
        <w:tc>
          <w:tcPr>
            <w:tcW w:w="1299" w:type="dxa"/>
          </w:tcPr>
          <w:p w14:paraId="4ADDE292" w14:textId="111A1CCA" w:rsidR="002A6698" w:rsidRPr="002661A8" w:rsidRDefault="002A6698" w:rsidP="00FA19F2">
            <w:pPr>
              <w:ind w:left="-46" w:right="-112"/>
              <w:jc w:val="center"/>
              <w:rPr>
                <w:noProof/>
              </w:rPr>
            </w:pPr>
            <w:r w:rsidRPr="002661A8">
              <w:rPr>
                <w:noProof/>
              </w:rPr>
              <w:t>3 years after application</w:t>
            </w:r>
          </w:p>
        </w:tc>
        <w:tc>
          <w:tcPr>
            <w:tcW w:w="1242" w:type="dxa"/>
          </w:tcPr>
          <w:p w14:paraId="3D49CA9D" w14:textId="3EDA73C5" w:rsidR="002A6698" w:rsidRPr="002661A8" w:rsidRDefault="002A6698" w:rsidP="00FA19F2">
            <w:pPr>
              <w:ind w:right="-122"/>
              <w:rPr>
                <w:noProof/>
              </w:rPr>
            </w:pPr>
            <w:r w:rsidRPr="002661A8">
              <w:rPr>
                <w:noProof/>
              </w:rPr>
              <w:t>ESMA</w:t>
            </w:r>
          </w:p>
        </w:tc>
        <w:tc>
          <w:tcPr>
            <w:tcW w:w="1251" w:type="dxa"/>
            <w:gridSpan w:val="2"/>
          </w:tcPr>
          <w:p w14:paraId="52EEBF20" w14:textId="5E877551" w:rsidR="002A6698" w:rsidRPr="002661A8" w:rsidRDefault="00CB15DE" w:rsidP="00FA19F2">
            <w:pPr>
              <w:ind w:left="-96" w:right="-46"/>
              <w:rPr>
                <w:noProof/>
              </w:rPr>
            </w:pPr>
            <w:r w:rsidRPr="002661A8">
              <w:rPr>
                <w:noProof/>
              </w:rPr>
              <w:t>ESMA</w:t>
            </w:r>
          </w:p>
        </w:tc>
      </w:tr>
    </w:tbl>
    <w:p w14:paraId="4C64A079" w14:textId="77777777" w:rsidR="006B087E" w:rsidRPr="002661A8" w:rsidRDefault="006B087E" w:rsidP="006B087E">
      <w:pPr>
        <w:rPr>
          <w:rFonts w:ascii="Times New Roman" w:hAnsi="Times New Roman" w:cs="Times New Roman"/>
          <w:noProof/>
          <w:sz w:val="24"/>
          <w:szCs w:val="24"/>
        </w:rPr>
      </w:pPr>
      <w:r w:rsidRPr="002661A8">
        <w:rPr>
          <w:rFonts w:ascii="Times New Roman" w:hAnsi="Times New Roman" w:cs="Times New Roman"/>
          <w:noProof/>
          <w:sz w:val="24"/>
          <w:szCs w:val="24"/>
        </w:rPr>
        <w:br w:type="page"/>
      </w:r>
    </w:p>
    <w:p w14:paraId="4B6D2F80" w14:textId="77777777" w:rsidR="006B087E" w:rsidRPr="002661A8" w:rsidRDefault="3FA542DF" w:rsidP="002661A8">
      <w:pPr>
        <w:pStyle w:val="Heading1"/>
        <w:jc w:val="center"/>
        <w:rPr>
          <w:noProof/>
          <w:szCs w:val="24"/>
        </w:rPr>
      </w:pPr>
      <w:bookmarkStart w:id="1497" w:name="_Toc103337544"/>
      <w:bookmarkStart w:id="1498" w:name="_Toc106981748"/>
      <w:bookmarkStart w:id="1499" w:name="_Toc107493888"/>
      <w:bookmarkStart w:id="1500" w:name="_Toc107497924"/>
      <w:bookmarkStart w:id="1501" w:name="_Toc107503477"/>
      <w:bookmarkStart w:id="1502" w:name="_Toc107505470"/>
      <w:bookmarkStart w:id="1503" w:name="_Toc107838946"/>
      <w:bookmarkStart w:id="1504" w:name="_Toc107849278"/>
      <w:bookmarkStart w:id="1505" w:name="_Toc108539842"/>
      <w:bookmarkStart w:id="1506" w:name="_Toc109057417"/>
      <w:bookmarkStart w:id="1507" w:name="_Toc109120783"/>
      <w:bookmarkStart w:id="1508" w:name="_Toc109122418"/>
      <w:bookmarkStart w:id="1509" w:name="_Toc109133155"/>
      <w:bookmarkStart w:id="1510" w:name="_Toc120291689"/>
      <w:r w:rsidRPr="002661A8">
        <w:rPr>
          <w:noProof/>
        </w:rPr>
        <w:t>Annex 1: Procedural information</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14:paraId="1F8FC54B" w14:textId="45BB98B8" w:rsidR="006B087E" w:rsidRPr="002661A8" w:rsidRDefault="000C0D7C" w:rsidP="000C0D7C">
      <w:pPr>
        <w:rPr>
          <w:rFonts w:ascii="Times New Roman" w:hAnsi="Times New Roman" w:cs="Times New Roman"/>
          <w:b/>
          <w:noProof/>
          <w:sz w:val="24"/>
          <w:szCs w:val="24"/>
        </w:rPr>
      </w:pPr>
      <w:bookmarkStart w:id="1511" w:name="_Toc471997754"/>
      <w:bookmarkStart w:id="1512" w:name="_Toc103337545"/>
      <w:bookmarkStart w:id="1513" w:name="_Toc104310034"/>
      <w:bookmarkStart w:id="1514" w:name="_Toc105656474"/>
      <w:bookmarkStart w:id="1515" w:name="_Toc106827874"/>
      <w:bookmarkStart w:id="1516" w:name="_Toc106981749"/>
      <w:bookmarkStart w:id="1517" w:name="_Toc107493889"/>
      <w:bookmarkStart w:id="1518" w:name="_Toc107497925"/>
      <w:bookmarkStart w:id="1519" w:name="_Toc107503478"/>
      <w:bookmarkStart w:id="1520" w:name="_Toc107504625"/>
      <w:bookmarkStart w:id="1521" w:name="_Toc107505471"/>
      <w:bookmarkStart w:id="1522" w:name="_Toc107838947"/>
      <w:bookmarkStart w:id="1523" w:name="_Toc107847041"/>
      <w:bookmarkStart w:id="1524" w:name="_Toc107849279"/>
      <w:bookmarkStart w:id="1525" w:name="_Toc107853725"/>
      <w:bookmarkStart w:id="1526" w:name="_Toc107865320"/>
      <w:bookmarkStart w:id="1527" w:name="_Toc108418529"/>
      <w:bookmarkStart w:id="1528" w:name="_Toc108539621"/>
      <w:bookmarkStart w:id="1529" w:name="_Toc108539843"/>
      <w:bookmarkStart w:id="1530" w:name="_Toc108539960"/>
      <w:bookmarkStart w:id="1531" w:name="_Toc108540040"/>
      <w:bookmarkStart w:id="1532" w:name="_Toc109057418"/>
      <w:bookmarkStart w:id="1533" w:name="_Toc109120784"/>
      <w:r w:rsidRPr="002661A8">
        <w:rPr>
          <w:rFonts w:ascii="Times New Roman" w:hAnsi="Times New Roman" w:cs="Times New Roman"/>
          <w:b/>
          <w:noProof/>
          <w:sz w:val="24"/>
          <w:szCs w:val="24"/>
        </w:rPr>
        <w:t>1.</w:t>
      </w:r>
      <w:r w:rsidRPr="002661A8">
        <w:rPr>
          <w:noProof/>
        </w:rPr>
        <w:t xml:space="preserve"> </w:t>
      </w:r>
      <w:r w:rsidR="3FA542DF" w:rsidRPr="002661A8">
        <w:rPr>
          <w:rFonts w:ascii="Times New Roman" w:hAnsi="Times New Roman" w:cs="Times New Roman"/>
          <w:b/>
          <w:noProof/>
          <w:sz w:val="24"/>
          <w:szCs w:val="24"/>
        </w:rPr>
        <w:t>Lead DG, Decide Planning/CWP references</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4A4A669F" w14:textId="77777777" w:rsidR="00D50569" w:rsidRPr="002661A8" w:rsidRDefault="00D50569" w:rsidP="00A61E96">
      <w:pPr>
        <w:spacing w:after="120" w:line="240" w:lineRule="auto"/>
        <w:rPr>
          <w:rFonts w:ascii="Times New Roman" w:hAnsi="Times New Roman" w:cs="Times New Roman"/>
          <w:noProof/>
          <w:sz w:val="24"/>
          <w:szCs w:val="24"/>
        </w:rPr>
      </w:pPr>
      <w:r w:rsidRPr="002661A8">
        <w:rPr>
          <w:rFonts w:ascii="Times New Roman" w:hAnsi="Times New Roman" w:cs="Times New Roman"/>
          <w:noProof/>
          <w:sz w:val="24"/>
          <w:szCs w:val="24"/>
        </w:rPr>
        <w:t xml:space="preserve">Lead Directorate-General: Directorate-General for Financial Stability, Financial Services and Capital Markets Union. </w:t>
      </w:r>
    </w:p>
    <w:p w14:paraId="4BCA4615" w14:textId="6B1CF1C4" w:rsidR="00D50569" w:rsidRPr="002661A8" w:rsidRDefault="00D50569" w:rsidP="00A61E96">
      <w:pPr>
        <w:spacing w:after="120" w:line="240" w:lineRule="auto"/>
        <w:rPr>
          <w:rFonts w:ascii="Times New Roman" w:hAnsi="Times New Roman" w:cs="Times New Roman"/>
          <w:noProof/>
          <w:sz w:val="24"/>
          <w:szCs w:val="24"/>
        </w:rPr>
      </w:pPr>
      <w:r w:rsidRPr="002661A8">
        <w:rPr>
          <w:rFonts w:ascii="Times New Roman" w:hAnsi="Times New Roman" w:cs="Times New Roman"/>
          <w:noProof/>
          <w:sz w:val="24"/>
          <w:szCs w:val="24"/>
        </w:rPr>
        <w:t>Decide Planning Reference: PLAN/2022/</w:t>
      </w:r>
      <w:r w:rsidR="00263E2F" w:rsidRPr="002661A8">
        <w:rPr>
          <w:rFonts w:ascii="Times New Roman" w:hAnsi="Times New Roman" w:cs="Times New Roman"/>
          <w:noProof/>
          <w:sz w:val="24"/>
          <w:szCs w:val="24"/>
        </w:rPr>
        <w:t>6.</w:t>
      </w:r>
      <w:r w:rsidRPr="002661A8">
        <w:rPr>
          <w:rFonts w:ascii="Times New Roman" w:hAnsi="Times New Roman" w:cs="Times New Roman"/>
          <w:noProof/>
          <w:sz w:val="24"/>
          <w:szCs w:val="24"/>
        </w:rPr>
        <w:t xml:space="preserve"> </w:t>
      </w:r>
    </w:p>
    <w:p w14:paraId="69908BE9" w14:textId="35044E79" w:rsidR="006B087E" w:rsidRPr="002661A8" w:rsidRDefault="00D50569" w:rsidP="000C0D7C">
      <w:pPr>
        <w:spacing w:after="240" w:line="240" w:lineRule="auto"/>
        <w:rPr>
          <w:rFonts w:ascii="Times New Roman" w:hAnsi="Times New Roman" w:cs="Times New Roman"/>
          <w:noProof/>
          <w:sz w:val="24"/>
          <w:szCs w:val="24"/>
        </w:rPr>
      </w:pPr>
      <w:r w:rsidRPr="002661A8">
        <w:rPr>
          <w:rFonts w:ascii="Times New Roman" w:hAnsi="Times New Roman" w:cs="Times New Roman"/>
          <w:noProof/>
          <w:sz w:val="24"/>
          <w:szCs w:val="24"/>
        </w:rPr>
        <w:t>CWP references: N/A</w:t>
      </w:r>
    </w:p>
    <w:p w14:paraId="6954564A" w14:textId="4592B97A" w:rsidR="006B087E" w:rsidRPr="002661A8" w:rsidRDefault="000C0D7C" w:rsidP="000C0D7C">
      <w:pPr>
        <w:rPr>
          <w:rFonts w:ascii="Times New Roman" w:hAnsi="Times New Roman" w:cs="Times New Roman"/>
          <w:b/>
          <w:noProof/>
          <w:sz w:val="24"/>
          <w:szCs w:val="24"/>
        </w:rPr>
      </w:pPr>
      <w:bookmarkStart w:id="1534" w:name="_Toc471997755"/>
      <w:bookmarkStart w:id="1535" w:name="_Toc103337546"/>
      <w:bookmarkStart w:id="1536" w:name="_Toc104310035"/>
      <w:bookmarkStart w:id="1537" w:name="_Toc105656475"/>
      <w:bookmarkStart w:id="1538" w:name="_Toc106827875"/>
      <w:bookmarkStart w:id="1539" w:name="_Toc106981750"/>
      <w:bookmarkStart w:id="1540" w:name="_Toc107493890"/>
      <w:bookmarkStart w:id="1541" w:name="_Toc107497926"/>
      <w:bookmarkStart w:id="1542" w:name="_Toc107503479"/>
      <w:bookmarkStart w:id="1543" w:name="_Toc107504626"/>
      <w:bookmarkStart w:id="1544" w:name="_Toc107505472"/>
      <w:bookmarkStart w:id="1545" w:name="_Toc107838948"/>
      <w:bookmarkStart w:id="1546" w:name="_Toc107847042"/>
      <w:bookmarkStart w:id="1547" w:name="_Toc107849280"/>
      <w:bookmarkStart w:id="1548" w:name="_Toc107853726"/>
      <w:bookmarkStart w:id="1549" w:name="_Toc107865321"/>
      <w:bookmarkStart w:id="1550" w:name="_Toc108418530"/>
      <w:bookmarkStart w:id="1551" w:name="_Toc108539622"/>
      <w:bookmarkStart w:id="1552" w:name="_Toc108539844"/>
      <w:bookmarkStart w:id="1553" w:name="_Toc108539961"/>
      <w:bookmarkStart w:id="1554" w:name="_Toc108540041"/>
      <w:bookmarkStart w:id="1555" w:name="_Toc109057419"/>
      <w:bookmarkStart w:id="1556" w:name="_Toc109120785"/>
      <w:r w:rsidRPr="002661A8">
        <w:rPr>
          <w:rFonts w:ascii="Times New Roman" w:hAnsi="Times New Roman" w:cs="Times New Roman"/>
          <w:b/>
          <w:noProof/>
          <w:sz w:val="24"/>
          <w:szCs w:val="24"/>
        </w:rPr>
        <w:t xml:space="preserve">2. </w:t>
      </w:r>
      <w:r w:rsidR="3FA542DF" w:rsidRPr="002661A8">
        <w:rPr>
          <w:rFonts w:ascii="Times New Roman" w:hAnsi="Times New Roman" w:cs="Times New Roman"/>
          <w:b/>
          <w:noProof/>
          <w:sz w:val="24"/>
          <w:szCs w:val="24"/>
        </w:rPr>
        <w:t>Organisation and timing</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14:paraId="4C8FDC95" w14:textId="187CB476" w:rsidR="00124648" w:rsidRPr="002661A8" w:rsidRDefault="00124648" w:rsidP="00A61E96">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Organisation and timing of Inter Service Steering Group’s meetings: the Inter Service Steering Group included representatives of the </w:t>
      </w:r>
      <w:r w:rsidR="00A41955" w:rsidRPr="002661A8">
        <w:rPr>
          <w:rFonts w:ascii="Times New Roman" w:hAnsi="Times New Roman" w:cs="Times New Roman"/>
          <w:noProof/>
          <w:sz w:val="24"/>
          <w:szCs w:val="24"/>
        </w:rPr>
        <w:t xml:space="preserve">following </w:t>
      </w:r>
      <w:r w:rsidRPr="002661A8">
        <w:rPr>
          <w:rFonts w:ascii="Times New Roman" w:hAnsi="Times New Roman" w:cs="Times New Roman"/>
          <w:noProof/>
          <w:sz w:val="24"/>
          <w:szCs w:val="24"/>
        </w:rPr>
        <w:t>Directorates General</w:t>
      </w:r>
      <w:r w:rsidR="00A41955" w:rsidRPr="002661A8">
        <w:rPr>
          <w:rFonts w:ascii="Times New Roman" w:hAnsi="Times New Roman" w:cs="Times New Roman"/>
          <w:noProof/>
          <w:sz w:val="24"/>
          <w:szCs w:val="24"/>
        </w:rPr>
        <w:t>: Budget (BUDG),</w:t>
      </w:r>
      <w:r w:rsidRPr="002661A8">
        <w:rPr>
          <w:rFonts w:ascii="Times New Roman" w:hAnsi="Times New Roman" w:cs="Times New Roman"/>
          <w:noProof/>
          <w:sz w:val="24"/>
          <w:szCs w:val="24"/>
        </w:rPr>
        <w:t xml:space="preserve"> Competition (COMP), Economic and Financial Affairs (ECFIN), Internal Market, Industry, Entrepreneurship and SMEs (GROW), Justice and Consumers (JUST), Trade (TRADE), the Legal Service (LS) and the Secretariat General (SG). </w:t>
      </w:r>
    </w:p>
    <w:p w14:paraId="460E262E" w14:textId="06598128" w:rsidR="00124648" w:rsidRPr="002661A8" w:rsidRDefault="00124648" w:rsidP="00ED5088">
      <w:pPr>
        <w:pStyle w:val="ListParagraph"/>
        <w:numPr>
          <w:ilvl w:val="0"/>
          <w:numId w:val="7"/>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1</w:t>
      </w:r>
      <w:r w:rsidRPr="002661A8">
        <w:rPr>
          <w:rFonts w:ascii="Times New Roman" w:hAnsi="Times New Roman" w:cs="Times New Roman"/>
          <w:noProof/>
          <w:sz w:val="24"/>
          <w:szCs w:val="24"/>
          <w:vertAlign w:val="superscript"/>
        </w:rPr>
        <w:t>st</w:t>
      </w:r>
      <w:r w:rsidRPr="002661A8">
        <w:rPr>
          <w:rFonts w:ascii="Times New Roman" w:hAnsi="Times New Roman" w:cs="Times New Roman"/>
          <w:noProof/>
          <w:sz w:val="24"/>
          <w:szCs w:val="24"/>
        </w:rPr>
        <w:t xml:space="preserve"> Meeting on </w:t>
      </w:r>
      <w:r w:rsidR="00C42FB7" w:rsidRPr="002661A8">
        <w:rPr>
          <w:rFonts w:ascii="Times New Roman" w:hAnsi="Times New Roman" w:cs="Times New Roman"/>
          <w:noProof/>
          <w:sz w:val="24"/>
          <w:szCs w:val="24"/>
        </w:rPr>
        <w:t xml:space="preserve">25 January </w:t>
      </w:r>
      <w:r w:rsidRPr="002661A8">
        <w:rPr>
          <w:rFonts w:ascii="Times New Roman" w:hAnsi="Times New Roman" w:cs="Times New Roman"/>
          <w:noProof/>
          <w:sz w:val="24"/>
          <w:szCs w:val="24"/>
        </w:rPr>
        <w:t xml:space="preserve">2022; </w:t>
      </w:r>
    </w:p>
    <w:p w14:paraId="27DB9BB0" w14:textId="70666EDE" w:rsidR="00124648" w:rsidRPr="002661A8" w:rsidRDefault="00124648" w:rsidP="00ED5088">
      <w:pPr>
        <w:pStyle w:val="ListParagraph"/>
        <w:numPr>
          <w:ilvl w:val="0"/>
          <w:numId w:val="7"/>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2</w:t>
      </w:r>
      <w:r w:rsidRPr="002661A8">
        <w:rPr>
          <w:rFonts w:ascii="Times New Roman" w:hAnsi="Times New Roman" w:cs="Times New Roman"/>
          <w:noProof/>
          <w:sz w:val="24"/>
          <w:szCs w:val="24"/>
          <w:vertAlign w:val="superscript"/>
        </w:rPr>
        <w:t>nd</w:t>
      </w:r>
      <w:r w:rsidRPr="002661A8">
        <w:rPr>
          <w:rFonts w:ascii="Times New Roman" w:hAnsi="Times New Roman" w:cs="Times New Roman"/>
          <w:noProof/>
          <w:sz w:val="24"/>
          <w:szCs w:val="24"/>
        </w:rPr>
        <w:t xml:space="preserve"> meeting on </w:t>
      </w:r>
      <w:r w:rsidR="00A41955" w:rsidRPr="002661A8">
        <w:rPr>
          <w:rFonts w:ascii="Times New Roman" w:hAnsi="Times New Roman" w:cs="Times New Roman"/>
          <w:noProof/>
          <w:sz w:val="24"/>
          <w:szCs w:val="24"/>
        </w:rPr>
        <w:t xml:space="preserve">31 March </w:t>
      </w:r>
      <w:r w:rsidRPr="002661A8">
        <w:rPr>
          <w:rFonts w:ascii="Times New Roman" w:hAnsi="Times New Roman" w:cs="Times New Roman"/>
          <w:noProof/>
          <w:sz w:val="24"/>
          <w:szCs w:val="24"/>
        </w:rPr>
        <w:t xml:space="preserve">2022; </w:t>
      </w:r>
    </w:p>
    <w:p w14:paraId="2EF074C6" w14:textId="0D48F407" w:rsidR="00124648" w:rsidRPr="002661A8" w:rsidRDefault="00124648" w:rsidP="00ED5088">
      <w:pPr>
        <w:pStyle w:val="ListParagraph"/>
        <w:numPr>
          <w:ilvl w:val="0"/>
          <w:numId w:val="7"/>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3rd meeting on </w:t>
      </w:r>
      <w:r w:rsidR="00A41955" w:rsidRPr="002661A8">
        <w:rPr>
          <w:rFonts w:ascii="Times New Roman" w:hAnsi="Times New Roman" w:cs="Times New Roman"/>
          <w:noProof/>
          <w:sz w:val="24"/>
          <w:szCs w:val="24"/>
        </w:rPr>
        <w:t xml:space="preserve">29 June </w:t>
      </w:r>
      <w:r w:rsidRPr="002661A8">
        <w:rPr>
          <w:rFonts w:ascii="Times New Roman" w:hAnsi="Times New Roman" w:cs="Times New Roman"/>
          <w:noProof/>
          <w:sz w:val="24"/>
          <w:szCs w:val="24"/>
        </w:rPr>
        <w:t xml:space="preserve">2022; </w:t>
      </w:r>
    </w:p>
    <w:p w14:paraId="59BC8E7E" w14:textId="5FA0F057" w:rsidR="00124648" w:rsidRPr="002661A8" w:rsidRDefault="00124648" w:rsidP="000C0D7C">
      <w:pPr>
        <w:pStyle w:val="ListParagraph"/>
        <w:numPr>
          <w:ilvl w:val="0"/>
          <w:numId w:val="7"/>
        </w:numPr>
        <w:spacing w:after="240" w:line="240" w:lineRule="auto"/>
        <w:ind w:left="357" w:hanging="357"/>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Written consultation (</w:t>
      </w:r>
      <w:r w:rsidR="00F35714" w:rsidRPr="002661A8">
        <w:rPr>
          <w:rFonts w:ascii="Times New Roman" w:hAnsi="Times New Roman" w:cs="Times New Roman"/>
          <w:noProof/>
          <w:sz w:val="24"/>
          <w:szCs w:val="24"/>
        </w:rPr>
        <w:t>11 July – 13 July 2022</w:t>
      </w:r>
      <w:r w:rsidRPr="002661A8">
        <w:rPr>
          <w:rFonts w:ascii="Times New Roman" w:hAnsi="Times New Roman" w:cs="Times New Roman"/>
          <w:noProof/>
          <w:sz w:val="24"/>
          <w:szCs w:val="24"/>
        </w:rPr>
        <w:t xml:space="preserve">). </w:t>
      </w:r>
    </w:p>
    <w:p w14:paraId="235DE7CB" w14:textId="47BB60CA" w:rsidR="006B087E" w:rsidRPr="002661A8" w:rsidRDefault="000C0D7C" w:rsidP="000C0D7C">
      <w:pPr>
        <w:rPr>
          <w:rFonts w:ascii="Times New Roman" w:hAnsi="Times New Roman" w:cs="Times New Roman"/>
          <w:b/>
          <w:noProof/>
          <w:sz w:val="24"/>
          <w:szCs w:val="24"/>
        </w:rPr>
      </w:pPr>
      <w:bookmarkStart w:id="1557" w:name="_Toc471997757"/>
      <w:bookmarkStart w:id="1558" w:name="_Toc103337547"/>
      <w:bookmarkStart w:id="1559" w:name="_Toc104310036"/>
      <w:bookmarkStart w:id="1560" w:name="_Toc105656476"/>
      <w:bookmarkStart w:id="1561" w:name="_Toc106827876"/>
      <w:bookmarkStart w:id="1562" w:name="_Toc106981751"/>
      <w:bookmarkStart w:id="1563" w:name="_Toc107493891"/>
      <w:bookmarkStart w:id="1564" w:name="_Toc107497927"/>
      <w:bookmarkStart w:id="1565" w:name="_Toc107503480"/>
      <w:bookmarkStart w:id="1566" w:name="_Toc107504627"/>
      <w:bookmarkStart w:id="1567" w:name="_Toc107505473"/>
      <w:bookmarkStart w:id="1568" w:name="_Toc107838949"/>
      <w:bookmarkStart w:id="1569" w:name="_Toc107847043"/>
      <w:bookmarkStart w:id="1570" w:name="_Toc107849281"/>
      <w:bookmarkStart w:id="1571" w:name="_Toc107853727"/>
      <w:bookmarkStart w:id="1572" w:name="_Toc107865322"/>
      <w:bookmarkStart w:id="1573" w:name="_Toc108418531"/>
      <w:bookmarkStart w:id="1574" w:name="_Toc108539623"/>
      <w:bookmarkStart w:id="1575" w:name="_Toc108539845"/>
      <w:bookmarkStart w:id="1576" w:name="_Toc108539962"/>
      <w:bookmarkStart w:id="1577" w:name="_Toc108540042"/>
      <w:bookmarkStart w:id="1578" w:name="_Toc109057420"/>
      <w:bookmarkStart w:id="1579" w:name="_Toc109120786"/>
      <w:r w:rsidRPr="002661A8">
        <w:rPr>
          <w:rFonts w:ascii="Times New Roman" w:hAnsi="Times New Roman" w:cs="Times New Roman"/>
          <w:b/>
          <w:noProof/>
          <w:sz w:val="24"/>
          <w:szCs w:val="24"/>
        </w:rPr>
        <w:t xml:space="preserve">3. </w:t>
      </w:r>
      <w:r w:rsidR="3FA542DF" w:rsidRPr="002661A8">
        <w:rPr>
          <w:rFonts w:ascii="Times New Roman" w:hAnsi="Times New Roman" w:cs="Times New Roman"/>
          <w:b/>
          <w:noProof/>
          <w:sz w:val="24"/>
          <w:szCs w:val="24"/>
        </w:rPr>
        <w:t>Consultation of the RSB</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p>
    <w:p w14:paraId="79212BAF" w14:textId="77777777" w:rsidR="000E2F08" w:rsidRPr="000E2F08" w:rsidRDefault="000E2F08" w:rsidP="000E2F08">
      <w:pPr>
        <w:spacing w:after="240" w:line="240" w:lineRule="auto"/>
        <w:jc w:val="both"/>
        <w:rPr>
          <w:rFonts w:ascii="Times New Roman" w:hAnsi="Times New Roman" w:cs="Times New Roman"/>
          <w:noProof/>
          <w:sz w:val="24"/>
          <w:szCs w:val="24"/>
        </w:rPr>
      </w:pPr>
      <w:r w:rsidRPr="000E2F08">
        <w:rPr>
          <w:rFonts w:ascii="Times New Roman" w:hAnsi="Times New Roman" w:cs="Times New Roman"/>
          <w:noProof/>
          <w:sz w:val="24"/>
          <w:szCs w:val="24"/>
        </w:rPr>
        <w:t>The Impact Assessment received a positive opinion (with comments) by the Regulatory Scrutiny Board on 14 September 2022 which made the following main recommendations for improvements:</w:t>
      </w:r>
    </w:p>
    <w:p w14:paraId="0895C96C" w14:textId="39C792C9" w:rsidR="000E2F08" w:rsidRPr="000E2F08" w:rsidRDefault="000E2F08" w:rsidP="009A36A7">
      <w:pPr>
        <w:pStyle w:val="ListParagraph"/>
        <w:numPr>
          <w:ilvl w:val="0"/>
          <w:numId w:val="7"/>
        </w:numPr>
        <w:spacing w:after="120" w:line="240" w:lineRule="auto"/>
        <w:contextualSpacing w:val="0"/>
        <w:jc w:val="both"/>
        <w:rPr>
          <w:rFonts w:ascii="Times New Roman" w:hAnsi="Times New Roman" w:cs="Times New Roman"/>
          <w:noProof/>
          <w:sz w:val="24"/>
          <w:szCs w:val="24"/>
        </w:rPr>
      </w:pPr>
      <w:r w:rsidRPr="000E2F08">
        <w:rPr>
          <w:rFonts w:ascii="Times New Roman" w:hAnsi="Times New Roman" w:cs="Times New Roman"/>
          <w:noProof/>
          <w:sz w:val="24"/>
          <w:szCs w:val="24"/>
        </w:rPr>
        <w:t>Explain what success would look like and how it will be effectively monitored</w:t>
      </w:r>
      <w:r w:rsidR="006909FA">
        <w:rPr>
          <w:rFonts w:ascii="Times New Roman" w:hAnsi="Times New Roman" w:cs="Times New Roman"/>
          <w:noProof/>
          <w:sz w:val="24"/>
          <w:szCs w:val="24"/>
        </w:rPr>
        <w:t>;</w:t>
      </w:r>
      <w:r w:rsidRPr="000E2F08">
        <w:rPr>
          <w:rFonts w:ascii="Times New Roman" w:hAnsi="Times New Roman" w:cs="Times New Roman"/>
          <w:noProof/>
          <w:sz w:val="24"/>
          <w:szCs w:val="24"/>
        </w:rPr>
        <w:t xml:space="preserve"> </w:t>
      </w:r>
    </w:p>
    <w:p w14:paraId="755CD6A0" w14:textId="385706AE" w:rsidR="000E2F08" w:rsidRPr="000E2F08" w:rsidRDefault="000E2F08" w:rsidP="009A36A7">
      <w:pPr>
        <w:pStyle w:val="ListParagraph"/>
        <w:numPr>
          <w:ilvl w:val="0"/>
          <w:numId w:val="7"/>
        </w:numPr>
        <w:spacing w:after="120" w:line="240" w:lineRule="auto"/>
        <w:contextualSpacing w:val="0"/>
        <w:jc w:val="both"/>
        <w:rPr>
          <w:rFonts w:ascii="Times New Roman" w:hAnsi="Times New Roman" w:cs="Times New Roman"/>
          <w:noProof/>
          <w:sz w:val="24"/>
          <w:szCs w:val="24"/>
        </w:rPr>
      </w:pPr>
      <w:r w:rsidRPr="000E2F08">
        <w:rPr>
          <w:rFonts w:ascii="Times New Roman" w:hAnsi="Times New Roman" w:cs="Times New Roman"/>
          <w:noProof/>
          <w:sz w:val="24"/>
          <w:szCs w:val="24"/>
        </w:rPr>
        <w:t>Make the range of options considered more comprehensive</w:t>
      </w:r>
      <w:r w:rsidR="006909FA">
        <w:rPr>
          <w:rFonts w:ascii="Times New Roman" w:hAnsi="Times New Roman" w:cs="Times New Roman"/>
          <w:noProof/>
          <w:sz w:val="24"/>
          <w:szCs w:val="24"/>
        </w:rPr>
        <w:t>;</w:t>
      </w:r>
    </w:p>
    <w:p w14:paraId="05A2A047" w14:textId="390F4589" w:rsidR="000E2F08" w:rsidRPr="000E2F08" w:rsidRDefault="000E2F08" w:rsidP="009A36A7">
      <w:pPr>
        <w:pStyle w:val="ListParagraph"/>
        <w:numPr>
          <w:ilvl w:val="0"/>
          <w:numId w:val="7"/>
        </w:numPr>
        <w:spacing w:after="120" w:line="240" w:lineRule="auto"/>
        <w:contextualSpacing w:val="0"/>
        <w:jc w:val="both"/>
        <w:rPr>
          <w:rFonts w:ascii="Times New Roman" w:hAnsi="Times New Roman" w:cs="Times New Roman"/>
          <w:noProof/>
          <w:sz w:val="24"/>
          <w:szCs w:val="24"/>
        </w:rPr>
      </w:pPr>
      <w:r w:rsidRPr="000E2F08">
        <w:rPr>
          <w:rFonts w:ascii="Times New Roman" w:hAnsi="Times New Roman" w:cs="Times New Roman"/>
          <w:noProof/>
          <w:sz w:val="24"/>
          <w:szCs w:val="24"/>
        </w:rPr>
        <w:t>Bring out sufficiently the rationale behind, and the envisaged design of, key measures to be dealt with through implementing regulation. Clarify on the criteria and parameters that will frame their development.</w:t>
      </w:r>
    </w:p>
    <w:p w14:paraId="4AEB89DA" w14:textId="2BC6F6F4" w:rsidR="000E2F08" w:rsidRPr="000E2F08" w:rsidRDefault="000E2F08" w:rsidP="000E2F08">
      <w:pPr>
        <w:spacing w:after="240" w:line="240" w:lineRule="auto"/>
        <w:jc w:val="both"/>
        <w:rPr>
          <w:rFonts w:ascii="Times New Roman" w:hAnsi="Times New Roman" w:cs="Times New Roman"/>
          <w:noProof/>
          <w:sz w:val="24"/>
          <w:szCs w:val="24"/>
        </w:rPr>
      </w:pPr>
      <w:r w:rsidRPr="000E2F08">
        <w:rPr>
          <w:rFonts w:ascii="Times New Roman" w:hAnsi="Times New Roman" w:cs="Times New Roman"/>
          <w:noProof/>
          <w:sz w:val="24"/>
          <w:szCs w:val="24"/>
        </w:rPr>
        <w:t>The requested clarifications were added in the relevant sections of the Impact Assessment. In particular:</w:t>
      </w:r>
    </w:p>
    <w:p w14:paraId="491443AA" w14:textId="49FEE260" w:rsidR="000E2F08" w:rsidRPr="000E2F08" w:rsidRDefault="000E2F08" w:rsidP="009A36A7">
      <w:pPr>
        <w:pStyle w:val="ListParagraph"/>
        <w:numPr>
          <w:ilvl w:val="0"/>
          <w:numId w:val="7"/>
        </w:numPr>
        <w:spacing w:after="120" w:line="240" w:lineRule="auto"/>
        <w:contextualSpacing w:val="0"/>
        <w:jc w:val="both"/>
        <w:rPr>
          <w:rFonts w:ascii="Times New Roman" w:hAnsi="Times New Roman" w:cs="Times New Roman"/>
          <w:noProof/>
          <w:sz w:val="24"/>
          <w:szCs w:val="24"/>
        </w:rPr>
      </w:pPr>
      <w:r w:rsidRPr="000E2F08">
        <w:rPr>
          <w:rFonts w:ascii="Times New Roman" w:hAnsi="Times New Roman" w:cs="Times New Roman"/>
          <w:noProof/>
          <w:sz w:val="24"/>
          <w:szCs w:val="24"/>
        </w:rPr>
        <w:t xml:space="preserve">Section </w:t>
      </w:r>
      <w:r w:rsidR="00A51FBB">
        <w:rPr>
          <w:rFonts w:ascii="Times New Roman" w:hAnsi="Times New Roman" w:cs="Times New Roman"/>
          <w:noProof/>
          <w:sz w:val="24"/>
          <w:szCs w:val="24"/>
        </w:rPr>
        <w:t>5.1</w:t>
      </w:r>
      <w:r w:rsidRPr="000E2F08">
        <w:rPr>
          <w:rFonts w:ascii="Times New Roman" w:hAnsi="Times New Roman" w:cs="Times New Roman"/>
          <w:noProof/>
          <w:sz w:val="24"/>
          <w:szCs w:val="24"/>
        </w:rPr>
        <w:t xml:space="preserve"> was updated</w:t>
      </w:r>
      <w:r w:rsidR="00A51FBB">
        <w:rPr>
          <w:rFonts w:ascii="Times New Roman" w:hAnsi="Times New Roman" w:cs="Times New Roman"/>
          <w:noProof/>
          <w:sz w:val="24"/>
          <w:szCs w:val="24"/>
        </w:rPr>
        <w:t xml:space="preserve"> to clarify that the</w:t>
      </w:r>
      <w:r w:rsidR="00A51FBB" w:rsidRPr="00A51FBB">
        <w:rPr>
          <w:rFonts w:ascii="Times New Roman" w:hAnsi="Times New Roman" w:cs="Times New Roman"/>
          <w:noProof/>
          <w:sz w:val="24"/>
          <w:szCs w:val="24"/>
        </w:rPr>
        <w:t xml:space="preserve"> aim</w:t>
      </w:r>
      <w:r w:rsidR="00A51FBB">
        <w:rPr>
          <w:rFonts w:ascii="Times New Roman" w:hAnsi="Times New Roman" w:cs="Times New Roman"/>
          <w:noProof/>
          <w:sz w:val="24"/>
          <w:szCs w:val="24"/>
        </w:rPr>
        <w:t xml:space="preserve"> of the initiative</w:t>
      </w:r>
      <w:r w:rsidR="00A51FBB" w:rsidRPr="00A51FBB">
        <w:rPr>
          <w:rFonts w:ascii="Times New Roman" w:hAnsi="Times New Roman" w:cs="Times New Roman"/>
          <w:noProof/>
          <w:sz w:val="24"/>
          <w:szCs w:val="24"/>
        </w:rPr>
        <w:t xml:space="preserve"> would be to reduce the excessive exposures to a level where the “substantial” systemic importance, as identified by ESMA in its report, achieves a level where the framework set out in EMIR to manage risks from third-country CCPs is sufficient to preserve the EU’s financial stability.</w:t>
      </w:r>
      <w:r w:rsidR="00A51FBB">
        <w:rPr>
          <w:rFonts w:ascii="Times New Roman" w:hAnsi="Times New Roman" w:cs="Times New Roman"/>
          <w:noProof/>
          <w:sz w:val="24"/>
          <w:szCs w:val="24"/>
        </w:rPr>
        <w:t xml:space="preserve"> </w:t>
      </w:r>
    </w:p>
    <w:p w14:paraId="2974B7F0" w14:textId="0920BDD1" w:rsidR="000E2F08" w:rsidRPr="000E2F08" w:rsidRDefault="009C4360" w:rsidP="009A36A7">
      <w:pPr>
        <w:pStyle w:val="ListParagraph"/>
        <w:numPr>
          <w:ilvl w:val="0"/>
          <w:numId w:val="7"/>
        </w:numPr>
        <w:spacing w:after="12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S</w:t>
      </w:r>
      <w:r w:rsidR="000E2F08" w:rsidRPr="000E2F08">
        <w:rPr>
          <w:rFonts w:ascii="Times New Roman" w:hAnsi="Times New Roman" w:cs="Times New Roman"/>
          <w:noProof/>
          <w:sz w:val="24"/>
          <w:szCs w:val="24"/>
        </w:rPr>
        <w:t xml:space="preserve">ection </w:t>
      </w:r>
      <w:r>
        <w:rPr>
          <w:rFonts w:ascii="Times New Roman" w:hAnsi="Times New Roman" w:cs="Times New Roman"/>
          <w:noProof/>
          <w:sz w:val="24"/>
          <w:szCs w:val="24"/>
        </w:rPr>
        <w:t>6</w:t>
      </w:r>
      <w:r w:rsidR="000E2F08" w:rsidRPr="000E2F08">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Annex 6, </w:t>
      </w:r>
      <w:r w:rsidR="00B17C8A" w:rsidRPr="00B17C8A">
        <w:rPr>
          <w:rFonts w:ascii="Times New Roman" w:hAnsi="Times New Roman" w:cs="Times New Roman"/>
          <w:noProof/>
          <w:sz w:val="24"/>
          <w:szCs w:val="24"/>
        </w:rPr>
        <w:t>the</w:t>
      </w:r>
      <w:r>
        <w:rPr>
          <w:rFonts w:ascii="Times New Roman" w:hAnsi="Times New Roman" w:cs="Times New Roman"/>
          <w:noProof/>
          <w:sz w:val="24"/>
          <w:szCs w:val="24"/>
        </w:rPr>
        <w:t xml:space="preserve"> options </w:t>
      </w:r>
      <w:r w:rsidR="00B17C8A" w:rsidRPr="00B17C8A">
        <w:rPr>
          <w:rFonts w:ascii="Times New Roman" w:hAnsi="Times New Roman" w:cs="Times New Roman"/>
          <w:noProof/>
          <w:sz w:val="24"/>
          <w:szCs w:val="24"/>
        </w:rPr>
        <w:t>of global coordination and a permanent equivalence decision for UK CCPs</w:t>
      </w:r>
      <w:r w:rsidR="00B17C8A">
        <w:rPr>
          <w:rFonts w:ascii="Times New Roman" w:hAnsi="Times New Roman" w:cs="Times New Roman"/>
          <w:noProof/>
          <w:sz w:val="24"/>
          <w:szCs w:val="24"/>
        </w:rPr>
        <w:t xml:space="preserve"> </w:t>
      </w:r>
      <w:r>
        <w:rPr>
          <w:rFonts w:ascii="Times New Roman" w:hAnsi="Times New Roman" w:cs="Times New Roman"/>
          <w:noProof/>
          <w:sz w:val="24"/>
          <w:szCs w:val="24"/>
        </w:rPr>
        <w:t xml:space="preserve">were identified and </w:t>
      </w:r>
      <w:r w:rsidR="00B17C8A">
        <w:rPr>
          <w:rFonts w:ascii="Times New Roman" w:hAnsi="Times New Roman" w:cs="Times New Roman"/>
          <w:noProof/>
          <w:sz w:val="24"/>
          <w:szCs w:val="24"/>
        </w:rPr>
        <w:t>discarded</w:t>
      </w:r>
      <w:r>
        <w:rPr>
          <w:rFonts w:ascii="Times New Roman" w:hAnsi="Times New Roman" w:cs="Times New Roman"/>
          <w:noProof/>
          <w:sz w:val="24"/>
          <w:szCs w:val="24"/>
        </w:rPr>
        <w:t>.</w:t>
      </w:r>
    </w:p>
    <w:p w14:paraId="64920FEA" w14:textId="356D5008" w:rsidR="006B087E" w:rsidRPr="006909FA" w:rsidRDefault="000E2F08" w:rsidP="009A36A7">
      <w:pPr>
        <w:pStyle w:val="ListParagraph"/>
        <w:numPr>
          <w:ilvl w:val="0"/>
          <w:numId w:val="7"/>
        </w:numPr>
        <w:spacing w:after="120" w:line="240" w:lineRule="auto"/>
        <w:contextualSpacing w:val="0"/>
        <w:jc w:val="both"/>
        <w:rPr>
          <w:rFonts w:ascii="Times New Roman" w:hAnsi="Times New Roman" w:cs="Times New Roman"/>
          <w:noProof/>
          <w:sz w:val="24"/>
          <w:szCs w:val="24"/>
        </w:rPr>
      </w:pPr>
      <w:r w:rsidRPr="000E2F08">
        <w:rPr>
          <w:rFonts w:ascii="Times New Roman" w:hAnsi="Times New Roman" w:cs="Times New Roman"/>
          <w:noProof/>
          <w:sz w:val="24"/>
          <w:szCs w:val="24"/>
        </w:rPr>
        <w:t>In Section 7</w:t>
      </w:r>
      <w:r w:rsidR="009C4360">
        <w:rPr>
          <w:rFonts w:ascii="Times New Roman" w:hAnsi="Times New Roman" w:cs="Times New Roman"/>
          <w:noProof/>
          <w:sz w:val="24"/>
          <w:szCs w:val="24"/>
        </w:rPr>
        <w:t>, and in particular in Section 7.2.2,</w:t>
      </w:r>
      <w:r w:rsidRPr="000E2F08">
        <w:rPr>
          <w:rFonts w:ascii="Times New Roman" w:hAnsi="Times New Roman" w:cs="Times New Roman"/>
          <w:noProof/>
          <w:sz w:val="24"/>
          <w:szCs w:val="24"/>
        </w:rPr>
        <w:t xml:space="preserve"> the options were specified to further clarify how they would be implemented in </w:t>
      </w:r>
      <w:r w:rsidR="006909FA">
        <w:rPr>
          <w:rFonts w:ascii="Times New Roman" w:hAnsi="Times New Roman" w:cs="Times New Roman"/>
          <w:noProof/>
          <w:sz w:val="24"/>
          <w:szCs w:val="24"/>
        </w:rPr>
        <w:t>R</w:t>
      </w:r>
      <w:r w:rsidRPr="000E2F08">
        <w:rPr>
          <w:rFonts w:ascii="Times New Roman" w:hAnsi="Times New Roman" w:cs="Times New Roman"/>
          <w:noProof/>
          <w:sz w:val="24"/>
          <w:szCs w:val="24"/>
        </w:rPr>
        <w:t>egulation</w:t>
      </w:r>
      <w:r w:rsidR="00DD7CCF">
        <w:rPr>
          <w:rFonts w:ascii="Times New Roman" w:hAnsi="Times New Roman" w:cs="Times New Roman"/>
          <w:noProof/>
          <w:sz w:val="24"/>
          <w:szCs w:val="24"/>
        </w:rPr>
        <w:t xml:space="preserve"> and how they would be monitored by the EU institutions.</w:t>
      </w:r>
    </w:p>
    <w:p w14:paraId="5279748D" w14:textId="5BE413E1" w:rsidR="006B087E" w:rsidRPr="002661A8" w:rsidRDefault="000C0D7C" w:rsidP="000C0D7C">
      <w:pPr>
        <w:rPr>
          <w:rFonts w:ascii="Times New Roman" w:hAnsi="Times New Roman" w:cs="Times New Roman"/>
          <w:b/>
          <w:noProof/>
          <w:sz w:val="24"/>
          <w:szCs w:val="24"/>
        </w:rPr>
      </w:pPr>
      <w:bookmarkStart w:id="1580" w:name="_Toc471997758"/>
      <w:bookmarkStart w:id="1581" w:name="_Toc103337548"/>
      <w:bookmarkStart w:id="1582" w:name="_Toc104310037"/>
      <w:bookmarkStart w:id="1583" w:name="_Toc105656477"/>
      <w:bookmarkStart w:id="1584" w:name="_Toc106827877"/>
      <w:bookmarkStart w:id="1585" w:name="_Toc106981752"/>
      <w:bookmarkStart w:id="1586" w:name="_Toc107493892"/>
      <w:bookmarkStart w:id="1587" w:name="_Toc107497928"/>
      <w:bookmarkStart w:id="1588" w:name="_Toc107503481"/>
      <w:bookmarkStart w:id="1589" w:name="_Toc107504628"/>
      <w:bookmarkStart w:id="1590" w:name="_Toc107505474"/>
      <w:bookmarkStart w:id="1591" w:name="_Toc107838950"/>
      <w:bookmarkStart w:id="1592" w:name="_Toc107847044"/>
      <w:bookmarkStart w:id="1593" w:name="_Toc107849282"/>
      <w:bookmarkStart w:id="1594" w:name="_Toc107853728"/>
      <w:bookmarkStart w:id="1595" w:name="_Toc107865323"/>
      <w:bookmarkStart w:id="1596" w:name="_Toc108418532"/>
      <w:bookmarkStart w:id="1597" w:name="_Toc108539624"/>
      <w:bookmarkStart w:id="1598" w:name="_Toc108539846"/>
      <w:bookmarkStart w:id="1599" w:name="_Toc108539963"/>
      <w:bookmarkStart w:id="1600" w:name="_Toc109057421"/>
      <w:bookmarkStart w:id="1601" w:name="_Toc109120787"/>
      <w:r w:rsidRPr="002661A8">
        <w:rPr>
          <w:rFonts w:ascii="Times New Roman" w:hAnsi="Times New Roman" w:cs="Times New Roman"/>
          <w:b/>
          <w:noProof/>
          <w:sz w:val="24"/>
          <w:szCs w:val="24"/>
        </w:rPr>
        <w:t xml:space="preserve">4. </w:t>
      </w:r>
      <w:r w:rsidR="3FA542DF" w:rsidRPr="002661A8">
        <w:rPr>
          <w:rFonts w:ascii="Times New Roman" w:hAnsi="Times New Roman" w:cs="Times New Roman"/>
          <w:b/>
          <w:noProof/>
          <w:sz w:val="24"/>
          <w:szCs w:val="24"/>
        </w:rPr>
        <w:t xml:space="preserve">Evidence, sources and </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r w:rsidR="3FA542DF" w:rsidRPr="002661A8">
        <w:rPr>
          <w:rFonts w:ascii="Times New Roman" w:hAnsi="Times New Roman" w:cs="Times New Roman"/>
          <w:b/>
          <w:noProof/>
          <w:sz w:val="24"/>
          <w:szCs w:val="24"/>
        </w:rPr>
        <w:t>quality</w:t>
      </w:r>
      <w:bookmarkEnd w:id="1597"/>
      <w:bookmarkEnd w:id="1598"/>
      <w:bookmarkEnd w:id="1599"/>
      <w:bookmarkEnd w:id="1600"/>
      <w:bookmarkEnd w:id="1601"/>
    </w:p>
    <w:p w14:paraId="250A0782" w14:textId="77777777" w:rsidR="00124648" w:rsidRPr="002661A8" w:rsidRDefault="00124648" w:rsidP="00A61E96">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Evidence used in the impact assessment came from a variety of sources, including: </w:t>
      </w:r>
    </w:p>
    <w:p w14:paraId="0CCECED6" w14:textId="3AC930DE" w:rsidR="00124648" w:rsidRPr="002661A8" w:rsidRDefault="00124648" w:rsidP="00ED5088">
      <w:pPr>
        <w:pStyle w:val="ListParagraph"/>
        <w:numPr>
          <w:ilvl w:val="0"/>
          <w:numId w:val="5"/>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Replies by stakeholders to a targeted consultation which ran from </w:t>
      </w:r>
      <w:r w:rsidR="00C42FB7" w:rsidRPr="002661A8">
        <w:rPr>
          <w:rFonts w:ascii="Times New Roman" w:hAnsi="Times New Roman" w:cs="Times New Roman"/>
          <w:noProof/>
          <w:sz w:val="24"/>
          <w:szCs w:val="24"/>
        </w:rPr>
        <w:t>8 February 2022 to 22 March 2022</w:t>
      </w:r>
      <w:r w:rsidRPr="002661A8">
        <w:rPr>
          <w:rFonts w:ascii="Times New Roman" w:hAnsi="Times New Roman" w:cs="Times New Roman"/>
          <w:noProof/>
          <w:sz w:val="24"/>
          <w:szCs w:val="24"/>
        </w:rPr>
        <w:t>to obtain feedback</w:t>
      </w:r>
      <w:r w:rsidR="00C42FB7" w:rsidRPr="002661A8">
        <w:rPr>
          <w:rFonts w:ascii="Times New Roman" w:hAnsi="Times New Roman" w:cs="Times New Roman"/>
          <w:noProof/>
          <w:sz w:val="24"/>
          <w:szCs w:val="24"/>
        </w:rPr>
        <w:t xml:space="preserve"> </w:t>
      </w:r>
      <w:r w:rsidRPr="002661A8">
        <w:rPr>
          <w:rFonts w:ascii="Times New Roman" w:hAnsi="Times New Roman" w:cs="Times New Roman"/>
          <w:noProof/>
          <w:sz w:val="24"/>
          <w:szCs w:val="24"/>
        </w:rPr>
        <w:t xml:space="preserve">on </w:t>
      </w:r>
      <w:r w:rsidR="00C42FB7" w:rsidRPr="002661A8">
        <w:rPr>
          <w:rFonts w:ascii="Times New Roman" w:hAnsi="Times New Roman" w:cs="Times New Roman"/>
          <w:noProof/>
          <w:sz w:val="24"/>
          <w:szCs w:val="24"/>
        </w:rPr>
        <w:t>the review of the central clearing framework in the EU.</w:t>
      </w:r>
      <w:r w:rsidRPr="002661A8">
        <w:rPr>
          <w:rFonts w:ascii="Times New Roman" w:hAnsi="Times New Roman" w:cs="Times New Roman"/>
          <w:noProof/>
          <w:sz w:val="24"/>
          <w:szCs w:val="24"/>
        </w:rPr>
        <w:t xml:space="preserve"> </w:t>
      </w:r>
      <w:r w:rsidR="00C42FB7" w:rsidRPr="002661A8">
        <w:rPr>
          <w:rFonts w:ascii="Times New Roman" w:hAnsi="Times New Roman" w:cs="Times New Roman"/>
          <w:noProof/>
          <w:sz w:val="24"/>
          <w:szCs w:val="24"/>
        </w:rPr>
        <w:t>It was decided that the consultation should be targeted as the questions focused on a very specific and rather technical area. 71 stakeholders responded to the targeted consultation via the online form while some confidential responses were also submitted via email.</w:t>
      </w:r>
    </w:p>
    <w:p w14:paraId="651D5A10" w14:textId="6ADDE26A" w:rsidR="00C42FB7" w:rsidRPr="002661A8" w:rsidRDefault="00C42FB7" w:rsidP="00ED5088">
      <w:pPr>
        <w:pStyle w:val="ListParagraph"/>
        <w:numPr>
          <w:ilvl w:val="0"/>
          <w:numId w:val="4"/>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ESMA’s Report under Article 25(2)c of EMIR submitted to the Commission in December 2021</w:t>
      </w:r>
      <w:r w:rsidRPr="002661A8">
        <w:rPr>
          <w:rStyle w:val="FootnoteReference"/>
          <w:rFonts w:ascii="Times New Roman" w:hAnsi="Times New Roman" w:cs="Times New Roman"/>
          <w:noProof/>
          <w:sz w:val="24"/>
          <w:szCs w:val="24"/>
        </w:rPr>
        <w:footnoteReference w:id="163"/>
      </w:r>
      <w:r w:rsidRPr="002661A8">
        <w:rPr>
          <w:rFonts w:ascii="Times New Roman" w:hAnsi="Times New Roman" w:cs="Times New Roman"/>
          <w:noProof/>
          <w:sz w:val="24"/>
          <w:szCs w:val="24"/>
        </w:rPr>
        <w:t>; the report also took into account answers to ESMA’s surveys and data collection exercises from CCPs and clearing participants;</w:t>
      </w:r>
    </w:p>
    <w:p w14:paraId="3214FBC5" w14:textId="77777777" w:rsidR="00C42FB7" w:rsidRPr="002661A8" w:rsidRDefault="00C42FB7" w:rsidP="00ED5088">
      <w:pPr>
        <w:pStyle w:val="ListParagraph"/>
        <w:numPr>
          <w:ilvl w:val="0"/>
          <w:numId w:val="4"/>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ESRB’s response to ESMA’s consultation under Article 25.2c EMIR, issued in December 2021</w:t>
      </w:r>
      <w:r w:rsidRPr="002661A8">
        <w:rPr>
          <w:rStyle w:val="FootnoteReference"/>
          <w:rFonts w:ascii="Times New Roman" w:hAnsi="Times New Roman" w:cs="Times New Roman"/>
          <w:noProof/>
          <w:sz w:val="24"/>
          <w:szCs w:val="24"/>
        </w:rPr>
        <w:footnoteReference w:id="164"/>
      </w:r>
      <w:r w:rsidRPr="002661A8">
        <w:rPr>
          <w:rFonts w:ascii="Times New Roman" w:hAnsi="Times New Roman" w:cs="Times New Roman"/>
          <w:noProof/>
          <w:sz w:val="24"/>
          <w:szCs w:val="24"/>
        </w:rPr>
        <w:t>;</w:t>
      </w:r>
    </w:p>
    <w:p w14:paraId="6A0B73E1" w14:textId="77777777" w:rsidR="00C42FB7" w:rsidRPr="002661A8" w:rsidRDefault="00C42FB7" w:rsidP="00ED5088">
      <w:pPr>
        <w:pStyle w:val="ListParagraph"/>
        <w:numPr>
          <w:ilvl w:val="0"/>
          <w:numId w:val="4"/>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Meeting with Member States’ experts on 30 March 2022 and 16 June 2022; </w:t>
      </w:r>
    </w:p>
    <w:p w14:paraId="54696B3C" w14:textId="77777777" w:rsidR="00C42FB7" w:rsidRPr="002661A8" w:rsidRDefault="00C42FB7" w:rsidP="00ED5088">
      <w:pPr>
        <w:pStyle w:val="ListParagraph"/>
        <w:numPr>
          <w:ilvl w:val="0"/>
          <w:numId w:val="4"/>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Meetings of the Financial Services Committee on 2 February and 16 March 2022;</w:t>
      </w:r>
    </w:p>
    <w:p w14:paraId="6B43B73C" w14:textId="77777777" w:rsidR="00C42FB7" w:rsidRPr="002661A8" w:rsidRDefault="00C42FB7" w:rsidP="00ED5088">
      <w:pPr>
        <w:pStyle w:val="ListParagraph"/>
        <w:numPr>
          <w:ilvl w:val="0"/>
          <w:numId w:val="4"/>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Meeting of the Economic and Financial Committee on 29 March 2022;</w:t>
      </w:r>
    </w:p>
    <w:p w14:paraId="1FD95BDB" w14:textId="77777777" w:rsidR="00C42FB7" w:rsidRPr="002661A8" w:rsidRDefault="00C42FB7" w:rsidP="00ED5088">
      <w:pPr>
        <w:pStyle w:val="ListParagraph"/>
        <w:numPr>
          <w:ilvl w:val="0"/>
          <w:numId w:val="4"/>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Meeting with Members of the European Parliament on 4 May;</w:t>
      </w:r>
    </w:p>
    <w:p w14:paraId="24622E27" w14:textId="24C7E88A" w:rsidR="00124648" w:rsidRPr="002661A8" w:rsidRDefault="00C42FB7" w:rsidP="00ED5088">
      <w:pPr>
        <w:pStyle w:val="ListParagraph"/>
        <w:numPr>
          <w:ilvl w:val="0"/>
          <w:numId w:val="4"/>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Bilateral meetings with stakeholders as well as [confidential] information received from a wide range of stakeholders</w:t>
      </w:r>
      <w:r w:rsidR="003C2777" w:rsidRPr="002661A8">
        <w:rPr>
          <w:rFonts w:ascii="Times New Roman" w:hAnsi="Times New Roman" w:cs="Times New Roman"/>
          <w:noProof/>
          <w:sz w:val="24"/>
          <w:szCs w:val="24"/>
        </w:rPr>
        <w:t>;</w:t>
      </w:r>
    </w:p>
    <w:p w14:paraId="1CBB4E89" w14:textId="2A88402B" w:rsidR="003C2777" w:rsidRPr="002661A8" w:rsidRDefault="003C2777" w:rsidP="00ED5088">
      <w:pPr>
        <w:pStyle w:val="ListParagraph"/>
        <w:numPr>
          <w:ilvl w:val="0"/>
          <w:numId w:val="4"/>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Bank for International Settlement statistics;</w:t>
      </w:r>
    </w:p>
    <w:p w14:paraId="48126DCA" w14:textId="7CE1E543" w:rsidR="003C2777" w:rsidRPr="002661A8" w:rsidRDefault="003C2777" w:rsidP="00ED5088">
      <w:pPr>
        <w:pStyle w:val="ListParagraph"/>
        <w:numPr>
          <w:ilvl w:val="0"/>
          <w:numId w:val="4"/>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CEPS, 2021, ”Setting EU CCP policy – much more than meets the eye”</w:t>
      </w:r>
    </w:p>
    <w:p w14:paraId="01253866" w14:textId="63B5B5FA" w:rsidR="00DB2CF6" w:rsidRPr="002661A8" w:rsidRDefault="00DB2CF6" w:rsidP="00ED5088">
      <w:pPr>
        <w:pStyle w:val="ListParagraph"/>
        <w:numPr>
          <w:ilvl w:val="0"/>
          <w:numId w:val="4"/>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ClarusFT database</w:t>
      </w:r>
    </w:p>
    <w:p w14:paraId="310B8647" w14:textId="77777777" w:rsidR="006B087E" w:rsidRPr="002661A8" w:rsidRDefault="006B087E" w:rsidP="006B087E">
      <w:pPr>
        <w:rPr>
          <w:rFonts w:ascii="Times New Roman" w:eastAsia="Times New Roman" w:hAnsi="Times New Roman" w:cs="Times New Roman"/>
          <w:noProof/>
          <w:sz w:val="24"/>
          <w:szCs w:val="20"/>
        </w:rPr>
      </w:pPr>
      <w:r w:rsidRPr="002661A8">
        <w:rPr>
          <w:noProof/>
          <w:sz w:val="24"/>
          <w:szCs w:val="24"/>
        </w:rPr>
        <w:br w:type="page"/>
      </w:r>
    </w:p>
    <w:p w14:paraId="222B24BE" w14:textId="7F1C48C6" w:rsidR="006B087E" w:rsidRPr="002661A8" w:rsidRDefault="3FA542DF" w:rsidP="00701ABD">
      <w:pPr>
        <w:pStyle w:val="Heading1"/>
        <w:jc w:val="center"/>
        <w:rPr>
          <w:noProof/>
        </w:rPr>
      </w:pPr>
      <w:bookmarkStart w:id="1602" w:name="_Toc107493893"/>
      <w:bookmarkStart w:id="1603" w:name="_Toc107497929"/>
      <w:bookmarkStart w:id="1604" w:name="_Toc107503482"/>
      <w:bookmarkStart w:id="1605" w:name="_Toc107505475"/>
      <w:bookmarkStart w:id="1606" w:name="_Toc107838951"/>
      <w:bookmarkStart w:id="1607" w:name="_Toc107849283"/>
      <w:bookmarkStart w:id="1608" w:name="_Toc108539847"/>
      <w:bookmarkStart w:id="1609" w:name="_Toc109057422"/>
      <w:bookmarkStart w:id="1610" w:name="_Toc103337549"/>
      <w:bookmarkStart w:id="1611" w:name="_Toc106981753"/>
      <w:bookmarkStart w:id="1612" w:name="_Toc109120788"/>
      <w:bookmarkStart w:id="1613" w:name="_Toc109122419"/>
      <w:bookmarkStart w:id="1614" w:name="_Toc109133156"/>
      <w:bookmarkStart w:id="1615" w:name="_Toc120291690"/>
      <w:r w:rsidRPr="002661A8">
        <w:rPr>
          <w:noProof/>
        </w:rPr>
        <w:t>Annex 2: Stakeholder consultation</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14:paraId="5A3784A4" w14:textId="0703E6F1" w:rsidR="002B514F" w:rsidRPr="002661A8" w:rsidRDefault="002B514F" w:rsidP="00A61E96">
      <w:pPr>
        <w:spacing w:after="120" w:line="240" w:lineRule="auto"/>
        <w:jc w:val="both"/>
        <w:rPr>
          <w:noProof/>
          <w:szCs w:val="24"/>
        </w:rPr>
      </w:pPr>
      <w:bookmarkStart w:id="1616" w:name="_Toc106827878"/>
      <w:bookmarkStart w:id="1617" w:name="_Toc106981754"/>
      <w:r w:rsidRPr="002661A8">
        <w:rPr>
          <w:rFonts w:ascii="Times New Roman" w:hAnsi="Times New Roman" w:cs="Times New Roman"/>
          <w:noProof/>
          <w:sz w:val="24"/>
          <w:szCs w:val="24"/>
        </w:rPr>
        <w:t>This annex outlines the consultation strategy followed to inform key elements of the impact assessment. It provides an overview of the input received from stakeholders in preparation of this initiative (section 1). In addition, it</w:t>
      </w:r>
      <w:r w:rsidR="000830FA" w:rsidRPr="002661A8">
        <w:rPr>
          <w:rFonts w:ascii="Times New Roman" w:hAnsi="Times New Roman" w:cs="Times New Roman"/>
          <w:noProof/>
          <w:sz w:val="24"/>
          <w:szCs w:val="24"/>
        </w:rPr>
        <w:t>:</w:t>
      </w:r>
      <w:r w:rsidRPr="002661A8">
        <w:rPr>
          <w:rFonts w:ascii="Times New Roman" w:hAnsi="Times New Roman" w:cs="Times New Roman"/>
          <w:noProof/>
          <w:sz w:val="24"/>
          <w:szCs w:val="24"/>
        </w:rPr>
        <w:t xml:space="preserve"> outlines the feedback received from stakeholders via the targeted consultation on </w:t>
      </w:r>
      <w:r w:rsidR="000830FA" w:rsidRPr="002661A8">
        <w:rPr>
          <w:rFonts w:ascii="Times New Roman" w:hAnsi="Times New Roman" w:cs="Times New Roman"/>
          <w:noProof/>
          <w:sz w:val="24"/>
          <w:szCs w:val="24"/>
        </w:rPr>
        <w:t>the clearing strategy in the EU</w:t>
      </w:r>
      <w:r w:rsidRPr="002661A8">
        <w:rPr>
          <w:rFonts w:ascii="Times New Roman" w:hAnsi="Times New Roman" w:cs="Times New Roman"/>
          <w:noProof/>
          <w:sz w:val="24"/>
          <w:szCs w:val="24"/>
        </w:rPr>
        <w:t xml:space="preserve"> (section 2); provides </w:t>
      </w:r>
      <w:r w:rsidR="000830FA" w:rsidRPr="002661A8">
        <w:rPr>
          <w:rFonts w:ascii="Times New Roman" w:hAnsi="Times New Roman" w:cs="Times New Roman"/>
          <w:noProof/>
          <w:sz w:val="24"/>
          <w:szCs w:val="24"/>
        </w:rPr>
        <w:t>an overview of ESMA’s assessment report under Article 25(2c) of EMIR</w:t>
      </w:r>
      <w:r w:rsidRPr="002661A8">
        <w:rPr>
          <w:rFonts w:ascii="Times New Roman" w:hAnsi="Times New Roman" w:cs="Times New Roman"/>
          <w:noProof/>
          <w:sz w:val="24"/>
          <w:szCs w:val="24"/>
        </w:rPr>
        <w:t xml:space="preserve"> (section 3); </w:t>
      </w:r>
      <w:r w:rsidR="000830FA" w:rsidRPr="002661A8">
        <w:rPr>
          <w:rFonts w:ascii="Times New Roman" w:hAnsi="Times New Roman" w:cs="Times New Roman"/>
          <w:noProof/>
          <w:sz w:val="24"/>
          <w:szCs w:val="24"/>
        </w:rPr>
        <w:t>includes</w:t>
      </w:r>
      <w:r w:rsidRPr="002661A8">
        <w:rPr>
          <w:rFonts w:ascii="Times New Roman" w:hAnsi="Times New Roman" w:cs="Times New Roman"/>
          <w:noProof/>
          <w:sz w:val="24"/>
          <w:szCs w:val="24"/>
        </w:rPr>
        <w:t xml:space="preserve"> </w:t>
      </w:r>
      <w:r w:rsidR="00BC415F" w:rsidRPr="002661A8">
        <w:rPr>
          <w:rFonts w:ascii="Times New Roman" w:hAnsi="Times New Roman" w:cs="Times New Roman"/>
          <w:noProof/>
          <w:sz w:val="24"/>
          <w:szCs w:val="24"/>
        </w:rPr>
        <w:t xml:space="preserve">an </w:t>
      </w:r>
      <w:r w:rsidRPr="002661A8">
        <w:rPr>
          <w:rFonts w:ascii="Times New Roman" w:hAnsi="Times New Roman" w:cs="Times New Roman"/>
          <w:noProof/>
          <w:sz w:val="24"/>
          <w:szCs w:val="24"/>
        </w:rPr>
        <w:t xml:space="preserve">overview of </w:t>
      </w:r>
      <w:r w:rsidR="000830FA" w:rsidRPr="002661A8">
        <w:rPr>
          <w:rFonts w:ascii="Times New Roman" w:hAnsi="Times New Roman" w:cs="Times New Roman"/>
          <w:noProof/>
          <w:sz w:val="24"/>
          <w:szCs w:val="24"/>
        </w:rPr>
        <w:t>the</w:t>
      </w:r>
      <w:r w:rsidRPr="002661A8">
        <w:rPr>
          <w:rFonts w:ascii="Times New Roman" w:hAnsi="Times New Roman" w:cs="Times New Roman"/>
          <w:noProof/>
          <w:sz w:val="24"/>
          <w:szCs w:val="24"/>
        </w:rPr>
        <w:t xml:space="preserve"> exchange of views with representatives of Member States, of EU bodies and authorities, during the meeting of the Derivatives and Market Infrastructures Member States Working Group, which took place on 30 March 2022 and 15 July 2021 (section 4)</w:t>
      </w:r>
      <w:r w:rsidR="00724DE7">
        <w:rPr>
          <w:rFonts w:ascii="Times New Roman" w:hAnsi="Times New Roman" w:cs="Times New Roman"/>
          <w:noProof/>
          <w:sz w:val="24"/>
          <w:szCs w:val="24"/>
        </w:rPr>
        <w:t xml:space="preserve"> and finally summarise</w:t>
      </w:r>
      <w:r w:rsidR="0064159B">
        <w:rPr>
          <w:rFonts w:ascii="Times New Roman" w:hAnsi="Times New Roman" w:cs="Times New Roman"/>
          <w:noProof/>
          <w:sz w:val="24"/>
          <w:szCs w:val="24"/>
        </w:rPr>
        <w:t>s</w:t>
      </w:r>
      <w:r w:rsidR="00724DE7">
        <w:rPr>
          <w:rFonts w:ascii="Times New Roman" w:hAnsi="Times New Roman" w:cs="Times New Roman"/>
          <w:noProof/>
          <w:sz w:val="24"/>
          <w:szCs w:val="24"/>
        </w:rPr>
        <w:t xml:space="preserve"> the only response received from the Call for Evidence (section 5)</w:t>
      </w:r>
      <w:r w:rsidRPr="002661A8">
        <w:rPr>
          <w:rFonts w:ascii="Times New Roman" w:hAnsi="Times New Roman" w:cs="Times New Roman"/>
          <w:noProof/>
          <w:sz w:val="24"/>
          <w:szCs w:val="24"/>
        </w:rPr>
        <w:t>.</w:t>
      </w:r>
    </w:p>
    <w:p w14:paraId="4D88B0CC" w14:textId="22E2268B" w:rsidR="002B514F" w:rsidRPr="001C4637" w:rsidRDefault="002B514F" w:rsidP="001C4637">
      <w:pPr>
        <w:pStyle w:val="ListParagraph"/>
        <w:numPr>
          <w:ilvl w:val="0"/>
          <w:numId w:val="21"/>
        </w:numPr>
        <w:rPr>
          <w:rFonts w:ascii="Times New Roman" w:hAnsi="Times New Roman" w:cs="Times New Roman"/>
          <w:b/>
          <w:noProof/>
          <w:sz w:val="24"/>
          <w:szCs w:val="24"/>
        </w:rPr>
      </w:pPr>
      <w:bookmarkStart w:id="1618" w:name="_Overview_of_the"/>
      <w:bookmarkStart w:id="1619" w:name="_Toc107493894"/>
      <w:bookmarkStart w:id="1620" w:name="_Toc107497930"/>
      <w:bookmarkStart w:id="1621" w:name="_Toc107503483"/>
      <w:bookmarkStart w:id="1622" w:name="_Toc107504629"/>
      <w:bookmarkStart w:id="1623" w:name="_Toc107505476"/>
      <w:bookmarkStart w:id="1624" w:name="_Toc107838952"/>
      <w:bookmarkStart w:id="1625" w:name="_Toc107847045"/>
      <w:bookmarkStart w:id="1626" w:name="_Toc107849284"/>
      <w:bookmarkStart w:id="1627" w:name="_Toc107853729"/>
      <w:bookmarkStart w:id="1628" w:name="_Toc107865325"/>
      <w:bookmarkStart w:id="1629" w:name="_Toc108418534"/>
      <w:bookmarkStart w:id="1630" w:name="_Toc108539848"/>
      <w:bookmarkStart w:id="1631" w:name="_Toc108539964"/>
      <w:bookmarkStart w:id="1632" w:name="_Toc109057423"/>
      <w:bookmarkStart w:id="1633" w:name="_Toc109120789"/>
      <w:bookmarkEnd w:id="1618"/>
      <w:r w:rsidRPr="001C4637">
        <w:rPr>
          <w:rFonts w:ascii="Times New Roman" w:hAnsi="Times New Roman" w:cs="Times New Roman"/>
          <w:b/>
          <w:noProof/>
          <w:sz w:val="24"/>
          <w:szCs w:val="24"/>
        </w:rPr>
        <w:t>Overview of the consultation strategy</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p>
    <w:p w14:paraId="73E8D8EF" w14:textId="1F85A725" w:rsidR="002B514F" w:rsidRPr="002661A8" w:rsidRDefault="002B514F" w:rsidP="002B514F">
      <w:pPr>
        <w:spacing w:after="120" w:line="240" w:lineRule="auto"/>
        <w:rPr>
          <w:rFonts w:ascii="TimesNewRomanPSMT" w:hAnsi="TimesNewRomanPSMT" w:cs="TimesNewRomanPSMT"/>
          <w:noProof/>
          <w:sz w:val="24"/>
          <w:szCs w:val="24"/>
        </w:rPr>
      </w:pPr>
      <w:r w:rsidRPr="002661A8">
        <w:rPr>
          <w:rFonts w:ascii="TimesNewRomanPSMT" w:hAnsi="TimesNewRomanPSMT" w:cs="TimesNewRomanPSMT"/>
          <w:noProof/>
          <w:sz w:val="24"/>
          <w:szCs w:val="24"/>
        </w:rPr>
        <w:t xml:space="preserve">Stakeholder consultation took different forms, including: </w:t>
      </w:r>
    </w:p>
    <w:p w14:paraId="46D73AA4" w14:textId="77777777" w:rsidR="002B514F" w:rsidRPr="002661A8" w:rsidRDefault="002B514F" w:rsidP="00ED5088">
      <w:pPr>
        <w:pStyle w:val="ListParagraph"/>
        <w:numPr>
          <w:ilvl w:val="0"/>
          <w:numId w:val="4"/>
        </w:numPr>
        <w:spacing w:after="120" w:line="240" w:lineRule="auto"/>
        <w:contextualSpacing w:val="0"/>
        <w:rPr>
          <w:rFonts w:ascii="Times New Roman" w:hAnsi="Times New Roman" w:cs="Times New Roman"/>
          <w:i/>
          <w:noProof/>
          <w:sz w:val="24"/>
          <w:szCs w:val="24"/>
        </w:rPr>
      </w:pPr>
      <w:r w:rsidRPr="002661A8">
        <w:rPr>
          <w:rFonts w:ascii="Times New Roman" w:hAnsi="Times New Roman" w:cs="Times New Roman"/>
          <w:noProof/>
          <w:sz w:val="24"/>
          <w:szCs w:val="24"/>
        </w:rPr>
        <w:t>A Commission targeted consultation between 8 February and 22 March 2022</w:t>
      </w:r>
      <w:r w:rsidRPr="002661A8">
        <w:rPr>
          <w:rStyle w:val="FootnoteReference"/>
          <w:rFonts w:ascii="Times New Roman" w:hAnsi="Times New Roman" w:cs="Times New Roman"/>
          <w:i/>
          <w:noProof/>
          <w:sz w:val="24"/>
          <w:szCs w:val="24"/>
        </w:rPr>
        <w:footnoteReference w:id="165"/>
      </w:r>
      <w:r w:rsidRPr="002661A8">
        <w:rPr>
          <w:rFonts w:ascii="Times New Roman" w:hAnsi="Times New Roman" w:cs="Times New Roman"/>
          <w:i/>
          <w:noProof/>
          <w:sz w:val="24"/>
          <w:szCs w:val="24"/>
        </w:rPr>
        <w:t>;</w:t>
      </w:r>
    </w:p>
    <w:p w14:paraId="49F17C1F" w14:textId="77777777" w:rsidR="002B514F" w:rsidRPr="002661A8" w:rsidRDefault="002B514F" w:rsidP="00ED5088">
      <w:pPr>
        <w:pStyle w:val="ListParagraph"/>
        <w:numPr>
          <w:ilvl w:val="0"/>
          <w:numId w:val="4"/>
        </w:numPr>
        <w:spacing w:after="120" w:line="240" w:lineRule="auto"/>
        <w:contextualSpacing w:val="0"/>
        <w:rPr>
          <w:rFonts w:ascii="Times New Roman" w:hAnsi="Times New Roman" w:cs="Times New Roman"/>
          <w:i/>
          <w:noProof/>
          <w:sz w:val="24"/>
          <w:szCs w:val="24"/>
        </w:rPr>
      </w:pPr>
      <w:r w:rsidRPr="002661A8">
        <w:rPr>
          <w:rFonts w:ascii="Times New Roman" w:hAnsi="Times New Roman" w:cs="Times New Roman"/>
          <w:noProof/>
          <w:sz w:val="24"/>
          <w:szCs w:val="24"/>
        </w:rPr>
        <w:t>A Commission Call for Evidence between 8 February and 8 March 2022</w:t>
      </w:r>
      <w:r w:rsidRPr="002661A8">
        <w:rPr>
          <w:rStyle w:val="FootnoteReference"/>
          <w:rFonts w:ascii="Times New Roman" w:hAnsi="Times New Roman" w:cs="Times New Roman"/>
          <w:noProof/>
          <w:sz w:val="24"/>
          <w:szCs w:val="24"/>
        </w:rPr>
        <w:footnoteReference w:id="166"/>
      </w:r>
      <w:r w:rsidRPr="002661A8">
        <w:rPr>
          <w:rFonts w:ascii="Times New Roman" w:hAnsi="Times New Roman" w:cs="Times New Roman"/>
          <w:noProof/>
          <w:sz w:val="24"/>
          <w:szCs w:val="24"/>
        </w:rPr>
        <w:t>;</w:t>
      </w:r>
    </w:p>
    <w:p w14:paraId="5033833C" w14:textId="77777777" w:rsidR="002B514F" w:rsidRPr="002661A8" w:rsidRDefault="002B514F" w:rsidP="00ED5088">
      <w:pPr>
        <w:pStyle w:val="ListParagraph"/>
        <w:numPr>
          <w:ilvl w:val="0"/>
          <w:numId w:val="4"/>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Consultations of stakeholders through the Working Group on the opportunities and challenges of transferring derivatives from the UK to the EU, in the first half of 2021 including several stakeholder outreach meetings in February, March and June 2021;</w:t>
      </w:r>
    </w:p>
    <w:p w14:paraId="2FFC5DD2" w14:textId="77777777" w:rsidR="002B514F" w:rsidRPr="002661A8" w:rsidRDefault="002B514F" w:rsidP="00ED5088">
      <w:pPr>
        <w:pStyle w:val="ListParagraph"/>
        <w:numPr>
          <w:ilvl w:val="0"/>
          <w:numId w:val="4"/>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Meeting with Members of the European Parliament on 4 May as well as bilateral meetings subsequently;</w:t>
      </w:r>
    </w:p>
    <w:p w14:paraId="7FA7FF40" w14:textId="3ADBE547" w:rsidR="002B514F" w:rsidRPr="002661A8" w:rsidRDefault="002B514F" w:rsidP="00ED5088">
      <w:pPr>
        <w:pStyle w:val="ListParagraph"/>
        <w:numPr>
          <w:ilvl w:val="0"/>
          <w:numId w:val="4"/>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Meeting with Member States’ experts on 30 March 2022</w:t>
      </w:r>
      <w:r w:rsidR="00B24C84">
        <w:rPr>
          <w:rStyle w:val="FootnoteReference"/>
          <w:rFonts w:ascii="Times New Roman" w:hAnsi="Times New Roman" w:cs="Times New Roman"/>
          <w:noProof/>
          <w:sz w:val="24"/>
          <w:szCs w:val="24"/>
        </w:rPr>
        <w:footnoteReference w:id="167"/>
      </w:r>
      <w:r w:rsidRPr="002661A8">
        <w:rPr>
          <w:rFonts w:ascii="Times New Roman" w:hAnsi="Times New Roman" w:cs="Times New Roman"/>
          <w:noProof/>
          <w:sz w:val="24"/>
          <w:szCs w:val="24"/>
        </w:rPr>
        <w:t xml:space="preserve"> and 16 June 2022</w:t>
      </w:r>
      <w:r w:rsidR="00B24C84">
        <w:rPr>
          <w:rStyle w:val="FootnoteReference"/>
          <w:rFonts w:ascii="Times New Roman" w:hAnsi="Times New Roman" w:cs="Times New Roman"/>
          <w:noProof/>
          <w:sz w:val="24"/>
          <w:szCs w:val="24"/>
        </w:rPr>
        <w:footnoteReference w:id="168"/>
      </w:r>
      <w:r w:rsidRPr="002661A8">
        <w:rPr>
          <w:rFonts w:ascii="Times New Roman" w:hAnsi="Times New Roman" w:cs="Times New Roman"/>
          <w:noProof/>
          <w:sz w:val="24"/>
          <w:szCs w:val="24"/>
        </w:rPr>
        <w:t xml:space="preserve">; </w:t>
      </w:r>
    </w:p>
    <w:p w14:paraId="6AF842C4" w14:textId="77777777" w:rsidR="002B514F" w:rsidRPr="002661A8" w:rsidRDefault="002B514F" w:rsidP="00ED5088">
      <w:pPr>
        <w:pStyle w:val="ListParagraph"/>
        <w:numPr>
          <w:ilvl w:val="0"/>
          <w:numId w:val="4"/>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Meetings of the Financial Services Committee on 2 February and 16 March 2022;</w:t>
      </w:r>
    </w:p>
    <w:p w14:paraId="5126579B" w14:textId="77777777" w:rsidR="002B514F" w:rsidRPr="002661A8" w:rsidRDefault="002B514F" w:rsidP="00ED5088">
      <w:pPr>
        <w:pStyle w:val="ListParagraph"/>
        <w:numPr>
          <w:ilvl w:val="0"/>
          <w:numId w:val="4"/>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Meetings of the Economic and Financial Committee on 18 February and 29 March 2022;</w:t>
      </w:r>
    </w:p>
    <w:p w14:paraId="46FBBFA2" w14:textId="77777777" w:rsidR="002B514F" w:rsidRPr="002661A8" w:rsidRDefault="002B514F" w:rsidP="00ED5088">
      <w:pPr>
        <w:pStyle w:val="ListParagraph"/>
        <w:numPr>
          <w:ilvl w:val="0"/>
          <w:numId w:val="4"/>
        </w:numPr>
        <w:spacing w:after="120" w:line="240" w:lineRule="auto"/>
        <w:contextualSpacing w:val="0"/>
        <w:jc w:val="both"/>
        <w:rPr>
          <w:rFonts w:ascii="Times New Roman" w:hAnsi="Times New Roman" w:cs="Times New Roman"/>
          <w:i/>
          <w:noProof/>
          <w:sz w:val="24"/>
          <w:szCs w:val="24"/>
        </w:rPr>
      </w:pPr>
      <w:r w:rsidRPr="002661A8">
        <w:rPr>
          <w:rFonts w:ascii="Times New Roman" w:hAnsi="Times New Roman" w:cs="Times New Roman"/>
          <w:noProof/>
          <w:sz w:val="24"/>
          <w:szCs w:val="24"/>
        </w:rPr>
        <w:t>Bilateral meetings with stakeholders as well as [confidential] information received from a wide range of stakeholders</w:t>
      </w:r>
      <w:r w:rsidRPr="002661A8">
        <w:rPr>
          <w:rFonts w:ascii="Times New Roman" w:hAnsi="Times New Roman" w:cs="Times New Roman"/>
          <w:i/>
          <w:noProof/>
          <w:sz w:val="24"/>
          <w:szCs w:val="24"/>
        </w:rPr>
        <w:t>.</w:t>
      </w:r>
    </w:p>
    <w:p w14:paraId="42F37A06" w14:textId="77777777" w:rsidR="002B514F" w:rsidRPr="002661A8" w:rsidRDefault="002B514F" w:rsidP="00524D81">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The main messages of this consultative process were:</w:t>
      </w:r>
    </w:p>
    <w:p w14:paraId="119D1FA9" w14:textId="77777777" w:rsidR="002B514F" w:rsidRPr="002661A8" w:rsidRDefault="002B514F" w:rsidP="00ED5088">
      <w:pPr>
        <w:pStyle w:val="ListParagraph"/>
        <w:numPr>
          <w:ilvl w:val="0"/>
          <w:numId w:val="4"/>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Work starting in 2021 showed that improving the attractiveness of clearing, encouraging the development of EU infrastructures, and the supervisory arrangements in the EU will take time. </w:t>
      </w:r>
    </w:p>
    <w:p w14:paraId="53D443F3" w14:textId="671E0F6E" w:rsidR="002B514F" w:rsidRPr="002661A8" w:rsidRDefault="002B514F" w:rsidP="00ED5088">
      <w:pPr>
        <w:pStyle w:val="ListParagraph"/>
        <w:numPr>
          <w:ilvl w:val="0"/>
          <w:numId w:val="4"/>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A variety of measures was identified that could help improve the </w:t>
      </w:r>
      <w:r w:rsidR="00FE4BB5" w:rsidRPr="002661A8">
        <w:rPr>
          <w:rFonts w:ascii="Times New Roman" w:eastAsia="Times New Roman" w:hAnsi="Times New Roman" w:cs="Times New Roman"/>
          <w:noProof/>
          <w:sz w:val="24"/>
          <w:szCs w:val="24"/>
        </w:rPr>
        <w:t>attractiveness</w:t>
      </w:r>
      <w:r w:rsidRPr="002661A8">
        <w:rPr>
          <w:rFonts w:ascii="Times New Roman" w:hAnsi="Times New Roman" w:cs="Times New Roman"/>
          <w:noProof/>
          <w:sz w:val="24"/>
          <w:szCs w:val="24"/>
        </w:rPr>
        <w:t xml:space="preserve"> of EU CCPs and clearing activities as well as ensure that their risks are appropriately managed and supervised.</w:t>
      </w:r>
    </w:p>
    <w:p w14:paraId="113FABE7" w14:textId="489DC7C3" w:rsidR="002B514F" w:rsidRPr="002661A8" w:rsidRDefault="002B514F" w:rsidP="00ED5088">
      <w:pPr>
        <w:pStyle w:val="ListParagraph"/>
        <w:numPr>
          <w:ilvl w:val="0"/>
          <w:numId w:val="4"/>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These measures are not only in the remit of the Commission and co-legislators, but also could potentially require contributions from the ECB, national central banks, ESAs, national supervisory authorities, CCPs and banks. </w:t>
      </w:r>
    </w:p>
    <w:p w14:paraId="52B2829A" w14:textId="77777777" w:rsidR="002B514F" w:rsidRPr="002661A8" w:rsidRDefault="002B514F" w:rsidP="00ED5088">
      <w:pPr>
        <w:pStyle w:val="ListParagraph"/>
        <w:numPr>
          <w:ilvl w:val="0"/>
          <w:numId w:val="4"/>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The consultation showed that market participants generally prefer a market driven approach to regulatory measures, to minimise costs and for EU market participants to remain competitive internationally.</w:t>
      </w:r>
    </w:p>
    <w:p w14:paraId="254924F0" w14:textId="77777777" w:rsidR="002B514F" w:rsidRPr="002661A8" w:rsidRDefault="002B514F" w:rsidP="00ED5088">
      <w:pPr>
        <w:pStyle w:val="ListParagraph"/>
        <w:numPr>
          <w:ilvl w:val="0"/>
          <w:numId w:val="4"/>
        </w:numPr>
        <w:spacing w:after="120" w:line="240" w:lineRule="auto"/>
        <w:contextualSpacing w:val="0"/>
        <w:jc w:val="both"/>
        <w:rPr>
          <w:rFonts w:ascii="Times New Roman" w:hAnsi="Times New Roman" w:cs="Times New Roman"/>
          <w:noProof/>
          <w:sz w:val="24"/>
          <w:szCs w:val="24"/>
        </w:rPr>
      </w:pPr>
      <w:r w:rsidRPr="002661A8">
        <w:rPr>
          <w:rFonts w:ascii="Times New Roman" w:hAnsi="Times New Roman" w:cs="Times New Roman"/>
          <w:noProof/>
          <w:sz w:val="24"/>
          <w:szCs w:val="24"/>
        </w:rPr>
        <w:t>Nevertheless, regulatory measures were supported to a certain extent, especially when allowing for a faster approval process for CCPs’ new products and services</w:t>
      </w:r>
      <w:r w:rsidRPr="002661A8">
        <w:rPr>
          <w:rStyle w:val="FootnoteReference"/>
          <w:rFonts w:ascii="Times New Roman" w:hAnsi="Times New Roman" w:cs="Times New Roman"/>
          <w:noProof/>
          <w:sz w:val="24"/>
          <w:szCs w:val="24"/>
        </w:rPr>
        <w:footnoteReference w:id="169"/>
      </w:r>
      <w:r w:rsidRPr="002661A8">
        <w:rPr>
          <w:rFonts w:ascii="Times New Roman" w:hAnsi="Times New Roman" w:cs="Times New Roman"/>
          <w:noProof/>
          <w:sz w:val="24"/>
          <w:szCs w:val="24"/>
        </w:rPr>
        <w:t>.</w:t>
      </w:r>
    </w:p>
    <w:p w14:paraId="0BFB45EE" w14:textId="1EE77DEE" w:rsidR="002B514F" w:rsidRPr="002661A8" w:rsidRDefault="002B514F" w:rsidP="00A61E96">
      <w:pPr>
        <w:pStyle w:val="Text1"/>
        <w:spacing w:after="120"/>
        <w:rPr>
          <w:noProof/>
        </w:rPr>
      </w:pPr>
      <w:r w:rsidRPr="002661A8">
        <w:rPr>
          <w:noProof/>
        </w:rPr>
        <w:t>Measures deemed useful to enhance EU CCP’s attractiveness were: maintaining an active account with an EU CCP, measures to facilitate expanding services by EU CCPs, broadening the scope of clearing participants, amending hedge accounting rules and enhancing funding and liquidity management conditions for EU CCPs</w:t>
      </w:r>
      <w:r w:rsidR="00F75C60">
        <w:rPr>
          <w:noProof/>
        </w:rPr>
        <w:t>.</w:t>
      </w:r>
    </w:p>
    <w:p w14:paraId="1D4C0FBC" w14:textId="40A50306" w:rsidR="002B514F" w:rsidRPr="002661A8" w:rsidRDefault="002B514F" w:rsidP="001C4637">
      <w:pPr>
        <w:pStyle w:val="ListParagraph"/>
        <w:numPr>
          <w:ilvl w:val="0"/>
          <w:numId w:val="21"/>
        </w:numPr>
        <w:rPr>
          <w:rFonts w:ascii="Times New Roman" w:hAnsi="Times New Roman" w:cs="Times New Roman"/>
          <w:b/>
          <w:noProof/>
          <w:sz w:val="24"/>
          <w:szCs w:val="24"/>
        </w:rPr>
      </w:pPr>
      <w:bookmarkStart w:id="1634" w:name="_Toc107493895"/>
      <w:bookmarkStart w:id="1635" w:name="_Toc107497931"/>
      <w:bookmarkStart w:id="1636" w:name="_Toc107503484"/>
      <w:bookmarkStart w:id="1637" w:name="_Toc107504630"/>
      <w:bookmarkStart w:id="1638" w:name="_Toc107505477"/>
      <w:bookmarkStart w:id="1639" w:name="_Toc107838953"/>
      <w:bookmarkStart w:id="1640" w:name="_Toc107847046"/>
      <w:bookmarkStart w:id="1641" w:name="_Toc107849285"/>
      <w:bookmarkStart w:id="1642" w:name="_Toc107853730"/>
      <w:bookmarkStart w:id="1643" w:name="_Toc107865326"/>
      <w:bookmarkStart w:id="1644" w:name="_Toc108418535"/>
      <w:bookmarkStart w:id="1645" w:name="_Toc108539849"/>
      <w:bookmarkStart w:id="1646" w:name="_Toc108539965"/>
      <w:bookmarkStart w:id="1647" w:name="_Toc109057424"/>
      <w:bookmarkStart w:id="1648" w:name="_Toc109120790"/>
      <w:r w:rsidRPr="002661A8">
        <w:rPr>
          <w:rFonts w:ascii="Times New Roman" w:hAnsi="Times New Roman" w:cs="Times New Roman"/>
          <w:b/>
          <w:noProof/>
          <w:sz w:val="24"/>
          <w:szCs w:val="24"/>
        </w:rPr>
        <w:t>Targeted consultation on the review of the central clearing framework in the EU</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p>
    <w:p w14:paraId="5CF18ED9" w14:textId="22415D91" w:rsidR="00EF61D8" w:rsidRPr="002661A8" w:rsidRDefault="00EF61D8" w:rsidP="009F72E0">
      <w:pPr>
        <w:spacing w:after="120" w:line="240" w:lineRule="auto"/>
        <w:rPr>
          <w:rFonts w:ascii="Times New Roman" w:hAnsi="Times New Roman" w:cs="Times New Roman"/>
          <w:b/>
          <w:i/>
          <w:noProof/>
          <w:sz w:val="24"/>
          <w:szCs w:val="24"/>
        </w:rPr>
      </w:pPr>
      <w:bookmarkStart w:id="1649" w:name="_Toc107493896"/>
      <w:bookmarkStart w:id="1650" w:name="_Toc107497932"/>
      <w:bookmarkStart w:id="1651" w:name="_Toc107503485"/>
      <w:bookmarkStart w:id="1652" w:name="_Toc107504631"/>
      <w:bookmarkStart w:id="1653" w:name="_Toc107505478"/>
      <w:bookmarkStart w:id="1654" w:name="_Toc107838954"/>
      <w:bookmarkStart w:id="1655" w:name="_Toc107847047"/>
      <w:bookmarkStart w:id="1656" w:name="_Toc107849286"/>
      <w:bookmarkStart w:id="1657" w:name="_Toc107853731"/>
      <w:bookmarkStart w:id="1658" w:name="_Toc107865327"/>
      <w:bookmarkStart w:id="1659" w:name="_Toc108418536"/>
      <w:bookmarkStart w:id="1660" w:name="_Toc108539628"/>
      <w:bookmarkStart w:id="1661" w:name="_Toc108539850"/>
      <w:bookmarkStart w:id="1662" w:name="_Toc108539966"/>
      <w:bookmarkStart w:id="1663" w:name="_Toc108540047"/>
      <w:bookmarkStart w:id="1664" w:name="_Toc109057425"/>
      <w:bookmarkStart w:id="1665" w:name="_Toc109120791"/>
      <w:r w:rsidRPr="002661A8">
        <w:rPr>
          <w:rFonts w:ascii="Times New Roman" w:hAnsi="Times New Roman" w:cs="Times New Roman"/>
          <w:b/>
          <w:i/>
          <w:noProof/>
          <w:sz w:val="24"/>
          <w:szCs w:val="24"/>
        </w:rPr>
        <w:t>Purpose and timing of the</w:t>
      </w:r>
      <w:r w:rsidR="002B514F" w:rsidRPr="002661A8">
        <w:rPr>
          <w:rFonts w:ascii="Times New Roman" w:hAnsi="Times New Roman" w:cs="Times New Roman"/>
          <w:b/>
          <w:i/>
          <w:noProof/>
          <w:sz w:val="24"/>
          <w:szCs w:val="24"/>
        </w:rPr>
        <w:t xml:space="preserve"> targeted</w:t>
      </w:r>
      <w:r w:rsidRPr="002661A8">
        <w:rPr>
          <w:rFonts w:ascii="Times New Roman" w:hAnsi="Times New Roman" w:cs="Times New Roman"/>
          <w:b/>
          <w:i/>
          <w:noProof/>
          <w:sz w:val="24"/>
          <w:szCs w:val="24"/>
        </w:rPr>
        <w:t xml:space="preserve"> consultation</w:t>
      </w:r>
      <w:bookmarkEnd w:id="1616"/>
      <w:bookmarkEnd w:id="1617"/>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p>
    <w:p w14:paraId="4FE5456F" w14:textId="77777777" w:rsidR="001F0DF2" w:rsidRPr="001F0DF2" w:rsidRDefault="001F0DF2" w:rsidP="009F72E0">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The Commission launched a targeted consultation seeking views from stakeholders on the review of the Central Clearing Framework in the European Union. A targeted consultation was chosen as the questions focused on a very specific and rather technical area. The feedback period ran from 8 February 2022 to 22 March 2022. The consultation aimed at receiving relevant information for an impact assessment as well as to help determine how best to improve the attractiveness of EU clearing markets and the robustness of EU CCP supervision. DG FISMA services currently envisage a legislative proposal in the second half of 2022.</w:t>
      </w:r>
      <w:r w:rsidRPr="001F0DF2">
        <w:rPr>
          <w:rFonts w:ascii="Times New Roman" w:hAnsi="Times New Roman" w:cs="Times New Roman"/>
          <w:noProof/>
          <w:sz w:val="24"/>
          <w:szCs w:val="24"/>
          <w:lang w:val="en-IE"/>
        </w:rPr>
        <w:br w:type="page"/>
      </w:r>
    </w:p>
    <w:p w14:paraId="29A591BC" w14:textId="77777777" w:rsidR="001F0DF2" w:rsidRPr="001F0DF2" w:rsidRDefault="001F0DF2" w:rsidP="009F72E0">
      <w:pPr>
        <w:pStyle w:val="Heading1"/>
        <w:spacing w:before="0" w:after="120"/>
        <w:rPr>
          <w:noProof/>
          <w:szCs w:val="24"/>
          <w:lang w:val="en-IE"/>
        </w:rPr>
      </w:pPr>
      <w:bookmarkStart w:id="1666" w:name="_Toc120291691"/>
      <w:r w:rsidRPr="001F0DF2">
        <w:rPr>
          <w:noProof/>
          <w:szCs w:val="24"/>
          <w:lang w:val="en-IE"/>
        </w:rPr>
        <w:t>Overview of Respondents</w:t>
      </w:r>
      <w:bookmarkEnd w:id="1666"/>
    </w:p>
    <w:p w14:paraId="1133E2A9" w14:textId="77777777" w:rsidR="00EF61D8" w:rsidRPr="001F0DF2" w:rsidRDefault="00EF61D8">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 xml:space="preserve">71 participants responded to the targeted consultation via the website. The responses are summarised in this feedback statement. Additional responses were received only by email. The latter are treated as confidential and are therefore not mentioned in the information below. </w:t>
      </w:r>
    </w:p>
    <w:p w14:paraId="0E8B16FC" w14:textId="0D388E20" w:rsidR="00EF61D8" w:rsidRPr="001F0DF2" w:rsidRDefault="00EF61D8">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 xml:space="preserve">Responses were received from different stakeholders that can be grouped into wider categories mainly representing the banking industry, market infrastructure operators (e.g., CCPs, CSDs, stock exchanges), investment funds and pensions </w:t>
      </w:r>
      <w:r w:rsidR="001F0DF2" w:rsidRPr="001F0DF2">
        <w:rPr>
          <w:rFonts w:ascii="Times New Roman" w:hAnsi="Times New Roman" w:cs="Times New Roman"/>
          <w:noProof/>
          <w:sz w:val="24"/>
          <w:szCs w:val="24"/>
          <w:lang w:val="en-IE"/>
        </w:rPr>
        <w:t>providors</w:t>
      </w:r>
      <w:r w:rsidR="001F0DF2" w:rsidRPr="001F0DF2">
        <w:rPr>
          <w:rStyle w:val="FootnoteReference"/>
          <w:rFonts w:ascii="Times New Roman" w:hAnsi="Times New Roman" w:cs="Times New Roman"/>
          <w:noProof/>
          <w:sz w:val="24"/>
          <w:szCs w:val="24"/>
          <w:lang w:val="en-IE"/>
        </w:rPr>
        <w:footnoteReference w:id="170"/>
      </w:r>
      <w:r w:rsidR="001F0DF2" w:rsidRPr="001F0DF2">
        <w:rPr>
          <w:rFonts w:ascii="Times New Roman" w:hAnsi="Times New Roman" w:cs="Times New Roman"/>
          <w:noProof/>
          <w:sz w:val="24"/>
          <w:szCs w:val="24"/>
          <w:lang w:val="en-IE"/>
        </w:rPr>
        <w:t>.</w:t>
      </w:r>
      <w:r w:rsidRPr="001F0DF2">
        <w:rPr>
          <w:rFonts w:ascii="Times New Roman" w:hAnsi="Times New Roman" w:cs="Times New Roman"/>
          <w:noProof/>
          <w:sz w:val="24"/>
          <w:szCs w:val="24"/>
          <w:lang w:val="en-IE"/>
        </w:rPr>
        <w:t xml:space="preserve"> However, around 35% of the respondents indicated an ‘other’ field of activity, of which 44% were from the energy industry and 20% multilateral development banks. In total, 77% of respondents were companies or business associations. It is also worth noting, that 11 public authorities</w:t>
      </w:r>
      <w:r w:rsidRPr="001F0DF2">
        <w:rPr>
          <w:rStyle w:val="FootnoteReference"/>
          <w:rFonts w:ascii="Times New Roman" w:hAnsi="Times New Roman" w:cs="Times New Roman"/>
          <w:noProof/>
          <w:sz w:val="24"/>
          <w:szCs w:val="24"/>
          <w:lang w:val="en-IE"/>
        </w:rPr>
        <w:footnoteReference w:id="171"/>
      </w:r>
      <w:r w:rsidRPr="001F0DF2">
        <w:rPr>
          <w:rFonts w:ascii="Times New Roman" w:hAnsi="Times New Roman" w:cs="Times New Roman"/>
          <w:noProof/>
          <w:sz w:val="24"/>
          <w:szCs w:val="24"/>
          <w:lang w:val="en-IE"/>
        </w:rPr>
        <w:t xml:space="preserve"> from seven Member States (France, Czech Republic, Poland, Denmark, Netherlands, Spain, Sweden) replied</w:t>
      </w:r>
      <w:r w:rsidRPr="001F0DF2">
        <w:rPr>
          <w:rStyle w:val="FootnoteReference"/>
          <w:rFonts w:ascii="Times New Roman" w:hAnsi="Times New Roman" w:cs="Times New Roman"/>
          <w:noProof/>
          <w:sz w:val="24"/>
          <w:szCs w:val="24"/>
          <w:lang w:val="en-IE"/>
        </w:rPr>
        <w:footnoteReference w:id="172"/>
      </w:r>
      <w:r w:rsidRPr="001F0DF2">
        <w:rPr>
          <w:rFonts w:ascii="Times New Roman" w:hAnsi="Times New Roman" w:cs="Times New Roman"/>
          <w:noProof/>
          <w:sz w:val="24"/>
          <w:szCs w:val="24"/>
          <w:lang w:val="en-IE"/>
        </w:rPr>
        <w:t xml:space="preserve">. No consumer organisation or citizen responded to the targeted consultation. Around 58% of the replies came from respondents in the EU or in the EEA </w:t>
      </w:r>
      <w:r w:rsidRPr="002661A8">
        <w:rPr>
          <w:rFonts w:ascii="Times New Roman" w:hAnsi="Times New Roman" w:cs="Times New Roman"/>
          <w:noProof/>
          <w:sz w:val="24"/>
          <w:szCs w:val="24"/>
        </w:rPr>
        <w:t>and 14% from respondents outside the EU/EEA</w:t>
      </w:r>
      <w:r w:rsidRPr="001F0DF2">
        <w:rPr>
          <w:rFonts w:ascii="Times New Roman" w:hAnsi="Times New Roman" w:cs="Times New Roman"/>
          <w:noProof/>
          <w:sz w:val="24"/>
          <w:szCs w:val="24"/>
          <w:lang w:val="en-IE"/>
        </w:rPr>
        <w:t>. 28% of respondents wanted to stay anonymous regarding their country of origin.</w:t>
      </w:r>
    </w:p>
    <w:p w14:paraId="177EE9CB" w14:textId="77777777" w:rsidR="001F0DF2" w:rsidRPr="001F0DF2" w:rsidRDefault="001F0DF2" w:rsidP="009E5B45">
      <w:pPr>
        <w:spacing w:after="120" w:line="240" w:lineRule="auto"/>
        <w:jc w:val="both"/>
        <w:rPr>
          <w:rFonts w:ascii="Times New Roman" w:hAnsi="Times New Roman" w:cs="Times New Roman"/>
          <w:noProof/>
          <w:sz w:val="24"/>
          <w:szCs w:val="24"/>
          <w:lang w:val="en-IE" w:eastAsia="de-DE"/>
        </w:rPr>
      </w:pPr>
      <w:r w:rsidRPr="001F0DF2">
        <w:rPr>
          <w:rFonts w:ascii="Times New Roman" w:hAnsi="Times New Roman" w:cs="Times New Roman"/>
          <w:noProof/>
          <w:sz w:val="24"/>
          <w:szCs w:val="24"/>
          <w:lang w:eastAsia="en-GB"/>
        </w:rPr>
        <w:drawing>
          <wp:anchor distT="0" distB="0" distL="114300" distR="114300" simplePos="0" relativeHeight="251656192" behindDoc="0" locked="0" layoutInCell="1" allowOverlap="1" wp14:anchorId="1D2EA757" wp14:editId="54A2392F">
            <wp:simplePos x="0" y="0"/>
            <wp:positionH relativeFrom="column">
              <wp:posOffset>3038475</wp:posOffset>
            </wp:positionH>
            <wp:positionV relativeFrom="paragraph">
              <wp:posOffset>5080</wp:posOffset>
            </wp:positionV>
            <wp:extent cx="2686050" cy="2409825"/>
            <wp:effectExtent l="0" t="0" r="0" b="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1F0DF2">
        <w:rPr>
          <w:rFonts w:ascii="Times New Roman" w:hAnsi="Times New Roman" w:cs="Times New Roman"/>
          <w:noProof/>
          <w:sz w:val="24"/>
          <w:szCs w:val="24"/>
          <w:lang w:eastAsia="en-GB"/>
        </w:rPr>
        <w:drawing>
          <wp:anchor distT="0" distB="0" distL="114300" distR="114300" simplePos="0" relativeHeight="251661312" behindDoc="1" locked="0" layoutInCell="1" allowOverlap="1" wp14:anchorId="3DDBCBD4" wp14:editId="6E78A766">
            <wp:simplePos x="0" y="0"/>
            <wp:positionH relativeFrom="column">
              <wp:posOffset>0</wp:posOffset>
            </wp:positionH>
            <wp:positionV relativeFrom="paragraph">
              <wp:posOffset>-4445</wp:posOffset>
            </wp:positionV>
            <wp:extent cx="3581400" cy="2800350"/>
            <wp:effectExtent l="0" t="0" r="0" b="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1F0DF2">
        <w:rPr>
          <w:rFonts w:ascii="Times New Roman" w:hAnsi="Times New Roman" w:cs="Times New Roman"/>
          <w:noProof/>
          <w:sz w:val="24"/>
          <w:szCs w:val="24"/>
          <w:lang w:val="en-IE" w:eastAsia="de-DE"/>
        </w:rPr>
        <w:t xml:space="preserve"> </w:t>
      </w:r>
    </w:p>
    <w:p w14:paraId="7ADBC57E" w14:textId="77777777" w:rsidR="001F0DF2" w:rsidRPr="001F0DF2" w:rsidRDefault="001F0DF2" w:rsidP="009E5B45">
      <w:pPr>
        <w:spacing w:after="120" w:line="240" w:lineRule="auto"/>
        <w:jc w:val="both"/>
        <w:rPr>
          <w:rFonts w:ascii="Times New Roman" w:hAnsi="Times New Roman" w:cs="Times New Roman"/>
          <w:noProof/>
          <w:sz w:val="24"/>
          <w:szCs w:val="24"/>
          <w:lang w:val="en-IE"/>
        </w:rPr>
      </w:pPr>
    </w:p>
    <w:p w14:paraId="5C346E2E" w14:textId="77777777" w:rsidR="001F0DF2" w:rsidRPr="001F0DF2" w:rsidRDefault="001F0DF2" w:rsidP="009E5B45">
      <w:pPr>
        <w:spacing w:after="120" w:line="240" w:lineRule="auto"/>
        <w:rPr>
          <w:rFonts w:ascii="Times New Roman" w:hAnsi="Times New Roman" w:cs="Times New Roman"/>
          <w:noProof/>
          <w:sz w:val="24"/>
          <w:szCs w:val="24"/>
          <w:lang w:val="en-IE"/>
        </w:rPr>
      </w:pPr>
    </w:p>
    <w:p w14:paraId="6273BAD8" w14:textId="77777777" w:rsidR="001F0DF2" w:rsidRPr="001F0DF2" w:rsidRDefault="001F0DF2" w:rsidP="009E5B45">
      <w:pPr>
        <w:spacing w:after="120" w:line="240" w:lineRule="auto"/>
        <w:rPr>
          <w:rFonts w:ascii="Times New Roman" w:hAnsi="Times New Roman" w:cs="Times New Roman"/>
          <w:noProof/>
          <w:sz w:val="24"/>
          <w:szCs w:val="24"/>
          <w:lang w:val="en-IE"/>
        </w:rPr>
      </w:pPr>
    </w:p>
    <w:p w14:paraId="0CD3CC09" w14:textId="77777777" w:rsidR="001F0DF2" w:rsidRPr="001F0DF2" w:rsidRDefault="001F0DF2" w:rsidP="009E5B45">
      <w:pPr>
        <w:spacing w:after="120" w:line="240" w:lineRule="auto"/>
        <w:rPr>
          <w:rFonts w:ascii="Times New Roman" w:hAnsi="Times New Roman" w:cs="Times New Roman"/>
          <w:noProof/>
          <w:sz w:val="24"/>
          <w:szCs w:val="24"/>
          <w:lang w:val="en-IE"/>
        </w:rPr>
      </w:pPr>
    </w:p>
    <w:p w14:paraId="34472766" w14:textId="77777777" w:rsidR="001F0DF2" w:rsidRPr="001F0DF2" w:rsidRDefault="001F0DF2" w:rsidP="009E5B45">
      <w:pPr>
        <w:spacing w:after="120" w:line="240" w:lineRule="auto"/>
        <w:rPr>
          <w:rFonts w:ascii="Times New Roman" w:hAnsi="Times New Roman" w:cs="Times New Roman"/>
          <w:noProof/>
          <w:sz w:val="24"/>
          <w:szCs w:val="24"/>
          <w:lang w:val="en-IE"/>
        </w:rPr>
      </w:pPr>
    </w:p>
    <w:p w14:paraId="28BF3B63" w14:textId="77777777" w:rsidR="001F0DF2" w:rsidRPr="001F0DF2" w:rsidRDefault="001F0DF2" w:rsidP="009E5B45">
      <w:pPr>
        <w:spacing w:after="120" w:line="240" w:lineRule="auto"/>
        <w:rPr>
          <w:rFonts w:ascii="Times New Roman" w:hAnsi="Times New Roman" w:cs="Times New Roman"/>
          <w:noProof/>
          <w:sz w:val="24"/>
          <w:szCs w:val="24"/>
          <w:lang w:val="en-IE"/>
        </w:rPr>
      </w:pPr>
    </w:p>
    <w:p w14:paraId="4B561BCE" w14:textId="77777777" w:rsidR="001F0DF2" w:rsidRPr="001F0DF2" w:rsidRDefault="001F0DF2" w:rsidP="009E5B45">
      <w:pPr>
        <w:spacing w:after="120" w:line="240" w:lineRule="auto"/>
        <w:rPr>
          <w:rFonts w:ascii="Times New Roman" w:hAnsi="Times New Roman" w:cs="Times New Roman"/>
          <w:noProof/>
          <w:sz w:val="24"/>
          <w:szCs w:val="24"/>
          <w:lang w:val="en-IE"/>
        </w:rPr>
      </w:pPr>
    </w:p>
    <w:p w14:paraId="41759BAE" w14:textId="77777777" w:rsidR="001F0DF2" w:rsidRPr="001F0DF2" w:rsidRDefault="001F0DF2" w:rsidP="009E5B45">
      <w:pPr>
        <w:spacing w:after="120" w:line="240" w:lineRule="auto"/>
        <w:rPr>
          <w:rFonts w:ascii="Times New Roman" w:hAnsi="Times New Roman" w:cs="Times New Roman"/>
          <w:noProof/>
          <w:sz w:val="24"/>
          <w:szCs w:val="24"/>
          <w:lang w:val="en-IE"/>
        </w:rPr>
      </w:pPr>
    </w:p>
    <w:p w14:paraId="57E246FD" w14:textId="77777777" w:rsidR="001F0DF2" w:rsidRPr="001F0DF2" w:rsidRDefault="001F0DF2" w:rsidP="009E5B45">
      <w:pPr>
        <w:spacing w:after="120" w:line="240" w:lineRule="auto"/>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br w:type="page"/>
      </w:r>
    </w:p>
    <w:p w14:paraId="723D4313" w14:textId="77777777" w:rsidR="00EF61D8" w:rsidRPr="002661A8" w:rsidRDefault="00EF61D8" w:rsidP="009F72E0">
      <w:pPr>
        <w:pStyle w:val="Heading1"/>
        <w:spacing w:before="0" w:after="120"/>
        <w:rPr>
          <w:i/>
          <w:noProof/>
          <w:szCs w:val="24"/>
        </w:rPr>
      </w:pPr>
      <w:bookmarkStart w:id="1667" w:name="_Toc120291692"/>
      <w:r w:rsidRPr="001F0DF2">
        <w:rPr>
          <w:noProof/>
          <w:szCs w:val="24"/>
          <w:lang w:val="en-IE"/>
        </w:rPr>
        <w:t xml:space="preserve">Summary of Key </w:t>
      </w:r>
      <w:r w:rsidRPr="009F72E0">
        <w:rPr>
          <w:noProof/>
          <w:szCs w:val="24"/>
          <w:lang w:val="en-IE"/>
        </w:rPr>
        <w:t>Messages</w:t>
      </w:r>
      <w:bookmarkEnd w:id="1667"/>
    </w:p>
    <w:p w14:paraId="3343235E" w14:textId="77777777" w:rsidR="00EF61D8" w:rsidRPr="001F0DF2" w:rsidRDefault="00EF61D8">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In total 71 stakeholders replied to the consultation via the Commission website. However, the number of responses per question varied considerably. There was no question with more than 36 responses. To some questions, only very few or even no replies were received. Nevertheless, taking into account that several business associations answered expressing the views of their members, the feedback provides valuable insights. However, it should not be seen as fully representative.</w:t>
      </w:r>
    </w:p>
    <w:p w14:paraId="31B0A38B" w14:textId="77777777" w:rsidR="00EF61D8" w:rsidRPr="001F0DF2" w:rsidRDefault="00EF61D8">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This section aims to provide a summary of responses received to the targeted consultation, including statistical information. Each sub-section contains a brief synopsis of the responses received for a specific topic, while the analysis does not aim to give an overview of responses for each individual question. The percentages expressed exclude those who did not answer the questions and those who chose the option “don’t know/ no opinion”.</w:t>
      </w:r>
    </w:p>
    <w:p w14:paraId="6E0B642F" w14:textId="0A009153" w:rsidR="001F0DF2" w:rsidRPr="001F0DF2" w:rsidRDefault="001F0DF2" w:rsidP="000735A6">
      <w:pPr>
        <w:pStyle w:val="Heading4"/>
        <w:rPr>
          <w:noProof/>
          <w:lang w:val="en-IE"/>
        </w:rPr>
      </w:pPr>
      <w:r w:rsidRPr="001F0DF2">
        <w:rPr>
          <w:noProof/>
          <w:lang w:val="en-IE"/>
        </w:rPr>
        <w:t xml:space="preserve">MOST EFFECTIVE MEASURES IN CONTRIBUTING TO THE OBJECTIVES </w:t>
      </w:r>
    </w:p>
    <w:p w14:paraId="7BEC6B8B" w14:textId="77777777" w:rsidR="00EF61D8" w:rsidRPr="001F0DF2" w:rsidRDefault="00EF61D8">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The first question of the consultation aimed to get an overview of stakeholders’ views on the effectiveness of a range of possible options which could support enhancing the attractiveness of clearing at EU CCPs. Respondents considered some measures (rather) effective, notably measures to ‘expand the services by EU CCPs’, ‘broadening the scope of clearing participants’, ‘maintaining an active account with an EU CCP’, ‘harmonising hedge accounting rules’, ‘improving payment and settlement arrangements for central clearing’ and ‘enhancing funding and liquidity management conditions’.</w:t>
      </w:r>
    </w:p>
    <w:p w14:paraId="37E6BD37" w14:textId="66507CAB" w:rsidR="00EF61D8" w:rsidRPr="001F0DF2" w:rsidRDefault="00EF61D8">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At the same time, respondents found other measures to be (rather) ineffective, notably ‘higher capital requirements in the CRR for exposures to Tier 2 non- EU CCPs</w:t>
      </w:r>
      <w:bookmarkStart w:id="1668" w:name="_Ref120290951"/>
      <w:r w:rsidRPr="001F0DF2">
        <w:rPr>
          <w:rStyle w:val="FootnoteReference"/>
          <w:rFonts w:ascii="Times New Roman" w:hAnsi="Times New Roman" w:cs="Times New Roman"/>
          <w:noProof/>
          <w:sz w:val="24"/>
          <w:szCs w:val="24"/>
          <w:lang w:val="en-IE"/>
        </w:rPr>
        <w:footnoteReference w:id="173"/>
      </w:r>
      <w:bookmarkEnd w:id="1668"/>
      <w:r w:rsidRPr="001F0DF2">
        <w:rPr>
          <w:rFonts w:ascii="Times New Roman" w:hAnsi="Times New Roman" w:cs="Times New Roman"/>
          <w:noProof/>
          <w:sz w:val="24"/>
          <w:szCs w:val="24"/>
          <w:lang w:val="en-IE"/>
        </w:rPr>
        <w:t>’, an ‘exposure reduction targets toward specific Tier 2 non- EU CCPs’, an ‘obligation to clear in the EU’ and ‘macroprudential tools’.</w:t>
      </w:r>
      <w:r w:rsidRPr="001F0DF2">
        <w:rPr>
          <w:rStyle w:val="FootnoteReference"/>
          <w:rFonts w:ascii="Times New Roman" w:hAnsi="Times New Roman" w:cs="Times New Roman"/>
          <w:noProof/>
          <w:sz w:val="24"/>
          <w:szCs w:val="24"/>
          <w:lang w:val="en-IE"/>
        </w:rPr>
        <w:footnoteReference w:id="174"/>
      </w:r>
      <w:r w:rsidRPr="001F0DF2">
        <w:rPr>
          <w:rFonts w:ascii="Times New Roman" w:hAnsi="Times New Roman" w:cs="Times New Roman"/>
          <w:noProof/>
          <w:sz w:val="24"/>
          <w:szCs w:val="24"/>
          <w:lang w:val="en-IE"/>
        </w:rPr>
        <w:t xml:space="preserve"> The following sections provide more details on respondents’ feedback.</w:t>
      </w:r>
    </w:p>
    <w:p w14:paraId="4A77BC3F" w14:textId="77777777" w:rsidR="001F0DF2" w:rsidRPr="001F0DF2" w:rsidRDefault="001F0DF2" w:rsidP="000735A6">
      <w:pPr>
        <w:pStyle w:val="Heading4"/>
        <w:rPr>
          <w:noProof/>
          <w:lang w:val="en-IE"/>
        </w:rPr>
      </w:pPr>
      <w:r w:rsidRPr="001F0DF2">
        <w:rPr>
          <w:noProof/>
          <w:lang w:val="en-IE"/>
        </w:rPr>
        <w:t>SCOPE OF CLEARING PARTICIPANTS AND PRODUCTS CLEARED</w:t>
      </w:r>
    </w:p>
    <w:p w14:paraId="53241346" w14:textId="68B960CD" w:rsidR="00EF61D8" w:rsidRPr="002661A8" w:rsidRDefault="00EF61D8" w:rsidP="009F72E0">
      <w:pPr>
        <w:pStyle w:val="Heading3"/>
        <w:spacing w:after="120"/>
        <w:rPr>
          <w:noProof/>
          <w:szCs w:val="24"/>
        </w:rPr>
      </w:pPr>
      <w:r w:rsidRPr="001F0DF2">
        <w:rPr>
          <w:noProof/>
          <w:szCs w:val="24"/>
          <w:lang w:val="en-IE"/>
        </w:rPr>
        <w:t>Clearing obligation for Pension Scheme Arrangements (PSAs)</w:t>
      </w:r>
    </w:p>
    <w:p w14:paraId="2A0433A1" w14:textId="38CB988B" w:rsidR="00EF61D8" w:rsidRPr="001F0DF2" w:rsidRDefault="00EF61D8">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The consultation asked what measures would be needed to make clearing in the EU more attractive for Pension Scheme Arrangements. Two public authorities believed PSAs face similar challenges as other participants and expressed support for ending their clearing exemption while highlighting – as did the vast majority of respondents (82</w:t>
      </w:r>
      <w:r w:rsidR="001F0DF2" w:rsidRPr="001F0DF2">
        <w:rPr>
          <w:rFonts w:ascii="Times New Roman" w:hAnsi="Times New Roman" w:cs="Times New Roman"/>
          <w:noProof/>
          <w:sz w:val="24"/>
          <w:szCs w:val="24"/>
          <w:lang w:val="en-IE"/>
        </w:rPr>
        <w:t>%, i.e. 28 out of 34 respondents</w:t>
      </w:r>
      <w:r w:rsidRPr="001F0DF2">
        <w:rPr>
          <w:rFonts w:ascii="Times New Roman" w:hAnsi="Times New Roman" w:cs="Times New Roman"/>
          <w:noProof/>
          <w:sz w:val="24"/>
          <w:szCs w:val="24"/>
          <w:lang w:val="en-IE"/>
        </w:rPr>
        <w:t xml:space="preserve">) - that PSAs need access to liquidity </w:t>
      </w:r>
      <w:r w:rsidR="001F0DF2" w:rsidRPr="001F0DF2">
        <w:rPr>
          <w:rFonts w:ascii="Times New Roman" w:hAnsi="Times New Roman" w:cs="Times New Roman"/>
          <w:noProof/>
          <w:sz w:val="24"/>
          <w:szCs w:val="24"/>
          <w:lang w:val="en-IE"/>
        </w:rPr>
        <w:t xml:space="preserve">in order </w:t>
      </w:r>
      <w:r w:rsidRPr="001F0DF2">
        <w:rPr>
          <w:rFonts w:ascii="Times New Roman" w:hAnsi="Times New Roman" w:cs="Times New Roman"/>
          <w:noProof/>
          <w:sz w:val="24"/>
          <w:szCs w:val="24"/>
          <w:lang w:val="en-IE"/>
        </w:rPr>
        <w:t xml:space="preserve">to be able to provide margin, </w:t>
      </w:r>
      <w:r w:rsidR="001F0DF2" w:rsidRPr="001F0DF2">
        <w:rPr>
          <w:rFonts w:ascii="Times New Roman" w:hAnsi="Times New Roman" w:cs="Times New Roman"/>
          <w:noProof/>
          <w:sz w:val="24"/>
          <w:szCs w:val="24"/>
          <w:lang w:val="en-IE"/>
        </w:rPr>
        <w:t>in particular</w:t>
      </w:r>
      <w:r w:rsidRPr="001F0DF2">
        <w:rPr>
          <w:rFonts w:ascii="Times New Roman" w:hAnsi="Times New Roman" w:cs="Times New Roman"/>
          <w:noProof/>
          <w:sz w:val="24"/>
          <w:szCs w:val="24"/>
          <w:lang w:val="en-IE"/>
        </w:rPr>
        <w:t xml:space="preserve"> in adverse market situations. 56%</w:t>
      </w:r>
      <w:r w:rsidR="001F0DF2" w:rsidRPr="001F0DF2">
        <w:rPr>
          <w:rFonts w:ascii="Times New Roman" w:hAnsi="Times New Roman" w:cs="Times New Roman"/>
          <w:noProof/>
          <w:sz w:val="24"/>
          <w:szCs w:val="24"/>
          <w:lang w:val="en-IE"/>
        </w:rPr>
        <w:t xml:space="preserve"> (19 out of 34 respondents)</w:t>
      </w:r>
      <w:r w:rsidRPr="001F0DF2">
        <w:rPr>
          <w:rFonts w:ascii="Times New Roman" w:hAnsi="Times New Roman" w:cs="Times New Roman"/>
          <w:noProof/>
          <w:sz w:val="24"/>
          <w:szCs w:val="24"/>
          <w:lang w:val="en-IE"/>
        </w:rPr>
        <w:t xml:space="preserve"> of respondents suggested that PSAs should get access to central bank-backed facilities to support their liquidity in times of stress. Views were split </w:t>
      </w:r>
      <w:r w:rsidR="001F0DF2" w:rsidRPr="001F0DF2">
        <w:rPr>
          <w:rFonts w:ascii="Times New Roman" w:hAnsi="Times New Roman" w:cs="Times New Roman"/>
          <w:noProof/>
          <w:sz w:val="24"/>
          <w:szCs w:val="24"/>
          <w:lang w:val="en-IE"/>
        </w:rPr>
        <w:t>regarding</w:t>
      </w:r>
      <w:r w:rsidR="001A6579" w:rsidRPr="001F0DF2">
        <w:rPr>
          <w:rFonts w:ascii="Times New Roman" w:hAnsi="Times New Roman" w:cs="Times New Roman"/>
          <w:noProof/>
          <w:sz w:val="24"/>
          <w:szCs w:val="24"/>
          <w:lang w:val="en-IE"/>
        </w:rPr>
        <w:t xml:space="preserve"> </w:t>
      </w:r>
      <w:r w:rsidRPr="001F0DF2">
        <w:rPr>
          <w:rFonts w:ascii="Times New Roman" w:hAnsi="Times New Roman" w:cs="Times New Roman"/>
          <w:noProof/>
          <w:sz w:val="24"/>
          <w:szCs w:val="24"/>
          <w:lang w:val="en-IE"/>
        </w:rPr>
        <w:t>the question whether specific regulatory initiatives or improvements to be brought about by the market itself are most suited to facilitate central clearing for PSAs.</w:t>
      </w:r>
    </w:p>
    <w:p w14:paraId="7E3D8119" w14:textId="77777777" w:rsidR="00EF61D8" w:rsidRPr="002661A8" w:rsidRDefault="00EF61D8" w:rsidP="009F72E0">
      <w:pPr>
        <w:pStyle w:val="Heading3"/>
        <w:spacing w:after="120"/>
        <w:rPr>
          <w:noProof/>
          <w:szCs w:val="24"/>
        </w:rPr>
      </w:pPr>
      <w:r w:rsidRPr="001F0DF2">
        <w:rPr>
          <w:noProof/>
          <w:szCs w:val="24"/>
          <w:lang w:val="en-IE"/>
        </w:rPr>
        <w:t xml:space="preserve">More clearing by private entities that do not access CCPs </w:t>
      </w:r>
      <w:r w:rsidRPr="002661A8">
        <w:rPr>
          <w:i w:val="0"/>
          <w:noProof/>
          <w:szCs w:val="24"/>
        </w:rPr>
        <w:t>directly</w:t>
      </w:r>
    </w:p>
    <w:p w14:paraId="188EA594" w14:textId="75A7DFF7" w:rsidR="00EF61D8" w:rsidRPr="001F0DF2" w:rsidRDefault="00EF61D8">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The clearing obligation under EMIR applies to a broad range of entities, most of which access the services of CCPs through a clearing member</w:t>
      </w:r>
      <w:r w:rsidRPr="001F0DF2">
        <w:rPr>
          <w:rStyle w:val="FootnoteReference"/>
          <w:rFonts w:ascii="Times New Roman" w:hAnsi="Times New Roman" w:cs="Times New Roman"/>
          <w:noProof/>
          <w:sz w:val="24"/>
          <w:szCs w:val="24"/>
          <w:lang w:val="en-IE"/>
        </w:rPr>
        <w:footnoteReference w:id="175"/>
      </w:r>
      <w:r w:rsidRPr="001F0DF2">
        <w:rPr>
          <w:rFonts w:ascii="Times New Roman" w:hAnsi="Times New Roman" w:cs="Times New Roman"/>
          <w:noProof/>
          <w:sz w:val="24"/>
          <w:szCs w:val="24"/>
          <w:lang w:val="en-IE"/>
        </w:rPr>
        <w:t>. The consultation aimed to gather a better understanding of their clearing activity and explore possible initiatives to encourage them to clear in EU CCPs. Only few stakeholders replied to the questions of this section</w:t>
      </w:r>
      <w:r w:rsidR="001F0DF2" w:rsidRPr="001F0DF2">
        <w:rPr>
          <w:rFonts w:ascii="Times New Roman" w:hAnsi="Times New Roman" w:cs="Times New Roman"/>
          <w:noProof/>
          <w:sz w:val="24"/>
          <w:szCs w:val="24"/>
          <w:lang w:val="en-IE"/>
        </w:rPr>
        <w:t xml:space="preserve"> (i.e. 13</w:t>
      </w:r>
      <w:r w:rsidRPr="001F0DF2">
        <w:rPr>
          <w:rFonts w:ascii="Times New Roman" w:hAnsi="Times New Roman" w:cs="Times New Roman"/>
          <w:noProof/>
          <w:sz w:val="24"/>
          <w:szCs w:val="24"/>
          <w:lang w:val="en-IE"/>
        </w:rPr>
        <w:t xml:space="preserve"> respondents</w:t>
      </w:r>
      <w:r w:rsidR="001F0DF2" w:rsidRPr="001F0DF2">
        <w:rPr>
          <w:rFonts w:ascii="Times New Roman" w:hAnsi="Times New Roman" w:cs="Times New Roman"/>
          <w:noProof/>
          <w:sz w:val="24"/>
          <w:szCs w:val="24"/>
          <w:lang w:val="en-IE"/>
        </w:rPr>
        <w:t xml:space="preserve"> in total answered to at least one of the questions in this section). Two respondents</w:t>
      </w:r>
      <w:r w:rsidRPr="001F0DF2">
        <w:rPr>
          <w:rFonts w:ascii="Times New Roman" w:hAnsi="Times New Roman" w:cs="Times New Roman"/>
          <w:noProof/>
          <w:sz w:val="24"/>
          <w:szCs w:val="24"/>
          <w:lang w:val="en-IE"/>
        </w:rPr>
        <w:t xml:space="preserve"> (corporates) said that they do not clear voluntarily because of unpredictable margin calls which do not relate to their commercial (i.e., non-financial) activity. A business association representing corporates added that corporates use derivatives to manage specific risks linked to their business operations and pointed out that many products which meet the standardisation criteria to be cleared in CCPs do not meet their specific needs in terms of maturity and flexibility. Moreover, </w:t>
      </w:r>
      <w:r w:rsidR="001F0DF2" w:rsidRPr="001F0DF2">
        <w:rPr>
          <w:rFonts w:ascii="Times New Roman" w:hAnsi="Times New Roman" w:cs="Times New Roman"/>
          <w:noProof/>
          <w:sz w:val="24"/>
          <w:szCs w:val="24"/>
          <w:lang w:val="en-IE"/>
        </w:rPr>
        <w:t>three</w:t>
      </w:r>
      <w:r w:rsidRPr="001F0DF2">
        <w:rPr>
          <w:rFonts w:ascii="Times New Roman" w:hAnsi="Times New Roman" w:cs="Times New Roman"/>
          <w:noProof/>
          <w:sz w:val="24"/>
          <w:szCs w:val="24"/>
          <w:lang w:val="en-IE"/>
        </w:rPr>
        <w:t xml:space="preserve"> other respondents (with their field of activity in investment management, pension provisions and market making) highlighted that voluntary clearing of certain products can accomplish pricing and margin netting advantages as well as operational efficiencies, especially if already other products are cleared. Many respondents</w:t>
      </w:r>
      <w:r w:rsidR="001F0DF2" w:rsidRPr="001F0DF2">
        <w:rPr>
          <w:rFonts w:ascii="Times New Roman" w:hAnsi="Times New Roman" w:cs="Times New Roman"/>
          <w:noProof/>
          <w:sz w:val="24"/>
          <w:szCs w:val="24"/>
          <w:lang w:val="en-IE"/>
        </w:rPr>
        <w:t>, i.e. 11 out of 12,</w:t>
      </w:r>
      <w:r w:rsidRPr="001F0DF2">
        <w:rPr>
          <w:rFonts w:ascii="Times New Roman" w:hAnsi="Times New Roman" w:cs="Times New Roman"/>
          <w:noProof/>
          <w:sz w:val="24"/>
          <w:szCs w:val="24"/>
          <w:lang w:val="en-IE"/>
        </w:rPr>
        <w:t xml:space="preserve"> were in favour of further incentives to facilitate client clearing and suggested different measures, e.g. a central bank backed collateral transformation service that would allow firms to convert high quality collateral into cash for variation margin calls in adverse market situations, complementing the offer currently provided by commercial banks.</w:t>
      </w:r>
    </w:p>
    <w:p w14:paraId="3372DE3B" w14:textId="77777777" w:rsidR="00EF61D8" w:rsidRPr="002661A8" w:rsidRDefault="00EF61D8" w:rsidP="009F72E0">
      <w:pPr>
        <w:pStyle w:val="Heading3"/>
        <w:spacing w:after="120"/>
        <w:rPr>
          <w:b/>
          <w:noProof/>
          <w:szCs w:val="24"/>
        </w:rPr>
      </w:pPr>
      <w:r w:rsidRPr="001F0DF2">
        <w:rPr>
          <w:noProof/>
          <w:szCs w:val="24"/>
          <w:lang w:val="en-IE"/>
        </w:rPr>
        <w:t>Encourage clearing by public entities</w:t>
      </w:r>
    </w:p>
    <w:p w14:paraId="58C45180" w14:textId="10A51611" w:rsidR="00EF61D8" w:rsidRPr="001F0DF2" w:rsidRDefault="00EF61D8">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The consultation asked to what extent clearing by public entities would add to the attractiveness of central clearing in the EU. 36 respondents</w:t>
      </w:r>
      <w:r w:rsidR="00CB53ED">
        <w:rPr>
          <w:rFonts w:ascii="Times New Roman" w:hAnsi="Times New Roman" w:cs="Times New Roman"/>
          <w:noProof/>
          <w:sz w:val="24"/>
          <w:szCs w:val="24"/>
          <w:lang w:val="en-IE"/>
        </w:rPr>
        <w:t>, including 6 from third countries</w:t>
      </w:r>
      <w:r w:rsidRPr="001F0DF2">
        <w:rPr>
          <w:rFonts w:ascii="Times New Roman" w:hAnsi="Times New Roman" w:cs="Times New Roman"/>
          <w:noProof/>
          <w:sz w:val="24"/>
          <w:szCs w:val="24"/>
          <w:lang w:val="en-IE"/>
        </w:rPr>
        <w:t xml:space="preserve"> provided a reply to at least one question in this section. In general, stakeholders agreed that central clearing of public entities would provide more liquidity and add to the attractiveness of central clearing. However, views on how central clearing by public entities could and should be enhanced, differed.</w:t>
      </w:r>
    </w:p>
    <w:p w14:paraId="7E77940E" w14:textId="77777777" w:rsidR="00EF61D8" w:rsidRPr="001F0DF2" w:rsidRDefault="00EF61D8">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Member States’ public authorities were generally in favour of public entities centrally clearing if it remains voluntary</w:t>
      </w:r>
      <w:r w:rsidRPr="001F0DF2">
        <w:rPr>
          <w:rStyle w:val="FootnoteReference"/>
          <w:rFonts w:ascii="Times New Roman" w:hAnsi="Times New Roman" w:cs="Times New Roman"/>
          <w:noProof/>
          <w:sz w:val="24"/>
          <w:szCs w:val="24"/>
          <w:lang w:val="en-IE"/>
        </w:rPr>
        <w:footnoteReference w:id="176"/>
      </w:r>
      <w:r w:rsidRPr="001F0DF2">
        <w:rPr>
          <w:rFonts w:ascii="Times New Roman" w:hAnsi="Times New Roman" w:cs="Times New Roman"/>
          <w:noProof/>
          <w:sz w:val="24"/>
          <w:szCs w:val="24"/>
          <w:lang w:val="en-IE"/>
        </w:rPr>
        <w:t>. The same holds true for most public entities</w:t>
      </w:r>
      <w:r w:rsidRPr="001F0DF2">
        <w:rPr>
          <w:rStyle w:val="FootnoteReference"/>
          <w:rFonts w:ascii="Times New Roman" w:hAnsi="Times New Roman" w:cs="Times New Roman"/>
          <w:noProof/>
          <w:sz w:val="24"/>
          <w:szCs w:val="24"/>
          <w:lang w:val="en-IE"/>
        </w:rPr>
        <w:footnoteReference w:id="177"/>
      </w:r>
      <w:r w:rsidRPr="001F0DF2">
        <w:rPr>
          <w:rFonts w:ascii="Times New Roman" w:hAnsi="Times New Roman" w:cs="Times New Roman"/>
          <w:noProof/>
          <w:sz w:val="24"/>
          <w:szCs w:val="24"/>
          <w:lang w:val="en-IE"/>
        </w:rPr>
        <w:t xml:space="preserve"> that would be concerned by a potential clearing obligation. They argued that market needs should prevail and – because of public entities’ special mandate and status - a clearing obligation may bring additional risks and higher costs while not providing additional value. Moreover, due to their special mandate, public entities may be unable to assume liability for default fund contributions requiring specific conditions for public entities’ access to central clearing which could increase risks for financial stability.</w:t>
      </w:r>
    </w:p>
    <w:p w14:paraId="4C77E741" w14:textId="77777777" w:rsidR="00EF61D8" w:rsidRPr="001F0DF2" w:rsidRDefault="00EF61D8">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Other stakeholders, notably banks, securities markets associations and pension scheme arrangements, expressed the view that central clearing of public entities would not only improve liquidity but also give a clear and strong signal to the market about the confidence that EU public actors have in the robustness and reliability of the EU derivatives clearing eco-system. They underlined that a successful EU onshoring of the clearing of euro-denominated derivatives implies public support and incentives. Some suggested making central clearing mandatory depending on the size and mandate of the public entity. Other highlighted also that public entities may be unable to assume liability for default fund contributions and specific conditions for their participation may be needed to be considered.</w:t>
      </w:r>
    </w:p>
    <w:p w14:paraId="2EEF805B" w14:textId="4447EDE8" w:rsidR="00EF61D8" w:rsidRPr="001F0DF2" w:rsidRDefault="00EF61D8">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 xml:space="preserve">CCPs and market infrastructures also pointed to the benefits of public entities to centrally clear. </w:t>
      </w:r>
      <w:r w:rsidR="001F0DF2" w:rsidRPr="001F0DF2">
        <w:rPr>
          <w:rFonts w:ascii="Times New Roman" w:hAnsi="Times New Roman" w:cs="Times New Roman"/>
          <w:noProof/>
          <w:sz w:val="24"/>
          <w:szCs w:val="24"/>
          <w:lang w:val="en-IE"/>
        </w:rPr>
        <w:t>Most, i.e. 5 out of 7 respondents,</w:t>
      </w:r>
      <w:r w:rsidRPr="001F0DF2">
        <w:rPr>
          <w:rFonts w:ascii="Times New Roman" w:hAnsi="Times New Roman" w:cs="Times New Roman"/>
          <w:noProof/>
          <w:sz w:val="24"/>
          <w:szCs w:val="24"/>
          <w:lang w:val="en-IE"/>
        </w:rPr>
        <w:t xml:space="preserve"> highlighted an increase in liquidity and some</w:t>
      </w:r>
      <w:r w:rsidRPr="001F0DF2">
        <w:rPr>
          <w:rStyle w:val="FootnoteReference"/>
          <w:rFonts w:ascii="Times New Roman" w:hAnsi="Times New Roman" w:cs="Times New Roman"/>
          <w:noProof/>
          <w:sz w:val="24"/>
          <w:szCs w:val="24"/>
          <w:lang w:val="en-IE"/>
        </w:rPr>
        <w:footnoteReference w:id="178"/>
      </w:r>
      <w:r w:rsidRPr="001F0DF2">
        <w:rPr>
          <w:rFonts w:ascii="Times New Roman" w:hAnsi="Times New Roman" w:cs="Times New Roman"/>
          <w:noProof/>
          <w:sz w:val="24"/>
          <w:szCs w:val="24"/>
          <w:lang w:val="en-IE"/>
        </w:rPr>
        <w:t xml:space="preserve"> argued further that it would diversify clearing, give a strong signal to the market and contribute to harmonisation and consolidation and – as a consequence - improve financial stability.</w:t>
      </w:r>
    </w:p>
    <w:p w14:paraId="351BF16F" w14:textId="77777777" w:rsidR="00EF61D8" w:rsidRPr="002661A8" w:rsidRDefault="00EF61D8" w:rsidP="009F72E0">
      <w:pPr>
        <w:pStyle w:val="Heading3"/>
        <w:spacing w:after="120"/>
        <w:rPr>
          <w:b/>
          <w:noProof/>
          <w:szCs w:val="24"/>
        </w:rPr>
      </w:pPr>
      <w:r w:rsidRPr="001F0DF2">
        <w:rPr>
          <w:noProof/>
          <w:szCs w:val="24"/>
          <w:lang w:val="en-IE"/>
        </w:rPr>
        <w:t>Broadening the product scope of the clearing obligation</w:t>
      </w:r>
    </w:p>
    <w:p w14:paraId="305F94AE" w14:textId="77777777" w:rsidR="001F0DF2" w:rsidRPr="001F0DF2" w:rsidRDefault="001F0DF2" w:rsidP="009F72E0">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The majority of respondents (83%, i.e. 25 out of 30 respondents) did not see the need to extend the range of products subject to the clearing obligation. Market participants expressed the view that the clearing obligation should only apply to those products that are liquid and standardised enough. CCPs however were in favour of an wider scope, mentioning e.g. foreign exchange and crypto derivatives. Moreover, the majority of respondents (83%, i.e. 15 out of 18 respondents) said that there are instances where participants would choose to trade bilaterally if products are available for clearing but not subject to the clearing obligation. Reasons included, for instance, costs, operational and legal readiness and the counterparty’s ability to clear.</w:t>
      </w:r>
    </w:p>
    <w:p w14:paraId="5DD7A79C" w14:textId="77777777" w:rsidR="001F0DF2" w:rsidRPr="001F0DF2" w:rsidRDefault="001F0DF2" w:rsidP="000735A6">
      <w:pPr>
        <w:pStyle w:val="Heading4"/>
        <w:rPr>
          <w:noProof/>
          <w:lang w:val="en-IE"/>
        </w:rPr>
      </w:pPr>
      <w:r w:rsidRPr="001F0DF2">
        <w:rPr>
          <w:noProof/>
          <w:lang w:val="en-IE"/>
        </w:rPr>
        <w:t>MEASURES TOWARDS MARKET PARTICIPANTS</w:t>
      </w:r>
    </w:p>
    <w:p w14:paraId="3545E1B1" w14:textId="77777777" w:rsidR="001F0DF2" w:rsidRPr="001F0DF2" w:rsidRDefault="001F0DF2" w:rsidP="009F72E0">
      <w:pPr>
        <w:pStyle w:val="Heading3"/>
        <w:spacing w:after="120"/>
        <w:rPr>
          <w:noProof/>
          <w:szCs w:val="24"/>
          <w:lang w:val="en-IE"/>
        </w:rPr>
      </w:pPr>
      <w:r w:rsidRPr="001F0DF2">
        <w:rPr>
          <w:noProof/>
          <w:szCs w:val="24"/>
          <w:lang w:val="en-IE"/>
        </w:rPr>
        <w:t>Reflecting systemic importance and associated risks of Tier 2 non-EU CCPs</w:t>
      </w:r>
    </w:p>
    <w:p w14:paraId="54F00ADB" w14:textId="77777777" w:rsidR="001F0DF2" w:rsidRPr="001F0DF2" w:rsidRDefault="001F0DF2" w:rsidP="009F72E0">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Stakeholders were asked how the greater systemic importance and the associated risks of Tier 2 non-EU CCPs</w:t>
      </w:r>
      <w:r w:rsidRPr="001F0DF2">
        <w:rPr>
          <w:rStyle w:val="FootnoteReference"/>
          <w:rFonts w:ascii="Times New Roman" w:hAnsi="Times New Roman" w:cs="Times New Roman"/>
          <w:noProof/>
          <w:sz w:val="24"/>
          <w:szCs w:val="24"/>
          <w:lang w:val="en-IE"/>
        </w:rPr>
        <w:footnoteReference w:id="179"/>
      </w:r>
      <w:r w:rsidRPr="001F0DF2">
        <w:rPr>
          <w:rFonts w:ascii="Times New Roman" w:hAnsi="Times New Roman" w:cs="Times New Roman"/>
          <w:noProof/>
          <w:sz w:val="24"/>
          <w:szCs w:val="24"/>
          <w:lang w:val="en-IE"/>
        </w:rPr>
        <w:t xml:space="preserve"> could be reflected in the context of banking rules and supervision. The majority of respondents (70%, i.e. 19 out of 27 respondents) was against imposing higher capital requirements on Tier2 CCPs. They argued that this could have negative effects on the international competitiveness of EU players due to the increased costs. Some respondents believed that, should such a measure be considered, it should only target the exposures to the services of the non-EU CCPs which were assessed as substantially systemic and/or certain activities should possibly be exempted from the calculation. Others expressed support for higher capital requirements under the condition that they would be combined with other measures such as active account requirements and development of offer. The majority of respondents (80%, i.e. 16 out of 20 respondents) sees a risk of participants relocating clearing to other non-EU jurisdictions if a higher capital requirement on excessive exposures to T2 CCPs is imposed.</w:t>
      </w:r>
    </w:p>
    <w:p w14:paraId="17DD5F4F" w14:textId="77777777" w:rsidR="001F0DF2" w:rsidRPr="001F0DF2" w:rsidRDefault="001F0DF2" w:rsidP="009F72E0">
      <w:pPr>
        <w:pStyle w:val="Heading3"/>
        <w:spacing w:after="120"/>
        <w:rPr>
          <w:noProof/>
          <w:szCs w:val="24"/>
          <w:lang w:val="en-IE"/>
        </w:rPr>
      </w:pPr>
      <w:r w:rsidRPr="001F0DF2">
        <w:rPr>
          <w:noProof/>
          <w:szCs w:val="24"/>
          <w:lang w:val="en-IE"/>
        </w:rPr>
        <w:t>Macroprudential tools</w:t>
      </w:r>
    </w:p>
    <w:p w14:paraId="236A0CD7" w14:textId="167EBBC5" w:rsidR="00EF61D8" w:rsidRPr="001F0DF2" w:rsidRDefault="00EF61D8">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Most respondents (79</w:t>
      </w:r>
      <w:r w:rsidR="001F0DF2" w:rsidRPr="001F0DF2">
        <w:rPr>
          <w:rFonts w:ascii="Times New Roman" w:hAnsi="Times New Roman" w:cs="Times New Roman"/>
          <w:noProof/>
          <w:sz w:val="24"/>
          <w:szCs w:val="24"/>
          <w:lang w:val="en-IE"/>
        </w:rPr>
        <w:t>%, i.e. 15 out of 19 respondents</w:t>
      </w:r>
      <w:r w:rsidRPr="001F0DF2">
        <w:rPr>
          <w:rFonts w:ascii="Times New Roman" w:hAnsi="Times New Roman" w:cs="Times New Roman"/>
          <w:noProof/>
          <w:sz w:val="24"/>
          <w:szCs w:val="24"/>
          <w:lang w:val="en-IE"/>
        </w:rPr>
        <w:t>) expressed a negative opinion regarding the idea to introduce macroprudential tools to address the over-reliance on Tier 2 CCPs. Moreover, all respondents (i.e. 14) were against macroprudential buffers. As for potential higher capital requirements, respondents highlighted the potential negative consequences for EU players’ international competitiveness due to increased costs.</w:t>
      </w:r>
    </w:p>
    <w:p w14:paraId="367B4722" w14:textId="77777777" w:rsidR="00EF61D8" w:rsidRPr="002661A8" w:rsidRDefault="00EF61D8" w:rsidP="009F72E0">
      <w:pPr>
        <w:pStyle w:val="Heading3"/>
        <w:spacing w:after="120"/>
        <w:rPr>
          <w:noProof/>
          <w:szCs w:val="24"/>
        </w:rPr>
      </w:pPr>
      <w:r w:rsidRPr="001F0DF2">
        <w:rPr>
          <w:noProof/>
          <w:szCs w:val="24"/>
          <w:lang w:val="en-IE"/>
        </w:rPr>
        <w:t>Setting exposure reduction targets</w:t>
      </w:r>
    </w:p>
    <w:p w14:paraId="59484F0D" w14:textId="77777777" w:rsidR="001F0DF2" w:rsidRPr="001F0DF2" w:rsidRDefault="001F0DF2" w:rsidP="009F72E0">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Views were mixed regarding the question whether exposure reduction targets should be set in order to reduce excessive reliance on Tier 2 CCPs. Also, views on how such targets could be set differed, including on the timeline, calculation and appliance level. Suggestions included a phasing-in of targets, applying targets only to systemic services as well as setting the target at clearing member level and/or potentially client level.</w:t>
      </w:r>
    </w:p>
    <w:p w14:paraId="460D9A29" w14:textId="77777777" w:rsidR="001F0DF2" w:rsidRPr="001F0DF2" w:rsidRDefault="001F0DF2" w:rsidP="009F72E0">
      <w:pPr>
        <w:pStyle w:val="Heading3"/>
        <w:spacing w:after="120"/>
        <w:rPr>
          <w:noProof/>
          <w:szCs w:val="24"/>
          <w:lang w:val="en-IE"/>
        </w:rPr>
      </w:pPr>
      <w:r w:rsidRPr="001F0DF2">
        <w:rPr>
          <w:noProof/>
          <w:szCs w:val="24"/>
          <w:lang w:val="en-IE"/>
        </w:rPr>
        <w:t>Level playing field, obligation to clear in the EU and facilitate transfer of contracts from outside the EU</w:t>
      </w:r>
    </w:p>
    <w:p w14:paraId="12DFFB14" w14:textId="77777777" w:rsidR="001F0DF2" w:rsidRPr="001F0DF2" w:rsidRDefault="001F0DF2" w:rsidP="009F72E0">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Overall, when it comes to a possible obligation to clear specific trades in the EU, facilitating the transfer of contracts from outside the EU and level playing field issues, respondents were against mandatory regulatory measures and in favour of voluntary market-driven solutions which take into account client demand: The vast majority of respondents (92%, i.e. 23 out of 25 respondents) was against an amendment of Article 5 of EMIR resulting in a clearing obligation for new contracts which could only be fulfilled through authorised EU CCPs and/or recognised Tier 1 CCPs. All respondents (i.e. 12) were against a mandatory clearing obligation in EU CCPs for legacy trades and most (80%, i.e. 8 out of 10 respondents) also against a mandatory compression exercise on legacy trades. Moreover, the majority of stakeholders (93%, i.e. 14 out of 15 respondents) was in favour of a permanent exemption for a novation of legacy trades without triggering any EMIR requirements. Reasons for all the above mentioned were – as for macroprudential tools - negative consequences on competitiveness due to increased costs.</w:t>
      </w:r>
    </w:p>
    <w:p w14:paraId="4221A621" w14:textId="77777777" w:rsidR="00EF61D8" w:rsidRPr="002661A8" w:rsidRDefault="00EF61D8" w:rsidP="009F72E0">
      <w:pPr>
        <w:pStyle w:val="Heading3"/>
        <w:spacing w:after="120"/>
        <w:rPr>
          <w:noProof/>
          <w:szCs w:val="24"/>
        </w:rPr>
      </w:pPr>
      <w:r w:rsidRPr="001F0DF2">
        <w:rPr>
          <w:noProof/>
          <w:szCs w:val="24"/>
          <w:lang w:val="en-IE"/>
        </w:rPr>
        <w:t>Active account</w:t>
      </w:r>
    </w:p>
    <w:p w14:paraId="1FEF1482" w14:textId="16F629EB" w:rsidR="00EF61D8" w:rsidRPr="001F0DF2" w:rsidRDefault="00EF61D8">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Only a few respondents (15</w:t>
      </w:r>
      <w:r w:rsidR="001F0DF2" w:rsidRPr="001F0DF2">
        <w:rPr>
          <w:rFonts w:ascii="Times New Roman" w:hAnsi="Times New Roman" w:cs="Times New Roman"/>
          <w:noProof/>
          <w:sz w:val="24"/>
          <w:szCs w:val="24"/>
          <w:lang w:val="en-IE"/>
        </w:rPr>
        <w:t>%, i.e. 3 out of 20 respondents</w:t>
      </w:r>
      <w:r w:rsidRPr="001F0DF2">
        <w:rPr>
          <w:rFonts w:ascii="Times New Roman" w:hAnsi="Times New Roman" w:cs="Times New Roman"/>
          <w:noProof/>
          <w:sz w:val="24"/>
          <w:szCs w:val="24"/>
          <w:lang w:val="en-IE"/>
        </w:rPr>
        <w:t xml:space="preserve">) expressed the view that active accounts were not a reasonable measure. Views differed however considerably on how an active account should be defined. Some stakeholders (including market participants and a public authority) noted that an active account should only be a back-up solution for occasional use </w:t>
      </w:r>
      <w:r w:rsidR="001F0DF2" w:rsidRPr="001F0DF2">
        <w:rPr>
          <w:rFonts w:ascii="Times New Roman" w:hAnsi="Times New Roman" w:cs="Times New Roman"/>
          <w:noProof/>
          <w:sz w:val="24"/>
          <w:szCs w:val="24"/>
          <w:lang w:val="en-IE"/>
        </w:rPr>
        <w:t xml:space="preserve">in order </w:t>
      </w:r>
      <w:r w:rsidRPr="001F0DF2">
        <w:rPr>
          <w:rFonts w:ascii="Times New Roman" w:hAnsi="Times New Roman" w:cs="Times New Roman"/>
          <w:noProof/>
          <w:sz w:val="24"/>
          <w:szCs w:val="24"/>
          <w:lang w:val="en-IE"/>
        </w:rPr>
        <w:t>to test the account’s smooth functioning. Other stakeholders (including 2 EU CCPs, market participants and 2 public authorities) suggested that an active account should have requirements regarding the level of its use. Suggestions varied considerably regarding the nature of these requirements, ranging from a discretionary ‘reasonable’ frequency of use to fixed thresholds as well as having mandatory clearing in active accounts at EU CCPs for certain products.</w:t>
      </w:r>
    </w:p>
    <w:p w14:paraId="31F294DF" w14:textId="77777777" w:rsidR="00EF61D8" w:rsidRPr="002661A8" w:rsidRDefault="00EF61D8" w:rsidP="009F72E0">
      <w:pPr>
        <w:pStyle w:val="Heading3"/>
        <w:spacing w:after="120"/>
        <w:rPr>
          <w:noProof/>
          <w:szCs w:val="24"/>
        </w:rPr>
      </w:pPr>
      <w:r w:rsidRPr="001F0DF2">
        <w:rPr>
          <w:noProof/>
          <w:szCs w:val="24"/>
          <w:lang w:val="en-IE"/>
        </w:rPr>
        <w:t>Hedge accounting</w:t>
      </w:r>
    </w:p>
    <w:p w14:paraId="4245FA17" w14:textId="7CB2DC6E" w:rsidR="00EF61D8" w:rsidRPr="001F0DF2" w:rsidRDefault="00EF61D8">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 xml:space="preserve">All respondents answering (i.e. 10) were in favour of a harmonisation of the hedge accounting rules across Member States </w:t>
      </w:r>
      <w:r w:rsidR="001F0DF2" w:rsidRPr="001F0DF2">
        <w:rPr>
          <w:rFonts w:ascii="Times New Roman" w:hAnsi="Times New Roman" w:cs="Times New Roman"/>
          <w:noProof/>
          <w:sz w:val="24"/>
          <w:szCs w:val="24"/>
          <w:lang w:val="en-IE"/>
        </w:rPr>
        <w:t xml:space="preserve">in order </w:t>
      </w:r>
      <w:r w:rsidRPr="001F0DF2">
        <w:rPr>
          <w:rFonts w:ascii="Times New Roman" w:hAnsi="Times New Roman" w:cs="Times New Roman"/>
          <w:noProof/>
          <w:sz w:val="24"/>
          <w:szCs w:val="24"/>
          <w:lang w:val="en-IE"/>
        </w:rPr>
        <w:t xml:space="preserve">to facilitate a reduction of exposures to Tier 2 non-EU CCPs. Two respondents pointed out that accounting should reflect the purpose of the transactions carried out, as well as some more formal aspects, but not unduly hinder transactions. At the same time, two other respondents stated that a harmonisation would be a helpful but not a substantial contribution to enhance clearing in EU CCPs. Another two respondents highlighted that in any case accounting arbitrage should be avoided and a harmonisation could benefit the </w:t>
      </w:r>
      <w:r w:rsidR="001F0DF2" w:rsidRPr="001F0DF2">
        <w:rPr>
          <w:rFonts w:ascii="Times New Roman" w:hAnsi="Times New Roman" w:cs="Times New Roman"/>
          <w:noProof/>
          <w:sz w:val="24"/>
          <w:szCs w:val="24"/>
          <w:lang w:val="en-IE"/>
        </w:rPr>
        <w:t>Capital Markets Union.</w:t>
      </w:r>
    </w:p>
    <w:p w14:paraId="11981E59" w14:textId="77777777" w:rsidR="00EF61D8" w:rsidRPr="002661A8" w:rsidRDefault="00EF61D8" w:rsidP="009F72E0">
      <w:pPr>
        <w:pStyle w:val="Heading3"/>
        <w:spacing w:after="120"/>
        <w:rPr>
          <w:noProof/>
          <w:szCs w:val="24"/>
        </w:rPr>
      </w:pPr>
      <w:r w:rsidRPr="001F0DF2">
        <w:rPr>
          <w:noProof/>
          <w:szCs w:val="24"/>
          <w:lang w:val="en-IE"/>
        </w:rPr>
        <w:t>Transactions resulting from post-trade risk reduction</w:t>
      </w:r>
    </w:p>
    <w:p w14:paraId="13D0F595" w14:textId="77777777" w:rsidR="00EF61D8" w:rsidRPr="001F0DF2" w:rsidRDefault="00EF61D8">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Views differed regarding the effects of post-trade-risk-reduction</w:t>
      </w:r>
      <w:r w:rsidRPr="001F0DF2">
        <w:rPr>
          <w:rStyle w:val="FootnoteReference"/>
          <w:rFonts w:ascii="Times New Roman" w:hAnsi="Times New Roman" w:cs="Times New Roman"/>
          <w:noProof/>
          <w:sz w:val="24"/>
          <w:szCs w:val="24"/>
          <w:lang w:val="en-IE"/>
        </w:rPr>
        <w:footnoteReference w:id="180"/>
      </w:r>
      <w:r w:rsidRPr="001F0DF2">
        <w:rPr>
          <w:rFonts w:ascii="Times New Roman" w:hAnsi="Times New Roman" w:cs="Times New Roman"/>
          <w:noProof/>
          <w:sz w:val="24"/>
          <w:szCs w:val="24"/>
          <w:lang w:val="en-IE"/>
        </w:rPr>
        <w:t>. While banks and trade associations thought that multilateral compression is effective in reducing risks (also in the uncleared space), financial market infrastructures highlighted that post-trade-risk-reduction at CCPs already takes place and may well reduce certain risks. However, they stressed that it is important to note that compression does not reduce the risk exposure but only results in a reduction of the notional exposure held. Moreover, several respondents pointed to the importance of network effects as post-trade-risk-reduction measures are more effective in large CCPs.</w:t>
      </w:r>
    </w:p>
    <w:p w14:paraId="5269FFEA" w14:textId="77777777" w:rsidR="00EF61D8" w:rsidRPr="002661A8" w:rsidRDefault="00EF61D8" w:rsidP="006909FA">
      <w:pPr>
        <w:pStyle w:val="Heading3"/>
        <w:spacing w:after="120"/>
        <w:ind w:left="0" w:firstLine="0"/>
        <w:rPr>
          <w:noProof/>
          <w:szCs w:val="24"/>
        </w:rPr>
      </w:pPr>
      <w:r w:rsidRPr="001F0DF2">
        <w:rPr>
          <w:noProof/>
          <w:szCs w:val="24"/>
          <w:lang w:val="en-IE"/>
        </w:rPr>
        <w:t>Fair, reasonable, non-discriminatory and transparent (FRANDT) commercial terms for clearing services</w:t>
      </w:r>
    </w:p>
    <w:p w14:paraId="576FAAC2" w14:textId="77777777" w:rsidR="001F0DF2" w:rsidRPr="001F0DF2" w:rsidRDefault="001F0DF2" w:rsidP="009F72E0">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The majority of respondents (87%</w:t>
      </w:r>
      <w:r w:rsidRPr="001F0DF2">
        <w:rPr>
          <w:rStyle w:val="FootnoteReference"/>
          <w:rFonts w:ascii="Times New Roman" w:hAnsi="Times New Roman" w:cs="Times New Roman"/>
          <w:noProof/>
          <w:sz w:val="24"/>
          <w:szCs w:val="24"/>
          <w:lang w:val="en-IE"/>
        </w:rPr>
        <w:footnoteReference w:id="181"/>
      </w:r>
      <w:r w:rsidRPr="001F0DF2">
        <w:rPr>
          <w:rFonts w:ascii="Times New Roman" w:hAnsi="Times New Roman" w:cs="Times New Roman"/>
          <w:noProof/>
          <w:sz w:val="24"/>
          <w:szCs w:val="24"/>
          <w:lang w:val="en-IE"/>
        </w:rPr>
        <w:t>, i.e. 13 out of 15 respondents) were against further regulation of the provision of client clearing services, which offer clients consistently the option to clear at least at one EU CCP or be incentivised to do so. They argued that public intervention and more obligations and constraints on entities offering clearing services may make it less attractive from a cost point of view to offer clearing services to clients with limited trading activity and therefore unintentionally limit access to clearing for end clients.</w:t>
      </w:r>
    </w:p>
    <w:p w14:paraId="71F6BA27" w14:textId="77777777" w:rsidR="001F0DF2" w:rsidRPr="001F0DF2" w:rsidRDefault="001F0DF2" w:rsidP="000735A6">
      <w:pPr>
        <w:pStyle w:val="Heading4"/>
        <w:rPr>
          <w:noProof/>
          <w:lang w:val="en-IE"/>
        </w:rPr>
      </w:pPr>
      <w:r w:rsidRPr="001F0DF2">
        <w:rPr>
          <w:noProof/>
          <w:lang w:val="en-IE"/>
        </w:rPr>
        <w:t>MEASURES TOWARDS CCPs</w:t>
      </w:r>
    </w:p>
    <w:p w14:paraId="2625271C" w14:textId="77777777" w:rsidR="00EF61D8" w:rsidRPr="002661A8" w:rsidRDefault="00EF61D8" w:rsidP="009F72E0">
      <w:pPr>
        <w:pStyle w:val="Heading3"/>
        <w:spacing w:after="120"/>
        <w:rPr>
          <w:noProof/>
          <w:szCs w:val="24"/>
        </w:rPr>
      </w:pPr>
      <w:r w:rsidRPr="001F0DF2">
        <w:rPr>
          <w:noProof/>
          <w:szCs w:val="24"/>
          <w:lang w:val="en-IE"/>
        </w:rPr>
        <w:t>Measures to expand the offer by EU CCPs</w:t>
      </w:r>
    </w:p>
    <w:p w14:paraId="22199233" w14:textId="77777777" w:rsidR="001F0DF2" w:rsidRPr="001F0DF2" w:rsidRDefault="001F0DF2" w:rsidP="009F72E0">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The vast majority of stakeholders (90%, i.e. 20 out of 22 respondents) was positive as to the idea of improving the ability of EU CCPs to be competitive by expanding their offer and speeding up the approval process for new products. Respondents (mainly CCPs, but also two business associations, a central bank and a national supervisory authority of a Member State) highlighted that in particular the long EMIR approval process to launch new products had negative consequences on EU CCPs’ competitiveness. They considered the existing governance as well as the requested documentation too complex and pointed to a lack of clear timelines. Three public authorities agreed that there is room for a faster approval process for certain initiatives. Other respondents, notably banks, agreed that it is crucial that EU CCPs are able to increase their offer to make it comparable to the offer of non-EU CCPs.</w:t>
      </w:r>
    </w:p>
    <w:p w14:paraId="6DDB6F5A" w14:textId="77777777" w:rsidR="00EF61D8" w:rsidRPr="002661A8" w:rsidRDefault="00EF61D8" w:rsidP="009F72E0">
      <w:pPr>
        <w:pStyle w:val="Heading3"/>
        <w:spacing w:after="120"/>
        <w:rPr>
          <w:noProof/>
          <w:szCs w:val="24"/>
        </w:rPr>
      </w:pPr>
      <w:r w:rsidRPr="001F0DF2">
        <w:rPr>
          <w:noProof/>
          <w:szCs w:val="24"/>
          <w:lang w:val="en-IE"/>
        </w:rPr>
        <w:t>Payment/settlement arrangements for central clearing</w:t>
      </w:r>
    </w:p>
    <w:p w14:paraId="164BBD9E" w14:textId="74BF73C6" w:rsidR="00EF61D8" w:rsidRPr="001F0DF2" w:rsidRDefault="00EF61D8">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The majority of respondents (75%, mainly banks and CCPs but also a public authority) stated that it would be beneficial to extend the operating hours for payment arrangements available in the EU (Target2</w:t>
      </w:r>
      <w:r w:rsidRPr="001F0DF2">
        <w:rPr>
          <w:rStyle w:val="FootnoteReference"/>
          <w:rFonts w:ascii="Times New Roman" w:hAnsi="Times New Roman" w:cs="Times New Roman"/>
          <w:noProof/>
          <w:sz w:val="24"/>
          <w:szCs w:val="24"/>
          <w:lang w:val="en-IE"/>
        </w:rPr>
        <w:footnoteReference w:id="182"/>
      </w:r>
      <w:r w:rsidRPr="001F0DF2">
        <w:rPr>
          <w:rFonts w:ascii="Times New Roman" w:hAnsi="Times New Roman" w:cs="Times New Roman"/>
          <w:noProof/>
          <w:sz w:val="24"/>
          <w:szCs w:val="24"/>
          <w:lang w:val="en-IE"/>
        </w:rPr>
        <w:t xml:space="preserve">). They argued that it would ease the process of margin calls and payments in EUR, reducing </w:t>
      </w:r>
      <w:r w:rsidR="001F0DF2" w:rsidRPr="001F0DF2">
        <w:rPr>
          <w:rFonts w:ascii="Times New Roman" w:hAnsi="Times New Roman" w:cs="Times New Roman"/>
          <w:noProof/>
          <w:sz w:val="24"/>
          <w:szCs w:val="24"/>
          <w:lang w:val="en-IE"/>
        </w:rPr>
        <w:t>dependence</w:t>
      </w:r>
      <w:r w:rsidR="00007C18" w:rsidRPr="001F0DF2">
        <w:rPr>
          <w:rFonts w:ascii="Times New Roman" w:hAnsi="Times New Roman" w:cs="Times New Roman"/>
          <w:noProof/>
          <w:sz w:val="24"/>
          <w:szCs w:val="24"/>
          <w:lang w:val="en-IE"/>
        </w:rPr>
        <w:t xml:space="preserve"> </w:t>
      </w:r>
      <w:r w:rsidRPr="001F0DF2">
        <w:rPr>
          <w:rFonts w:ascii="Times New Roman" w:hAnsi="Times New Roman" w:cs="Times New Roman"/>
          <w:noProof/>
          <w:sz w:val="24"/>
          <w:szCs w:val="24"/>
          <w:lang w:val="en-IE"/>
        </w:rPr>
        <w:t>on USD liquidity. Currently, EU CCPs are not able to process EUR payments at a late hour (because of Target2 closing times) and need to switch to USD to meet margin calls. According to respondents, EU CCPs therefore depend on the repo market and the capacity of the CCPs’ counterparties to absorb such liquidity in exchange for high-quality collateral.</w:t>
      </w:r>
    </w:p>
    <w:p w14:paraId="72B61BDB" w14:textId="77777777" w:rsidR="00EF61D8" w:rsidRPr="002661A8" w:rsidRDefault="00EF61D8" w:rsidP="009F72E0">
      <w:pPr>
        <w:pStyle w:val="Heading3"/>
        <w:spacing w:after="120"/>
        <w:rPr>
          <w:noProof/>
          <w:szCs w:val="24"/>
        </w:rPr>
      </w:pPr>
      <w:r w:rsidRPr="001F0DF2">
        <w:rPr>
          <w:noProof/>
          <w:szCs w:val="24"/>
          <w:lang w:val="en-IE"/>
        </w:rPr>
        <w:t>Segregated default funds</w:t>
      </w:r>
    </w:p>
    <w:p w14:paraId="4F578902" w14:textId="6FC97108" w:rsidR="00EF61D8" w:rsidRPr="001F0DF2" w:rsidRDefault="00EF61D8">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Under EMIR, CCPs can have a single or multiple default funds. Some market participants argued that multiple default funds are an attractive feature, as they can contribute to avoiding contagion and thus reduce financial stability risks. However, the majority of stakeholders (82</w:t>
      </w:r>
      <w:r w:rsidR="001F0DF2" w:rsidRPr="001F0DF2">
        <w:rPr>
          <w:rFonts w:ascii="Times New Roman" w:hAnsi="Times New Roman" w:cs="Times New Roman"/>
          <w:noProof/>
          <w:sz w:val="24"/>
          <w:szCs w:val="24"/>
          <w:lang w:val="en-IE"/>
        </w:rPr>
        <w:t>%, i.e. 14 out of 17 respondents</w:t>
      </w:r>
      <w:r w:rsidRPr="001F0DF2">
        <w:rPr>
          <w:rFonts w:ascii="Times New Roman" w:hAnsi="Times New Roman" w:cs="Times New Roman"/>
          <w:noProof/>
          <w:sz w:val="24"/>
          <w:szCs w:val="24"/>
          <w:lang w:val="en-IE"/>
        </w:rPr>
        <w:t xml:space="preserve">) did not believe that segregation should be imposed by law as they do not deem the segregation model superior per se while it could imply more clearing costs. Respondents (a supervisory authority and a CCP) expressed the view that legislation should not favour one model over the other since both </w:t>
      </w:r>
      <w:r w:rsidR="001F0DF2" w:rsidRPr="001F0DF2">
        <w:rPr>
          <w:rFonts w:ascii="Times New Roman" w:hAnsi="Times New Roman" w:cs="Times New Roman"/>
          <w:noProof/>
          <w:sz w:val="24"/>
          <w:szCs w:val="24"/>
          <w:lang w:val="en-IE"/>
        </w:rPr>
        <w:t xml:space="preserve">types of models </w:t>
      </w:r>
      <w:r w:rsidRPr="001F0DF2">
        <w:rPr>
          <w:rFonts w:ascii="Times New Roman" w:hAnsi="Times New Roman" w:cs="Times New Roman"/>
          <w:noProof/>
          <w:sz w:val="24"/>
          <w:szCs w:val="24"/>
          <w:lang w:val="en-IE"/>
        </w:rPr>
        <w:t>are subject to supervisory approval and have advantages in different scenarios, depending on the client structure and products cleared. Respondents in favour of mandatory segregation (a bank and a market infrastructure group) believed that the segregated model was good for risk management purposes and reducing contagion risk.</w:t>
      </w:r>
    </w:p>
    <w:p w14:paraId="482432E7" w14:textId="77777777" w:rsidR="001F0DF2" w:rsidRPr="001F0DF2" w:rsidRDefault="001F0DF2" w:rsidP="009F72E0">
      <w:pPr>
        <w:pStyle w:val="Heading3"/>
        <w:spacing w:after="120"/>
        <w:rPr>
          <w:noProof/>
          <w:szCs w:val="24"/>
          <w:lang w:val="en-IE"/>
        </w:rPr>
      </w:pPr>
      <w:r w:rsidRPr="001F0DF2">
        <w:rPr>
          <w:noProof/>
          <w:szCs w:val="24"/>
          <w:lang w:val="en-IE"/>
        </w:rPr>
        <w:t>Interoperability</w:t>
      </w:r>
    </w:p>
    <w:p w14:paraId="2FC1916D" w14:textId="77777777" w:rsidR="001F0DF2" w:rsidRPr="001F0DF2" w:rsidRDefault="001F0DF2" w:rsidP="009F72E0">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Regarding interoperability, views were generally mixed. Around half of the respondents (8 out of 14 respondents) indicated that EMIR should cover interoperability arrangements for derivatives, while the remaining respondents had the opposite view. Respondents (including public authorities, CCPs, clearing members) mentioned as advantages that interoperability arrangements promote liquidity, reduce fragmentation and lower costs of clearing. However, other respondents (also including public authorities, CCPs, clearing members) pointed out that they also pose risks which have to be taken into account and thought that interoperability arrangements could in general lead to higher clearing costs.</w:t>
      </w:r>
    </w:p>
    <w:p w14:paraId="2FF4BD58" w14:textId="77777777" w:rsidR="001F0DF2" w:rsidRPr="001F0DF2" w:rsidRDefault="001F0DF2" w:rsidP="000735A6">
      <w:pPr>
        <w:pStyle w:val="Heading4"/>
        <w:rPr>
          <w:noProof/>
          <w:lang w:val="en-IE"/>
        </w:rPr>
      </w:pPr>
      <w:r w:rsidRPr="001F0DF2">
        <w:rPr>
          <w:noProof/>
          <w:lang w:val="en-IE"/>
        </w:rPr>
        <w:t>MONITORING PROGRESS TOWARDS REDUCED RELIANCE OF EU PARTICIPANTS ON TIER 2 CCPS</w:t>
      </w:r>
    </w:p>
    <w:p w14:paraId="5B109C07" w14:textId="77777777" w:rsidR="001F0DF2" w:rsidRPr="001F0DF2" w:rsidRDefault="001F0DF2" w:rsidP="009F72E0">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Views were mixed regarding the question as to which EU market participants should be primarily targeted in a central data collection exercise to ensure a complete risk picture of exposures to Tier 2 CCPs. Some respondents said that EU clearing members and specific clients should be targeted, others expressed the view that only EU clearing members should be part of the data collection and yet others had again different suggestions such as including all counterparties subject to the clearing obligation. Even though views were split about the level at which a data analysis should take place, most respondents (market participants, a CCP and a public authority) agreed that data which are already reported under EMIR should be used for the monitoring process. They pointed out that ESMA has all necessary information available and could analyse them for clearing members and clients, as well as for any type of product. Moreover, some stakeholders argued that a data collection should focus on systemic risk aspects and therefore only cover certain derivative asset classes.</w:t>
      </w:r>
    </w:p>
    <w:p w14:paraId="273EA830" w14:textId="77777777" w:rsidR="001F0DF2" w:rsidRPr="001F0DF2" w:rsidRDefault="001F0DF2" w:rsidP="000735A6">
      <w:pPr>
        <w:pStyle w:val="Heading4"/>
        <w:rPr>
          <w:noProof/>
          <w:lang w:val="en-IE"/>
        </w:rPr>
      </w:pPr>
      <w:r w:rsidRPr="001F0DF2">
        <w:rPr>
          <w:noProof/>
          <w:lang w:val="en-IE"/>
        </w:rPr>
        <w:t>SUPERVISION OF CCPS</w:t>
      </w:r>
    </w:p>
    <w:p w14:paraId="29C705A4" w14:textId="77777777" w:rsidR="001F0DF2" w:rsidRPr="001F0DF2" w:rsidRDefault="001F0DF2" w:rsidP="00724804">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Regarding the benefits of a stronger EU supervision, few responses (i.e. 9) were received and views were split. According to stakeholders (including a public authority and a non-EU CCP), benefits of a stronger EU supervision could be uniformity of supervisory practices and outcomes. Respondents were in favour of a faster approval process for launching new products (see also section 3.4.1 ‘Measures to expand the offer by EU CCPs’). Those against a stronger EU supervision (two public authorities, an EU CCP, a central bank) argued that it would not reduce costs, as costs were a result of the EMIR regulatory requirements and therefore unrelated to the level at which supervision is exercised. In addition, it was mentioned that ESMA may not be best placed to deal with interpretation of national law. Overall, CCPs were of the view that regulatory compliance costs were high and procedures time consuming due to the current structure of the authorisation process, including duplicative sequencing of authorisations by the national competent authority and ESMA and the engagement of the relevant EMIR College.</w:t>
      </w:r>
    </w:p>
    <w:p w14:paraId="53303400" w14:textId="77777777" w:rsidR="001F0DF2" w:rsidRPr="001F0DF2" w:rsidRDefault="001F0DF2" w:rsidP="000735A6">
      <w:pPr>
        <w:pStyle w:val="Heading4"/>
        <w:rPr>
          <w:noProof/>
          <w:lang w:val="en-IE"/>
        </w:rPr>
      </w:pPr>
      <w:r w:rsidRPr="001F0DF2">
        <w:rPr>
          <w:noProof/>
          <w:lang w:val="en-IE"/>
        </w:rPr>
        <w:t>EMIR AND OTHER REGULATIONS/DIRECTIVES</w:t>
      </w:r>
    </w:p>
    <w:p w14:paraId="7B47D284" w14:textId="77777777" w:rsidR="001F0DF2" w:rsidRPr="001F0DF2" w:rsidRDefault="001F0DF2" w:rsidP="00724804">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Respondents provided detailed views on the interaction with other regulations/directives (MiFID, CRR, CRD, UCITS, AIFMD2, MMFR, Solvency), however on different aspects, not allowing for an extrapolation or generalisation. Examples of suggestions are the following: an industry association representing European CCPs, and an EU CCP, suggested amending the Solvency II regulatory framework, explicitly adopting beneficial risk weight for CCP cleared transactions cleared directly with CCPs similar to the CRR. The same stakeholders suggested amending Article 52 of the UCITS Directive to exclude CCP cleared transactions from counterparty exposure and diversification requirements, reflecting the risk reducing nature and systemic importance of CCPs. An industry association representing the funds industry of a Member State and an industry association representing the asset management and investment fund industry in another Member State called for an amendment of the ESMA Guidelines on ETFs and other UCITS issues so that UCITS can use the cash obtained via a repo transaction for the collateralisation of CCP clearing eligible OTC derivatives. An association representing a banking industry from a Member State was in favour of stronger protection for client clearing arrangements through the Settlement Finality Directive and the Financial Collateral Directive.</w:t>
      </w:r>
    </w:p>
    <w:p w14:paraId="0D640F16" w14:textId="77777777" w:rsidR="001F0DF2" w:rsidRPr="001F0DF2" w:rsidRDefault="001F0DF2" w:rsidP="000735A6">
      <w:pPr>
        <w:pStyle w:val="Heading4"/>
        <w:rPr>
          <w:noProof/>
          <w:lang w:val="en-IE"/>
        </w:rPr>
      </w:pPr>
      <w:r w:rsidRPr="001F0DF2">
        <w:rPr>
          <w:noProof/>
          <w:lang w:val="en-IE"/>
        </w:rPr>
        <w:t>OTHER ISSUES</w:t>
      </w:r>
    </w:p>
    <w:p w14:paraId="41370FAB" w14:textId="77777777" w:rsidR="00EF61D8" w:rsidRPr="001F0DF2" w:rsidRDefault="00EF61D8" w:rsidP="00724804">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The consultation asked for possible other matters that could potentially contribute to enhancing the attractiveness and efficiency of EU CCPs and clearing services.</w:t>
      </w:r>
    </w:p>
    <w:p w14:paraId="7860E491" w14:textId="77777777" w:rsidR="00EF61D8" w:rsidRPr="002661A8" w:rsidRDefault="00EF61D8" w:rsidP="00724804">
      <w:pPr>
        <w:pStyle w:val="Heading3"/>
        <w:spacing w:after="120"/>
        <w:rPr>
          <w:i w:val="0"/>
          <w:noProof/>
        </w:rPr>
      </w:pPr>
      <w:r w:rsidRPr="001F0DF2">
        <w:rPr>
          <w:noProof/>
          <w:szCs w:val="24"/>
          <w:lang w:val="en-IE"/>
        </w:rPr>
        <w:t>Blockchain and distributed ledger technology</w:t>
      </w:r>
    </w:p>
    <w:p w14:paraId="382D7986" w14:textId="77777777" w:rsidR="00EF61D8" w:rsidRPr="001F0DF2" w:rsidRDefault="00EF61D8" w:rsidP="00724804">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The consultation enquired whether blockchain and DLT could be used in the field of clearing to improve the attractiveness and efficiency of EU CCPs and clearing markets. In total 13 stakeholders provided a reply, of which 11 saw benefits. However, they did not express the need to amend EMIR with regard to blockchain or DLT, but highlighted instead the potential benefits (e.g. its use for the reconciliation process or reporting of data) as well as limitations of its use for CCPs (e.g. not suited for multilateral netting or the default risk management).</w:t>
      </w:r>
    </w:p>
    <w:p w14:paraId="439BE46B" w14:textId="77777777" w:rsidR="00EF61D8" w:rsidRPr="002661A8" w:rsidRDefault="00EF61D8" w:rsidP="00724804">
      <w:pPr>
        <w:pStyle w:val="Heading3"/>
        <w:spacing w:after="120"/>
        <w:rPr>
          <w:i w:val="0"/>
          <w:noProof/>
        </w:rPr>
      </w:pPr>
      <w:r w:rsidRPr="001F0DF2">
        <w:rPr>
          <w:noProof/>
          <w:szCs w:val="24"/>
          <w:lang w:val="en-IE"/>
        </w:rPr>
        <w:t>Other issues</w:t>
      </w:r>
    </w:p>
    <w:p w14:paraId="532D6B8B" w14:textId="237DD930" w:rsidR="00AD44F6" w:rsidRPr="001F0DF2" w:rsidRDefault="00EF61D8" w:rsidP="00724804">
      <w:pPr>
        <w:spacing w:after="120" w:line="240" w:lineRule="auto"/>
        <w:jc w:val="both"/>
        <w:rPr>
          <w:rFonts w:ascii="Times New Roman" w:hAnsi="Times New Roman" w:cs="Times New Roman"/>
          <w:noProof/>
          <w:sz w:val="24"/>
          <w:szCs w:val="24"/>
          <w:lang w:val="en-IE"/>
        </w:rPr>
      </w:pPr>
      <w:r w:rsidRPr="001F0DF2">
        <w:rPr>
          <w:rFonts w:ascii="Times New Roman" w:hAnsi="Times New Roman" w:cs="Times New Roman"/>
          <w:noProof/>
          <w:sz w:val="24"/>
          <w:szCs w:val="24"/>
          <w:lang w:val="en-IE"/>
        </w:rPr>
        <w:t xml:space="preserve">An issue raised by several stakeholders referred to the framework for non-EU CCPs. While a national authority criticised the fact that the consultation did not include any questions in this regard, a non-EU CCP stressed the importance of continued access of non-EU CCPs to the EU market based on a transparent, predictable, proportionate and risk-based approach. An industry association representing the banking industry from a Member State suggested requiring non-EU CCPs to accept EUR as a means to pay margin calls </w:t>
      </w:r>
      <w:r w:rsidR="001F0DF2" w:rsidRPr="001F0DF2">
        <w:rPr>
          <w:rFonts w:ascii="Times New Roman" w:hAnsi="Times New Roman" w:cs="Times New Roman"/>
          <w:noProof/>
          <w:sz w:val="24"/>
          <w:szCs w:val="24"/>
          <w:lang w:val="en-IE"/>
        </w:rPr>
        <w:t xml:space="preserve">in order </w:t>
      </w:r>
      <w:r w:rsidRPr="001F0DF2">
        <w:rPr>
          <w:rFonts w:ascii="Times New Roman" w:hAnsi="Times New Roman" w:cs="Times New Roman"/>
          <w:noProof/>
          <w:sz w:val="24"/>
          <w:szCs w:val="24"/>
          <w:lang w:val="en-IE"/>
        </w:rPr>
        <w:t>to reduce the risk that EU clearing members face regarding exposures to non-EU CCPs. Other issues raised were e.g. ‘access to liquidity’ (two CCPs highlighted the need of increasing CCPs’ access to central bank liquidity facilities in different EU currencies) and ‘non-cash collateral’ (an industry association representing European CCPs suggested that authorities consider the possibility of using non-cash collateral</w:t>
      </w:r>
      <w:r w:rsidR="001F0DF2" w:rsidRPr="001F0DF2">
        <w:rPr>
          <w:rFonts w:ascii="Times New Roman" w:hAnsi="Times New Roman" w:cs="Times New Roman"/>
          <w:noProof/>
          <w:sz w:val="24"/>
          <w:szCs w:val="24"/>
          <w:lang w:val="en-IE"/>
        </w:rPr>
        <w:t xml:space="preserve"> such as</w:t>
      </w:r>
      <w:r w:rsidRPr="001F0DF2">
        <w:rPr>
          <w:rFonts w:ascii="Times New Roman" w:hAnsi="Times New Roman" w:cs="Times New Roman"/>
          <w:noProof/>
          <w:sz w:val="24"/>
          <w:szCs w:val="24"/>
          <w:lang w:val="en-IE"/>
        </w:rPr>
        <w:t xml:space="preserve"> non-fully backed bank guarantees as collateral to benefit non-financial users in particular).</w:t>
      </w:r>
    </w:p>
    <w:p w14:paraId="7779E6FB" w14:textId="1AF2FE68" w:rsidR="00696049" w:rsidRPr="00696049" w:rsidRDefault="00696049" w:rsidP="00724804">
      <w:pPr>
        <w:pStyle w:val="ListParagraph"/>
        <w:numPr>
          <w:ilvl w:val="0"/>
          <w:numId w:val="21"/>
        </w:numPr>
        <w:spacing w:after="120" w:line="240" w:lineRule="auto"/>
        <w:rPr>
          <w:rFonts w:ascii="Times New Roman" w:hAnsi="Times New Roman" w:cs="Times New Roman"/>
          <w:b/>
          <w:noProof/>
          <w:sz w:val="24"/>
          <w:szCs w:val="24"/>
        </w:rPr>
      </w:pPr>
      <w:r w:rsidRPr="00696049">
        <w:rPr>
          <w:rFonts w:ascii="Times New Roman" w:hAnsi="Times New Roman" w:cs="Times New Roman"/>
          <w:b/>
          <w:noProof/>
          <w:sz w:val="24"/>
          <w:szCs w:val="24"/>
        </w:rPr>
        <w:t xml:space="preserve">An overview of ESMA’s assessment report under Article 25(2c) of EMIR </w:t>
      </w:r>
    </w:p>
    <w:p w14:paraId="7F7EDF66" w14:textId="0F7BCF44" w:rsidR="00696049" w:rsidRPr="00696049" w:rsidRDefault="00696049" w:rsidP="00724804">
      <w:pPr>
        <w:spacing w:after="120" w:line="240" w:lineRule="auto"/>
        <w:jc w:val="both"/>
        <w:rPr>
          <w:rFonts w:ascii="Times New Roman" w:hAnsi="Times New Roman" w:cs="Times New Roman"/>
          <w:noProof/>
          <w:sz w:val="24"/>
          <w:szCs w:val="24"/>
        </w:rPr>
      </w:pPr>
      <w:r w:rsidRPr="00696049">
        <w:rPr>
          <w:rFonts w:ascii="Times New Roman" w:hAnsi="Times New Roman" w:cs="Times New Roman"/>
          <w:noProof/>
          <w:sz w:val="24"/>
          <w:szCs w:val="24"/>
        </w:rPr>
        <w:t>During 2021, in accordance with Article 24a(10) of EMIR, ESMA undertook</w:t>
      </w:r>
      <w:r w:rsidR="00662E5E">
        <w:rPr>
          <w:rFonts w:ascii="Times New Roman" w:hAnsi="Times New Roman" w:cs="Times New Roman"/>
          <w:noProof/>
          <w:sz w:val="24"/>
          <w:szCs w:val="24"/>
        </w:rPr>
        <w:t xml:space="preserve"> </w:t>
      </w:r>
      <w:r w:rsidRPr="00696049">
        <w:rPr>
          <w:rFonts w:ascii="Times New Roman" w:hAnsi="Times New Roman" w:cs="Times New Roman"/>
          <w:noProof/>
          <w:sz w:val="24"/>
          <w:szCs w:val="24"/>
        </w:rPr>
        <w:t xml:space="preserve">a comprehensive review of the systemic importance of UK CCPs. </w:t>
      </w:r>
      <w:r w:rsidR="00662E5E">
        <w:rPr>
          <w:rFonts w:ascii="Times New Roman" w:hAnsi="Times New Roman" w:cs="Times New Roman"/>
          <w:noProof/>
          <w:sz w:val="24"/>
          <w:szCs w:val="24"/>
        </w:rPr>
        <w:t xml:space="preserve">The results of this review were published </w:t>
      </w:r>
      <w:r w:rsidR="00ED780B">
        <w:rPr>
          <w:rFonts w:ascii="Times New Roman" w:hAnsi="Times New Roman" w:cs="Times New Roman"/>
          <w:noProof/>
          <w:sz w:val="24"/>
          <w:szCs w:val="24"/>
        </w:rPr>
        <w:t xml:space="preserve">in the </w:t>
      </w:r>
      <w:r w:rsidR="00ED780B" w:rsidRPr="002661A8">
        <w:rPr>
          <w:rFonts w:ascii="Times New Roman" w:hAnsi="Times New Roman" w:cs="Times New Roman"/>
          <w:noProof/>
          <w:sz w:val="24"/>
          <w:szCs w:val="24"/>
        </w:rPr>
        <w:t>2021 ESMA report on UK CCP</w:t>
      </w:r>
      <w:r w:rsidR="00ED780B">
        <w:rPr>
          <w:rFonts w:ascii="Times New Roman" w:hAnsi="Times New Roman" w:cs="Times New Roman"/>
          <w:noProof/>
          <w:sz w:val="24"/>
          <w:szCs w:val="24"/>
        </w:rPr>
        <w:t xml:space="preserve">s </w:t>
      </w:r>
      <w:r w:rsidR="00662E5E">
        <w:rPr>
          <w:rFonts w:ascii="Times New Roman" w:hAnsi="Times New Roman" w:cs="Times New Roman"/>
          <w:noProof/>
          <w:sz w:val="24"/>
          <w:szCs w:val="24"/>
        </w:rPr>
        <w:t>on</w:t>
      </w:r>
      <w:r w:rsidR="00ED780B">
        <w:rPr>
          <w:rFonts w:ascii="Times New Roman" w:hAnsi="Times New Roman" w:cs="Times New Roman"/>
          <w:noProof/>
          <w:sz w:val="24"/>
          <w:szCs w:val="24"/>
        </w:rPr>
        <w:t>16 December 2021</w:t>
      </w:r>
      <w:r w:rsidR="00ED780B">
        <w:rPr>
          <w:rStyle w:val="FootnoteReference"/>
          <w:rFonts w:ascii="Times New Roman" w:hAnsi="Times New Roman" w:cs="Times New Roman"/>
          <w:noProof/>
          <w:sz w:val="24"/>
          <w:szCs w:val="24"/>
        </w:rPr>
        <w:footnoteReference w:id="183"/>
      </w:r>
      <w:r w:rsidR="00662E5E">
        <w:rPr>
          <w:rFonts w:ascii="Times New Roman" w:hAnsi="Times New Roman" w:cs="Times New Roman"/>
          <w:noProof/>
          <w:sz w:val="24"/>
          <w:szCs w:val="24"/>
        </w:rPr>
        <w:t>.</w:t>
      </w:r>
      <w:r w:rsidR="00ED780B" w:rsidDel="00ED780B">
        <w:rPr>
          <w:rStyle w:val="CommentReference"/>
          <w:noProof/>
        </w:rPr>
        <w:t xml:space="preserve"> </w:t>
      </w:r>
    </w:p>
    <w:p w14:paraId="414D3FF8" w14:textId="6DDBD471" w:rsidR="00696049" w:rsidRPr="00696049" w:rsidRDefault="00662E5E" w:rsidP="00724804">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part of this analysis, </w:t>
      </w:r>
      <w:r w:rsidR="00696049" w:rsidRPr="00696049">
        <w:rPr>
          <w:rFonts w:ascii="Times New Roman" w:hAnsi="Times New Roman" w:cs="Times New Roman"/>
          <w:noProof/>
          <w:sz w:val="24"/>
          <w:szCs w:val="24"/>
        </w:rPr>
        <w:t>ESMA reached out to a wide range of stakeholders, including public authorities and market participants</w:t>
      </w:r>
      <w:r>
        <w:rPr>
          <w:rFonts w:ascii="Times New Roman" w:hAnsi="Times New Roman" w:cs="Times New Roman"/>
          <w:noProof/>
          <w:sz w:val="24"/>
          <w:szCs w:val="24"/>
        </w:rPr>
        <w:t xml:space="preserve"> for</w:t>
      </w:r>
      <w:r w:rsidR="00696049" w:rsidRPr="00696049">
        <w:rPr>
          <w:rFonts w:ascii="Times New Roman" w:hAnsi="Times New Roman" w:cs="Times New Roman"/>
          <w:noProof/>
          <w:sz w:val="24"/>
          <w:szCs w:val="24"/>
        </w:rPr>
        <w:t xml:space="preserve"> input </w:t>
      </w:r>
      <w:r>
        <w:rPr>
          <w:rFonts w:ascii="Times New Roman" w:hAnsi="Times New Roman" w:cs="Times New Roman"/>
          <w:noProof/>
          <w:sz w:val="24"/>
          <w:szCs w:val="24"/>
        </w:rPr>
        <w:t>in</w:t>
      </w:r>
      <w:r w:rsidR="00696049" w:rsidRPr="00696049">
        <w:rPr>
          <w:rFonts w:ascii="Times New Roman" w:hAnsi="Times New Roman" w:cs="Times New Roman"/>
          <w:noProof/>
          <w:sz w:val="24"/>
          <w:szCs w:val="24"/>
        </w:rPr>
        <w:t>to its assessment to ensure a comprehensive review</w:t>
      </w:r>
      <w:r>
        <w:rPr>
          <w:rFonts w:ascii="Times New Roman" w:hAnsi="Times New Roman" w:cs="Times New Roman"/>
          <w:noProof/>
          <w:sz w:val="24"/>
          <w:szCs w:val="24"/>
        </w:rPr>
        <w:t>. I</w:t>
      </w:r>
      <w:r w:rsidR="00696049" w:rsidRPr="00696049">
        <w:rPr>
          <w:rFonts w:ascii="Times New Roman" w:hAnsi="Times New Roman" w:cs="Times New Roman"/>
          <w:noProof/>
          <w:sz w:val="24"/>
          <w:szCs w:val="24"/>
        </w:rPr>
        <w:t xml:space="preserve">n particular, ESMA: a) </w:t>
      </w:r>
      <w:r>
        <w:rPr>
          <w:rFonts w:ascii="Times New Roman" w:hAnsi="Times New Roman" w:cs="Times New Roman"/>
          <w:noProof/>
          <w:sz w:val="24"/>
          <w:szCs w:val="24"/>
        </w:rPr>
        <w:t>asked</w:t>
      </w:r>
      <w:r w:rsidR="00696049" w:rsidRPr="00696049">
        <w:rPr>
          <w:rFonts w:ascii="Times New Roman" w:hAnsi="Times New Roman" w:cs="Times New Roman"/>
          <w:noProof/>
          <w:sz w:val="24"/>
          <w:szCs w:val="24"/>
        </w:rPr>
        <w:t xml:space="preserve"> LCH Ltd and ICEU to </w:t>
      </w:r>
      <w:r>
        <w:rPr>
          <w:rFonts w:ascii="Times New Roman" w:hAnsi="Times New Roman" w:cs="Times New Roman"/>
          <w:noProof/>
          <w:sz w:val="24"/>
          <w:szCs w:val="24"/>
        </w:rPr>
        <w:t>provide</w:t>
      </w:r>
      <w:r w:rsidR="00696049" w:rsidRPr="00696049">
        <w:rPr>
          <w:rFonts w:ascii="Times New Roman" w:hAnsi="Times New Roman" w:cs="Times New Roman"/>
          <w:noProof/>
          <w:sz w:val="24"/>
          <w:szCs w:val="24"/>
        </w:rPr>
        <w:t xml:space="preserve"> data and information for the assessment of their systemic importance under the methodology; b) invited relevant market participants, including a representative sample of EU clearing members, clients and trading venues accessing LCH Ltd and ICEU, as well as EU CCPs, to respond to tailored data requests; c) engaged with relevant public authorities, including the ESRB, the relevant </w:t>
      </w:r>
      <w:r>
        <w:rPr>
          <w:rFonts w:ascii="Times New Roman" w:hAnsi="Times New Roman" w:cs="Times New Roman"/>
          <w:noProof/>
          <w:sz w:val="24"/>
          <w:szCs w:val="24"/>
        </w:rPr>
        <w:t>central banks of issue</w:t>
      </w:r>
      <w:r w:rsidR="00696049" w:rsidRPr="00696049">
        <w:rPr>
          <w:rFonts w:ascii="Times New Roman" w:hAnsi="Times New Roman" w:cs="Times New Roman"/>
          <w:noProof/>
          <w:sz w:val="24"/>
          <w:szCs w:val="24"/>
        </w:rPr>
        <w:t xml:space="preserve">, the European Banking Authority (EBA), the European Insurance and Occupational Pensions Authority (EIOPA), the Single Supervisory Mechanism (SSM), the Single Resolution Board (SRB), and the Bank of England (BoE). In some cases, tailored data requests were </w:t>
      </w:r>
      <w:r>
        <w:rPr>
          <w:rFonts w:ascii="Times New Roman" w:hAnsi="Times New Roman" w:cs="Times New Roman"/>
          <w:noProof/>
          <w:sz w:val="24"/>
          <w:szCs w:val="24"/>
        </w:rPr>
        <w:t xml:space="preserve">also </w:t>
      </w:r>
      <w:r w:rsidR="00696049" w:rsidRPr="00696049">
        <w:rPr>
          <w:rFonts w:ascii="Times New Roman" w:hAnsi="Times New Roman" w:cs="Times New Roman"/>
          <w:noProof/>
          <w:sz w:val="24"/>
          <w:szCs w:val="24"/>
        </w:rPr>
        <w:t>sent. The reference period was June 2020 to June 2021.</w:t>
      </w:r>
    </w:p>
    <w:p w14:paraId="4B9BE6EF" w14:textId="5BE65145" w:rsidR="00696049" w:rsidRPr="00696049" w:rsidRDefault="00696049" w:rsidP="00724804">
      <w:pPr>
        <w:spacing w:after="120" w:line="240" w:lineRule="auto"/>
        <w:jc w:val="both"/>
        <w:rPr>
          <w:rFonts w:ascii="Times New Roman" w:hAnsi="Times New Roman" w:cs="Times New Roman"/>
          <w:noProof/>
          <w:sz w:val="24"/>
          <w:szCs w:val="24"/>
        </w:rPr>
      </w:pPr>
      <w:r w:rsidRPr="00696049">
        <w:rPr>
          <w:rFonts w:ascii="Times New Roman" w:hAnsi="Times New Roman" w:cs="Times New Roman"/>
          <w:noProof/>
          <w:sz w:val="24"/>
          <w:szCs w:val="24"/>
        </w:rPr>
        <w:t>On 15 July 2021</w:t>
      </w:r>
      <w:r w:rsidR="00662E5E">
        <w:rPr>
          <w:rFonts w:ascii="Times New Roman" w:hAnsi="Times New Roman" w:cs="Times New Roman"/>
          <w:noProof/>
          <w:sz w:val="24"/>
          <w:szCs w:val="24"/>
        </w:rPr>
        <w:t>,</w:t>
      </w:r>
      <w:r w:rsidRPr="00696049">
        <w:rPr>
          <w:rFonts w:ascii="Times New Roman" w:hAnsi="Times New Roman" w:cs="Times New Roman"/>
          <w:noProof/>
          <w:sz w:val="24"/>
          <w:szCs w:val="24"/>
        </w:rPr>
        <w:t xml:space="preserve"> ESMA organised two roundtables with representatives of EU clearing members and clients of EU clearing members </w:t>
      </w:r>
      <w:r w:rsidR="00662E5E">
        <w:rPr>
          <w:rFonts w:ascii="Times New Roman" w:hAnsi="Times New Roman" w:cs="Times New Roman"/>
          <w:noProof/>
          <w:sz w:val="24"/>
          <w:szCs w:val="24"/>
        </w:rPr>
        <w:t>to</w:t>
      </w:r>
      <w:r w:rsidRPr="00696049">
        <w:rPr>
          <w:rFonts w:ascii="Times New Roman" w:hAnsi="Times New Roman" w:cs="Times New Roman"/>
          <w:noProof/>
          <w:sz w:val="24"/>
          <w:szCs w:val="24"/>
        </w:rPr>
        <w:t xml:space="preserve"> provide ESMA with the user perspective on a) the systemic risk posed by Tier 2 CCPs and b) the costs, benefits, and consequences of a potential decision not to recognise the CCP to provide certain clearing services. In addition, ESMA notes that engagement with the stakeholders continued throughout the assessment process through an open dialogue with the Chair and the Independent Members of the CCP SC, and ESMA staff. Finally, ESMA notes in its report that the CCP </w:t>
      </w:r>
      <w:r w:rsidR="00081C9F">
        <w:rPr>
          <w:rFonts w:ascii="Times New Roman" w:hAnsi="Times New Roman" w:cs="Times New Roman"/>
          <w:noProof/>
          <w:sz w:val="24"/>
          <w:szCs w:val="24"/>
        </w:rPr>
        <w:t>Supervisory Committee</w:t>
      </w:r>
      <w:r w:rsidRPr="00696049">
        <w:rPr>
          <w:rFonts w:ascii="Times New Roman" w:hAnsi="Times New Roman" w:cs="Times New Roman"/>
          <w:noProof/>
          <w:sz w:val="24"/>
          <w:szCs w:val="24"/>
        </w:rPr>
        <w:t xml:space="preserve"> and ESMA Board of Supervisors were involved throughout the assessment process through presentations, general information sharing, and discussions at regular and dedicated meetings.</w:t>
      </w:r>
    </w:p>
    <w:p w14:paraId="687DE016" w14:textId="77777777" w:rsidR="00696049" w:rsidRPr="00696049" w:rsidRDefault="00696049" w:rsidP="00724804">
      <w:pPr>
        <w:spacing w:after="120" w:line="240" w:lineRule="auto"/>
        <w:jc w:val="both"/>
        <w:rPr>
          <w:rFonts w:ascii="Times New Roman" w:hAnsi="Times New Roman" w:cs="Times New Roman"/>
          <w:noProof/>
          <w:sz w:val="24"/>
          <w:szCs w:val="24"/>
        </w:rPr>
      </w:pPr>
      <w:r w:rsidRPr="00696049">
        <w:rPr>
          <w:rFonts w:ascii="Times New Roman" w:hAnsi="Times New Roman" w:cs="Times New Roman"/>
          <w:noProof/>
          <w:sz w:val="24"/>
          <w:szCs w:val="24"/>
        </w:rPr>
        <w:t xml:space="preserve">The ESMA Report notes that whilst the analysis suggests that LCH SwapClear and ICEU services on CDS and STIR could be candidates services of substantial systemic importance for the Union, also an assessment that the compliance with the conditions for the recognition of Tier 2 CCPs would not sufficiently address financial stability risks to the Union or one or more of its Member States should be undertaken. </w:t>
      </w:r>
    </w:p>
    <w:p w14:paraId="400A889B" w14:textId="192E5706" w:rsidR="00696049" w:rsidRPr="00696049" w:rsidRDefault="00696049" w:rsidP="00724804">
      <w:pPr>
        <w:spacing w:after="120" w:line="240" w:lineRule="auto"/>
        <w:jc w:val="both"/>
        <w:rPr>
          <w:rFonts w:ascii="Times New Roman" w:hAnsi="Times New Roman" w:cs="Times New Roman"/>
          <w:noProof/>
          <w:sz w:val="24"/>
          <w:szCs w:val="24"/>
        </w:rPr>
      </w:pPr>
      <w:r w:rsidRPr="00696049">
        <w:rPr>
          <w:rFonts w:ascii="Times New Roman" w:hAnsi="Times New Roman" w:cs="Times New Roman"/>
          <w:noProof/>
          <w:sz w:val="24"/>
          <w:szCs w:val="24"/>
        </w:rPr>
        <w:t>ESMA notes that whilst the conditions for the recognition of Tier 2 CCPs aim to ensure that such CCPs comply with the requirements under EMIR on an ongoing basis so that, in principle, the risks stemming from services provided by a Tier 2 CCP would be the same if such services were instead to be provided by a CCP established in the Union there might be scenarios where the formal compliance by a CCP with EMIR requirements, located in or outside of the Union, is by itself insufficient to fully mitigate the risks that certain services may pose to the financial stability of the Union or of one or more of its Member States. The situations identified by ESMA includes cases where CCPs may adopt discretionary decisions, under business-as-usual or crisis situations, on whether, when and how to adopt certain risk management measures which may have broader systemic implications. Moreover, EMIR requirements to be met by CCPs do not address financial stability risks resulting from recovery and resolution scenarios.</w:t>
      </w:r>
    </w:p>
    <w:p w14:paraId="6F276943" w14:textId="48633C62" w:rsidR="00696049" w:rsidRPr="00696049" w:rsidRDefault="00696049" w:rsidP="00724804">
      <w:pPr>
        <w:spacing w:after="120" w:line="240" w:lineRule="auto"/>
        <w:jc w:val="both"/>
        <w:rPr>
          <w:rFonts w:ascii="Times New Roman" w:hAnsi="Times New Roman" w:cs="Times New Roman"/>
          <w:noProof/>
          <w:sz w:val="24"/>
          <w:szCs w:val="24"/>
        </w:rPr>
      </w:pPr>
      <w:r w:rsidRPr="00696049">
        <w:rPr>
          <w:rFonts w:ascii="Times New Roman" w:hAnsi="Times New Roman" w:cs="Times New Roman"/>
          <w:noProof/>
          <w:sz w:val="24"/>
          <w:szCs w:val="24"/>
        </w:rPr>
        <w:t xml:space="preserve">This scenario analysis highlights in the ESMA report how LCH SwapClear could create additional risks to EU financial stability in </w:t>
      </w:r>
      <w:r w:rsidR="00081C9F">
        <w:rPr>
          <w:rFonts w:ascii="Times New Roman" w:hAnsi="Times New Roman" w:cs="Times New Roman"/>
          <w:noProof/>
          <w:sz w:val="24"/>
          <w:szCs w:val="24"/>
        </w:rPr>
        <w:t>business as usual</w:t>
      </w:r>
      <w:r w:rsidRPr="00696049">
        <w:rPr>
          <w:rFonts w:ascii="Times New Roman" w:hAnsi="Times New Roman" w:cs="Times New Roman"/>
          <w:noProof/>
          <w:sz w:val="24"/>
          <w:szCs w:val="24"/>
        </w:rPr>
        <w:t xml:space="preserve">, crisis management, and recovery and resolution circumstances, due to its location outside the EU. </w:t>
      </w:r>
    </w:p>
    <w:p w14:paraId="55FE3011" w14:textId="680BDCB7" w:rsidR="00696049" w:rsidRPr="00696049" w:rsidRDefault="00696049" w:rsidP="00724804">
      <w:pPr>
        <w:spacing w:after="120" w:line="240" w:lineRule="auto"/>
        <w:jc w:val="both"/>
        <w:rPr>
          <w:rFonts w:ascii="Times New Roman" w:hAnsi="Times New Roman" w:cs="Times New Roman"/>
          <w:noProof/>
          <w:sz w:val="24"/>
          <w:szCs w:val="24"/>
        </w:rPr>
      </w:pPr>
      <w:r w:rsidRPr="00696049">
        <w:rPr>
          <w:rFonts w:ascii="Times New Roman" w:hAnsi="Times New Roman" w:cs="Times New Roman"/>
          <w:noProof/>
          <w:sz w:val="24"/>
          <w:szCs w:val="24"/>
        </w:rPr>
        <w:t xml:space="preserve">On the scenarios ESMA had established 3 </w:t>
      </w:r>
      <w:r w:rsidR="00081C9F">
        <w:rPr>
          <w:rFonts w:ascii="Times New Roman" w:hAnsi="Times New Roman" w:cs="Times New Roman"/>
          <w:noProof/>
          <w:sz w:val="24"/>
          <w:szCs w:val="24"/>
        </w:rPr>
        <w:t>business as usual</w:t>
      </w:r>
      <w:r w:rsidRPr="00696049">
        <w:rPr>
          <w:rFonts w:ascii="Times New Roman" w:hAnsi="Times New Roman" w:cs="Times New Roman"/>
          <w:noProof/>
          <w:sz w:val="24"/>
          <w:szCs w:val="24"/>
        </w:rPr>
        <w:t xml:space="preserve"> scenarios that were considered in detail</w:t>
      </w:r>
      <w:r w:rsidR="00081C9F">
        <w:rPr>
          <w:rFonts w:ascii="Times New Roman" w:hAnsi="Times New Roman" w:cs="Times New Roman"/>
          <w:noProof/>
          <w:sz w:val="24"/>
          <w:szCs w:val="24"/>
        </w:rPr>
        <w:t>. T</w:t>
      </w:r>
      <w:r w:rsidRPr="00696049">
        <w:rPr>
          <w:rFonts w:ascii="Times New Roman" w:hAnsi="Times New Roman" w:cs="Times New Roman"/>
          <w:noProof/>
          <w:sz w:val="24"/>
          <w:szCs w:val="24"/>
        </w:rPr>
        <w:t>he first scenario concerns LCH Ltd and ICEU limiting access of EU trading venues to its clearing services as both LCH Ltd or ICEU have discretionary powers for restricting, suspending, or terminating access to EU</w:t>
      </w:r>
      <w:r w:rsidR="00081C9F">
        <w:rPr>
          <w:rFonts w:ascii="Times New Roman" w:hAnsi="Times New Roman" w:cs="Times New Roman"/>
          <w:noProof/>
          <w:sz w:val="24"/>
          <w:szCs w:val="24"/>
        </w:rPr>
        <w:t xml:space="preserve">. In this respect, </w:t>
      </w:r>
      <w:r w:rsidRPr="00696049">
        <w:rPr>
          <w:rFonts w:ascii="Times New Roman" w:hAnsi="Times New Roman" w:cs="Times New Roman"/>
          <w:noProof/>
          <w:sz w:val="24"/>
          <w:szCs w:val="24"/>
        </w:rPr>
        <w:t xml:space="preserve">ESMA notes that, Tier 2 CCPs currently do not have to comply with EMIR provisions on open access for trading venues for OTC derivatives under Article 7 and 8 of EMIR. The second </w:t>
      </w:r>
      <w:r w:rsidR="00081C9F">
        <w:rPr>
          <w:rFonts w:ascii="Times New Roman" w:hAnsi="Times New Roman" w:cs="Times New Roman"/>
          <w:noProof/>
          <w:sz w:val="24"/>
          <w:szCs w:val="24"/>
        </w:rPr>
        <w:t>business as usual</w:t>
      </w:r>
      <w:r w:rsidR="00081C9F" w:rsidRPr="00696049">
        <w:rPr>
          <w:rFonts w:ascii="Times New Roman" w:hAnsi="Times New Roman" w:cs="Times New Roman"/>
          <w:noProof/>
          <w:sz w:val="24"/>
          <w:szCs w:val="24"/>
        </w:rPr>
        <w:t xml:space="preserve"> </w:t>
      </w:r>
      <w:r w:rsidRPr="00696049">
        <w:rPr>
          <w:rFonts w:ascii="Times New Roman" w:hAnsi="Times New Roman" w:cs="Times New Roman"/>
          <w:noProof/>
          <w:sz w:val="24"/>
          <w:szCs w:val="24"/>
        </w:rPr>
        <w:t xml:space="preserve">scenario concerns a decision by LCH Ltd or ICEU to terminate membership of EU clearing members as the CCP has discretionary powers for restricting, suspending, or terminating access to EU clearing members altogether. The final </w:t>
      </w:r>
      <w:r w:rsidR="00081C9F">
        <w:rPr>
          <w:rFonts w:ascii="Times New Roman" w:hAnsi="Times New Roman" w:cs="Times New Roman"/>
          <w:noProof/>
          <w:sz w:val="24"/>
          <w:szCs w:val="24"/>
        </w:rPr>
        <w:t>business as usual</w:t>
      </w:r>
      <w:r w:rsidR="00081C9F" w:rsidRPr="00696049">
        <w:rPr>
          <w:rFonts w:ascii="Times New Roman" w:hAnsi="Times New Roman" w:cs="Times New Roman"/>
          <w:noProof/>
          <w:sz w:val="24"/>
          <w:szCs w:val="24"/>
        </w:rPr>
        <w:t xml:space="preserve"> </w:t>
      </w:r>
      <w:r w:rsidRPr="00696049">
        <w:rPr>
          <w:rFonts w:ascii="Times New Roman" w:hAnsi="Times New Roman" w:cs="Times New Roman"/>
          <w:noProof/>
          <w:sz w:val="24"/>
          <w:szCs w:val="24"/>
        </w:rPr>
        <w:t xml:space="preserve">scenario concerns operational disruptions at LCH Ltd or ICEU stemming from diverse root causes including in the LCH Ltd assessment operational disruptions that may temporarily prevent EU trading venues and clearing members from clearing </w:t>
      </w:r>
      <w:r w:rsidR="00081C9F">
        <w:rPr>
          <w:rFonts w:ascii="Times New Roman" w:hAnsi="Times New Roman" w:cs="Times New Roman"/>
          <w:noProof/>
          <w:sz w:val="24"/>
          <w:szCs w:val="24"/>
        </w:rPr>
        <w:t>interest rate derivatives</w:t>
      </w:r>
      <w:r w:rsidRPr="00696049">
        <w:rPr>
          <w:rFonts w:ascii="Times New Roman" w:hAnsi="Times New Roman" w:cs="Times New Roman"/>
          <w:noProof/>
          <w:sz w:val="24"/>
          <w:szCs w:val="24"/>
        </w:rPr>
        <w:t xml:space="preserve"> subject to the clearing obligation and other </w:t>
      </w:r>
      <w:r w:rsidR="00081C9F">
        <w:rPr>
          <w:rFonts w:ascii="Times New Roman" w:hAnsi="Times New Roman" w:cs="Times New Roman"/>
          <w:noProof/>
          <w:sz w:val="24"/>
          <w:szCs w:val="24"/>
        </w:rPr>
        <w:t>interest rate derivatives</w:t>
      </w:r>
      <w:r w:rsidRPr="00696049">
        <w:rPr>
          <w:rFonts w:ascii="Times New Roman" w:hAnsi="Times New Roman" w:cs="Times New Roman"/>
          <w:noProof/>
          <w:sz w:val="24"/>
          <w:szCs w:val="24"/>
        </w:rPr>
        <w:t xml:space="preserve"> and where </w:t>
      </w:r>
      <w:r w:rsidR="006B6F44">
        <w:rPr>
          <w:rFonts w:ascii="Times New Roman" w:hAnsi="Times New Roman" w:cs="Times New Roman"/>
          <w:noProof/>
          <w:sz w:val="24"/>
          <w:szCs w:val="24"/>
        </w:rPr>
        <w:t xml:space="preserve">financial </w:t>
      </w:r>
      <w:r w:rsidRPr="00696049">
        <w:rPr>
          <w:rFonts w:ascii="Times New Roman" w:hAnsi="Times New Roman" w:cs="Times New Roman"/>
          <w:noProof/>
          <w:sz w:val="24"/>
          <w:szCs w:val="24"/>
        </w:rPr>
        <w:t>stability could be affected if the service were not recovered promptly.</w:t>
      </w:r>
    </w:p>
    <w:p w14:paraId="1386D86A" w14:textId="77777777" w:rsidR="00696049" w:rsidRPr="00696049" w:rsidRDefault="00696049" w:rsidP="00724804">
      <w:pPr>
        <w:spacing w:after="120" w:line="240" w:lineRule="auto"/>
        <w:jc w:val="both"/>
        <w:rPr>
          <w:rFonts w:ascii="Times New Roman" w:hAnsi="Times New Roman" w:cs="Times New Roman"/>
          <w:noProof/>
          <w:sz w:val="24"/>
          <w:szCs w:val="24"/>
        </w:rPr>
      </w:pPr>
      <w:r w:rsidRPr="00696049">
        <w:rPr>
          <w:rFonts w:ascii="Times New Roman" w:hAnsi="Times New Roman" w:cs="Times New Roman"/>
          <w:noProof/>
          <w:sz w:val="24"/>
          <w:szCs w:val="24"/>
        </w:rPr>
        <w:t xml:space="preserve">ESMA notes that a CCP has discretionary powers under stressed market conditions to take actions that may impact the financial stability of the Union or of one or more of its Member States and that such actions could conflict with the coordinated actions of EU authorities and institutions to address the market stress and minimise any second-round effects. ESMA has identified several scenarios under crisis management (i.e., assuming market volatility), where Tier 2 CCPs therefore could pose a systemic risk to the Union or one or more of its Member States. Discretionary powers include: i) an increase in margin requirements on EU currency IRDs; ii) increases in haircuts on EU collateral (e.g., government bonds; iii) requests for additional margins from EU clearing members, based on internal rating models; and iv) declarations of default of an EU clearing member, irrespective of recovery and resolution measures. </w:t>
      </w:r>
    </w:p>
    <w:p w14:paraId="372924FD" w14:textId="082F4B7A" w:rsidR="00696049" w:rsidRPr="00696049" w:rsidRDefault="00696049" w:rsidP="00724804">
      <w:pPr>
        <w:spacing w:after="120" w:line="240" w:lineRule="auto"/>
        <w:jc w:val="both"/>
        <w:rPr>
          <w:rFonts w:ascii="Times New Roman" w:hAnsi="Times New Roman" w:cs="Times New Roman"/>
          <w:noProof/>
          <w:sz w:val="24"/>
          <w:szCs w:val="24"/>
        </w:rPr>
      </w:pPr>
      <w:r w:rsidRPr="00696049">
        <w:rPr>
          <w:rFonts w:ascii="Times New Roman" w:hAnsi="Times New Roman" w:cs="Times New Roman"/>
          <w:noProof/>
          <w:sz w:val="24"/>
          <w:szCs w:val="24"/>
        </w:rPr>
        <w:t>Whilst ESMA notes that under direct supervision, ESMA shall review (and, where needed, seek changes to) the margin and haircut policies and procedures as well as the internal rating models, to ensure that adjustments are implemented when due in an objective and non-discriminatory manner, in compliance with EMIR (including requirements on anti-procyclicality), ESMA has no ex-ante intervention powers vis-a-vis the CCP to prevent the adoption of measures that are detrimental to the EU financial stability and further notes that ESMA has no ex-ante powers to oppose a supervisory intervention or action by the UK authorities relating to the discretionary risk management measures considered above, when that would negatively affect EU financial stability.</w:t>
      </w:r>
    </w:p>
    <w:p w14:paraId="407CC684" w14:textId="29E13E4B" w:rsidR="00696049" w:rsidRPr="00696049" w:rsidRDefault="00696049" w:rsidP="00724804">
      <w:pPr>
        <w:spacing w:after="120" w:line="240" w:lineRule="auto"/>
        <w:jc w:val="both"/>
        <w:rPr>
          <w:rFonts w:ascii="Times New Roman" w:hAnsi="Times New Roman" w:cs="Times New Roman"/>
          <w:noProof/>
          <w:sz w:val="24"/>
          <w:szCs w:val="24"/>
        </w:rPr>
      </w:pPr>
      <w:r w:rsidRPr="00696049">
        <w:rPr>
          <w:rFonts w:ascii="Times New Roman" w:hAnsi="Times New Roman" w:cs="Times New Roman"/>
          <w:noProof/>
          <w:sz w:val="24"/>
          <w:szCs w:val="24"/>
        </w:rPr>
        <w:t>Finally</w:t>
      </w:r>
      <w:r w:rsidR="00081C9F">
        <w:rPr>
          <w:rFonts w:ascii="Times New Roman" w:hAnsi="Times New Roman" w:cs="Times New Roman"/>
          <w:noProof/>
          <w:sz w:val="24"/>
          <w:szCs w:val="24"/>
        </w:rPr>
        <w:t>,</w:t>
      </w:r>
      <w:r w:rsidRPr="00696049">
        <w:rPr>
          <w:rFonts w:ascii="Times New Roman" w:hAnsi="Times New Roman" w:cs="Times New Roman"/>
          <w:noProof/>
          <w:sz w:val="24"/>
          <w:szCs w:val="24"/>
        </w:rPr>
        <w:t xml:space="preserve"> ESMA has assessed the scenario of recovery and resolution of LCH Ltd and ICEU, where several scenarios may potentially impact EU financial stability. ESMA notes that the impact of a recovery event may be disruptive for clearing members per se and that the recovery rule book is a contractual arrangement that can be adjusted at any time and ESMA has no supervisory mandate over the LCH Ltd or ICEU recovery plans and that the recovery plans may evolve to comply with new requirements in the UK. ESMA further notes that whilst ESMA and other relevant EU or national authorities participate in the global college and in crisis management group (CMG) for LCH Ltd and ICEU, neither the college nor the CMG adopt decisions or opinions on the recovery or resolution plan, respectively and BoE is independent in reviewing the CCP recovery plan and defining its resolution strategy and resolution plan. In doing so, it mainly pursues the financial stability of the UK according to its mandate. </w:t>
      </w:r>
    </w:p>
    <w:p w14:paraId="0DD8902C" w14:textId="77777777" w:rsidR="00696049" w:rsidRPr="00696049" w:rsidRDefault="00696049" w:rsidP="00724804">
      <w:pPr>
        <w:spacing w:after="120" w:line="240" w:lineRule="auto"/>
        <w:jc w:val="both"/>
        <w:rPr>
          <w:rFonts w:ascii="Times New Roman" w:hAnsi="Times New Roman" w:cs="Times New Roman"/>
          <w:noProof/>
          <w:sz w:val="24"/>
          <w:szCs w:val="24"/>
        </w:rPr>
      </w:pPr>
      <w:r w:rsidRPr="00696049">
        <w:rPr>
          <w:rFonts w:ascii="Times New Roman" w:hAnsi="Times New Roman" w:cs="Times New Roman"/>
          <w:noProof/>
          <w:sz w:val="24"/>
          <w:szCs w:val="24"/>
        </w:rPr>
        <w:t xml:space="preserve">Furthermore, a failure of or a disruption to CCP could impact the functioning of money markets which may negatively impact financial stability and monetary policy implementation where negative implications have been identified for PLN and EUR for LCH Ltd Swap Clear. </w:t>
      </w:r>
    </w:p>
    <w:p w14:paraId="481F8FC5" w14:textId="4D076D0E" w:rsidR="00696049" w:rsidRPr="00696049" w:rsidRDefault="00696049" w:rsidP="00724804">
      <w:pPr>
        <w:spacing w:after="120" w:line="240" w:lineRule="auto"/>
        <w:jc w:val="both"/>
        <w:rPr>
          <w:rFonts w:ascii="Times New Roman" w:hAnsi="Times New Roman" w:cs="Times New Roman"/>
          <w:noProof/>
          <w:sz w:val="24"/>
          <w:szCs w:val="24"/>
        </w:rPr>
      </w:pPr>
      <w:r w:rsidRPr="00696049">
        <w:rPr>
          <w:rFonts w:ascii="Times New Roman" w:hAnsi="Times New Roman" w:cs="Times New Roman"/>
          <w:noProof/>
          <w:sz w:val="24"/>
          <w:szCs w:val="24"/>
        </w:rPr>
        <w:t xml:space="preserve">ESMA concludes that both LCH Ltd  and ICEU fulfil a critical function to EU financial markets, and the broader financial system and this creates dependencies of the EU on LCH Ltd and ICEU, which vary per segment hence based on the characteristics of the clearing service provided. The analysis of scenarios that may impact EU financial stability, concludes that even where SwapClear and ICEU are in full compliance with EMIR requirements, certain services of SwapClear and ICEU are of substantial systemic importance for the financial stability of the EU as a whole. </w:t>
      </w:r>
    </w:p>
    <w:p w14:paraId="7DDB63B6" w14:textId="77777777" w:rsidR="00696049" w:rsidRPr="00696049" w:rsidRDefault="00696049" w:rsidP="00724804">
      <w:pPr>
        <w:spacing w:after="120" w:line="240" w:lineRule="auto"/>
        <w:jc w:val="both"/>
        <w:rPr>
          <w:rFonts w:ascii="Times New Roman" w:hAnsi="Times New Roman" w:cs="Times New Roman"/>
          <w:noProof/>
          <w:sz w:val="24"/>
          <w:szCs w:val="24"/>
        </w:rPr>
      </w:pPr>
      <w:r w:rsidRPr="00696049">
        <w:rPr>
          <w:rFonts w:ascii="Times New Roman" w:hAnsi="Times New Roman" w:cs="Times New Roman"/>
          <w:noProof/>
          <w:sz w:val="24"/>
          <w:szCs w:val="24"/>
        </w:rPr>
        <w:t xml:space="preserve">The assessment concludes that the SwapClear service is of substantial systemic importance for the financial stability of the EU as a whole in relation to certain EU currencies, i.e., for EUR and PLN. Although alternatives to LCH Ltd are available (Eurex Clearing, CME Clear), these are currently expected to be able to take over LCH Ltd's role only to a limited extent and bilateral clearing will also not be possible for products subject to a clearing obligation - and would not be a desirable outcome. </w:t>
      </w:r>
    </w:p>
    <w:p w14:paraId="648D3394" w14:textId="77777777" w:rsidR="00696049" w:rsidRPr="00696049" w:rsidRDefault="00696049" w:rsidP="00724804">
      <w:pPr>
        <w:spacing w:after="120" w:line="240" w:lineRule="auto"/>
        <w:jc w:val="both"/>
        <w:rPr>
          <w:rFonts w:ascii="Times New Roman" w:hAnsi="Times New Roman" w:cs="Times New Roman"/>
          <w:noProof/>
          <w:sz w:val="24"/>
          <w:szCs w:val="24"/>
        </w:rPr>
      </w:pPr>
      <w:r w:rsidRPr="00696049">
        <w:rPr>
          <w:rFonts w:ascii="Times New Roman" w:hAnsi="Times New Roman" w:cs="Times New Roman"/>
          <w:noProof/>
          <w:sz w:val="24"/>
          <w:szCs w:val="24"/>
        </w:rPr>
        <w:t>The assessment further concludes, based on the characteristics of ICEU's CDS segment and a scenario analysis, that the CDS segment is of substantial systemic importance for the financial stability of the EU. The CDS segment has a significant market share in euro denominated CDS, which includes CDS products subject to the clearing obligation. Strong dependencies exist with the largest EU active clearing members and liquidity exposures are also high. Even though the potential losses are sufficiently covered by capital in isolated events, EU clearing members would be subject to substantial pressures in the case of market-wide crises. Alternatives exist (notably US based ICC and France based LCH SA), but market depth is limited, and migration would be costly.</w:t>
      </w:r>
    </w:p>
    <w:p w14:paraId="1800955A" w14:textId="2F7842A0" w:rsidR="00696049" w:rsidRPr="00696049" w:rsidRDefault="00696049" w:rsidP="00724804">
      <w:pPr>
        <w:spacing w:after="120" w:line="240" w:lineRule="auto"/>
        <w:jc w:val="both"/>
        <w:rPr>
          <w:rFonts w:ascii="Times New Roman" w:hAnsi="Times New Roman" w:cs="Times New Roman"/>
          <w:noProof/>
          <w:sz w:val="24"/>
          <w:szCs w:val="24"/>
        </w:rPr>
      </w:pPr>
      <w:r w:rsidRPr="00696049">
        <w:rPr>
          <w:rFonts w:ascii="Times New Roman" w:hAnsi="Times New Roman" w:cs="Times New Roman"/>
          <w:noProof/>
          <w:sz w:val="24"/>
          <w:szCs w:val="24"/>
        </w:rPr>
        <w:t xml:space="preserve">Finally the assessment notes that for ICEU's F&amp;O segment, the euro-denominated listed STIR derivatives are also considered to be of substantial systemic importance for the financial stability of the EU. These concern important instruments for monetary policy for the euro area, including the Euribor futures, and as such are at the nexus of the EU financial system. </w:t>
      </w:r>
      <w:r w:rsidR="007616A0">
        <w:rPr>
          <w:rFonts w:ascii="Times New Roman" w:hAnsi="Times New Roman" w:cs="Times New Roman"/>
          <w:noProof/>
          <w:sz w:val="24"/>
          <w:szCs w:val="24"/>
        </w:rPr>
        <w:t>Whilst</w:t>
      </w:r>
      <w:r w:rsidRPr="00696049">
        <w:rPr>
          <w:rFonts w:ascii="Times New Roman" w:hAnsi="Times New Roman" w:cs="Times New Roman"/>
          <w:noProof/>
          <w:sz w:val="24"/>
          <w:szCs w:val="24"/>
        </w:rPr>
        <w:t xml:space="preserve"> buffer capacity appears to be sufficient, it cannot be safely assumed that the buffers will be available during a crisis scenario. ICEU is basically a monopolist in the short-term products. Eurex Clearing, LCH Ltd, and CME also offer interest rate derivatives, but not with the same maturities and underlying values. Finally, ICEU is the only CCP to have access to the trading venue of reference for the STIR products, which is ICE Futures Europe. </w:t>
      </w:r>
    </w:p>
    <w:p w14:paraId="19F69028" w14:textId="172D23C2" w:rsidR="00696049" w:rsidRPr="002661A8" w:rsidRDefault="00696049" w:rsidP="00724804">
      <w:pPr>
        <w:spacing w:after="120" w:line="240" w:lineRule="auto"/>
        <w:jc w:val="both"/>
        <w:rPr>
          <w:rFonts w:ascii="Times New Roman" w:hAnsi="Times New Roman" w:cs="Times New Roman"/>
          <w:noProof/>
          <w:sz w:val="24"/>
          <w:szCs w:val="24"/>
        </w:rPr>
      </w:pPr>
      <w:r w:rsidRPr="00696049">
        <w:rPr>
          <w:rFonts w:ascii="Times New Roman" w:hAnsi="Times New Roman" w:cs="Times New Roman"/>
          <w:noProof/>
          <w:sz w:val="24"/>
          <w:szCs w:val="24"/>
        </w:rPr>
        <w:t>The ESMA report also presents a technical assessment of the costs, benefits, and consequences of a decision not to recognise the CCP to provide certain clearing services or activities and finally ESMA presents its own conclusions by combining the outcome of the first part, whereby ESMA has concluded that certain of the services provided by LCH Ltd and ICEU that are to be considered substantially systemically important and the part where ESMA is requested to presents the costs, benefits, and consequences of a decision not to recognise the CCP.</w:t>
      </w:r>
    </w:p>
    <w:p w14:paraId="6681537C" w14:textId="59EF47B7" w:rsidR="00B00CD3" w:rsidRPr="001C4637" w:rsidRDefault="00AD44F6" w:rsidP="00724804">
      <w:pPr>
        <w:pStyle w:val="ListParagraph"/>
        <w:numPr>
          <w:ilvl w:val="0"/>
          <w:numId w:val="21"/>
        </w:numPr>
        <w:spacing w:after="120" w:line="240" w:lineRule="auto"/>
        <w:jc w:val="both"/>
        <w:rPr>
          <w:rFonts w:ascii="Times New Roman" w:hAnsi="Times New Roman" w:cs="Times New Roman"/>
          <w:b/>
          <w:noProof/>
          <w:sz w:val="24"/>
          <w:szCs w:val="24"/>
        </w:rPr>
      </w:pPr>
      <w:bookmarkStart w:id="1669" w:name="_Toc107493925"/>
      <w:bookmarkStart w:id="1670" w:name="_Toc107497961"/>
      <w:bookmarkStart w:id="1671" w:name="_Toc107503514"/>
      <w:bookmarkStart w:id="1672" w:name="_Toc107504634"/>
      <w:bookmarkStart w:id="1673" w:name="_Toc107505507"/>
      <w:bookmarkStart w:id="1674" w:name="_Toc107838983"/>
      <w:bookmarkStart w:id="1675" w:name="_Toc107847050"/>
      <w:bookmarkStart w:id="1676" w:name="_Toc107849315"/>
      <w:bookmarkStart w:id="1677" w:name="_Toc107853734"/>
      <w:bookmarkStart w:id="1678" w:name="_Toc107865356"/>
      <w:bookmarkStart w:id="1679" w:name="_Toc108418565"/>
      <w:bookmarkStart w:id="1680" w:name="_Toc108539879"/>
      <w:bookmarkStart w:id="1681" w:name="_Toc108539969"/>
      <w:bookmarkStart w:id="1682" w:name="_Toc109057454"/>
      <w:bookmarkStart w:id="1683" w:name="_Toc109120820"/>
      <w:r w:rsidRPr="002661A8">
        <w:rPr>
          <w:rFonts w:ascii="Times New Roman" w:hAnsi="Times New Roman" w:cs="Times New Roman"/>
          <w:b/>
          <w:noProof/>
          <w:sz w:val="24"/>
          <w:szCs w:val="24"/>
        </w:rPr>
        <w:t>Meetings of the Derivatives and Market Infrastructures Member States Working Group</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14:paraId="3EFE76DD" w14:textId="469C7650" w:rsidR="00007E77" w:rsidRPr="001C4637" w:rsidRDefault="00B00CD3" w:rsidP="00724804">
      <w:pPr>
        <w:spacing w:after="120" w:line="240" w:lineRule="auto"/>
        <w:jc w:val="both"/>
        <w:rPr>
          <w:noProof/>
        </w:rPr>
      </w:pPr>
      <w:r w:rsidRPr="002661A8">
        <w:rPr>
          <w:rFonts w:ascii="Times New Roman" w:hAnsi="Times New Roman" w:cs="Times New Roman"/>
          <w:noProof/>
          <w:sz w:val="24"/>
          <w:szCs w:val="24"/>
        </w:rPr>
        <w:t>The Commission conducted several meetings with Member States, stakeholders, and MEPs. In particular, in March 2022, the Commission held a Member States’ Expert Group meeting. The European Parliament Economic and Monetary Affairs Committee secretariat, the ECB and ESMA were also invited. A subsequent meeting was held in June 2022 to consider a wide range of policy options and their potential impacts. A summary of the discussions is available online for both meetings</w:t>
      </w:r>
      <w:r w:rsidR="009D293F" w:rsidRPr="002661A8">
        <w:rPr>
          <w:rStyle w:val="FootnoteReference"/>
          <w:rFonts w:ascii="Times New Roman" w:hAnsi="Times New Roman" w:cs="Times New Roman"/>
          <w:noProof/>
          <w:sz w:val="24"/>
          <w:szCs w:val="24"/>
        </w:rPr>
        <w:footnoteReference w:id="184"/>
      </w:r>
      <w:r w:rsidRPr="002661A8">
        <w:rPr>
          <w:rFonts w:ascii="Times New Roman" w:hAnsi="Times New Roman" w:cs="Times New Roman"/>
          <w:noProof/>
          <w:sz w:val="24"/>
          <w:szCs w:val="24"/>
        </w:rPr>
        <w:t xml:space="preserve">. In addition, a meeting was held on </w:t>
      </w:r>
      <w:r w:rsidR="009D293F" w:rsidRPr="002661A8">
        <w:rPr>
          <w:rFonts w:ascii="Times New Roman" w:hAnsi="Times New Roman" w:cs="Times New Roman"/>
          <w:noProof/>
          <w:sz w:val="24"/>
          <w:szCs w:val="24"/>
        </w:rPr>
        <w:t>4 May 2022</w:t>
      </w:r>
      <w:r w:rsidRPr="002661A8">
        <w:rPr>
          <w:rFonts w:ascii="Times New Roman" w:hAnsi="Times New Roman" w:cs="Times New Roman"/>
          <w:noProof/>
          <w:sz w:val="24"/>
          <w:szCs w:val="24"/>
        </w:rPr>
        <w:t xml:space="preserve"> with ME</w:t>
      </w:r>
      <w:r w:rsidR="009D293F" w:rsidRPr="002661A8">
        <w:rPr>
          <w:rFonts w:ascii="Times New Roman" w:hAnsi="Times New Roman" w:cs="Times New Roman"/>
          <w:noProof/>
          <w:sz w:val="24"/>
          <w:szCs w:val="24"/>
        </w:rPr>
        <w:t>Ps to present the preliminary findings from the targeted consultation</w:t>
      </w:r>
      <w:r w:rsidRPr="002661A8">
        <w:rPr>
          <w:rFonts w:ascii="Times New Roman" w:hAnsi="Times New Roman" w:cs="Times New Roman"/>
          <w:noProof/>
          <w:sz w:val="24"/>
          <w:szCs w:val="24"/>
        </w:rPr>
        <w:t xml:space="preserve"> and the next steps.</w:t>
      </w:r>
      <w:r w:rsidR="001C4637">
        <w:rPr>
          <w:rFonts w:ascii="Times New Roman" w:hAnsi="Times New Roman" w:cs="Times New Roman"/>
          <w:noProof/>
          <w:sz w:val="24"/>
          <w:szCs w:val="24"/>
        </w:rPr>
        <w:t xml:space="preserve"> </w:t>
      </w:r>
      <w:r w:rsidR="00007E77">
        <w:rPr>
          <w:rFonts w:ascii="Times New Roman" w:hAnsi="Times New Roman" w:cs="Times New Roman"/>
          <w:noProof/>
          <w:sz w:val="24"/>
          <w:szCs w:val="24"/>
        </w:rPr>
        <w:t xml:space="preserve">The meeting </w:t>
      </w:r>
      <w:r w:rsidR="001C4637">
        <w:rPr>
          <w:rFonts w:ascii="Times New Roman" w:hAnsi="Times New Roman" w:cs="Times New Roman"/>
          <w:noProof/>
          <w:sz w:val="24"/>
          <w:szCs w:val="24"/>
        </w:rPr>
        <w:t xml:space="preserve">summaries </w:t>
      </w:r>
      <w:r w:rsidR="00007E77">
        <w:rPr>
          <w:rFonts w:ascii="Times New Roman" w:hAnsi="Times New Roman" w:cs="Times New Roman"/>
          <w:noProof/>
          <w:sz w:val="24"/>
          <w:szCs w:val="24"/>
        </w:rPr>
        <w:t>are the following:</w:t>
      </w:r>
    </w:p>
    <w:p w14:paraId="74EA9873" w14:textId="401F4FE2" w:rsidR="00007E77" w:rsidRPr="001C4637" w:rsidRDefault="00007E77" w:rsidP="00724804">
      <w:pPr>
        <w:pStyle w:val="ListParagraph"/>
        <w:numPr>
          <w:ilvl w:val="1"/>
          <w:numId w:val="21"/>
        </w:numPr>
        <w:spacing w:after="120" w:line="240" w:lineRule="auto"/>
        <w:ind w:left="426" w:hanging="426"/>
        <w:rPr>
          <w:rFonts w:ascii="Times New Roman" w:hAnsi="Times New Roman" w:cs="Times New Roman"/>
          <w:b/>
          <w:noProof/>
          <w:sz w:val="24"/>
          <w:szCs w:val="24"/>
        </w:rPr>
      </w:pPr>
      <w:r w:rsidRPr="001C4637">
        <w:rPr>
          <w:rFonts w:ascii="Times New Roman" w:hAnsi="Times New Roman" w:cs="Times New Roman"/>
          <w:b/>
          <w:noProof/>
          <w:sz w:val="24"/>
          <w:szCs w:val="24"/>
        </w:rPr>
        <w:t xml:space="preserve">Meeting of Member States' Experts on 30 </w:t>
      </w:r>
      <w:r w:rsidR="001C4637" w:rsidRPr="001C4637">
        <w:rPr>
          <w:rFonts w:ascii="Times New Roman" w:hAnsi="Times New Roman" w:cs="Times New Roman"/>
          <w:b/>
          <w:noProof/>
          <w:sz w:val="24"/>
          <w:szCs w:val="24"/>
        </w:rPr>
        <w:t xml:space="preserve">March </w:t>
      </w:r>
      <w:r w:rsidRPr="001C4637">
        <w:rPr>
          <w:rFonts w:ascii="Times New Roman" w:hAnsi="Times New Roman" w:cs="Times New Roman"/>
          <w:b/>
          <w:noProof/>
          <w:sz w:val="24"/>
          <w:szCs w:val="24"/>
        </w:rPr>
        <w:t>2022</w:t>
      </w:r>
    </w:p>
    <w:p w14:paraId="4D38F250" w14:textId="77777777" w:rsidR="00007E77" w:rsidRPr="00C541F2" w:rsidRDefault="00007E77" w:rsidP="00724804">
      <w:pPr>
        <w:pStyle w:val="Default"/>
        <w:spacing w:after="120"/>
        <w:jc w:val="both"/>
        <w:rPr>
          <w:noProof/>
          <w:lang w:val="en-GB"/>
        </w:rPr>
      </w:pPr>
      <w:r w:rsidRPr="00C541F2">
        <w:rPr>
          <w:noProof/>
          <w:lang w:val="en-GB"/>
        </w:rPr>
        <w:t xml:space="preserve">On </w:t>
      </w:r>
      <w:r>
        <w:rPr>
          <w:noProof/>
          <w:lang w:val="en-GB"/>
        </w:rPr>
        <w:t>30</w:t>
      </w:r>
      <w:r w:rsidRPr="00C541F2">
        <w:rPr>
          <w:noProof/>
          <w:lang w:val="en-GB"/>
        </w:rPr>
        <w:t xml:space="preserve"> </w:t>
      </w:r>
      <w:r>
        <w:rPr>
          <w:noProof/>
          <w:lang w:val="en-GB"/>
        </w:rPr>
        <w:t>March</w:t>
      </w:r>
      <w:r w:rsidRPr="00C541F2">
        <w:rPr>
          <w:noProof/>
          <w:lang w:val="en-GB"/>
        </w:rPr>
        <w:t xml:space="preserve"> 202</w:t>
      </w:r>
      <w:r>
        <w:rPr>
          <w:noProof/>
          <w:lang w:val="en-GB"/>
        </w:rPr>
        <w:t>2</w:t>
      </w:r>
      <w:r w:rsidRPr="00C541F2">
        <w:rPr>
          <w:noProof/>
          <w:lang w:val="en-GB"/>
        </w:rPr>
        <w:t xml:space="preserve">, a working group of Member States’ experts met by means of a virtual conference to discuss </w:t>
      </w:r>
      <w:r>
        <w:rPr>
          <w:noProof/>
          <w:lang w:val="en-GB"/>
        </w:rPr>
        <w:t>ways to enhance clearing capacity in the EU and reduce the over-reliance on Tier 2 third-country central counterparties (CCPs) in the context of the clearing strategy announced by Commissioner McGuinness on 10 November 2021 and the public consultation ran by the Commission from 8 February 2022 until 22 March 2022.</w:t>
      </w:r>
    </w:p>
    <w:p w14:paraId="5FAC34D1" w14:textId="65748DBF" w:rsidR="00007E77" w:rsidRDefault="00007E77" w:rsidP="00724804">
      <w:pPr>
        <w:spacing w:after="120" w:line="240" w:lineRule="auto"/>
        <w:jc w:val="both"/>
        <w:rPr>
          <w:rFonts w:ascii="Times New Roman" w:hAnsi="Times New Roman" w:cs="Times New Roman"/>
          <w:noProof/>
          <w:sz w:val="24"/>
          <w:szCs w:val="24"/>
        </w:rPr>
      </w:pPr>
      <w:r w:rsidRPr="00C541F2">
        <w:rPr>
          <w:rFonts w:ascii="Times New Roman" w:hAnsi="Times New Roman" w:cs="Times New Roman"/>
          <w:noProof/>
          <w:sz w:val="24"/>
          <w:szCs w:val="24"/>
        </w:rPr>
        <w:t xml:space="preserve">The meeting allowed Commission services to gather the views of Member States, the </w:t>
      </w:r>
      <w:r>
        <w:rPr>
          <w:rFonts w:ascii="Times New Roman" w:hAnsi="Times New Roman" w:cs="Times New Roman"/>
          <w:noProof/>
          <w:sz w:val="24"/>
          <w:szCs w:val="24"/>
        </w:rPr>
        <w:t>ECB</w:t>
      </w:r>
      <w:r w:rsidRPr="00C541F2">
        <w:rPr>
          <w:rFonts w:ascii="Times New Roman" w:hAnsi="Times New Roman" w:cs="Times New Roman"/>
          <w:noProof/>
          <w:sz w:val="24"/>
          <w:szCs w:val="24"/>
        </w:rPr>
        <w:t xml:space="preserve">, the </w:t>
      </w:r>
      <w:r>
        <w:rPr>
          <w:rFonts w:ascii="Times New Roman" w:hAnsi="Times New Roman" w:cs="Times New Roman"/>
          <w:noProof/>
          <w:sz w:val="24"/>
          <w:szCs w:val="24"/>
        </w:rPr>
        <w:t>ESRB, the SSM, the EBA, the EIOPA and</w:t>
      </w:r>
      <w:r w:rsidRPr="00C541F2">
        <w:rPr>
          <w:rFonts w:ascii="Times New Roman" w:hAnsi="Times New Roman" w:cs="Times New Roman"/>
          <w:noProof/>
          <w:sz w:val="24"/>
          <w:szCs w:val="24"/>
        </w:rPr>
        <w:t xml:space="preserve"> ESMA. The aim was to inform </w:t>
      </w:r>
      <w:r>
        <w:rPr>
          <w:rFonts w:ascii="Times New Roman" w:hAnsi="Times New Roman" w:cs="Times New Roman"/>
          <w:noProof/>
          <w:sz w:val="24"/>
          <w:szCs w:val="24"/>
        </w:rPr>
        <w:t>the Commission’s</w:t>
      </w:r>
      <w:r w:rsidRPr="00C541F2">
        <w:rPr>
          <w:rFonts w:ascii="Times New Roman" w:hAnsi="Times New Roman" w:cs="Times New Roman"/>
          <w:noProof/>
          <w:sz w:val="24"/>
          <w:szCs w:val="24"/>
        </w:rPr>
        <w:t xml:space="preserve"> work </w:t>
      </w:r>
      <w:r>
        <w:rPr>
          <w:rFonts w:ascii="Times New Roman" w:hAnsi="Times New Roman" w:cs="Times New Roman"/>
          <w:noProof/>
          <w:sz w:val="24"/>
          <w:szCs w:val="24"/>
        </w:rPr>
        <w:t>developing its strategy on clearing following the statement of Commissioner McGuinness on 10 November 2021 which is planned for later in 2022, to b</w:t>
      </w:r>
      <w:r w:rsidRPr="002A6DF1">
        <w:rPr>
          <w:rFonts w:ascii="Times New Roman" w:hAnsi="Times New Roman" w:cs="Times New Roman"/>
          <w:noProof/>
          <w:sz w:val="24"/>
          <w:szCs w:val="24"/>
        </w:rPr>
        <w:t>uild domestic capacity through measures to make the EU more attractive as a competitive and cost-efficient clearing hub, and thus incentivise an expansion of central clearing activities in the EU</w:t>
      </w:r>
      <w:r>
        <w:rPr>
          <w:rFonts w:ascii="Times New Roman" w:hAnsi="Times New Roman" w:cs="Times New Roman"/>
          <w:noProof/>
          <w:sz w:val="24"/>
          <w:szCs w:val="24"/>
        </w:rPr>
        <w:t>, and s</w:t>
      </w:r>
      <w:r w:rsidRPr="002A6DF1">
        <w:rPr>
          <w:rFonts w:ascii="Times New Roman" w:hAnsi="Times New Roman" w:cs="Times New Roman"/>
          <w:noProof/>
          <w:sz w:val="24"/>
          <w:szCs w:val="24"/>
        </w:rPr>
        <w:t>trengthen supervision, including a stronge</w:t>
      </w:r>
      <w:r>
        <w:rPr>
          <w:rFonts w:ascii="Times New Roman" w:hAnsi="Times New Roman" w:cs="Times New Roman"/>
          <w:noProof/>
          <w:sz w:val="24"/>
          <w:szCs w:val="24"/>
        </w:rPr>
        <w:t>r role for EU-level supervision.</w:t>
      </w:r>
      <w:r w:rsidRPr="00C541F2">
        <w:rPr>
          <w:rFonts w:ascii="Times New Roman" w:hAnsi="Times New Roman" w:cs="Times New Roman"/>
          <w:noProof/>
          <w:sz w:val="24"/>
          <w:szCs w:val="24"/>
        </w:rPr>
        <w:t xml:space="preserve"> The feedback received during the meeting with Member States’ experts is summarised below.</w:t>
      </w:r>
    </w:p>
    <w:p w14:paraId="6C732C9C" w14:textId="77777777" w:rsidR="00007E77" w:rsidRPr="001C4637" w:rsidRDefault="00007E77" w:rsidP="00724804">
      <w:pPr>
        <w:pStyle w:val="ListParagraph"/>
        <w:numPr>
          <w:ilvl w:val="2"/>
          <w:numId w:val="21"/>
        </w:numPr>
        <w:spacing w:after="120" w:line="240" w:lineRule="auto"/>
        <w:ind w:left="426" w:hanging="426"/>
        <w:rPr>
          <w:rFonts w:ascii="Times New Roman" w:hAnsi="Times New Roman" w:cs="Times New Roman"/>
          <w:bCs/>
          <w:noProof/>
          <w:sz w:val="24"/>
          <w:szCs w:val="24"/>
        </w:rPr>
      </w:pPr>
      <w:r w:rsidRPr="001C4637">
        <w:rPr>
          <w:rFonts w:ascii="Times New Roman" w:hAnsi="Times New Roman" w:cs="Times New Roman"/>
          <w:bCs/>
          <w:noProof/>
          <w:sz w:val="24"/>
          <w:szCs w:val="24"/>
        </w:rPr>
        <w:t>Broadening the scope of the clearing obligation</w:t>
      </w:r>
    </w:p>
    <w:p w14:paraId="19835216" w14:textId="77777777" w:rsidR="00007E77" w:rsidRDefault="00007E77" w:rsidP="00724804">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Commission services consulted on whether this</w:t>
      </w:r>
      <w:r w:rsidRPr="002A6DF1">
        <w:rPr>
          <w:rFonts w:ascii="Times New Roman" w:hAnsi="Times New Roman" w:cs="Times New Roman"/>
          <w:noProof/>
          <w:sz w:val="24"/>
          <w:szCs w:val="24"/>
        </w:rPr>
        <w:t xml:space="preserve"> could be achieved by </w:t>
      </w:r>
      <w:r w:rsidRPr="00ED4E8F">
        <w:rPr>
          <w:rFonts w:ascii="Times New Roman" w:hAnsi="Times New Roman" w:cs="Times New Roman"/>
          <w:b/>
          <w:noProof/>
          <w:sz w:val="24"/>
          <w:szCs w:val="24"/>
        </w:rPr>
        <w:t>broadening the range of entities which would fall under a clearing obligation</w:t>
      </w:r>
      <w:r w:rsidRPr="002A6DF1">
        <w:rPr>
          <w:rFonts w:ascii="Times New Roman" w:hAnsi="Times New Roman" w:cs="Times New Roman"/>
          <w:noProof/>
          <w:sz w:val="24"/>
          <w:szCs w:val="24"/>
        </w:rPr>
        <w:t xml:space="preserve"> in Regulation (EU) No 648/2012 of the European Parliament and of the Council of 4 July 2012 on OTC derivatives, central counterparties and trade repositories</w:t>
      </w:r>
      <w:r>
        <w:rPr>
          <w:rFonts w:ascii="Times New Roman" w:hAnsi="Times New Roman" w:cs="Times New Roman"/>
          <w:noProof/>
          <w:sz w:val="24"/>
          <w:szCs w:val="24"/>
        </w:rPr>
        <w:t xml:space="preserve"> (</w:t>
      </w:r>
      <w:r w:rsidRPr="002A6DF1">
        <w:rPr>
          <w:rFonts w:ascii="Times New Roman" w:hAnsi="Times New Roman" w:cs="Times New Roman"/>
          <w:noProof/>
          <w:sz w:val="24"/>
          <w:szCs w:val="24"/>
        </w:rPr>
        <w:t>EMIR</w:t>
      </w:r>
      <w:r>
        <w:rPr>
          <w:rFonts w:ascii="Times New Roman" w:hAnsi="Times New Roman" w:cs="Times New Roman"/>
          <w:noProof/>
          <w:sz w:val="24"/>
          <w:szCs w:val="24"/>
        </w:rPr>
        <w:t>)</w:t>
      </w:r>
      <w:r w:rsidRPr="002A6DF1">
        <w:rPr>
          <w:rFonts w:ascii="Times New Roman" w:hAnsi="Times New Roman" w:cs="Times New Roman"/>
          <w:noProof/>
          <w:sz w:val="24"/>
          <w:szCs w:val="24"/>
        </w:rPr>
        <w:t xml:space="preserve">, and/or by </w:t>
      </w:r>
      <w:r w:rsidRPr="00ED4E8F">
        <w:rPr>
          <w:rFonts w:ascii="Times New Roman" w:hAnsi="Times New Roman" w:cs="Times New Roman"/>
          <w:b/>
          <w:noProof/>
          <w:sz w:val="24"/>
          <w:szCs w:val="24"/>
        </w:rPr>
        <w:t>broadening the range of products</w:t>
      </w:r>
      <w:r w:rsidRPr="002A6DF1">
        <w:rPr>
          <w:rFonts w:ascii="Times New Roman" w:hAnsi="Times New Roman" w:cs="Times New Roman"/>
          <w:noProof/>
          <w:sz w:val="24"/>
          <w:szCs w:val="24"/>
        </w:rPr>
        <w:t xml:space="preserve"> to be centrally cleared.</w:t>
      </w:r>
      <w:r>
        <w:rPr>
          <w:rFonts w:ascii="Times New Roman" w:hAnsi="Times New Roman" w:cs="Times New Roman"/>
          <w:noProof/>
          <w:sz w:val="24"/>
          <w:szCs w:val="24"/>
        </w:rPr>
        <w:t xml:space="preserve"> </w:t>
      </w:r>
    </w:p>
    <w:p w14:paraId="5DF0E1BE" w14:textId="77777777" w:rsidR="00007E77" w:rsidRDefault="00007E77" w:rsidP="00724804">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Very few Member States intervened on these aspects. Member States generally agree on broadening the scope of clearing to Pension Schemes Arrangements at the latest in 2023, although one Member State said that solutions should still be found for the provision of margins. Two Member States supported broadening the scope to public entities, two opposed. Several Member State favoured a market driven approach.</w:t>
      </w:r>
    </w:p>
    <w:p w14:paraId="164658AC" w14:textId="06D3B5F7" w:rsidR="00007E77" w:rsidRDefault="00007E77" w:rsidP="00724804">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Two Member States said that there was no need to change the methodology for determining which products should be subject to the clearing obligation. One said the product scope could be broadened.</w:t>
      </w:r>
    </w:p>
    <w:p w14:paraId="23C46CB8" w14:textId="77777777" w:rsidR="00007E77" w:rsidRPr="001C4637" w:rsidRDefault="00007E77" w:rsidP="00724804">
      <w:pPr>
        <w:pStyle w:val="ListParagraph"/>
        <w:numPr>
          <w:ilvl w:val="2"/>
          <w:numId w:val="21"/>
        </w:numPr>
        <w:spacing w:after="120" w:line="240" w:lineRule="auto"/>
        <w:ind w:left="426" w:hanging="426"/>
        <w:rPr>
          <w:rFonts w:ascii="Times New Roman" w:hAnsi="Times New Roman" w:cs="Times New Roman"/>
          <w:bCs/>
          <w:noProof/>
          <w:sz w:val="24"/>
          <w:szCs w:val="24"/>
        </w:rPr>
      </w:pPr>
      <w:r w:rsidRPr="001C4637">
        <w:rPr>
          <w:rFonts w:ascii="Times New Roman" w:hAnsi="Times New Roman" w:cs="Times New Roman"/>
          <w:bCs/>
          <w:noProof/>
          <w:sz w:val="24"/>
          <w:szCs w:val="24"/>
        </w:rPr>
        <w:t>Increasing clearing in the EU and reducing reliance on Tier 2 third-country CCPs</w:t>
      </w:r>
    </w:p>
    <w:p w14:paraId="418B8518" w14:textId="77777777" w:rsidR="00007E77" w:rsidRPr="002A6DF1" w:rsidRDefault="00007E77" w:rsidP="00724804">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Commission services consulted on a</w:t>
      </w:r>
      <w:r w:rsidRPr="002A6DF1">
        <w:rPr>
          <w:rFonts w:ascii="Times New Roman" w:hAnsi="Times New Roman" w:cs="Times New Roman"/>
          <w:noProof/>
          <w:sz w:val="24"/>
          <w:szCs w:val="24"/>
        </w:rPr>
        <w:t xml:space="preserve"> number of measures </w:t>
      </w:r>
      <w:r>
        <w:rPr>
          <w:rFonts w:ascii="Times New Roman" w:hAnsi="Times New Roman" w:cs="Times New Roman"/>
          <w:noProof/>
          <w:sz w:val="24"/>
          <w:szCs w:val="24"/>
        </w:rPr>
        <w:t xml:space="preserve">that </w:t>
      </w:r>
      <w:r w:rsidRPr="002A6DF1">
        <w:rPr>
          <w:rFonts w:ascii="Times New Roman" w:hAnsi="Times New Roman" w:cs="Times New Roman"/>
          <w:noProof/>
          <w:sz w:val="24"/>
          <w:szCs w:val="24"/>
        </w:rPr>
        <w:t>could be considered</w:t>
      </w:r>
      <w:r>
        <w:rPr>
          <w:rFonts w:ascii="Times New Roman" w:hAnsi="Times New Roman" w:cs="Times New Roman"/>
          <w:noProof/>
          <w:sz w:val="24"/>
          <w:szCs w:val="24"/>
        </w:rPr>
        <w:t>, including</w:t>
      </w:r>
      <w:r w:rsidRPr="002A6DF1">
        <w:rPr>
          <w:rFonts w:ascii="Times New Roman" w:hAnsi="Times New Roman" w:cs="Times New Roman"/>
          <w:noProof/>
          <w:sz w:val="24"/>
          <w:szCs w:val="24"/>
        </w:rPr>
        <w:t xml:space="preserve"> in this regard:</w:t>
      </w:r>
    </w:p>
    <w:p w14:paraId="207DB0AE" w14:textId="77777777" w:rsidR="00007E77" w:rsidRPr="002A6DF1" w:rsidRDefault="00007E77" w:rsidP="00724804">
      <w:pPr>
        <w:pStyle w:val="ListParagraph"/>
        <w:numPr>
          <w:ilvl w:val="0"/>
          <w:numId w:val="19"/>
        </w:numPr>
        <w:spacing w:after="120" w:line="240" w:lineRule="auto"/>
        <w:jc w:val="both"/>
        <w:rPr>
          <w:rFonts w:ascii="Times New Roman" w:hAnsi="Times New Roman" w:cs="Times New Roman"/>
          <w:noProof/>
          <w:sz w:val="24"/>
          <w:szCs w:val="24"/>
        </w:rPr>
      </w:pPr>
      <w:r w:rsidRPr="00ED4E8F">
        <w:rPr>
          <w:rFonts w:ascii="Times New Roman" w:hAnsi="Times New Roman" w:cs="Times New Roman"/>
          <w:b/>
          <w:noProof/>
          <w:sz w:val="24"/>
          <w:szCs w:val="24"/>
        </w:rPr>
        <w:t>higher capital requirements</w:t>
      </w:r>
      <w:r w:rsidRPr="002A6DF1">
        <w:rPr>
          <w:rFonts w:ascii="Times New Roman" w:hAnsi="Times New Roman" w:cs="Times New Roman"/>
          <w:noProof/>
          <w:sz w:val="24"/>
          <w:szCs w:val="24"/>
        </w:rPr>
        <w:t xml:space="preserve"> under Regulation (EU) No 575/2013 of the European Parliament and of the Council of 26 June 2013 on prudential requirements for credit institutions and investment firms (CRR) on banks’ exposures to Tier 2 third-country CCPs, reflecting the risks of such CCPs and thus aligning the CRR with the framework for third-country CCPs of EMIR</w:t>
      </w:r>
      <w:r>
        <w:rPr>
          <w:rFonts w:ascii="Times New Roman" w:hAnsi="Times New Roman" w:cs="Times New Roman"/>
          <w:noProof/>
          <w:sz w:val="24"/>
          <w:szCs w:val="24"/>
        </w:rPr>
        <w:t>. M</w:t>
      </w:r>
      <w:r w:rsidRPr="002A6DF1">
        <w:rPr>
          <w:rFonts w:ascii="Times New Roman" w:hAnsi="Times New Roman" w:cs="Times New Roman"/>
          <w:noProof/>
          <w:sz w:val="24"/>
          <w:szCs w:val="24"/>
        </w:rPr>
        <w:t>acropruden</w:t>
      </w:r>
      <w:r>
        <w:rPr>
          <w:rFonts w:ascii="Times New Roman" w:hAnsi="Times New Roman" w:cs="Times New Roman"/>
          <w:noProof/>
          <w:sz w:val="24"/>
          <w:szCs w:val="24"/>
        </w:rPr>
        <w:t>tial tools could also be considered;</w:t>
      </w:r>
    </w:p>
    <w:p w14:paraId="10EFB737" w14:textId="77777777" w:rsidR="00007E77" w:rsidRPr="002A6DF1" w:rsidRDefault="00007E77" w:rsidP="00724804">
      <w:pPr>
        <w:pStyle w:val="ListParagraph"/>
        <w:numPr>
          <w:ilvl w:val="0"/>
          <w:numId w:val="19"/>
        </w:numPr>
        <w:spacing w:after="120" w:line="240" w:lineRule="auto"/>
        <w:jc w:val="both"/>
        <w:rPr>
          <w:rFonts w:ascii="Times New Roman" w:hAnsi="Times New Roman" w:cs="Times New Roman"/>
          <w:noProof/>
          <w:sz w:val="24"/>
          <w:szCs w:val="24"/>
        </w:rPr>
      </w:pPr>
      <w:r w:rsidRPr="002A6DF1">
        <w:rPr>
          <w:rFonts w:ascii="Times New Roman" w:hAnsi="Times New Roman" w:cs="Times New Roman"/>
          <w:noProof/>
          <w:sz w:val="24"/>
          <w:szCs w:val="24"/>
        </w:rPr>
        <w:t xml:space="preserve">exposure </w:t>
      </w:r>
      <w:r w:rsidRPr="00ED4E8F">
        <w:rPr>
          <w:rFonts w:ascii="Times New Roman" w:hAnsi="Times New Roman" w:cs="Times New Roman"/>
          <w:b/>
          <w:noProof/>
          <w:sz w:val="24"/>
          <w:szCs w:val="24"/>
        </w:rPr>
        <w:t>reduction targets</w:t>
      </w:r>
      <w:r w:rsidRPr="002A6DF1">
        <w:rPr>
          <w:rFonts w:ascii="Times New Roman" w:hAnsi="Times New Roman" w:cs="Times New Roman"/>
          <w:noProof/>
          <w:sz w:val="24"/>
          <w:szCs w:val="24"/>
        </w:rPr>
        <w:t xml:space="preserve"> to be met gradually by cleari</w:t>
      </w:r>
      <w:r>
        <w:rPr>
          <w:rFonts w:ascii="Times New Roman" w:hAnsi="Times New Roman" w:cs="Times New Roman"/>
          <w:noProof/>
          <w:sz w:val="24"/>
          <w:szCs w:val="24"/>
        </w:rPr>
        <w:t>ng participants;</w:t>
      </w:r>
    </w:p>
    <w:p w14:paraId="57546EB4" w14:textId="77777777" w:rsidR="00007E77" w:rsidRPr="002A6DF1" w:rsidRDefault="00007E77" w:rsidP="00724804">
      <w:pPr>
        <w:pStyle w:val="ListParagraph"/>
        <w:numPr>
          <w:ilvl w:val="0"/>
          <w:numId w:val="19"/>
        </w:numPr>
        <w:spacing w:after="120" w:line="240" w:lineRule="auto"/>
        <w:jc w:val="both"/>
        <w:rPr>
          <w:rFonts w:ascii="Times New Roman" w:hAnsi="Times New Roman" w:cs="Times New Roman"/>
          <w:noProof/>
          <w:sz w:val="24"/>
          <w:szCs w:val="24"/>
        </w:rPr>
      </w:pPr>
      <w:r w:rsidRPr="002A6DF1">
        <w:rPr>
          <w:rFonts w:ascii="Times New Roman" w:hAnsi="Times New Roman" w:cs="Times New Roman"/>
          <w:noProof/>
          <w:sz w:val="24"/>
          <w:szCs w:val="24"/>
        </w:rPr>
        <w:t xml:space="preserve">EU market participants could be required to open and keep an </w:t>
      </w:r>
      <w:r w:rsidRPr="00ED4E8F">
        <w:rPr>
          <w:rFonts w:ascii="Times New Roman" w:hAnsi="Times New Roman" w:cs="Times New Roman"/>
          <w:b/>
          <w:noProof/>
          <w:sz w:val="24"/>
          <w:szCs w:val="24"/>
        </w:rPr>
        <w:t>active account</w:t>
      </w:r>
      <w:r w:rsidRPr="002A6DF1">
        <w:rPr>
          <w:rFonts w:ascii="Times New Roman" w:hAnsi="Times New Roman" w:cs="Times New Roman"/>
          <w:noProof/>
          <w:sz w:val="24"/>
          <w:szCs w:val="24"/>
        </w:rPr>
        <w:t xml:space="preserve"> at an EU CCP for clearing a</w:t>
      </w:r>
      <w:r>
        <w:rPr>
          <w:rFonts w:ascii="Times New Roman" w:hAnsi="Times New Roman" w:cs="Times New Roman"/>
          <w:noProof/>
          <w:sz w:val="24"/>
          <w:szCs w:val="24"/>
        </w:rPr>
        <w:t xml:space="preserve"> portion of their transactions;</w:t>
      </w:r>
    </w:p>
    <w:p w14:paraId="5D27D24B" w14:textId="77777777" w:rsidR="00007E77" w:rsidRDefault="00007E77" w:rsidP="00724804">
      <w:pPr>
        <w:pStyle w:val="ListParagraph"/>
        <w:numPr>
          <w:ilvl w:val="0"/>
          <w:numId w:val="19"/>
        </w:numPr>
        <w:spacing w:after="120" w:line="240" w:lineRule="auto"/>
        <w:jc w:val="both"/>
        <w:rPr>
          <w:rFonts w:ascii="Times New Roman" w:hAnsi="Times New Roman" w:cs="Times New Roman"/>
          <w:noProof/>
          <w:sz w:val="24"/>
          <w:szCs w:val="24"/>
        </w:rPr>
      </w:pPr>
      <w:r w:rsidRPr="002A6DF1">
        <w:rPr>
          <w:rFonts w:ascii="Times New Roman" w:hAnsi="Times New Roman" w:cs="Times New Roman"/>
          <w:noProof/>
          <w:sz w:val="24"/>
          <w:szCs w:val="24"/>
        </w:rPr>
        <w:t xml:space="preserve">a straightforward </w:t>
      </w:r>
      <w:r w:rsidRPr="00ED4E8F">
        <w:rPr>
          <w:rFonts w:ascii="Times New Roman" w:hAnsi="Times New Roman" w:cs="Times New Roman"/>
          <w:b/>
          <w:noProof/>
          <w:sz w:val="24"/>
          <w:szCs w:val="24"/>
        </w:rPr>
        <w:t>obligation to clear in EU CCPs</w:t>
      </w:r>
      <w:r w:rsidRPr="002A6DF1">
        <w:rPr>
          <w:rFonts w:ascii="Times New Roman" w:hAnsi="Times New Roman" w:cs="Times New Roman"/>
          <w:noProof/>
          <w:sz w:val="24"/>
          <w:szCs w:val="24"/>
        </w:rPr>
        <w:t xml:space="preserve"> or in less systemic (Tier 1) CCPs</w:t>
      </w:r>
      <w:r>
        <w:rPr>
          <w:rFonts w:ascii="Times New Roman" w:hAnsi="Times New Roman" w:cs="Times New Roman"/>
          <w:noProof/>
          <w:sz w:val="24"/>
          <w:szCs w:val="24"/>
        </w:rPr>
        <w:t>.</w:t>
      </w:r>
    </w:p>
    <w:p w14:paraId="5BBB7E75" w14:textId="77777777" w:rsidR="00007E77" w:rsidRDefault="00007E77" w:rsidP="00724804">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Member States generally supported the overall objective of the Commission to reduce exposures to Tier 2 third-country CCPs, but three also asked for more analysis on stability risk. Several Member States also expressed their concerns about potentially negative impacts on the EU financial sector as well as their clients in terms of costs and competitiveness, which could result in EU firms using non-EU banks to clear abroad. In this context, 7 Member States intervening opposed negative incentives such as higher capital charges towards Tier 2 CCPs or an obligation to clear in the EU. </w:t>
      </w:r>
    </w:p>
    <w:p w14:paraId="6BDD2A49" w14:textId="22B6F82F" w:rsidR="00007E77" w:rsidRDefault="00007E77" w:rsidP="00724804">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At the same time, two Member States, and two EU authorities, indicated broad support for looking into imposing the maintenance of an active account in an EU CCP. Some Member States emphasised the need to have a proportionate approach to the active account in order to avoid penalising smaller market participants. 2 Member States supported exploring higher capital charges or activity targets linked to capital penalties. One member state opposed the option of active accounts. </w:t>
      </w:r>
    </w:p>
    <w:p w14:paraId="1EAC2084" w14:textId="77777777" w:rsidR="00007E77" w:rsidRPr="001C4637" w:rsidRDefault="00007E77" w:rsidP="00724804">
      <w:pPr>
        <w:pStyle w:val="ListParagraph"/>
        <w:numPr>
          <w:ilvl w:val="2"/>
          <w:numId w:val="21"/>
        </w:numPr>
        <w:spacing w:after="120" w:line="240" w:lineRule="auto"/>
        <w:ind w:left="426" w:hanging="426"/>
        <w:rPr>
          <w:rFonts w:ascii="Times New Roman" w:hAnsi="Times New Roman" w:cs="Times New Roman"/>
          <w:bCs/>
          <w:noProof/>
          <w:sz w:val="24"/>
          <w:szCs w:val="24"/>
        </w:rPr>
      </w:pPr>
      <w:r w:rsidRPr="001C4637">
        <w:rPr>
          <w:rFonts w:ascii="Times New Roman" w:hAnsi="Times New Roman" w:cs="Times New Roman"/>
          <w:bCs/>
          <w:noProof/>
          <w:sz w:val="24"/>
          <w:szCs w:val="24"/>
        </w:rPr>
        <w:t>Expanding the offer by EU CCPs</w:t>
      </w:r>
    </w:p>
    <w:p w14:paraId="4C68344E" w14:textId="77777777" w:rsidR="00007E77" w:rsidRDefault="00007E77" w:rsidP="00724804">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were invited to consider</w:t>
      </w:r>
      <w:r w:rsidRPr="002A6DF1">
        <w:rPr>
          <w:rFonts w:ascii="Times New Roman" w:hAnsi="Times New Roman" w:cs="Times New Roman"/>
          <w:noProof/>
          <w:sz w:val="24"/>
          <w:szCs w:val="24"/>
        </w:rPr>
        <w:t xml:space="preserve"> how to facilitate, where appropriate, the offering of </w:t>
      </w:r>
      <w:r w:rsidRPr="00ED4E8F">
        <w:rPr>
          <w:rFonts w:ascii="Times New Roman" w:hAnsi="Times New Roman" w:cs="Times New Roman"/>
          <w:b/>
          <w:noProof/>
          <w:sz w:val="24"/>
          <w:szCs w:val="24"/>
        </w:rPr>
        <w:t>new products/currencies by EU CCPs</w:t>
      </w:r>
      <w:r w:rsidRPr="002A6DF1">
        <w:rPr>
          <w:rFonts w:ascii="Times New Roman" w:hAnsi="Times New Roman" w:cs="Times New Roman"/>
          <w:noProof/>
          <w:sz w:val="24"/>
          <w:szCs w:val="24"/>
        </w:rPr>
        <w:t>, as the argument was raised that they are currently hindered in this compared to their peers in other jurisdictions</w:t>
      </w:r>
      <w:r>
        <w:rPr>
          <w:rFonts w:ascii="Times New Roman" w:hAnsi="Times New Roman" w:cs="Times New Roman"/>
          <w:noProof/>
          <w:sz w:val="24"/>
          <w:szCs w:val="24"/>
        </w:rPr>
        <w:t>.</w:t>
      </w:r>
    </w:p>
    <w:p w14:paraId="50359FF1" w14:textId="150DBD69" w:rsidR="00007E77" w:rsidRDefault="00007E77" w:rsidP="00724804">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was broad agreement amongst Member States that EU CCPs should expand their offer, however few concrete views were provided on how to achieve this objective.</w:t>
      </w:r>
    </w:p>
    <w:p w14:paraId="3445B811" w14:textId="77777777" w:rsidR="00007E77" w:rsidRPr="001C4637" w:rsidRDefault="00007E77" w:rsidP="00724804">
      <w:pPr>
        <w:pStyle w:val="ListParagraph"/>
        <w:numPr>
          <w:ilvl w:val="2"/>
          <w:numId w:val="21"/>
        </w:numPr>
        <w:spacing w:after="120" w:line="240" w:lineRule="auto"/>
        <w:ind w:left="426" w:hanging="426"/>
        <w:jc w:val="both"/>
        <w:rPr>
          <w:rFonts w:ascii="Times New Roman" w:hAnsi="Times New Roman" w:cs="Times New Roman"/>
          <w:bCs/>
          <w:noProof/>
          <w:sz w:val="24"/>
          <w:szCs w:val="24"/>
        </w:rPr>
      </w:pPr>
      <w:r w:rsidRPr="001C4637">
        <w:rPr>
          <w:rFonts w:ascii="Times New Roman" w:hAnsi="Times New Roman" w:cs="Times New Roman"/>
          <w:bCs/>
          <w:noProof/>
          <w:sz w:val="24"/>
          <w:szCs w:val="24"/>
        </w:rPr>
        <w:t>Enhancing the attractiveness of the EU clearing landscape and the competitiveness of EU CCPs</w:t>
      </w:r>
    </w:p>
    <w:p w14:paraId="71B34402" w14:textId="77777777" w:rsidR="00007E77" w:rsidRDefault="00007E77" w:rsidP="00724804">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Member States were asked to reflect on </w:t>
      </w:r>
      <w:r w:rsidRPr="002A6DF1">
        <w:rPr>
          <w:rFonts w:ascii="Times New Roman" w:hAnsi="Times New Roman" w:cs="Times New Roman"/>
          <w:noProof/>
          <w:sz w:val="24"/>
          <w:szCs w:val="24"/>
        </w:rPr>
        <w:t xml:space="preserve">whether </w:t>
      </w:r>
      <w:r w:rsidRPr="00ED4E8F">
        <w:rPr>
          <w:rFonts w:ascii="Times New Roman" w:hAnsi="Times New Roman" w:cs="Times New Roman"/>
          <w:b/>
          <w:noProof/>
          <w:sz w:val="24"/>
          <w:szCs w:val="24"/>
        </w:rPr>
        <w:t>interoperability</w:t>
      </w:r>
      <w:r w:rsidRPr="002A6DF1">
        <w:rPr>
          <w:rFonts w:ascii="Times New Roman" w:hAnsi="Times New Roman" w:cs="Times New Roman"/>
          <w:noProof/>
          <w:sz w:val="24"/>
          <w:szCs w:val="24"/>
        </w:rPr>
        <w:t xml:space="preserve"> or </w:t>
      </w:r>
      <w:r w:rsidRPr="00ED4E8F">
        <w:rPr>
          <w:rFonts w:ascii="Times New Roman" w:hAnsi="Times New Roman" w:cs="Times New Roman"/>
          <w:b/>
          <w:noProof/>
          <w:sz w:val="24"/>
          <w:szCs w:val="24"/>
        </w:rPr>
        <w:t>cross-margining arrangements</w:t>
      </w:r>
      <w:r w:rsidRPr="002A6DF1">
        <w:rPr>
          <w:rFonts w:ascii="Times New Roman" w:hAnsi="Times New Roman" w:cs="Times New Roman"/>
          <w:noProof/>
          <w:sz w:val="24"/>
          <w:szCs w:val="24"/>
        </w:rPr>
        <w:t xml:space="preserve"> could be useful in the context of the stated objectives, whether </w:t>
      </w:r>
      <w:r w:rsidRPr="00ED4E8F">
        <w:rPr>
          <w:rFonts w:ascii="Times New Roman" w:hAnsi="Times New Roman" w:cs="Times New Roman"/>
          <w:b/>
          <w:noProof/>
          <w:sz w:val="24"/>
          <w:szCs w:val="24"/>
        </w:rPr>
        <w:t>segregation of default funds</w:t>
      </w:r>
      <w:r w:rsidRPr="002A6DF1">
        <w:rPr>
          <w:rFonts w:ascii="Times New Roman" w:hAnsi="Times New Roman" w:cs="Times New Roman"/>
          <w:noProof/>
          <w:sz w:val="24"/>
          <w:szCs w:val="24"/>
        </w:rPr>
        <w:t xml:space="preserve"> could be an asset in terms of attractiveness, or exploring any </w:t>
      </w:r>
      <w:r w:rsidRPr="00ED4E8F">
        <w:rPr>
          <w:rFonts w:ascii="Times New Roman" w:hAnsi="Times New Roman" w:cs="Times New Roman"/>
          <w:b/>
          <w:noProof/>
          <w:sz w:val="24"/>
          <w:szCs w:val="24"/>
        </w:rPr>
        <w:t>improvements in the funding and liquidity management arrangements for CCPs</w:t>
      </w:r>
      <w:r w:rsidRPr="002A6DF1">
        <w:rPr>
          <w:rFonts w:ascii="Times New Roman" w:hAnsi="Times New Roman" w:cs="Times New Roman"/>
          <w:noProof/>
          <w:sz w:val="24"/>
          <w:szCs w:val="24"/>
        </w:rPr>
        <w:t xml:space="preserve"> and in the payment and settlement area</w:t>
      </w:r>
      <w:r>
        <w:rPr>
          <w:rFonts w:ascii="Times New Roman" w:hAnsi="Times New Roman" w:cs="Times New Roman"/>
          <w:noProof/>
          <w:sz w:val="24"/>
          <w:szCs w:val="24"/>
        </w:rPr>
        <w:t>.</w:t>
      </w:r>
    </w:p>
    <w:p w14:paraId="0544E6C8" w14:textId="77777777" w:rsidR="00007E77" w:rsidRDefault="00007E77" w:rsidP="00724804">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One Member State suggested looking into a fast track procedure to introduce new products. Another Member State said that interoperability, cross-margining or segregated default fund requirements should be looked at with care as they are not without risks to financial stability.</w:t>
      </w:r>
    </w:p>
    <w:p w14:paraId="6C4B61A3" w14:textId="4C97FDBB" w:rsidR="00007E77" w:rsidRDefault="00007E77" w:rsidP="00724804">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More widely, Member States and one EU authority supported the idea that further consideration should be given by central banks to enabling EU CCPs to access to central bank facilities.</w:t>
      </w:r>
    </w:p>
    <w:p w14:paraId="22EDAD44" w14:textId="77777777" w:rsidR="00007E77" w:rsidRPr="001C4637" w:rsidRDefault="00007E77" w:rsidP="00724804">
      <w:pPr>
        <w:pStyle w:val="ListParagraph"/>
        <w:numPr>
          <w:ilvl w:val="2"/>
          <w:numId w:val="21"/>
        </w:numPr>
        <w:spacing w:after="120" w:line="240" w:lineRule="auto"/>
        <w:ind w:left="426" w:hanging="426"/>
        <w:rPr>
          <w:rFonts w:ascii="Times New Roman" w:hAnsi="Times New Roman" w:cs="Times New Roman"/>
          <w:bCs/>
          <w:noProof/>
          <w:sz w:val="24"/>
          <w:szCs w:val="24"/>
        </w:rPr>
      </w:pPr>
      <w:r w:rsidRPr="001C4637">
        <w:rPr>
          <w:rFonts w:ascii="Times New Roman" w:hAnsi="Times New Roman" w:cs="Times New Roman"/>
          <w:bCs/>
          <w:noProof/>
          <w:sz w:val="24"/>
          <w:szCs w:val="24"/>
        </w:rPr>
        <w:t xml:space="preserve">Reviewing the supervisory architecture for EU CCPs </w:t>
      </w:r>
    </w:p>
    <w:p w14:paraId="131CD7B5" w14:textId="77777777" w:rsidR="00007E77" w:rsidRDefault="00007E77" w:rsidP="00724804">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were asked to reflect on the need for changes in the EU supervisory framework. Remarks were general but focused on two main issues.</w:t>
      </w:r>
    </w:p>
    <w:p w14:paraId="548BF19A" w14:textId="77777777" w:rsidR="00007E77" w:rsidRPr="007C75B7" w:rsidRDefault="00007E77" w:rsidP="001C4637">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First, in general terms, several </w:t>
      </w:r>
      <w:r w:rsidRPr="006C70EF">
        <w:rPr>
          <w:rFonts w:ascii="Times New Roman" w:hAnsi="Times New Roman" w:cs="Times New Roman"/>
          <w:noProof/>
          <w:sz w:val="24"/>
          <w:szCs w:val="24"/>
        </w:rPr>
        <w:t>Member States that took the floor expressed the view that the current supervisory framework allows for taking into account cross-border risks. Some of them also stressed that the current framework takes into account the fiscal responsibility of the Member State where the CCP is established in the unlikely event of a CCP default.</w:t>
      </w:r>
      <w:r>
        <w:rPr>
          <w:rFonts w:ascii="Times New Roman" w:hAnsi="Times New Roman" w:cs="Times New Roman"/>
          <w:noProof/>
          <w:sz w:val="24"/>
          <w:szCs w:val="24"/>
        </w:rPr>
        <w:t xml:space="preserve"> Two Member States were not in favour of opening supervision in an EMIR review for this reason. Six Member States where sceptical to centralised supervision. </w:t>
      </w:r>
      <w:r w:rsidRPr="006C70EF">
        <w:rPr>
          <w:rFonts w:ascii="Times New Roman" w:hAnsi="Times New Roman" w:cs="Times New Roman"/>
          <w:noProof/>
          <w:sz w:val="24"/>
          <w:szCs w:val="24"/>
        </w:rPr>
        <w:t xml:space="preserve">Other participants recalled </w:t>
      </w:r>
      <w:r>
        <w:rPr>
          <w:rFonts w:ascii="Times New Roman" w:hAnsi="Times New Roman" w:cs="Times New Roman"/>
          <w:noProof/>
          <w:sz w:val="24"/>
          <w:szCs w:val="24"/>
        </w:rPr>
        <w:t xml:space="preserve">however </w:t>
      </w:r>
      <w:r w:rsidRPr="006C70EF">
        <w:rPr>
          <w:rFonts w:ascii="Times New Roman" w:hAnsi="Times New Roman" w:cs="Times New Roman"/>
          <w:noProof/>
          <w:sz w:val="24"/>
          <w:szCs w:val="24"/>
        </w:rPr>
        <w:t>that a possible default of a CCP would affect also those of its clearing members that are located in other Member States.</w:t>
      </w:r>
      <w:r w:rsidRPr="002F50E7">
        <w:rPr>
          <w:rFonts w:ascii="Times New Roman" w:hAnsi="Times New Roman" w:cs="Times New Roman"/>
          <w:noProof/>
          <w:sz w:val="24"/>
          <w:szCs w:val="24"/>
        </w:rPr>
        <w:t xml:space="preserve"> </w:t>
      </w:r>
      <w:r w:rsidRPr="007C75B7">
        <w:rPr>
          <w:rFonts w:ascii="Times New Roman" w:hAnsi="Times New Roman" w:cs="Times New Roman"/>
          <w:noProof/>
          <w:sz w:val="24"/>
          <w:szCs w:val="24"/>
        </w:rPr>
        <w:t>If changes were anyhow considered necessary because of increased clearing activity in the EU</w:t>
      </w:r>
      <w:r>
        <w:rPr>
          <w:rFonts w:ascii="Times New Roman" w:hAnsi="Times New Roman" w:cs="Times New Roman"/>
          <w:noProof/>
          <w:sz w:val="24"/>
          <w:szCs w:val="24"/>
        </w:rPr>
        <w:t xml:space="preserve">, one </w:t>
      </w:r>
      <w:r w:rsidRPr="007C75B7">
        <w:rPr>
          <w:rFonts w:ascii="Times New Roman" w:hAnsi="Times New Roman" w:cs="Times New Roman"/>
          <w:noProof/>
          <w:sz w:val="24"/>
          <w:szCs w:val="24"/>
        </w:rPr>
        <w:t>Member States</w:t>
      </w:r>
      <w:r>
        <w:rPr>
          <w:rFonts w:ascii="Times New Roman" w:hAnsi="Times New Roman" w:cs="Times New Roman"/>
          <w:noProof/>
          <w:sz w:val="24"/>
          <w:szCs w:val="24"/>
        </w:rPr>
        <w:t xml:space="preserve"> expressed the opinion to</w:t>
      </w:r>
      <w:r w:rsidRPr="007C75B7">
        <w:rPr>
          <w:rFonts w:ascii="Times New Roman" w:hAnsi="Times New Roman" w:cs="Times New Roman"/>
          <w:noProof/>
          <w:sz w:val="24"/>
          <w:szCs w:val="24"/>
        </w:rPr>
        <w:t xml:space="preserve"> support looking into whether ‘tiering’ of EU CCPs could be an option, based e.g. on financial stability risks.</w:t>
      </w:r>
    </w:p>
    <w:p w14:paraId="17C0794A" w14:textId="77777777" w:rsidR="00007E77" w:rsidRPr="006C70EF" w:rsidRDefault="00007E77" w:rsidP="00724804">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Second, several </w:t>
      </w:r>
      <w:r w:rsidRPr="006C70EF">
        <w:rPr>
          <w:rFonts w:ascii="Times New Roman" w:hAnsi="Times New Roman" w:cs="Times New Roman"/>
          <w:noProof/>
          <w:sz w:val="24"/>
          <w:szCs w:val="24"/>
        </w:rPr>
        <w:t>Member States pointed out that Regulation (EU) No 2019/2099</w:t>
      </w:r>
      <w:r w:rsidRPr="006C70EF">
        <w:rPr>
          <w:noProof/>
        </w:rPr>
        <w:footnoteReference w:id="185"/>
      </w:r>
      <w:r w:rsidRPr="006C70EF">
        <w:rPr>
          <w:rFonts w:ascii="Times New Roman" w:hAnsi="Times New Roman" w:cs="Times New Roman"/>
          <w:noProof/>
          <w:sz w:val="24"/>
          <w:szCs w:val="24"/>
        </w:rPr>
        <w:t xml:space="preserve"> (‘EMIR 2.2’) introduced </w:t>
      </w:r>
      <w:r>
        <w:rPr>
          <w:rFonts w:ascii="Times New Roman" w:hAnsi="Times New Roman" w:cs="Times New Roman"/>
          <w:noProof/>
          <w:sz w:val="24"/>
          <w:szCs w:val="24"/>
        </w:rPr>
        <w:t xml:space="preserve">a </w:t>
      </w:r>
      <w:r w:rsidRPr="006C70EF">
        <w:rPr>
          <w:rFonts w:ascii="Times New Roman" w:hAnsi="Times New Roman" w:cs="Times New Roman"/>
          <w:noProof/>
          <w:sz w:val="24"/>
          <w:szCs w:val="24"/>
        </w:rPr>
        <w:t>new supervisory architecture, including the CCP Supervisory Committee at the European Securities and Markets Authority (ESMA), which aimed at increasing EU convergence and coordination</w:t>
      </w:r>
      <w:r>
        <w:rPr>
          <w:rFonts w:ascii="Times New Roman" w:hAnsi="Times New Roman" w:cs="Times New Roman"/>
          <w:noProof/>
          <w:sz w:val="24"/>
          <w:szCs w:val="24"/>
        </w:rPr>
        <w:t xml:space="preserve"> and gave ESMA supervisory power over Tier2 CCPs in third countries</w:t>
      </w:r>
      <w:r w:rsidRPr="006C70EF">
        <w:rPr>
          <w:rFonts w:ascii="Times New Roman" w:hAnsi="Times New Roman" w:cs="Times New Roman"/>
          <w:noProof/>
          <w:sz w:val="24"/>
          <w:szCs w:val="24"/>
        </w:rPr>
        <w:t xml:space="preserve">. </w:t>
      </w:r>
      <w:r>
        <w:rPr>
          <w:rFonts w:ascii="Times New Roman" w:hAnsi="Times New Roman" w:cs="Times New Roman"/>
          <w:noProof/>
          <w:sz w:val="24"/>
          <w:szCs w:val="24"/>
        </w:rPr>
        <w:t xml:space="preserve">Those Member States stated that those </w:t>
      </w:r>
      <w:r w:rsidRPr="006C70EF">
        <w:rPr>
          <w:rFonts w:ascii="Times New Roman" w:hAnsi="Times New Roman" w:cs="Times New Roman"/>
          <w:noProof/>
          <w:sz w:val="24"/>
          <w:szCs w:val="24"/>
        </w:rPr>
        <w:t xml:space="preserve">changes seem to </w:t>
      </w:r>
      <w:r>
        <w:rPr>
          <w:rFonts w:ascii="Times New Roman" w:hAnsi="Times New Roman" w:cs="Times New Roman"/>
          <w:noProof/>
          <w:sz w:val="24"/>
          <w:szCs w:val="24"/>
        </w:rPr>
        <w:t xml:space="preserve">work well, and that </w:t>
      </w:r>
      <w:r w:rsidRPr="006C70EF">
        <w:rPr>
          <w:rFonts w:ascii="Times New Roman" w:hAnsi="Times New Roman" w:cs="Times New Roman"/>
          <w:noProof/>
          <w:sz w:val="24"/>
          <w:szCs w:val="24"/>
        </w:rPr>
        <w:t xml:space="preserve">sufficient experience </w:t>
      </w:r>
      <w:r>
        <w:rPr>
          <w:rFonts w:ascii="Times New Roman" w:hAnsi="Times New Roman" w:cs="Times New Roman"/>
          <w:noProof/>
          <w:sz w:val="24"/>
          <w:szCs w:val="24"/>
        </w:rPr>
        <w:t>should</w:t>
      </w:r>
      <w:r w:rsidRPr="006C70EF">
        <w:rPr>
          <w:rFonts w:ascii="Times New Roman" w:hAnsi="Times New Roman" w:cs="Times New Roman"/>
          <w:noProof/>
          <w:sz w:val="24"/>
          <w:szCs w:val="24"/>
        </w:rPr>
        <w:t xml:space="preserve"> be gained</w:t>
      </w:r>
      <w:r>
        <w:rPr>
          <w:rFonts w:ascii="Times New Roman" w:hAnsi="Times New Roman" w:cs="Times New Roman"/>
          <w:noProof/>
          <w:sz w:val="24"/>
          <w:szCs w:val="24"/>
        </w:rPr>
        <w:t xml:space="preserve"> before considering changes to the supervisory framework</w:t>
      </w:r>
      <w:r w:rsidRPr="006C70EF">
        <w:rPr>
          <w:rFonts w:ascii="Times New Roman" w:hAnsi="Times New Roman" w:cs="Times New Roman"/>
          <w:noProof/>
          <w:sz w:val="24"/>
          <w:szCs w:val="24"/>
        </w:rPr>
        <w:t xml:space="preserve">. </w:t>
      </w:r>
      <w:r>
        <w:rPr>
          <w:rFonts w:ascii="Times New Roman" w:hAnsi="Times New Roman" w:cs="Times New Roman"/>
          <w:noProof/>
          <w:sz w:val="24"/>
          <w:szCs w:val="24"/>
        </w:rPr>
        <w:t>At the same time, t</w:t>
      </w:r>
      <w:r w:rsidRPr="006C70EF">
        <w:rPr>
          <w:rFonts w:ascii="Times New Roman" w:hAnsi="Times New Roman" w:cs="Times New Roman"/>
          <w:noProof/>
          <w:sz w:val="24"/>
          <w:szCs w:val="24"/>
        </w:rPr>
        <w:t xml:space="preserve">here was general agreement among those that intervened that there would be room for amendments to EMIR to </w:t>
      </w:r>
      <w:r>
        <w:rPr>
          <w:rFonts w:ascii="Times New Roman" w:hAnsi="Times New Roman" w:cs="Times New Roman"/>
          <w:noProof/>
          <w:sz w:val="24"/>
          <w:szCs w:val="24"/>
        </w:rPr>
        <w:t xml:space="preserve">improve </w:t>
      </w:r>
      <w:r w:rsidRPr="006C70EF">
        <w:rPr>
          <w:rFonts w:ascii="Times New Roman" w:hAnsi="Times New Roman" w:cs="Times New Roman"/>
          <w:noProof/>
          <w:sz w:val="24"/>
          <w:szCs w:val="24"/>
        </w:rPr>
        <w:t>procedures</w:t>
      </w:r>
      <w:r>
        <w:rPr>
          <w:rFonts w:ascii="Times New Roman" w:hAnsi="Times New Roman" w:cs="Times New Roman"/>
          <w:noProof/>
          <w:sz w:val="24"/>
          <w:szCs w:val="24"/>
        </w:rPr>
        <w:t>; r</w:t>
      </w:r>
      <w:r w:rsidRPr="006C70EF">
        <w:rPr>
          <w:rFonts w:ascii="Times New Roman" w:hAnsi="Times New Roman" w:cs="Times New Roman"/>
          <w:noProof/>
          <w:sz w:val="24"/>
          <w:szCs w:val="24"/>
        </w:rPr>
        <w:t>educing red tape and aligning procedures in different areas could make EU supervision simpler, faster and more flexible and therefore contribute to improving the competitiveness of EU CCPs.</w:t>
      </w:r>
    </w:p>
    <w:p w14:paraId="7DEDC087" w14:textId="3944A022" w:rsidR="00007E77" w:rsidRPr="001C4637" w:rsidRDefault="00007E77" w:rsidP="00724804">
      <w:pPr>
        <w:pStyle w:val="ListParagraph"/>
        <w:numPr>
          <w:ilvl w:val="1"/>
          <w:numId w:val="21"/>
        </w:numPr>
        <w:spacing w:after="120" w:line="240" w:lineRule="auto"/>
        <w:ind w:left="426" w:hanging="426"/>
        <w:rPr>
          <w:rFonts w:ascii="Times New Roman" w:hAnsi="Times New Roman" w:cs="Times New Roman"/>
          <w:b/>
          <w:noProof/>
          <w:sz w:val="24"/>
          <w:szCs w:val="24"/>
        </w:rPr>
      </w:pPr>
      <w:r w:rsidRPr="001C4637">
        <w:rPr>
          <w:rFonts w:ascii="Times New Roman" w:hAnsi="Times New Roman" w:cs="Times New Roman"/>
          <w:b/>
          <w:noProof/>
          <w:sz w:val="24"/>
          <w:szCs w:val="24"/>
        </w:rPr>
        <w:t xml:space="preserve">Meeting of Member States' Experts on 16 </w:t>
      </w:r>
      <w:r w:rsidR="001C4637" w:rsidRPr="001C4637">
        <w:rPr>
          <w:rFonts w:ascii="Times New Roman" w:hAnsi="Times New Roman" w:cs="Times New Roman"/>
          <w:b/>
          <w:noProof/>
          <w:sz w:val="24"/>
          <w:szCs w:val="24"/>
        </w:rPr>
        <w:t>June</w:t>
      </w:r>
      <w:r w:rsidRPr="001C4637">
        <w:rPr>
          <w:rFonts w:ascii="Times New Roman" w:hAnsi="Times New Roman" w:cs="Times New Roman"/>
          <w:b/>
          <w:noProof/>
          <w:sz w:val="24"/>
          <w:szCs w:val="24"/>
        </w:rPr>
        <w:t xml:space="preserve"> 2022</w:t>
      </w:r>
    </w:p>
    <w:p w14:paraId="6FC85AB6" w14:textId="77777777" w:rsidR="008A37AF" w:rsidRDefault="008A37AF" w:rsidP="00724804">
      <w:pPr>
        <w:spacing w:after="120" w:line="240" w:lineRule="auto"/>
        <w:jc w:val="both"/>
        <w:rPr>
          <w:rFonts w:ascii="Times New Roman" w:hAnsi="Times New Roman" w:cs="Times New Roman"/>
          <w:noProof/>
          <w:sz w:val="24"/>
          <w:szCs w:val="24"/>
        </w:rPr>
      </w:pPr>
      <w:r w:rsidRPr="00255E36">
        <w:rPr>
          <w:rFonts w:ascii="Times New Roman" w:hAnsi="Times New Roman" w:cs="Times New Roman"/>
          <w:noProof/>
          <w:sz w:val="24"/>
          <w:szCs w:val="24"/>
        </w:rPr>
        <w:t xml:space="preserve">On </w:t>
      </w:r>
      <w:r>
        <w:rPr>
          <w:rFonts w:ascii="Times New Roman" w:hAnsi="Times New Roman" w:cs="Times New Roman"/>
          <w:noProof/>
          <w:sz w:val="24"/>
          <w:szCs w:val="24"/>
        </w:rPr>
        <w:t>16</w:t>
      </w:r>
      <w:r w:rsidRPr="00255E36">
        <w:rPr>
          <w:rFonts w:ascii="Times New Roman" w:hAnsi="Times New Roman" w:cs="Times New Roman"/>
          <w:noProof/>
          <w:sz w:val="24"/>
          <w:szCs w:val="24"/>
        </w:rPr>
        <w:t xml:space="preserve"> </w:t>
      </w:r>
      <w:r>
        <w:rPr>
          <w:rFonts w:ascii="Times New Roman" w:hAnsi="Times New Roman" w:cs="Times New Roman"/>
          <w:noProof/>
          <w:sz w:val="24"/>
          <w:szCs w:val="24"/>
        </w:rPr>
        <w:t>June 2022, a working group of Member States’ experts</w:t>
      </w:r>
      <w:r w:rsidRPr="00255E36">
        <w:rPr>
          <w:rFonts w:ascii="Times New Roman" w:hAnsi="Times New Roman" w:cs="Times New Roman"/>
          <w:noProof/>
          <w:sz w:val="24"/>
          <w:szCs w:val="24"/>
        </w:rPr>
        <w:t xml:space="preserve"> met virtual</w:t>
      </w:r>
      <w:r>
        <w:rPr>
          <w:rFonts w:ascii="Times New Roman" w:hAnsi="Times New Roman" w:cs="Times New Roman"/>
          <w:noProof/>
          <w:sz w:val="24"/>
          <w:szCs w:val="24"/>
        </w:rPr>
        <w:t xml:space="preserve">ly </w:t>
      </w:r>
      <w:r w:rsidRPr="00255E36">
        <w:rPr>
          <w:rFonts w:ascii="Times New Roman" w:hAnsi="Times New Roman" w:cs="Times New Roman"/>
          <w:noProof/>
          <w:sz w:val="24"/>
          <w:szCs w:val="24"/>
        </w:rPr>
        <w:t xml:space="preserve">to discuss </w:t>
      </w:r>
      <w:r w:rsidRPr="005D2C94">
        <w:rPr>
          <w:rFonts w:ascii="Times New Roman" w:hAnsi="Times New Roman" w:cs="Times New Roman"/>
          <w:noProof/>
          <w:sz w:val="24"/>
          <w:szCs w:val="24"/>
        </w:rPr>
        <w:t xml:space="preserve">possible measures to </w:t>
      </w:r>
      <w:r>
        <w:rPr>
          <w:rFonts w:ascii="Times New Roman" w:hAnsi="Times New Roman" w:cs="Times New Roman"/>
          <w:noProof/>
          <w:sz w:val="24"/>
          <w:szCs w:val="24"/>
        </w:rPr>
        <w:t>facilitate</w:t>
      </w:r>
      <w:r w:rsidRPr="005D2C94">
        <w:rPr>
          <w:rFonts w:ascii="Times New Roman" w:hAnsi="Times New Roman" w:cs="Times New Roman"/>
          <w:noProof/>
          <w:sz w:val="24"/>
          <w:szCs w:val="24"/>
        </w:rPr>
        <w:t xml:space="preserve"> clearing at EU CCPs. </w:t>
      </w:r>
      <w:r>
        <w:rPr>
          <w:rFonts w:ascii="Times New Roman" w:hAnsi="Times New Roman" w:cs="Times New Roman"/>
          <w:noProof/>
          <w:sz w:val="24"/>
          <w:szCs w:val="24"/>
        </w:rPr>
        <w:t xml:space="preserve">The meeting also explored the supervisory framework as well as other issues. The meeting built on the </w:t>
      </w:r>
      <w:r w:rsidRPr="005D2C94">
        <w:rPr>
          <w:rFonts w:ascii="Times New Roman" w:hAnsi="Times New Roman" w:cs="Times New Roman"/>
          <w:noProof/>
          <w:sz w:val="24"/>
          <w:szCs w:val="24"/>
        </w:rPr>
        <w:t>Commission targeted public consultation on the review of the central clearing</w:t>
      </w:r>
      <w:r>
        <w:rPr>
          <w:rFonts w:ascii="Times New Roman" w:hAnsi="Times New Roman" w:cs="Times New Roman"/>
          <w:noProof/>
          <w:sz w:val="24"/>
          <w:szCs w:val="24"/>
        </w:rPr>
        <w:t xml:space="preserve"> </w:t>
      </w:r>
      <w:r w:rsidRPr="005D2C94">
        <w:rPr>
          <w:rFonts w:ascii="Times New Roman" w:hAnsi="Times New Roman" w:cs="Times New Roman"/>
          <w:noProof/>
          <w:sz w:val="24"/>
          <w:szCs w:val="24"/>
        </w:rPr>
        <w:t>framework in the EU from 8 February to 22 March 2022</w:t>
      </w:r>
      <w:r>
        <w:rPr>
          <w:rFonts w:ascii="Times New Roman" w:hAnsi="Times New Roman" w:cs="Times New Roman"/>
          <w:noProof/>
          <w:sz w:val="24"/>
          <w:szCs w:val="24"/>
        </w:rPr>
        <w:t xml:space="preserve">, to which more than 70 responses were received, and on the previous </w:t>
      </w:r>
      <w:r w:rsidRPr="00CF7B11">
        <w:rPr>
          <w:rFonts w:ascii="Times New Roman" w:hAnsi="Times New Roman" w:cs="Times New Roman"/>
          <w:noProof/>
          <w:sz w:val="24"/>
          <w:szCs w:val="24"/>
        </w:rPr>
        <w:t>meeting of the Derivatives and Markets Infrastructures Working Group on 30 March 2022.</w:t>
      </w:r>
    </w:p>
    <w:p w14:paraId="744CDDDE" w14:textId="77777777" w:rsidR="008A37AF" w:rsidRPr="00AA3386" w:rsidRDefault="008A37AF" w:rsidP="00724804">
      <w:pPr>
        <w:spacing w:after="120" w:line="240" w:lineRule="auto"/>
        <w:jc w:val="both"/>
        <w:rPr>
          <w:rFonts w:ascii="Times New Roman" w:hAnsi="Times New Roman" w:cs="Times New Roman"/>
          <w:noProof/>
          <w:sz w:val="24"/>
          <w:szCs w:val="24"/>
        </w:rPr>
      </w:pPr>
      <w:r w:rsidRPr="001E1089">
        <w:rPr>
          <w:rFonts w:ascii="Times New Roman" w:hAnsi="Times New Roman" w:cs="Times New Roman"/>
          <w:noProof/>
          <w:sz w:val="24"/>
          <w:szCs w:val="24"/>
        </w:rPr>
        <w:t>The meeting allowed Commission services to gather the views of Member States, the ECB</w:t>
      </w:r>
      <w:r>
        <w:rPr>
          <w:rFonts w:ascii="Times New Roman" w:hAnsi="Times New Roman" w:cs="Times New Roman"/>
          <w:noProof/>
          <w:sz w:val="24"/>
          <w:szCs w:val="24"/>
        </w:rPr>
        <w:t>, EBA</w:t>
      </w:r>
      <w:r w:rsidRPr="001E1089">
        <w:rPr>
          <w:rFonts w:ascii="Times New Roman" w:hAnsi="Times New Roman" w:cs="Times New Roman"/>
          <w:noProof/>
          <w:sz w:val="24"/>
          <w:szCs w:val="24"/>
        </w:rPr>
        <w:t xml:space="preserve"> and ESMA</w:t>
      </w:r>
      <w:r w:rsidRPr="00785C79">
        <w:rPr>
          <w:rFonts w:ascii="Times New Roman" w:hAnsi="Times New Roman" w:cs="Times New Roman"/>
          <w:noProof/>
          <w:sz w:val="24"/>
          <w:szCs w:val="24"/>
        </w:rPr>
        <w:t>. DG FISMA services currently envisage a legislative proposal in the second half of 2022</w:t>
      </w:r>
      <w:r>
        <w:rPr>
          <w:rFonts w:ascii="Times New Roman" w:hAnsi="Times New Roman" w:cs="Times New Roman"/>
          <w:noProof/>
          <w:sz w:val="24"/>
          <w:szCs w:val="24"/>
        </w:rPr>
        <w:t xml:space="preserve">. </w:t>
      </w:r>
      <w:r w:rsidRPr="00785C79">
        <w:rPr>
          <w:rFonts w:ascii="Times New Roman" w:hAnsi="Times New Roman" w:cs="Times New Roman"/>
          <w:noProof/>
          <w:sz w:val="24"/>
          <w:szCs w:val="24"/>
        </w:rPr>
        <w:t xml:space="preserve">The feedback received during the meeting with Member States’ experts is </w:t>
      </w:r>
      <w:r w:rsidRPr="00AA3386">
        <w:rPr>
          <w:rFonts w:ascii="Times New Roman" w:hAnsi="Times New Roman" w:cs="Times New Roman"/>
          <w:noProof/>
          <w:sz w:val="24"/>
          <w:szCs w:val="24"/>
        </w:rPr>
        <w:t>summarised below.</w:t>
      </w:r>
    </w:p>
    <w:p w14:paraId="43E88143" w14:textId="77777777" w:rsidR="008A37AF" w:rsidRPr="001C4637" w:rsidRDefault="008A37AF" w:rsidP="00724804">
      <w:pPr>
        <w:pStyle w:val="ListParagraph"/>
        <w:numPr>
          <w:ilvl w:val="2"/>
          <w:numId w:val="21"/>
        </w:numPr>
        <w:spacing w:after="120" w:line="240" w:lineRule="auto"/>
        <w:ind w:left="426" w:hanging="426"/>
        <w:rPr>
          <w:rFonts w:ascii="Times New Roman" w:hAnsi="Times New Roman" w:cs="Times New Roman"/>
          <w:bCs/>
          <w:noProof/>
          <w:sz w:val="24"/>
          <w:szCs w:val="24"/>
        </w:rPr>
      </w:pPr>
      <w:r w:rsidRPr="001C4637">
        <w:rPr>
          <w:rFonts w:ascii="Times New Roman" w:hAnsi="Times New Roman" w:cs="Times New Roman"/>
          <w:bCs/>
          <w:noProof/>
          <w:sz w:val="24"/>
          <w:szCs w:val="24"/>
        </w:rPr>
        <w:t>Demand-side Measures</w:t>
      </w:r>
    </w:p>
    <w:p w14:paraId="49B3CBAB" w14:textId="77777777" w:rsidR="008A37AF" w:rsidRPr="008450DA" w:rsidRDefault="008A37AF" w:rsidP="00724804">
      <w:pPr>
        <w:pStyle w:val="ListParagraph"/>
        <w:numPr>
          <w:ilvl w:val="3"/>
          <w:numId w:val="21"/>
        </w:numPr>
        <w:spacing w:after="120" w:line="240" w:lineRule="auto"/>
        <w:ind w:left="426" w:hanging="426"/>
        <w:rPr>
          <w:rFonts w:ascii="Times New Roman" w:hAnsi="Times New Roman" w:cs="Times New Roman"/>
          <w:bCs/>
          <w:i/>
          <w:iCs/>
          <w:noProof/>
          <w:sz w:val="24"/>
          <w:szCs w:val="24"/>
        </w:rPr>
      </w:pPr>
      <w:r w:rsidRPr="008450DA">
        <w:rPr>
          <w:rFonts w:ascii="Times New Roman" w:hAnsi="Times New Roman" w:cs="Times New Roman"/>
          <w:bCs/>
          <w:i/>
          <w:iCs/>
          <w:noProof/>
          <w:sz w:val="24"/>
          <w:szCs w:val="24"/>
        </w:rPr>
        <w:t>Active accounts</w:t>
      </w:r>
    </w:p>
    <w:p w14:paraId="11994148" w14:textId="77777777" w:rsidR="008A37AF" w:rsidRPr="00AA3386" w:rsidRDefault="008A37AF" w:rsidP="00724804">
      <w:pPr>
        <w:spacing w:after="120" w:line="240" w:lineRule="auto"/>
        <w:jc w:val="both"/>
        <w:rPr>
          <w:rFonts w:ascii="Times New Roman" w:hAnsi="Times New Roman" w:cs="Times New Roman"/>
          <w:noProof/>
          <w:sz w:val="24"/>
          <w:szCs w:val="24"/>
        </w:rPr>
      </w:pPr>
      <w:r w:rsidRPr="00AA3386">
        <w:rPr>
          <w:rFonts w:ascii="Times New Roman" w:hAnsi="Times New Roman" w:cs="Times New Roman"/>
          <w:noProof/>
          <w:sz w:val="24"/>
          <w:szCs w:val="24"/>
        </w:rPr>
        <w:t xml:space="preserve">Several stakeholders responding to the targeted consultation showed openness to the idea of requiring EU clearing participants to hold an active account with an EU CCP, i.e. an account through which (at least) a portion of transactions would need to be cleared. An active account should ensure that there is regular clearing activity at EU CCPs. </w:t>
      </w:r>
      <w:r>
        <w:rPr>
          <w:rFonts w:ascii="Times New Roman" w:hAnsi="Times New Roman" w:cs="Times New Roman"/>
          <w:noProof/>
          <w:sz w:val="24"/>
          <w:szCs w:val="24"/>
        </w:rPr>
        <w:t>I</w:t>
      </w:r>
      <w:r w:rsidRPr="00AA3386">
        <w:rPr>
          <w:rFonts w:ascii="Times New Roman" w:hAnsi="Times New Roman" w:cs="Times New Roman"/>
          <w:noProof/>
          <w:sz w:val="24"/>
          <w:szCs w:val="24"/>
        </w:rPr>
        <w:t xml:space="preserve">t should </w:t>
      </w:r>
      <w:r>
        <w:rPr>
          <w:rFonts w:ascii="Times New Roman" w:hAnsi="Times New Roman" w:cs="Times New Roman"/>
          <w:noProof/>
          <w:sz w:val="24"/>
          <w:szCs w:val="24"/>
        </w:rPr>
        <w:t>differ</w:t>
      </w:r>
      <w:r w:rsidRPr="00AA3386">
        <w:rPr>
          <w:rFonts w:ascii="Times New Roman" w:hAnsi="Times New Roman" w:cs="Times New Roman"/>
          <w:noProof/>
          <w:sz w:val="24"/>
          <w:szCs w:val="24"/>
        </w:rPr>
        <w:t xml:space="preserve"> from accounts which already exist in some cases but are “dormant”, i.e. not actively or regularly used by clearing participants. </w:t>
      </w:r>
      <w:r>
        <w:rPr>
          <w:rFonts w:ascii="Times New Roman" w:hAnsi="Times New Roman" w:cs="Times New Roman"/>
          <w:noProof/>
          <w:sz w:val="24"/>
          <w:szCs w:val="24"/>
        </w:rPr>
        <w:t>This</w:t>
      </w:r>
      <w:r w:rsidRPr="00AA3386">
        <w:rPr>
          <w:rFonts w:ascii="Times New Roman" w:hAnsi="Times New Roman" w:cs="Times New Roman"/>
          <w:noProof/>
          <w:sz w:val="24"/>
          <w:szCs w:val="24"/>
        </w:rPr>
        <w:t xml:space="preserve"> could help enhance liquidity at EU CCPs, an aspect market participants consider key in their choice where to clear.</w:t>
      </w:r>
    </w:p>
    <w:p w14:paraId="3F6A18AF" w14:textId="77777777" w:rsidR="008A37AF" w:rsidRPr="00AA3386" w:rsidRDefault="008A37AF" w:rsidP="00724804">
      <w:pPr>
        <w:spacing w:after="120" w:line="240" w:lineRule="auto"/>
        <w:jc w:val="both"/>
        <w:rPr>
          <w:rFonts w:ascii="Times New Roman" w:hAnsi="Times New Roman" w:cs="Times New Roman"/>
          <w:noProof/>
          <w:sz w:val="24"/>
          <w:szCs w:val="24"/>
        </w:rPr>
      </w:pPr>
      <w:r w:rsidRPr="00AA3386">
        <w:rPr>
          <w:rFonts w:ascii="Times New Roman" w:hAnsi="Times New Roman" w:cs="Times New Roman"/>
          <w:noProof/>
          <w:sz w:val="24"/>
          <w:szCs w:val="24"/>
        </w:rPr>
        <w:t>Member States who expressed an opinion emphasi</w:t>
      </w:r>
      <w:r>
        <w:rPr>
          <w:rFonts w:ascii="Times New Roman" w:hAnsi="Times New Roman" w:cs="Times New Roman"/>
          <w:noProof/>
          <w:sz w:val="24"/>
          <w:szCs w:val="24"/>
        </w:rPr>
        <w:t>s</w:t>
      </w:r>
      <w:r w:rsidRPr="00AA3386">
        <w:rPr>
          <w:rFonts w:ascii="Times New Roman" w:hAnsi="Times New Roman" w:cs="Times New Roman"/>
          <w:noProof/>
          <w:sz w:val="24"/>
          <w:szCs w:val="24"/>
        </w:rPr>
        <w:t xml:space="preserve">ed that competitiveness of the EU should be </w:t>
      </w:r>
      <w:r>
        <w:rPr>
          <w:rFonts w:ascii="Times New Roman" w:hAnsi="Times New Roman" w:cs="Times New Roman"/>
          <w:noProof/>
          <w:sz w:val="24"/>
          <w:szCs w:val="24"/>
        </w:rPr>
        <w:t>ensured</w:t>
      </w:r>
      <w:r w:rsidRPr="00AA3386">
        <w:rPr>
          <w:rFonts w:ascii="Times New Roman" w:hAnsi="Times New Roman" w:cs="Times New Roman"/>
          <w:noProof/>
          <w:sz w:val="24"/>
          <w:szCs w:val="24"/>
        </w:rPr>
        <w:t xml:space="preserve"> and were either supportive of an active account requirement or open to look further into it, subject to certain conditions. In general, Member States highlighted that the details were important and proportionality should be respected.</w:t>
      </w:r>
    </w:p>
    <w:p w14:paraId="6441CDE2" w14:textId="77777777" w:rsidR="008A37AF" w:rsidRPr="00AA3386" w:rsidRDefault="008A37AF" w:rsidP="00724804">
      <w:pPr>
        <w:spacing w:after="120" w:line="240" w:lineRule="auto"/>
        <w:jc w:val="both"/>
        <w:rPr>
          <w:rFonts w:ascii="Times New Roman" w:hAnsi="Times New Roman" w:cs="Times New Roman"/>
          <w:noProof/>
          <w:sz w:val="24"/>
          <w:szCs w:val="24"/>
        </w:rPr>
      </w:pPr>
      <w:r w:rsidRPr="00AA3386">
        <w:rPr>
          <w:rFonts w:ascii="Times New Roman" w:hAnsi="Times New Roman" w:cs="Times New Roman"/>
          <w:noProof/>
          <w:sz w:val="24"/>
          <w:szCs w:val="24"/>
        </w:rPr>
        <w:t xml:space="preserve">Three Member States </w:t>
      </w:r>
      <w:r>
        <w:rPr>
          <w:rFonts w:ascii="Times New Roman" w:hAnsi="Times New Roman" w:cs="Times New Roman"/>
          <w:noProof/>
          <w:sz w:val="24"/>
          <w:szCs w:val="24"/>
        </w:rPr>
        <w:t>and</w:t>
      </w:r>
      <w:r w:rsidRPr="00AA3386">
        <w:rPr>
          <w:rFonts w:ascii="Times New Roman" w:hAnsi="Times New Roman" w:cs="Times New Roman"/>
          <w:noProof/>
          <w:sz w:val="24"/>
          <w:szCs w:val="24"/>
        </w:rPr>
        <w:t xml:space="preserve"> </w:t>
      </w:r>
      <w:r>
        <w:rPr>
          <w:rFonts w:ascii="Times New Roman" w:hAnsi="Times New Roman" w:cs="Times New Roman"/>
          <w:noProof/>
          <w:sz w:val="24"/>
          <w:szCs w:val="24"/>
        </w:rPr>
        <w:t>one EU authority</w:t>
      </w:r>
      <w:r w:rsidRPr="00AA3386">
        <w:rPr>
          <w:rFonts w:ascii="Times New Roman" w:hAnsi="Times New Roman" w:cs="Times New Roman"/>
          <w:noProof/>
          <w:sz w:val="24"/>
          <w:szCs w:val="24"/>
        </w:rPr>
        <w:t xml:space="preserve"> </w:t>
      </w:r>
      <w:r>
        <w:rPr>
          <w:rFonts w:ascii="Times New Roman" w:hAnsi="Times New Roman" w:cs="Times New Roman"/>
          <w:noProof/>
          <w:sz w:val="24"/>
          <w:szCs w:val="24"/>
        </w:rPr>
        <w:t>supported</w:t>
      </w:r>
      <w:r w:rsidRPr="00AA3386">
        <w:rPr>
          <w:rFonts w:ascii="Times New Roman" w:hAnsi="Times New Roman" w:cs="Times New Roman"/>
          <w:noProof/>
          <w:sz w:val="24"/>
          <w:szCs w:val="24"/>
        </w:rPr>
        <w:t xml:space="preserve"> an active account requirement. Two of th</w:t>
      </w:r>
      <w:r>
        <w:rPr>
          <w:rFonts w:ascii="Times New Roman" w:hAnsi="Times New Roman" w:cs="Times New Roman"/>
          <w:noProof/>
          <w:sz w:val="24"/>
          <w:szCs w:val="24"/>
        </w:rPr>
        <w:t>em</w:t>
      </w:r>
      <w:r w:rsidRPr="00AA3386">
        <w:rPr>
          <w:rFonts w:ascii="Times New Roman" w:hAnsi="Times New Roman" w:cs="Times New Roman"/>
          <w:noProof/>
          <w:sz w:val="24"/>
          <w:szCs w:val="24"/>
        </w:rPr>
        <w:t xml:space="preserve"> </w:t>
      </w:r>
      <w:r>
        <w:rPr>
          <w:rFonts w:ascii="Times New Roman" w:hAnsi="Times New Roman" w:cs="Times New Roman"/>
          <w:noProof/>
          <w:sz w:val="24"/>
          <w:szCs w:val="24"/>
        </w:rPr>
        <w:t>and</w:t>
      </w:r>
      <w:r w:rsidRPr="00AA3386">
        <w:rPr>
          <w:rFonts w:ascii="Times New Roman" w:hAnsi="Times New Roman" w:cs="Times New Roman"/>
          <w:noProof/>
          <w:sz w:val="24"/>
          <w:szCs w:val="24"/>
        </w:rPr>
        <w:t xml:space="preserve"> </w:t>
      </w:r>
      <w:r>
        <w:rPr>
          <w:rFonts w:ascii="Times New Roman" w:hAnsi="Times New Roman" w:cs="Times New Roman"/>
          <w:noProof/>
          <w:sz w:val="24"/>
          <w:szCs w:val="24"/>
        </w:rPr>
        <w:t>the EU authority</w:t>
      </w:r>
      <w:r w:rsidRPr="00AA3386">
        <w:rPr>
          <w:rFonts w:ascii="Times New Roman" w:hAnsi="Times New Roman" w:cs="Times New Roman"/>
          <w:noProof/>
          <w:sz w:val="24"/>
          <w:szCs w:val="24"/>
        </w:rPr>
        <w:t xml:space="preserve"> said that such a requirement should focus on systemic clearing services, especially on services denominated in euro. Th</w:t>
      </w:r>
      <w:r>
        <w:rPr>
          <w:rFonts w:ascii="Times New Roman" w:hAnsi="Times New Roman" w:cs="Times New Roman"/>
          <w:noProof/>
          <w:sz w:val="24"/>
          <w:szCs w:val="24"/>
        </w:rPr>
        <w:t>o</w:t>
      </w:r>
      <w:r w:rsidRPr="00AA3386">
        <w:rPr>
          <w:rFonts w:ascii="Times New Roman" w:hAnsi="Times New Roman" w:cs="Times New Roman"/>
          <w:noProof/>
          <w:sz w:val="24"/>
          <w:szCs w:val="24"/>
        </w:rPr>
        <w:t xml:space="preserve">se Member States argued that an initial target should be set at the active account and re-evaluated and potentially be increased at a later stage. One of those Member States said that no volume requirements should be set at the beginning. Instead, qualitative measures should </w:t>
      </w:r>
      <w:r>
        <w:rPr>
          <w:rFonts w:ascii="Times New Roman" w:hAnsi="Times New Roman" w:cs="Times New Roman"/>
          <w:noProof/>
          <w:sz w:val="24"/>
          <w:szCs w:val="24"/>
        </w:rPr>
        <w:t>be used with</w:t>
      </w:r>
      <w:r w:rsidRPr="00AA3386">
        <w:rPr>
          <w:rFonts w:ascii="Times New Roman" w:hAnsi="Times New Roman" w:cs="Times New Roman"/>
          <w:noProof/>
          <w:sz w:val="24"/>
          <w:szCs w:val="24"/>
        </w:rPr>
        <w:t xml:space="preserve"> quantitative measures follow</w:t>
      </w:r>
      <w:r>
        <w:rPr>
          <w:rFonts w:ascii="Times New Roman" w:hAnsi="Times New Roman" w:cs="Times New Roman"/>
          <w:noProof/>
          <w:sz w:val="24"/>
          <w:szCs w:val="24"/>
        </w:rPr>
        <w:t>ing in a</w:t>
      </w:r>
      <w:r w:rsidRPr="00AA3386">
        <w:rPr>
          <w:rFonts w:ascii="Times New Roman" w:hAnsi="Times New Roman" w:cs="Times New Roman"/>
          <w:noProof/>
          <w:sz w:val="24"/>
          <w:szCs w:val="24"/>
        </w:rPr>
        <w:t xml:space="preserve"> second </w:t>
      </w:r>
      <w:r>
        <w:rPr>
          <w:rFonts w:ascii="Times New Roman" w:hAnsi="Times New Roman" w:cs="Times New Roman"/>
          <w:noProof/>
          <w:sz w:val="24"/>
          <w:szCs w:val="24"/>
        </w:rPr>
        <w:t>stage</w:t>
      </w:r>
      <w:r w:rsidRPr="00AA3386">
        <w:rPr>
          <w:rFonts w:ascii="Times New Roman" w:hAnsi="Times New Roman" w:cs="Times New Roman"/>
          <w:noProof/>
          <w:sz w:val="24"/>
          <w:szCs w:val="24"/>
        </w:rPr>
        <w:t xml:space="preserve">. </w:t>
      </w:r>
      <w:r>
        <w:rPr>
          <w:rFonts w:ascii="Times New Roman" w:hAnsi="Times New Roman" w:cs="Times New Roman"/>
          <w:noProof/>
          <w:sz w:val="24"/>
          <w:szCs w:val="24"/>
        </w:rPr>
        <w:t>An</w:t>
      </w:r>
      <w:r w:rsidRPr="00AA3386">
        <w:rPr>
          <w:rFonts w:ascii="Times New Roman" w:hAnsi="Times New Roman" w:cs="Times New Roman"/>
          <w:noProof/>
          <w:sz w:val="24"/>
          <w:szCs w:val="24"/>
        </w:rPr>
        <w:t xml:space="preserve">other Member State expressed the view that quantitative thresholds should start with a rather low threshold and be re-calibrating further based on a detailed assessment of previous experiences. The same Member State suggested that not only clearing members but also a wider range of stakeholders should meet active account requirements. To take into account client clearing and its impact on proportionality aspects, clients with low exposures to third-country CCPs could be exempted from an active account requirement. </w:t>
      </w:r>
      <w:r>
        <w:rPr>
          <w:rFonts w:ascii="Times New Roman" w:hAnsi="Times New Roman" w:cs="Times New Roman"/>
          <w:noProof/>
          <w:sz w:val="24"/>
          <w:szCs w:val="24"/>
        </w:rPr>
        <w:t>A</w:t>
      </w:r>
      <w:r w:rsidRPr="00AA3386">
        <w:rPr>
          <w:rFonts w:ascii="Times New Roman" w:hAnsi="Times New Roman" w:cs="Times New Roman"/>
          <w:noProof/>
          <w:sz w:val="24"/>
          <w:szCs w:val="24"/>
        </w:rPr>
        <w:t xml:space="preserve"> Member State suggested further to consider sanctions as an option where levels are not met and highlighted that it should not be supervisory authorities to set the threshold requirements.</w:t>
      </w:r>
    </w:p>
    <w:p w14:paraId="4B844EE9" w14:textId="77777777" w:rsidR="008A37AF" w:rsidRPr="00AA3386" w:rsidRDefault="008A37AF" w:rsidP="00724804">
      <w:pPr>
        <w:spacing w:after="120" w:line="240" w:lineRule="auto"/>
        <w:jc w:val="both"/>
        <w:rPr>
          <w:rFonts w:ascii="Times New Roman" w:hAnsi="Times New Roman" w:cs="Times New Roman"/>
          <w:noProof/>
          <w:sz w:val="24"/>
          <w:szCs w:val="24"/>
        </w:rPr>
      </w:pPr>
      <w:r w:rsidRPr="00AA3386">
        <w:rPr>
          <w:rFonts w:ascii="Times New Roman" w:hAnsi="Times New Roman" w:cs="Times New Roman"/>
          <w:noProof/>
          <w:sz w:val="24"/>
          <w:szCs w:val="24"/>
        </w:rPr>
        <w:t xml:space="preserve">Five Member States indicated </w:t>
      </w:r>
      <w:r>
        <w:rPr>
          <w:rFonts w:ascii="Times New Roman" w:hAnsi="Times New Roman" w:cs="Times New Roman"/>
          <w:noProof/>
          <w:sz w:val="24"/>
          <w:szCs w:val="24"/>
        </w:rPr>
        <w:t>that they were</w:t>
      </w:r>
      <w:r w:rsidRPr="00AA3386">
        <w:rPr>
          <w:rFonts w:ascii="Times New Roman" w:hAnsi="Times New Roman" w:cs="Times New Roman"/>
          <w:noProof/>
          <w:sz w:val="24"/>
          <w:szCs w:val="24"/>
        </w:rPr>
        <w:t xml:space="preserve"> open at the current stage. However, they argued that an active account requirement may mainly affect smaller parties and be burdensome. Therefore, these Member State indicated that first, costs related to an active account requirement would need to be considered and assessed before they could express an opinion. However, </w:t>
      </w:r>
      <w:r>
        <w:rPr>
          <w:rFonts w:ascii="Times New Roman" w:hAnsi="Times New Roman" w:cs="Times New Roman"/>
          <w:noProof/>
          <w:sz w:val="24"/>
          <w:szCs w:val="24"/>
        </w:rPr>
        <w:t xml:space="preserve">one EU authority </w:t>
      </w:r>
      <w:r w:rsidRPr="00AA3386">
        <w:rPr>
          <w:rFonts w:ascii="Times New Roman" w:hAnsi="Times New Roman" w:cs="Times New Roman"/>
          <w:noProof/>
          <w:sz w:val="24"/>
          <w:szCs w:val="24"/>
        </w:rPr>
        <w:t>explained that data cannot be shared easily due to data protection reasons.</w:t>
      </w:r>
    </w:p>
    <w:p w14:paraId="2DD42B7E" w14:textId="77777777" w:rsidR="008A37AF" w:rsidRPr="00AA3386" w:rsidRDefault="008A37AF" w:rsidP="00724804">
      <w:pPr>
        <w:spacing w:after="120" w:line="240" w:lineRule="auto"/>
        <w:jc w:val="both"/>
        <w:rPr>
          <w:rFonts w:ascii="Times New Roman" w:hAnsi="Times New Roman" w:cs="Times New Roman"/>
          <w:noProof/>
          <w:sz w:val="24"/>
          <w:szCs w:val="24"/>
        </w:rPr>
      </w:pPr>
      <w:r w:rsidRPr="00AA3386">
        <w:rPr>
          <w:rFonts w:ascii="Times New Roman" w:hAnsi="Times New Roman" w:cs="Times New Roman"/>
          <w:noProof/>
          <w:sz w:val="24"/>
          <w:szCs w:val="24"/>
        </w:rPr>
        <w:t>Two Member States expressed concerns that complexity may increase without much effect if only a qualitative requirement was introduced. One of these Member States highlighted the importance of appropriate supervision. One Member States</w:t>
      </w:r>
      <w:r>
        <w:rPr>
          <w:rFonts w:ascii="Times New Roman" w:hAnsi="Times New Roman" w:cs="Times New Roman"/>
          <w:noProof/>
          <w:sz w:val="24"/>
          <w:szCs w:val="24"/>
        </w:rPr>
        <w:t xml:space="preserve"> </w:t>
      </w:r>
      <w:r w:rsidRPr="00AA3386">
        <w:rPr>
          <w:rFonts w:ascii="Times New Roman" w:hAnsi="Times New Roman" w:cs="Times New Roman"/>
          <w:noProof/>
          <w:sz w:val="24"/>
          <w:szCs w:val="24"/>
        </w:rPr>
        <w:t xml:space="preserve">explained that smaller market participants may be forced out of </w:t>
      </w:r>
      <w:r>
        <w:rPr>
          <w:rFonts w:ascii="Times New Roman" w:hAnsi="Times New Roman" w:cs="Times New Roman"/>
          <w:noProof/>
          <w:sz w:val="24"/>
          <w:szCs w:val="24"/>
        </w:rPr>
        <w:t xml:space="preserve">the </w:t>
      </w:r>
      <w:r w:rsidRPr="00AA3386">
        <w:rPr>
          <w:rFonts w:ascii="Times New Roman" w:hAnsi="Times New Roman" w:cs="Times New Roman"/>
          <w:noProof/>
          <w:sz w:val="24"/>
          <w:szCs w:val="24"/>
        </w:rPr>
        <w:t xml:space="preserve">EU by an active account requirement potentially leaving only big players in the market and causing concentration issues. The Member State explained that market making and clients of clearing members would need exceptions. </w:t>
      </w:r>
    </w:p>
    <w:p w14:paraId="3F955B5D" w14:textId="77777777" w:rsidR="008A37AF" w:rsidRPr="00AA3386" w:rsidRDefault="008A37AF" w:rsidP="00724804">
      <w:pP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One EU authority</w:t>
      </w:r>
      <w:r w:rsidRPr="00AA3386">
        <w:rPr>
          <w:rFonts w:ascii="Times New Roman" w:hAnsi="Times New Roman" w:cs="Times New Roman"/>
          <w:noProof/>
          <w:sz w:val="24"/>
          <w:szCs w:val="24"/>
          <w:lang w:val="en-IE"/>
        </w:rPr>
        <w:t xml:space="preserve"> supported the introduction of active accounts and highlighted that active accounts as </w:t>
      </w:r>
      <w:r>
        <w:rPr>
          <w:rFonts w:ascii="Times New Roman" w:hAnsi="Times New Roman" w:cs="Times New Roman"/>
          <w:noProof/>
          <w:sz w:val="24"/>
          <w:szCs w:val="24"/>
          <w:lang w:val="en-IE"/>
        </w:rPr>
        <w:t xml:space="preserve">a </w:t>
      </w:r>
      <w:r w:rsidRPr="00AA3386">
        <w:rPr>
          <w:rFonts w:ascii="Times New Roman" w:hAnsi="Times New Roman" w:cs="Times New Roman"/>
          <w:noProof/>
          <w:sz w:val="24"/>
          <w:szCs w:val="24"/>
          <w:lang w:val="en-IE"/>
        </w:rPr>
        <w:t xml:space="preserve">backup plan would be </w:t>
      </w:r>
      <w:r>
        <w:rPr>
          <w:rFonts w:ascii="Times New Roman" w:hAnsi="Times New Roman" w:cs="Times New Roman"/>
          <w:noProof/>
          <w:sz w:val="24"/>
          <w:szCs w:val="24"/>
          <w:lang w:val="en-IE"/>
        </w:rPr>
        <w:t>in</w:t>
      </w:r>
      <w:r w:rsidRPr="00AA3386">
        <w:rPr>
          <w:rFonts w:ascii="Times New Roman" w:hAnsi="Times New Roman" w:cs="Times New Roman"/>
          <w:noProof/>
          <w:sz w:val="24"/>
          <w:szCs w:val="24"/>
          <w:lang w:val="en-IE"/>
        </w:rPr>
        <w:t xml:space="preserve">sufficient to address elevated exposure levels to third-country CCPs and not lead to a risk reduction. </w:t>
      </w:r>
    </w:p>
    <w:p w14:paraId="5FDEC96A" w14:textId="77777777" w:rsidR="008A37AF" w:rsidRPr="008450DA" w:rsidRDefault="008A37AF" w:rsidP="00724804">
      <w:pPr>
        <w:pStyle w:val="ListParagraph"/>
        <w:numPr>
          <w:ilvl w:val="3"/>
          <w:numId w:val="21"/>
        </w:numPr>
        <w:spacing w:after="120" w:line="240" w:lineRule="auto"/>
        <w:ind w:left="426" w:hanging="426"/>
        <w:rPr>
          <w:rFonts w:ascii="Times New Roman" w:hAnsi="Times New Roman" w:cs="Times New Roman"/>
          <w:bCs/>
          <w:i/>
          <w:iCs/>
          <w:noProof/>
          <w:sz w:val="24"/>
          <w:szCs w:val="24"/>
        </w:rPr>
      </w:pPr>
      <w:r w:rsidRPr="008450DA">
        <w:rPr>
          <w:rFonts w:ascii="Times New Roman" w:hAnsi="Times New Roman" w:cs="Times New Roman"/>
          <w:bCs/>
          <w:i/>
          <w:iCs/>
          <w:noProof/>
          <w:sz w:val="24"/>
          <w:szCs w:val="24"/>
        </w:rPr>
        <w:t>Large exposures framework for exposures to systemic qualifying CCPs</w:t>
      </w:r>
    </w:p>
    <w:p w14:paraId="00E1BE0E" w14:textId="77777777" w:rsidR="008A37AF" w:rsidRPr="00AA3386" w:rsidRDefault="008A37AF" w:rsidP="00724804">
      <w:pPr>
        <w:spacing w:after="120" w:line="240" w:lineRule="auto"/>
        <w:jc w:val="both"/>
        <w:rPr>
          <w:rFonts w:ascii="Times New Roman" w:hAnsi="Times New Roman" w:cs="Times New Roman"/>
          <w:noProof/>
          <w:sz w:val="24"/>
          <w:szCs w:val="24"/>
          <w:lang w:val="en-IE"/>
        </w:rPr>
      </w:pPr>
      <w:r w:rsidRPr="00AA3386">
        <w:rPr>
          <w:rFonts w:ascii="Times New Roman" w:hAnsi="Times New Roman" w:cs="Times New Roman"/>
          <w:noProof/>
          <w:sz w:val="24"/>
          <w:szCs w:val="24"/>
        </w:rPr>
        <w:t>Another possibility to reduce the current over-reliance on systemic third-country CCPs would be to set a specific limit to the exposure banks and investment firms can have to a systemic qualifying CCP (QCCP)</w:t>
      </w:r>
      <w:r w:rsidRPr="00AA3386">
        <w:rPr>
          <w:rStyle w:val="FootnoteReference"/>
          <w:rFonts w:ascii="Times New Roman" w:hAnsi="Times New Roman" w:cs="Times New Roman"/>
          <w:noProof/>
          <w:sz w:val="24"/>
          <w:szCs w:val="24"/>
          <w:lang w:val="en-IE"/>
        </w:rPr>
        <w:footnoteReference w:id="186"/>
      </w:r>
      <w:r w:rsidRPr="00AA3386">
        <w:rPr>
          <w:rFonts w:ascii="Times New Roman" w:hAnsi="Times New Roman" w:cs="Times New Roman"/>
          <w:noProof/>
          <w:sz w:val="24"/>
          <w:szCs w:val="24"/>
          <w:lang w:val="en-IE"/>
        </w:rPr>
        <w:t>. A specific concentration limit could be conceived under the “large exposures” regime of the Capital Requirements Regulation, which currently does not restrict exposures to QCCPs</w:t>
      </w:r>
      <w:r w:rsidRPr="00AA3386">
        <w:rPr>
          <w:rStyle w:val="FootnoteReference"/>
          <w:rFonts w:ascii="Times New Roman" w:hAnsi="Times New Roman" w:cs="Times New Roman"/>
          <w:noProof/>
          <w:sz w:val="24"/>
          <w:szCs w:val="24"/>
          <w:lang w:val="en-IE"/>
        </w:rPr>
        <w:footnoteReference w:id="187"/>
      </w:r>
      <w:r w:rsidRPr="00AA3386">
        <w:rPr>
          <w:rFonts w:ascii="Times New Roman" w:hAnsi="Times New Roman" w:cs="Times New Roman"/>
          <w:noProof/>
          <w:sz w:val="24"/>
          <w:szCs w:val="24"/>
          <w:lang w:val="en-IE"/>
        </w:rPr>
        <w:t xml:space="preserve">. The systemic nature of certain QCCPs could justify the introduction of such limit for financial stability reasons. To indirectly reduce the volumes of EU-denominated transactions to “systemic” non-EU QCCPs, this approach should be seen as complementary to the active account option. </w:t>
      </w:r>
    </w:p>
    <w:p w14:paraId="6F44CAB1" w14:textId="77777777" w:rsidR="008A37AF" w:rsidRPr="00AA3386" w:rsidRDefault="008A37AF" w:rsidP="00724804">
      <w:pPr>
        <w:spacing w:after="120" w:line="240" w:lineRule="auto"/>
        <w:jc w:val="both"/>
        <w:rPr>
          <w:rFonts w:ascii="Times New Roman" w:hAnsi="Times New Roman" w:cs="Times New Roman"/>
          <w:noProof/>
          <w:sz w:val="24"/>
          <w:szCs w:val="24"/>
        </w:rPr>
      </w:pPr>
      <w:r w:rsidRPr="00AA3386">
        <w:rPr>
          <w:rFonts w:ascii="Times New Roman" w:hAnsi="Times New Roman" w:cs="Times New Roman"/>
          <w:noProof/>
          <w:sz w:val="24"/>
          <w:szCs w:val="24"/>
        </w:rPr>
        <w:t xml:space="preserve">Five Member States </w:t>
      </w:r>
      <w:r>
        <w:rPr>
          <w:rFonts w:ascii="Times New Roman" w:hAnsi="Times New Roman" w:cs="Times New Roman"/>
          <w:noProof/>
          <w:sz w:val="24"/>
          <w:szCs w:val="24"/>
        </w:rPr>
        <w:t>and</w:t>
      </w:r>
      <w:r w:rsidRPr="00AA3386">
        <w:rPr>
          <w:rFonts w:ascii="Times New Roman" w:hAnsi="Times New Roman" w:cs="Times New Roman"/>
          <w:noProof/>
          <w:sz w:val="24"/>
          <w:szCs w:val="24"/>
        </w:rPr>
        <w:t xml:space="preserve"> </w:t>
      </w:r>
      <w:r>
        <w:rPr>
          <w:rFonts w:ascii="Times New Roman" w:hAnsi="Times New Roman" w:cs="Times New Roman"/>
          <w:noProof/>
          <w:sz w:val="24"/>
          <w:szCs w:val="24"/>
        </w:rPr>
        <w:t>one EU authority</w:t>
      </w:r>
      <w:r w:rsidRPr="00AA3386">
        <w:rPr>
          <w:rFonts w:ascii="Times New Roman" w:hAnsi="Times New Roman" w:cs="Times New Roman"/>
          <w:noProof/>
          <w:sz w:val="24"/>
          <w:szCs w:val="24"/>
        </w:rPr>
        <w:t xml:space="preserve"> were not in favour of a large exposure framework. One Member State </w:t>
      </w:r>
      <w:r>
        <w:rPr>
          <w:rFonts w:ascii="Times New Roman" w:hAnsi="Times New Roman" w:cs="Times New Roman"/>
          <w:noProof/>
          <w:sz w:val="24"/>
          <w:szCs w:val="24"/>
        </w:rPr>
        <w:t>and</w:t>
      </w:r>
      <w:r w:rsidRPr="00AA3386">
        <w:rPr>
          <w:rFonts w:ascii="Times New Roman" w:hAnsi="Times New Roman" w:cs="Times New Roman"/>
          <w:noProof/>
          <w:sz w:val="24"/>
          <w:szCs w:val="24"/>
        </w:rPr>
        <w:t xml:space="preserve"> </w:t>
      </w:r>
      <w:r>
        <w:rPr>
          <w:rFonts w:ascii="Times New Roman" w:hAnsi="Times New Roman" w:cs="Times New Roman"/>
          <w:noProof/>
          <w:sz w:val="24"/>
          <w:szCs w:val="24"/>
        </w:rPr>
        <w:t>the EU authority</w:t>
      </w:r>
      <w:r w:rsidRPr="00AA3386">
        <w:rPr>
          <w:rFonts w:ascii="Times New Roman" w:hAnsi="Times New Roman" w:cs="Times New Roman"/>
          <w:noProof/>
          <w:sz w:val="24"/>
          <w:szCs w:val="24"/>
        </w:rPr>
        <w:t xml:space="preserve"> argued that it might be difficult to calibrate an appropriate exposure level and highlighted that national supervisors are already allowed to impose additional requirements under the current SREP tool. </w:t>
      </w:r>
      <w:r>
        <w:rPr>
          <w:rFonts w:ascii="Times New Roman" w:hAnsi="Times New Roman" w:cs="Times New Roman"/>
          <w:noProof/>
          <w:sz w:val="24"/>
          <w:szCs w:val="24"/>
        </w:rPr>
        <w:t xml:space="preserve">The EU authority </w:t>
      </w:r>
      <w:r w:rsidRPr="00AA3386">
        <w:rPr>
          <w:rFonts w:ascii="Times New Roman" w:hAnsi="Times New Roman" w:cs="Times New Roman"/>
          <w:noProof/>
          <w:sz w:val="24"/>
          <w:szCs w:val="24"/>
        </w:rPr>
        <w:t>argued further that risks related to over-reliance on a systemic third-country CCP may be manageable on a clearing member level but not on a macro level. Therefore, the risk should be addressed at a macro rather than at clearing member level. Two Member States saw disadvantages for EU clearing members compared to banks in other jurisdictions. Another Member State considered a large exposure framework too rigid. One Member State was in favour of a large exposure framework which should target large users while not making it complicated for smaller ones.</w:t>
      </w:r>
    </w:p>
    <w:p w14:paraId="3D20DD91" w14:textId="77777777" w:rsidR="008A37AF" w:rsidRPr="008450DA" w:rsidRDefault="008A37AF" w:rsidP="00724804">
      <w:pPr>
        <w:pStyle w:val="ListParagraph"/>
        <w:numPr>
          <w:ilvl w:val="3"/>
          <w:numId w:val="21"/>
        </w:numPr>
        <w:spacing w:after="120" w:line="240" w:lineRule="auto"/>
        <w:ind w:left="426" w:hanging="426"/>
        <w:rPr>
          <w:rFonts w:ascii="Times New Roman" w:hAnsi="Times New Roman" w:cs="Times New Roman"/>
          <w:bCs/>
          <w:i/>
          <w:iCs/>
          <w:noProof/>
          <w:sz w:val="24"/>
          <w:szCs w:val="24"/>
        </w:rPr>
      </w:pPr>
      <w:r w:rsidRPr="008450DA">
        <w:rPr>
          <w:rFonts w:ascii="Times New Roman" w:hAnsi="Times New Roman" w:cs="Times New Roman"/>
          <w:bCs/>
          <w:i/>
          <w:iCs/>
          <w:noProof/>
          <w:sz w:val="24"/>
          <w:szCs w:val="24"/>
        </w:rPr>
        <w:t>Clearing by public entities</w:t>
      </w:r>
    </w:p>
    <w:p w14:paraId="30E0CD08" w14:textId="77777777" w:rsidR="008A37AF" w:rsidRPr="00AA3386" w:rsidRDefault="008A37AF" w:rsidP="00724804">
      <w:pPr>
        <w:spacing w:after="120" w:line="240" w:lineRule="auto"/>
        <w:jc w:val="both"/>
        <w:rPr>
          <w:rFonts w:ascii="Times New Roman" w:hAnsi="Times New Roman" w:cs="Times New Roman"/>
          <w:noProof/>
          <w:sz w:val="24"/>
          <w:szCs w:val="24"/>
        </w:rPr>
      </w:pPr>
      <w:r w:rsidRPr="00AA3386">
        <w:rPr>
          <w:rFonts w:ascii="Times New Roman" w:hAnsi="Times New Roman" w:cs="Times New Roman"/>
          <w:noProof/>
          <w:sz w:val="24"/>
          <w:szCs w:val="24"/>
        </w:rPr>
        <w:t>Several stakeholders consider that public entities, which are not currently required to clear at a CCP under EMIR</w:t>
      </w:r>
      <w:r w:rsidRPr="00AA3386">
        <w:rPr>
          <w:rStyle w:val="FootnoteReference"/>
          <w:rFonts w:ascii="Times New Roman" w:hAnsi="Times New Roman" w:cs="Times New Roman"/>
          <w:noProof/>
          <w:sz w:val="24"/>
          <w:szCs w:val="24"/>
        </w:rPr>
        <w:footnoteReference w:id="188"/>
      </w:r>
      <w:r w:rsidRPr="00AA3386">
        <w:rPr>
          <w:rFonts w:ascii="Times New Roman" w:hAnsi="Times New Roman" w:cs="Times New Roman"/>
          <w:noProof/>
          <w:sz w:val="24"/>
          <w:szCs w:val="24"/>
        </w:rPr>
        <w:t xml:space="preserve">, should be subject to a clearing obligation and </w:t>
      </w:r>
      <w:r>
        <w:rPr>
          <w:rFonts w:ascii="Times New Roman" w:hAnsi="Times New Roman" w:cs="Times New Roman"/>
          <w:noProof/>
          <w:sz w:val="24"/>
          <w:szCs w:val="24"/>
        </w:rPr>
        <w:t xml:space="preserve">should </w:t>
      </w:r>
      <w:r w:rsidRPr="00AA3386">
        <w:rPr>
          <w:rFonts w:ascii="Times New Roman" w:hAnsi="Times New Roman" w:cs="Times New Roman"/>
          <w:noProof/>
          <w:sz w:val="24"/>
          <w:szCs w:val="24"/>
        </w:rPr>
        <w:t xml:space="preserve">clear at EU CCPs. The rationale is that public entities’ clearing would </w:t>
      </w:r>
      <w:r>
        <w:rPr>
          <w:rFonts w:ascii="Times New Roman" w:hAnsi="Times New Roman" w:cs="Times New Roman"/>
          <w:noProof/>
          <w:sz w:val="24"/>
          <w:szCs w:val="24"/>
        </w:rPr>
        <w:t>help</w:t>
      </w:r>
      <w:r w:rsidRPr="00AA3386">
        <w:rPr>
          <w:rFonts w:ascii="Times New Roman" w:hAnsi="Times New Roman" w:cs="Times New Roman"/>
          <w:noProof/>
          <w:sz w:val="24"/>
          <w:szCs w:val="24"/>
        </w:rPr>
        <w:t xml:space="preserve"> increas</w:t>
      </w:r>
      <w:r>
        <w:rPr>
          <w:rFonts w:ascii="Times New Roman" w:hAnsi="Times New Roman" w:cs="Times New Roman"/>
          <w:noProof/>
          <w:sz w:val="24"/>
          <w:szCs w:val="24"/>
        </w:rPr>
        <w:t>e</w:t>
      </w:r>
      <w:r w:rsidRPr="00AA3386">
        <w:rPr>
          <w:rFonts w:ascii="Times New Roman" w:hAnsi="Times New Roman" w:cs="Times New Roman"/>
          <w:noProof/>
          <w:sz w:val="24"/>
          <w:szCs w:val="24"/>
        </w:rPr>
        <w:t xml:space="preserve"> liquidity at EU CCPs and could be a signal of confidence in EU CCPs. Some public entities already clear some transactions centrally. </w:t>
      </w:r>
    </w:p>
    <w:p w14:paraId="3B267F14" w14:textId="70031F2B" w:rsidR="008A37AF" w:rsidRPr="00AA3386" w:rsidRDefault="008A37AF" w:rsidP="00724804">
      <w:pPr>
        <w:spacing w:after="120" w:line="240" w:lineRule="auto"/>
        <w:jc w:val="both"/>
        <w:rPr>
          <w:rFonts w:ascii="Times New Roman" w:hAnsi="Times New Roman" w:cs="Times New Roman"/>
          <w:noProof/>
          <w:sz w:val="24"/>
          <w:szCs w:val="24"/>
        </w:rPr>
      </w:pPr>
      <w:r w:rsidRPr="00AA3386">
        <w:rPr>
          <w:rFonts w:ascii="Times New Roman" w:hAnsi="Times New Roman" w:cs="Times New Roman"/>
          <w:noProof/>
          <w:sz w:val="24"/>
          <w:szCs w:val="24"/>
        </w:rPr>
        <w:t>Four Member States expressed the view that clearing for public entities should stay voluntary.</w:t>
      </w:r>
      <w:r>
        <w:rPr>
          <w:rFonts w:ascii="Times New Roman" w:hAnsi="Times New Roman" w:cs="Times New Roman"/>
          <w:noProof/>
          <w:sz w:val="24"/>
          <w:szCs w:val="24"/>
        </w:rPr>
        <w:t xml:space="preserve"> </w:t>
      </w:r>
      <w:r w:rsidRPr="00AA3386">
        <w:rPr>
          <w:rFonts w:ascii="Times New Roman" w:hAnsi="Times New Roman" w:cs="Times New Roman"/>
          <w:noProof/>
          <w:sz w:val="24"/>
          <w:szCs w:val="24"/>
        </w:rPr>
        <w:t>Three Member States favour</w:t>
      </w:r>
      <w:r>
        <w:rPr>
          <w:rFonts w:ascii="Times New Roman" w:hAnsi="Times New Roman" w:cs="Times New Roman"/>
          <w:noProof/>
          <w:sz w:val="24"/>
          <w:szCs w:val="24"/>
        </w:rPr>
        <w:t>ed</w:t>
      </w:r>
      <w:r w:rsidRPr="00AA3386">
        <w:rPr>
          <w:rFonts w:ascii="Times New Roman" w:hAnsi="Times New Roman" w:cs="Times New Roman"/>
          <w:noProof/>
          <w:sz w:val="24"/>
          <w:szCs w:val="24"/>
        </w:rPr>
        <w:t xml:space="preserve"> a recommendation for public entities that clear voluntarily to do so at an EU CCP. </w:t>
      </w:r>
      <w:r>
        <w:rPr>
          <w:rFonts w:ascii="Times New Roman" w:hAnsi="Times New Roman" w:cs="Times New Roman"/>
          <w:noProof/>
          <w:sz w:val="24"/>
          <w:szCs w:val="24"/>
        </w:rPr>
        <w:t>One EU authority</w:t>
      </w:r>
      <w:r w:rsidRPr="00AA3386">
        <w:rPr>
          <w:rFonts w:ascii="Times New Roman" w:hAnsi="Times New Roman" w:cs="Times New Roman"/>
          <w:noProof/>
          <w:sz w:val="24"/>
          <w:szCs w:val="24"/>
        </w:rPr>
        <w:t xml:space="preserve"> supported this option too, but elaborated further that in their view only EU currency business should be captured. Another Member State showed openness to this as well. </w:t>
      </w:r>
      <w:r>
        <w:rPr>
          <w:rFonts w:ascii="Times New Roman" w:hAnsi="Times New Roman" w:cs="Times New Roman"/>
          <w:noProof/>
          <w:sz w:val="24"/>
          <w:szCs w:val="24"/>
        </w:rPr>
        <w:t>A</w:t>
      </w:r>
      <w:r w:rsidRPr="00AA3386">
        <w:rPr>
          <w:rFonts w:ascii="Times New Roman" w:hAnsi="Times New Roman" w:cs="Times New Roman"/>
          <w:noProof/>
          <w:sz w:val="24"/>
          <w:szCs w:val="24"/>
        </w:rPr>
        <w:t xml:space="preserve">nother Member State was in favour of certain public entities </w:t>
      </w:r>
      <w:r>
        <w:rPr>
          <w:rFonts w:ascii="Times New Roman" w:hAnsi="Times New Roman" w:cs="Times New Roman"/>
          <w:noProof/>
          <w:sz w:val="24"/>
          <w:szCs w:val="24"/>
        </w:rPr>
        <w:t>being</w:t>
      </w:r>
      <w:r w:rsidRPr="00AA3386">
        <w:rPr>
          <w:rFonts w:ascii="Times New Roman" w:hAnsi="Times New Roman" w:cs="Times New Roman"/>
          <w:noProof/>
          <w:sz w:val="24"/>
          <w:szCs w:val="24"/>
        </w:rPr>
        <w:t xml:space="preserve"> covered by the clearing obligation under EMIR.</w:t>
      </w:r>
    </w:p>
    <w:p w14:paraId="4EE5ED91" w14:textId="77777777" w:rsidR="008A37AF" w:rsidRPr="00AA3386" w:rsidRDefault="008A37AF" w:rsidP="00724804">
      <w:pPr>
        <w:spacing w:after="120" w:line="240" w:lineRule="auto"/>
        <w:jc w:val="both"/>
        <w:rPr>
          <w:rFonts w:ascii="Times New Roman" w:hAnsi="Times New Roman" w:cs="Times New Roman"/>
          <w:noProof/>
          <w:sz w:val="24"/>
          <w:szCs w:val="24"/>
        </w:rPr>
      </w:pPr>
      <w:r w:rsidRPr="00AA3386">
        <w:rPr>
          <w:rFonts w:ascii="Times New Roman" w:hAnsi="Times New Roman" w:cs="Times New Roman"/>
          <w:noProof/>
          <w:sz w:val="24"/>
          <w:szCs w:val="24"/>
        </w:rPr>
        <w:t>One Member State stated that collateral is the most important issue to consider in this context</w:t>
      </w:r>
      <w:r>
        <w:rPr>
          <w:rFonts w:ascii="Times New Roman" w:hAnsi="Times New Roman" w:cs="Times New Roman"/>
          <w:noProof/>
          <w:sz w:val="24"/>
          <w:szCs w:val="24"/>
        </w:rPr>
        <w:t>, pointing</w:t>
      </w:r>
      <w:r w:rsidRPr="00AA3386">
        <w:rPr>
          <w:rFonts w:ascii="Times New Roman" w:hAnsi="Times New Roman" w:cs="Times New Roman"/>
          <w:noProof/>
          <w:sz w:val="24"/>
          <w:szCs w:val="24"/>
        </w:rPr>
        <w:t xml:space="preserve"> out that public entities posting their own collateral would lead to wrong way risk. Public entities not posting collateral at all would create an imbalance between clearing members and in both cases other clearing members would have to cover sovereign risks. Furthermore, it might force certain countries to buy assets from other countries for collateralisation purposes. Two other Member States supported this view.</w:t>
      </w:r>
    </w:p>
    <w:p w14:paraId="65D7C291" w14:textId="77777777" w:rsidR="008A37AF" w:rsidRPr="000735A6" w:rsidRDefault="008A37AF" w:rsidP="000735A6">
      <w:pPr>
        <w:pStyle w:val="ListParagraph"/>
        <w:numPr>
          <w:ilvl w:val="3"/>
          <w:numId w:val="21"/>
        </w:numPr>
        <w:spacing w:after="120" w:line="240" w:lineRule="auto"/>
        <w:ind w:left="426" w:hanging="426"/>
        <w:rPr>
          <w:rFonts w:ascii="Times New Roman" w:hAnsi="Times New Roman" w:cs="Times New Roman"/>
          <w:bCs/>
          <w:i/>
          <w:iCs/>
          <w:noProof/>
          <w:sz w:val="24"/>
          <w:szCs w:val="24"/>
        </w:rPr>
      </w:pPr>
      <w:r w:rsidRPr="000735A6">
        <w:rPr>
          <w:rFonts w:ascii="Times New Roman" w:hAnsi="Times New Roman" w:cs="Times New Roman"/>
          <w:bCs/>
          <w:i/>
          <w:iCs/>
          <w:noProof/>
          <w:sz w:val="24"/>
          <w:szCs w:val="24"/>
        </w:rPr>
        <w:t>Facilitate clearing by clients</w:t>
      </w:r>
    </w:p>
    <w:p w14:paraId="21502E49" w14:textId="77777777" w:rsidR="008A37AF" w:rsidRPr="00AA3386" w:rsidRDefault="008A37AF" w:rsidP="00724804">
      <w:pPr>
        <w:spacing w:after="120" w:line="240" w:lineRule="auto"/>
        <w:jc w:val="both"/>
        <w:rPr>
          <w:rFonts w:ascii="Times New Roman" w:hAnsi="Times New Roman" w:cs="Times New Roman"/>
          <w:noProof/>
          <w:sz w:val="24"/>
          <w:szCs w:val="24"/>
          <w:lang w:val="en-IE"/>
        </w:rPr>
      </w:pPr>
      <w:r w:rsidRPr="00AA3386">
        <w:rPr>
          <w:rFonts w:ascii="Times New Roman" w:hAnsi="Times New Roman" w:cs="Times New Roman"/>
          <w:noProof/>
          <w:sz w:val="24"/>
          <w:szCs w:val="24"/>
          <w:lang w:val="en-IE"/>
        </w:rPr>
        <w:t>Respondents to the public consultation were generally in favour of measures facilitating clearing by clients. In particular, measures proposed could concern insurance companies as well as money market and investment funds, which are subject to the clearing obligation under EMIR. The relevant sectorial legislation do not fully take into account the benefits of central clearing in terms of risk reduction, as the banking framework, for example, does</w:t>
      </w:r>
      <w:r w:rsidRPr="00AA3386">
        <w:rPr>
          <w:rStyle w:val="FootnoteReference"/>
          <w:rFonts w:ascii="Times New Roman" w:hAnsi="Times New Roman" w:cs="Times New Roman"/>
          <w:noProof/>
          <w:sz w:val="24"/>
          <w:szCs w:val="24"/>
          <w:lang w:val="en-IE"/>
        </w:rPr>
        <w:footnoteReference w:id="189"/>
      </w:r>
      <w:r w:rsidRPr="00AA3386">
        <w:rPr>
          <w:rFonts w:ascii="Times New Roman" w:hAnsi="Times New Roman" w:cs="Times New Roman"/>
          <w:noProof/>
          <w:sz w:val="24"/>
          <w:szCs w:val="24"/>
          <w:lang w:val="en-IE"/>
        </w:rPr>
        <w:t xml:space="preserve">. </w:t>
      </w:r>
    </w:p>
    <w:p w14:paraId="1C0C78CB" w14:textId="77777777" w:rsidR="008A37AF" w:rsidRPr="00AA3386" w:rsidRDefault="008A37AF" w:rsidP="00724804">
      <w:pPr>
        <w:spacing w:after="120" w:line="240" w:lineRule="auto"/>
        <w:jc w:val="both"/>
        <w:rPr>
          <w:rFonts w:ascii="Times New Roman" w:hAnsi="Times New Roman" w:cs="Times New Roman"/>
          <w:noProof/>
          <w:sz w:val="24"/>
          <w:szCs w:val="24"/>
          <w:lang w:val="en-IE"/>
        </w:rPr>
      </w:pPr>
      <w:r w:rsidRPr="00AA3386">
        <w:rPr>
          <w:rFonts w:ascii="Times New Roman" w:hAnsi="Times New Roman" w:cs="Times New Roman"/>
          <w:noProof/>
          <w:sz w:val="24"/>
          <w:szCs w:val="24"/>
          <w:lang w:val="en-IE"/>
        </w:rPr>
        <w:t>One Member State supported both options, for insurance companies as well as for UCITS</w:t>
      </w:r>
      <w:r w:rsidRPr="00AA3386">
        <w:rPr>
          <w:rStyle w:val="FootnoteReference"/>
          <w:rFonts w:ascii="Times New Roman" w:hAnsi="Times New Roman" w:cs="Times New Roman"/>
          <w:noProof/>
          <w:sz w:val="24"/>
          <w:szCs w:val="24"/>
          <w:lang w:val="en-IE"/>
        </w:rPr>
        <w:footnoteReference w:id="190"/>
      </w:r>
      <w:r w:rsidRPr="00AA3386">
        <w:rPr>
          <w:rFonts w:ascii="Times New Roman" w:hAnsi="Times New Roman" w:cs="Times New Roman"/>
          <w:noProof/>
          <w:sz w:val="24"/>
          <w:szCs w:val="24"/>
          <w:lang w:val="en-IE"/>
        </w:rPr>
        <w:t xml:space="preserve">. </w:t>
      </w:r>
      <w:r>
        <w:rPr>
          <w:rFonts w:ascii="Times New Roman" w:hAnsi="Times New Roman" w:cs="Times New Roman"/>
          <w:noProof/>
          <w:sz w:val="24"/>
          <w:szCs w:val="24"/>
          <w:lang w:val="en-IE"/>
        </w:rPr>
        <w:t xml:space="preserve">One EU authority </w:t>
      </w:r>
      <w:r w:rsidRPr="00AA3386">
        <w:rPr>
          <w:rFonts w:ascii="Times New Roman" w:hAnsi="Times New Roman" w:cs="Times New Roman"/>
          <w:noProof/>
          <w:sz w:val="24"/>
          <w:szCs w:val="24"/>
          <w:lang w:val="en-IE"/>
        </w:rPr>
        <w:t xml:space="preserve">expressed – in line with its opinion from 2015 - support for revising the exposure limits for OTC derivatives that are cleared centrally for UCITS. Two Member States </w:t>
      </w:r>
      <w:r>
        <w:rPr>
          <w:rFonts w:ascii="Times New Roman" w:hAnsi="Times New Roman" w:cs="Times New Roman"/>
          <w:noProof/>
          <w:sz w:val="24"/>
          <w:szCs w:val="24"/>
          <w:lang w:val="en-IE"/>
        </w:rPr>
        <w:t>were</w:t>
      </w:r>
      <w:r w:rsidRPr="00AA3386">
        <w:rPr>
          <w:rFonts w:ascii="Times New Roman" w:hAnsi="Times New Roman" w:cs="Times New Roman"/>
          <w:noProof/>
          <w:sz w:val="24"/>
          <w:szCs w:val="24"/>
          <w:lang w:val="en-IE"/>
        </w:rPr>
        <w:t xml:space="preserve"> open to explor</w:t>
      </w:r>
      <w:r>
        <w:rPr>
          <w:rFonts w:ascii="Times New Roman" w:hAnsi="Times New Roman" w:cs="Times New Roman"/>
          <w:noProof/>
          <w:sz w:val="24"/>
          <w:szCs w:val="24"/>
          <w:lang w:val="en-IE"/>
        </w:rPr>
        <w:t>ing</w:t>
      </w:r>
      <w:r w:rsidRPr="00AA3386">
        <w:rPr>
          <w:rFonts w:ascii="Times New Roman" w:hAnsi="Times New Roman" w:cs="Times New Roman"/>
          <w:noProof/>
          <w:sz w:val="24"/>
          <w:szCs w:val="24"/>
          <w:lang w:val="en-IE"/>
        </w:rPr>
        <w:t xml:space="preserve"> both options further. </w:t>
      </w:r>
    </w:p>
    <w:p w14:paraId="2582C828" w14:textId="77777777" w:rsidR="008A37AF" w:rsidRPr="008450DA" w:rsidRDefault="008A37AF" w:rsidP="00724804">
      <w:pPr>
        <w:pStyle w:val="ListParagraph"/>
        <w:numPr>
          <w:ilvl w:val="3"/>
          <w:numId w:val="21"/>
        </w:numPr>
        <w:spacing w:after="120" w:line="240" w:lineRule="auto"/>
        <w:ind w:left="426" w:hanging="426"/>
        <w:rPr>
          <w:rFonts w:ascii="Times New Roman" w:hAnsi="Times New Roman" w:cs="Times New Roman"/>
          <w:bCs/>
          <w:i/>
          <w:iCs/>
          <w:noProof/>
          <w:sz w:val="24"/>
          <w:szCs w:val="24"/>
        </w:rPr>
      </w:pPr>
      <w:r w:rsidRPr="008450DA">
        <w:rPr>
          <w:rFonts w:ascii="Times New Roman" w:hAnsi="Times New Roman" w:cs="Times New Roman"/>
          <w:bCs/>
          <w:i/>
          <w:iCs/>
          <w:noProof/>
          <w:sz w:val="24"/>
          <w:szCs w:val="24"/>
        </w:rPr>
        <w:t>Hedge accounting</w:t>
      </w:r>
    </w:p>
    <w:p w14:paraId="25457A27" w14:textId="77777777" w:rsidR="008A37AF" w:rsidRPr="00A2531B" w:rsidRDefault="008A37AF" w:rsidP="00724804">
      <w:pPr>
        <w:spacing w:after="120" w:line="240" w:lineRule="auto"/>
        <w:jc w:val="both"/>
        <w:rPr>
          <w:rFonts w:ascii="Times New Roman" w:hAnsi="Times New Roman" w:cs="Times New Roman"/>
          <w:noProof/>
          <w:sz w:val="24"/>
          <w:szCs w:val="24"/>
          <w:lang w:val="en-IE"/>
        </w:rPr>
      </w:pPr>
      <w:r w:rsidRPr="00AA3386">
        <w:rPr>
          <w:rFonts w:ascii="Times New Roman" w:hAnsi="Times New Roman" w:cs="Times New Roman"/>
          <w:noProof/>
          <w:sz w:val="24"/>
          <w:szCs w:val="24"/>
          <w:lang w:val="en-IE"/>
        </w:rPr>
        <w:t>Another possible measure which received broad support from stakeholders in the consultation concerns hedge accounting rules. According to some stakeholders, there is uncertainty around the application of certain hedge accounting rules (especially national ones, and to a lesser extent IFRS), so that a transfer of positions from a third-country CCP to an EU one could in practice be discouraged. Stakeholders indicated that in case of a switch of positions from a CCP to another one and the novation of derivative contracts used for hedging, there would be uncertainty as to whether or not the related “hedging relationship” should be considered terminated, impacting the profit and loss account</w:t>
      </w:r>
      <w:r w:rsidRPr="00A2531B">
        <w:rPr>
          <w:rStyle w:val="FootnoteReference"/>
          <w:rFonts w:ascii="Times New Roman" w:hAnsi="Times New Roman" w:cs="Times New Roman"/>
          <w:noProof/>
          <w:sz w:val="24"/>
          <w:szCs w:val="24"/>
          <w:lang w:val="en-IE"/>
        </w:rPr>
        <w:footnoteReference w:id="191"/>
      </w:r>
      <w:r w:rsidRPr="00A2531B">
        <w:rPr>
          <w:rFonts w:ascii="Times New Roman" w:hAnsi="Times New Roman" w:cs="Times New Roman"/>
          <w:noProof/>
          <w:sz w:val="24"/>
          <w:szCs w:val="24"/>
          <w:lang w:val="en-IE"/>
        </w:rPr>
        <w:t xml:space="preserve">. </w:t>
      </w:r>
    </w:p>
    <w:p w14:paraId="756BF8EA" w14:textId="77777777" w:rsidR="008A37AF" w:rsidRPr="00AA3386" w:rsidRDefault="008A37AF" w:rsidP="00724804">
      <w:pP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A</w:t>
      </w:r>
      <w:r w:rsidRPr="00AA3386">
        <w:rPr>
          <w:rFonts w:ascii="Times New Roman" w:hAnsi="Times New Roman" w:cs="Times New Roman"/>
          <w:noProof/>
          <w:sz w:val="24"/>
          <w:szCs w:val="24"/>
          <w:lang w:val="en-IE"/>
        </w:rPr>
        <w:t xml:space="preserve"> few Member States took the floor but had no strong views on this matter. One Member State said that it is working on addressing legal issues related to the topic outlined. Another Member State indicated to further look into the issue and expressed the view that a more in-depth assessment would be needed. Two Member States argued there would be no harm in exploring this issue, while another did not express a view on any of the options outlined as they considered them to be interpretative problems.</w:t>
      </w:r>
    </w:p>
    <w:p w14:paraId="4A39258A" w14:textId="77777777" w:rsidR="008A37AF" w:rsidRPr="001C4637" w:rsidRDefault="008A37AF" w:rsidP="00724804">
      <w:pPr>
        <w:pStyle w:val="ListParagraph"/>
        <w:numPr>
          <w:ilvl w:val="2"/>
          <w:numId w:val="21"/>
        </w:numPr>
        <w:spacing w:after="120" w:line="240" w:lineRule="auto"/>
        <w:ind w:left="426" w:hanging="426"/>
        <w:rPr>
          <w:rFonts w:ascii="Times New Roman" w:hAnsi="Times New Roman" w:cs="Times New Roman"/>
          <w:bCs/>
          <w:noProof/>
          <w:sz w:val="24"/>
          <w:szCs w:val="24"/>
        </w:rPr>
      </w:pPr>
      <w:r w:rsidRPr="001C4637">
        <w:rPr>
          <w:rFonts w:ascii="Times New Roman" w:hAnsi="Times New Roman" w:cs="Times New Roman"/>
          <w:bCs/>
          <w:noProof/>
          <w:sz w:val="24"/>
          <w:szCs w:val="24"/>
        </w:rPr>
        <w:t>Supply side Measures</w:t>
      </w:r>
    </w:p>
    <w:p w14:paraId="0D61F4C7" w14:textId="77777777" w:rsidR="008A37AF" w:rsidRPr="008450DA" w:rsidRDefault="008A37AF" w:rsidP="00724804">
      <w:pPr>
        <w:pStyle w:val="ListParagraph"/>
        <w:numPr>
          <w:ilvl w:val="3"/>
          <w:numId w:val="21"/>
        </w:numPr>
        <w:spacing w:after="120" w:line="240" w:lineRule="auto"/>
        <w:ind w:left="426" w:hanging="426"/>
        <w:rPr>
          <w:rFonts w:ascii="Times New Roman" w:hAnsi="Times New Roman" w:cs="Times New Roman"/>
          <w:bCs/>
          <w:i/>
          <w:iCs/>
          <w:noProof/>
          <w:sz w:val="24"/>
          <w:szCs w:val="24"/>
        </w:rPr>
      </w:pPr>
      <w:r w:rsidRPr="008450DA">
        <w:rPr>
          <w:rFonts w:ascii="Times New Roman" w:hAnsi="Times New Roman" w:cs="Times New Roman"/>
          <w:bCs/>
          <w:i/>
          <w:iCs/>
          <w:noProof/>
          <w:sz w:val="24"/>
          <w:szCs w:val="24"/>
        </w:rPr>
        <w:t>Simplification of long, burdensome and complex EMIR procedures</w:t>
      </w:r>
    </w:p>
    <w:p w14:paraId="01F84160" w14:textId="77777777" w:rsidR="008A37AF" w:rsidRPr="00AA3386" w:rsidRDefault="008A37AF" w:rsidP="00724804">
      <w:pPr>
        <w:spacing w:after="120" w:line="240" w:lineRule="auto"/>
        <w:jc w:val="both"/>
        <w:rPr>
          <w:rFonts w:ascii="Times New Roman" w:hAnsi="Times New Roman" w:cs="Times New Roman"/>
          <w:noProof/>
          <w:sz w:val="24"/>
          <w:szCs w:val="24"/>
        </w:rPr>
      </w:pPr>
      <w:r w:rsidRPr="00AA3386">
        <w:rPr>
          <w:rFonts w:ascii="Times New Roman" w:hAnsi="Times New Roman" w:cs="Times New Roman"/>
          <w:noProof/>
          <w:sz w:val="24"/>
          <w:szCs w:val="24"/>
        </w:rPr>
        <w:t>According to the feedback received EU CCPs face complex, lengthy and burdensome procedures in their interaction with their supervisors and the other relevant authorities and bodies as part of the current EMIR framework. They seem to be of particular concern when an EU CCP wishes to extend the activities and services it offers (Article 15</w:t>
      </w:r>
      <w:r>
        <w:rPr>
          <w:rFonts w:ascii="Times New Roman" w:hAnsi="Times New Roman" w:cs="Times New Roman"/>
          <w:noProof/>
          <w:sz w:val="24"/>
          <w:szCs w:val="24"/>
        </w:rPr>
        <w:t>,</w:t>
      </w:r>
      <w:r w:rsidRPr="00AA3386">
        <w:rPr>
          <w:rFonts w:ascii="Times New Roman" w:hAnsi="Times New Roman" w:cs="Times New Roman"/>
          <w:noProof/>
          <w:sz w:val="24"/>
          <w:szCs w:val="24"/>
        </w:rPr>
        <w:t xml:space="preserve"> EMIR) or to bring significant changes to its models and model parameters (Article 49</w:t>
      </w:r>
      <w:r>
        <w:rPr>
          <w:rFonts w:ascii="Times New Roman" w:hAnsi="Times New Roman" w:cs="Times New Roman"/>
          <w:noProof/>
          <w:sz w:val="24"/>
          <w:szCs w:val="24"/>
        </w:rPr>
        <w:t>,</w:t>
      </w:r>
      <w:r w:rsidRPr="00AA3386">
        <w:rPr>
          <w:rFonts w:ascii="Times New Roman" w:hAnsi="Times New Roman" w:cs="Times New Roman"/>
          <w:noProof/>
          <w:sz w:val="24"/>
          <w:szCs w:val="24"/>
        </w:rPr>
        <w:t xml:space="preserve"> EMIR). The complexity and length of such procedures affect the ability of EU CCPs to compete.</w:t>
      </w:r>
    </w:p>
    <w:p w14:paraId="2BF0B381" w14:textId="77777777" w:rsidR="008A37AF" w:rsidRPr="00AA3386" w:rsidRDefault="008A37AF" w:rsidP="00724804">
      <w:pPr>
        <w:spacing w:after="120" w:line="240" w:lineRule="auto"/>
        <w:jc w:val="both"/>
        <w:rPr>
          <w:rFonts w:ascii="Times New Roman" w:hAnsi="Times New Roman" w:cs="Times New Roman"/>
          <w:noProof/>
          <w:sz w:val="24"/>
          <w:szCs w:val="24"/>
        </w:rPr>
      </w:pPr>
      <w:r w:rsidRPr="00AA3386">
        <w:rPr>
          <w:rFonts w:ascii="Times New Roman" w:hAnsi="Times New Roman" w:cs="Times New Roman"/>
          <w:noProof/>
          <w:sz w:val="24"/>
          <w:szCs w:val="24"/>
        </w:rPr>
        <w:t xml:space="preserve">Member States agreed that </w:t>
      </w:r>
      <w:r w:rsidRPr="002267C8">
        <w:rPr>
          <w:rFonts w:ascii="Times New Roman" w:hAnsi="Times New Roman" w:cs="Times New Roman"/>
          <w:noProof/>
          <w:sz w:val="24"/>
          <w:szCs w:val="24"/>
        </w:rPr>
        <w:t>procedures under Article 15 and 49 EMIR should be more efficient and the processes improved. Most representatives who expressed their view favoured exploring the setting up of a singl</w:t>
      </w:r>
      <w:r w:rsidRPr="00AA3386">
        <w:rPr>
          <w:rFonts w:ascii="Times New Roman" w:hAnsi="Times New Roman" w:cs="Times New Roman"/>
          <w:noProof/>
          <w:sz w:val="24"/>
          <w:szCs w:val="24"/>
        </w:rPr>
        <w:t>e point of contact where all CCP submissions could take place via a single digital platform and be immediately shared with the national competent authority (NCA), ESMA and the other authorities involved in that CCP’s supervision (e.g. college members). This would ensure work can be conducted in parallel, possibly shortening the process considerably. Another option that most Member States who expressed an opinion considered worth exploring further was to standardise more the documentation to be submitted by EU CCPs.</w:t>
      </w:r>
    </w:p>
    <w:p w14:paraId="76C61E5C" w14:textId="650E3D59" w:rsidR="008A37AF" w:rsidRPr="00AA3386" w:rsidRDefault="008A37AF" w:rsidP="00724804">
      <w:pPr>
        <w:spacing w:after="120" w:line="240" w:lineRule="auto"/>
        <w:jc w:val="both"/>
        <w:rPr>
          <w:rFonts w:ascii="Times New Roman" w:hAnsi="Times New Roman" w:cs="Times New Roman"/>
          <w:noProof/>
          <w:sz w:val="24"/>
          <w:szCs w:val="24"/>
        </w:rPr>
      </w:pPr>
      <w:r w:rsidRPr="00AA3386">
        <w:rPr>
          <w:rFonts w:ascii="Times New Roman" w:hAnsi="Times New Roman" w:cs="Times New Roman"/>
          <w:noProof/>
          <w:sz w:val="24"/>
          <w:szCs w:val="24"/>
        </w:rPr>
        <w:t xml:space="preserve">Three Member States suggested to further look into ex-post approval/review as done in some other jurisdictions which allow CCPs to launch new products in asset classes already cleared under an ex-post approval/review process as well as a self-certification process for some rules changes. However, Member States experts pointed to the need to carefully frame such approaches. One Member State particularly highlighted that this option should only be available if non systemic risks are concerned. </w:t>
      </w:r>
    </w:p>
    <w:p w14:paraId="78EDBB52" w14:textId="77777777" w:rsidR="008A37AF" w:rsidRPr="008450DA" w:rsidRDefault="008A37AF" w:rsidP="00724804">
      <w:pPr>
        <w:pStyle w:val="ListParagraph"/>
        <w:numPr>
          <w:ilvl w:val="3"/>
          <w:numId w:val="21"/>
        </w:numPr>
        <w:spacing w:after="120" w:line="240" w:lineRule="auto"/>
        <w:ind w:left="426" w:hanging="426"/>
        <w:rPr>
          <w:rFonts w:ascii="Times New Roman" w:hAnsi="Times New Roman" w:cs="Times New Roman"/>
          <w:bCs/>
          <w:i/>
          <w:iCs/>
          <w:noProof/>
          <w:sz w:val="24"/>
          <w:szCs w:val="24"/>
        </w:rPr>
      </w:pPr>
      <w:r w:rsidRPr="008450DA">
        <w:rPr>
          <w:rFonts w:ascii="Times New Roman" w:hAnsi="Times New Roman" w:cs="Times New Roman"/>
          <w:bCs/>
          <w:i/>
          <w:iCs/>
          <w:noProof/>
          <w:sz w:val="24"/>
          <w:szCs w:val="24"/>
        </w:rPr>
        <w:t>Central bank related measures</w:t>
      </w:r>
    </w:p>
    <w:p w14:paraId="5338250F" w14:textId="77777777" w:rsidR="008A37AF" w:rsidRPr="00AA3386" w:rsidRDefault="008A37AF" w:rsidP="00724804">
      <w:pPr>
        <w:spacing w:after="120" w:line="240" w:lineRule="auto"/>
        <w:jc w:val="both"/>
        <w:rPr>
          <w:rFonts w:ascii="Times New Roman" w:hAnsi="Times New Roman" w:cs="Times New Roman"/>
          <w:noProof/>
          <w:sz w:val="24"/>
          <w:szCs w:val="24"/>
        </w:rPr>
      </w:pPr>
      <w:r w:rsidRPr="00AA3386">
        <w:rPr>
          <w:rFonts w:ascii="Times New Roman" w:hAnsi="Times New Roman" w:cs="Times New Roman"/>
          <w:noProof/>
          <w:sz w:val="24"/>
          <w:szCs w:val="24"/>
        </w:rPr>
        <w:t>Respondents to the consultation broadly support potential enhancement of the central clearing framework which are in the remit of central banks. In the consultation, market participants argue that giving EU CCPs the same level of access to central bank facilities irrespective of them having a banking license would make EU CCPs safer by limiting their dependency on commercial banks, allowing them to better manage risks. Two concrete measures were suggested: allowing CCPs to accept payments in central bank money in all EU currencies ideally without interruption (24-hour service) or over an extended time range and granting access to central bank deposit and liquidity facilities (emergency or routine) for all EU CCPs regardless of whether they have a banking license in a harmonised manner.</w:t>
      </w:r>
    </w:p>
    <w:p w14:paraId="2BF29C6C" w14:textId="77777777" w:rsidR="008A37AF" w:rsidRPr="00AA3386" w:rsidRDefault="008A37AF" w:rsidP="00724804">
      <w:pPr>
        <w:spacing w:after="120" w:line="240" w:lineRule="auto"/>
        <w:jc w:val="both"/>
        <w:rPr>
          <w:rFonts w:ascii="Times New Roman" w:hAnsi="Times New Roman" w:cs="Times New Roman"/>
          <w:noProof/>
          <w:sz w:val="24"/>
          <w:szCs w:val="24"/>
        </w:rPr>
      </w:pPr>
      <w:r w:rsidRPr="00AA3386">
        <w:rPr>
          <w:rFonts w:ascii="Times New Roman" w:hAnsi="Times New Roman" w:cs="Times New Roman"/>
          <w:noProof/>
          <w:sz w:val="24"/>
          <w:szCs w:val="24"/>
        </w:rPr>
        <w:t xml:space="preserve">Only few Member States and </w:t>
      </w:r>
      <w:r>
        <w:rPr>
          <w:rFonts w:ascii="Times New Roman" w:hAnsi="Times New Roman" w:cs="Times New Roman"/>
          <w:noProof/>
          <w:sz w:val="24"/>
          <w:szCs w:val="24"/>
        </w:rPr>
        <w:t>one EU authority</w:t>
      </w:r>
      <w:r w:rsidRPr="00AA3386">
        <w:rPr>
          <w:rFonts w:ascii="Times New Roman" w:hAnsi="Times New Roman" w:cs="Times New Roman"/>
          <w:noProof/>
          <w:sz w:val="24"/>
          <w:szCs w:val="24"/>
        </w:rPr>
        <w:t xml:space="preserve"> expressed a view</w:t>
      </w:r>
      <w:r>
        <w:rPr>
          <w:rFonts w:ascii="Times New Roman" w:hAnsi="Times New Roman" w:cs="Times New Roman"/>
          <w:noProof/>
          <w:sz w:val="24"/>
          <w:szCs w:val="24"/>
        </w:rPr>
        <w:t>. V</w:t>
      </w:r>
      <w:r w:rsidRPr="00AA3386">
        <w:rPr>
          <w:rFonts w:ascii="Times New Roman" w:hAnsi="Times New Roman" w:cs="Times New Roman"/>
          <w:noProof/>
          <w:sz w:val="24"/>
          <w:szCs w:val="24"/>
        </w:rPr>
        <w:t>iews were split. While around half said that these issues should be discussed in the monetary framework rather than under EMIR, the other half welcomed the suggestions and encouraged the ECB and ESCB to further engage in dialogue with CCPs to discuss potential improvements.</w:t>
      </w:r>
    </w:p>
    <w:p w14:paraId="1567AB43" w14:textId="77777777" w:rsidR="008A37AF" w:rsidRPr="000735A6" w:rsidRDefault="008A37AF" w:rsidP="000735A6">
      <w:pPr>
        <w:pStyle w:val="ListParagraph"/>
        <w:numPr>
          <w:ilvl w:val="3"/>
          <w:numId w:val="21"/>
        </w:numPr>
        <w:spacing w:after="120" w:line="240" w:lineRule="auto"/>
        <w:ind w:left="426" w:hanging="426"/>
        <w:rPr>
          <w:rFonts w:ascii="Times New Roman" w:hAnsi="Times New Roman" w:cs="Times New Roman"/>
          <w:bCs/>
          <w:i/>
          <w:iCs/>
          <w:noProof/>
          <w:sz w:val="24"/>
          <w:szCs w:val="24"/>
        </w:rPr>
      </w:pPr>
      <w:r w:rsidRPr="000735A6">
        <w:rPr>
          <w:rFonts w:ascii="Times New Roman" w:hAnsi="Times New Roman" w:cs="Times New Roman"/>
          <w:bCs/>
          <w:i/>
          <w:iCs/>
          <w:noProof/>
          <w:sz w:val="24"/>
          <w:szCs w:val="24"/>
        </w:rPr>
        <w:t>Other issues</w:t>
      </w:r>
    </w:p>
    <w:p w14:paraId="4521DC84" w14:textId="77777777" w:rsidR="008A37AF" w:rsidRPr="00AA3386" w:rsidRDefault="008A37AF" w:rsidP="00724804">
      <w:pPr>
        <w:spacing w:after="120" w:line="240" w:lineRule="auto"/>
        <w:jc w:val="both"/>
        <w:rPr>
          <w:rFonts w:ascii="Times New Roman" w:hAnsi="Times New Roman" w:cs="Times New Roman"/>
          <w:noProof/>
          <w:sz w:val="24"/>
          <w:szCs w:val="24"/>
        </w:rPr>
      </w:pPr>
      <w:r w:rsidRPr="00AA3386">
        <w:rPr>
          <w:rFonts w:ascii="Times New Roman" w:hAnsi="Times New Roman" w:cs="Times New Roman"/>
          <w:noProof/>
          <w:sz w:val="24"/>
          <w:szCs w:val="24"/>
        </w:rPr>
        <w:t xml:space="preserve">Regarding other issues, a potential requirement for segregated default funds for different asset classes, potential changes to the investment policy as well as eligible collateral were discussed. </w:t>
      </w:r>
      <w:r>
        <w:rPr>
          <w:rFonts w:ascii="Times New Roman" w:hAnsi="Times New Roman" w:cs="Times New Roman"/>
          <w:noProof/>
          <w:sz w:val="24"/>
          <w:szCs w:val="24"/>
        </w:rPr>
        <w:t>O</w:t>
      </w:r>
      <w:r w:rsidRPr="00AA3386">
        <w:rPr>
          <w:rFonts w:ascii="Times New Roman" w:hAnsi="Times New Roman" w:cs="Times New Roman"/>
          <w:noProof/>
          <w:sz w:val="24"/>
          <w:szCs w:val="24"/>
        </w:rPr>
        <w:t xml:space="preserve">nly </w:t>
      </w:r>
      <w:r>
        <w:rPr>
          <w:rFonts w:ascii="Times New Roman" w:hAnsi="Times New Roman" w:cs="Times New Roman"/>
          <w:noProof/>
          <w:sz w:val="24"/>
          <w:szCs w:val="24"/>
        </w:rPr>
        <w:t xml:space="preserve">a </w:t>
      </w:r>
      <w:r w:rsidRPr="00AA3386">
        <w:rPr>
          <w:rFonts w:ascii="Times New Roman" w:hAnsi="Times New Roman" w:cs="Times New Roman"/>
          <w:noProof/>
          <w:sz w:val="24"/>
          <w:szCs w:val="24"/>
        </w:rPr>
        <w:t xml:space="preserve">few opinions were provided, expressing concerns </w:t>
      </w:r>
      <w:r>
        <w:rPr>
          <w:rFonts w:ascii="Times New Roman" w:hAnsi="Times New Roman" w:cs="Times New Roman"/>
          <w:noProof/>
          <w:sz w:val="24"/>
          <w:szCs w:val="24"/>
        </w:rPr>
        <w:t xml:space="preserve">rather </w:t>
      </w:r>
      <w:r w:rsidRPr="00AA3386">
        <w:rPr>
          <w:rFonts w:ascii="Times New Roman" w:hAnsi="Times New Roman" w:cs="Times New Roman"/>
          <w:noProof/>
          <w:sz w:val="24"/>
          <w:szCs w:val="24"/>
        </w:rPr>
        <w:t xml:space="preserve">than support. </w:t>
      </w:r>
    </w:p>
    <w:p w14:paraId="3F15901E" w14:textId="77777777" w:rsidR="008A37AF" w:rsidRPr="00AA3386" w:rsidRDefault="008A37AF" w:rsidP="00724804">
      <w:pPr>
        <w:spacing w:after="120" w:line="240" w:lineRule="auto"/>
        <w:jc w:val="both"/>
        <w:rPr>
          <w:rFonts w:ascii="Times New Roman" w:hAnsi="Times New Roman" w:cs="Times New Roman"/>
          <w:noProof/>
          <w:sz w:val="24"/>
          <w:szCs w:val="24"/>
        </w:rPr>
      </w:pPr>
      <w:r w:rsidRPr="00AA3386">
        <w:rPr>
          <w:rFonts w:ascii="Times New Roman" w:hAnsi="Times New Roman" w:cs="Times New Roman"/>
          <w:noProof/>
          <w:sz w:val="24"/>
          <w:szCs w:val="24"/>
        </w:rPr>
        <w:t xml:space="preserve">Regarding eligible collateral, two Member State expressed concerns regarding emission allowances being considered highly liquid. Another argued that a review of eligible collateral might be worth considering for commodity derivatives and in particular energy derivatives. One Member State stated that there was no need for segregated default funds for different asset classes as EMIR creates obstacles for segregated default funds. One Member State indicated </w:t>
      </w:r>
      <w:r>
        <w:rPr>
          <w:rFonts w:ascii="Times New Roman" w:hAnsi="Times New Roman" w:cs="Times New Roman"/>
          <w:noProof/>
          <w:sz w:val="24"/>
          <w:szCs w:val="24"/>
        </w:rPr>
        <w:t>itself</w:t>
      </w:r>
      <w:r w:rsidRPr="00AA3386">
        <w:rPr>
          <w:rFonts w:ascii="Times New Roman" w:hAnsi="Times New Roman" w:cs="Times New Roman"/>
          <w:noProof/>
          <w:sz w:val="24"/>
          <w:szCs w:val="24"/>
        </w:rPr>
        <w:t xml:space="preserve"> reluctant to any changes regarding the three issues mentioned as none would enforce EU CCPs attractiveness, while another Member State </w:t>
      </w:r>
      <w:r>
        <w:rPr>
          <w:rFonts w:ascii="Times New Roman" w:hAnsi="Times New Roman" w:cs="Times New Roman"/>
          <w:noProof/>
          <w:sz w:val="24"/>
          <w:szCs w:val="24"/>
        </w:rPr>
        <w:t>considered itself</w:t>
      </w:r>
      <w:r w:rsidRPr="00AA3386">
        <w:rPr>
          <w:rFonts w:ascii="Times New Roman" w:hAnsi="Times New Roman" w:cs="Times New Roman"/>
          <w:noProof/>
          <w:sz w:val="24"/>
          <w:szCs w:val="24"/>
        </w:rPr>
        <w:t xml:space="preserve"> open to amendments, especially regarding investment policy.</w:t>
      </w:r>
    </w:p>
    <w:p w14:paraId="39469269" w14:textId="77777777" w:rsidR="008A37AF" w:rsidRPr="001C4637" w:rsidRDefault="008A37AF" w:rsidP="00724804">
      <w:pPr>
        <w:pStyle w:val="ListParagraph"/>
        <w:numPr>
          <w:ilvl w:val="2"/>
          <w:numId w:val="21"/>
        </w:numPr>
        <w:spacing w:after="120" w:line="240" w:lineRule="auto"/>
        <w:ind w:left="426" w:hanging="426"/>
        <w:rPr>
          <w:rFonts w:ascii="Times New Roman" w:hAnsi="Times New Roman" w:cs="Times New Roman"/>
          <w:bCs/>
          <w:noProof/>
          <w:sz w:val="24"/>
          <w:szCs w:val="24"/>
        </w:rPr>
      </w:pPr>
      <w:r w:rsidRPr="001C4637">
        <w:rPr>
          <w:rFonts w:ascii="Times New Roman" w:hAnsi="Times New Roman" w:cs="Times New Roman"/>
          <w:bCs/>
          <w:noProof/>
          <w:sz w:val="24"/>
          <w:szCs w:val="24"/>
        </w:rPr>
        <w:t>Supervision – Elements to be improved in EU CCP supervision</w:t>
      </w:r>
    </w:p>
    <w:p w14:paraId="636B92DF" w14:textId="77777777" w:rsidR="008A37AF" w:rsidRPr="00AA3386" w:rsidRDefault="008A37AF" w:rsidP="00724804">
      <w:pPr>
        <w:spacing w:after="120" w:line="240" w:lineRule="auto"/>
        <w:jc w:val="both"/>
        <w:rPr>
          <w:rFonts w:ascii="Times New Roman" w:hAnsi="Times New Roman" w:cs="Times New Roman"/>
          <w:noProof/>
          <w:sz w:val="24"/>
          <w:szCs w:val="24"/>
          <w:lang w:val="en-IE"/>
        </w:rPr>
      </w:pPr>
      <w:r w:rsidRPr="00AA3386">
        <w:rPr>
          <w:rFonts w:ascii="Times New Roman" w:hAnsi="Times New Roman" w:cs="Times New Roman"/>
          <w:noProof/>
          <w:sz w:val="24"/>
          <w:szCs w:val="24"/>
        </w:rPr>
        <w:t>Improved attractiveness, competitiveness and capacity of EU CCPs should, over time, lead to significant additional volumes of clearing in the EU, increased activities in EU CCPs and therefore increased cross-border activity within the EU. In this context, further consideration should be given on how to ensure that the related risks could be appropriately managed through a robust and efficiently functioning system for the supervision of EU CCPs. Two options were suggested</w:t>
      </w:r>
      <w:r>
        <w:rPr>
          <w:rFonts w:ascii="Times New Roman" w:hAnsi="Times New Roman" w:cs="Times New Roman"/>
          <w:noProof/>
          <w:sz w:val="24"/>
          <w:szCs w:val="24"/>
        </w:rPr>
        <w:t>;</w:t>
      </w:r>
      <w:r w:rsidRPr="00AA3386">
        <w:rPr>
          <w:rFonts w:ascii="Times New Roman" w:hAnsi="Times New Roman" w:cs="Times New Roman"/>
          <w:noProof/>
          <w:sz w:val="24"/>
          <w:szCs w:val="24"/>
        </w:rPr>
        <w:t xml:space="preserve"> the supervision of all or certain EU CCPs at EU level and the enhancement of the EMIR 2.2 supervisory framework.</w:t>
      </w:r>
    </w:p>
    <w:p w14:paraId="30EE4EDA" w14:textId="77777777" w:rsidR="008A37AF" w:rsidRPr="00AA3386" w:rsidRDefault="008A37AF" w:rsidP="00724804">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One EU authority</w:t>
      </w:r>
      <w:r w:rsidRPr="00AA3386">
        <w:rPr>
          <w:rFonts w:ascii="Times New Roman" w:hAnsi="Times New Roman" w:cs="Times New Roman"/>
          <w:noProof/>
          <w:sz w:val="24"/>
          <w:szCs w:val="24"/>
        </w:rPr>
        <w:t xml:space="preserve"> </w:t>
      </w:r>
      <w:r>
        <w:rPr>
          <w:rFonts w:ascii="Times New Roman" w:hAnsi="Times New Roman" w:cs="Times New Roman"/>
          <w:noProof/>
          <w:sz w:val="24"/>
          <w:szCs w:val="24"/>
        </w:rPr>
        <w:t>stated</w:t>
      </w:r>
      <w:r w:rsidRPr="00AA3386">
        <w:rPr>
          <w:rFonts w:ascii="Times New Roman" w:hAnsi="Times New Roman" w:cs="Times New Roman"/>
          <w:noProof/>
          <w:sz w:val="24"/>
          <w:szCs w:val="24"/>
        </w:rPr>
        <w:t xml:space="preserve"> they have more insight in third-country CCPs than in the EU ones and are of the opinion that this should change. </w:t>
      </w:r>
      <w:r>
        <w:rPr>
          <w:rFonts w:ascii="Times New Roman" w:hAnsi="Times New Roman" w:cs="Times New Roman"/>
          <w:noProof/>
          <w:sz w:val="24"/>
          <w:szCs w:val="24"/>
        </w:rPr>
        <w:t>Another EU authority</w:t>
      </w:r>
      <w:r w:rsidRPr="00AA3386">
        <w:rPr>
          <w:rFonts w:ascii="Times New Roman" w:hAnsi="Times New Roman" w:cs="Times New Roman"/>
          <w:noProof/>
          <w:sz w:val="24"/>
          <w:szCs w:val="24"/>
        </w:rPr>
        <w:t xml:space="preserve"> agreed that the latter should have a more important role in the supervision of EU CCPs</w:t>
      </w:r>
      <w:r>
        <w:rPr>
          <w:rFonts w:ascii="Times New Roman" w:hAnsi="Times New Roman" w:cs="Times New Roman"/>
          <w:noProof/>
          <w:sz w:val="24"/>
          <w:szCs w:val="24"/>
        </w:rPr>
        <w:t xml:space="preserve">, in particular </w:t>
      </w:r>
      <w:r w:rsidRPr="00AA3386">
        <w:rPr>
          <w:rFonts w:ascii="Times New Roman" w:hAnsi="Times New Roman" w:cs="Times New Roman"/>
          <w:noProof/>
          <w:sz w:val="24"/>
          <w:szCs w:val="24"/>
        </w:rPr>
        <w:t xml:space="preserve">in coordinating responses at times of crises. </w:t>
      </w:r>
    </w:p>
    <w:p w14:paraId="4153D2DE" w14:textId="67D23D6C" w:rsidR="008A37AF" w:rsidRPr="00AA3386" w:rsidRDefault="008A37AF" w:rsidP="00724804">
      <w:pPr>
        <w:spacing w:after="120" w:line="240" w:lineRule="auto"/>
        <w:jc w:val="both"/>
        <w:rPr>
          <w:rFonts w:ascii="Times New Roman" w:hAnsi="Times New Roman" w:cs="Times New Roman"/>
          <w:noProof/>
          <w:sz w:val="24"/>
          <w:szCs w:val="24"/>
        </w:rPr>
      </w:pPr>
      <w:r w:rsidRPr="00AA3386">
        <w:rPr>
          <w:rFonts w:ascii="Times New Roman" w:hAnsi="Times New Roman" w:cs="Times New Roman"/>
          <w:noProof/>
          <w:sz w:val="24"/>
          <w:szCs w:val="24"/>
        </w:rPr>
        <w:t>Six Member States expressed the view that supervision should not be fundamentally changed by granting ESMA with the power to supervise some or all EU CCPs. Two of them stated</w:t>
      </w:r>
      <w:r>
        <w:rPr>
          <w:rFonts w:ascii="Times New Roman" w:hAnsi="Times New Roman" w:cs="Times New Roman"/>
          <w:noProof/>
          <w:sz w:val="24"/>
          <w:szCs w:val="24"/>
        </w:rPr>
        <w:t xml:space="preserve"> </w:t>
      </w:r>
      <w:r w:rsidRPr="00AA3386">
        <w:rPr>
          <w:rFonts w:ascii="Times New Roman" w:hAnsi="Times New Roman" w:cs="Times New Roman"/>
          <w:noProof/>
          <w:sz w:val="24"/>
          <w:szCs w:val="24"/>
        </w:rPr>
        <w:t>that fiscal responsibility should go hand in hand with supervisory responsibility and therefore were clearly against the supervision of all or certain EU CCPs at EU level. Three others agreed that an enhancement of the EMIR 2.2. supervisory framework would be sufficient, while the other Member State said that changes to the supervisory framework might require changes to the CCP Recovery and Resolution Regulation</w:t>
      </w:r>
      <w:r w:rsidRPr="00AA3386">
        <w:rPr>
          <w:rStyle w:val="FootnoteReference"/>
          <w:rFonts w:ascii="Times New Roman" w:hAnsi="Times New Roman" w:cs="Times New Roman"/>
          <w:noProof/>
          <w:sz w:val="24"/>
          <w:szCs w:val="24"/>
        </w:rPr>
        <w:footnoteReference w:id="192"/>
      </w:r>
      <w:r>
        <w:rPr>
          <w:rFonts w:ascii="Times New Roman" w:hAnsi="Times New Roman" w:cs="Times New Roman"/>
          <w:noProof/>
          <w:sz w:val="24"/>
          <w:szCs w:val="24"/>
        </w:rPr>
        <w:t xml:space="preserve"> </w:t>
      </w:r>
      <w:r w:rsidRPr="00AA3386">
        <w:rPr>
          <w:rFonts w:ascii="Times New Roman" w:hAnsi="Times New Roman" w:cs="Times New Roman"/>
          <w:noProof/>
          <w:sz w:val="24"/>
          <w:szCs w:val="24"/>
        </w:rPr>
        <w:t>(CCP RRR)</w:t>
      </w:r>
      <w:r>
        <w:rPr>
          <w:rFonts w:ascii="Times New Roman" w:hAnsi="Times New Roman" w:cs="Times New Roman"/>
          <w:noProof/>
          <w:sz w:val="24"/>
          <w:szCs w:val="24"/>
        </w:rPr>
        <w:t xml:space="preserve"> </w:t>
      </w:r>
      <w:r w:rsidRPr="00AA3386">
        <w:rPr>
          <w:rFonts w:ascii="Times New Roman" w:hAnsi="Times New Roman" w:cs="Times New Roman"/>
          <w:noProof/>
          <w:sz w:val="24"/>
          <w:szCs w:val="24"/>
        </w:rPr>
        <w:t xml:space="preserve">while the need to ensure alignment between supervisory and fiscal responsibility should not be exaggerated </w:t>
      </w:r>
      <w:r>
        <w:rPr>
          <w:rFonts w:ascii="Times New Roman" w:hAnsi="Times New Roman" w:cs="Times New Roman"/>
          <w:noProof/>
          <w:sz w:val="24"/>
          <w:szCs w:val="24"/>
        </w:rPr>
        <w:t>and</w:t>
      </w:r>
      <w:r w:rsidRPr="00AA3386">
        <w:rPr>
          <w:rFonts w:ascii="Times New Roman" w:hAnsi="Times New Roman" w:cs="Times New Roman"/>
          <w:noProof/>
          <w:sz w:val="24"/>
          <w:szCs w:val="24"/>
        </w:rPr>
        <w:t xml:space="preserve"> they are still against reopening the CCP RRR. One Member State said that while it was reluctant to changes to ESMA’s responsibility it was in favour of strengthening ESMA’s coordinating function in emergency situations as well as introducing a stronger cross-sectoral monitoring mechanism </w:t>
      </w:r>
      <w:r>
        <w:rPr>
          <w:rFonts w:ascii="Times New Roman" w:hAnsi="Times New Roman" w:cs="Times New Roman"/>
          <w:noProof/>
          <w:sz w:val="24"/>
          <w:szCs w:val="24"/>
        </w:rPr>
        <w:t>for</w:t>
      </w:r>
      <w:r w:rsidRPr="00AA3386">
        <w:rPr>
          <w:rFonts w:ascii="Times New Roman" w:hAnsi="Times New Roman" w:cs="Times New Roman"/>
          <w:noProof/>
          <w:sz w:val="24"/>
          <w:szCs w:val="24"/>
        </w:rPr>
        <w:t xml:space="preserve"> the EU’s exposures to Tier 2 CCPs. Furthermore, it was not in favour of mixed supervisory teams due to the lack of clear responsibilities.</w:t>
      </w:r>
      <w:r>
        <w:rPr>
          <w:rFonts w:ascii="Times New Roman" w:hAnsi="Times New Roman" w:cs="Times New Roman"/>
          <w:noProof/>
          <w:sz w:val="24"/>
          <w:szCs w:val="24"/>
        </w:rPr>
        <w:t xml:space="preserve"> </w:t>
      </w:r>
      <w:r w:rsidRPr="00AA3386">
        <w:rPr>
          <w:rFonts w:ascii="Times New Roman" w:hAnsi="Times New Roman" w:cs="Times New Roman"/>
          <w:noProof/>
          <w:sz w:val="24"/>
          <w:szCs w:val="24"/>
        </w:rPr>
        <w:t xml:space="preserve">Yet another Member State indicated to be in favour of reassessing the supervision of </w:t>
      </w:r>
      <w:r>
        <w:rPr>
          <w:rFonts w:ascii="Times New Roman" w:hAnsi="Times New Roman" w:cs="Times New Roman"/>
          <w:noProof/>
          <w:sz w:val="24"/>
          <w:szCs w:val="24"/>
        </w:rPr>
        <w:t>EU</w:t>
      </w:r>
      <w:r w:rsidRPr="00AA3386">
        <w:rPr>
          <w:rFonts w:ascii="Times New Roman" w:hAnsi="Times New Roman" w:cs="Times New Roman"/>
          <w:noProof/>
          <w:sz w:val="24"/>
          <w:szCs w:val="24"/>
        </w:rPr>
        <w:t xml:space="preserve"> CCPs, making processes leaner for market participants. However, that Member State was against enlarging the role of the central banks of issue. One Member State said that to assess the issue properly, they would need more data.</w:t>
      </w:r>
    </w:p>
    <w:p w14:paraId="47CD680A" w14:textId="77777777" w:rsidR="008A37AF" w:rsidRPr="001C4637" w:rsidRDefault="008A37AF" w:rsidP="00724804">
      <w:pPr>
        <w:pStyle w:val="ListParagraph"/>
        <w:numPr>
          <w:ilvl w:val="2"/>
          <w:numId w:val="21"/>
        </w:numPr>
        <w:spacing w:after="120" w:line="240" w:lineRule="auto"/>
        <w:ind w:left="426" w:hanging="426"/>
        <w:rPr>
          <w:rFonts w:ascii="Times New Roman" w:hAnsi="Times New Roman" w:cs="Times New Roman"/>
          <w:bCs/>
          <w:noProof/>
          <w:sz w:val="24"/>
          <w:szCs w:val="24"/>
        </w:rPr>
      </w:pPr>
      <w:r w:rsidRPr="001C4637">
        <w:rPr>
          <w:rFonts w:ascii="Times New Roman" w:hAnsi="Times New Roman" w:cs="Times New Roman"/>
          <w:bCs/>
          <w:noProof/>
          <w:sz w:val="24"/>
          <w:szCs w:val="24"/>
        </w:rPr>
        <w:t>Other Issues Raised</w:t>
      </w:r>
    </w:p>
    <w:p w14:paraId="2E1D15DC" w14:textId="77777777" w:rsidR="008A37AF" w:rsidRPr="008450DA" w:rsidRDefault="008A37AF" w:rsidP="00724804">
      <w:pPr>
        <w:pStyle w:val="ListParagraph"/>
        <w:numPr>
          <w:ilvl w:val="3"/>
          <w:numId w:val="21"/>
        </w:numPr>
        <w:spacing w:after="120" w:line="240" w:lineRule="auto"/>
        <w:ind w:left="426" w:hanging="426"/>
        <w:rPr>
          <w:rFonts w:ascii="Times New Roman" w:hAnsi="Times New Roman" w:cs="Times New Roman"/>
          <w:bCs/>
          <w:i/>
          <w:iCs/>
          <w:noProof/>
          <w:sz w:val="24"/>
          <w:szCs w:val="24"/>
        </w:rPr>
      </w:pPr>
      <w:r w:rsidRPr="008450DA">
        <w:rPr>
          <w:rFonts w:ascii="Times New Roman" w:hAnsi="Times New Roman" w:cs="Times New Roman"/>
          <w:bCs/>
          <w:i/>
          <w:iCs/>
          <w:noProof/>
          <w:sz w:val="24"/>
          <w:szCs w:val="24"/>
        </w:rPr>
        <w:t>Third-country CCPs</w:t>
      </w:r>
    </w:p>
    <w:p w14:paraId="2CDC64AD" w14:textId="77777777" w:rsidR="008A37AF" w:rsidRPr="00AA3386" w:rsidRDefault="008A37AF" w:rsidP="00724804">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w:t>
      </w:r>
      <w:r w:rsidRPr="00AA3386">
        <w:rPr>
          <w:rFonts w:ascii="Times New Roman" w:hAnsi="Times New Roman" w:cs="Times New Roman"/>
          <w:noProof/>
          <w:sz w:val="24"/>
          <w:szCs w:val="24"/>
        </w:rPr>
        <w:t>ome stakeholders suggested adding more proportionality to the framework by reducing or removing the requirement for a third-country to have a regime in place providing access to EU CCPs.</w:t>
      </w:r>
      <w:r>
        <w:rPr>
          <w:rFonts w:ascii="Times New Roman" w:hAnsi="Times New Roman" w:cs="Times New Roman"/>
          <w:noProof/>
          <w:sz w:val="24"/>
          <w:szCs w:val="24"/>
        </w:rPr>
        <w:t xml:space="preserve"> </w:t>
      </w:r>
      <w:r w:rsidRPr="00AA3386">
        <w:rPr>
          <w:rFonts w:ascii="Times New Roman" w:hAnsi="Times New Roman" w:cs="Times New Roman"/>
          <w:noProof/>
          <w:sz w:val="24"/>
          <w:szCs w:val="24"/>
        </w:rPr>
        <w:t xml:space="preserve">Two Member State stated that the equivalence framework has caused level playing field problems. However, they indicated to need </w:t>
      </w:r>
      <w:r>
        <w:rPr>
          <w:rFonts w:ascii="Times New Roman" w:hAnsi="Times New Roman" w:cs="Times New Roman"/>
          <w:noProof/>
          <w:sz w:val="24"/>
          <w:szCs w:val="24"/>
        </w:rPr>
        <w:t xml:space="preserve">for </w:t>
      </w:r>
      <w:r w:rsidRPr="00AA3386">
        <w:rPr>
          <w:rFonts w:ascii="Times New Roman" w:hAnsi="Times New Roman" w:cs="Times New Roman"/>
          <w:noProof/>
          <w:sz w:val="24"/>
          <w:szCs w:val="24"/>
        </w:rPr>
        <w:t xml:space="preserve">more time to evaluate the suggested options. </w:t>
      </w:r>
      <w:r w:rsidRPr="00AA3386">
        <w:rPr>
          <w:rFonts w:ascii="Times New Roman" w:hAnsi="Times New Roman" w:cs="Times New Roman"/>
          <w:noProof/>
          <w:sz w:val="24"/>
          <w:szCs w:val="24"/>
          <w:lang w:val="en-IE"/>
        </w:rPr>
        <w:t xml:space="preserve">Another Member State </w:t>
      </w:r>
      <w:r>
        <w:rPr>
          <w:rFonts w:ascii="Times New Roman" w:hAnsi="Times New Roman" w:cs="Times New Roman"/>
          <w:noProof/>
          <w:sz w:val="24"/>
          <w:szCs w:val="24"/>
          <w:lang w:val="en-IE"/>
        </w:rPr>
        <w:t>supported</w:t>
      </w:r>
      <w:r w:rsidRPr="00AA3386">
        <w:rPr>
          <w:rFonts w:ascii="Times New Roman" w:hAnsi="Times New Roman" w:cs="Times New Roman"/>
          <w:noProof/>
          <w:sz w:val="24"/>
          <w:szCs w:val="24"/>
          <w:lang w:val="en-IE"/>
        </w:rPr>
        <w:t xml:space="preserve"> more proportionality for smaller jurisdictions</w:t>
      </w:r>
      <w:r>
        <w:rPr>
          <w:rFonts w:ascii="Times New Roman" w:hAnsi="Times New Roman" w:cs="Times New Roman"/>
          <w:noProof/>
          <w:sz w:val="24"/>
          <w:szCs w:val="24"/>
          <w:lang w:val="en-IE"/>
        </w:rPr>
        <w:t xml:space="preserve">, but opposed any </w:t>
      </w:r>
      <w:r w:rsidRPr="00AA3386">
        <w:rPr>
          <w:rFonts w:ascii="Times New Roman" w:hAnsi="Times New Roman" w:cs="Times New Roman"/>
          <w:noProof/>
          <w:sz w:val="24"/>
          <w:szCs w:val="24"/>
          <w:lang w:val="en-IE"/>
        </w:rPr>
        <w:t xml:space="preserve">self-assessment </w:t>
      </w:r>
      <w:r>
        <w:rPr>
          <w:rFonts w:ascii="Times New Roman" w:hAnsi="Times New Roman" w:cs="Times New Roman"/>
          <w:noProof/>
          <w:sz w:val="24"/>
          <w:szCs w:val="24"/>
          <w:lang w:val="en-IE"/>
        </w:rPr>
        <w:t>by</w:t>
      </w:r>
      <w:r w:rsidRPr="00AA3386">
        <w:rPr>
          <w:rFonts w:ascii="Times New Roman" w:hAnsi="Times New Roman" w:cs="Times New Roman"/>
          <w:noProof/>
          <w:sz w:val="24"/>
          <w:szCs w:val="24"/>
          <w:lang w:val="en-IE"/>
        </w:rPr>
        <w:t xml:space="preserve"> banks. </w:t>
      </w:r>
    </w:p>
    <w:p w14:paraId="1E0F0CD4" w14:textId="77777777" w:rsidR="008A37AF" w:rsidRPr="00AA3386" w:rsidRDefault="008A37AF" w:rsidP="00724804">
      <w:pP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One EU authority</w:t>
      </w:r>
      <w:r w:rsidRPr="00AA3386">
        <w:rPr>
          <w:rFonts w:ascii="Times New Roman" w:hAnsi="Times New Roman" w:cs="Times New Roman"/>
          <w:noProof/>
          <w:sz w:val="24"/>
          <w:szCs w:val="24"/>
          <w:lang w:val="en-IE"/>
        </w:rPr>
        <w:t xml:space="preserve"> </w:t>
      </w:r>
      <w:r>
        <w:rPr>
          <w:rFonts w:ascii="Times New Roman" w:hAnsi="Times New Roman" w:cs="Times New Roman"/>
          <w:noProof/>
          <w:sz w:val="24"/>
          <w:szCs w:val="24"/>
          <w:lang w:val="en-IE"/>
        </w:rPr>
        <w:t xml:space="preserve">stated </w:t>
      </w:r>
      <w:r w:rsidRPr="00AA3386">
        <w:rPr>
          <w:rFonts w:ascii="Times New Roman" w:hAnsi="Times New Roman" w:cs="Times New Roman"/>
          <w:noProof/>
          <w:sz w:val="24"/>
          <w:szCs w:val="24"/>
          <w:lang w:val="en-IE"/>
        </w:rPr>
        <w:t xml:space="preserve">that more information about the consequences would be needed, in particular about the definition of a small jurisdiction. </w:t>
      </w:r>
      <w:r>
        <w:rPr>
          <w:rFonts w:ascii="Times New Roman" w:hAnsi="Times New Roman" w:cs="Times New Roman"/>
          <w:noProof/>
          <w:sz w:val="24"/>
          <w:szCs w:val="24"/>
          <w:lang w:val="en-IE"/>
        </w:rPr>
        <w:t>It</w:t>
      </w:r>
      <w:r w:rsidRPr="00AA3386">
        <w:rPr>
          <w:rFonts w:ascii="Times New Roman" w:hAnsi="Times New Roman" w:cs="Times New Roman"/>
          <w:noProof/>
          <w:sz w:val="24"/>
          <w:szCs w:val="24"/>
          <w:lang w:val="en-IE"/>
        </w:rPr>
        <w:t xml:space="preserve"> pointed out that otherwise a circumvention may be possible for jurisdictions, which might be difficult to challenge, if they claim to be small and no information</w:t>
      </w:r>
      <w:r>
        <w:rPr>
          <w:rFonts w:ascii="Times New Roman" w:hAnsi="Times New Roman" w:cs="Times New Roman"/>
          <w:noProof/>
          <w:sz w:val="24"/>
          <w:szCs w:val="24"/>
          <w:lang w:val="en-IE"/>
        </w:rPr>
        <w:t xml:space="preserve"> were provided</w:t>
      </w:r>
      <w:r w:rsidRPr="00AA3386">
        <w:rPr>
          <w:rFonts w:ascii="Times New Roman" w:hAnsi="Times New Roman" w:cs="Times New Roman"/>
          <w:noProof/>
          <w:sz w:val="24"/>
          <w:szCs w:val="24"/>
          <w:lang w:val="en-IE"/>
        </w:rPr>
        <w:t xml:space="preserve"> </w:t>
      </w:r>
      <w:r>
        <w:rPr>
          <w:rFonts w:ascii="Times New Roman" w:hAnsi="Times New Roman" w:cs="Times New Roman"/>
          <w:noProof/>
          <w:sz w:val="24"/>
          <w:szCs w:val="24"/>
          <w:lang w:val="en-IE"/>
        </w:rPr>
        <w:t>n</w:t>
      </w:r>
      <w:r w:rsidRPr="00AA3386">
        <w:rPr>
          <w:rFonts w:ascii="Times New Roman" w:hAnsi="Times New Roman" w:cs="Times New Roman"/>
          <w:noProof/>
          <w:sz w:val="24"/>
          <w:szCs w:val="24"/>
          <w:lang w:val="en-IE"/>
        </w:rPr>
        <w:t xml:space="preserve">or could </w:t>
      </w:r>
      <w:r>
        <w:rPr>
          <w:rFonts w:ascii="Times New Roman" w:hAnsi="Times New Roman" w:cs="Times New Roman"/>
          <w:noProof/>
          <w:sz w:val="24"/>
          <w:szCs w:val="24"/>
          <w:lang w:val="en-IE"/>
        </w:rPr>
        <w:t>be asked for</w:t>
      </w:r>
      <w:r w:rsidRPr="00AA3386">
        <w:rPr>
          <w:rFonts w:ascii="Times New Roman" w:hAnsi="Times New Roman" w:cs="Times New Roman"/>
          <w:noProof/>
          <w:sz w:val="24"/>
          <w:szCs w:val="24"/>
          <w:lang w:val="en-IE"/>
        </w:rPr>
        <w:t>.</w:t>
      </w:r>
    </w:p>
    <w:p w14:paraId="426BDB89" w14:textId="77777777" w:rsidR="008A37AF" w:rsidRPr="008450DA" w:rsidRDefault="008A37AF" w:rsidP="00724804">
      <w:pPr>
        <w:pStyle w:val="ListParagraph"/>
        <w:numPr>
          <w:ilvl w:val="3"/>
          <w:numId w:val="21"/>
        </w:numPr>
        <w:spacing w:after="120" w:line="240" w:lineRule="auto"/>
        <w:ind w:left="426" w:hanging="426"/>
        <w:rPr>
          <w:rFonts w:ascii="Times New Roman" w:hAnsi="Times New Roman" w:cs="Times New Roman"/>
          <w:bCs/>
          <w:i/>
          <w:iCs/>
          <w:noProof/>
          <w:sz w:val="24"/>
          <w:szCs w:val="24"/>
        </w:rPr>
      </w:pPr>
      <w:r w:rsidRPr="008450DA">
        <w:rPr>
          <w:rFonts w:ascii="Times New Roman" w:hAnsi="Times New Roman" w:cs="Times New Roman"/>
          <w:bCs/>
          <w:i/>
          <w:iCs/>
          <w:noProof/>
          <w:sz w:val="24"/>
          <w:szCs w:val="24"/>
        </w:rPr>
        <w:t>Intragroup transactions</w:t>
      </w:r>
    </w:p>
    <w:p w14:paraId="3ED1EB4A" w14:textId="77777777" w:rsidR="008A37AF" w:rsidRPr="00AA3386" w:rsidRDefault="008A37AF" w:rsidP="00724804">
      <w:pPr>
        <w:spacing w:after="120" w:line="240" w:lineRule="auto"/>
        <w:jc w:val="both"/>
        <w:rPr>
          <w:rFonts w:ascii="Times New Roman" w:hAnsi="Times New Roman" w:cs="Times New Roman"/>
          <w:noProof/>
          <w:sz w:val="24"/>
          <w:szCs w:val="24"/>
          <w:lang w:val="en-IE"/>
        </w:rPr>
      </w:pPr>
      <w:r w:rsidRPr="00AA3386">
        <w:rPr>
          <w:rFonts w:ascii="Times New Roman" w:hAnsi="Times New Roman" w:cs="Times New Roman"/>
          <w:noProof/>
          <w:sz w:val="24"/>
          <w:szCs w:val="24"/>
          <w:lang w:val="en-IE"/>
        </w:rPr>
        <w:t>Several stakeholders underlined in the targeted consultation the need to address the issue of intragroup transactions. Absent a solution, transactions between an EU firm – financial and non-financial – and its subsidiary abroad would become subject to the clearing obligation or margin requirements.</w:t>
      </w:r>
      <w:r>
        <w:rPr>
          <w:rFonts w:ascii="Times New Roman" w:hAnsi="Times New Roman" w:cs="Times New Roman"/>
          <w:noProof/>
          <w:sz w:val="24"/>
          <w:szCs w:val="24"/>
          <w:lang w:val="en-IE"/>
        </w:rPr>
        <w:t xml:space="preserve"> Two EU authorities</w:t>
      </w:r>
      <w:r w:rsidRPr="00AA3386">
        <w:rPr>
          <w:rFonts w:ascii="Times New Roman" w:hAnsi="Times New Roman" w:cs="Times New Roman"/>
          <w:noProof/>
          <w:sz w:val="24"/>
          <w:szCs w:val="24"/>
          <w:lang w:val="en-IE"/>
        </w:rPr>
        <w:t xml:space="preserve"> stressed the need to be mindful of the use of intragroup transactions by EU groups and the importance to require that the risk at group level should be managed from within the EU. </w:t>
      </w:r>
      <w:r>
        <w:rPr>
          <w:rFonts w:ascii="Times New Roman" w:hAnsi="Times New Roman" w:cs="Times New Roman"/>
          <w:noProof/>
          <w:sz w:val="24"/>
          <w:szCs w:val="24"/>
          <w:lang w:val="en-IE"/>
        </w:rPr>
        <w:t>They</w:t>
      </w:r>
      <w:r w:rsidRPr="00AA3386">
        <w:rPr>
          <w:rFonts w:ascii="Times New Roman" w:hAnsi="Times New Roman" w:cs="Times New Roman"/>
          <w:noProof/>
          <w:sz w:val="24"/>
          <w:szCs w:val="24"/>
          <w:lang w:val="en-IE"/>
        </w:rPr>
        <w:t xml:space="preserve"> however agreed on the need to move forward and find a permanent solution. Four Member States intervened and confirmed the need to address the issue.</w:t>
      </w:r>
    </w:p>
    <w:p w14:paraId="163C4B87" w14:textId="77777777" w:rsidR="008A37AF" w:rsidRPr="008450DA" w:rsidRDefault="008A37AF" w:rsidP="00724804">
      <w:pPr>
        <w:pStyle w:val="ListParagraph"/>
        <w:numPr>
          <w:ilvl w:val="3"/>
          <w:numId w:val="21"/>
        </w:numPr>
        <w:spacing w:after="120" w:line="240" w:lineRule="auto"/>
        <w:ind w:left="426" w:hanging="426"/>
        <w:rPr>
          <w:rFonts w:ascii="Times New Roman" w:hAnsi="Times New Roman" w:cs="Times New Roman"/>
          <w:bCs/>
          <w:i/>
          <w:iCs/>
          <w:noProof/>
          <w:sz w:val="24"/>
          <w:szCs w:val="24"/>
        </w:rPr>
      </w:pPr>
      <w:r w:rsidRPr="008450DA">
        <w:rPr>
          <w:rFonts w:ascii="Times New Roman" w:hAnsi="Times New Roman" w:cs="Times New Roman"/>
          <w:bCs/>
          <w:i/>
          <w:iCs/>
          <w:noProof/>
          <w:sz w:val="24"/>
          <w:szCs w:val="24"/>
        </w:rPr>
        <w:t>Clearing thresholds</w:t>
      </w:r>
    </w:p>
    <w:p w14:paraId="222A4520" w14:textId="77777777" w:rsidR="008A37AF" w:rsidRDefault="008A37AF" w:rsidP="00724804">
      <w:pPr>
        <w:pStyle w:val="ListParagraph"/>
        <w:spacing w:after="120" w:line="240" w:lineRule="auto"/>
        <w:ind w:left="0"/>
        <w:contextualSpacing w:val="0"/>
        <w:jc w:val="both"/>
        <w:rPr>
          <w:rFonts w:ascii="Times New Roman" w:hAnsi="Times New Roman" w:cs="Times New Roman"/>
          <w:noProof/>
          <w:sz w:val="24"/>
          <w:szCs w:val="24"/>
          <w:lang w:val="en-IE"/>
        </w:rPr>
      </w:pPr>
      <w:r w:rsidRPr="00830DAF">
        <w:rPr>
          <w:rFonts w:ascii="Times New Roman" w:hAnsi="Times New Roman" w:cs="Times New Roman"/>
          <w:noProof/>
          <w:sz w:val="24"/>
          <w:szCs w:val="24"/>
          <w:lang w:val="en-IE"/>
        </w:rPr>
        <w:t xml:space="preserve">EMIR requires that standardised OTC derivatives contracts are centrally cleared and, where not possible, that collateral is exchanged to reduce the risks. According to a recent report by ESMA and a large number of contributions, notably energy firms, to the targeted consultation, EU energy firms are getting closer to reaching, or have reached, the clearing threshold for “OTC commodity derivative contracts and other OTC derivative contracts”. Consequently, </w:t>
      </w:r>
      <w:r>
        <w:rPr>
          <w:rFonts w:ascii="Times New Roman" w:hAnsi="Times New Roman" w:cs="Times New Roman"/>
          <w:noProof/>
          <w:sz w:val="24"/>
          <w:szCs w:val="24"/>
          <w:lang w:val="en-IE"/>
        </w:rPr>
        <w:t>they</w:t>
      </w:r>
      <w:r w:rsidRPr="00830DAF">
        <w:rPr>
          <w:rFonts w:ascii="Times New Roman" w:hAnsi="Times New Roman" w:cs="Times New Roman"/>
          <w:noProof/>
          <w:sz w:val="24"/>
          <w:szCs w:val="24"/>
          <w:lang w:val="en-IE"/>
        </w:rPr>
        <w:t xml:space="preserve"> have or will become subject to the margin requirements. In its report on the commodity clearing threshold, ESMA suggested amending the methodology to calculate the position in OTC derivatives that count towards the clearing threshold by replacing the reference to OTC derivatives with a reference to uncleared derivatives and aligning the clearing threshold methodology with the methodology set in Article 11, and in particular paragraph 3 on the requirements to exchange initial margins.</w:t>
      </w:r>
    </w:p>
    <w:p w14:paraId="4AAA9040" w14:textId="77777777" w:rsidR="008A37AF" w:rsidRPr="00830DAF" w:rsidRDefault="008A37AF" w:rsidP="00724804">
      <w:pPr>
        <w:pStyle w:val="ListParagraph"/>
        <w:spacing w:after="120" w:line="240" w:lineRule="auto"/>
        <w:ind w:left="0"/>
        <w:contextualSpacing w:val="0"/>
        <w:jc w:val="both"/>
        <w:rPr>
          <w:rFonts w:ascii="Times New Roman" w:hAnsi="Times New Roman" w:cs="Times New Roman"/>
          <w:noProof/>
          <w:sz w:val="24"/>
          <w:szCs w:val="24"/>
          <w:lang w:val="en-IE"/>
        </w:rPr>
      </w:pPr>
      <w:r w:rsidRPr="00830DAF">
        <w:rPr>
          <w:rFonts w:ascii="Times New Roman" w:hAnsi="Times New Roman" w:cs="Times New Roman"/>
          <w:noProof/>
          <w:sz w:val="24"/>
          <w:szCs w:val="24"/>
          <w:lang w:val="en-IE"/>
        </w:rPr>
        <w:t xml:space="preserve">Three Member States said </w:t>
      </w:r>
      <w:r>
        <w:rPr>
          <w:rFonts w:ascii="Times New Roman" w:hAnsi="Times New Roman" w:cs="Times New Roman"/>
          <w:noProof/>
          <w:sz w:val="24"/>
          <w:szCs w:val="24"/>
          <w:lang w:val="en-IE"/>
        </w:rPr>
        <w:t>they</w:t>
      </w:r>
      <w:r w:rsidRPr="00830DAF">
        <w:rPr>
          <w:rFonts w:ascii="Times New Roman" w:hAnsi="Times New Roman" w:cs="Times New Roman"/>
          <w:noProof/>
          <w:sz w:val="24"/>
          <w:szCs w:val="24"/>
          <w:lang w:val="en-IE"/>
        </w:rPr>
        <w:t xml:space="preserve"> would need time to assess, while one indicated that in general, it sees room for improvement. </w:t>
      </w:r>
      <w:r>
        <w:rPr>
          <w:rFonts w:ascii="Times New Roman" w:hAnsi="Times New Roman" w:cs="Times New Roman"/>
          <w:noProof/>
          <w:sz w:val="24"/>
          <w:szCs w:val="24"/>
          <w:lang w:val="en-IE"/>
        </w:rPr>
        <w:t>One EU authority</w:t>
      </w:r>
      <w:r w:rsidRPr="00830DAF">
        <w:rPr>
          <w:rFonts w:ascii="Times New Roman" w:hAnsi="Times New Roman" w:cs="Times New Roman"/>
          <w:noProof/>
          <w:sz w:val="24"/>
          <w:szCs w:val="24"/>
          <w:lang w:val="en-IE"/>
        </w:rPr>
        <w:t xml:space="preserve"> as well as one Member State indicated that leveraging on EMIR data would be too difficult and is likely to not work.</w:t>
      </w:r>
    </w:p>
    <w:p w14:paraId="0C6CC6DD" w14:textId="77777777" w:rsidR="008A37AF" w:rsidRPr="008450DA" w:rsidRDefault="008A37AF" w:rsidP="00724804">
      <w:pPr>
        <w:pStyle w:val="ListParagraph"/>
        <w:numPr>
          <w:ilvl w:val="3"/>
          <w:numId w:val="21"/>
        </w:numPr>
        <w:spacing w:after="120" w:line="240" w:lineRule="auto"/>
        <w:ind w:left="426" w:hanging="426"/>
        <w:rPr>
          <w:rFonts w:ascii="Times New Roman" w:hAnsi="Times New Roman" w:cs="Times New Roman"/>
          <w:bCs/>
          <w:i/>
          <w:iCs/>
          <w:noProof/>
          <w:sz w:val="24"/>
          <w:szCs w:val="24"/>
        </w:rPr>
      </w:pPr>
      <w:r w:rsidRPr="008450DA">
        <w:rPr>
          <w:rFonts w:ascii="Times New Roman" w:hAnsi="Times New Roman" w:cs="Times New Roman"/>
          <w:bCs/>
          <w:i/>
          <w:iCs/>
          <w:noProof/>
          <w:sz w:val="24"/>
          <w:szCs w:val="24"/>
        </w:rPr>
        <w:t>Scope of CCP authorisation/extension of services</w:t>
      </w:r>
    </w:p>
    <w:p w14:paraId="4415B712" w14:textId="5E832A3A" w:rsidR="008A37AF" w:rsidRDefault="008A37AF" w:rsidP="00724804">
      <w:pPr>
        <w:spacing w:after="120" w:line="240" w:lineRule="auto"/>
        <w:jc w:val="both"/>
        <w:rPr>
          <w:rFonts w:ascii="Times New Roman" w:hAnsi="Times New Roman" w:cs="Times New Roman"/>
          <w:noProof/>
          <w:sz w:val="24"/>
          <w:szCs w:val="24"/>
          <w:lang w:val="en-IE"/>
        </w:rPr>
      </w:pPr>
      <w:r w:rsidRPr="007556D8">
        <w:rPr>
          <w:rFonts w:ascii="Times New Roman" w:hAnsi="Times New Roman" w:cs="Times New Roman"/>
          <w:noProof/>
          <w:sz w:val="24"/>
          <w:szCs w:val="24"/>
          <w:lang w:val="en-IE"/>
        </w:rPr>
        <w:t>Feedback from some stakeholders in the targeted consultation drew attention to a possible inconsistency in EMIR relating to the scope of a CCP’s activities. Certain CCPs are authorised or recognised to clear products which are not financial instruments nor traded on financial markets</w:t>
      </w:r>
      <w:r w:rsidRPr="007556D8">
        <w:rPr>
          <w:rStyle w:val="FootnoteReference"/>
          <w:rFonts w:ascii="Times New Roman" w:hAnsi="Times New Roman" w:cs="Times New Roman"/>
          <w:noProof/>
          <w:sz w:val="24"/>
          <w:szCs w:val="24"/>
          <w:lang w:val="en-IE"/>
        </w:rPr>
        <w:footnoteReference w:id="193"/>
      </w:r>
      <w:r w:rsidRPr="007556D8">
        <w:rPr>
          <w:rFonts w:ascii="Times New Roman" w:hAnsi="Times New Roman" w:cs="Times New Roman"/>
          <w:noProof/>
          <w:sz w:val="24"/>
          <w:szCs w:val="24"/>
          <w:lang w:val="en-IE"/>
        </w:rPr>
        <w:t xml:space="preserve">. The same issue might emerge should CCPs intend to start clearing certain crypto-assets which are not financial instruments. </w:t>
      </w:r>
    </w:p>
    <w:p w14:paraId="101CFC84" w14:textId="77777777" w:rsidR="008A37AF" w:rsidRPr="007556D8" w:rsidRDefault="008A37AF" w:rsidP="00724804">
      <w:pPr>
        <w:spacing w:after="120" w:line="240" w:lineRule="auto"/>
        <w:jc w:val="both"/>
        <w:rPr>
          <w:rFonts w:ascii="Times New Roman" w:hAnsi="Times New Roman" w:cs="Times New Roman"/>
          <w:noProof/>
          <w:sz w:val="24"/>
          <w:szCs w:val="24"/>
          <w:lang w:val="en-IE"/>
        </w:rPr>
      </w:pPr>
      <w:r w:rsidRPr="007556D8">
        <w:rPr>
          <w:rFonts w:ascii="Times New Roman" w:hAnsi="Times New Roman" w:cs="Times New Roman"/>
          <w:noProof/>
          <w:sz w:val="24"/>
          <w:szCs w:val="24"/>
          <w:lang w:val="en-IE"/>
        </w:rPr>
        <w:t>No Member State took the floor to express its opinion on the matter outlined.</w:t>
      </w:r>
    </w:p>
    <w:p w14:paraId="431018AA" w14:textId="77777777" w:rsidR="008A37AF" w:rsidRPr="008450DA" w:rsidRDefault="008A37AF" w:rsidP="00724804">
      <w:pPr>
        <w:pStyle w:val="ListParagraph"/>
        <w:numPr>
          <w:ilvl w:val="3"/>
          <w:numId w:val="21"/>
        </w:numPr>
        <w:spacing w:after="120" w:line="240" w:lineRule="auto"/>
        <w:ind w:left="426" w:hanging="426"/>
        <w:rPr>
          <w:rFonts w:ascii="Times New Roman" w:hAnsi="Times New Roman" w:cs="Times New Roman"/>
          <w:bCs/>
          <w:i/>
          <w:iCs/>
          <w:noProof/>
          <w:sz w:val="24"/>
          <w:szCs w:val="24"/>
        </w:rPr>
      </w:pPr>
      <w:r w:rsidRPr="008450DA">
        <w:rPr>
          <w:rFonts w:ascii="Times New Roman" w:hAnsi="Times New Roman" w:cs="Times New Roman"/>
          <w:bCs/>
          <w:i/>
          <w:iCs/>
          <w:noProof/>
          <w:sz w:val="24"/>
          <w:szCs w:val="24"/>
        </w:rPr>
        <w:t>SFD</w:t>
      </w:r>
    </w:p>
    <w:p w14:paraId="50BE7C90" w14:textId="77777777" w:rsidR="008A37AF" w:rsidRDefault="008A37AF" w:rsidP="00724804">
      <w:pP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R</w:t>
      </w:r>
      <w:r w:rsidRPr="007556D8">
        <w:rPr>
          <w:rFonts w:ascii="Times New Roman" w:hAnsi="Times New Roman" w:cs="Times New Roman"/>
          <w:noProof/>
          <w:sz w:val="24"/>
          <w:szCs w:val="24"/>
          <w:lang w:val="en-IE"/>
        </w:rPr>
        <w:t xml:space="preserve">espondents </w:t>
      </w:r>
      <w:r>
        <w:rPr>
          <w:rFonts w:ascii="Times New Roman" w:hAnsi="Times New Roman" w:cs="Times New Roman"/>
          <w:noProof/>
          <w:sz w:val="24"/>
          <w:szCs w:val="24"/>
          <w:lang w:val="en-IE"/>
        </w:rPr>
        <w:t>to</w:t>
      </w:r>
      <w:r w:rsidRPr="00DB39E8">
        <w:rPr>
          <w:rFonts w:ascii="Times New Roman" w:hAnsi="Times New Roman" w:cs="Times New Roman"/>
          <w:noProof/>
          <w:sz w:val="24"/>
          <w:szCs w:val="24"/>
          <w:lang w:val="en-IE"/>
        </w:rPr>
        <w:t xml:space="preserve"> the consultation on clearing</w:t>
      </w:r>
      <w:r>
        <w:rPr>
          <w:rFonts w:ascii="Times New Roman" w:hAnsi="Times New Roman" w:cs="Times New Roman"/>
          <w:noProof/>
          <w:sz w:val="24"/>
          <w:szCs w:val="24"/>
          <w:lang w:val="en-IE"/>
        </w:rPr>
        <w:t xml:space="preserve"> </w:t>
      </w:r>
      <w:r w:rsidRPr="007556D8">
        <w:rPr>
          <w:rFonts w:ascii="Times New Roman" w:hAnsi="Times New Roman" w:cs="Times New Roman"/>
          <w:noProof/>
          <w:sz w:val="24"/>
          <w:szCs w:val="24"/>
          <w:lang w:val="en-IE"/>
        </w:rPr>
        <w:t>suggested that the Settlement Finality Directive</w:t>
      </w:r>
      <w:r w:rsidRPr="007556D8">
        <w:rPr>
          <w:rStyle w:val="FootnoteReference"/>
          <w:rFonts w:ascii="Times New Roman" w:hAnsi="Times New Roman" w:cs="Times New Roman"/>
          <w:noProof/>
          <w:sz w:val="24"/>
          <w:szCs w:val="24"/>
          <w:lang w:val="en-IE"/>
        </w:rPr>
        <w:footnoteReference w:id="194"/>
      </w:r>
      <w:r w:rsidRPr="007556D8">
        <w:rPr>
          <w:rFonts w:ascii="Times New Roman" w:hAnsi="Times New Roman" w:cs="Times New Roman"/>
          <w:noProof/>
          <w:sz w:val="24"/>
          <w:szCs w:val="24"/>
          <w:lang w:val="en-IE"/>
        </w:rPr>
        <w:t xml:space="preserve"> (SFD) could be amended in several ways, in particular apply the SFD protection to all systems operated by a CCP (even if not designated under the SFD). However, this would give considerable discretion to CCPs letting them benefit from the SFD protections and it would bring the risk of mixing the financial and non-financial sphere.</w:t>
      </w:r>
    </w:p>
    <w:p w14:paraId="6A245D7F" w14:textId="0DB4160C" w:rsidR="00007E77" w:rsidRPr="00D64C17" w:rsidRDefault="008A37AF" w:rsidP="00724804">
      <w:pP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One EU authority</w:t>
      </w:r>
      <w:r w:rsidRPr="007556D8">
        <w:rPr>
          <w:rFonts w:ascii="Times New Roman" w:hAnsi="Times New Roman" w:cs="Times New Roman"/>
          <w:noProof/>
          <w:sz w:val="24"/>
          <w:szCs w:val="24"/>
          <w:lang w:val="en-IE"/>
        </w:rPr>
        <w:t xml:space="preserve"> was in favour of considering the change proposed by stakeholders. In </w:t>
      </w:r>
      <w:r>
        <w:rPr>
          <w:rFonts w:ascii="Times New Roman" w:hAnsi="Times New Roman" w:cs="Times New Roman"/>
          <w:noProof/>
          <w:sz w:val="24"/>
          <w:szCs w:val="24"/>
          <w:lang w:val="en-IE"/>
        </w:rPr>
        <w:t>its</w:t>
      </w:r>
      <w:r w:rsidRPr="007556D8">
        <w:rPr>
          <w:rFonts w:ascii="Times New Roman" w:hAnsi="Times New Roman" w:cs="Times New Roman"/>
          <w:noProof/>
          <w:sz w:val="24"/>
          <w:szCs w:val="24"/>
          <w:lang w:val="en-IE"/>
        </w:rPr>
        <w:t xml:space="preserve"> opinion, broadening the SFD protections would address a problem that some CCPs have which want to extend their services to other products that are not in the list of securities/financial instruments under the SFD (notably commodity derivatives).</w:t>
      </w:r>
      <w:r>
        <w:rPr>
          <w:rFonts w:ascii="Times New Roman" w:hAnsi="Times New Roman" w:cs="Times New Roman"/>
          <w:noProof/>
          <w:sz w:val="24"/>
          <w:szCs w:val="24"/>
          <w:lang w:val="en-IE"/>
        </w:rPr>
        <w:t xml:space="preserve"> </w:t>
      </w:r>
      <w:r w:rsidRPr="007556D8">
        <w:rPr>
          <w:rFonts w:ascii="Times New Roman" w:hAnsi="Times New Roman" w:cs="Times New Roman"/>
          <w:noProof/>
          <w:sz w:val="24"/>
          <w:szCs w:val="24"/>
          <w:lang w:val="en-IE"/>
        </w:rPr>
        <w:t>No Member State took the floor to express its opinion on the matter outlined.</w:t>
      </w:r>
    </w:p>
    <w:p w14:paraId="508C069A" w14:textId="0366B056" w:rsidR="00C60F20" w:rsidRPr="009B7944" w:rsidRDefault="00C60F20" w:rsidP="00724804">
      <w:pPr>
        <w:spacing w:after="120" w:line="240" w:lineRule="auto"/>
        <w:rPr>
          <w:rFonts w:ascii="Times New Roman" w:hAnsi="Times New Roman" w:cs="Times New Roman"/>
          <w:b/>
          <w:noProof/>
          <w:sz w:val="24"/>
          <w:szCs w:val="24"/>
        </w:rPr>
      </w:pPr>
      <w:r>
        <w:rPr>
          <w:rFonts w:ascii="Times New Roman" w:hAnsi="Times New Roman" w:cs="Times New Roman"/>
          <w:b/>
          <w:noProof/>
          <w:sz w:val="24"/>
          <w:szCs w:val="24"/>
        </w:rPr>
        <w:t>5</w:t>
      </w:r>
      <w:r w:rsidRPr="009B7944">
        <w:rPr>
          <w:rFonts w:ascii="Times New Roman" w:hAnsi="Times New Roman" w:cs="Times New Roman"/>
          <w:b/>
          <w:noProof/>
          <w:sz w:val="24"/>
          <w:szCs w:val="24"/>
        </w:rPr>
        <w:t>. Call for evidence on the review of the central clearing framework in the EU</w:t>
      </w:r>
    </w:p>
    <w:p w14:paraId="481E1177" w14:textId="77777777" w:rsidR="00C60F20" w:rsidRDefault="00C60F20" w:rsidP="00724804">
      <w:pPr>
        <w:spacing w:after="120" w:line="240" w:lineRule="auto"/>
        <w:jc w:val="both"/>
        <w:rPr>
          <w:rFonts w:ascii="Times New Roman" w:hAnsi="Times New Roman" w:cs="Times New Roman"/>
          <w:noProof/>
          <w:sz w:val="24"/>
          <w:szCs w:val="24"/>
        </w:rPr>
      </w:pPr>
      <w:r w:rsidRPr="009B7944">
        <w:rPr>
          <w:rFonts w:ascii="Times New Roman" w:hAnsi="Times New Roman" w:cs="Times New Roman"/>
          <w:noProof/>
          <w:sz w:val="24"/>
          <w:szCs w:val="24"/>
        </w:rPr>
        <w:t>The Commission launched a call for evidence to collect evidence on ways to improve the attractiveness of EU CCPs and enhance their supervision. The feedback period ran from 8 February 2022 to 22 March 2022. 1 response was received.</w:t>
      </w:r>
    </w:p>
    <w:p w14:paraId="26E62826" w14:textId="67B9FFD0" w:rsidR="00C60F20" w:rsidRPr="009B7944" w:rsidRDefault="00C60F20" w:rsidP="00724804">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only respondent welcomed the consultation and called for an extension of the list of eligible collateral at EU CCPs, increased transparency in CCP margin models, increased predictability of margin calls by CCPs and a substantial increase of the clearing threshold for commodities.</w:t>
      </w:r>
    </w:p>
    <w:p w14:paraId="5E796E6C" w14:textId="03F0912F" w:rsidR="004B235F" w:rsidRDefault="004B235F" w:rsidP="00C60F20">
      <w:pPr>
        <w:spacing w:after="120" w:line="240" w:lineRule="auto"/>
        <w:jc w:val="both"/>
        <w:rPr>
          <w:noProof/>
        </w:rPr>
      </w:pPr>
      <w:r w:rsidRPr="002661A8">
        <w:rPr>
          <w:noProof/>
        </w:rPr>
        <w:br w:type="page"/>
      </w:r>
    </w:p>
    <w:p w14:paraId="1F805B21" w14:textId="08AFE1E3" w:rsidR="006B087E" w:rsidRPr="002661A8" w:rsidRDefault="3FA542DF" w:rsidP="00701ABD">
      <w:pPr>
        <w:pStyle w:val="Heading1"/>
        <w:jc w:val="center"/>
        <w:rPr>
          <w:noProof/>
          <w:szCs w:val="24"/>
        </w:rPr>
      </w:pPr>
      <w:bookmarkStart w:id="1684" w:name="_Toc103337550"/>
      <w:bookmarkStart w:id="1685" w:name="_Toc106981783"/>
      <w:bookmarkStart w:id="1686" w:name="_Toc107493926"/>
      <w:bookmarkStart w:id="1687" w:name="_Toc107497962"/>
      <w:bookmarkStart w:id="1688" w:name="_Toc107503515"/>
      <w:bookmarkStart w:id="1689" w:name="_Toc107505508"/>
      <w:bookmarkStart w:id="1690" w:name="_Toc107838984"/>
      <w:bookmarkStart w:id="1691" w:name="_Toc107849316"/>
      <w:bookmarkStart w:id="1692" w:name="_Toc108539880"/>
      <w:bookmarkStart w:id="1693" w:name="_Toc109057455"/>
      <w:bookmarkStart w:id="1694" w:name="_Toc109120821"/>
      <w:bookmarkStart w:id="1695" w:name="_Toc109122420"/>
      <w:bookmarkStart w:id="1696" w:name="_Toc109133157"/>
      <w:bookmarkStart w:id="1697" w:name="_Toc120291693"/>
      <w:r w:rsidRPr="002661A8">
        <w:rPr>
          <w:noProof/>
        </w:rPr>
        <w:t>Annex 3: Who is affected and how</w:t>
      </w:r>
      <w:bookmarkEnd w:id="1684"/>
      <w:r w:rsidRPr="002661A8">
        <w:rPr>
          <w:noProof/>
        </w:rPr>
        <w:t>?</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14:paraId="1A34D330" w14:textId="03321654" w:rsidR="006B087E" w:rsidRPr="002661A8" w:rsidRDefault="004B71F0" w:rsidP="004B71F0">
      <w:pPr>
        <w:rPr>
          <w:rFonts w:ascii="Times New Roman" w:hAnsi="Times New Roman" w:cs="Times New Roman"/>
          <w:b/>
          <w:noProof/>
          <w:sz w:val="24"/>
        </w:rPr>
      </w:pPr>
      <w:bookmarkStart w:id="1698" w:name="_Toc103337551"/>
      <w:bookmarkStart w:id="1699" w:name="_Toc104310038"/>
      <w:bookmarkStart w:id="1700" w:name="_Toc105656478"/>
      <w:bookmarkStart w:id="1701" w:name="_Toc106827881"/>
      <w:bookmarkStart w:id="1702" w:name="_Toc106981784"/>
      <w:bookmarkStart w:id="1703" w:name="_Toc107493927"/>
      <w:bookmarkStart w:id="1704" w:name="_Toc107497963"/>
      <w:bookmarkStart w:id="1705" w:name="_Toc107503516"/>
      <w:bookmarkStart w:id="1706" w:name="_Toc107504635"/>
      <w:bookmarkStart w:id="1707" w:name="_Toc107505509"/>
      <w:bookmarkStart w:id="1708" w:name="_Toc107838985"/>
      <w:bookmarkStart w:id="1709" w:name="_Toc107847051"/>
      <w:bookmarkStart w:id="1710" w:name="_Toc107849317"/>
      <w:bookmarkStart w:id="1711" w:name="_Toc107853735"/>
      <w:bookmarkStart w:id="1712" w:name="_Toc107865358"/>
      <w:bookmarkStart w:id="1713" w:name="_Toc108418567"/>
      <w:bookmarkStart w:id="1714" w:name="_Toc108539659"/>
      <w:bookmarkStart w:id="1715" w:name="_Toc108539881"/>
      <w:bookmarkStart w:id="1716" w:name="_Toc108540078"/>
      <w:bookmarkStart w:id="1717" w:name="_Toc109057456"/>
      <w:bookmarkStart w:id="1718" w:name="_Toc109120822"/>
      <w:r w:rsidRPr="002661A8">
        <w:rPr>
          <w:rFonts w:ascii="Times New Roman" w:hAnsi="Times New Roman" w:cs="Times New Roman"/>
          <w:b/>
          <w:noProof/>
          <w:sz w:val="24"/>
        </w:rPr>
        <w:t xml:space="preserve">1. </w:t>
      </w:r>
      <w:r w:rsidR="3FA542DF" w:rsidRPr="002661A8">
        <w:rPr>
          <w:rFonts w:ascii="Times New Roman" w:hAnsi="Times New Roman" w:cs="Times New Roman"/>
          <w:b/>
          <w:noProof/>
          <w:sz w:val="24"/>
        </w:rPr>
        <w:t>Practical implications of the initiative</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p>
    <w:p w14:paraId="72D46189" w14:textId="11E5C01F" w:rsidR="004C1254" w:rsidRPr="002661A8" w:rsidRDefault="004C1254" w:rsidP="004E409E">
      <w:pPr>
        <w:pStyle w:val="Text1"/>
        <w:ind w:left="0"/>
        <w:rPr>
          <w:noProof/>
        </w:rPr>
      </w:pPr>
      <w:r w:rsidRPr="002661A8">
        <w:rPr>
          <w:noProof/>
        </w:rPr>
        <w:t>The preferred aggregated option will imply the following obligations:</w:t>
      </w:r>
    </w:p>
    <w:p w14:paraId="36082746" w14:textId="1DAB35EC" w:rsidR="004C1254" w:rsidRPr="002661A8" w:rsidRDefault="004C1254" w:rsidP="00ED5088">
      <w:pPr>
        <w:pStyle w:val="Text1"/>
        <w:numPr>
          <w:ilvl w:val="0"/>
          <w:numId w:val="11"/>
        </w:numPr>
        <w:rPr>
          <w:noProof/>
        </w:rPr>
      </w:pPr>
      <w:r w:rsidRPr="002661A8">
        <w:rPr>
          <w:b/>
          <w:noProof/>
        </w:rPr>
        <w:t xml:space="preserve">EU </w:t>
      </w:r>
      <w:r w:rsidR="00AF39A5" w:rsidRPr="002661A8">
        <w:rPr>
          <w:b/>
          <w:noProof/>
        </w:rPr>
        <w:t>CCPs</w:t>
      </w:r>
      <w:r w:rsidR="00AF39A5" w:rsidRPr="002661A8">
        <w:rPr>
          <w:noProof/>
        </w:rPr>
        <w:t xml:space="preserve"> do not have any specific new obligations under this initiative. They</w:t>
      </w:r>
      <w:r w:rsidRPr="002661A8">
        <w:rPr>
          <w:noProof/>
        </w:rPr>
        <w:t xml:space="preserve"> will benefit from streamlined processes to launch new products/services or adapt risk models. Their communication with supervisors may be also streamlined </w:t>
      </w:r>
      <w:r w:rsidR="009F1831" w:rsidRPr="002661A8">
        <w:rPr>
          <w:noProof/>
        </w:rPr>
        <w:t>with</w:t>
      </w:r>
      <w:r w:rsidRPr="002661A8">
        <w:rPr>
          <w:noProof/>
        </w:rPr>
        <w:t xml:space="preserve"> strengthened cooperation among supervisors. </w:t>
      </w:r>
      <w:r w:rsidR="00AF39A5" w:rsidRPr="002661A8">
        <w:rPr>
          <w:noProof/>
        </w:rPr>
        <w:t>These measures will decrease the overall regulatory costs that CCPs face. In addition, EU CCPs will benefit from increased clearing flows which will generate additional revenue.</w:t>
      </w:r>
    </w:p>
    <w:p w14:paraId="05A6EC43" w14:textId="5B5529E1" w:rsidR="004C1254" w:rsidRPr="002661A8" w:rsidRDefault="004C1254" w:rsidP="00ED5088">
      <w:pPr>
        <w:pStyle w:val="Text1"/>
        <w:numPr>
          <w:ilvl w:val="0"/>
          <w:numId w:val="11"/>
        </w:numPr>
        <w:rPr>
          <w:noProof/>
        </w:rPr>
      </w:pPr>
      <w:r w:rsidRPr="002661A8">
        <w:rPr>
          <w:b/>
          <w:noProof/>
        </w:rPr>
        <w:t>EU clearing members and clients</w:t>
      </w:r>
      <w:r w:rsidRPr="002661A8">
        <w:rPr>
          <w:noProof/>
        </w:rPr>
        <w:t xml:space="preserve"> will have to</w:t>
      </w:r>
      <w:r w:rsidR="00D830E2" w:rsidRPr="002661A8">
        <w:rPr>
          <w:noProof/>
        </w:rPr>
        <w:t xml:space="preserve"> open and maintain an active account at EU CCPs. Clearing members will need to enhance their clearing offer towards their clients by systematically proposing to clear in EU CCPs.</w:t>
      </w:r>
      <w:r w:rsidR="00AF39A5" w:rsidRPr="002661A8">
        <w:rPr>
          <w:noProof/>
        </w:rPr>
        <w:t xml:space="preserve"> These measures imply </w:t>
      </w:r>
      <w:r w:rsidR="00273F44">
        <w:rPr>
          <w:noProof/>
        </w:rPr>
        <w:t>potentially significant adjustment costs for clearing parties, especially in terms of netting benefits lost.</w:t>
      </w:r>
      <w:r w:rsidR="00AF39A5" w:rsidRPr="002661A8">
        <w:rPr>
          <w:noProof/>
        </w:rPr>
        <w:t xml:space="preserve"> T</w:t>
      </w:r>
      <w:r w:rsidR="0069575F" w:rsidRPr="002661A8">
        <w:rPr>
          <w:noProof/>
        </w:rPr>
        <w:t>he magnitude of this cost impact will depend on the requirement and respective calibration to clear a proportion of new trades at EU CCPs</w:t>
      </w:r>
      <w:r w:rsidR="000B4C25" w:rsidRPr="002661A8">
        <w:rPr>
          <w:noProof/>
        </w:rPr>
        <w:t>, as well as on market developments (e.g. increase in offer by EU CCPs)</w:t>
      </w:r>
      <w:r w:rsidR="0069575F" w:rsidRPr="002661A8">
        <w:rPr>
          <w:noProof/>
        </w:rPr>
        <w:t>.</w:t>
      </w:r>
      <w:r w:rsidR="0040562D">
        <w:rPr>
          <w:noProof/>
        </w:rPr>
        <w:t xml:space="preserve"> Overtime these costs can gradually reduce due to market adaptations.</w:t>
      </w:r>
      <w:r w:rsidR="00273F44">
        <w:rPr>
          <w:noProof/>
        </w:rPr>
        <w:t xml:space="preserve"> In addition, there will be some administrative costs related to reporting on active account requirements. </w:t>
      </w:r>
    </w:p>
    <w:p w14:paraId="44A940C3" w14:textId="0C73895B" w:rsidR="004C1254" w:rsidRPr="002661A8" w:rsidRDefault="004C1254" w:rsidP="00ED5088">
      <w:pPr>
        <w:pStyle w:val="Text1"/>
        <w:numPr>
          <w:ilvl w:val="0"/>
          <w:numId w:val="11"/>
        </w:numPr>
        <w:rPr>
          <w:noProof/>
        </w:rPr>
      </w:pPr>
      <w:r w:rsidRPr="002661A8">
        <w:rPr>
          <w:b/>
          <w:noProof/>
        </w:rPr>
        <w:t>EU and national supervisors</w:t>
      </w:r>
      <w:r w:rsidRPr="002661A8">
        <w:rPr>
          <w:noProof/>
        </w:rPr>
        <w:t xml:space="preserve"> will </w:t>
      </w:r>
      <w:r w:rsidR="00F360CA" w:rsidRPr="002661A8">
        <w:rPr>
          <w:noProof/>
        </w:rPr>
        <w:t xml:space="preserve">need to adapt their internal procedures and supervisory approach in line with the amended requirements. This will imply some change costs. In the long-run, the measures should in fact reduce day-to-day costs of supervision given streamlined requirement. </w:t>
      </w:r>
    </w:p>
    <w:p w14:paraId="6700B07A" w14:textId="6940DC8B" w:rsidR="002636AD" w:rsidRPr="002661A8" w:rsidRDefault="004B71F0" w:rsidP="004B71F0">
      <w:pPr>
        <w:rPr>
          <w:rFonts w:ascii="Times New Roman" w:hAnsi="Times New Roman" w:cs="Times New Roman"/>
          <w:b/>
          <w:noProof/>
          <w:sz w:val="24"/>
        </w:rPr>
      </w:pPr>
      <w:bookmarkStart w:id="1719" w:name="_Toc88562936"/>
      <w:bookmarkStart w:id="1720" w:name="_Toc103337552"/>
      <w:bookmarkStart w:id="1721" w:name="_Toc104310039"/>
      <w:bookmarkStart w:id="1722" w:name="_Toc105656479"/>
      <w:bookmarkStart w:id="1723" w:name="_Toc106827882"/>
      <w:bookmarkStart w:id="1724" w:name="_Toc106981785"/>
      <w:bookmarkStart w:id="1725" w:name="_Toc107493928"/>
      <w:bookmarkStart w:id="1726" w:name="_Toc107497964"/>
      <w:bookmarkStart w:id="1727" w:name="_Toc107503517"/>
      <w:bookmarkStart w:id="1728" w:name="_Toc107504636"/>
      <w:bookmarkStart w:id="1729" w:name="_Toc107505510"/>
      <w:bookmarkStart w:id="1730" w:name="_Toc107838986"/>
      <w:bookmarkStart w:id="1731" w:name="_Toc107847052"/>
      <w:bookmarkStart w:id="1732" w:name="_Toc107849318"/>
      <w:bookmarkStart w:id="1733" w:name="_Toc107853736"/>
      <w:bookmarkStart w:id="1734" w:name="_Toc107865359"/>
      <w:bookmarkStart w:id="1735" w:name="_Toc108418568"/>
      <w:bookmarkStart w:id="1736" w:name="_Toc108539660"/>
      <w:bookmarkStart w:id="1737" w:name="_Toc108539882"/>
      <w:bookmarkStart w:id="1738" w:name="_Toc108540079"/>
      <w:bookmarkStart w:id="1739" w:name="_Toc109057457"/>
      <w:bookmarkStart w:id="1740" w:name="_Toc109120823"/>
      <w:r w:rsidRPr="002661A8">
        <w:rPr>
          <w:rFonts w:ascii="Times New Roman" w:hAnsi="Times New Roman" w:cs="Times New Roman"/>
          <w:b/>
          <w:noProof/>
          <w:sz w:val="24"/>
        </w:rPr>
        <w:t xml:space="preserve">2. </w:t>
      </w:r>
      <w:r w:rsidR="002636AD" w:rsidRPr="002661A8">
        <w:rPr>
          <w:rFonts w:ascii="Times New Roman" w:hAnsi="Times New Roman" w:cs="Times New Roman"/>
          <w:b/>
          <w:noProof/>
          <w:sz w:val="24"/>
        </w:rPr>
        <w:t>Summary of costs and benefits</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14:paraId="27BB6B59" w14:textId="15771A42" w:rsidR="004C1254" w:rsidRPr="002661A8" w:rsidRDefault="004C1254" w:rsidP="00FB60BA">
      <w:pPr>
        <w:pStyle w:val="Text1"/>
        <w:ind w:left="0"/>
        <w:rPr>
          <w:noProof/>
        </w:rPr>
      </w:pPr>
      <w:r w:rsidRPr="002661A8">
        <w:rPr>
          <w:noProof/>
        </w:rPr>
        <w:t xml:space="preserve">The tables below summarise </w:t>
      </w:r>
      <w:r w:rsidR="00BA3CD3" w:rsidRPr="002661A8">
        <w:rPr>
          <w:noProof/>
        </w:rPr>
        <w:t xml:space="preserve">the </w:t>
      </w:r>
      <w:r w:rsidRPr="002661A8">
        <w:rPr>
          <w:noProof/>
        </w:rPr>
        <w:t xml:space="preserve">expected benefits and costs of the preferred initiative for the affected stakeholders. </w:t>
      </w:r>
      <w:r w:rsidR="00BA3CD3" w:rsidRPr="002661A8">
        <w:rPr>
          <w:noProof/>
        </w:rPr>
        <w:t>It should be noted</w:t>
      </w:r>
      <w:r w:rsidRPr="002661A8">
        <w:rPr>
          <w:noProof/>
        </w:rPr>
        <w:t xml:space="preserve"> that no significant costs or benefits are expected to arise for citizens, hence the overview of costs focuses on stakeholder categories expected to bear some additional costs. </w:t>
      </w:r>
    </w:p>
    <w:tbl>
      <w:tblPr>
        <w:tblStyle w:val="CV12"/>
        <w:tblW w:w="10206"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12"/>
        <w:gridCol w:w="4043"/>
        <w:gridCol w:w="3651"/>
      </w:tblGrid>
      <w:tr w:rsidR="00D41C12" w:rsidRPr="002661A8" w14:paraId="6381E91C" w14:textId="77777777" w:rsidTr="00C60B6C">
        <w:tc>
          <w:tcPr>
            <w:tcW w:w="10206" w:type="dxa"/>
            <w:gridSpan w:val="3"/>
            <w:tcBorders>
              <w:top w:val="double" w:sz="4" w:space="0" w:color="auto"/>
              <w:bottom w:val="single" w:sz="4" w:space="0" w:color="auto"/>
            </w:tcBorders>
            <w:shd w:val="clear" w:color="auto" w:fill="C6D9F1" w:themeFill="text2" w:themeFillTint="33"/>
          </w:tcPr>
          <w:p w14:paraId="785B5968" w14:textId="48591D90" w:rsidR="002636AD" w:rsidRPr="002661A8" w:rsidRDefault="002636AD" w:rsidP="002636AD">
            <w:pPr>
              <w:rPr>
                <w:b/>
                <w:noProof/>
              </w:rPr>
            </w:pPr>
            <w:r w:rsidRPr="002661A8">
              <w:rPr>
                <w:b/>
                <w:noProof/>
              </w:rPr>
              <w:t>I. Overview of Benefits (total for all provisions) – Preferred Option</w:t>
            </w:r>
          </w:p>
        </w:tc>
      </w:tr>
      <w:tr w:rsidR="007932E2" w:rsidRPr="002661A8" w14:paraId="0154229E" w14:textId="77777777" w:rsidTr="00C60B6C">
        <w:tc>
          <w:tcPr>
            <w:tcW w:w="2512" w:type="dxa"/>
            <w:tcBorders>
              <w:top w:val="single" w:sz="4" w:space="0" w:color="auto"/>
            </w:tcBorders>
            <w:shd w:val="clear" w:color="auto" w:fill="C6D9F1" w:themeFill="text2" w:themeFillTint="33"/>
          </w:tcPr>
          <w:p w14:paraId="09D8BA9B" w14:textId="77777777" w:rsidR="002636AD" w:rsidRPr="002661A8" w:rsidRDefault="002636AD" w:rsidP="002636AD">
            <w:pPr>
              <w:jc w:val="center"/>
              <w:rPr>
                <w:b/>
                <w:i/>
                <w:noProof/>
              </w:rPr>
            </w:pPr>
            <w:r w:rsidRPr="002661A8">
              <w:rPr>
                <w:b/>
                <w:i/>
                <w:noProof/>
              </w:rPr>
              <w:t>Description</w:t>
            </w:r>
          </w:p>
        </w:tc>
        <w:tc>
          <w:tcPr>
            <w:tcW w:w="4043" w:type="dxa"/>
            <w:tcBorders>
              <w:top w:val="single" w:sz="4" w:space="0" w:color="auto"/>
            </w:tcBorders>
            <w:shd w:val="clear" w:color="auto" w:fill="C6D9F1" w:themeFill="text2" w:themeFillTint="33"/>
          </w:tcPr>
          <w:p w14:paraId="5A7B8135" w14:textId="77777777" w:rsidR="002636AD" w:rsidRPr="002661A8" w:rsidRDefault="002636AD" w:rsidP="002636AD">
            <w:pPr>
              <w:jc w:val="center"/>
              <w:rPr>
                <w:b/>
                <w:i/>
                <w:noProof/>
              </w:rPr>
            </w:pPr>
            <w:r w:rsidRPr="002661A8">
              <w:rPr>
                <w:b/>
                <w:i/>
                <w:noProof/>
              </w:rPr>
              <w:t>Amount</w:t>
            </w:r>
          </w:p>
        </w:tc>
        <w:tc>
          <w:tcPr>
            <w:tcW w:w="3651" w:type="dxa"/>
            <w:tcBorders>
              <w:top w:val="single" w:sz="4" w:space="0" w:color="auto"/>
            </w:tcBorders>
            <w:shd w:val="clear" w:color="auto" w:fill="C6D9F1" w:themeFill="text2" w:themeFillTint="33"/>
            <w:tcMar>
              <w:top w:w="57" w:type="dxa"/>
              <w:left w:w="57" w:type="dxa"/>
              <w:bottom w:w="57" w:type="dxa"/>
              <w:right w:w="57" w:type="dxa"/>
            </w:tcMar>
          </w:tcPr>
          <w:p w14:paraId="4F18B13C" w14:textId="365B0B7A" w:rsidR="002636AD" w:rsidRPr="002661A8" w:rsidRDefault="002636AD" w:rsidP="002636AD">
            <w:pPr>
              <w:jc w:val="center"/>
              <w:rPr>
                <w:b/>
                <w:i/>
                <w:noProof/>
              </w:rPr>
            </w:pPr>
            <w:r w:rsidRPr="002661A8">
              <w:rPr>
                <w:b/>
                <w:i/>
                <w:noProof/>
              </w:rPr>
              <w:t>Comments</w:t>
            </w:r>
          </w:p>
        </w:tc>
      </w:tr>
      <w:tr w:rsidR="00D41C12" w:rsidRPr="002661A8" w14:paraId="63217CCE" w14:textId="77777777" w:rsidTr="00C60B6C">
        <w:tc>
          <w:tcPr>
            <w:tcW w:w="10206" w:type="dxa"/>
            <w:gridSpan w:val="3"/>
            <w:tcBorders>
              <w:top w:val="double" w:sz="4" w:space="0" w:color="auto"/>
            </w:tcBorders>
            <w:shd w:val="clear" w:color="auto" w:fill="F2F2F2" w:themeFill="background1" w:themeFillShade="F2"/>
          </w:tcPr>
          <w:p w14:paraId="13C0B662" w14:textId="77777777" w:rsidR="002636AD" w:rsidRPr="002661A8" w:rsidRDefault="002636AD" w:rsidP="002636AD">
            <w:pPr>
              <w:jc w:val="center"/>
              <w:rPr>
                <w:b/>
                <w:i/>
                <w:noProof/>
              </w:rPr>
            </w:pPr>
            <w:r w:rsidRPr="002661A8">
              <w:rPr>
                <w:b/>
                <w:i/>
                <w:noProof/>
              </w:rPr>
              <w:t>Direct benefits</w:t>
            </w:r>
          </w:p>
        </w:tc>
      </w:tr>
      <w:tr w:rsidR="002636AD" w:rsidRPr="002661A8" w14:paraId="69BB374C" w14:textId="77777777" w:rsidTr="00C60B6C">
        <w:tc>
          <w:tcPr>
            <w:tcW w:w="2512" w:type="dxa"/>
            <w:tcBorders>
              <w:bottom w:val="double" w:sz="4" w:space="0" w:color="auto"/>
            </w:tcBorders>
          </w:tcPr>
          <w:p w14:paraId="2A158A19" w14:textId="0AE888BB" w:rsidR="002636AD" w:rsidRPr="002661A8" w:rsidRDefault="00585DBD" w:rsidP="00C60B6C">
            <w:pPr>
              <w:rPr>
                <w:noProof/>
              </w:rPr>
            </w:pPr>
            <w:r>
              <w:rPr>
                <w:noProof/>
              </w:rPr>
              <w:t>Administrative</w:t>
            </w:r>
            <w:r w:rsidRPr="002661A8">
              <w:rPr>
                <w:noProof/>
              </w:rPr>
              <w:t xml:space="preserve"> </w:t>
            </w:r>
            <w:r w:rsidR="0071352B" w:rsidRPr="002661A8">
              <w:rPr>
                <w:noProof/>
              </w:rPr>
              <w:t>costs reductions</w:t>
            </w:r>
          </w:p>
        </w:tc>
        <w:tc>
          <w:tcPr>
            <w:tcW w:w="4043" w:type="dxa"/>
            <w:tcBorders>
              <w:bottom w:val="double" w:sz="4" w:space="0" w:color="auto"/>
            </w:tcBorders>
            <w:tcMar>
              <w:top w:w="57" w:type="dxa"/>
              <w:left w:w="57" w:type="dxa"/>
              <w:bottom w:w="57" w:type="dxa"/>
              <w:right w:w="57" w:type="dxa"/>
            </w:tcMar>
          </w:tcPr>
          <w:p w14:paraId="7B046C8E" w14:textId="2BDD61BB" w:rsidR="00DA3494" w:rsidRPr="002661A8" w:rsidRDefault="007157C8" w:rsidP="00C60B6C">
            <w:pPr>
              <w:jc w:val="both"/>
              <w:rPr>
                <w:noProof/>
              </w:rPr>
            </w:pPr>
            <w:r w:rsidRPr="002661A8">
              <w:rPr>
                <w:rFonts w:eastAsia="Calibri"/>
                <w:noProof/>
              </w:rPr>
              <w:t>Ongoing reducti</w:t>
            </w:r>
            <w:r w:rsidR="00DA3494" w:rsidRPr="002661A8">
              <w:rPr>
                <w:rFonts w:eastAsia="Calibri"/>
                <w:noProof/>
              </w:rPr>
              <w:t>on of compliance costs for CCPs:</w:t>
            </w:r>
            <w:r w:rsidR="00277710" w:rsidRPr="002661A8">
              <w:rPr>
                <w:rFonts w:eastAsia="Calibri"/>
                <w:noProof/>
              </w:rPr>
              <w:t xml:space="preserve"> total </w:t>
            </w:r>
            <w:r w:rsidR="007314E8">
              <w:rPr>
                <w:rFonts w:eastAsia="Calibri"/>
                <w:noProof/>
              </w:rPr>
              <w:t xml:space="preserve">EU-wide </w:t>
            </w:r>
            <w:r w:rsidR="00277710" w:rsidRPr="002661A8">
              <w:rPr>
                <w:rFonts w:eastAsia="Calibri"/>
                <w:noProof/>
              </w:rPr>
              <w:t>ongoing cost reduction of ca. EUR</w:t>
            </w:r>
            <w:r w:rsidR="00A91D95" w:rsidRPr="002661A8" w:rsidDel="009D09CF">
              <w:rPr>
                <w:noProof/>
              </w:rPr>
              <w:t> </w:t>
            </w:r>
            <w:r w:rsidR="009D09CF">
              <w:rPr>
                <w:rFonts w:eastAsia="Calibri"/>
                <w:noProof/>
              </w:rPr>
              <w:t>5</w:t>
            </w:r>
            <w:r w:rsidR="00A91D95" w:rsidRPr="002661A8">
              <w:rPr>
                <w:noProof/>
              </w:rPr>
              <w:t> </w:t>
            </w:r>
            <w:r w:rsidR="00277710" w:rsidRPr="002661A8">
              <w:rPr>
                <w:rFonts w:eastAsia="Calibri"/>
                <w:noProof/>
              </w:rPr>
              <w:t>million to ca. EUR</w:t>
            </w:r>
            <w:r w:rsidR="00A91D95" w:rsidRPr="002661A8" w:rsidDel="009D09CF">
              <w:rPr>
                <w:noProof/>
              </w:rPr>
              <w:t> </w:t>
            </w:r>
            <w:r w:rsidR="009D09CF" w:rsidRPr="002661A8">
              <w:rPr>
                <w:rFonts w:eastAsia="Calibri"/>
                <w:noProof/>
              </w:rPr>
              <w:t>1</w:t>
            </w:r>
            <w:r w:rsidR="009D09CF">
              <w:rPr>
                <w:rFonts w:eastAsia="Calibri"/>
                <w:noProof/>
              </w:rPr>
              <w:t>5</w:t>
            </w:r>
            <w:r w:rsidR="00A91D95" w:rsidRPr="002661A8">
              <w:rPr>
                <w:noProof/>
              </w:rPr>
              <w:t> </w:t>
            </w:r>
            <w:r w:rsidR="00277710" w:rsidRPr="002661A8">
              <w:rPr>
                <w:rFonts w:eastAsia="Calibri"/>
                <w:noProof/>
              </w:rPr>
              <w:t xml:space="preserve">million (assuming 10 </w:t>
            </w:r>
            <w:r w:rsidR="00B91111" w:rsidRPr="002661A8">
              <w:rPr>
                <w:rFonts w:eastAsia="Calibri"/>
                <w:noProof/>
              </w:rPr>
              <w:t>A</w:t>
            </w:r>
            <w:r w:rsidR="00277710" w:rsidRPr="002661A8">
              <w:rPr>
                <w:rFonts w:eastAsia="Calibri"/>
                <w:noProof/>
              </w:rPr>
              <w:t>rticle 15 or 49 procedures per year for all EU CCPs)</w:t>
            </w:r>
            <w:r w:rsidR="007314E8">
              <w:rPr>
                <w:rFonts w:eastAsia="Calibri"/>
                <w:noProof/>
              </w:rPr>
              <w:t>. The more detailed breakdown of cost savings per procedure follows</w:t>
            </w:r>
            <w:r w:rsidR="00277710" w:rsidRPr="002661A8">
              <w:rPr>
                <w:rFonts w:eastAsia="Calibri"/>
                <w:noProof/>
              </w:rPr>
              <w:t>:</w:t>
            </w:r>
          </w:p>
          <w:p w14:paraId="568058A0" w14:textId="1F40B437" w:rsidR="009D09CF" w:rsidRDefault="009D09CF" w:rsidP="00577F2E">
            <w:pPr>
              <w:pStyle w:val="ListParagraph"/>
              <w:numPr>
                <w:ilvl w:val="0"/>
                <w:numId w:val="13"/>
              </w:numPr>
              <w:ind w:left="457"/>
              <w:jc w:val="both"/>
              <w:rPr>
                <w:noProof/>
              </w:rPr>
            </w:pPr>
            <w:r>
              <w:rPr>
                <w:noProof/>
              </w:rPr>
              <w:t xml:space="preserve">For option A2: </w:t>
            </w:r>
            <w:r w:rsidRPr="009D09CF">
              <w:rPr>
                <w:noProof/>
              </w:rPr>
              <w:t xml:space="preserve">Reduction of staff needed </w:t>
            </w:r>
            <w:r>
              <w:rPr>
                <w:noProof/>
              </w:rPr>
              <w:t>thanks to simplified procedures</w:t>
            </w:r>
            <w:r w:rsidRPr="009D09CF">
              <w:rPr>
                <w:noProof/>
              </w:rPr>
              <w:t xml:space="preserve">: approx. </w:t>
            </w:r>
            <w:r>
              <w:rPr>
                <w:noProof/>
              </w:rPr>
              <w:t>0.5</w:t>
            </w:r>
            <w:r w:rsidRPr="009D09CF">
              <w:rPr>
                <w:noProof/>
              </w:rPr>
              <w:t xml:space="preserve"> FTE</w:t>
            </w:r>
            <w:r>
              <w:rPr>
                <w:noProof/>
              </w:rPr>
              <w:t xml:space="preserve"> per year, costing approximately </w:t>
            </w:r>
            <w:r w:rsidRPr="009D09CF">
              <w:rPr>
                <w:noProof/>
              </w:rPr>
              <w:t xml:space="preserve">EUR </w:t>
            </w:r>
            <w:r>
              <w:rPr>
                <w:noProof/>
              </w:rPr>
              <w:t>150</w:t>
            </w:r>
            <w:r w:rsidRPr="009D09CF">
              <w:rPr>
                <w:noProof/>
              </w:rPr>
              <w:t xml:space="preserve"> 000</w:t>
            </w:r>
            <w:r>
              <w:rPr>
                <w:noProof/>
              </w:rPr>
              <w:t>.</w:t>
            </w:r>
          </w:p>
          <w:p w14:paraId="5C99936F" w14:textId="4943F384" w:rsidR="00DA3494" w:rsidRPr="002661A8" w:rsidRDefault="00DA3494" w:rsidP="00ED5088">
            <w:pPr>
              <w:pStyle w:val="ListParagraph"/>
              <w:numPr>
                <w:ilvl w:val="0"/>
                <w:numId w:val="13"/>
              </w:numPr>
              <w:ind w:left="457"/>
              <w:jc w:val="both"/>
              <w:rPr>
                <w:noProof/>
              </w:rPr>
            </w:pPr>
            <w:r w:rsidRPr="002661A8">
              <w:rPr>
                <w:noProof/>
              </w:rPr>
              <w:t>Reduction of costs related to legal opinions</w:t>
            </w:r>
            <w:r w:rsidR="00277710" w:rsidRPr="002661A8">
              <w:rPr>
                <w:noProof/>
              </w:rPr>
              <w:t xml:space="preserve">: </w:t>
            </w:r>
            <w:r w:rsidRPr="002661A8">
              <w:rPr>
                <w:noProof/>
              </w:rPr>
              <w:t xml:space="preserve">potential saving </w:t>
            </w:r>
            <w:r w:rsidR="00CB69A0" w:rsidRPr="002661A8">
              <w:rPr>
                <w:noProof/>
              </w:rPr>
              <w:t xml:space="preserve">between </w:t>
            </w:r>
            <w:r w:rsidR="002716AE" w:rsidRPr="002661A8">
              <w:rPr>
                <w:noProof/>
              </w:rPr>
              <w:t>EUR</w:t>
            </w:r>
            <w:r w:rsidR="00EB1674" w:rsidRPr="002661A8">
              <w:rPr>
                <w:noProof/>
              </w:rPr>
              <w:t> </w:t>
            </w:r>
            <w:r w:rsidR="002716AE" w:rsidRPr="002661A8">
              <w:rPr>
                <w:noProof/>
              </w:rPr>
              <w:t>10</w:t>
            </w:r>
            <w:r w:rsidR="00EB1674" w:rsidRPr="002661A8">
              <w:rPr>
                <w:noProof/>
              </w:rPr>
              <w:t> </w:t>
            </w:r>
            <w:r w:rsidR="002716AE" w:rsidRPr="002661A8">
              <w:rPr>
                <w:noProof/>
              </w:rPr>
              <w:t xml:space="preserve">000 </w:t>
            </w:r>
            <w:r w:rsidRPr="002661A8">
              <w:rPr>
                <w:noProof/>
              </w:rPr>
              <w:t>and</w:t>
            </w:r>
            <w:r w:rsidR="00CB69A0" w:rsidRPr="002661A8">
              <w:rPr>
                <w:noProof/>
              </w:rPr>
              <w:t xml:space="preserve"> EUR</w:t>
            </w:r>
            <w:r w:rsidR="00EB1674" w:rsidRPr="002661A8">
              <w:rPr>
                <w:noProof/>
              </w:rPr>
              <w:t> </w:t>
            </w:r>
            <w:r w:rsidR="00CB69A0" w:rsidRPr="002661A8">
              <w:rPr>
                <w:noProof/>
              </w:rPr>
              <w:t>250</w:t>
            </w:r>
            <w:r w:rsidR="00EB1674" w:rsidRPr="002661A8">
              <w:rPr>
                <w:noProof/>
              </w:rPr>
              <w:t> </w:t>
            </w:r>
            <w:r w:rsidR="002716AE" w:rsidRPr="002661A8">
              <w:rPr>
                <w:noProof/>
              </w:rPr>
              <w:t>000</w:t>
            </w:r>
            <w:r w:rsidRPr="002661A8">
              <w:rPr>
                <w:noProof/>
              </w:rPr>
              <w:t xml:space="preserve"> (depending on the procedure and the fees charged) per procedure</w:t>
            </w:r>
            <w:r w:rsidR="00CB69A0" w:rsidRPr="002661A8">
              <w:rPr>
                <w:noProof/>
              </w:rPr>
              <w:t xml:space="preserve">. </w:t>
            </w:r>
          </w:p>
          <w:p w14:paraId="038105D2" w14:textId="77CBD29F" w:rsidR="00DA3494" w:rsidRPr="002661A8" w:rsidRDefault="00DA3494" w:rsidP="00ED5088">
            <w:pPr>
              <w:pStyle w:val="ListParagraph"/>
              <w:numPr>
                <w:ilvl w:val="0"/>
                <w:numId w:val="13"/>
              </w:numPr>
              <w:ind w:left="457"/>
              <w:jc w:val="both"/>
              <w:rPr>
                <w:noProof/>
              </w:rPr>
            </w:pPr>
            <w:r w:rsidRPr="002661A8">
              <w:rPr>
                <w:noProof/>
              </w:rPr>
              <w:t xml:space="preserve">Reduction of </w:t>
            </w:r>
            <w:r w:rsidR="00CB69A0" w:rsidRPr="002661A8">
              <w:rPr>
                <w:noProof/>
              </w:rPr>
              <w:t>cost</w:t>
            </w:r>
            <w:r w:rsidRPr="002661A8">
              <w:rPr>
                <w:noProof/>
              </w:rPr>
              <w:t>s</w:t>
            </w:r>
            <w:r w:rsidR="00CB69A0" w:rsidRPr="002661A8">
              <w:rPr>
                <w:noProof/>
              </w:rPr>
              <w:t xml:space="preserve"> of external consultants for an art. 15 or 49 procedure</w:t>
            </w:r>
            <w:r w:rsidR="00277710" w:rsidRPr="002661A8">
              <w:rPr>
                <w:noProof/>
              </w:rPr>
              <w:t>:</w:t>
            </w:r>
            <w:r w:rsidRPr="002661A8">
              <w:rPr>
                <w:noProof/>
              </w:rPr>
              <w:t xml:space="preserve"> savings </w:t>
            </w:r>
            <w:r w:rsidR="00CB69A0" w:rsidRPr="002661A8">
              <w:rPr>
                <w:noProof/>
              </w:rPr>
              <w:t>between EUR</w:t>
            </w:r>
            <w:r w:rsidR="00EB1674" w:rsidRPr="002661A8">
              <w:rPr>
                <w:noProof/>
              </w:rPr>
              <w:t> </w:t>
            </w:r>
            <w:r w:rsidR="002716AE" w:rsidRPr="002661A8">
              <w:rPr>
                <w:noProof/>
              </w:rPr>
              <w:t>200</w:t>
            </w:r>
            <w:r w:rsidR="00EB1674" w:rsidRPr="002661A8">
              <w:rPr>
                <w:noProof/>
              </w:rPr>
              <w:t> </w:t>
            </w:r>
            <w:r w:rsidR="002716AE" w:rsidRPr="002661A8">
              <w:rPr>
                <w:noProof/>
              </w:rPr>
              <w:t xml:space="preserve">000 </w:t>
            </w:r>
            <w:r w:rsidR="00277710" w:rsidRPr="002661A8">
              <w:rPr>
                <w:noProof/>
              </w:rPr>
              <w:t xml:space="preserve">and </w:t>
            </w:r>
            <w:r w:rsidR="00CB69A0" w:rsidRPr="002661A8">
              <w:rPr>
                <w:noProof/>
              </w:rPr>
              <w:t>EUR</w:t>
            </w:r>
            <w:r w:rsidR="00EB1674" w:rsidRPr="002661A8">
              <w:rPr>
                <w:noProof/>
              </w:rPr>
              <w:t> </w:t>
            </w:r>
            <w:r w:rsidR="00CB69A0" w:rsidRPr="002661A8">
              <w:rPr>
                <w:noProof/>
              </w:rPr>
              <w:t>3</w:t>
            </w:r>
            <w:r w:rsidRPr="002661A8">
              <w:rPr>
                <w:noProof/>
              </w:rPr>
              <w:t>50</w:t>
            </w:r>
            <w:r w:rsidR="00EB1674" w:rsidRPr="002661A8">
              <w:rPr>
                <w:noProof/>
              </w:rPr>
              <w:t> </w:t>
            </w:r>
            <w:r w:rsidR="002716AE" w:rsidRPr="002661A8">
              <w:rPr>
                <w:noProof/>
              </w:rPr>
              <w:t xml:space="preserve">000 </w:t>
            </w:r>
            <w:r w:rsidRPr="002661A8">
              <w:rPr>
                <w:noProof/>
              </w:rPr>
              <w:t>per procedure</w:t>
            </w:r>
            <w:r w:rsidR="00CB69A0" w:rsidRPr="002661A8">
              <w:rPr>
                <w:noProof/>
              </w:rPr>
              <w:t xml:space="preserve">. </w:t>
            </w:r>
          </w:p>
          <w:p w14:paraId="72653722" w14:textId="61051A2F" w:rsidR="007157C8" w:rsidRPr="002661A8" w:rsidRDefault="00DA3494" w:rsidP="00ED5088">
            <w:pPr>
              <w:pStyle w:val="ListParagraph"/>
              <w:numPr>
                <w:ilvl w:val="0"/>
                <w:numId w:val="13"/>
              </w:numPr>
              <w:ind w:left="457"/>
              <w:jc w:val="both"/>
              <w:rPr>
                <w:rFonts w:eastAsia="Calibri"/>
                <w:noProof/>
              </w:rPr>
            </w:pPr>
            <w:r w:rsidRPr="002661A8">
              <w:rPr>
                <w:noProof/>
              </w:rPr>
              <w:t>Reduction of costs o</w:t>
            </w:r>
            <w:r w:rsidR="00CB69A0" w:rsidRPr="002661A8">
              <w:rPr>
                <w:noProof/>
              </w:rPr>
              <w:t>f hiring staff for these procedures (</w:t>
            </w:r>
            <w:r w:rsidR="00277710" w:rsidRPr="002661A8">
              <w:rPr>
                <w:noProof/>
              </w:rPr>
              <w:t xml:space="preserve">assuming </w:t>
            </w:r>
            <w:r w:rsidR="00CB69A0" w:rsidRPr="002661A8">
              <w:rPr>
                <w:noProof/>
              </w:rPr>
              <w:t>a 1-year contract)</w:t>
            </w:r>
            <w:r w:rsidR="00277710" w:rsidRPr="002661A8">
              <w:rPr>
                <w:noProof/>
              </w:rPr>
              <w:t xml:space="preserve">: </w:t>
            </w:r>
            <w:r w:rsidRPr="002661A8">
              <w:rPr>
                <w:noProof/>
              </w:rPr>
              <w:t xml:space="preserve"> savings of approx. </w:t>
            </w:r>
            <w:r w:rsidR="00CB69A0" w:rsidRPr="002661A8">
              <w:rPr>
                <w:noProof/>
              </w:rPr>
              <w:t>EUR</w:t>
            </w:r>
            <w:r w:rsidR="00EB1674" w:rsidRPr="002661A8">
              <w:rPr>
                <w:noProof/>
              </w:rPr>
              <w:t> </w:t>
            </w:r>
            <w:r w:rsidR="00CB69A0" w:rsidRPr="002661A8">
              <w:rPr>
                <w:noProof/>
              </w:rPr>
              <w:t>1</w:t>
            </w:r>
            <w:r w:rsidR="00A91D95" w:rsidRPr="002661A8">
              <w:rPr>
                <w:noProof/>
              </w:rPr>
              <w:t> </w:t>
            </w:r>
            <w:r w:rsidR="003A4FA5" w:rsidRPr="002661A8">
              <w:rPr>
                <w:noProof/>
              </w:rPr>
              <w:t>300</w:t>
            </w:r>
            <w:r w:rsidR="00CB69A0" w:rsidRPr="002661A8">
              <w:rPr>
                <w:noProof/>
              </w:rPr>
              <w:t xml:space="preserve"> per day</w:t>
            </w:r>
            <w:r w:rsidRPr="002661A8">
              <w:rPr>
                <w:noProof/>
              </w:rPr>
              <w:t xml:space="preserve"> over 1 year</w:t>
            </w:r>
            <w:r w:rsidR="00577F2E">
              <w:rPr>
                <w:noProof/>
              </w:rPr>
              <w:t xml:space="preserve"> or approx. EUR</w:t>
            </w:r>
            <w:r w:rsidR="00577F2E" w:rsidRPr="002661A8">
              <w:rPr>
                <w:noProof/>
              </w:rPr>
              <w:t> </w:t>
            </w:r>
            <w:r w:rsidR="00577F2E">
              <w:rPr>
                <w:noProof/>
              </w:rPr>
              <w:t>475</w:t>
            </w:r>
            <w:r w:rsidR="00577F2E" w:rsidRPr="002661A8">
              <w:rPr>
                <w:noProof/>
              </w:rPr>
              <w:t> </w:t>
            </w:r>
            <w:r w:rsidR="00577F2E">
              <w:rPr>
                <w:noProof/>
              </w:rPr>
              <w:t>000 per annum</w:t>
            </w:r>
            <w:r w:rsidR="00CB69A0" w:rsidRPr="002661A8">
              <w:rPr>
                <w:noProof/>
              </w:rPr>
              <w:t>.</w:t>
            </w:r>
          </w:p>
          <w:p w14:paraId="175FA438" w14:textId="347AEED8" w:rsidR="002636AD" w:rsidRPr="002661A8" w:rsidRDefault="00A47489" w:rsidP="00ED5088">
            <w:pPr>
              <w:pStyle w:val="ListParagraph"/>
              <w:numPr>
                <w:ilvl w:val="0"/>
                <w:numId w:val="13"/>
              </w:numPr>
              <w:ind w:left="457"/>
              <w:jc w:val="both"/>
              <w:rPr>
                <w:noProof/>
              </w:rPr>
            </w:pPr>
            <w:r w:rsidRPr="002661A8">
              <w:rPr>
                <w:rFonts w:eastAsia="Calibri"/>
                <w:noProof/>
              </w:rPr>
              <w:t xml:space="preserve">Reduction of staff needed for a given procedure: approx. 1.6 FTEs for a given procedure over 1 year, costing </w:t>
            </w:r>
            <w:r w:rsidR="00277710" w:rsidRPr="002661A8">
              <w:rPr>
                <w:rFonts w:eastAsia="Calibri"/>
                <w:noProof/>
              </w:rPr>
              <w:t xml:space="preserve">approximately </w:t>
            </w:r>
            <w:r w:rsidRPr="002661A8">
              <w:rPr>
                <w:rFonts w:eastAsia="Calibri"/>
                <w:noProof/>
              </w:rPr>
              <w:t>EUR</w:t>
            </w:r>
            <w:r w:rsidR="00EB1674" w:rsidRPr="002661A8">
              <w:rPr>
                <w:noProof/>
              </w:rPr>
              <w:t> </w:t>
            </w:r>
            <w:r w:rsidRPr="002661A8">
              <w:rPr>
                <w:rFonts w:eastAsia="Calibri"/>
                <w:noProof/>
              </w:rPr>
              <w:t>300</w:t>
            </w:r>
            <w:r w:rsidR="00EB1674" w:rsidRPr="002661A8">
              <w:rPr>
                <w:noProof/>
              </w:rPr>
              <w:t> </w:t>
            </w:r>
            <w:r w:rsidR="00EB1674" w:rsidRPr="002661A8">
              <w:rPr>
                <w:rFonts w:eastAsia="Calibri"/>
                <w:noProof/>
              </w:rPr>
              <w:t>000</w:t>
            </w:r>
            <w:r w:rsidRPr="002661A8">
              <w:rPr>
                <w:rFonts w:eastAsia="Calibri"/>
                <w:noProof/>
              </w:rPr>
              <w:t>.</w:t>
            </w:r>
          </w:p>
        </w:tc>
        <w:tc>
          <w:tcPr>
            <w:tcW w:w="3651" w:type="dxa"/>
            <w:tcBorders>
              <w:bottom w:val="double" w:sz="4" w:space="0" w:color="auto"/>
            </w:tcBorders>
            <w:tcMar>
              <w:top w:w="57" w:type="dxa"/>
              <w:left w:w="57" w:type="dxa"/>
              <w:bottom w:w="57" w:type="dxa"/>
              <w:right w:w="57" w:type="dxa"/>
            </w:tcMar>
          </w:tcPr>
          <w:p w14:paraId="4B2BC897" w14:textId="105E1465" w:rsidR="002636AD" w:rsidRPr="002661A8" w:rsidRDefault="00C17F20" w:rsidP="00387954">
            <w:pPr>
              <w:jc w:val="both"/>
              <w:rPr>
                <w:noProof/>
              </w:rPr>
            </w:pPr>
            <w:r w:rsidRPr="002661A8">
              <w:rPr>
                <w:noProof/>
              </w:rPr>
              <w:t xml:space="preserve">This benefit stems from the simplified </w:t>
            </w:r>
            <w:r w:rsidR="00277710" w:rsidRPr="002661A8">
              <w:rPr>
                <w:noProof/>
              </w:rPr>
              <w:t>approval procedures and replacement of ex-ante approval by ex-post approval for some changes. S</w:t>
            </w:r>
            <w:r w:rsidR="001D289B" w:rsidRPr="002661A8">
              <w:rPr>
                <w:noProof/>
              </w:rPr>
              <w:t>tandardised documents</w:t>
            </w:r>
            <w:r w:rsidR="00277710" w:rsidRPr="002661A8">
              <w:rPr>
                <w:noProof/>
              </w:rPr>
              <w:t xml:space="preserve"> and</w:t>
            </w:r>
            <w:r w:rsidR="001D289B" w:rsidRPr="002661A8">
              <w:rPr>
                <w:noProof/>
              </w:rPr>
              <w:t xml:space="preserve"> greater clarity</w:t>
            </w:r>
            <w:r w:rsidR="00277710" w:rsidRPr="002661A8">
              <w:rPr>
                <w:noProof/>
              </w:rPr>
              <w:t xml:space="preserve"> on what needs to be submitted will require less substantive and legal work. Greater clarity is also expected limit the needed interaction with supervisors (i.e. currently duplicative and contradicting rules and requests). </w:t>
            </w:r>
          </w:p>
        </w:tc>
      </w:tr>
      <w:tr w:rsidR="00877AC7" w:rsidRPr="002661A8" w14:paraId="165B508B" w14:textId="77777777" w:rsidTr="00C241FC">
        <w:tc>
          <w:tcPr>
            <w:tcW w:w="2512" w:type="dxa"/>
            <w:tcBorders>
              <w:bottom w:val="double" w:sz="4" w:space="0" w:color="auto"/>
            </w:tcBorders>
          </w:tcPr>
          <w:p w14:paraId="2B959556" w14:textId="16320B1B" w:rsidR="0071352B" w:rsidRPr="002661A8" w:rsidRDefault="0071352B" w:rsidP="00C60B6C">
            <w:pPr>
              <w:rPr>
                <w:noProof/>
              </w:rPr>
            </w:pPr>
            <w:r w:rsidRPr="002661A8">
              <w:rPr>
                <w:noProof/>
              </w:rPr>
              <w:t xml:space="preserve">Improved </w:t>
            </w:r>
            <w:r w:rsidR="00AE7201" w:rsidRPr="002661A8">
              <w:rPr>
                <w:noProof/>
              </w:rPr>
              <w:t>capacity for oversight and management of financial stability risks</w:t>
            </w:r>
            <w:r w:rsidRPr="002661A8">
              <w:rPr>
                <w:noProof/>
              </w:rPr>
              <w:t xml:space="preserve"> </w:t>
            </w:r>
            <w:r w:rsidR="000B4C25" w:rsidRPr="002661A8">
              <w:rPr>
                <w:noProof/>
              </w:rPr>
              <w:t xml:space="preserve">and </w:t>
            </w:r>
            <w:r w:rsidRPr="002661A8">
              <w:rPr>
                <w:noProof/>
              </w:rPr>
              <w:t xml:space="preserve">supervisory </w:t>
            </w:r>
            <w:r w:rsidR="007A4AF3" w:rsidRPr="002661A8">
              <w:rPr>
                <w:noProof/>
              </w:rPr>
              <w:t>capacity</w:t>
            </w:r>
            <w:r w:rsidRPr="002661A8">
              <w:rPr>
                <w:noProof/>
              </w:rPr>
              <w:t xml:space="preserve"> </w:t>
            </w:r>
            <w:r w:rsidR="007A4AF3" w:rsidRPr="002661A8">
              <w:rPr>
                <w:noProof/>
              </w:rPr>
              <w:t>of</w:t>
            </w:r>
            <w:r w:rsidRPr="002661A8">
              <w:rPr>
                <w:noProof/>
              </w:rPr>
              <w:t xml:space="preserve"> ESMA, central banks of issue and national supervisors</w:t>
            </w:r>
          </w:p>
        </w:tc>
        <w:tc>
          <w:tcPr>
            <w:tcW w:w="4043" w:type="dxa"/>
            <w:tcBorders>
              <w:bottom w:val="double" w:sz="4" w:space="0" w:color="auto"/>
            </w:tcBorders>
            <w:tcMar>
              <w:top w:w="57" w:type="dxa"/>
              <w:left w:w="57" w:type="dxa"/>
              <w:bottom w:w="57" w:type="dxa"/>
              <w:right w:w="57" w:type="dxa"/>
            </w:tcMar>
          </w:tcPr>
          <w:p w14:paraId="22F9604D" w14:textId="55B64C7F" w:rsidR="007A4AF3" w:rsidRPr="002661A8" w:rsidRDefault="00BE6174" w:rsidP="00C60B6C">
            <w:pPr>
              <w:rPr>
                <w:noProof/>
              </w:rPr>
            </w:pPr>
            <w:r w:rsidRPr="002661A8">
              <w:rPr>
                <w:noProof/>
              </w:rPr>
              <w:t>No estimate available.</w:t>
            </w:r>
          </w:p>
          <w:p w14:paraId="248ED3BE" w14:textId="3B12134E" w:rsidR="007A4AF3" w:rsidRPr="002661A8" w:rsidRDefault="007A4AF3" w:rsidP="00C60B6C">
            <w:pPr>
              <w:rPr>
                <w:noProof/>
              </w:rPr>
            </w:pPr>
          </w:p>
        </w:tc>
        <w:tc>
          <w:tcPr>
            <w:tcW w:w="3651" w:type="dxa"/>
            <w:tcBorders>
              <w:bottom w:val="double" w:sz="4" w:space="0" w:color="auto"/>
            </w:tcBorders>
            <w:tcMar>
              <w:top w:w="57" w:type="dxa"/>
              <w:left w:w="57" w:type="dxa"/>
              <w:bottom w:w="57" w:type="dxa"/>
              <w:right w:w="57" w:type="dxa"/>
            </w:tcMar>
          </w:tcPr>
          <w:p w14:paraId="165DEF27" w14:textId="6243850F" w:rsidR="007A4AF3" w:rsidRPr="002661A8" w:rsidRDefault="00AE7201" w:rsidP="000B4C25">
            <w:pPr>
              <w:jc w:val="both"/>
              <w:rPr>
                <w:noProof/>
              </w:rPr>
            </w:pPr>
            <w:r w:rsidRPr="002661A8">
              <w:rPr>
                <w:noProof/>
              </w:rPr>
              <w:t xml:space="preserve">Due to enhanced and more efficient cooperation between ESMA, central banks of issue and national supervisors, supervisors will be able to better </w:t>
            </w:r>
            <w:r w:rsidR="000B4C25" w:rsidRPr="002661A8">
              <w:rPr>
                <w:noProof/>
              </w:rPr>
              <w:t xml:space="preserve">monitor </w:t>
            </w:r>
            <w:r w:rsidRPr="002661A8">
              <w:rPr>
                <w:noProof/>
              </w:rPr>
              <w:t xml:space="preserve">relevant financial stability risks. </w:t>
            </w:r>
            <w:r w:rsidR="00277710" w:rsidRPr="002661A8">
              <w:rPr>
                <w:noProof/>
              </w:rPr>
              <w:t>Notably, clarification of roles of different supervisory entities, reduction of duplications and improved knowledge sharing and more frequent cooperation will contribute to this effect</w:t>
            </w:r>
            <w:r w:rsidR="00F21289" w:rsidRPr="002661A8">
              <w:rPr>
                <w:noProof/>
              </w:rPr>
              <w:t xml:space="preserve"> together with greater clarity as to minor vs major changes in activities and models efficiencies</w:t>
            </w:r>
            <w:r w:rsidR="00277710" w:rsidRPr="002661A8">
              <w:rPr>
                <w:noProof/>
              </w:rPr>
              <w:t>. Central banks and ESMA would benefit from having a clearer overview on EU CCPs and relevant financial stability risks, which is important for their role.</w:t>
            </w:r>
          </w:p>
        </w:tc>
      </w:tr>
      <w:tr w:rsidR="002636AD" w:rsidRPr="002661A8" w14:paraId="54D1F490" w14:textId="77777777" w:rsidTr="00C60B6C">
        <w:tc>
          <w:tcPr>
            <w:tcW w:w="10206" w:type="dxa"/>
            <w:gridSpan w:val="3"/>
            <w:shd w:val="clear" w:color="auto" w:fill="F2F2F2" w:themeFill="background1" w:themeFillShade="F2"/>
          </w:tcPr>
          <w:p w14:paraId="4E4554C5" w14:textId="77777777" w:rsidR="002636AD" w:rsidRPr="002661A8" w:rsidRDefault="002636AD" w:rsidP="00C60B6C">
            <w:pPr>
              <w:jc w:val="center"/>
              <w:rPr>
                <w:b/>
                <w:i/>
                <w:noProof/>
              </w:rPr>
            </w:pPr>
            <w:r w:rsidRPr="002661A8">
              <w:rPr>
                <w:b/>
                <w:i/>
                <w:noProof/>
              </w:rPr>
              <w:t>Indirect benefits</w:t>
            </w:r>
          </w:p>
        </w:tc>
      </w:tr>
      <w:tr w:rsidR="002636AD" w:rsidRPr="002661A8" w14:paraId="210E761B" w14:textId="77777777" w:rsidTr="00C60B6C">
        <w:tc>
          <w:tcPr>
            <w:tcW w:w="2512" w:type="dxa"/>
            <w:tcBorders>
              <w:top w:val="double" w:sz="4" w:space="0" w:color="auto"/>
            </w:tcBorders>
          </w:tcPr>
          <w:p w14:paraId="1106C6C0" w14:textId="274F5765" w:rsidR="00C17F20" w:rsidRPr="002661A8" w:rsidRDefault="00C17F20" w:rsidP="00C17F20">
            <w:pPr>
              <w:rPr>
                <w:noProof/>
              </w:rPr>
            </w:pPr>
            <w:r w:rsidRPr="002661A8">
              <w:rPr>
                <w:noProof/>
              </w:rPr>
              <w:t xml:space="preserve">Lower financial stability risks </w:t>
            </w:r>
          </w:p>
          <w:p w14:paraId="15A020D7" w14:textId="00944A78" w:rsidR="002636AD" w:rsidRPr="002661A8" w:rsidRDefault="002636AD" w:rsidP="00C60B6C">
            <w:pPr>
              <w:rPr>
                <w:noProof/>
              </w:rPr>
            </w:pPr>
          </w:p>
        </w:tc>
        <w:tc>
          <w:tcPr>
            <w:tcW w:w="4043" w:type="dxa"/>
            <w:tcBorders>
              <w:top w:val="double" w:sz="4" w:space="0" w:color="auto"/>
            </w:tcBorders>
            <w:tcMar>
              <w:top w:w="57" w:type="dxa"/>
              <w:left w:w="57" w:type="dxa"/>
              <w:bottom w:w="57" w:type="dxa"/>
              <w:right w:w="57" w:type="dxa"/>
            </w:tcMar>
          </w:tcPr>
          <w:p w14:paraId="3B189A7E" w14:textId="287AD994" w:rsidR="002636AD" w:rsidRPr="002661A8" w:rsidRDefault="0097368E" w:rsidP="00C60B6C">
            <w:pPr>
              <w:rPr>
                <w:noProof/>
              </w:rPr>
            </w:pPr>
            <w:r w:rsidRPr="002661A8">
              <w:rPr>
                <w:noProof/>
              </w:rPr>
              <w:t xml:space="preserve">Societal benefit. </w:t>
            </w:r>
            <w:r w:rsidR="00BE6174" w:rsidRPr="002661A8">
              <w:rPr>
                <w:noProof/>
              </w:rPr>
              <w:t>No estimate available.</w:t>
            </w:r>
            <w:r w:rsidRPr="002661A8">
              <w:rPr>
                <w:noProof/>
              </w:rPr>
              <w:t xml:space="preserve"> </w:t>
            </w:r>
          </w:p>
        </w:tc>
        <w:tc>
          <w:tcPr>
            <w:tcW w:w="3651" w:type="dxa"/>
            <w:tcBorders>
              <w:top w:val="double" w:sz="4" w:space="0" w:color="auto"/>
            </w:tcBorders>
            <w:tcMar>
              <w:top w:w="57" w:type="dxa"/>
              <w:left w:w="57" w:type="dxa"/>
              <w:bottom w:w="57" w:type="dxa"/>
              <w:right w:w="57" w:type="dxa"/>
            </w:tcMar>
          </w:tcPr>
          <w:p w14:paraId="39EBAB11" w14:textId="1CE05F6B" w:rsidR="002636AD" w:rsidRPr="002661A8" w:rsidRDefault="002B2A52" w:rsidP="00387954">
            <w:pPr>
              <w:jc w:val="both"/>
              <w:rPr>
                <w:noProof/>
              </w:rPr>
            </w:pPr>
            <w:r w:rsidRPr="002661A8">
              <w:rPr>
                <w:noProof/>
              </w:rPr>
              <w:t xml:space="preserve">A positive impact on financial stability is expected to arise (i) by reducing  concentration rates and over-reliance on non-EU CCPs (ii) </w:t>
            </w:r>
            <w:r w:rsidR="00A81DCD" w:rsidRPr="002661A8">
              <w:rPr>
                <w:noProof/>
              </w:rPr>
              <w:t>reducing frictional costs in case of developments or problems with a third-country CCP which would require a massive shift of positions towards EU CCPs</w:t>
            </w:r>
            <w:r w:rsidRPr="002661A8">
              <w:rPr>
                <w:noProof/>
              </w:rPr>
              <w:t>, and (iii) by ensuring that EU supervisors are given adequate powers and monitoring capabilities.</w:t>
            </w:r>
          </w:p>
        </w:tc>
      </w:tr>
      <w:tr w:rsidR="00F21289" w:rsidRPr="002661A8" w14:paraId="244332D9" w14:textId="77777777" w:rsidTr="00C241FC">
        <w:tc>
          <w:tcPr>
            <w:tcW w:w="2512" w:type="dxa"/>
            <w:tcBorders>
              <w:top w:val="double" w:sz="4" w:space="0" w:color="auto"/>
            </w:tcBorders>
          </w:tcPr>
          <w:p w14:paraId="1755286A" w14:textId="5D235DD3" w:rsidR="00F21289" w:rsidRPr="002661A8" w:rsidRDefault="00F21289" w:rsidP="00F21289">
            <w:pPr>
              <w:rPr>
                <w:noProof/>
              </w:rPr>
            </w:pPr>
            <w:r w:rsidRPr="002661A8">
              <w:rPr>
                <w:noProof/>
              </w:rPr>
              <w:t>Benefits for the single market of enhanced supervisory cooperation and convergence</w:t>
            </w:r>
          </w:p>
        </w:tc>
        <w:tc>
          <w:tcPr>
            <w:tcW w:w="4043" w:type="dxa"/>
            <w:tcBorders>
              <w:top w:val="double" w:sz="4" w:space="0" w:color="auto"/>
            </w:tcBorders>
            <w:tcMar>
              <w:top w:w="57" w:type="dxa"/>
              <w:left w:w="57" w:type="dxa"/>
              <w:bottom w:w="57" w:type="dxa"/>
              <w:right w:w="57" w:type="dxa"/>
            </w:tcMar>
          </w:tcPr>
          <w:p w14:paraId="38FC22B4" w14:textId="3F63BA8C" w:rsidR="00F21289" w:rsidRPr="002661A8" w:rsidRDefault="00F21289" w:rsidP="00F21289">
            <w:pPr>
              <w:rPr>
                <w:noProof/>
              </w:rPr>
            </w:pPr>
            <w:r w:rsidRPr="002661A8">
              <w:rPr>
                <w:noProof/>
              </w:rPr>
              <w:t>Societal benefit. No estimate available.</w:t>
            </w:r>
          </w:p>
        </w:tc>
        <w:tc>
          <w:tcPr>
            <w:tcW w:w="3651" w:type="dxa"/>
            <w:tcBorders>
              <w:top w:val="double" w:sz="4" w:space="0" w:color="auto"/>
            </w:tcBorders>
            <w:tcMar>
              <w:top w:w="57" w:type="dxa"/>
              <w:left w:w="57" w:type="dxa"/>
              <w:bottom w:w="57" w:type="dxa"/>
              <w:right w:w="57" w:type="dxa"/>
            </w:tcMar>
          </w:tcPr>
          <w:p w14:paraId="3BCC3612" w14:textId="53548C28" w:rsidR="00F21289" w:rsidRPr="002661A8" w:rsidRDefault="00F21289" w:rsidP="000B4C25">
            <w:pPr>
              <w:jc w:val="both"/>
              <w:rPr>
                <w:noProof/>
              </w:rPr>
            </w:pPr>
            <w:r w:rsidRPr="002661A8">
              <w:rPr>
                <w:noProof/>
              </w:rPr>
              <w:t>Strengthened role for EU authorities in the supervisory framework and streamlined cooperation. Ongoing benefits in terms of higher supervisory standards for CCPs and financial stability</w:t>
            </w:r>
          </w:p>
        </w:tc>
      </w:tr>
      <w:tr w:rsidR="00C17F20" w:rsidRPr="002661A8" w14:paraId="0424D797" w14:textId="77777777" w:rsidTr="00C241FC">
        <w:tc>
          <w:tcPr>
            <w:tcW w:w="2512" w:type="dxa"/>
            <w:tcBorders>
              <w:top w:val="double" w:sz="4" w:space="0" w:color="auto"/>
            </w:tcBorders>
          </w:tcPr>
          <w:p w14:paraId="1016C115" w14:textId="091D998F" w:rsidR="00C17F20" w:rsidRPr="002661A8" w:rsidRDefault="00C17F20" w:rsidP="000B4C25">
            <w:pPr>
              <w:rPr>
                <w:noProof/>
              </w:rPr>
            </w:pPr>
            <w:r w:rsidRPr="002661A8">
              <w:rPr>
                <w:noProof/>
              </w:rPr>
              <w:t xml:space="preserve">Enhanced offer </w:t>
            </w:r>
            <w:r w:rsidR="000B4C25" w:rsidRPr="002661A8">
              <w:rPr>
                <w:noProof/>
              </w:rPr>
              <w:t>possibilities for</w:t>
            </w:r>
            <w:r w:rsidRPr="002661A8">
              <w:rPr>
                <w:noProof/>
              </w:rPr>
              <w:t xml:space="preserve"> EU CCPs and reduced opportunity costs</w:t>
            </w:r>
            <w:r w:rsidR="00F21289" w:rsidRPr="002661A8">
              <w:rPr>
                <w:noProof/>
              </w:rPr>
              <w:t>. Market participants benefit from increased competition between EU and third-country CCPs and greater clarity</w:t>
            </w:r>
          </w:p>
        </w:tc>
        <w:tc>
          <w:tcPr>
            <w:tcW w:w="4043" w:type="dxa"/>
            <w:tcBorders>
              <w:top w:val="double" w:sz="4" w:space="0" w:color="auto"/>
            </w:tcBorders>
            <w:tcMar>
              <w:top w:w="57" w:type="dxa"/>
              <w:left w:w="57" w:type="dxa"/>
              <w:bottom w:w="57" w:type="dxa"/>
              <w:right w:w="57" w:type="dxa"/>
            </w:tcMar>
          </w:tcPr>
          <w:p w14:paraId="53FA0BAF" w14:textId="3113DAF8" w:rsidR="00C17F20" w:rsidRPr="002661A8" w:rsidRDefault="00F21289" w:rsidP="00387954">
            <w:pPr>
              <w:jc w:val="both"/>
              <w:rPr>
                <w:noProof/>
              </w:rPr>
            </w:pPr>
            <w:r w:rsidRPr="002661A8">
              <w:rPr>
                <w:noProof/>
              </w:rPr>
              <w:t xml:space="preserve">The opportunity costs associated with long and burdensome procedures are difficult to </w:t>
            </w:r>
            <w:r w:rsidR="00C17F20" w:rsidRPr="002661A8">
              <w:rPr>
                <w:noProof/>
              </w:rPr>
              <w:t xml:space="preserve">estimate but </w:t>
            </w:r>
            <w:r w:rsidRPr="002661A8">
              <w:rPr>
                <w:noProof/>
              </w:rPr>
              <w:t>translate into lost business, impact on the CCP’s reputation (loss of credibility) and missed revenues. Stakeholder</w:t>
            </w:r>
            <w:r w:rsidR="00C17F20" w:rsidRPr="002661A8">
              <w:rPr>
                <w:noProof/>
              </w:rPr>
              <w:t xml:space="preserve"> feedback points at </w:t>
            </w:r>
            <w:r w:rsidRPr="002661A8">
              <w:rPr>
                <w:noProof/>
              </w:rPr>
              <w:t>complex and unclear supervisory requirements</w:t>
            </w:r>
            <w:r w:rsidR="00C17F20" w:rsidRPr="002661A8">
              <w:rPr>
                <w:noProof/>
              </w:rPr>
              <w:t xml:space="preserve"> as a significant hurdle to </w:t>
            </w:r>
            <w:r w:rsidR="00907ED0" w:rsidRPr="002661A8">
              <w:rPr>
                <w:noProof/>
              </w:rPr>
              <w:t xml:space="preserve">bringing new products to the market </w:t>
            </w:r>
            <w:r w:rsidR="00C17F20" w:rsidRPr="002661A8">
              <w:rPr>
                <w:noProof/>
              </w:rPr>
              <w:t xml:space="preserve">and </w:t>
            </w:r>
            <w:r w:rsidR="00907ED0" w:rsidRPr="002661A8">
              <w:rPr>
                <w:noProof/>
              </w:rPr>
              <w:t xml:space="preserve">thus the </w:t>
            </w:r>
            <w:r w:rsidR="00BA3CD3" w:rsidRPr="002661A8">
              <w:rPr>
                <w:noProof/>
              </w:rPr>
              <w:t xml:space="preserve">attractiveness </w:t>
            </w:r>
            <w:r w:rsidR="00907ED0" w:rsidRPr="002661A8">
              <w:rPr>
                <w:noProof/>
              </w:rPr>
              <w:t xml:space="preserve">of </w:t>
            </w:r>
            <w:r w:rsidR="00C17F20" w:rsidRPr="002661A8">
              <w:rPr>
                <w:noProof/>
              </w:rPr>
              <w:t xml:space="preserve">EU CCPs, hence the impact </w:t>
            </w:r>
            <w:r w:rsidR="001F319E" w:rsidRPr="002661A8">
              <w:rPr>
                <w:noProof/>
              </w:rPr>
              <w:t xml:space="preserve">of their removal </w:t>
            </w:r>
            <w:r w:rsidR="00C17F20" w:rsidRPr="002661A8">
              <w:rPr>
                <w:noProof/>
              </w:rPr>
              <w:t>is likely moderate to large.</w:t>
            </w:r>
          </w:p>
        </w:tc>
        <w:tc>
          <w:tcPr>
            <w:tcW w:w="3651" w:type="dxa"/>
            <w:tcBorders>
              <w:top w:val="double" w:sz="4" w:space="0" w:color="auto"/>
            </w:tcBorders>
            <w:tcMar>
              <w:top w:w="57" w:type="dxa"/>
              <w:left w:w="57" w:type="dxa"/>
              <w:bottom w:w="57" w:type="dxa"/>
              <w:right w:w="57" w:type="dxa"/>
            </w:tcMar>
          </w:tcPr>
          <w:p w14:paraId="3A9F163C" w14:textId="15A5E597" w:rsidR="00C17F20" w:rsidRPr="002661A8" w:rsidRDefault="00C17F20" w:rsidP="00387954">
            <w:pPr>
              <w:jc w:val="both"/>
              <w:rPr>
                <w:noProof/>
              </w:rPr>
            </w:pPr>
            <w:r w:rsidRPr="002661A8">
              <w:rPr>
                <w:noProof/>
              </w:rPr>
              <w:t>Faster and clearer procedures for launching new products and changing risk models are expected to result in an ongoing increase in EU CCPs’ capacity to bring new products to the market and change risk models</w:t>
            </w:r>
            <w:r w:rsidR="00F21289" w:rsidRPr="002661A8">
              <w:rPr>
                <w:noProof/>
              </w:rPr>
              <w:t xml:space="preserve">. This should lead to greater choice for market participants (e.g. more CCPs to choose from to clear specific derivatives). Greater clarity for market participants </w:t>
            </w:r>
            <w:r w:rsidR="00FE77E5" w:rsidRPr="002661A8">
              <w:rPr>
                <w:noProof/>
              </w:rPr>
              <w:t>from</w:t>
            </w:r>
            <w:r w:rsidRPr="002661A8">
              <w:rPr>
                <w:noProof/>
              </w:rPr>
              <w:t xml:space="preserve"> </w:t>
            </w:r>
            <w:r w:rsidR="00F21289" w:rsidRPr="002661A8">
              <w:rPr>
                <w:noProof/>
              </w:rPr>
              <w:t>standardised documents and shorter time for supervisors to approve changes</w:t>
            </w:r>
            <w:r w:rsidRPr="002661A8">
              <w:rPr>
                <w:noProof/>
              </w:rPr>
              <w:t>.</w:t>
            </w:r>
            <w:r w:rsidR="00834106" w:rsidRPr="002661A8">
              <w:rPr>
                <w:noProof/>
              </w:rPr>
              <w:t xml:space="preserve"> Cost savings for EU CCPs may also be potentially passed on</w:t>
            </w:r>
            <w:r w:rsidR="00EB06C6" w:rsidRPr="002661A8">
              <w:rPr>
                <w:noProof/>
              </w:rPr>
              <w:t xml:space="preserve"> to</w:t>
            </w:r>
            <w:r w:rsidR="00834106" w:rsidRPr="002661A8">
              <w:rPr>
                <w:noProof/>
              </w:rPr>
              <w:t xml:space="preserve"> clearing members and clients. </w:t>
            </w:r>
          </w:p>
        </w:tc>
      </w:tr>
      <w:tr w:rsidR="00C17F20" w:rsidRPr="002661A8" w14:paraId="6B54641D" w14:textId="77777777" w:rsidTr="00C241FC">
        <w:tc>
          <w:tcPr>
            <w:tcW w:w="2512" w:type="dxa"/>
            <w:tcBorders>
              <w:top w:val="double" w:sz="4" w:space="0" w:color="auto"/>
            </w:tcBorders>
          </w:tcPr>
          <w:p w14:paraId="613ED139" w14:textId="7E006D05" w:rsidR="00C17F20" w:rsidRPr="002661A8" w:rsidRDefault="00C17F20" w:rsidP="00E77D5A">
            <w:pPr>
              <w:rPr>
                <w:noProof/>
              </w:rPr>
            </w:pPr>
            <w:r w:rsidRPr="002661A8">
              <w:rPr>
                <w:noProof/>
              </w:rPr>
              <w:t xml:space="preserve">More opportunities for </w:t>
            </w:r>
            <w:r w:rsidR="00E77D5A" w:rsidRPr="002661A8">
              <w:rPr>
                <w:noProof/>
              </w:rPr>
              <w:t>clearing members and clients</w:t>
            </w:r>
          </w:p>
        </w:tc>
        <w:tc>
          <w:tcPr>
            <w:tcW w:w="4043" w:type="dxa"/>
            <w:tcBorders>
              <w:top w:val="double" w:sz="4" w:space="0" w:color="auto"/>
            </w:tcBorders>
            <w:tcMar>
              <w:top w:w="57" w:type="dxa"/>
              <w:left w:w="57" w:type="dxa"/>
              <w:bottom w:w="57" w:type="dxa"/>
              <w:right w:w="57" w:type="dxa"/>
            </w:tcMar>
          </w:tcPr>
          <w:p w14:paraId="41ED5F09" w14:textId="29E01363" w:rsidR="00C17F20" w:rsidRPr="002661A8" w:rsidRDefault="00C17F20" w:rsidP="00387954">
            <w:pPr>
              <w:jc w:val="both"/>
              <w:rPr>
                <w:noProof/>
              </w:rPr>
            </w:pPr>
            <w:r w:rsidRPr="002661A8">
              <w:rPr>
                <w:noProof/>
              </w:rPr>
              <w:t xml:space="preserve">No estimate available, depending on market developments and choices of EU CCPs regarding launch of new products. </w:t>
            </w:r>
          </w:p>
        </w:tc>
        <w:tc>
          <w:tcPr>
            <w:tcW w:w="3651" w:type="dxa"/>
            <w:tcBorders>
              <w:top w:val="double" w:sz="4" w:space="0" w:color="auto"/>
            </w:tcBorders>
            <w:tcMar>
              <w:top w:w="57" w:type="dxa"/>
              <w:left w:w="57" w:type="dxa"/>
              <w:bottom w:w="57" w:type="dxa"/>
              <w:right w:w="57" w:type="dxa"/>
            </w:tcMar>
          </w:tcPr>
          <w:p w14:paraId="4A63A241" w14:textId="09A03A7C" w:rsidR="00C17F20" w:rsidRPr="002661A8" w:rsidRDefault="00C17F20" w:rsidP="00E77D5A">
            <w:pPr>
              <w:jc w:val="both"/>
              <w:rPr>
                <w:noProof/>
              </w:rPr>
            </w:pPr>
            <w:r w:rsidRPr="002661A8">
              <w:rPr>
                <w:noProof/>
              </w:rPr>
              <w:t xml:space="preserve">This initiative will enable EU CCPs to </w:t>
            </w:r>
            <w:r w:rsidR="00C61DA3" w:rsidRPr="002661A8">
              <w:rPr>
                <w:noProof/>
              </w:rPr>
              <w:t xml:space="preserve">bring more products to the market </w:t>
            </w:r>
            <w:r w:rsidRPr="002661A8">
              <w:rPr>
                <w:noProof/>
              </w:rPr>
              <w:t xml:space="preserve">and make their product offer more attractive, and will encourage EU clearing members and clients to clear with EU CCPs. </w:t>
            </w:r>
            <w:r w:rsidR="00E77D5A" w:rsidRPr="002661A8">
              <w:rPr>
                <w:noProof/>
              </w:rPr>
              <w:t>Clearing members and clients are thus expected to have more choices for clearing their trades and can potentially benefit from increased competition.</w:t>
            </w:r>
          </w:p>
        </w:tc>
      </w:tr>
      <w:tr w:rsidR="00D41C12" w:rsidRPr="002661A8" w14:paraId="11507542" w14:textId="77777777" w:rsidTr="00C60B6C">
        <w:tc>
          <w:tcPr>
            <w:tcW w:w="10206" w:type="dxa"/>
            <w:gridSpan w:val="3"/>
            <w:tcBorders>
              <w:top w:val="double" w:sz="4" w:space="0" w:color="auto"/>
              <w:bottom w:val="double" w:sz="4" w:space="0" w:color="auto"/>
            </w:tcBorders>
            <w:shd w:val="clear" w:color="auto" w:fill="F2F2F2" w:themeFill="background1" w:themeFillShade="F2"/>
          </w:tcPr>
          <w:p w14:paraId="6F7FB505" w14:textId="77777777" w:rsidR="002636AD" w:rsidRPr="002661A8" w:rsidRDefault="002636AD" w:rsidP="00C60B6C">
            <w:pPr>
              <w:jc w:val="center"/>
              <w:rPr>
                <w:b/>
                <w:i/>
                <w:noProof/>
              </w:rPr>
            </w:pPr>
            <w:r w:rsidRPr="002661A8">
              <w:rPr>
                <w:b/>
                <w:i/>
                <w:noProof/>
              </w:rPr>
              <w:t>Administrative cost savings related to the ‘one in, one out’ approach*</w:t>
            </w:r>
          </w:p>
        </w:tc>
      </w:tr>
      <w:tr w:rsidR="002636AD" w:rsidRPr="002661A8" w14:paraId="380B3241" w14:textId="77777777" w:rsidTr="00C60B6C">
        <w:tc>
          <w:tcPr>
            <w:tcW w:w="2512" w:type="dxa"/>
            <w:tcBorders>
              <w:top w:val="double" w:sz="4" w:space="0" w:color="auto"/>
            </w:tcBorders>
          </w:tcPr>
          <w:p w14:paraId="56AF22F1" w14:textId="4C5AAC1B" w:rsidR="002636AD" w:rsidRPr="002661A8" w:rsidRDefault="00585DBD" w:rsidP="00C60B6C">
            <w:pPr>
              <w:rPr>
                <w:noProof/>
              </w:rPr>
            </w:pPr>
            <w:r>
              <w:rPr>
                <w:noProof/>
              </w:rPr>
              <w:t>Administrative</w:t>
            </w:r>
            <w:r w:rsidRPr="002661A8">
              <w:rPr>
                <w:noProof/>
              </w:rPr>
              <w:t xml:space="preserve"> </w:t>
            </w:r>
            <w:r w:rsidR="0097368E" w:rsidRPr="002661A8">
              <w:rPr>
                <w:noProof/>
              </w:rPr>
              <w:t>cost reductions (described above)</w:t>
            </w:r>
          </w:p>
        </w:tc>
        <w:tc>
          <w:tcPr>
            <w:tcW w:w="4043" w:type="dxa"/>
            <w:tcBorders>
              <w:top w:val="double" w:sz="4" w:space="0" w:color="auto"/>
            </w:tcBorders>
            <w:tcMar>
              <w:top w:w="57" w:type="dxa"/>
              <w:left w:w="57" w:type="dxa"/>
              <w:bottom w:w="57" w:type="dxa"/>
              <w:right w:w="57" w:type="dxa"/>
            </w:tcMar>
          </w:tcPr>
          <w:p w14:paraId="17DC59B6" w14:textId="41322A1B" w:rsidR="002636AD" w:rsidRPr="002661A8" w:rsidRDefault="00600AB3" w:rsidP="00387954">
            <w:pPr>
              <w:jc w:val="both"/>
              <w:rPr>
                <w:noProof/>
              </w:rPr>
            </w:pPr>
            <w:r>
              <w:rPr>
                <w:noProof/>
              </w:rPr>
              <w:t>A</w:t>
            </w:r>
            <w:r w:rsidR="0097368E" w:rsidRPr="002661A8">
              <w:rPr>
                <w:noProof/>
              </w:rPr>
              <w:t xml:space="preserve">pproximately </w:t>
            </w:r>
            <w:r w:rsidR="00E209E2" w:rsidRPr="002661A8">
              <w:rPr>
                <w:noProof/>
              </w:rPr>
              <w:t>EUR</w:t>
            </w:r>
            <w:r w:rsidR="00A91D95" w:rsidRPr="002661A8">
              <w:rPr>
                <w:noProof/>
              </w:rPr>
              <w:t> </w:t>
            </w:r>
            <w:r w:rsidR="00800DF9">
              <w:rPr>
                <w:noProof/>
              </w:rPr>
              <w:t>5</w:t>
            </w:r>
            <w:r w:rsidR="00E209E2" w:rsidRPr="002661A8">
              <w:rPr>
                <w:noProof/>
              </w:rPr>
              <w:t>-1</w:t>
            </w:r>
            <w:r w:rsidR="00800DF9">
              <w:rPr>
                <w:noProof/>
              </w:rPr>
              <w:t>5</w:t>
            </w:r>
            <w:r w:rsidR="00A91D95" w:rsidRPr="002661A8">
              <w:rPr>
                <w:noProof/>
              </w:rPr>
              <w:t> </w:t>
            </w:r>
            <w:r w:rsidR="00E209E2" w:rsidRPr="002661A8">
              <w:rPr>
                <w:noProof/>
              </w:rPr>
              <w:t>million</w:t>
            </w:r>
            <w:r w:rsidR="0097368E" w:rsidRPr="002661A8">
              <w:rPr>
                <w:noProof/>
              </w:rPr>
              <w:t xml:space="preserve"> EUR </w:t>
            </w:r>
            <w:r>
              <w:rPr>
                <w:noProof/>
              </w:rPr>
              <w:t>of administrative cost savings</w:t>
            </w:r>
            <w:r w:rsidRPr="002661A8">
              <w:rPr>
                <w:noProof/>
              </w:rPr>
              <w:t xml:space="preserve"> </w:t>
            </w:r>
            <w:r w:rsidR="0097368E" w:rsidRPr="002661A8">
              <w:rPr>
                <w:noProof/>
              </w:rPr>
              <w:t>per year (</w:t>
            </w:r>
            <w:r w:rsidR="00E209E2" w:rsidRPr="002661A8">
              <w:rPr>
                <w:noProof/>
              </w:rPr>
              <w:t>described</w:t>
            </w:r>
            <w:r w:rsidR="0097368E" w:rsidRPr="002661A8">
              <w:rPr>
                <w:noProof/>
              </w:rPr>
              <w:t xml:space="preserve"> above)</w:t>
            </w:r>
            <w:r>
              <w:rPr>
                <w:noProof/>
              </w:rPr>
              <w:t xml:space="preserve"> ; EU-wide total.</w:t>
            </w:r>
          </w:p>
        </w:tc>
        <w:tc>
          <w:tcPr>
            <w:tcW w:w="3651" w:type="dxa"/>
            <w:tcBorders>
              <w:top w:val="double" w:sz="4" w:space="0" w:color="auto"/>
            </w:tcBorders>
            <w:tcMar>
              <w:top w:w="57" w:type="dxa"/>
              <w:left w:w="57" w:type="dxa"/>
              <w:bottom w:w="57" w:type="dxa"/>
              <w:right w:w="57" w:type="dxa"/>
            </w:tcMar>
          </w:tcPr>
          <w:p w14:paraId="7B6A4CA4" w14:textId="4A8639AF" w:rsidR="002636AD" w:rsidRPr="002661A8" w:rsidRDefault="00F21289" w:rsidP="00387954">
            <w:pPr>
              <w:jc w:val="both"/>
              <w:rPr>
                <w:noProof/>
              </w:rPr>
            </w:pPr>
            <w:r w:rsidRPr="002661A8">
              <w:rPr>
                <w:noProof/>
              </w:rPr>
              <w:t xml:space="preserve">As described above. </w:t>
            </w:r>
            <w:r w:rsidR="0097368E" w:rsidRPr="002661A8">
              <w:rPr>
                <w:noProof/>
              </w:rPr>
              <w:t xml:space="preserve">These cost savings relate to a simplification of administrative obligations at EU level (of existing EMIR rules) and hence all related reductions in expenses count under “one in, one out”. </w:t>
            </w:r>
          </w:p>
        </w:tc>
      </w:tr>
    </w:tbl>
    <w:p w14:paraId="09D29196" w14:textId="77777777" w:rsidR="002636AD" w:rsidRPr="002661A8" w:rsidRDefault="002636AD" w:rsidP="002636AD">
      <w:pPr>
        <w:rPr>
          <w:noProof/>
          <w:sz w:val="24"/>
          <w:szCs w:val="24"/>
        </w:rPr>
      </w:pPr>
    </w:p>
    <w:tbl>
      <w:tblPr>
        <w:tblStyle w:val="CV11"/>
        <w:tblW w:w="10206"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72"/>
        <w:gridCol w:w="1575"/>
        <w:gridCol w:w="1110"/>
        <w:gridCol w:w="1415"/>
        <w:gridCol w:w="1388"/>
        <w:gridCol w:w="1387"/>
        <w:gridCol w:w="1110"/>
        <w:gridCol w:w="1249"/>
      </w:tblGrid>
      <w:tr w:rsidR="00D04E27" w:rsidRPr="002661A8" w14:paraId="266532A1" w14:textId="77777777" w:rsidTr="00FC4C63">
        <w:tc>
          <w:tcPr>
            <w:tcW w:w="10206" w:type="dxa"/>
            <w:gridSpan w:val="8"/>
            <w:shd w:val="clear" w:color="auto" w:fill="C6D9F1" w:themeFill="text2" w:themeFillTint="33"/>
            <w:tcMar>
              <w:top w:w="57" w:type="dxa"/>
              <w:left w:w="57" w:type="dxa"/>
              <w:bottom w:w="57" w:type="dxa"/>
              <w:right w:w="57" w:type="dxa"/>
            </w:tcMar>
          </w:tcPr>
          <w:p w14:paraId="757BB895" w14:textId="04827941" w:rsidR="00D04E27" w:rsidRPr="002661A8" w:rsidRDefault="00D04E27" w:rsidP="00FC4C63">
            <w:pPr>
              <w:rPr>
                <w:b/>
                <w:noProof/>
              </w:rPr>
            </w:pPr>
            <w:r w:rsidRPr="002661A8">
              <w:rPr>
                <w:b/>
                <w:noProof/>
              </w:rPr>
              <w:t>II. Overview of costs – Preferred option</w:t>
            </w:r>
          </w:p>
        </w:tc>
      </w:tr>
      <w:tr w:rsidR="004108C0" w:rsidRPr="002661A8" w14:paraId="34893735" w14:textId="77777777" w:rsidTr="00FC4C63">
        <w:tc>
          <w:tcPr>
            <w:tcW w:w="2547"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14:paraId="1353FFC4" w14:textId="77777777" w:rsidR="00D04E27" w:rsidRPr="002661A8" w:rsidRDefault="00D04E27" w:rsidP="00FC4C63">
            <w:pPr>
              <w:rPr>
                <w:b/>
                <w:noProof/>
              </w:rPr>
            </w:pPr>
          </w:p>
        </w:tc>
        <w:tc>
          <w:tcPr>
            <w:tcW w:w="2525" w:type="dxa"/>
            <w:gridSpan w:val="2"/>
            <w:tcBorders>
              <w:left w:val="double" w:sz="4" w:space="0" w:color="auto"/>
            </w:tcBorders>
            <w:tcMar>
              <w:top w:w="57" w:type="dxa"/>
              <w:left w:w="57" w:type="dxa"/>
              <w:bottom w:w="57" w:type="dxa"/>
              <w:right w:w="57" w:type="dxa"/>
            </w:tcMar>
          </w:tcPr>
          <w:p w14:paraId="1887BB4D" w14:textId="3BD02E24" w:rsidR="00D04E27" w:rsidRPr="002661A8" w:rsidRDefault="0005284A" w:rsidP="0005284A">
            <w:pPr>
              <w:jc w:val="center"/>
              <w:rPr>
                <w:b/>
                <w:noProof/>
              </w:rPr>
            </w:pPr>
            <w:r w:rsidRPr="002661A8">
              <w:rPr>
                <w:b/>
                <w:noProof/>
              </w:rPr>
              <w:t xml:space="preserve">Businesses </w:t>
            </w:r>
            <w:r w:rsidR="00433EDF" w:rsidRPr="002661A8">
              <w:rPr>
                <w:b/>
                <w:noProof/>
              </w:rPr>
              <w:t>–</w:t>
            </w:r>
            <w:r w:rsidRPr="002661A8">
              <w:rPr>
                <w:b/>
                <w:noProof/>
              </w:rPr>
              <w:t xml:space="preserve"> </w:t>
            </w:r>
            <w:r w:rsidR="00433EDF" w:rsidRPr="002661A8">
              <w:rPr>
                <w:b/>
                <w:noProof/>
                <w:sz w:val="18"/>
              </w:rPr>
              <w:t xml:space="preserve">EU </w:t>
            </w:r>
            <w:r w:rsidRPr="002661A8">
              <w:rPr>
                <w:b/>
                <w:noProof/>
                <w:color w:val="000000"/>
                <w:sz w:val="18"/>
                <w:szCs w:val="18"/>
              </w:rPr>
              <w:t>CCPs</w:t>
            </w:r>
          </w:p>
        </w:tc>
        <w:tc>
          <w:tcPr>
            <w:tcW w:w="2775" w:type="dxa"/>
            <w:gridSpan w:val="2"/>
            <w:tcMar>
              <w:top w:w="57" w:type="dxa"/>
              <w:left w:w="57" w:type="dxa"/>
              <w:bottom w:w="57" w:type="dxa"/>
              <w:right w:w="57" w:type="dxa"/>
            </w:tcMar>
          </w:tcPr>
          <w:p w14:paraId="2A293C2F" w14:textId="034FDB7A" w:rsidR="00D04E27" w:rsidRPr="002661A8" w:rsidRDefault="00D04E27" w:rsidP="0005284A">
            <w:pPr>
              <w:jc w:val="center"/>
              <w:rPr>
                <w:b/>
                <w:noProof/>
              </w:rPr>
            </w:pPr>
            <w:r w:rsidRPr="002661A8">
              <w:rPr>
                <w:b/>
                <w:noProof/>
              </w:rPr>
              <w:t xml:space="preserve">Businesses </w:t>
            </w:r>
            <w:r w:rsidR="00433EDF" w:rsidRPr="002661A8">
              <w:rPr>
                <w:b/>
                <w:noProof/>
                <w:color w:val="000000"/>
                <w:sz w:val="18"/>
                <w:szCs w:val="18"/>
              </w:rPr>
              <w:t>–</w:t>
            </w:r>
            <w:r w:rsidR="0005284A" w:rsidRPr="002661A8">
              <w:rPr>
                <w:b/>
                <w:noProof/>
                <w:color w:val="000000"/>
                <w:sz w:val="18"/>
                <w:szCs w:val="18"/>
              </w:rPr>
              <w:t xml:space="preserve"> </w:t>
            </w:r>
            <w:r w:rsidR="00433EDF" w:rsidRPr="002661A8">
              <w:rPr>
                <w:b/>
                <w:noProof/>
                <w:color w:val="000000"/>
                <w:sz w:val="18"/>
                <w:szCs w:val="18"/>
              </w:rPr>
              <w:t xml:space="preserve">EU </w:t>
            </w:r>
            <w:r w:rsidRPr="002661A8">
              <w:rPr>
                <w:b/>
                <w:noProof/>
                <w:color w:val="000000"/>
                <w:sz w:val="18"/>
                <w:szCs w:val="18"/>
              </w:rPr>
              <w:t>clearing members</w:t>
            </w:r>
            <w:r w:rsidR="0005284A" w:rsidRPr="002661A8">
              <w:rPr>
                <w:b/>
                <w:noProof/>
                <w:color w:val="000000"/>
                <w:sz w:val="18"/>
                <w:szCs w:val="18"/>
              </w:rPr>
              <w:t xml:space="preserve"> and</w:t>
            </w:r>
            <w:r w:rsidRPr="002661A8">
              <w:rPr>
                <w:b/>
                <w:noProof/>
                <w:color w:val="000000"/>
                <w:sz w:val="18"/>
                <w:szCs w:val="18"/>
              </w:rPr>
              <w:t xml:space="preserve"> client</w:t>
            </w:r>
            <w:r w:rsidR="0005284A" w:rsidRPr="002661A8">
              <w:rPr>
                <w:b/>
                <w:noProof/>
                <w:color w:val="000000"/>
                <w:sz w:val="18"/>
                <w:szCs w:val="18"/>
              </w:rPr>
              <w:t>s</w:t>
            </w:r>
          </w:p>
        </w:tc>
        <w:tc>
          <w:tcPr>
            <w:tcW w:w="2359" w:type="dxa"/>
            <w:gridSpan w:val="2"/>
            <w:tcMar>
              <w:top w:w="57" w:type="dxa"/>
              <w:left w:w="57" w:type="dxa"/>
              <w:bottom w:w="57" w:type="dxa"/>
              <w:right w:w="57" w:type="dxa"/>
            </w:tcMar>
          </w:tcPr>
          <w:p w14:paraId="52A661C0" w14:textId="77777777" w:rsidR="00D04E27" w:rsidRPr="002661A8" w:rsidRDefault="00D04E27" w:rsidP="00FC4C63">
            <w:pPr>
              <w:jc w:val="center"/>
              <w:rPr>
                <w:b/>
                <w:noProof/>
              </w:rPr>
            </w:pPr>
            <w:r w:rsidRPr="002661A8">
              <w:rPr>
                <w:b/>
                <w:noProof/>
              </w:rPr>
              <w:t>Administrations</w:t>
            </w:r>
          </w:p>
          <w:p w14:paraId="0AF6AE4B" w14:textId="5400D46C" w:rsidR="00D04E27" w:rsidRPr="002661A8" w:rsidRDefault="00D04E27" w:rsidP="00FC4C63">
            <w:pPr>
              <w:jc w:val="center"/>
              <w:rPr>
                <w:b/>
                <w:noProof/>
              </w:rPr>
            </w:pPr>
            <w:r w:rsidRPr="002661A8">
              <w:rPr>
                <w:b/>
                <w:noProof/>
                <w:color w:val="000000"/>
                <w:sz w:val="18"/>
                <w:szCs w:val="18"/>
              </w:rPr>
              <w:t>(supervisors, ESMA)</w:t>
            </w:r>
          </w:p>
        </w:tc>
      </w:tr>
      <w:tr w:rsidR="004108C0" w:rsidRPr="002661A8" w14:paraId="6FB16C63" w14:textId="77777777" w:rsidTr="00FC4C63">
        <w:tc>
          <w:tcPr>
            <w:tcW w:w="2547"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14:paraId="0F17BC6E" w14:textId="77777777" w:rsidR="00D04E27" w:rsidRPr="002661A8" w:rsidRDefault="00D04E27" w:rsidP="00FC4C63">
            <w:pPr>
              <w:rPr>
                <w:b/>
                <w:noProof/>
              </w:rPr>
            </w:pPr>
          </w:p>
        </w:tc>
        <w:tc>
          <w:tcPr>
            <w:tcW w:w="1110" w:type="dxa"/>
            <w:tcBorders>
              <w:left w:val="double" w:sz="4" w:space="0" w:color="auto"/>
              <w:bottom w:val="double" w:sz="4" w:space="0" w:color="auto"/>
            </w:tcBorders>
            <w:tcMar>
              <w:top w:w="57" w:type="dxa"/>
              <w:left w:w="57" w:type="dxa"/>
              <w:bottom w:w="57" w:type="dxa"/>
              <w:right w:w="57" w:type="dxa"/>
            </w:tcMar>
          </w:tcPr>
          <w:p w14:paraId="1CA48913" w14:textId="77777777" w:rsidR="00D04E27" w:rsidRPr="002661A8" w:rsidRDefault="00D04E27" w:rsidP="00FC4C63">
            <w:pPr>
              <w:jc w:val="center"/>
              <w:rPr>
                <w:b/>
                <w:noProof/>
              </w:rPr>
            </w:pPr>
            <w:r w:rsidRPr="002661A8">
              <w:rPr>
                <w:b/>
                <w:noProof/>
              </w:rPr>
              <w:t>One-off</w:t>
            </w:r>
          </w:p>
        </w:tc>
        <w:tc>
          <w:tcPr>
            <w:tcW w:w="1415" w:type="dxa"/>
            <w:tcBorders>
              <w:bottom w:val="double" w:sz="4" w:space="0" w:color="auto"/>
            </w:tcBorders>
            <w:tcMar>
              <w:top w:w="57" w:type="dxa"/>
              <w:left w:w="57" w:type="dxa"/>
              <w:bottom w:w="57" w:type="dxa"/>
              <w:right w:w="57" w:type="dxa"/>
            </w:tcMar>
          </w:tcPr>
          <w:p w14:paraId="6F2B71D2" w14:textId="77777777" w:rsidR="00D04E27" w:rsidRPr="002661A8" w:rsidRDefault="00D04E27" w:rsidP="00FC4C63">
            <w:pPr>
              <w:jc w:val="center"/>
              <w:rPr>
                <w:b/>
                <w:noProof/>
              </w:rPr>
            </w:pPr>
            <w:r w:rsidRPr="002661A8">
              <w:rPr>
                <w:b/>
                <w:noProof/>
              </w:rPr>
              <w:t>Recurrent</w:t>
            </w:r>
          </w:p>
        </w:tc>
        <w:tc>
          <w:tcPr>
            <w:tcW w:w="1388" w:type="dxa"/>
            <w:tcBorders>
              <w:bottom w:val="double" w:sz="4" w:space="0" w:color="auto"/>
            </w:tcBorders>
            <w:tcMar>
              <w:top w:w="57" w:type="dxa"/>
              <w:left w:w="57" w:type="dxa"/>
              <w:bottom w:w="57" w:type="dxa"/>
              <w:right w:w="57" w:type="dxa"/>
            </w:tcMar>
          </w:tcPr>
          <w:p w14:paraId="70BA6FE9" w14:textId="77777777" w:rsidR="00D04E27" w:rsidRPr="002661A8" w:rsidRDefault="00D04E27" w:rsidP="00FC4C63">
            <w:pPr>
              <w:jc w:val="center"/>
              <w:rPr>
                <w:b/>
                <w:noProof/>
              </w:rPr>
            </w:pPr>
            <w:r w:rsidRPr="002661A8">
              <w:rPr>
                <w:b/>
                <w:noProof/>
              </w:rPr>
              <w:t>One-off</w:t>
            </w:r>
          </w:p>
        </w:tc>
        <w:tc>
          <w:tcPr>
            <w:tcW w:w="1387" w:type="dxa"/>
            <w:tcBorders>
              <w:bottom w:val="double" w:sz="4" w:space="0" w:color="auto"/>
            </w:tcBorders>
            <w:tcMar>
              <w:top w:w="57" w:type="dxa"/>
              <w:left w:w="57" w:type="dxa"/>
              <w:bottom w:w="57" w:type="dxa"/>
              <w:right w:w="57" w:type="dxa"/>
            </w:tcMar>
          </w:tcPr>
          <w:p w14:paraId="3B6429C4" w14:textId="77777777" w:rsidR="00D04E27" w:rsidRPr="002661A8" w:rsidRDefault="00D04E27" w:rsidP="00FC4C63">
            <w:pPr>
              <w:jc w:val="center"/>
              <w:rPr>
                <w:b/>
                <w:noProof/>
              </w:rPr>
            </w:pPr>
            <w:r w:rsidRPr="002661A8">
              <w:rPr>
                <w:b/>
                <w:noProof/>
              </w:rPr>
              <w:t>Recurrent</w:t>
            </w:r>
          </w:p>
        </w:tc>
        <w:tc>
          <w:tcPr>
            <w:tcW w:w="1110" w:type="dxa"/>
            <w:tcBorders>
              <w:bottom w:val="double" w:sz="4" w:space="0" w:color="auto"/>
            </w:tcBorders>
            <w:tcMar>
              <w:top w:w="57" w:type="dxa"/>
              <w:left w:w="57" w:type="dxa"/>
              <w:bottom w:w="57" w:type="dxa"/>
              <w:right w:w="57" w:type="dxa"/>
            </w:tcMar>
          </w:tcPr>
          <w:p w14:paraId="0CA3223E" w14:textId="77777777" w:rsidR="00D04E27" w:rsidRPr="002661A8" w:rsidRDefault="00D04E27" w:rsidP="00FC4C63">
            <w:pPr>
              <w:jc w:val="center"/>
              <w:rPr>
                <w:b/>
                <w:noProof/>
              </w:rPr>
            </w:pPr>
            <w:r w:rsidRPr="002661A8">
              <w:rPr>
                <w:b/>
                <w:noProof/>
              </w:rPr>
              <w:t>One-off</w:t>
            </w:r>
          </w:p>
        </w:tc>
        <w:tc>
          <w:tcPr>
            <w:tcW w:w="1249" w:type="dxa"/>
            <w:tcBorders>
              <w:bottom w:val="double" w:sz="4" w:space="0" w:color="auto"/>
            </w:tcBorders>
            <w:tcMar>
              <w:top w:w="57" w:type="dxa"/>
              <w:left w:w="57" w:type="dxa"/>
              <w:bottom w:w="57" w:type="dxa"/>
              <w:right w:w="57" w:type="dxa"/>
            </w:tcMar>
          </w:tcPr>
          <w:p w14:paraId="6965566C" w14:textId="77777777" w:rsidR="00D04E27" w:rsidRPr="002661A8" w:rsidRDefault="00D04E27" w:rsidP="00FC4C63">
            <w:pPr>
              <w:jc w:val="center"/>
              <w:rPr>
                <w:b/>
                <w:noProof/>
              </w:rPr>
            </w:pPr>
            <w:r w:rsidRPr="002661A8">
              <w:rPr>
                <w:b/>
                <w:noProof/>
              </w:rPr>
              <w:t>Recurrent</w:t>
            </w:r>
          </w:p>
        </w:tc>
      </w:tr>
      <w:tr w:rsidR="00D04E27" w:rsidRPr="002661A8" w14:paraId="0575ADB2" w14:textId="77777777" w:rsidTr="00FC4C63">
        <w:trPr>
          <w:trHeight w:val="307"/>
        </w:trPr>
        <w:tc>
          <w:tcPr>
            <w:tcW w:w="972" w:type="dxa"/>
            <w:vMerge w:val="restart"/>
            <w:tcMar>
              <w:top w:w="57" w:type="dxa"/>
              <w:left w:w="57" w:type="dxa"/>
              <w:bottom w:w="57" w:type="dxa"/>
              <w:right w:w="57" w:type="dxa"/>
            </w:tcMar>
            <w:vAlign w:val="center"/>
          </w:tcPr>
          <w:p w14:paraId="3545007F" w14:textId="5FCD217E" w:rsidR="00D04E27" w:rsidRPr="002661A8" w:rsidRDefault="00D04E27" w:rsidP="00D04E27">
            <w:pPr>
              <w:rPr>
                <w:noProof/>
              </w:rPr>
            </w:pPr>
            <w:r w:rsidRPr="002661A8">
              <w:rPr>
                <w:noProof/>
              </w:rPr>
              <w:t>Supply-side measures</w:t>
            </w:r>
          </w:p>
        </w:tc>
        <w:tc>
          <w:tcPr>
            <w:tcW w:w="1575" w:type="dxa"/>
            <w:tcBorders>
              <w:right w:val="double" w:sz="4" w:space="0" w:color="auto"/>
            </w:tcBorders>
            <w:tcMar>
              <w:top w:w="57" w:type="dxa"/>
              <w:left w:w="57" w:type="dxa"/>
              <w:bottom w:w="57" w:type="dxa"/>
              <w:right w:w="57" w:type="dxa"/>
            </w:tcMar>
            <w:vAlign w:val="center"/>
          </w:tcPr>
          <w:p w14:paraId="3330C9C6" w14:textId="1C7236DB" w:rsidR="00D04E27" w:rsidRPr="002661A8" w:rsidRDefault="00D04E27" w:rsidP="00D04E27">
            <w:pPr>
              <w:rPr>
                <w:noProof/>
              </w:rPr>
            </w:pPr>
            <w:r w:rsidRPr="002661A8">
              <w:rPr>
                <w:noProof/>
              </w:rPr>
              <w:t>Direct adjustment costs</w:t>
            </w:r>
          </w:p>
        </w:tc>
        <w:tc>
          <w:tcPr>
            <w:tcW w:w="1110" w:type="dxa"/>
            <w:tcBorders>
              <w:left w:val="double" w:sz="4" w:space="0" w:color="auto"/>
            </w:tcBorders>
            <w:tcMar>
              <w:top w:w="57" w:type="dxa"/>
              <w:left w:w="57" w:type="dxa"/>
              <w:bottom w:w="57" w:type="dxa"/>
              <w:right w:w="57" w:type="dxa"/>
            </w:tcMar>
            <w:vAlign w:val="center"/>
          </w:tcPr>
          <w:p w14:paraId="71B98F43" w14:textId="219FD72F" w:rsidR="00D04E27" w:rsidRPr="002661A8" w:rsidRDefault="00FC4C63" w:rsidP="00D04E27">
            <w:pPr>
              <w:rPr>
                <w:noProof/>
              </w:rPr>
            </w:pPr>
            <w:r w:rsidRPr="002661A8">
              <w:rPr>
                <w:noProof/>
                <w:color w:val="000000"/>
                <w:sz w:val="18"/>
                <w:szCs w:val="18"/>
              </w:rPr>
              <w:t>No cost impact identified</w:t>
            </w:r>
          </w:p>
        </w:tc>
        <w:tc>
          <w:tcPr>
            <w:tcW w:w="1415" w:type="dxa"/>
            <w:tcMar>
              <w:top w:w="57" w:type="dxa"/>
              <w:left w:w="57" w:type="dxa"/>
              <w:bottom w:w="57" w:type="dxa"/>
              <w:right w:w="57" w:type="dxa"/>
            </w:tcMar>
            <w:vAlign w:val="center"/>
          </w:tcPr>
          <w:p w14:paraId="76B9F17A" w14:textId="4AD21868" w:rsidR="00D04E27" w:rsidRPr="002661A8" w:rsidRDefault="00FC4C63" w:rsidP="00D04E27">
            <w:pPr>
              <w:rPr>
                <w:noProof/>
              </w:rPr>
            </w:pPr>
            <w:r w:rsidRPr="002661A8">
              <w:rPr>
                <w:noProof/>
                <w:color w:val="000000"/>
                <w:sz w:val="18"/>
                <w:szCs w:val="18"/>
              </w:rPr>
              <w:t>No cost impact identified</w:t>
            </w:r>
          </w:p>
        </w:tc>
        <w:tc>
          <w:tcPr>
            <w:tcW w:w="1388" w:type="dxa"/>
            <w:tcMar>
              <w:top w:w="57" w:type="dxa"/>
              <w:left w:w="57" w:type="dxa"/>
              <w:bottom w:w="57" w:type="dxa"/>
              <w:right w:w="57" w:type="dxa"/>
            </w:tcMar>
            <w:vAlign w:val="center"/>
          </w:tcPr>
          <w:p w14:paraId="5671C423" w14:textId="08109C29" w:rsidR="00D04E27" w:rsidRPr="002661A8" w:rsidRDefault="00FC4C63" w:rsidP="00D04E27">
            <w:pPr>
              <w:rPr>
                <w:noProof/>
              </w:rPr>
            </w:pPr>
            <w:r w:rsidRPr="002661A8">
              <w:rPr>
                <w:noProof/>
                <w:color w:val="000000"/>
                <w:sz w:val="18"/>
                <w:szCs w:val="18"/>
              </w:rPr>
              <w:t>No cost impact identified</w:t>
            </w:r>
          </w:p>
        </w:tc>
        <w:tc>
          <w:tcPr>
            <w:tcW w:w="1387" w:type="dxa"/>
            <w:tcMar>
              <w:top w:w="57" w:type="dxa"/>
              <w:left w:w="57" w:type="dxa"/>
              <w:bottom w:w="57" w:type="dxa"/>
              <w:right w:w="57" w:type="dxa"/>
            </w:tcMar>
            <w:vAlign w:val="center"/>
          </w:tcPr>
          <w:p w14:paraId="657E656E" w14:textId="01729E78" w:rsidR="00D04E27" w:rsidRPr="002661A8" w:rsidRDefault="00FC4C63" w:rsidP="00D04E27">
            <w:pPr>
              <w:rPr>
                <w:noProof/>
              </w:rPr>
            </w:pPr>
            <w:r w:rsidRPr="002661A8">
              <w:rPr>
                <w:noProof/>
                <w:color w:val="000000"/>
                <w:sz w:val="18"/>
                <w:szCs w:val="18"/>
              </w:rPr>
              <w:t>No cost impact identified</w:t>
            </w:r>
          </w:p>
        </w:tc>
        <w:tc>
          <w:tcPr>
            <w:tcW w:w="1110" w:type="dxa"/>
            <w:tcMar>
              <w:top w:w="57" w:type="dxa"/>
              <w:left w:w="57" w:type="dxa"/>
              <w:bottom w:w="57" w:type="dxa"/>
              <w:right w:w="57" w:type="dxa"/>
            </w:tcMar>
            <w:vAlign w:val="center"/>
          </w:tcPr>
          <w:p w14:paraId="3D060A52" w14:textId="7E504033" w:rsidR="00D04E27" w:rsidRPr="002661A8" w:rsidRDefault="00D10392" w:rsidP="00D04E27">
            <w:pPr>
              <w:rPr>
                <w:noProof/>
              </w:rPr>
            </w:pPr>
            <w:r w:rsidRPr="002661A8">
              <w:rPr>
                <w:noProof/>
                <w:color w:val="000000"/>
                <w:sz w:val="18"/>
                <w:szCs w:val="18"/>
              </w:rPr>
              <w:t>Moderate c</w:t>
            </w:r>
            <w:r w:rsidR="0005284A" w:rsidRPr="002661A8">
              <w:rPr>
                <w:noProof/>
                <w:color w:val="000000"/>
                <w:sz w:val="18"/>
                <w:szCs w:val="18"/>
              </w:rPr>
              <w:t>ost of setting up new IT tools</w:t>
            </w:r>
          </w:p>
        </w:tc>
        <w:tc>
          <w:tcPr>
            <w:tcW w:w="1249" w:type="dxa"/>
            <w:tcMar>
              <w:top w:w="57" w:type="dxa"/>
              <w:left w:w="57" w:type="dxa"/>
              <w:bottom w:w="57" w:type="dxa"/>
              <w:right w:w="57" w:type="dxa"/>
            </w:tcMar>
            <w:vAlign w:val="center"/>
          </w:tcPr>
          <w:p w14:paraId="2BC6D211" w14:textId="77276642" w:rsidR="00D04E27" w:rsidRPr="002661A8" w:rsidRDefault="00165C32" w:rsidP="00165C32">
            <w:pPr>
              <w:rPr>
                <w:noProof/>
                <w:sz w:val="18"/>
              </w:rPr>
            </w:pPr>
            <w:r w:rsidRPr="002661A8">
              <w:rPr>
                <w:noProof/>
                <w:color w:val="000000"/>
                <w:sz w:val="18"/>
                <w:szCs w:val="18"/>
              </w:rPr>
              <w:t>Operating new</w:t>
            </w:r>
            <w:r w:rsidR="0005284A" w:rsidRPr="002661A8">
              <w:rPr>
                <w:noProof/>
                <w:color w:val="000000"/>
                <w:sz w:val="18"/>
                <w:szCs w:val="18"/>
              </w:rPr>
              <w:t xml:space="preserve"> IT tools</w:t>
            </w:r>
            <w:r w:rsidR="0005284A" w:rsidRPr="002661A8">
              <w:rPr>
                <w:noProof/>
                <w:sz w:val="18"/>
              </w:rPr>
              <w:t>; less time to assess proposed actions</w:t>
            </w:r>
          </w:p>
        </w:tc>
      </w:tr>
      <w:tr w:rsidR="00D04E27" w:rsidRPr="002661A8" w14:paraId="58A5E3E4" w14:textId="77777777" w:rsidTr="00FC4C63">
        <w:trPr>
          <w:trHeight w:val="307"/>
        </w:trPr>
        <w:tc>
          <w:tcPr>
            <w:tcW w:w="972" w:type="dxa"/>
            <w:vMerge/>
            <w:tcMar>
              <w:top w:w="57" w:type="dxa"/>
              <w:left w:w="57" w:type="dxa"/>
              <w:bottom w:w="57" w:type="dxa"/>
              <w:right w:w="57" w:type="dxa"/>
            </w:tcMar>
            <w:vAlign w:val="center"/>
          </w:tcPr>
          <w:p w14:paraId="0E953F23" w14:textId="77777777" w:rsidR="00D04E27" w:rsidRPr="002661A8" w:rsidRDefault="00D04E27" w:rsidP="00D04E27">
            <w:pPr>
              <w:rPr>
                <w:noProof/>
              </w:rPr>
            </w:pPr>
          </w:p>
        </w:tc>
        <w:tc>
          <w:tcPr>
            <w:tcW w:w="1575" w:type="dxa"/>
            <w:tcBorders>
              <w:right w:val="double" w:sz="4" w:space="0" w:color="auto"/>
            </w:tcBorders>
            <w:tcMar>
              <w:top w:w="57" w:type="dxa"/>
              <w:left w:w="57" w:type="dxa"/>
              <w:bottom w:w="57" w:type="dxa"/>
              <w:right w:w="57" w:type="dxa"/>
            </w:tcMar>
            <w:vAlign w:val="center"/>
          </w:tcPr>
          <w:p w14:paraId="0EA3E168" w14:textId="64AF4101" w:rsidR="00D04E27" w:rsidRPr="002661A8" w:rsidRDefault="00D04E27" w:rsidP="00D04E27">
            <w:pPr>
              <w:rPr>
                <w:noProof/>
              </w:rPr>
            </w:pPr>
            <w:r w:rsidRPr="002661A8">
              <w:rPr>
                <w:noProof/>
              </w:rPr>
              <w:t>Direct administrative costs</w:t>
            </w:r>
          </w:p>
        </w:tc>
        <w:tc>
          <w:tcPr>
            <w:tcW w:w="1110" w:type="dxa"/>
            <w:tcBorders>
              <w:left w:val="double" w:sz="4" w:space="0" w:color="auto"/>
            </w:tcBorders>
            <w:tcMar>
              <w:top w:w="57" w:type="dxa"/>
              <w:left w:w="57" w:type="dxa"/>
              <w:bottom w:w="57" w:type="dxa"/>
              <w:right w:w="57" w:type="dxa"/>
            </w:tcMar>
            <w:vAlign w:val="center"/>
          </w:tcPr>
          <w:p w14:paraId="400B1565" w14:textId="4185C4CE" w:rsidR="00D04E27" w:rsidRPr="002661A8" w:rsidRDefault="00FC4C63" w:rsidP="00D04E27">
            <w:pPr>
              <w:rPr>
                <w:noProof/>
              </w:rPr>
            </w:pPr>
            <w:r w:rsidRPr="002661A8">
              <w:rPr>
                <w:noProof/>
                <w:color w:val="000000"/>
                <w:sz w:val="18"/>
                <w:szCs w:val="18"/>
              </w:rPr>
              <w:t>No cost impact identified</w:t>
            </w:r>
          </w:p>
        </w:tc>
        <w:tc>
          <w:tcPr>
            <w:tcW w:w="1415" w:type="dxa"/>
            <w:tcMar>
              <w:top w:w="57" w:type="dxa"/>
              <w:left w:w="57" w:type="dxa"/>
              <w:bottom w:w="57" w:type="dxa"/>
              <w:right w:w="57" w:type="dxa"/>
            </w:tcMar>
            <w:vAlign w:val="center"/>
          </w:tcPr>
          <w:p w14:paraId="04408987" w14:textId="19828BA6" w:rsidR="00D04E27" w:rsidRPr="002661A8" w:rsidRDefault="00FC4C63" w:rsidP="00D04E27">
            <w:pPr>
              <w:rPr>
                <w:noProof/>
              </w:rPr>
            </w:pPr>
            <w:r w:rsidRPr="002661A8">
              <w:rPr>
                <w:noProof/>
                <w:color w:val="000000"/>
                <w:sz w:val="18"/>
                <w:szCs w:val="18"/>
              </w:rPr>
              <w:t>No cost impact identified</w:t>
            </w:r>
            <w:r w:rsidR="001755F0" w:rsidRPr="001755F0">
              <w:rPr>
                <w:noProof/>
                <w:color w:val="000000"/>
                <w:sz w:val="18"/>
                <w:szCs w:val="18"/>
              </w:rPr>
              <w:t xml:space="preserve"> </w:t>
            </w:r>
            <w:r w:rsidR="001755F0">
              <w:rPr>
                <w:noProof/>
                <w:color w:val="000000"/>
                <w:sz w:val="18"/>
                <w:szCs w:val="18"/>
              </w:rPr>
              <w:t xml:space="preserve"> </w:t>
            </w:r>
          </w:p>
        </w:tc>
        <w:tc>
          <w:tcPr>
            <w:tcW w:w="1388" w:type="dxa"/>
            <w:tcMar>
              <w:top w:w="57" w:type="dxa"/>
              <w:left w:w="57" w:type="dxa"/>
              <w:bottom w:w="57" w:type="dxa"/>
              <w:right w:w="57" w:type="dxa"/>
            </w:tcMar>
            <w:vAlign w:val="center"/>
          </w:tcPr>
          <w:p w14:paraId="3AE8BE9C" w14:textId="7F1A7E3A" w:rsidR="00D04E27" w:rsidRPr="002661A8" w:rsidRDefault="00FC4C63" w:rsidP="00D04E27">
            <w:pPr>
              <w:rPr>
                <w:noProof/>
              </w:rPr>
            </w:pPr>
            <w:r w:rsidRPr="002661A8">
              <w:rPr>
                <w:noProof/>
                <w:color w:val="000000"/>
                <w:sz w:val="18"/>
                <w:szCs w:val="18"/>
              </w:rPr>
              <w:t>No cost impact identified</w:t>
            </w:r>
          </w:p>
        </w:tc>
        <w:tc>
          <w:tcPr>
            <w:tcW w:w="1387" w:type="dxa"/>
            <w:tcMar>
              <w:top w:w="57" w:type="dxa"/>
              <w:left w:w="57" w:type="dxa"/>
              <w:bottom w:w="57" w:type="dxa"/>
              <w:right w:w="57" w:type="dxa"/>
            </w:tcMar>
            <w:vAlign w:val="center"/>
          </w:tcPr>
          <w:p w14:paraId="0DE533DA" w14:textId="27495C9E" w:rsidR="00D04E27" w:rsidRPr="002661A8" w:rsidRDefault="00FC4C63" w:rsidP="00D04E27">
            <w:pPr>
              <w:rPr>
                <w:noProof/>
              </w:rPr>
            </w:pPr>
            <w:r w:rsidRPr="002661A8">
              <w:rPr>
                <w:noProof/>
                <w:color w:val="000000"/>
                <w:sz w:val="18"/>
                <w:szCs w:val="18"/>
              </w:rPr>
              <w:t>No cost impact identified</w:t>
            </w:r>
          </w:p>
        </w:tc>
        <w:tc>
          <w:tcPr>
            <w:tcW w:w="1110" w:type="dxa"/>
            <w:tcMar>
              <w:top w:w="57" w:type="dxa"/>
              <w:left w:w="57" w:type="dxa"/>
              <w:bottom w:w="57" w:type="dxa"/>
              <w:right w:w="57" w:type="dxa"/>
            </w:tcMar>
            <w:vAlign w:val="center"/>
          </w:tcPr>
          <w:p w14:paraId="2D02E91F" w14:textId="77D7A120" w:rsidR="00D04E27" w:rsidRPr="002661A8" w:rsidRDefault="0005284A" w:rsidP="00D04E27">
            <w:pPr>
              <w:rPr>
                <w:noProof/>
              </w:rPr>
            </w:pPr>
            <w:r w:rsidRPr="002661A8">
              <w:rPr>
                <w:noProof/>
                <w:color w:val="000000"/>
                <w:sz w:val="18"/>
                <w:szCs w:val="18"/>
              </w:rPr>
              <w:t>No cost impact identified</w:t>
            </w:r>
          </w:p>
        </w:tc>
        <w:tc>
          <w:tcPr>
            <w:tcW w:w="1249" w:type="dxa"/>
            <w:tcMar>
              <w:top w:w="57" w:type="dxa"/>
              <w:left w:w="57" w:type="dxa"/>
              <w:bottom w:w="57" w:type="dxa"/>
              <w:right w:w="57" w:type="dxa"/>
            </w:tcMar>
            <w:vAlign w:val="center"/>
          </w:tcPr>
          <w:p w14:paraId="63B60335" w14:textId="207D5F0F" w:rsidR="00D04E27" w:rsidRPr="002661A8" w:rsidRDefault="0005284A" w:rsidP="00D04E27">
            <w:pPr>
              <w:rPr>
                <w:noProof/>
              </w:rPr>
            </w:pPr>
            <w:r w:rsidRPr="002661A8">
              <w:rPr>
                <w:noProof/>
                <w:color w:val="000000"/>
                <w:sz w:val="18"/>
                <w:szCs w:val="18"/>
              </w:rPr>
              <w:t>No cost impact identified</w:t>
            </w:r>
          </w:p>
        </w:tc>
      </w:tr>
      <w:tr w:rsidR="00D04E27" w:rsidRPr="002661A8" w14:paraId="71603629" w14:textId="77777777" w:rsidTr="00FC4C63">
        <w:trPr>
          <w:trHeight w:val="307"/>
        </w:trPr>
        <w:tc>
          <w:tcPr>
            <w:tcW w:w="972" w:type="dxa"/>
            <w:vMerge/>
            <w:tcMar>
              <w:top w:w="57" w:type="dxa"/>
              <w:left w:w="57" w:type="dxa"/>
              <w:bottom w:w="57" w:type="dxa"/>
              <w:right w:w="57" w:type="dxa"/>
            </w:tcMar>
            <w:vAlign w:val="center"/>
          </w:tcPr>
          <w:p w14:paraId="6F248149" w14:textId="77777777" w:rsidR="00D04E27" w:rsidRPr="002661A8" w:rsidRDefault="00D04E27" w:rsidP="00D04E27">
            <w:pPr>
              <w:rPr>
                <w:noProof/>
              </w:rPr>
            </w:pPr>
          </w:p>
        </w:tc>
        <w:tc>
          <w:tcPr>
            <w:tcW w:w="1575" w:type="dxa"/>
            <w:tcBorders>
              <w:right w:val="double" w:sz="4" w:space="0" w:color="auto"/>
            </w:tcBorders>
            <w:tcMar>
              <w:top w:w="57" w:type="dxa"/>
              <w:left w:w="57" w:type="dxa"/>
              <w:bottom w:w="57" w:type="dxa"/>
              <w:right w:w="57" w:type="dxa"/>
            </w:tcMar>
            <w:vAlign w:val="center"/>
          </w:tcPr>
          <w:p w14:paraId="6680B717" w14:textId="325DAE36" w:rsidR="00D04E27" w:rsidRPr="002661A8" w:rsidRDefault="00D04E27" w:rsidP="00D04E27">
            <w:pPr>
              <w:rPr>
                <w:noProof/>
              </w:rPr>
            </w:pPr>
            <w:r w:rsidRPr="002661A8">
              <w:rPr>
                <w:noProof/>
              </w:rPr>
              <w:t>Direct regulatory fees and charges</w:t>
            </w:r>
          </w:p>
        </w:tc>
        <w:tc>
          <w:tcPr>
            <w:tcW w:w="1110" w:type="dxa"/>
            <w:tcBorders>
              <w:left w:val="double" w:sz="4" w:space="0" w:color="auto"/>
            </w:tcBorders>
            <w:tcMar>
              <w:top w:w="57" w:type="dxa"/>
              <w:left w:w="57" w:type="dxa"/>
              <w:bottom w:w="57" w:type="dxa"/>
              <w:right w:w="57" w:type="dxa"/>
            </w:tcMar>
            <w:vAlign w:val="center"/>
          </w:tcPr>
          <w:p w14:paraId="72FCEB02" w14:textId="75F6EEBC" w:rsidR="00D04E27" w:rsidRPr="002661A8" w:rsidRDefault="00FC4C63" w:rsidP="00D04E27">
            <w:pPr>
              <w:rPr>
                <w:noProof/>
              </w:rPr>
            </w:pPr>
            <w:r w:rsidRPr="002661A8">
              <w:rPr>
                <w:noProof/>
                <w:color w:val="000000"/>
                <w:sz w:val="18"/>
                <w:szCs w:val="18"/>
              </w:rPr>
              <w:t>No cost impact identified</w:t>
            </w:r>
          </w:p>
        </w:tc>
        <w:tc>
          <w:tcPr>
            <w:tcW w:w="1415" w:type="dxa"/>
            <w:tcMar>
              <w:top w:w="57" w:type="dxa"/>
              <w:left w:w="57" w:type="dxa"/>
              <w:bottom w:w="57" w:type="dxa"/>
              <w:right w:w="57" w:type="dxa"/>
            </w:tcMar>
            <w:vAlign w:val="center"/>
          </w:tcPr>
          <w:p w14:paraId="6BD09D04" w14:textId="63B54867" w:rsidR="00D04E27" w:rsidRPr="002661A8" w:rsidRDefault="00FC4C63" w:rsidP="00D04E27">
            <w:pPr>
              <w:rPr>
                <w:noProof/>
              </w:rPr>
            </w:pPr>
            <w:r w:rsidRPr="002661A8">
              <w:rPr>
                <w:noProof/>
                <w:color w:val="000000"/>
                <w:sz w:val="18"/>
                <w:szCs w:val="18"/>
              </w:rPr>
              <w:t>No cost impact identified</w:t>
            </w:r>
          </w:p>
        </w:tc>
        <w:tc>
          <w:tcPr>
            <w:tcW w:w="1388" w:type="dxa"/>
            <w:tcMar>
              <w:top w:w="57" w:type="dxa"/>
              <w:left w:w="57" w:type="dxa"/>
              <w:bottom w:w="57" w:type="dxa"/>
              <w:right w:w="57" w:type="dxa"/>
            </w:tcMar>
            <w:vAlign w:val="center"/>
          </w:tcPr>
          <w:p w14:paraId="3D2494DE" w14:textId="7C5AF740" w:rsidR="00D04E27" w:rsidRPr="002661A8" w:rsidRDefault="00FC4C63" w:rsidP="00D04E27">
            <w:pPr>
              <w:rPr>
                <w:noProof/>
              </w:rPr>
            </w:pPr>
            <w:r w:rsidRPr="002661A8">
              <w:rPr>
                <w:noProof/>
                <w:color w:val="000000"/>
                <w:sz w:val="18"/>
                <w:szCs w:val="18"/>
              </w:rPr>
              <w:t>No cost impact identified</w:t>
            </w:r>
          </w:p>
        </w:tc>
        <w:tc>
          <w:tcPr>
            <w:tcW w:w="1387" w:type="dxa"/>
            <w:tcMar>
              <w:top w:w="57" w:type="dxa"/>
              <w:left w:w="57" w:type="dxa"/>
              <w:bottom w:w="57" w:type="dxa"/>
              <w:right w:w="57" w:type="dxa"/>
            </w:tcMar>
            <w:vAlign w:val="center"/>
          </w:tcPr>
          <w:p w14:paraId="3F6FF093" w14:textId="6A41F168" w:rsidR="00D04E27" w:rsidRPr="002661A8" w:rsidRDefault="00FC4C63" w:rsidP="00D04E27">
            <w:pPr>
              <w:rPr>
                <w:noProof/>
              </w:rPr>
            </w:pPr>
            <w:r w:rsidRPr="002661A8">
              <w:rPr>
                <w:noProof/>
                <w:color w:val="000000"/>
                <w:sz w:val="18"/>
                <w:szCs w:val="18"/>
              </w:rPr>
              <w:t>No cost impact identified</w:t>
            </w:r>
          </w:p>
        </w:tc>
        <w:tc>
          <w:tcPr>
            <w:tcW w:w="1110" w:type="dxa"/>
            <w:tcMar>
              <w:top w:w="57" w:type="dxa"/>
              <w:left w:w="57" w:type="dxa"/>
              <w:bottom w:w="57" w:type="dxa"/>
              <w:right w:w="57" w:type="dxa"/>
            </w:tcMar>
            <w:vAlign w:val="center"/>
          </w:tcPr>
          <w:p w14:paraId="446D0EC5" w14:textId="6909AE61" w:rsidR="00D04E27" w:rsidRPr="002661A8" w:rsidRDefault="0005284A" w:rsidP="00D04E27">
            <w:pPr>
              <w:rPr>
                <w:noProof/>
              </w:rPr>
            </w:pPr>
            <w:r w:rsidRPr="002661A8">
              <w:rPr>
                <w:noProof/>
                <w:color w:val="000000"/>
                <w:sz w:val="18"/>
                <w:szCs w:val="18"/>
              </w:rPr>
              <w:t>No cost impact identified</w:t>
            </w:r>
          </w:p>
        </w:tc>
        <w:tc>
          <w:tcPr>
            <w:tcW w:w="1249" w:type="dxa"/>
            <w:tcMar>
              <w:top w:w="57" w:type="dxa"/>
              <w:left w:w="57" w:type="dxa"/>
              <w:bottom w:w="57" w:type="dxa"/>
              <w:right w:w="57" w:type="dxa"/>
            </w:tcMar>
            <w:vAlign w:val="center"/>
          </w:tcPr>
          <w:p w14:paraId="26DC6D77" w14:textId="190D3BA8" w:rsidR="00D04E27" w:rsidRPr="002661A8" w:rsidRDefault="0005284A" w:rsidP="00D04E27">
            <w:pPr>
              <w:rPr>
                <w:noProof/>
              </w:rPr>
            </w:pPr>
            <w:r w:rsidRPr="002661A8">
              <w:rPr>
                <w:noProof/>
                <w:color w:val="000000"/>
                <w:sz w:val="18"/>
                <w:szCs w:val="18"/>
              </w:rPr>
              <w:t>No cost impact identified</w:t>
            </w:r>
          </w:p>
        </w:tc>
      </w:tr>
      <w:tr w:rsidR="00D04E27" w:rsidRPr="002661A8" w14:paraId="38214C82" w14:textId="77777777" w:rsidTr="00FC4C63">
        <w:trPr>
          <w:trHeight w:val="307"/>
        </w:trPr>
        <w:tc>
          <w:tcPr>
            <w:tcW w:w="972" w:type="dxa"/>
            <w:vMerge/>
            <w:tcMar>
              <w:top w:w="57" w:type="dxa"/>
              <w:left w:w="57" w:type="dxa"/>
              <w:bottom w:w="57" w:type="dxa"/>
              <w:right w:w="57" w:type="dxa"/>
            </w:tcMar>
            <w:vAlign w:val="center"/>
          </w:tcPr>
          <w:p w14:paraId="130AAB1F" w14:textId="77777777" w:rsidR="00D04E27" w:rsidRPr="002661A8" w:rsidRDefault="00D04E27" w:rsidP="00D04E27">
            <w:pPr>
              <w:rPr>
                <w:noProof/>
              </w:rPr>
            </w:pPr>
          </w:p>
        </w:tc>
        <w:tc>
          <w:tcPr>
            <w:tcW w:w="1575" w:type="dxa"/>
            <w:tcBorders>
              <w:right w:val="double" w:sz="4" w:space="0" w:color="auto"/>
            </w:tcBorders>
            <w:tcMar>
              <w:top w:w="57" w:type="dxa"/>
              <w:left w:w="57" w:type="dxa"/>
              <w:bottom w:w="57" w:type="dxa"/>
              <w:right w:w="57" w:type="dxa"/>
            </w:tcMar>
            <w:vAlign w:val="center"/>
          </w:tcPr>
          <w:p w14:paraId="1B539137" w14:textId="4EF12834" w:rsidR="00D04E27" w:rsidRPr="002661A8" w:rsidRDefault="00D04E27" w:rsidP="00D04E27">
            <w:pPr>
              <w:rPr>
                <w:noProof/>
              </w:rPr>
            </w:pPr>
            <w:r w:rsidRPr="002661A8">
              <w:rPr>
                <w:noProof/>
              </w:rPr>
              <w:t>Direct enforcement costs</w:t>
            </w:r>
          </w:p>
        </w:tc>
        <w:tc>
          <w:tcPr>
            <w:tcW w:w="1110" w:type="dxa"/>
            <w:tcBorders>
              <w:left w:val="double" w:sz="4" w:space="0" w:color="auto"/>
            </w:tcBorders>
            <w:tcMar>
              <w:top w:w="57" w:type="dxa"/>
              <w:left w:w="57" w:type="dxa"/>
              <w:bottom w:w="57" w:type="dxa"/>
              <w:right w:w="57" w:type="dxa"/>
            </w:tcMar>
            <w:vAlign w:val="center"/>
          </w:tcPr>
          <w:p w14:paraId="6FF6B35C" w14:textId="78E8B1F0" w:rsidR="00D04E27" w:rsidRPr="002661A8" w:rsidRDefault="00FC4C63" w:rsidP="00D04E27">
            <w:pPr>
              <w:rPr>
                <w:noProof/>
              </w:rPr>
            </w:pPr>
            <w:r w:rsidRPr="002661A8">
              <w:rPr>
                <w:noProof/>
                <w:color w:val="000000"/>
                <w:sz w:val="18"/>
                <w:szCs w:val="18"/>
              </w:rPr>
              <w:t>No cost impact identified</w:t>
            </w:r>
          </w:p>
        </w:tc>
        <w:tc>
          <w:tcPr>
            <w:tcW w:w="1415" w:type="dxa"/>
            <w:tcMar>
              <w:top w:w="57" w:type="dxa"/>
              <w:left w:w="57" w:type="dxa"/>
              <w:bottom w:w="57" w:type="dxa"/>
              <w:right w:w="57" w:type="dxa"/>
            </w:tcMar>
            <w:vAlign w:val="center"/>
          </w:tcPr>
          <w:p w14:paraId="664BBC18" w14:textId="11FF34BC" w:rsidR="00D04E27" w:rsidRPr="002661A8" w:rsidRDefault="00FC4C63" w:rsidP="00D04E27">
            <w:pPr>
              <w:rPr>
                <w:noProof/>
              </w:rPr>
            </w:pPr>
            <w:r w:rsidRPr="002661A8">
              <w:rPr>
                <w:noProof/>
                <w:color w:val="000000"/>
                <w:sz w:val="18"/>
                <w:szCs w:val="18"/>
              </w:rPr>
              <w:t>No cost impact identified</w:t>
            </w:r>
          </w:p>
        </w:tc>
        <w:tc>
          <w:tcPr>
            <w:tcW w:w="1388" w:type="dxa"/>
            <w:tcMar>
              <w:top w:w="57" w:type="dxa"/>
              <w:left w:w="57" w:type="dxa"/>
              <w:bottom w:w="57" w:type="dxa"/>
              <w:right w:w="57" w:type="dxa"/>
            </w:tcMar>
            <w:vAlign w:val="center"/>
          </w:tcPr>
          <w:p w14:paraId="027BBF50" w14:textId="6B0A3CF3" w:rsidR="00D04E27" w:rsidRPr="002661A8" w:rsidRDefault="00FC4C63" w:rsidP="00D04E27">
            <w:pPr>
              <w:rPr>
                <w:noProof/>
              </w:rPr>
            </w:pPr>
            <w:r w:rsidRPr="002661A8">
              <w:rPr>
                <w:noProof/>
                <w:color w:val="000000"/>
                <w:sz w:val="18"/>
                <w:szCs w:val="18"/>
              </w:rPr>
              <w:t>No cost impact identified</w:t>
            </w:r>
          </w:p>
        </w:tc>
        <w:tc>
          <w:tcPr>
            <w:tcW w:w="1387" w:type="dxa"/>
            <w:tcMar>
              <w:top w:w="57" w:type="dxa"/>
              <w:left w:w="57" w:type="dxa"/>
              <w:bottom w:w="57" w:type="dxa"/>
              <w:right w:w="57" w:type="dxa"/>
            </w:tcMar>
            <w:vAlign w:val="center"/>
          </w:tcPr>
          <w:p w14:paraId="60670453" w14:textId="7AB9A23B" w:rsidR="00D04E27" w:rsidRPr="002661A8" w:rsidRDefault="00FC4C63" w:rsidP="00D04E27">
            <w:pPr>
              <w:rPr>
                <w:noProof/>
              </w:rPr>
            </w:pPr>
            <w:r w:rsidRPr="002661A8">
              <w:rPr>
                <w:noProof/>
                <w:color w:val="000000"/>
                <w:sz w:val="18"/>
                <w:szCs w:val="18"/>
              </w:rPr>
              <w:t>No cost impact identified</w:t>
            </w:r>
          </w:p>
        </w:tc>
        <w:tc>
          <w:tcPr>
            <w:tcW w:w="1110" w:type="dxa"/>
            <w:tcMar>
              <w:top w:w="57" w:type="dxa"/>
              <w:left w:w="57" w:type="dxa"/>
              <w:bottom w:w="57" w:type="dxa"/>
              <w:right w:w="57" w:type="dxa"/>
            </w:tcMar>
            <w:vAlign w:val="center"/>
          </w:tcPr>
          <w:p w14:paraId="6B1DE10F" w14:textId="396F8B1E" w:rsidR="00D04E27" w:rsidRPr="002661A8" w:rsidRDefault="0005284A" w:rsidP="00D04E27">
            <w:pPr>
              <w:rPr>
                <w:noProof/>
              </w:rPr>
            </w:pPr>
            <w:r w:rsidRPr="002661A8">
              <w:rPr>
                <w:noProof/>
                <w:color w:val="000000"/>
                <w:sz w:val="18"/>
                <w:szCs w:val="18"/>
              </w:rPr>
              <w:t>No cost impact identified</w:t>
            </w:r>
          </w:p>
        </w:tc>
        <w:tc>
          <w:tcPr>
            <w:tcW w:w="1249" w:type="dxa"/>
            <w:tcMar>
              <w:top w:w="57" w:type="dxa"/>
              <w:left w:w="57" w:type="dxa"/>
              <w:bottom w:w="57" w:type="dxa"/>
              <w:right w:w="57" w:type="dxa"/>
            </w:tcMar>
            <w:vAlign w:val="center"/>
          </w:tcPr>
          <w:p w14:paraId="744FE56C" w14:textId="37AA2FFF" w:rsidR="00D04E27" w:rsidRPr="002661A8" w:rsidRDefault="0005284A" w:rsidP="00D04E27">
            <w:pPr>
              <w:rPr>
                <w:noProof/>
              </w:rPr>
            </w:pPr>
            <w:r w:rsidRPr="002661A8">
              <w:rPr>
                <w:noProof/>
                <w:color w:val="000000"/>
                <w:sz w:val="18"/>
                <w:szCs w:val="18"/>
              </w:rPr>
              <w:t>No cost impact identified</w:t>
            </w:r>
          </w:p>
        </w:tc>
      </w:tr>
      <w:tr w:rsidR="00D41C12" w:rsidRPr="002661A8" w14:paraId="26775AB4" w14:textId="77777777" w:rsidTr="00FC4C63">
        <w:trPr>
          <w:trHeight w:val="307"/>
        </w:trPr>
        <w:tc>
          <w:tcPr>
            <w:tcW w:w="972" w:type="dxa"/>
            <w:vMerge/>
            <w:tcMar>
              <w:top w:w="57" w:type="dxa"/>
              <w:left w:w="57" w:type="dxa"/>
              <w:bottom w:w="57" w:type="dxa"/>
              <w:right w:w="57" w:type="dxa"/>
            </w:tcMar>
            <w:vAlign w:val="center"/>
          </w:tcPr>
          <w:p w14:paraId="7080DCD5" w14:textId="77777777" w:rsidR="00D04E27" w:rsidRPr="002661A8" w:rsidRDefault="00D04E27" w:rsidP="00D04E27">
            <w:pPr>
              <w:rPr>
                <w:noProof/>
              </w:rPr>
            </w:pPr>
          </w:p>
        </w:tc>
        <w:tc>
          <w:tcPr>
            <w:tcW w:w="1575" w:type="dxa"/>
            <w:tcBorders>
              <w:right w:val="double" w:sz="4" w:space="0" w:color="auto"/>
            </w:tcBorders>
            <w:tcMar>
              <w:top w:w="57" w:type="dxa"/>
              <w:left w:w="57" w:type="dxa"/>
              <w:bottom w:w="57" w:type="dxa"/>
              <w:right w:w="57" w:type="dxa"/>
            </w:tcMar>
          </w:tcPr>
          <w:p w14:paraId="1AA4CDC5" w14:textId="14A043E3" w:rsidR="00D04E27" w:rsidRPr="002661A8" w:rsidRDefault="00D04E27" w:rsidP="00D04E27">
            <w:pPr>
              <w:rPr>
                <w:noProof/>
              </w:rPr>
            </w:pPr>
            <w:r w:rsidRPr="002661A8">
              <w:rPr>
                <w:noProof/>
              </w:rPr>
              <w:t>Indirect costs</w:t>
            </w:r>
          </w:p>
        </w:tc>
        <w:tc>
          <w:tcPr>
            <w:tcW w:w="1110" w:type="dxa"/>
            <w:tcBorders>
              <w:left w:val="double" w:sz="4" w:space="0" w:color="auto"/>
            </w:tcBorders>
            <w:tcMar>
              <w:top w:w="57" w:type="dxa"/>
              <w:left w:w="57" w:type="dxa"/>
              <w:bottom w:w="57" w:type="dxa"/>
              <w:right w:w="57" w:type="dxa"/>
            </w:tcMar>
            <w:vAlign w:val="center"/>
          </w:tcPr>
          <w:p w14:paraId="3F76B1BE" w14:textId="57430AF5" w:rsidR="00D04E27" w:rsidRPr="002661A8" w:rsidRDefault="00FC4C63" w:rsidP="00D04E27">
            <w:pPr>
              <w:rPr>
                <w:noProof/>
              </w:rPr>
            </w:pPr>
            <w:r w:rsidRPr="002661A8">
              <w:rPr>
                <w:noProof/>
                <w:color w:val="000000"/>
                <w:sz w:val="18"/>
                <w:szCs w:val="18"/>
              </w:rPr>
              <w:t>No cost impact identified</w:t>
            </w:r>
          </w:p>
        </w:tc>
        <w:tc>
          <w:tcPr>
            <w:tcW w:w="1415" w:type="dxa"/>
            <w:tcMar>
              <w:top w:w="57" w:type="dxa"/>
              <w:left w:w="57" w:type="dxa"/>
              <w:bottom w:w="57" w:type="dxa"/>
              <w:right w:w="57" w:type="dxa"/>
            </w:tcMar>
            <w:vAlign w:val="center"/>
          </w:tcPr>
          <w:p w14:paraId="478DA22F" w14:textId="5DAEEE92" w:rsidR="00D04E27" w:rsidRPr="002661A8" w:rsidRDefault="005253F6" w:rsidP="00D04E27">
            <w:pPr>
              <w:rPr>
                <w:noProof/>
              </w:rPr>
            </w:pPr>
            <w:r w:rsidRPr="002661A8">
              <w:rPr>
                <w:noProof/>
                <w:color w:val="000000"/>
                <w:sz w:val="18"/>
                <w:szCs w:val="18"/>
              </w:rPr>
              <w:t>Costs of setting up and operating new IT tools by supervisors may be reflected in increased supervision fees</w:t>
            </w:r>
            <w:r w:rsidRPr="002661A8">
              <w:rPr>
                <w:rStyle w:val="FootnoteReference"/>
                <w:noProof/>
                <w:color w:val="000000"/>
                <w:sz w:val="18"/>
                <w:szCs w:val="18"/>
              </w:rPr>
              <w:footnoteReference w:id="195"/>
            </w:r>
          </w:p>
        </w:tc>
        <w:tc>
          <w:tcPr>
            <w:tcW w:w="1388" w:type="dxa"/>
            <w:tcMar>
              <w:top w:w="57" w:type="dxa"/>
              <w:left w:w="57" w:type="dxa"/>
              <w:bottom w:w="57" w:type="dxa"/>
              <w:right w:w="57" w:type="dxa"/>
            </w:tcMar>
            <w:vAlign w:val="center"/>
          </w:tcPr>
          <w:p w14:paraId="1F93CEF3" w14:textId="0171447D" w:rsidR="00D04E27" w:rsidRPr="002661A8" w:rsidRDefault="00FC4C63" w:rsidP="00D04E27">
            <w:pPr>
              <w:rPr>
                <w:noProof/>
              </w:rPr>
            </w:pPr>
            <w:r w:rsidRPr="002661A8">
              <w:rPr>
                <w:noProof/>
                <w:color w:val="000000"/>
                <w:sz w:val="18"/>
                <w:szCs w:val="18"/>
              </w:rPr>
              <w:t>No cost impact identified</w:t>
            </w:r>
          </w:p>
        </w:tc>
        <w:tc>
          <w:tcPr>
            <w:tcW w:w="1387" w:type="dxa"/>
            <w:tcMar>
              <w:top w:w="57" w:type="dxa"/>
              <w:left w:w="57" w:type="dxa"/>
              <w:bottom w:w="57" w:type="dxa"/>
              <w:right w:w="57" w:type="dxa"/>
            </w:tcMar>
            <w:vAlign w:val="center"/>
          </w:tcPr>
          <w:p w14:paraId="04770D02" w14:textId="7413408A" w:rsidR="00D04E27" w:rsidRPr="002661A8" w:rsidRDefault="00FC4C63" w:rsidP="00D04E27">
            <w:pPr>
              <w:rPr>
                <w:noProof/>
              </w:rPr>
            </w:pPr>
            <w:r w:rsidRPr="002661A8">
              <w:rPr>
                <w:noProof/>
                <w:color w:val="000000"/>
                <w:sz w:val="18"/>
                <w:szCs w:val="18"/>
              </w:rPr>
              <w:t>No cost impact identified</w:t>
            </w:r>
          </w:p>
        </w:tc>
        <w:tc>
          <w:tcPr>
            <w:tcW w:w="1110" w:type="dxa"/>
            <w:tcMar>
              <w:top w:w="57" w:type="dxa"/>
              <w:left w:w="57" w:type="dxa"/>
              <w:bottom w:w="57" w:type="dxa"/>
              <w:right w:w="57" w:type="dxa"/>
            </w:tcMar>
            <w:vAlign w:val="center"/>
          </w:tcPr>
          <w:p w14:paraId="663AB933" w14:textId="776A2A39" w:rsidR="00D04E27" w:rsidRPr="002661A8" w:rsidRDefault="00FC4C63" w:rsidP="00D04E27">
            <w:pPr>
              <w:rPr>
                <w:noProof/>
              </w:rPr>
            </w:pPr>
            <w:r w:rsidRPr="002661A8">
              <w:rPr>
                <w:noProof/>
                <w:color w:val="000000"/>
                <w:sz w:val="18"/>
                <w:szCs w:val="18"/>
              </w:rPr>
              <w:t>No cost impact identified</w:t>
            </w:r>
          </w:p>
        </w:tc>
        <w:tc>
          <w:tcPr>
            <w:tcW w:w="1249" w:type="dxa"/>
            <w:tcMar>
              <w:top w:w="57" w:type="dxa"/>
              <w:left w:w="57" w:type="dxa"/>
              <w:bottom w:w="57" w:type="dxa"/>
              <w:right w:w="57" w:type="dxa"/>
            </w:tcMar>
            <w:vAlign w:val="center"/>
          </w:tcPr>
          <w:p w14:paraId="75DFD18F" w14:textId="6CC53F09" w:rsidR="00D04E27" w:rsidRPr="002661A8" w:rsidRDefault="00FC4C63" w:rsidP="00D04E27">
            <w:pPr>
              <w:rPr>
                <w:noProof/>
              </w:rPr>
            </w:pPr>
            <w:r w:rsidRPr="002661A8">
              <w:rPr>
                <w:noProof/>
                <w:color w:val="000000"/>
                <w:sz w:val="18"/>
                <w:szCs w:val="18"/>
              </w:rPr>
              <w:t>No cost impact identified</w:t>
            </w:r>
          </w:p>
        </w:tc>
      </w:tr>
      <w:tr w:rsidR="00D04E27" w:rsidRPr="002661A8" w14:paraId="72CACDF1" w14:textId="77777777" w:rsidTr="00FC4C63">
        <w:trPr>
          <w:trHeight w:val="307"/>
        </w:trPr>
        <w:tc>
          <w:tcPr>
            <w:tcW w:w="972" w:type="dxa"/>
            <w:vMerge w:val="restart"/>
            <w:tcMar>
              <w:top w:w="57" w:type="dxa"/>
              <w:left w:w="57" w:type="dxa"/>
              <w:bottom w:w="57" w:type="dxa"/>
              <w:right w:w="57" w:type="dxa"/>
            </w:tcMar>
            <w:vAlign w:val="center"/>
          </w:tcPr>
          <w:p w14:paraId="45B12EA2" w14:textId="2DF2BFD9" w:rsidR="00D04E27" w:rsidRPr="002661A8" w:rsidRDefault="00D04E27" w:rsidP="00D04E27">
            <w:pPr>
              <w:rPr>
                <w:noProof/>
              </w:rPr>
            </w:pPr>
            <w:r w:rsidRPr="002661A8">
              <w:rPr>
                <w:noProof/>
              </w:rPr>
              <w:t>Demand-side measures</w:t>
            </w:r>
          </w:p>
        </w:tc>
        <w:tc>
          <w:tcPr>
            <w:tcW w:w="1575" w:type="dxa"/>
            <w:tcBorders>
              <w:right w:val="double" w:sz="4" w:space="0" w:color="auto"/>
            </w:tcBorders>
            <w:tcMar>
              <w:top w:w="57" w:type="dxa"/>
              <w:left w:w="57" w:type="dxa"/>
              <w:bottom w:w="57" w:type="dxa"/>
              <w:right w:w="57" w:type="dxa"/>
            </w:tcMar>
            <w:vAlign w:val="center"/>
          </w:tcPr>
          <w:p w14:paraId="3956D38B" w14:textId="6017C7F1" w:rsidR="00D04E27" w:rsidRPr="002661A8" w:rsidRDefault="00D04E27" w:rsidP="00D04E27">
            <w:pPr>
              <w:rPr>
                <w:noProof/>
              </w:rPr>
            </w:pPr>
            <w:r w:rsidRPr="002661A8">
              <w:rPr>
                <w:noProof/>
              </w:rPr>
              <w:t>Direct adjustment costs</w:t>
            </w:r>
          </w:p>
        </w:tc>
        <w:tc>
          <w:tcPr>
            <w:tcW w:w="1110" w:type="dxa"/>
            <w:tcBorders>
              <w:left w:val="double" w:sz="4" w:space="0" w:color="auto"/>
            </w:tcBorders>
            <w:tcMar>
              <w:top w:w="57" w:type="dxa"/>
              <w:left w:w="57" w:type="dxa"/>
              <w:bottom w:w="57" w:type="dxa"/>
              <w:right w:w="57" w:type="dxa"/>
            </w:tcMar>
            <w:vAlign w:val="center"/>
          </w:tcPr>
          <w:p w14:paraId="52FE5B67" w14:textId="6CEA2357" w:rsidR="00D04E27" w:rsidRPr="002661A8" w:rsidRDefault="00887925" w:rsidP="00D04E27">
            <w:pPr>
              <w:rPr>
                <w:noProof/>
              </w:rPr>
            </w:pPr>
            <w:r w:rsidRPr="002661A8">
              <w:rPr>
                <w:noProof/>
                <w:color w:val="000000"/>
                <w:sz w:val="18"/>
                <w:szCs w:val="18"/>
              </w:rPr>
              <w:t>No cost impact identified</w:t>
            </w:r>
          </w:p>
        </w:tc>
        <w:tc>
          <w:tcPr>
            <w:tcW w:w="1415" w:type="dxa"/>
            <w:tcMar>
              <w:top w:w="57" w:type="dxa"/>
              <w:left w:w="57" w:type="dxa"/>
              <w:bottom w:w="57" w:type="dxa"/>
              <w:right w:w="57" w:type="dxa"/>
            </w:tcMar>
            <w:vAlign w:val="center"/>
          </w:tcPr>
          <w:p w14:paraId="03056B71" w14:textId="29BB5591" w:rsidR="00D04E27" w:rsidRPr="002661A8" w:rsidRDefault="00887925" w:rsidP="00D04E27">
            <w:pPr>
              <w:rPr>
                <w:noProof/>
              </w:rPr>
            </w:pPr>
            <w:r w:rsidRPr="002661A8">
              <w:rPr>
                <w:noProof/>
                <w:color w:val="000000"/>
                <w:sz w:val="18"/>
                <w:szCs w:val="18"/>
              </w:rPr>
              <w:t>No cost impact identified</w:t>
            </w:r>
          </w:p>
        </w:tc>
        <w:tc>
          <w:tcPr>
            <w:tcW w:w="1388" w:type="dxa"/>
            <w:tcMar>
              <w:top w:w="57" w:type="dxa"/>
              <w:left w:w="57" w:type="dxa"/>
              <w:bottom w:w="57" w:type="dxa"/>
              <w:right w:w="57" w:type="dxa"/>
            </w:tcMar>
            <w:vAlign w:val="center"/>
          </w:tcPr>
          <w:p w14:paraId="01F78C8C" w14:textId="2D3E9C37" w:rsidR="00D04E27" w:rsidRPr="002661A8" w:rsidRDefault="00C47B3F" w:rsidP="00C47B3F">
            <w:pPr>
              <w:rPr>
                <w:noProof/>
                <w:color w:val="000000"/>
                <w:sz w:val="18"/>
                <w:szCs w:val="18"/>
              </w:rPr>
            </w:pPr>
            <w:r w:rsidRPr="002661A8">
              <w:rPr>
                <w:noProof/>
                <w:sz w:val="18"/>
              </w:rPr>
              <w:t>C</w:t>
            </w:r>
            <w:r w:rsidR="001E4D08" w:rsidRPr="002661A8">
              <w:rPr>
                <w:noProof/>
                <w:sz w:val="18"/>
              </w:rPr>
              <w:t xml:space="preserve">osts for clearing members and clients to reduce </w:t>
            </w:r>
            <w:r w:rsidR="007C4BE0" w:rsidRPr="002661A8">
              <w:rPr>
                <w:noProof/>
                <w:sz w:val="18"/>
              </w:rPr>
              <w:t xml:space="preserve">excessive </w:t>
            </w:r>
            <w:r w:rsidR="001E4D08" w:rsidRPr="002661A8">
              <w:rPr>
                <w:noProof/>
                <w:sz w:val="18"/>
              </w:rPr>
              <w:t xml:space="preserve">exposures or </w:t>
            </w:r>
            <w:r w:rsidR="00165C32" w:rsidRPr="002661A8">
              <w:rPr>
                <w:noProof/>
                <w:sz w:val="18"/>
              </w:rPr>
              <w:t>increase</w:t>
            </w:r>
            <w:r w:rsidR="001E4D08" w:rsidRPr="002661A8">
              <w:rPr>
                <w:noProof/>
                <w:sz w:val="18"/>
              </w:rPr>
              <w:t xml:space="preserve"> capital to meet higher requirements</w:t>
            </w:r>
            <w:r w:rsidR="001E4D08" w:rsidRPr="002661A8">
              <w:rPr>
                <w:noProof/>
                <w:color w:val="000000"/>
                <w:sz w:val="18"/>
                <w:szCs w:val="18"/>
              </w:rPr>
              <w:t xml:space="preserve"> </w:t>
            </w:r>
            <w:r w:rsidRPr="002661A8">
              <w:rPr>
                <w:noProof/>
                <w:color w:val="000000"/>
                <w:sz w:val="18"/>
                <w:szCs w:val="18"/>
              </w:rPr>
              <w:t>(depending on the precise calibration and their choices</w:t>
            </w:r>
            <w:r w:rsidRPr="002661A8">
              <w:rPr>
                <w:rStyle w:val="FootnoteReference"/>
                <w:noProof/>
                <w:color w:val="000000"/>
                <w:sz w:val="18"/>
                <w:szCs w:val="18"/>
              </w:rPr>
              <w:footnoteReference w:id="196"/>
            </w:r>
            <w:r w:rsidRPr="002661A8">
              <w:rPr>
                <w:noProof/>
                <w:color w:val="000000"/>
                <w:sz w:val="18"/>
                <w:szCs w:val="18"/>
              </w:rPr>
              <w:t>)</w:t>
            </w:r>
          </w:p>
        </w:tc>
        <w:tc>
          <w:tcPr>
            <w:tcW w:w="1387" w:type="dxa"/>
            <w:tcMar>
              <w:top w:w="57" w:type="dxa"/>
              <w:left w:w="57" w:type="dxa"/>
              <w:bottom w:w="57" w:type="dxa"/>
              <w:right w:w="57" w:type="dxa"/>
            </w:tcMar>
            <w:vAlign w:val="center"/>
          </w:tcPr>
          <w:p w14:paraId="10D776B6" w14:textId="580D6966" w:rsidR="00D04E27" w:rsidRPr="002661A8" w:rsidRDefault="007314E8" w:rsidP="0078406E">
            <w:pPr>
              <w:rPr>
                <w:noProof/>
                <w:color w:val="000000"/>
                <w:sz w:val="18"/>
                <w:szCs w:val="18"/>
              </w:rPr>
            </w:pPr>
            <w:r>
              <w:rPr>
                <w:noProof/>
                <w:color w:val="000000"/>
                <w:sz w:val="18"/>
                <w:szCs w:val="18"/>
              </w:rPr>
              <w:t>Potentially significant costs, d</w:t>
            </w:r>
            <w:r w:rsidR="0078406E" w:rsidRPr="002661A8">
              <w:rPr>
                <w:noProof/>
                <w:color w:val="000000"/>
                <w:sz w:val="18"/>
                <w:szCs w:val="18"/>
              </w:rPr>
              <w:t>epending on the precise calibration and choice of individual companies</w:t>
            </w:r>
            <w:r w:rsidR="00C47B3F" w:rsidRPr="002661A8">
              <w:rPr>
                <w:rStyle w:val="FootnoteReference"/>
                <w:noProof/>
                <w:color w:val="000000"/>
                <w:sz w:val="18"/>
                <w:szCs w:val="18"/>
              </w:rPr>
              <w:footnoteReference w:id="197"/>
            </w:r>
            <w:r w:rsidR="0078406E" w:rsidRPr="002661A8">
              <w:rPr>
                <w:noProof/>
                <w:color w:val="000000"/>
                <w:sz w:val="18"/>
                <w:szCs w:val="18"/>
              </w:rPr>
              <w:t xml:space="preserve">, </w:t>
            </w:r>
            <w:r>
              <w:rPr>
                <w:noProof/>
                <w:color w:val="000000"/>
                <w:sz w:val="18"/>
                <w:szCs w:val="18"/>
              </w:rPr>
              <w:t>notably</w:t>
            </w:r>
            <w:r w:rsidR="0078406E" w:rsidRPr="002661A8">
              <w:rPr>
                <w:noProof/>
                <w:color w:val="000000"/>
                <w:sz w:val="18"/>
                <w:szCs w:val="18"/>
              </w:rPr>
              <w:t xml:space="preserve"> h</w:t>
            </w:r>
            <w:r w:rsidR="001E4D08" w:rsidRPr="002661A8">
              <w:rPr>
                <w:noProof/>
                <w:color w:val="000000"/>
                <w:sz w:val="18"/>
                <w:szCs w:val="18"/>
              </w:rPr>
              <w:t>igher costs of clearing</w:t>
            </w:r>
            <w:r w:rsidR="00165C32" w:rsidRPr="002661A8">
              <w:rPr>
                <w:noProof/>
                <w:color w:val="000000"/>
                <w:sz w:val="18"/>
                <w:szCs w:val="18"/>
              </w:rPr>
              <w:t xml:space="preserve"> </w:t>
            </w:r>
            <w:r w:rsidR="001E4D08" w:rsidRPr="002661A8">
              <w:rPr>
                <w:noProof/>
                <w:color w:val="000000"/>
                <w:sz w:val="18"/>
                <w:szCs w:val="18"/>
              </w:rPr>
              <w:t>(e.g. loss of netting benefits)</w:t>
            </w:r>
            <w:r w:rsidR="00165C32" w:rsidRPr="002661A8">
              <w:rPr>
                <w:rStyle w:val="FootnoteReference"/>
                <w:noProof/>
                <w:color w:val="000000"/>
                <w:sz w:val="18"/>
                <w:szCs w:val="18"/>
              </w:rPr>
              <w:footnoteReference w:id="198"/>
            </w:r>
            <w:r w:rsidR="001E4D08" w:rsidRPr="002661A8">
              <w:rPr>
                <w:noProof/>
                <w:color w:val="000000"/>
                <w:sz w:val="18"/>
                <w:szCs w:val="18"/>
              </w:rPr>
              <w:t xml:space="preserve"> </w:t>
            </w:r>
            <w:r w:rsidR="0078406E" w:rsidRPr="002661A8">
              <w:rPr>
                <w:noProof/>
                <w:color w:val="000000"/>
                <w:sz w:val="18"/>
                <w:szCs w:val="18"/>
              </w:rPr>
              <w:t>and/or</w:t>
            </w:r>
            <w:r w:rsidR="00165C32" w:rsidRPr="002661A8">
              <w:rPr>
                <w:noProof/>
                <w:color w:val="000000"/>
                <w:sz w:val="18"/>
                <w:szCs w:val="18"/>
              </w:rPr>
              <w:t>, opportunity costs of holding higher capital to meet requirements for non-EU CCP exposures.</w:t>
            </w:r>
          </w:p>
        </w:tc>
        <w:tc>
          <w:tcPr>
            <w:tcW w:w="1110" w:type="dxa"/>
            <w:tcMar>
              <w:top w:w="57" w:type="dxa"/>
              <w:left w:w="57" w:type="dxa"/>
              <w:bottom w:w="57" w:type="dxa"/>
              <w:right w:w="57" w:type="dxa"/>
            </w:tcMar>
            <w:vAlign w:val="center"/>
          </w:tcPr>
          <w:p w14:paraId="34F1CFCC" w14:textId="3B3A6063" w:rsidR="00D04E27" w:rsidRPr="002661A8" w:rsidRDefault="00887925" w:rsidP="00D04E27">
            <w:pPr>
              <w:rPr>
                <w:noProof/>
              </w:rPr>
            </w:pPr>
            <w:r w:rsidRPr="002661A8">
              <w:rPr>
                <w:noProof/>
                <w:color w:val="000000"/>
                <w:sz w:val="18"/>
                <w:szCs w:val="18"/>
              </w:rPr>
              <w:t>No cost impact identified</w:t>
            </w:r>
          </w:p>
        </w:tc>
        <w:tc>
          <w:tcPr>
            <w:tcW w:w="1249" w:type="dxa"/>
            <w:tcMar>
              <w:top w:w="57" w:type="dxa"/>
              <w:left w:w="57" w:type="dxa"/>
              <w:bottom w:w="57" w:type="dxa"/>
              <w:right w:w="57" w:type="dxa"/>
            </w:tcMar>
            <w:vAlign w:val="center"/>
          </w:tcPr>
          <w:p w14:paraId="3BBD935B" w14:textId="5DF4DD07" w:rsidR="00D04E27" w:rsidRPr="002661A8" w:rsidRDefault="00887925" w:rsidP="00D04E27">
            <w:pPr>
              <w:rPr>
                <w:noProof/>
              </w:rPr>
            </w:pPr>
            <w:r w:rsidRPr="002661A8">
              <w:rPr>
                <w:noProof/>
                <w:color w:val="000000"/>
                <w:sz w:val="18"/>
                <w:szCs w:val="18"/>
              </w:rPr>
              <w:t>No cost impact identified</w:t>
            </w:r>
          </w:p>
        </w:tc>
      </w:tr>
      <w:tr w:rsidR="00D04E27" w:rsidRPr="002661A8" w14:paraId="6701A8FA" w14:textId="77777777" w:rsidTr="00FC4C63">
        <w:trPr>
          <w:trHeight w:val="307"/>
        </w:trPr>
        <w:tc>
          <w:tcPr>
            <w:tcW w:w="972" w:type="dxa"/>
            <w:vMerge/>
            <w:tcMar>
              <w:top w:w="57" w:type="dxa"/>
              <w:left w:w="57" w:type="dxa"/>
              <w:bottom w:w="57" w:type="dxa"/>
              <w:right w:w="57" w:type="dxa"/>
            </w:tcMar>
            <w:vAlign w:val="center"/>
          </w:tcPr>
          <w:p w14:paraId="694B861E" w14:textId="77777777" w:rsidR="00D04E27" w:rsidRPr="002661A8" w:rsidRDefault="00D04E27" w:rsidP="00D04E27">
            <w:pPr>
              <w:rPr>
                <w:noProof/>
              </w:rPr>
            </w:pPr>
          </w:p>
        </w:tc>
        <w:tc>
          <w:tcPr>
            <w:tcW w:w="1575" w:type="dxa"/>
            <w:tcBorders>
              <w:right w:val="double" w:sz="4" w:space="0" w:color="auto"/>
            </w:tcBorders>
            <w:tcMar>
              <w:top w:w="57" w:type="dxa"/>
              <w:left w:w="57" w:type="dxa"/>
              <w:bottom w:w="57" w:type="dxa"/>
              <w:right w:w="57" w:type="dxa"/>
            </w:tcMar>
            <w:vAlign w:val="center"/>
          </w:tcPr>
          <w:p w14:paraId="11651893" w14:textId="0B5E5965" w:rsidR="00D04E27" w:rsidRPr="002661A8" w:rsidRDefault="00D04E27" w:rsidP="00D04E27">
            <w:pPr>
              <w:rPr>
                <w:noProof/>
              </w:rPr>
            </w:pPr>
            <w:r w:rsidRPr="002661A8">
              <w:rPr>
                <w:noProof/>
              </w:rPr>
              <w:t>Direct administrative costs</w:t>
            </w:r>
          </w:p>
        </w:tc>
        <w:tc>
          <w:tcPr>
            <w:tcW w:w="1110" w:type="dxa"/>
            <w:tcBorders>
              <w:left w:val="double" w:sz="4" w:space="0" w:color="auto"/>
            </w:tcBorders>
            <w:tcMar>
              <w:top w:w="57" w:type="dxa"/>
              <w:left w:w="57" w:type="dxa"/>
              <w:bottom w:w="57" w:type="dxa"/>
              <w:right w:w="57" w:type="dxa"/>
            </w:tcMar>
            <w:vAlign w:val="center"/>
          </w:tcPr>
          <w:p w14:paraId="6E6C738D" w14:textId="6B437995" w:rsidR="00D04E27" w:rsidRPr="002661A8" w:rsidRDefault="00836CD2" w:rsidP="00D04E27">
            <w:pPr>
              <w:rPr>
                <w:noProof/>
              </w:rPr>
            </w:pPr>
            <w:r w:rsidRPr="002661A8">
              <w:rPr>
                <w:noProof/>
                <w:color w:val="000000"/>
                <w:sz w:val="18"/>
                <w:szCs w:val="18"/>
              </w:rPr>
              <w:t>No cost impact identified</w:t>
            </w:r>
          </w:p>
        </w:tc>
        <w:tc>
          <w:tcPr>
            <w:tcW w:w="1415" w:type="dxa"/>
            <w:tcMar>
              <w:top w:w="57" w:type="dxa"/>
              <w:left w:w="57" w:type="dxa"/>
              <w:bottom w:w="57" w:type="dxa"/>
              <w:right w:w="57" w:type="dxa"/>
            </w:tcMar>
            <w:vAlign w:val="center"/>
          </w:tcPr>
          <w:p w14:paraId="5199D23F" w14:textId="2BD02344" w:rsidR="00D04E27" w:rsidRPr="002661A8" w:rsidRDefault="00836CD2" w:rsidP="00D04E27">
            <w:pPr>
              <w:rPr>
                <w:noProof/>
              </w:rPr>
            </w:pPr>
            <w:r w:rsidRPr="002661A8">
              <w:rPr>
                <w:noProof/>
                <w:color w:val="000000"/>
                <w:sz w:val="18"/>
                <w:szCs w:val="18"/>
              </w:rPr>
              <w:t>No cost impact identified</w:t>
            </w:r>
          </w:p>
        </w:tc>
        <w:tc>
          <w:tcPr>
            <w:tcW w:w="1388" w:type="dxa"/>
            <w:tcMar>
              <w:top w:w="57" w:type="dxa"/>
              <w:left w:w="57" w:type="dxa"/>
              <w:bottom w:w="57" w:type="dxa"/>
              <w:right w:w="57" w:type="dxa"/>
            </w:tcMar>
            <w:vAlign w:val="center"/>
          </w:tcPr>
          <w:p w14:paraId="152395A1" w14:textId="6FF50D2B" w:rsidR="00D04E27" w:rsidRPr="002661A8" w:rsidRDefault="001E4D08" w:rsidP="00D04E27">
            <w:pPr>
              <w:rPr>
                <w:noProof/>
              </w:rPr>
            </w:pPr>
            <w:r w:rsidRPr="002661A8">
              <w:rPr>
                <w:noProof/>
                <w:sz w:val="18"/>
                <w:szCs w:val="18"/>
              </w:rPr>
              <w:t>Paperwork related to opening an account (expected to be negligible)</w:t>
            </w:r>
            <w:r w:rsidRPr="002661A8">
              <w:rPr>
                <w:rStyle w:val="FootnoteReference"/>
                <w:noProof/>
              </w:rPr>
              <w:footnoteReference w:id="199"/>
            </w:r>
            <w:r w:rsidR="00F9078B">
              <w:rPr>
                <w:noProof/>
                <w:sz w:val="18"/>
                <w:szCs w:val="18"/>
              </w:rPr>
              <w:t xml:space="preserve"> </w:t>
            </w:r>
          </w:p>
        </w:tc>
        <w:tc>
          <w:tcPr>
            <w:tcW w:w="1387" w:type="dxa"/>
            <w:tcMar>
              <w:top w:w="57" w:type="dxa"/>
              <w:left w:w="57" w:type="dxa"/>
              <w:bottom w:w="57" w:type="dxa"/>
              <w:right w:w="57" w:type="dxa"/>
            </w:tcMar>
            <w:vAlign w:val="center"/>
          </w:tcPr>
          <w:p w14:paraId="112FF3B2" w14:textId="63B2BACC" w:rsidR="00D04E27" w:rsidRPr="002661A8" w:rsidRDefault="00F9078B" w:rsidP="00D04E27">
            <w:pPr>
              <w:rPr>
                <w:noProof/>
              </w:rPr>
            </w:pPr>
            <w:r>
              <w:rPr>
                <w:noProof/>
                <w:sz w:val="18"/>
                <w:szCs w:val="18"/>
              </w:rPr>
              <w:t xml:space="preserve">Reporting costs in relation to active account requirements </w:t>
            </w:r>
          </w:p>
        </w:tc>
        <w:tc>
          <w:tcPr>
            <w:tcW w:w="1110" w:type="dxa"/>
            <w:tcMar>
              <w:top w:w="57" w:type="dxa"/>
              <w:left w:w="57" w:type="dxa"/>
              <w:bottom w:w="57" w:type="dxa"/>
              <w:right w:w="57" w:type="dxa"/>
            </w:tcMar>
            <w:vAlign w:val="center"/>
          </w:tcPr>
          <w:p w14:paraId="77A49B99" w14:textId="32C7C488" w:rsidR="00D04E27" w:rsidRPr="002661A8" w:rsidRDefault="00F9078B" w:rsidP="00D04E27">
            <w:pPr>
              <w:rPr>
                <w:noProof/>
              </w:rPr>
            </w:pPr>
            <w:r>
              <w:rPr>
                <w:noProof/>
                <w:color w:val="000000"/>
                <w:sz w:val="18"/>
                <w:szCs w:val="18"/>
              </w:rPr>
              <w:t>Setting up systems to monitor active account compliance</w:t>
            </w:r>
          </w:p>
        </w:tc>
        <w:tc>
          <w:tcPr>
            <w:tcW w:w="1249" w:type="dxa"/>
            <w:tcMar>
              <w:top w:w="57" w:type="dxa"/>
              <w:left w:w="57" w:type="dxa"/>
              <w:bottom w:w="57" w:type="dxa"/>
              <w:right w:w="57" w:type="dxa"/>
            </w:tcMar>
            <w:vAlign w:val="center"/>
          </w:tcPr>
          <w:p w14:paraId="00F235AC" w14:textId="2BCF38E7" w:rsidR="00D04E27" w:rsidRPr="002661A8" w:rsidRDefault="00F9078B" w:rsidP="00D04E27">
            <w:pPr>
              <w:rPr>
                <w:noProof/>
              </w:rPr>
            </w:pPr>
            <w:r>
              <w:rPr>
                <w:noProof/>
                <w:color w:val="000000"/>
                <w:sz w:val="18"/>
                <w:szCs w:val="18"/>
              </w:rPr>
              <w:t>On-going monitoring of active account compliance</w:t>
            </w:r>
          </w:p>
        </w:tc>
      </w:tr>
      <w:tr w:rsidR="00D04E27" w:rsidRPr="002661A8" w14:paraId="465955EE" w14:textId="77777777" w:rsidTr="00FC4C63">
        <w:trPr>
          <w:trHeight w:val="307"/>
        </w:trPr>
        <w:tc>
          <w:tcPr>
            <w:tcW w:w="972" w:type="dxa"/>
            <w:vMerge/>
            <w:tcMar>
              <w:top w:w="57" w:type="dxa"/>
              <w:left w:w="57" w:type="dxa"/>
              <w:bottom w:w="57" w:type="dxa"/>
              <w:right w:w="57" w:type="dxa"/>
            </w:tcMar>
            <w:vAlign w:val="center"/>
          </w:tcPr>
          <w:p w14:paraId="45BC6014" w14:textId="77777777" w:rsidR="00D04E27" w:rsidRPr="002661A8" w:rsidRDefault="00D04E27" w:rsidP="00D04E27">
            <w:pPr>
              <w:rPr>
                <w:noProof/>
              </w:rPr>
            </w:pPr>
          </w:p>
        </w:tc>
        <w:tc>
          <w:tcPr>
            <w:tcW w:w="1575" w:type="dxa"/>
            <w:tcBorders>
              <w:right w:val="double" w:sz="4" w:space="0" w:color="auto"/>
            </w:tcBorders>
            <w:tcMar>
              <w:top w:w="57" w:type="dxa"/>
              <w:left w:w="57" w:type="dxa"/>
              <w:bottom w:w="57" w:type="dxa"/>
              <w:right w:w="57" w:type="dxa"/>
            </w:tcMar>
            <w:vAlign w:val="center"/>
          </w:tcPr>
          <w:p w14:paraId="66BEBBBA" w14:textId="3D98404C" w:rsidR="00D04E27" w:rsidRPr="002661A8" w:rsidRDefault="00D04E27" w:rsidP="00D04E27">
            <w:pPr>
              <w:rPr>
                <w:noProof/>
              </w:rPr>
            </w:pPr>
            <w:r w:rsidRPr="002661A8">
              <w:rPr>
                <w:noProof/>
              </w:rPr>
              <w:t>Direct regulatory fees and charges</w:t>
            </w:r>
          </w:p>
        </w:tc>
        <w:tc>
          <w:tcPr>
            <w:tcW w:w="1110" w:type="dxa"/>
            <w:tcBorders>
              <w:left w:val="double" w:sz="4" w:space="0" w:color="auto"/>
            </w:tcBorders>
            <w:tcMar>
              <w:top w:w="57" w:type="dxa"/>
              <w:left w:w="57" w:type="dxa"/>
              <w:bottom w:w="57" w:type="dxa"/>
              <w:right w:w="57" w:type="dxa"/>
            </w:tcMar>
            <w:vAlign w:val="center"/>
          </w:tcPr>
          <w:p w14:paraId="3E34ADF4" w14:textId="404DEFAD" w:rsidR="00D04E27" w:rsidRPr="002661A8" w:rsidRDefault="00836CD2" w:rsidP="00D04E27">
            <w:pPr>
              <w:rPr>
                <w:noProof/>
              </w:rPr>
            </w:pPr>
            <w:r w:rsidRPr="002661A8">
              <w:rPr>
                <w:noProof/>
                <w:color w:val="000000"/>
                <w:sz w:val="18"/>
                <w:szCs w:val="18"/>
              </w:rPr>
              <w:t>No cost impact identified</w:t>
            </w:r>
          </w:p>
        </w:tc>
        <w:tc>
          <w:tcPr>
            <w:tcW w:w="1415" w:type="dxa"/>
            <w:tcMar>
              <w:top w:w="57" w:type="dxa"/>
              <w:left w:w="57" w:type="dxa"/>
              <w:bottom w:w="57" w:type="dxa"/>
              <w:right w:w="57" w:type="dxa"/>
            </w:tcMar>
            <w:vAlign w:val="center"/>
          </w:tcPr>
          <w:p w14:paraId="06024C40" w14:textId="158CA416" w:rsidR="00D04E27" w:rsidRPr="002661A8" w:rsidRDefault="00836CD2" w:rsidP="00D04E27">
            <w:pPr>
              <w:rPr>
                <w:noProof/>
              </w:rPr>
            </w:pPr>
            <w:r w:rsidRPr="002661A8">
              <w:rPr>
                <w:noProof/>
                <w:color w:val="000000"/>
                <w:sz w:val="18"/>
                <w:szCs w:val="18"/>
              </w:rPr>
              <w:t>No cost impact identified</w:t>
            </w:r>
          </w:p>
        </w:tc>
        <w:tc>
          <w:tcPr>
            <w:tcW w:w="1388" w:type="dxa"/>
            <w:tcMar>
              <w:top w:w="57" w:type="dxa"/>
              <w:left w:w="57" w:type="dxa"/>
              <w:bottom w:w="57" w:type="dxa"/>
              <w:right w:w="57" w:type="dxa"/>
            </w:tcMar>
            <w:vAlign w:val="center"/>
          </w:tcPr>
          <w:p w14:paraId="2133E83A" w14:textId="197CC3BA" w:rsidR="00D04E27" w:rsidRPr="002661A8" w:rsidRDefault="00836CD2" w:rsidP="00D04E27">
            <w:pPr>
              <w:rPr>
                <w:noProof/>
              </w:rPr>
            </w:pPr>
            <w:r w:rsidRPr="002661A8">
              <w:rPr>
                <w:noProof/>
                <w:color w:val="000000"/>
                <w:sz w:val="18"/>
                <w:szCs w:val="18"/>
              </w:rPr>
              <w:t>No cost impact identified</w:t>
            </w:r>
          </w:p>
        </w:tc>
        <w:tc>
          <w:tcPr>
            <w:tcW w:w="1387" w:type="dxa"/>
            <w:tcMar>
              <w:top w:w="57" w:type="dxa"/>
              <w:left w:w="57" w:type="dxa"/>
              <w:bottom w:w="57" w:type="dxa"/>
              <w:right w:w="57" w:type="dxa"/>
            </w:tcMar>
            <w:vAlign w:val="center"/>
          </w:tcPr>
          <w:p w14:paraId="5F60BCA7" w14:textId="7111A857" w:rsidR="00D04E27" w:rsidRPr="002661A8" w:rsidRDefault="00836CD2" w:rsidP="00D04E27">
            <w:pPr>
              <w:rPr>
                <w:noProof/>
              </w:rPr>
            </w:pPr>
            <w:r w:rsidRPr="002661A8">
              <w:rPr>
                <w:noProof/>
                <w:color w:val="000000"/>
                <w:sz w:val="18"/>
                <w:szCs w:val="18"/>
              </w:rPr>
              <w:t>No cost impact identified</w:t>
            </w:r>
          </w:p>
        </w:tc>
        <w:tc>
          <w:tcPr>
            <w:tcW w:w="1110" w:type="dxa"/>
            <w:tcMar>
              <w:top w:w="57" w:type="dxa"/>
              <w:left w:w="57" w:type="dxa"/>
              <w:bottom w:w="57" w:type="dxa"/>
              <w:right w:w="57" w:type="dxa"/>
            </w:tcMar>
            <w:vAlign w:val="center"/>
          </w:tcPr>
          <w:p w14:paraId="1D324CBB" w14:textId="74894694" w:rsidR="00D04E27" w:rsidRPr="002661A8" w:rsidRDefault="00836CD2" w:rsidP="00D04E27">
            <w:pPr>
              <w:rPr>
                <w:noProof/>
              </w:rPr>
            </w:pPr>
            <w:r w:rsidRPr="002661A8">
              <w:rPr>
                <w:noProof/>
                <w:color w:val="000000"/>
                <w:sz w:val="18"/>
                <w:szCs w:val="18"/>
              </w:rPr>
              <w:t>No cost impact identified</w:t>
            </w:r>
          </w:p>
        </w:tc>
        <w:tc>
          <w:tcPr>
            <w:tcW w:w="1249" w:type="dxa"/>
            <w:tcMar>
              <w:top w:w="57" w:type="dxa"/>
              <w:left w:w="57" w:type="dxa"/>
              <w:bottom w:w="57" w:type="dxa"/>
              <w:right w:w="57" w:type="dxa"/>
            </w:tcMar>
            <w:vAlign w:val="center"/>
          </w:tcPr>
          <w:p w14:paraId="2DB6514A" w14:textId="6057DF38" w:rsidR="00D04E27" w:rsidRPr="002661A8" w:rsidRDefault="00836CD2" w:rsidP="00D04E27">
            <w:pPr>
              <w:rPr>
                <w:noProof/>
              </w:rPr>
            </w:pPr>
            <w:r w:rsidRPr="002661A8">
              <w:rPr>
                <w:noProof/>
                <w:color w:val="000000"/>
                <w:sz w:val="18"/>
                <w:szCs w:val="18"/>
              </w:rPr>
              <w:t>No cost impact identified</w:t>
            </w:r>
          </w:p>
        </w:tc>
      </w:tr>
      <w:tr w:rsidR="00D04E27" w:rsidRPr="002661A8" w14:paraId="03E39EB9" w14:textId="77777777" w:rsidTr="00FC4C63">
        <w:trPr>
          <w:trHeight w:val="307"/>
        </w:trPr>
        <w:tc>
          <w:tcPr>
            <w:tcW w:w="972" w:type="dxa"/>
            <w:vMerge/>
            <w:tcMar>
              <w:top w:w="57" w:type="dxa"/>
              <w:left w:w="57" w:type="dxa"/>
              <w:bottom w:w="57" w:type="dxa"/>
              <w:right w:w="57" w:type="dxa"/>
            </w:tcMar>
            <w:vAlign w:val="center"/>
          </w:tcPr>
          <w:p w14:paraId="6C426154" w14:textId="77777777" w:rsidR="00D04E27" w:rsidRPr="002661A8" w:rsidRDefault="00D04E27" w:rsidP="00D04E27">
            <w:pPr>
              <w:rPr>
                <w:noProof/>
              </w:rPr>
            </w:pPr>
          </w:p>
        </w:tc>
        <w:tc>
          <w:tcPr>
            <w:tcW w:w="1575" w:type="dxa"/>
            <w:tcBorders>
              <w:right w:val="double" w:sz="4" w:space="0" w:color="auto"/>
            </w:tcBorders>
            <w:tcMar>
              <w:top w:w="57" w:type="dxa"/>
              <w:left w:w="57" w:type="dxa"/>
              <w:bottom w:w="57" w:type="dxa"/>
              <w:right w:w="57" w:type="dxa"/>
            </w:tcMar>
            <w:vAlign w:val="center"/>
          </w:tcPr>
          <w:p w14:paraId="499CB380" w14:textId="14E77DD3" w:rsidR="00D04E27" w:rsidRPr="002661A8" w:rsidRDefault="00D04E27" w:rsidP="00D04E27">
            <w:pPr>
              <w:rPr>
                <w:noProof/>
              </w:rPr>
            </w:pPr>
            <w:r w:rsidRPr="002661A8">
              <w:rPr>
                <w:noProof/>
              </w:rPr>
              <w:t>Direct enforcement costs</w:t>
            </w:r>
          </w:p>
        </w:tc>
        <w:tc>
          <w:tcPr>
            <w:tcW w:w="1110" w:type="dxa"/>
            <w:tcBorders>
              <w:left w:val="double" w:sz="4" w:space="0" w:color="auto"/>
            </w:tcBorders>
            <w:tcMar>
              <w:top w:w="57" w:type="dxa"/>
              <w:left w:w="57" w:type="dxa"/>
              <w:bottom w:w="57" w:type="dxa"/>
              <w:right w:w="57" w:type="dxa"/>
            </w:tcMar>
            <w:vAlign w:val="center"/>
          </w:tcPr>
          <w:p w14:paraId="1B9F0334" w14:textId="5EDE3218" w:rsidR="00D04E27" w:rsidRPr="002661A8" w:rsidRDefault="00836CD2" w:rsidP="00D04E27">
            <w:pPr>
              <w:rPr>
                <w:noProof/>
              </w:rPr>
            </w:pPr>
            <w:r w:rsidRPr="002661A8">
              <w:rPr>
                <w:noProof/>
                <w:color w:val="000000"/>
                <w:sz w:val="18"/>
                <w:szCs w:val="18"/>
              </w:rPr>
              <w:t>No cost impact identified</w:t>
            </w:r>
          </w:p>
        </w:tc>
        <w:tc>
          <w:tcPr>
            <w:tcW w:w="1415" w:type="dxa"/>
            <w:tcMar>
              <w:top w:w="57" w:type="dxa"/>
              <w:left w:w="57" w:type="dxa"/>
              <w:bottom w:w="57" w:type="dxa"/>
              <w:right w:w="57" w:type="dxa"/>
            </w:tcMar>
            <w:vAlign w:val="center"/>
          </w:tcPr>
          <w:p w14:paraId="3E4AA33B" w14:textId="3E8993F9" w:rsidR="00D04E27" w:rsidRPr="002661A8" w:rsidRDefault="00836CD2" w:rsidP="00D04E27">
            <w:pPr>
              <w:rPr>
                <w:noProof/>
              </w:rPr>
            </w:pPr>
            <w:r w:rsidRPr="002661A8">
              <w:rPr>
                <w:noProof/>
                <w:color w:val="000000"/>
                <w:sz w:val="18"/>
                <w:szCs w:val="18"/>
              </w:rPr>
              <w:t>No cost impact identified</w:t>
            </w:r>
          </w:p>
        </w:tc>
        <w:tc>
          <w:tcPr>
            <w:tcW w:w="1388" w:type="dxa"/>
            <w:tcMar>
              <w:top w:w="57" w:type="dxa"/>
              <w:left w:w="57" w:type="dxa"/>
              <w:bottom w:w="57" w:type="dxa"/>
              <w:right w:w="57" w:type="dxa"/>
            </w:tcMar>
            <w:vAlign w:val="center"/>
          </w:tcPr>
          <w:p w14:paraId="5064D0E5" w14:textId="37EF937B" w:rsidR="00D04E27" w:rsidRPr="002661A8" w:rsidRDefault="00836CD2" w:rsidP="00D04E27">
            <w:pPr>
              <w:rPr>
                <w:b/>
                <w:noProof/>
              </w:rPr>
            </w:pPr>
            <w:r w:rsidRPr="002661A8">
              <w:rPr>
                <w:noProof/>
                <w:color w:val="000000"/>
                <w:sz w:val="18"/>
                <w:szCs w:val="18"/>
              </w:rPr>
              <w:t>No cost impact identified</w:t>
            </w:r>
          </w:p>
        </w:tc>
        <w:tc>
          <w:tcPr>
            <w:tcW w:w="1387" w:type="dxa"/>
            <w:tcMar>
              <w:top w:w="57" w:type="dxa"/>
              <w:left w:w="57" w:type="dxa"/>
              <w:bottom w:w="57" w:type="dxa"/>
              <w:right w:w="57" w:type="dxa"/>
            </w:tcMar>
            <w:vAlign w:val="center"/>
          </w:tcPr>
          <w:p w14:paraId="46AEBF73" w14:textId="5E3591AA" w:rsidR="00D04E27" w:rsidRPr="002661A8" w:rsidRDefault="00836CD2" w:rsidP="00D04E27">
            <w:pPr>
              <w:rPr>
                <w:noProof/>
                <w:sz w:val="18"/>
              </w:rPr>
            </w:pPr>
            <w:r w:rsidRPr="002661A8">
              <w:rPr>
                <w:noProof/>
                <w:color w:val="000000"/>
                <w:sz w:val="18"/>
                <w:szCs w:val="18"/>
              </w:rPr>
              <w:t>No cost impact identified</w:t>
            </w:r>
          </w:p>
        </w:tc>
        <w:tc>
          <w:tcPr>
            <w:tcW w:w="1110" w:type="dxa"/>
            <w:tcMar>
              <w:top w:w="57" w:type="dxa"/>
              <w:left w:w="57" w:type="dxa"/>
              <w:bottom w:w="57" w:type="dxa"/>
              <w:right w:w="57" w:type="dxa"/>
            </w:tcMar>
            <w:vAlign w:val="center"/>
          </w:tcPr>
          <w:p w14:paraId="38F38BF3" w14:textId="6342F627" w:rsidR="00D04E27" w:rsidRPr="002661A8" w:rsidRDefault="00836CD2" w:rsidP="00D04E27">
            <w:pPr>
              <w:rPr>
                <w:noProof/>
              </w:rPr>
            </w:pPr>
            <w:r w:rsidRPr="002661A8">
              <w:rPr>
                <w:noProof/>
                <w:color w:val="000000"/>
                <w:sz w:val="18"/>
                <w:szCs w:val="18"/>
              </w:rPr>
              <w:t>No cost impact identified</w:t>
            </w:r>
          </w:p>
        </w:tc>
        <w:tc>
          <w:tcPr>
            <w:tcW w:w="1249" w:type="dxa"/>
            <w:tcMar>
              <w:top w:w="57" w:type="dxa"/>
              <w:left w:w="57" w:type="dxa"/>
              <w:bottom w:w="57" w:type="dxa"/>
              <w:right w:w="57" w:type="dxa"/>
            </w:tcMar>
            <w:vAlign w:val="center"/>
          </w:tcPr>
          <w:p w14:paraId="724CB5B4" w14:textId="77675699" w:rsidR="00D04E27" w:rsidRPr="002661A8" w:rsidRDefault="00836CD2" w:rsidP="00D04E27">
            <w:pPr>
              <w:rPr>
                <w:noProof/>
              </w:rPr>
            </w:pPr>
            <w:r w:rsidRPr="002661A8">
              <w:rPr>
                <w:noProof/>
                <w:color w:val="000000"/>
                <w:sz w:val="18"/>
                <w:szCs w:val="18"/>
              </w:rPr>
              <w:t>No cost impact identified</w:t>
            </w:r>
          </w:p>
        </w:tc>
      </w:tr>
      <w:tr w:rsidR="00D41C12" w:rsidRPr="002661A8" w14:paraId="4D4739A2" w14:textId="77777777" w:rsidTr="00FC4C63">
        <w:trPr>
          <w:trHeight w:val="307"/>
        </w:trPr>
        <w:tc>
          <w:tcPr>
            <w:tcW w:w="972" w:type="dxa"/>
            <w:vMerge/>
            <w:tcMar>
              <w:top w:w="57" w:type="dxa"/>
              <w:left w:w="57" w:type="dxa"/>
              <w:bottom w:w="57" w:type="dxa"/>
              <w:right w:w="57" w:type="dxa"/>
            </w:tcMar>
            <w:vAlign w:val="center"/>
          </w:tcPr>
          <w:p w14:paraId="4E4CDB13" w14:textId="77777777" w:rsidR="00D04E27" w:rsidRPr="002661A8" w:rsidRDefault="00D04E27" w:rsidP="00D04E27">
            <w:pPr>
              <w:rPr>
                <w:noProof/>
              </w:rPr>
            </w:pPr>
          </w:p>
        </w:tc>
        <w:tc>
          <w:tcPr>
            <w:tcW w:w="1575" w:type="dxa"/>
            <w:tcBorders>
              <w:right w:val="double" w:sz="4" w:space="0" w:color="auto"/>
            </w:tcBorders>
            <w:tcMar>
              <w:top w:w="57" w:type="dxa"/>
              <w:left w:w="57" w:type="dxa"/>
              <w:bottom w:w="57" w:type="dxa"/>
              <w:right w:w="57" w:type="dxa"/>
            </w:tcMar>
          </w:tcPr>
          <w:p w14:paraId="757D46C2" w14:textId="0FD2D5CE" w:rsidR="00D04E27" w:rsidRPr="002661A8" w:rsidRDefault="00D04E27" w:rsidP="00D04E27">
            <w:pPr>
              <w:rPr>
                <w:noProof/>
              </w:rPr>
            </w:pPr>
            <w:r w:rsidRPr="002661A8">
              <w:rPr>
                <w:noProof/>
              </w:rPr>
              <w:t>Indirect costs</w:t>
            </w:r>
          </w:p>
        </w:tc>
        <w:tc>
          <w:tcPr>
            <w:tcW w:w="1110" w:type="dxa"/>
            <w:tcBorders>
              <w:left w:val="double" w:sz="4" w:space="0" w:color="auto"/>
            </w:tcBorders>
            <w:tcMar>
              <w:top w:w="57" w:type="dxa"/>
              <w:left w:w="57" w:type="dxa"/>
              <w:bottom w:w="57" w:type="dxa"/>
              <w:right w:w="57" w:type="dxa"/>
            </w:tcMar>
            <w:vAlign w:val="center"/>
          </w:tcPr>
          <w:p w14:paraId="62107F07" w14:textId="73536748" w:rsidR="00D04E27" w:rsidRPr="002661A8" w:rsidRDefault="00836CD2" w:rsidP="00D04E27">
            <w:pPr>
              <w:rPr>
                <w:noProof/>
              </w:rPr>
            </w:pPr>
            <w:r w:rsidRPr="002661A8">
              <w:rPr>
                <w:noProof/>
                <w:color w:val="000000"/>
                <w:sz w:val="18"/>
                <w:szCs w:val="18"/>
              </w:rPr>
              <w:t>No cost impact identified</w:t>
            </w:r>
          </w:p>
        </w:tc>
        <w:tc>
          <w:tcPr>
            <w:tcW w:w="1415" w:type="dxa"/>
            <w:tcMar>
              <w:top w:w="57" w:type="dxa"/>
              <w:left w:w="57" w:type="dxa"/>
              <w:bottom w:w="57" w:type="dxa"/>
              <w:right w:w="57" w:type="dxa"/>
            </w:tcMar>
            <w:vAlign w:val="center"/>
          </w:tcPr>
          <w:p w14:paraId="2DE627CE" w14:textId="33EB4A58" w:rsidR="00D04E27" w:rsidRPr="002661A8" w:rsidRDefault="00F9078B" w:rsidP="00D04E27">
            <w:pPr>
              <w:rPr>
                <w:noProof/>
              </w:rPr>
            </w:pPr>
            <w:r>
              <w:rPr>
                <w:noProof/>
                <w:color w:val="000000"/>
                <w:sz w:val="18"/>
                <w:szCs w:val="18"/>
              </w:rPr>
              <w:t>Minimal additional</w:t>
            </w:r>
            <w:r w:rsidRPr="002661A8">
              <w:rPr>
                <w:noProof/>
                <w:color w:val="000000"/>
                <w:sz w:val="18"/>
                <w:szCs w:val="18"/>
              </w:rPr>
              <w:t xml:space="preserve"> </w:t>
            </w:r>
            <w:r w:rsidR="003301C0" w:rsidRPr="002661A8">
              <w:rPr>
                <w:noProof/>
                <w:color w:val="000000"/>
                <w:sz w:val="18"/>
                <w:szCs w:val="18"/>
              </w:rPr>
              <w:t>c</w:t>
            </w:r>
            <w:r w:rsidR="001F319E" w:rsidRPr="002661A8">
              <w:rPr>
                <w:noProof/>
                <w:color w:val="000000"/>
                <w:sz w:val="18"/>
                <w:szCs w:val="18"/>
              </w:rPr>
              <w:t>osts of reporting on more accounts (expected to be negligible)</w:t>
            </w:r>
          </w:p>
        </w:tc>
        <w:tc>
          <w:tcPr>
            <w:tcW w:w="1388" w:type="dxa"/>
            <w:tcMar>
              <w:top w:w="57" w:type="dxa"/>
              <w:left w:w="57" w:type="dxa"/>
              <w:bottom w:w="57" w:type="dxa"/>
              <w:right w:w="57" w:type="dxa"/>
            </w:tcMar>
            <w:vAlign w:val="center"/>
          </w:tcPr>
          <w:p w14:paraId="7191D1C4" w14:textId="5B8DDB49" w:rsidR="00D04E27" w:rsidRPr="002661A8" w:rsidRDefault="00836CD2" w:rsidP="00891D6B">
            <w:pPr>
              <w:rPr>
                <w:noProof/>
              </w:rPr>
            </w:pPr>
            <w:r w:rsidRPr="002661A8">
              <w:rPr>
                <w:noProof/>
                <w:color w:val="000000"/>
                <w:sz w:val="18"/>
                <w:szCs w:val="18"/>
              </w:rPr>
              <w:t>No cost impact identified</w:t>
            </w:r>
          </w:p>
        </w:tc>
        <w:tc>
          <w:tcPr>
            <w:tcW w:w="1387" w:type="dxa"/>
            <w:tcMar>
              <w:top w:w="57" w:type="dxa"/>
              <w:left w:w="57" w:type="dxa"/>
              <w:bottom w:w="57" w:type="dxa"/>
              <w:right w:w="57" w:type="dxa"/>
            </w:tcMar>
            <w:vAlign w:val="center"/>
          </w:tcPr>
          <w:p w14:paraId="5C602991" w14:textId="0B614213" w:rsidR="00F9078B" w:rsidRDefault="001E4D08" w:rsidP="00F9078B">
            <w:pPr>
              <w:rPr>
                <w:noProof/>
                <w:sz w:val="18"/>
                <w:szCs w:val="18"/>
              </w:rPr>
            </w:pPr>
            <w:r w:rsidRPr="002661A8">
              <w:rPr>
                <w:noProof/>
                <w:sz w:val="18"/>
                <w:szCs w:val="18"/>
              </w:rPr>
              <w:t>Clients</w:t>
            </w:r>
            <w:r w:rsidR="001A00AE" w:rsidRPr="002661A8" w:rsidDel="00891D6B">
              <w:rPr>
                <w:noProof/>
                <w:sz w:val="18"/>
                <w:szCs w:val="18"/>
              </w:rPr>
              <w:t xml:space="preserve"> </w:t>
            </w:r>
            <w:r w:rsidR="00F9078B">
              <w:rPr>
                <w:noProof/>
                <w:sz w:val="18"/>
                <w:szCs w:val="18"/>
              </w:rPr>
              <w:t>will</w:t>
            </w:r>
            <w:r w:rsidR="00891D6B" w:rsidRPr="002661A8" w:rsidDel="005C1921">
              <w:rPr>
                <w:noProof/>
                <w:sz w:val="18"/>
                <w:szCs w:val="18"/>
              </w:rPr>
              <w:t xml:space="preserve"> </w:t>
            </w:r>
            <w:r w:rsidRPr="002661A8">
              <w:rPr>
                <w:noProof/>
                <w:sz w:val="18"/>
                <w:szCs w:val="18"/>
              </w:rPr>
              <w:t xml:space="preserve">face </w:t>
            </w:r>
            <w:r w:rsidR="00251CCA" w:rsidRPr="002661A8">
              <w:rPr>
                <w:noProof/>
                <w:sz w:val="18"/>
                <w:szCs w:val="18"/>
              </w:rPr>
              <w:t>a small increase in</w:t>
            </w:r>
            <w:r w:rsidRPr="002661A8">
              <w:rPr>
                <w:noProof/>
                <w:sz w:val="18"/>
                <w:szCs w:val="18"/>
              </w:rPr>
              <w:t xml:space="preserve"> clearing fees </w:t>
            </w:r>
          </w:p>
          <w:p w14:paraId="0229346F" w14:textId="465B18C5" w:rsidR="00D04E27" w:rsidRPr="002661A8" w:rsidRDefault="00F9078B" w:rsidP="00891D6B">
            <w:pPr>
              <w:rPr>
                <w:noProof/>
                <w:sz w:val="18"/>
                <w:szCs w:val="18"/>
              </w:rPr>
            </w:pPr>
            <w:r>
              <w:rPr>
                <w:noProof/>
                <w:sz w:val="18"/>
                <w:szCs w:val="18"/>
              </w:rPr>
              <w:t xml:space="preserve">as </w:t>
            </w:r>
            <w:r w:rsidR="001E4D08" w:rsidRPr="002661A8">
              <w:rPr>
                <w:noProof/>
                <w:sz w:val="18"/>
                <w:szCs w:val="18"/>
              </w:rPr>
              <w:t xml:space="preserve">clearing member </w:t>
            </w:r>
            <w:r>
              <w:rPr>
                <w:noProof/>
                <w:sz w:val="18"/>
                <w:szCs w:val="18"/>
              </w:rPr>
              <w:t>pass on cost increases</w:t>
            </w:r>
            <w:r w:rsidR="001E4D08" w:rsidRPr="002661A8">
              <w:rPr>
                <w:noProof/>
                <w:sz w:val="18"/>
                <w:szCs w:val="18"/>
              </w:rPr>
              <w:t xml:space="preserve"> </w:t>
            </w:r>
            <w:r>
              <w:rPr>
                <w:noProof/>
                <w:sz w:val="18"/>
                <w:szCs w:val="18"/>
              </w:rPr>
              <w:t xml:space="preserve">from </w:t>
            </w:r>
            <w:r w:rsidR="001E4D08" w:rsidRPr="002661A8">
              <w:rPr>
                <w:noProof/>
                <w:sz w:val="18"/>
                <w:szCs w:val="18"/>
              </w:rPr>
              <w:t>maintain</w:t>
            </w:r>
            <w:r>
              <w:rPr>
                <w:noProof/>
                <w:sz w:val="18"/>
                <w:szCs w:val="18"/>
              </w:rPr>
              <w:t>ing</w:t>
            </w:r>
            <w:r w:rsidR="001E4D08" w:rsidRPr="002661A8">
              <w:rPr>
                <w:noProof/>
                <w:sz w:val="18"/>
                <w:szCs w:val="18"/>
              </w:rPr>
              <w:t xml:space="preserve"> multiple accounts</w:t>
            </w:r>
            <w:r w:rsidR="00ED01F5" w:rsidRPr="002661A8">
              <w:rPr>
                <w:rStyle w:val="FootnoteReference"/>
                <w:noProof/>
                <w:sz w:val="18"/>
                <w:szCs w:val="18"/>
              </w:rPr>
              <w:footnoteReference w:id="200"/>
            </w:r>
          </w:p>
        </w:tc>
        <w:tc>
          <w:tcPr>
            <w:tcW w:w="1110" w:type="dxa"/>
            <w:tcMar>
              <w:top w:w="57" w:type="dxa"/>
              <w:left w:w="57" w:type="dxa"/>
              <w:bottom w:w="57" w:type="dxa"/>
              <w:right w:w="57" w:type="dxa"/>
            </w:tcMar>
            <w:vAlign w:val="center"/>
          </w:tcPr>
          <w:p w14:paraId="01CD2CEB" w14:textId="2AD39FDE" w:rsidR="00D04E27" w:rsidRPr="002661A8" w:rsidRDefault="00E3277A" w:rsidP="00D04E27">
            <w:pPr>
              <w:rPr>
                <w:noProof/>
              </w:rPr>
            </w:pPr>
            <w:r w:rsidRPr="002661A8">
              <w:rPr>
                <w:noProof/>
                <w:color w:val="000000"/>
                <w:sz w:val="18"/>
                <w:szCs w:val="18"/>
              </w:rPr>
              <w:t>No cost impact identified</w:t>
            </w:r>
          </w:p>
        </w:tc>
        <w:tc>
          <w:tcPr>
            <w:tcW w:w="1249" w:type="dxa"/>
            <w:tcMar>
              <w:top w:w="57" w:type="dxa"/>
              <w:left w:w="57" w:type="dxa"/>
              <w:bottom w:w="57" w:type="dxa"/>
              <w:right w:w="57" w:type="dxa"/>
            </w:tcMar>
            <w:vAlign w:val="center"/>
          </w:tcPr>
          <w:p w14:paraId="3740D564" w14:textId="7FA9B1F0" w:rsidR="00D04E27" w:rsidRPr="002661A8" w:rsidRDefault="00E3277A" w:rsidP="00D04E27">
            <w:pPr>
              <w:rPr>
                <w:noProof/>
              </w:rPr>
            </w:pPr>
            <w:r w:rsidRPr="002661A8">
              <w:rPr>
                <w:noProof/>
                <w:color w:val="000000"/>
                <w:sz w:val="18"/>
                <w:szCs w:val="18"/>
              </w:rPr>
              <w:t>More enforcement may be needed as EU business volumes grow</w:t>
            </w:r>
          </w:p>
        </w:tc>
      </w:tr>
      <w:tr w:rsidR="00D04E27" w:rsidRPr="002661A8" w14:paraId="40CC7F99" w14:textId="77777777" w:rsidTr="00FC4C63">
        <w:trPr>
          <w:trHeight w:val="307"/>
        </w:trPr>
        <w:tc>
          <w:tcPr>
            <w:tcW w:w="972" w:type="dxa"/>
            <w:vMerge w:val="restart"/>
            <w:tcMar>
              <w:top w:w="57" w:type="dxa"/>
              <w:left w:w="57" w:type="dxa"/>
              <w:bottom w:w="57" w:type="dxa"/>
              <w:right w:w="57" w:type="dxa"/>
            </w:tcMar>
            <w:vAlign w:val="center"/>
          </w:tcPr>
          <w:p w14:paraId="0497F52D" w14:textId="268BF0A4" w:rsidR="00D04E27" w:rsidRPr="002661A8" w:rsidRDefault="00D04E27" w:rsidP="00D04E27">
            <w:pPr>
              <w:rPr>
                <w:noProof/>
              </w:rPr>
            </w:pPr>
            <w:r w:rsidRPr="002661A8">
              <w:rPr>
                <w:noProof/>
              </w:rPr>
              <w:t xml:space="preserve">Supervision  </w:t>
            </w:r>
          </w:p>
        </w:tc>
        <w:tc>
          <w:tcPr>
            <w:tcW w:w="1575" w:type="dxa"/>
            <w:tcBorders>
              <w:right w:val="double" w:sz="4" w:space="0" w:color="auto"/>
            </w:tcBorders>
            <w:tcMar>
              <w:top w:w="57" w:type="dxa"/>
              <w:left w:w="57" w:type="dxa"/>
              <w:bottom w:w="57" w:type="dxa"/>
              <w:right w:w="57" w:type="dxa"/>
            </w:tcMar>
            <w:vAlign w:val="center"/>
          </w:tcPr>
          <w:p w14:paraId="54A55F57" w14:textId="77777777" w:rsidR="00D04E27" w:rsidRPr="002661A8" w:rsidRDefault="00D04E27" w:rsidP="00D04E27">
            <w:pPr>
              <w:rPr>
                <w:noProof/>
              </w:rPr>
            </w:pPr>
            <w:r w:rsidRPr="002661A8">
              <w:rPr>
                <w:noProof/>
              </w:rPr>
              <w:t>Direct adjustment costs</w:t>
            </w:r>
          </w:p>
        </w:tc>
        <w:tc>
          <w:tcPr>
            <w:tcW w:w="1110" w:type="dxa"/>
            <w:tcBorders>
              <w:left w:val="double" w:sz="4" w:space="0" w:color="auto"/>
            </w:tcBorders>
            <w:tcMar>
              <w:top w:w="57" w:type="dxa"/>
              <w:left w:w="57" w:type="dxa"/>
              <w:bottom w:w="57" w:type="dxa"/>
              <w:right w:w="57" w:type="dxa"/>
            </w:tcMar>
            <w:vAlign w:val="center"/>
          </w:tcPr>
          <w:p w14:paraId="67477BF2" w14:textId="0B3C75B7" w:rsidR="00D04E27" w:rsidRPr="002661A8" w:rsidRDefault="00433EDF" w:rsidP="00D04E27">
            <w:pPr>
              <w:rPr>
                <w:noProof/>
              </w:rPr>
            </w:pPr>
            <w:r w:rsidRPr="002661A8">
              <w:rPr>
                <w:noProof/>
                <w:color w:val="000000"/>
                <w:sz w:val="18"/>
                <w:szCs w:val="18"/>
              </w:rPr>
              <w:t>No cost impact identified</w:t>
            </w:r>
          </w:p>
        </w:tc>
        <w:tc>
          <w:tcPr>
            <w:tcW w:w="1415" w:type="dxa"/>
            <w:tcMar>
              <w:top w:w="57" w:type="dxa"/>
              <w:left w:w="57" w:type="dxa"/>
              <w:bottom w:w="57" w:type="dxa"/>
              <w:right w:w="57" w:type="dxa"/>
            </w:tcMar>
            <w:vAlign w:val="center"/>
          </w:tcPr>
          <w:p w14:paraId="3C6AEFF8" w14:textId="3EBB1BC5" w:rsidR="00D04E27" w:rsidRPr="002661A8" w:rsidRDefault="00433EDF" w:rsidP="00D04E27">
            <w:pPr>
              <w:rPr>
                <w:noProof/>
              </w:rPr>
            </w:pPr>
            <w:r w:rsidRPr="002661A8">
              <w:rPr>
                <w:noProof/>
                <w:color w:val="000000"/>
                <w:sz w:val="18"/>
                <w:szCs w:val="18"/>
              </w:rPr>
              <w:t>No cost impact identified</w:t>
            </w:r>
          </w:p>
        </w:tc>
        <w:tc>
          <w:tcPr>
            <w:tcW w:w="1388" w:type="dxa"/>
            <w:tcMar>
              <w:top w:w="57" w:type="dxa"/>
              <w:left w:w="57" w:type="dxa"/>
              <w:bottom w:w="57" w:type="dxa"/>
              <w:right w:w="57" w:type="dxa"/>
            </w:tcMar>
            <w:vAlign w:val="center"/>
          </w:tcPr>
          <w:p w14:paraId="6D84DD00" w14:textId="5BF57628" w:rsidR="00D04E27" w:rsidRPr="002661A8" w:rsidRDefault="00433EDF" w:rsidP="00D04E27">
            <w:pPr>
              <w:rPr>
                <w:noProof/>
              </w:rPr>
            </w:pPr>
            <w:r w:rsidRPr="002661A8">
              <w:rPr>
                <w:noProof/>
                <w:color w:val="000000"/>
                <w:sz w:val="18"/>
                <w:szCs w:val="18"/>
              </w:rPr>
              <w:t>No cost impact identified</w:t>
            </w:r>
          </w:p>
        </w:tc>
        <w:tc>
          <w:tcPr>
            <w:tcW w:w="1387" w:type="dxa"/>
            <w:tcMar>
              <w:top w:w="57" w:type="dxa"/>
              <w:left w:w="57" w:type="dxa"/>
              <w:bottom w:w="57" w:type="dxa"/>
              <w:right w:w="57" w:type="dxa"/>
            </w:tcMar>
            <w:vAlign w:val="center"/>
          </w:tcPr>
          <w:p w14:paraId="1D1F3606" w14:textId="01CB517C" w:rsidR="00D04E27" w:rsidRPr="002661A8" w:rsidRDefault="00433EDF" w:rsidP="00D04E27">
            <w:pPr>
              <w:rPr>
                <w:noProof/>
              </w:rPr>
            </w:pPr>
            <w:r w:rsidRPr="002661A8">
              <w:rPr>
                <w:noProof/>
                <w:color w:val="000000"/>
                <w:sz w:val="18"/>
                <w:szCs w:val="18"/>
              </w:rPr>
              <w:t>No cost impact identified</w:t>
            </w:r>
          </w:p>
        </w:tc>
        <w:tc>
          <w:tcPr>
            <w:tcW w:w="1110" w:type="dxa"/>
            <w:tcMar>
              <w:top w:w="57" w:type="dxa"/>
              <w:left w:w="57" w:type="dxa"/>
              <w:bottom w:w="57" w:type="dxa"/>
              <w:right w:w="57" w:type="dxa"/>
            </w:tcMar>
            <w:vAlign w:val="center"/>
          </w:tcPr>
          <w:p w14:paraId="516842BE" w14:textId="0660BE23" w:rsidR="00D04E27" w:rsidRPr="002661A8" w:rsidRDefault="00433EDF" w:rsidP="00433EDF">
            <w:pPr>
              <w:rPr>
                <w:noProof/>
                <w:sz w:val="18"/>
              </w:rPr>
            </w:pPr>
            <w:r w:rsidRPr="002661A8">
              <w:rPr>
                <w:noProof/>
                <w:sz w:val="18"/>
              </w:rPr>
              <w:t>Modification of procedures and tools to  the new supervisory cooperation framework</w:t>
            </w:r>
          </w:p>
        </w:tc>
        <w:tc>
          <w:tcPr>
            <w:tcW w:w="1249" w:type="dxa"/>
            <w:tcMar>
              <w:top w:w="57" w:type="dxa"/>
              <w:left w:w="57" w:type="dxa"/>
              <w:bottom w:w="57" w:type="dxa"/>
              <w:right w:w="57" w:type="dxa"/>
            </w:tcMar>
            <w:vAlign w:val="center"/>
          </w:tcPr>
          <w:p w14:paraId="27D56691" w14:textId="7EA3601C" w:rsidR="00D04E27" w:rsidRPr="002661A8" w:rsidRDefault="00433EDF" w:rsidP="00433EDF">
            <w:pPr>
              <w:rPr>
                <w:noProof/>
                <w:sz w:val="18"/>
              </w:rPr>
            </w:pPr>
            <w:r w:rsidRPr="002661A8">
              <w:rPr>
                <w:noProof/>
                <w:sz w:val="18"/>
              </w:rPr>
              <w:t>Resource implications of  cooperation in joint supervisory teams and to the joint cross-border monitoring system (e.g. staff, meetings)</w:t>
            </w:r>
          </w:p>
        </w:tc>
      </w:tr>
      <w:tr w:rsidR="00D04E27" w:rsidRPr="002661A8" w14:paraId="1BCC07A0" w14:textId="77777777" w:rsidTr="00FC4C63">
        <w:trPr>
          <w:trHeight w:val="307"/>
        </w:trPr>
        <w:tc>
          <w:tcPr>
            <w:tcW w:w="972" w:type="dxa"/>
            <w:vMerge/>
            <w:tcMar>
              <w:top w:w="57" w:type="dxa"/>
              <w:left w:w="57" w:type="dxa"/>
              <w:bottom w:w="57" w:type="dxa"/>
              <w:right w:w="57" w:type="dxa"/>
            </w:tcMar>
            <w:vAlign w:val="center"/>
          </w:tcPr>
          <w:p w14:paraId="0047EFE5" w14:textId="77777777" w:rsidR="00D04E27" w:rsidRPr="002661A8" w:rsidRDefault="00D04E27" w:rsidP="00D04E27">
            <w:pPr>
              <w:rPr>
                <w:noProof/>
              </w:rPr>
            </w:pPr>
          </w:p>
        </w:tc>
        <w:tc>
          <w:tcPr>
            <w:tcW w:w="1575" w:type="dxa"/>
            <w:tcBorders>
              <w:right w:val="double" w:sz="4" w:space="0" w:color="auto"/>
            </w:tcBorders>
            <w:tcMar>
              <w:top w:w="57" w:type="dxa"/>
              <w:left w:w="57" w:type="dxa"/>
              <w:bottom w:w="57" w:type="dxa"/>
              <w:right w:w="57" w:type="dxa"/>
            </w:tcMar>
            <w:vAlign w:val="center"/>
          </w:tcPr>
          <w:p w14:paraId="62CAD977" w14:textId="77777777" w:rsidR="00D04E27" w:rsidRPr="002661A8" w:rsidRDefault="00D04E27" w:rsidP="00D04E27">
            <w:pPr>
              <w:rPr>
                <w:noProof/>
              </w:rPr>
            </w:pPr>
            <w:r w:rsidRPr="002661A8">
              <w:rPr>
                <w:noProof/>
              </w:rPr>
              <w:t>Direct administrative costs</w:t>
            </w:r>
          </w:p>
        </w:tc>
        <w:tc>
          <w:tcPr>
            <w:tcW w:w="1110" w:type="dxa"/>
            <w:tcBorders>
              <w:left w:val="double" w:sz="4" w:space="0" w:color="auto"/>
            </w:tcBorders>
            <w:tcMar>
              <w:top w:w="57" w:type="dxa"/>
              <w:left w:w="57" w:type="dxa"/>
              <w:bottom w:w="57" w:type="dxa"/>
              <w:right w:w="57" w:type="dxa"/>
            </w:tcMar>
            <w:vAlign w:val="center"/>
          </w:tcPr>
          <w:p w14:paraId="1B0589B1" w14:textId="5341C066" w:rsidR="00D04E27" w:rsidRPr="002661A8" w:rsidRDefault="00433EDF" w:rsidP="00D04E27">
            <w:pPr>
              <w:rPr>
                <w:noProof/>
              </w:rPr>
            </w:pPr>
            <w:r w:rsidRPr="002661A8">
              <w:rPr>
                <w:noProof/>
                <w:color w:val="000000"/>
                <w:sz w:val="18"/>
                <w:szCs w:val="18"/>
              </w:rPr>
              <w:t>No cost impact identified</w:t>
            </w:r>
          </w:p>
        </w:tc>
        <w:tc>
          <w:tcPr>
            <w:tcW w:w="1415" w:type="dxa"/>
            <w:tcMar>
              <w:top w:w="57" w:type="dxa"/>
              <w:left w:w="57" w:type="dxa"/>
              <w:bottom w:w="57" w:type="dxa"/>
              <w:right w:w="57" w:type="dxa"/>
            </w:tcMar>
            <w:vAlign w:val="center"/>
          </w:tcPr>
          <w:p w14:paraId="3E801CE6" w14:textId="293C9D98" w:rsidR="00D04E27" w:rsidRPr="002661A8" w:rsidRDefault="00433EDF" w:rsidP="00D04E27">
            <w:pPr>
              <w:rPr>
                <w:noProof/>
              </w:rPr>
            </w:pPr>
            <w:r w:rsidRPr="002661A8">
              <w:rPr>
                <w:noProof/>
                <w:color w:val="000000"/>
                <w:sz w:val="18"/>
                <w:szCs w:val="18"/>
              </w:rPr>
              <w:t>No cost impact identified</w:t>
            </w:r>
          </w:p>
        </w:tc>
        <w:tc>
          <w:tcPr>
            <w:tcW w:w="1388" w:type="dxa"/>
            <w:tcMar>
              <w:top w:w="57" w:type="dxa"/>
              <w:left w:w="57" w:type="dxa"/>
              <w:bottom w:w="57" w:type="dxa"/>
              <w:right w:w="57" w:type="dxa"/>
            </w:tcMar>
            <w:vAlign w:val="center"/>
          </w:tcPr>
          <w:p w14:paraId="53E175FA" w14:textId="52484D93" w:rsidR="00D04E27" w:rsidRPr="002661A8" w:rsidRDefault="00433EDF" w:rsidP="00D04E27">
            <w:pPr>
              <w:rPr>
                <w:noProof/>
              </w:rPr>
            </w:pPr>
            <w:r w:rsidRPr="002661A8">
              <w:rPr>
                <w:noProof/>
                <w:color w:val="000000"/>
                <w:sz w:val="18"/>
                <w:szCs w:val="18"/>
              </w:rPr>
              <w:t>No cost impact identified</w:t>
            </w:r>
          </w:p>
        </w:tc>
        <w:tc>
          <w:tcPr>
            <w:tcW w:w="1387" w:type="dxa"/>
            <w:tcMar>
              <w:top w:w="57" w:type="dxa"/>
              <w:left w:w="57" w:type="dxa"/>
              <w:bottom w:w="57" w:type="dxa"/>
              <w:right w:w="57" w:type="dxa"/>
            </w:tcMar>
            <w:vAlign w:val="center"/>
          </w:tcPr>
          <w:p w14:paraId="0B77CA2C" w14:textId="764B34AB" w:rsidR="00D04E27" w:rsidRPr="002661A8" w:rsidRDefault="00433EDF" w:rsidP="00D04E27">
            <w:pPr>
              <w:rPr>
                <w:noProof/>
              </w:rPr>
            </w:pPr>
            <w:r w:rsidRPr="002661A8">
              <w:rPr>
                <w:noProof/>
                <w:color w:val="000000"/>
                <w:sz w:val="18"/>
                <w:szCs w:val="18"/>
              </w:rPr>
              <w:t>No cost impact identified</w:t>
            </w:r>
          </w:p>
        </w:tc>
        <w:tc>
          <w:tcPr>
            <w:tcW w:w="1110" w:type="dxa"/>
            <w:tcMar>
              <w:top w:w="57" w:type="dxa"/>
              <w:left w:w="57" w:type="dxa"/>
              <w:bottom w:w="57" w:type="dxa"/>
              <w:right w:w="57" w:type="dxa"/>
            </w:tcMar>
            <w:vAlign w:val="center"/>
          </w:tcPr>
          <w:p w14:paraId="0D939F01" w14:textId="6C581D03" w:rsidR="00D04E27" w:rsidRPr="002661A8" w:rsidRDefault="00433EDF" w:rsidP="00433EDF">
            <w:pPr>
              <w:rPr>
                <w:noProof/>
                <w:sz w:val="18"/>
              </w:rPr>
            </w:pPr>
            <w:r w:rsidRPr="002661A8">
              <w:rPr>
                <w:noProof/>
                <w:sz w:val="18"/>
              </w:rPr>
              <w:t>Additional paperwork related to modification of tools and procedures (likely low)</w:t>
            </w:r>
          </w:p>
        </w:tc>
        <w:tc>
          <w:tcPr>
            <w:tcW w:w="1249" w:type="dxa"/>
            <w:tcMar>
              <w:top w:w="57" w:type="dxa"/>
              <w:left w:w="57" w:type="dxa"/>
              <w:bottom w:w="57" w:type="dxa"/>
              <w:right w:w="57" w:type="dxa"/>
            </w:tcMar>
            <w:vAlign w:val="center"/>
          </w:tcPr>
          <w:p w14:paraId="7347927F" w14:textId="5D0C9A20" w:rsidR="00D04E27" w:rsidRPr="002661A8" w:rsidRDefault="00433EDF" w:rsidP="00433EDF">
            <w:pPr>
              <w:rPr>
                <w:noProof/>
              </w:rPr>
            </w:pPr>
            <w:r w:rsidRPr="002661A8">
              <w:rPr>
                <w:noProof/>
                <w:sz w:val="18"/>
              </w:rPr>
              <w:t>Additional paperwork related to enhanced cooperation</w:t>
            </w:r>
          </w:p>
        </w:tc>
      </w:tr>
      <w:tr w:rsidR="00D04E27" w:rsidRPr="002661A8" w14:paraId="4406397B" w14:textId="77777777" w:rsidTr="00FC4C63">
        <w:trPr>
          <w:trHeight w:val="307"/>
        </w:trPr>
        <w:tc>
          <w:tcPr>
            <w:tcW w:w="972" w:type="dxa"/>
            <w:vMerge/>
            <w:tcMar>
              <w:top w:w="57" w:type="dxa"/>
              <w:left w:w="57" w:type="dxa"/>
              <w:bottom w:w="57" w:type="dxa"/>
              <w:right w:w="57" w:type="dxa"/>
            </w:tcMar>
            <w:vAlign w:val="center"/>
          </w:tcPr>
          <w:p w14:paraId="7D4D57C4" w14:textId="77777777" w:rsidR="00D04E27" w:rsidRPr="002661A8" w:rsidRDefault="00D04E27" w:rsidP="00D04E27">
            <w:pPr>
              <w:rPr>
                <w:noProof/>
              </w:rPr>
            </w:pPr>
          </w:p>
        </w:tc>
        <w:tc>
          <w:tcPr>
            <w:tcW w:w="1575" w:type="dxa"/>
            <w:tcBorders>
              <w:right w:val="double" w:sz="4" w:space="0" w:color="auto"/>
            </w:tcBorders>
            <w:tcMar>
              <w:top w:w="57" w:type="dxa"/>
              <w:left w:w="57" w:type="dxa"/>
              <w:bottom w:w="57" w:type="dxa"/>
              <w:right w:w="57" w:type="dxa"/>
            </w:tcMar>
            <w:vAlign w:val="center"/>
          </w:tcPr>
          <w:p w14:paraId="1B2D07D2" w14:textId="77777777" w:rsidR="00D04E27" w:rsidRPr="002661A8" w:rsidRDefault="00D04E27" w:rsidP="00D04E27">
            <w:pPr>
              <w:rPr>
                <w:noProof/>
              </w:rPr>
            </w:pPr>
            <w:r w:rsidRPr="002661A8">
              <w:rPr>
                <w:noProof/>
              </w:rPr>
              <w:t>Direct regulatory fees and charges</w:t>
            </w:r>
          </w:p>
        </w:tc>
        <w:tc>
          <w:tcPr>
            <w:tcW w:w="1110" w:type="dxa"/>
            <w:tcBorders>
              <w:left w:val="double" w:sz="4" w:space="0" w:color="auto"/>
            </w:tcBorders>
            <w:tcMar>
              <w:top w:w="57" w:type="dxa"/>
              <w:left w:w="57" w:type="dxa"/>
              <w:bottom w:w="57" w:type="dxa"/>
              <w:right w:w="57" w:type="dxa"/>
            </w:tcMar>
            <w:vAlign w:val="center"/>
          </w:tcPr>
          <w:p w14:paraId="2991C275" w14:textId="1302FCFD" w:rsidR="00D04E27" w:rsidRPr="002661A8" w:rsidRDefault="00433EDF" w:rsidP="00D04E27">
            <w:pPr>
              <w:rPr>
                <w:noProof/>
              </w:rPr>
            </w:pPr>
            <w:r w:rsidRPr="002661A8">
              <w:rPr>
                <w:noProof/>
                <w:color w:val="000000"/>
                <w:sz w:val="18"/>
                <w:szCs w:val="18"/>
              </w:rPr>
              <w:t>No cost impact identified</w:t>
            </w:r>
          </w:p>
        </w:tc>
        <w:tc>
          <w:tcPr>
            <w:tcW w:w="1415" w:type="dxa"/>
            <w:tcMar>
              <w:top w:w="57" w:type="dxa"/>
              <w:left w:w="57" w:type="dxa"/>
              <w:bottom w:w="57" w:type="dxa"/>
              <w:right w:w="57" w:type="dxa"/>
            </w:tcMar>
            <w:vAlign w:val="center"/>
          </w:tcPr>
          <w:p w14:paraId="57DDBAB3" w14:textId="7366A84E" w:rsidR="00D04E27" w:rsidRPr="002661A8" w:rsidRDefault="00433EDF" w:rsidP="00D04E27">
            <w:pPr>
              <w:rPr>
                <w:noProof/>
              </w:rPr>
            </w:pPr>
            <w:r w:rsidRPr="002661A8">
              <w:rPr>
                <w:noProof/>
                <w:color w:val="000000"/>
                <w:sz w:val="18"/>
                <w:szCs w:val="18"/>
              </w:rPr>
              <w:t>No cost impact identified</w:t>
            </w:r>
          </w:p>
        </w:tc>
        <w:tc>
          <w:tcPr>
            <w:tcW w:w="1388" w:type="dxa"/>
            <w:tcMar>
              <w:top w:w="57" w:type="dxa"/>
              <w:left w:w="57" w:type="dxa"/>
              <w:bottom w:w="57" w:type="dxa"/>
              <w:right w:w="57" w:type="dxa"/>
            </w:tcMar>
            <w:vAlign w:val="center"/>
          </w:tcPr>
          <w:p w14:paraId="705047B5" w14:textId="0B82530B" w:rsidR="00D04E27" w:rsidRPr="002661A8" w:rsidRDefault="00433EDF" w:rsidP="00D04E27">
            <w:pPr>
              <w:rPr>
                <w:noProof/>
              </w:rPr>
            </w:pPr>
            <w:r w:rsidRPr="002661A8">
              <w:rPr>
                <w:noProof/>
                <w:color w:val="000000"/>
                <w:sz w:val="18"/>
                <w:szCs w:val="18"/>
              </w:rPr>
              <w:t>No cost impact identified</w:t>
            </w:r>
          </w:p>
        </w:tc>
        <w:tc>
          <w:tcPr>
            <w:tcW w:w="1387" w:type="dxa"/>
            <w:tcMar>
              <w:top w:w="57" w:type="dxa"/>
              <w:left w:w="57" w:type="dxa"/>
              <w:bottom w:w="57" w:type="dxa"/>
              <w:right w:w="57" w:type="dxa"/>
            </w:tcMar>
            <w:vAlign w:val="center"/>
          </w:tcPr>
          <w:p w14:paraId="52DBCD0F" w14:textId="2B3E55AE" w:rsidR="00D04E27" w:rsidRPr="002661A8" w:rsidRDefault="00433EDF" w:rsidP="00D04E27">
            <w:pPr>
              <w:rPr>
                <w:noProof/>
              </w:rPr>
            </w:pPr>
            <w:r w:rsidRPr="002661A8">
              <w:rPr>
                <w:noProof/>
                <w:color w:val="000000"/>
                <w:sz w:val="18"/>
                <w:szCs w:val="18"/>
              </w:rPr>
              <w:t>No cost impact identified</w:t>
            </w:r>
          </w:p>
        </w:tc>
        <w:tc>
          <w:tcPr>
            <w:tcW w:w="1110" w:type="dxa"/>
            <w:tcMar>
              <w:top w:w="57" w:type="dxa"/>
              <w:left w:w="57" w:type="dxa"/>
              <w:bottom w:w="57" w:type="dxa"/>
              <w:right w:w="57" w:type="dxa"/>
            </w:tcMar>
            <w:vAlign w:val="center"/>
          </w:tcPr>
          <w:p w14:paraId="55569E47" w14:textId="48B69754" w:rsidR="00D04E27" w:rsidRPr="002661A8" w:rsidRDefault="00433EDF" w:rsidP="00D04E27">
            <w:pPr>
              <w:rPr>
                <w:noProof/>
              </w:rPr>
            </w:pPr>
            <w:r w:rsidRPr="002661A8">
              <w:rPr>
                <w:noProof/>
                <w:color w:val="000000"/>
                <w:sz w:val="18"/>
                <w:szCs w:val="18"/>
              </w:rPr>
              <w:t>No cost impact identified</w:t>
            </w:r>
          </w:p>
        </w:tc>
        <w:tc>
          <w:tcPr>
            <w:tcW w:w="1249" w:type="dxa"/>
            <w:tcMar>
              <w:top w:w="57" w:type="dxa"/>
              <w:left w:w="57" w:type="dxa"/>
              <w:bottom w:w="57" w:type="dxa"/>
              <w:right w:w="57" w:type="dxa"/>
            </w:tcMar>
            <w:vAlign w:val="center"/>
          </w:tcPr>
          <w:p w14:paraId="7702DDDC" w14:textId="45ABC445" w:rsidR="00D04E27" w:rsidRPr="002661A8" w:rsidRDefault="00433EDF" w:rsidP="00D04E27">
            <w:pPr>
              <w:rPr>
                <w:noProof/>
              </w:rPr>
            </w:pPr>
            <w:r w:rsidRPr="002661A8">
              <w:rPr>
                <w:noProof/>
                <w:color w:val="000000"/>
                <w:sz w:val="18"/>
                <w:szCs w:val="18"/>
              </w:rPr>
              <w:t>No cost impact identified</w:t>
            </w:r>
          </w:p>
        </w:tc>
      </w:tr>
      <w:tr w:rsidR="00D04E27" w:rsidRPr="002661A8" w14:paraId="30BE1A90" w14:textId="77777777" w:rsidTr="00FC4C63">
        <w:trPr>
          <w:trHeight w:val="307"/>
        </w:trPr>
        <w:tc>
          <w:tcPr>
            <w:tcW w:w="972" w:type="dxa"/>
            <w:vMerge/>
            <w:tcMar>
              <w:top w:w="57" w:type="dxa"/>
              <w:left w:w="57" w:type="dxa"/>
              <w:bottom w:w="57" w:type="dxa"/>
              <w:right w:w="57" w:type="dxa"/>
            </w:tcMar>
            <w:vAlign w:val="center"/>
          </w:tcPr>
          <w:p w14:paraId="3DD80790" w14:textId="77777777" w:rsidR="00D04E27" w:rsidRPr="002661A8" w:rsidRDefault="00D04E27" w:rsidP="00D04E27">
            <w:pPr>
              <w:rPr>
                <w:noProof/>
              </w:rPr>
            </w:pPr>
          </w:p>
        </w:tc>
        <w:tc>
          <w:tcPr>
            <w:tcW w:w="1575" w:type="dxa"/>
            <w:tcBorders>
              <w:right w:val="double" w:sz="4" w:space="0" w:color="auto"/>
            </w:tcBorders>
            <w:tcMar>
              <w:top w:w="57" w:type="dxa"/>
              <w:left w:w="57" w:type="dxa"/>
              <w:bottom w:w="57" w:type="dxa"/>
              <w:right w:w="57" w:type="dxa"/>
            </w:tcMar>
            <w:vAlign w:val="center"/>
          </w:tcPr>
          <w:p w14:paraId="23A6FE06" w14:textId="77777777" w:rsidR="00D04E27" w:rsidRPr="002661A8" w:rsidRDefault="00D04E27" w:rsidP="00D04E27">
            <w:pPr>
              <w:rPr>
                <w:noProof/>
              </w:rPr>
            </w:pPr>
            <w:r w:rsidRPr="002661A8">
              <w:rPr>
                <w:noProof/>
              </w:rPr>
              <w:t>Direct enforcement costs</w:t>
            </w:r>
          </w:p>
        </w:tc>
        <w:tc>
          <w:tcPr>
            <w:tcW w:w="1110" w:type="dxa"/>
            <w:tcBorders>
              <w:left w:val="double" w:sz="4" w:space="0" w:color="auto"/>
            </w:tcBorders>
            <w:tcMar>
              <w:top w:w="57" w:type="dxa"/>
              <w:left w:w="57" w:type="dxa"/>
              <w:bottom w:w="57" w:type="dxa"/>
              <w:right w:w="57" w:type="dxa"/>
            </w:tcMar>
            <w:vAlign w:val="center"/>
          </w:tcPr>
          <w:p w14:paraId="586BF66F" w14:textId="77172A30" w:rsidR="00D04E27" w:rsidRPr="002661A8" w:rsidRDefault="00433EDF" w:rsidP="00D04E27">
            <w:pPr>
              <w:rPr>
                <w:noProof/>
              </w:rPr>
            </w:pPr>
            <w:r w:rsidRPr="002661A8">
              <w:rPr>
                <w:noProof/>
                <w:color w:val="000000"/>
                <w:sz w:val="18"/>
                <w:szCs w:val="18"/>
              </w:rPr>
              <w:t>No cost impact identified</w:t>
            </w:r>
          </w:p>
        </w:tc>
        <w:tc>
          <w:tcPr>
            <w:tcW w:w="1415" w:type="dxa"/>
            <w:tcMar>
              <w:top w:w="57" w:type="dxa"/>
              <w:left w:w="57" w:type="dxa"/>
              <w:bottom w:w="57" w:type="dxa"/>
              <w:right w:w="57" w:type="dxa"/>
            </w:tcMar>
            <w:vAlign w:val="center"/>
          </w:tcPr>
          <w:p w14:paraId="40D9DA63" w14:textId="433D6B80" w:rsidR="00D04E27" w:rsidRPr="002661A8" w:rsidRDefault="00433EDF" w:rsidP="00D04E27">
            <w:pPr>
              <w:rPr>
                <w:noProof/>
              </w:rPr>
            </w:pPr>
            <w:r w:rsidRPr="002661A8">
              <w:rPr>
                <w:noProof/>
                <w:color w:val="000000"/>
                <w:sz w:val="18"/>
                <w:szCs w:val="18"/>
              </w:rPr>
              <w:t>No cost impact identified</w:t>
            </w:r>
          </w:p>
        </w:tc>
        <w:tc>
          <w:tcPr>
            <w:tcW w:w="1388" w:type="dxa"/>
            <w:tcMar>
              <w:top w:w="57" w:type="dxa"/>
              <w:left w:w="57" w:type="dxa"/>
              <w:bottom w:w="57" w:type="dxa"/>
              <w:right w:w="57" w:type="dxa"/>
            </w:tcMar>
            <w:vAlign w:val="center"/>
          </w:tcPr>
          <w:p w14:paraId="009BEE8C" w14:textId="168A2048" w:rsidR="00D04E27" w:rsidRPr="002661A8" w:rsidRDefault="00433EDF" w:rsidP="00D04E27">
            <w:pPr>
              <w:rPr>
                <w:noProof/>
              </w:rPr>
            </w:pPr>
            <w:r w:rsidRPr="002661A8">
              <w:rPr>
                <w:noProof/>
                <w:color w:val="000000"/>
                <w:sz w:val="18"/>
                <w:szCs w:val="18"/>
              </w:rPr>
              <w:t>No cost impact identified</w:t>
            </w:r>
          </w:p>
        </w:tc>
        <w:tc>
          <w:tcPr>
            <w:tcW w:w="1387" w:type="dxa"/>
            <w:tcMar>
              <w:top w:w="57" w:type="dxa"/>
              <w:left w:w="57" w:type="dxa"/>
              <w:bottom w:w="57" w:type="dxa"/>
              <w:right w:w="57" w:type="dxa"/>
            </w:tcMar>
            <w:vAlign w:val="center"/>
          </w:tcPr>
          <w:p w14:paraId="791B1785" w14:textId="2C449554" w:rsidR="00D04E27" w:rsidRPr="002661A8" w:rsidRDefault="00433EDF" w:rsidP="00D04E27">
            <w:pPr>
              <w:rPr>
                <w:noProof/>
              </w:rPr>
            </w:pPr>
            <w:r w:rsidRPr="002661A8">
              <w:rPr>
                <w:noProof/>
                <w:color w:val="000000"/>
                <w:sz w:val="18"/>
                <w:szCs w:val="18"/>
              </w:rPr>
              <w:t>No cost impact identified</w:t>
            </w:r>
          </w:p>
        </w:tc>
        <w:tc>
          <w:tcPr>
            <w:tcW w:w="1110" w:type="dxa"/>
            <w:tcMar>
              <w:top w:w="57" w:type="dxa"/>
              <w:left w:w="57" w:type="dxa"/>
              <w:bottom w:w="57" w:type="dxa"/>
              <w:right w:w="57" w:type="dxa"/>
            </w:tcMar>
            <w:vAlign w:val="center"/>
          </w:tcPr>
          <w:p w14:paraId="1F623F08" w14:textId="3B3A4B00" w:rsidR="00D04E27" w:rsidRPr="002661A8" w:rsidRDefault="00E3277A" w:rsidP="00D04E27">
            <w:pPr>
              <w:rPr>
                <w:noProof/>
              </w:rPr>
            </w:pPr>
            <w:r w:rsidRPr="002661A8">
              <w:rPr>
                <w:noProof/>
                <w:color w:val="000000"/>
                <w:sz w:val="18"/>
                <w:szCs w:val="18"/>
              </w:rPr>
              <w:t>No cost impact identified</w:t>
            </w:r>
          </w:p>
        </w:tc>
        <w:tc>
          <w:tcPr>
            <w:tcW w:w="1249" w:type="dxa"/>
            <w:tcMar>
              <w:top w:w="57" w:type="dxa"/>
              <w:left w:w="57" w:type="dxa"/>
              <w:bottom w:w="57" w:type="dxa"/>
              <w:right w:w="57" w:type="dxa"/>
            </w:tcMar>
            <w:vAlign w:val="center"/>
          </w:tcPr>
          <w:p w14:paraId="1718E2B6" w14:textId="1B215959" w:rsidR="00D04E27" w:rsidRPr="002661A8" w:rsidRDefault="00E3277A" w:rsidP="00D04E27">
            <w:pPr>
              <w:rPr>
                <w:noProof/>
              </w:rPr>
            </w:pPr>
            <w:r w:rsidRPr="002661A8">
              <w:rPr>
                <w:noProof/>
                <w:color w:val="000000"/>
                <w:sz w:val="18"/>
                <w:szCs w:val="18"/>
              </w:rPr>
              <w:t>No cost impact identified</w:t>
            </w:r>
          </w:p>
        </w:tc>
      </w:tr>
      <w:tr w:rsidR="00D41C12" w:rsidRPr="002661A8" w14:paraId="3EF16E1C" w14:textId="77777777" w:rsidTr="00FC4C63">
        <w:tc>
          <w:tcPr>
            <w:tcW w:w="972" w:type="dxa"/>
            <w:vMerge/>
            <w:tcBorders>
              <w:bottom w:val="double" w:sz="4" w:space="0" w:color="auto"/>
            </w:tcBorders>
            <w:tcMar>
              <w:top w:w="57" w:type="dxa"/>
              <w:left w:w="57" w:type="dxa"/>
              <w:bottom w:w="57" w:type="dxa"/>
              <w:right w:w="57" w:type="dxa"/>
            </w:tcMar>
          </w:tcPr>
          <w:p w14:paraId="080DD3DE" w14:textId="77777777" w:rsidR="00D04E27" w:rsidRPr="002661A8" w:rsidRDefault="00D04E27" w:rsidP="00D04E27">
            <w:pPr>
              <w:rPr>
                <w:noProof/>
              </w:rPr>
            </w:pPr>
          </w:p>
        </w:tc>
        <w:tc>
          <w:tcPr>
            <w:tcW w:w="1575" w:type="dxa"/>
            <w:tcBorders>
              <w:bottom w:val="double" w:sz="4" w:space="0" w:color="auto"/>
              <w:right w:val="double" w:sz="4" w:space="0" w:color="auto"/>
            </w:tcBorders>
            <w:tcMar>
              <w:top w:w="57" w:type="dxa"/>
              <w:left w:w="57" w:type="dxa"/>
              <w:bottom w:w="57" w:type="dxa"/>
              <w:right w:w="57" w:type="dxa"/>
            </w:tcMar>
          </w:tcPr>
          <w:p w14:paraId="15859F0D" w14:textId="77777777" w:rsidR="00D04E27" w:rsidRPr="002661A8" w:rsidRDefault="00D04E27" w:rsidP="00D04E27">
            <w:pPr>
              <w:rPr>
                <w:noProof/>
              </w:rPr>
            </w:pPr>
            <w:r w:rsidRPr="002661A8">
              <w:rPr>
                <w:noProof/>
              </w:rPr>
              <w:t>Indirect costs</w:t>
            </w:r>
          </w:p>
        </w:tc>
        <w:tc>
          <w:tcPr>
            <w:tcW w:w="1110" w:type="dxa"/>
            <w:tcBorders>
              <w:left w:val="double" w:sz="4" w:space="0" w:color="auto"/>
              <w:bottom w:val="double" w:sz="4" w:space="0" w:color="auto"/>
            </w:tcBorders>
            <w:tcMar>
              <w:top w:w="57" w:type="dxa"/>
              <w:left w:w="57" w:type="dxa"/>
              <w:bottom w:w="57" w:type="dxa"/>
              <w:right w:w="57" w:type="dxa"/>
            </w:tcMar>
          </w:tcPr>
          <w:p w14:paraId="4233806D" w14:textId="7C704F71" w:rsidR="00D04E27" w:rsidRPr="002661A8" w:rsidRDefault="00433EDF" w:rsidP="00D04E27">
            <w:pPr>
              <w:rPr>
                <w:noProof/>
              </w:rPr>
            </w:pPr>
            <w:r w:rsidRPr="002661A8">
              <w:rPr>
                <w:noProof/>
                <w:color w:val="000000"/>
                <w:sz w:val="18"/>
                <w:szCs w:val="18"/>
              </w:rPr>
              <w:t>No cost impact identified</w:t>
            </w:r>
          </w:p>
        </w:tc>
        <w:tc>
          <w:tcPr>
            <w:tcW w:w="1415" w:type="dxa"/>
            <w:tcBorders>
              <w:bottom w:val="double" w:sz="4" w:space="0" w:color="auto"/>
            </w:tcBorders>
            <w:tcMar>
              <w:top w:w="57" w:type="dxa"/>
              <w:left w:w="57" w:type="dxa"/>
              <w:bottom w:w="57" w:type="dxa"/>
              <w:right w:w="57" w:type="dxa"/>
            </w:tcMar>
          </w:tcPr>
          <w:p w14:paraId="4CD2B31C" w14:textId="5B6A921A" w:rsidR="00D04E27" w:rsidRPr="002661A8" w:rsidRDefault="00433EDF" w:rsidP="00433EDF">
            <w:pPr>
              <w:rPr>
                <w:noProof/>
              </w:rPr>
            </w:pPr>
            <w:r w:rsidRPr="002661A8">
              <w:rPr>
                <w:noProof/>
                <w:color w:val="000000"/>
                <w:sz w:val="18"/>
                <w:szCs w:val="18"/>
              </w:rPr>
              <w:t xml:space="preserve">Increased costs of supervision may be passed on </w:t>
            </w:r>
            <w:r w:rsidR="003301C0" w:rsidRPr="002661A8">
              <w:rPr>
                <w:noProof/>
                <w:color w:val="000000"/>
                <w:sz w:val="18"/>
                <w:szCs w:val="18"/>
              </w:rPr>
              <w:t xml:space="preserve">to </w:t>
            </w:r>
            <w:r w:rsidRPr="002661A8">
              <w:rPr>
                <w:noProof/>
                <w:color w:val="000000"/>
                <w:sz w:val="18"/>
                <w:szCs w:val="18"/>
              </w:rPr>
              <w:t>CCPs via increased supervision fees</w:t>
            </w:r>
          </w:p>
        </w:tc>
        <w:tc>
          <w:tcPr>
            <w:tcW w:w="1388" w:type="dxa"/>
            <w:tcBorders>
              <w:bottom w:val="double" w:sz="4" w:space="0" w:color="auto"/>
            </w:tcBorders>
            <w:tcMar>
              <w:top w:w="57" w:type="dxa"/>
              <w:left w:w="57" w:type="dxa"/>
              <w:bottom w:w="57" w:type="dxa"/>
              <w:right w:w="57" w:type="dxa"/>
            </w:tcMar>
          </w:tcPr>
          <w:p w14:paraId="4A2E0706" w14:textId="4E079988" w:rsidR="00D04E27" w:rsidRPr="002661A8" w:rsidRDefault="00E3277A" w:rsidP="00D04E27">
            <w:pPr>
              <w:rPr>
                <w:noProof/>
              </w:rPr>
            </w:pPr>
            <w:r w:rsidRPr="002661A8">
              <w:rPr>
                <w:noProof/>
                <w:color w:val="000000"/>
                <w:sz w:val="18"/>
                <w:szCs w:val="18"/>
              </w:rPr>
              <w:t>No cost impact identified</w:t>
            </w:r>
          </w:p>
        </w:tc>
        <w:tc>
          <w:tcPr>
            <w:tcW w:w="1387" w:type="dxa"/>
            <w:tcBorders>
              <w:bottom w:val="double" w:sz="4" w:space="0" w:color="auto"/>
            </w:tcBorders>
            <w:tcMar>
              <w:top w:w="57" w:type="dxa"/>
              <w:left w:w="57" w:type="dxa"/>
              <w:bottom w:w="57" w:type="dxa"/>
              <w:right w:w="57" w:type="dxa"/>
            </w:tcMar>
          </w:tcPr>
          <w:p w14:paraId="62D04074" w14:textId="5DFBAC09" w:rsidR="00D04E27" w:rsidRPr="002661A8" w:rsidRDefault="00E3277A" w:rsidP="00D04E27">
            <w:pPr>
              <w:rPr>
                <w:noProof/>
              </w:rPr>
            </w:pPr>
            <w:r w:rsidRPr="002661A8">
              <w:rPr>
                <w:noProof/>
                <w:color w:val="000000"/>
                <w:sz w:val="18"/>
                <w:szCs w:val="18"/>
              </w:rPr>
              <w:t>No cost impact identified</w:t>
            </w:r>
          </w:p>
        </w:tc>
        <w:tc>
          <w:tcPr>
            <w:tcW w:w="1110" w:type="dxa"/>
            <w:tcBorders>
              <w:bottom w:val="double" w:sz="4" w:space="0" w:color="auto"/>
            </w:tcBorders>
            <w:tcMar>
              <w:top w:w="57" w:type="dxa"/>
              <w:left w:w="57" w:type="dxa"/>
              <w:bottom w:w="57" w:type="dxa"/>
              <w:right w:w="57" w:type="dxa"/>
            </w:tcMar>
          </w:tcPr>
          <w:p w14:paraId="6A4582B9" w14:textId="50CBBBE3" w:rsidR="00D04E27" w:rsidRPr="002661A8" w:rsidRDefault="00E3277A" w:rsidP="00D04E27">
            <w:pPr>
              <w:rPr>
                <w:noProof/>
              </w:rPr>
            </w:pPr>
            <w:r w:rsidRPr="002661A8">
              <w:rPr>
                <w:noProof/>
                <w:color w:val="000000"/>
                <w:sz w:val="18"/>
                <w:szCs w:val="18"/>
              </w:rPr>
              <w:t>No cost impact identified</w:t>
            </w:r>
          </w:p>
        </w:tc>
        <w:tc>
          <w:tcPr>
            <w:tcW w:w="1249" w:type="dxa"/>
            <w:tcBorders>
              <w:bottom w:val="double" w:sz="4" w:space="0" w:color="auto"/>
            </w:tcBorders>
            <w:tcMar>
              <w:top w:w="57" w:type="dxa"/>
              <w:left w:w="57" w:type="dxa"/>
              <w:bottom w:w="57" w:type="dxa"/>
              <w:right w:w="57" w:type="dxa"/>
            </w:tcMar>
          </w:tcPr>
          <w:p w14:paraId="07B4D238" w14:textId="0E40B44D" w:rsidR="00D04E27" w:rsidRPr="002661A8" w:rsidRDefault="00E3277A" w:rsidP="00D04E27">
            <w:pPr>
              <w:rPr>
                <w:noProof/>
              </w:rPr>
            </w:pPr>
            <w:r w:rsidRPr="002661A8">
              <w:rPr>
                <w:noProof/>
                <w:color w:val="000000"/>
                <w:sz w:val="18"/>
                <w:szCs w:val="18"/>
              </w:rPr>
              <w:t>No cost impact identified</w:t>
            </w:r>
          </w:p>
        </w:tc>
      </w:tr>
      <w:tr w:rsidR="00D04E27" w:rsidRPr="002661A8" w14:paraId="315C3AD4" w14:textId="77777777" w:rsidTr="00FC4C63">
        <w:tc>
          <w:tcPr>
            <w:tcW w:w="10206" w:type="dxa"/>
            <w:gridSpan w:val="8"/>
            <w:shd w:val="clear" w:color="auto" w:fill="C6D9F1" w:themeFill="text2" w:themeFillTint="33"/>
            <w:tcMar>
              <w:top w:w="57" w:type="dxa"/>
              <w:left w:w="57" w:type="dxa"/>
              <w:bottom w:w="57" w:type="dxa"/>
              <w:right w:w="57" w:type="dxa"/>
            </w:tcMar>
          </w:tcPr>
          <w:p w14:paraId="4F19F1C0" w14:textId="77777777" w:rsidR="00D04E27" w:rsidRPr="002661A8" w:rsidRDefault="00D04E27" w:rsidP="00D04E27">
            <w:pPr>
              <w:jc w:val="center"/>
              <w:rPr>
                <w:b/>
                <w:i/>
                <w:noProof/>
              </w:rPr>
            </w:pPr>
            <w:r w:rsidRPr="002661A8">
              <w:rPr>
                <w:b/>
                <w:i/>
                <w:noProof/>
              </w:rPr>
              <w:t>Costs related to the ‘one in, one out’ approach</w:t>
            </w:r>
          </w:p>
        </w:tc>
      </w:tr>
      <w:tr w:rsidR="007932E2" w:rsidRPr="002661A8" w14:paraId="1A7884BD" w14:textId="77777777" w:rsidTr="00FC4C63">
        <w:trPr>
          <w:trHeight w:val="637"/>
        </w:trPr>
        <w:tc>
          <w:tcPr>
            <w:tcW w:w="972" w:type="dxa"/>
            <w:vMerge w:val="restart"/>
            <w:tcBorders>
              <w:top w:val="double" w:sz="4" w:space="0" w:color="auto"/>
            </w:tcBorders>
            <w:tcMar>
              <w:top w:w="57" w:type="dxa"/>
              <w:left w:w="57" w:type="dxa"/>
              <w:bottom w:w="57" w:type="dxa"/>
              <w:right w:w="57" w:type="dxa"/>
            </w:tcMar>
            <w:vAlign w:val="center"/>
          </w:tcPr>
          <w:p w14:paraId="3A4995F5" w14:textId="77777777" w:rsidR="00D04E27" w:rsidRPr="002661A8" w:rsidRDefault="00D04E27" w:rsidP="00D04E27">
            <w:pPr>
              <w:rPr>
                <w:b/>
                <w:noProof/>
              </w:rPr>
            </w:pPr>
            <w:r w:rsidRPr="002661A8">
              <w:rPr>
                <w:b/>
                <w:noProof/>
              </w:rPr>
              <w:t xml:space="preserve">Total  </w:t>
            </w:r>
          </w:p>
        </w:tc>
        <w:tc>
          <w:tcPr>
            <w:tcW w:w="1575" w:type="dxa"/>
            <w:tcBorders>
              <w:top w:val="double" w:sz="4" w:space="0" w:color="auto"/>
              <w:right w:val="double" w:sz="4" w:space="0" w:color="auto"/>
            </w:tcBorders>
            <w:tcMar>
              <w:top w:w="57" w:type="dxa"/>
              <w:left w:w="57" w:type="dxa"/>
              <w:bottom w:w="57" w:type="dxa"/>
              <w:right w:w="57" w:type="dxa"/>
            </w:tcMar>
            <w:vAlign w:val="center"/>
          </w:tcPr>
          <w:p w14:paraId="340AA1A9" w14:textId="77777777" w:rsidR="00D04E27" w:rsidRPr="002661A8" w:rsidRDefault="00D04E27" w:rsidP="00D04E27">
            <w:pPr>
              <w:rPr>
                <w:noProof/>
              </w:rPr>
            </w:pPr>
            <w:r w:rsidRPr="002661A8">
              <w:rPr>
                <w:noProof/>
              </w:rPr>
              <w:t xml:space="preserve">Direct adjustment costs </w:t>
            </w:r>
          </w:p>
        </w:tc>
        <w:tc>
          <w:tcPr>
            <w:tcW w:w="1110" w:type="dxa"/>
            <w:tcBorders>
              <w:top w:val="double" w:sz="4" w:space="0" w:color="auto"/>
              <w:left w:val="double" w:sz="4" w:space="0" w:color="auto"/>
            </w:tcBorders>
            <w:tcMar>
              <w:top w:w="57" w:type="dxa"/>
              <w:left w:w="57" w:type="dxa"/>
              <w:bottom w:w="57" w:type="dxa"/>
              <w:right w:w="57" w:type="dxa"/>
            </w:tcMar>
          </w:tcPr>
          <w:p w14:paraId="16E89914" w14:textId="5C7AEFFE" w:rsidR="00D04E27" w:rsidRPr="002661A8" w:rsidRDefault="00E3277A" w:rsidP="00D04E27">
            <w:pPr>
              <w:rPr>
                <w:noProof/>
              </w:rPr>
            </w:pPr>
            <w:r w:rsidRPr="002661A8">
              <w:rPr>
                <w:noProof/>
                <w:color w:val="000000"/>
                <w:sz w:val="18"/>
                <w:szCs w:val="18"/>
              </w:rPr>
              <w:t>No cost impact identified</w:t>
            </w:r>
          </w:p>
        </w:tc>
        <w:tc>
          <w:tcPr>
            <w:tcW w:w="1415" w:type="dxa"/>
            <w:tcBorders>
              <w:top w:val="double" w:sz="4" w:space="0" w:color="auto"/>
            </w:tcBorders>
            <w:tcMar>
              <w:top w:w="57" w:type="dxa"/>
              <w:left w:w="57" w:type="dxa"/>
              <w:bottom w:w="57" w:type="dxa"/>
              <w:right w:w="57" w:type="dxa"/>
            </w:tcMar>
          </w:tcPr>
          <w:p w14:paraId="74454F15" w14:textId="12DDCBD4" w:rsidR="00D04E27" w:rsidRPr="002661A8" w:rsidRDefault="00E3277A" w:rsidP="00D04E27">
            <w:pPr>
              <w:rPr>
                <w:noProof/>
              </w:rPr>
            </w:pPr>
            <w:r w:rsidRPr="002661A8">
              <w:rPr>
                <w:noProof/>
                <w:color w:val="000000"/>
                <w:sz w:val="18"/>
                <w:szCs w:val="18"/>
              </w:rPr>
              <w:t>No cost impact identified</w:t>
            </w:r>
          </w:p>
        </w:tc>
        <w:tc>
          <w:tcPr>
            <w:tcW w:w="1388" w:type="dxa"/>
            <w:tcBorders>
              <w:top w:val="double" w:sz="4" w:space="0" w:color="auto"/>
            </w:tcBorders>
            <w:tcMar>
              <w:top w:w="57" w:type="dxa"/>
              <w:left w:w="57" w:type="dxa"/>
              <w:bottom w:w="57" w:type="dxa"/>
              <w:right w:w="57" w:type="dxa"/>
            </w:tcMar>
          </w:tcPr>
          <w:p w14:paraId="21F7C906" w14:textId="6AF707C8" w:rsidR="00D04E27" w:rsidRPr="002661A8" w:rsidRDefault="002F7D66" w:rsidP="006A4218">
            <w:pPr>
              <w:rPr>
                <w:noProof/>
              </w:rPr>
            </w:pPr>
            <w:r w:rsidRPr="002661A8">
              <w:rPr>
                <w:noProof/>
                <w:sz w:val="18"/>
              </w:rPr>
              <w:t>Costs for clearing members and clients to reduce excessive exposures or increase capital to meet higher requirements</w:t>
            </w:r>
            <w:r w:rsidRPr="002661A8">
              <w:rPr>
                <w:noProof/>
                <w:color w:val="000000"/>
                <w:sz w:val="18"/>
                <w:szCs w:val="18"/>
              </w:rPr>
              <w:t xml:space="preserve"> (</w:t>
            </w:r>
            <w:r>
              <w:rPr>
                <w:noProof/>
                <w:color w:val="000000"/>
                <w:sz w:val="18"/>
                <w:szCs w:val="18"/>
              </w:rPr>
              <w:t xml:space="preserve">described above and </w:t>
            </w:r>
            <w:r w:rsidRPr="002661A8">
              <w:rPr>
                <w:noProof/>
                <w:color w:val="000000"/>
                <w:sz w:val="18"/>
                <w:szCs w:val="18"/>
              </w:rPr>
              <w:t>depending on calibration and)</w:t>
            </w:r>
            <w:r>
              <w:rPr>
                <w:noProof/>
                <w:color w:val="000000"/>
                <w:sz w:val="18"/>
                <w:szCs w:val="18"/>
              </w:rPr>
              <w:t>.</w:t>
            </w:r>
            <w:r w:rsidR="006A4218">
              <w:rPr>
                <w:noProof/>
              </w:rPr>
              <w:t xml:space="preserve"> </w:t>
            </w:r>
          </w:p>
        </w:tc>
        <w:tc>
          <w:tcPr>
            <w:tcW w:w="1387" w:type="dxa"/>
            <w:tcBorders>
              <w:top w:val="double" w:sz="4" w:space="0" w:color="auto"/>
            </w:tcBorders>
            <w:tcMar>
              <w:top w:w="57" w:type="dxa"/>
              <w:left w:w="57" w:type="dxa"/>
              <w:bottom w:w="57" w:type="dxa"/>
              <w:right w:w="57" w:type="dxa"/>
            </w:tcMar>
          </w:tcPr>
          <w:p w14:paraId="39E7B057" w14:textId="602810DC" w:rsidR="00D04E27" w:rsidRPr="002661A8" w:rsidRDefault="002F7D66" w:rsidP="003301C0">
            <w:pPr>
              <w:rPr>
                <w:noProof/>
              </w:rPr>
            </w:pPr>
            <w:r>
              <w:rPr>
                <w:noProof/>
                <w:color w:val="000000"/>
                <w:sz w:val="18"/>
                <w:szCs w:val="18"/>
              </w:rPr>
              <w:t>Potentially significant costs, d</w:t>
            </w:r>
            <w:r w:rsidRPr="002661A8">
              <w:rPr>
                <w:noProof/>
                <w:color w:val="000000"/>
                <w:sz w:val="18"/>
                <w:szCs w:val="18"/>
              </w:rPr>
              <w:t>epending on the precise calibration and choice of individual companies</w:t>
            </w:r>
            <w:r>
              <w:rPr>
                <w:rStyle w:val="FootnoteReference"/>
                <w:noProof/>
                <w:color w:val="000000"/>
                <w:sz w:val="18"/>
                <w:szCs w:val="18"/>
              </w:rPr>
              <w:t xml:space="preserve"> </w:t>
            </w:r>
            <w:r w:rsidRPr="003544AF">
              <w:rPr>
                <w:noProof/>
                <w:sz w:val="18"/>
                <w:szCs w:val="18"/>
              </w:rPr>
              <w:t>(described above)</w:t>
            </w:r>
            <w:r w:rsidRPr="003544AF">
              <w:rPr>
                <w:noProof/>
                <w:color w:val="000000"/>
                <w:sz w:val="16"/>
                <w:szCs w:val="16"/>
              </w:rPr>
              <w:t xml:space="preserve"> </w:t>
            </w:r>
            <w:r w:rsidRPr="002661A8">
              <w:rPr>
                <w:noProof/>
                <w:color w:val="000000"/>
                <w:sz w:val="18"/>
                <w:szCs w:val="18"/>
              </w:rPr>
              <w:t>and/or, opportunity costs of holding higher capital to meet requirements for non-EU CCP exposures.</w:t>
            </w:r>
          </w:p>
        </w:tc>
        <w:tc>
          <w:tcPr>
            <w:tcW w:w="1110" w:type="dxa"/>
            <w:tcBorders>
              <w:top w:val="double" w:sz="4" w:space="0" w:color="auto"/>
              <w:bottom w:val="double" w:sz="4" w:space="0" w:color="auto"/>
              <w:tl2br w:val="double" w:sz="4" w:space="0" w:color="auto"/>
            </w:tcBorders>
            <w:tcMar>
              <w:top w:w="57" w:type="dxa"/>
              <w:left w:w="57" w:type="dxa"/>
              <w:bottom w:w="57" w:type="dxa"/>
              <w:right w:w="57" w:type="dxa"/>
            </w:tcMar>
          </w:tcPr>
          <w:p w14:paraId="0864C630" w14:textId="77777777" w:rsidR="00D04E27" w:rsidRPr="002661A8" w:rsidRDefault="00D04E27" w:rsidP="00D04E27">
            <w:pPr>
              <w:rPr>
                <w:noProof/>
              </w:rPr>
            </w:pPr>
          </w:p>
        </w:tc>
        <w:tc>
          <w:tcPr>
            <w:tcW w:w="1249" w:type="dxa"/>
            <w:tcBorders>
              <w:top w:val="double" w:sz="4" w:space="0" w:color="auto"/>
              <w:bottom w:val="double" w:sz="4" w:space="0" w:color="auto"/>
              <w:tl2br w:val="double" w:sz="4" w:space="0" w:color="auto"/>
            </w:tcBorders>
            <w:tcMar>
              <w:top w:w="57" w:type="dxa"/>
              <w:left w:w="57" w:type="dxa"/>
              <w:bottom w:w="57" w:type="dxa"/>
              <w:right w:w="57" w:type="dxa"/>
            </w:tcMar>
          </w:tcPr>
          <w:p w14:paraId="1D13C4FB" w14:textId="77777777" w:rsidR="00D04E27" w:rsidRPr="002661A8" w:rsidRDefault="00D04E27" w:rsidP="00D04E27">
            <w:pPr>
              <w:rPr>
                <w:noProof/>
              </w:rPr>
            </w:pPr>
          </w:p>
        </w:tc>
      </w:tr>
      <w:tr w:rsidR="004108C0" w:rsidRPr="002661A8" w14:paraId="5F0B3C1A" w14:textId="77777777" w:rsidTr="00FC4C63">
        <w:trPr>
          <w:trHeight w:val="544"/>
        </w:trPr>
        <w:tc>
          <w:tcPr>
            <w:tcW w:w="972" w:type="dxa"/>
            <w:vMerge/>
            <w:tcMar>
              <w:top w:w="57" w:type="dxa"/>
              <w:left w:w="57" w:type="dxa"/>
              <w:bottom w:w="57" w:type="dxa"/>
              <w:right w:w="57" w:type="dxa"/>
            </w:tcMar>
          </w:tcPr>
          <w:p w14:paraId="1C88F8F1" w14:textId="77777777" w:rsidR="00D04E27" w:rsidRPr="002661A8" w:rsidRDefault="00D04E27" w:rsidP="00D04E27">
            <w:pPr>
              <w:rPr>
                <w:noProof/>
              </w:rPr>
            </w:pPr>
          </w:p>
        </w:tc>
        <w:tc>
          <w:tcPr>
            <w:tcW w:w="1575" w:type="dxa"/>
            <w:tcBorders>
              <w:right w:val="double" w:sz="4" w:space="0" w:color="auto"/>
            </w:tcBorders>
            <w:tcMar>
              <w:top w:w="57" w:type="dxa"/>
              <w:left w:w="57" w:type="dxa"/>
              <w:bottom w:w="57" w:type="dxa"/>
              <w:right w:w="57" w:type="dxa"/>
            </w:tcMar>
          </w:tcPr>
          <w:p w14:paraId="4DC2E475" w14:textId="77777777" w:rsidR="00D04E27" w:rsidRPr="002661A8" w:rsidRDefault="00D04E27" w:rsidP="00D04E27">
            <w:pPr>
              <w:rPr>
                <w:noProof/>
              </w:rPr>
            </w:pPr>
            <w:r w:rsidRPr="002661A8">
              <w:rPr>
                <w:noProof/>
              </w:rPr>
              <w:t>Indirect adjustment costs</w:t>
            </w:r>
          </w:p>
        </w:tc>
        <w:tc>
          <w:tcPr>
            <w:tcW w:w="1110" w:type="dxa"/>
            <w:tcBorders>
              <w:left w:val="double" w:sz="4" w:space="0" w:color="auto"/>
            </w:tcBorders>
            <w:tcMar>
              <w:top w:w="57" w:type="dxa"/>
              <w:left w:w="57" w:type="dxa"/>
              <w:bottom w:w="57" w:type="dxa"/>
              <w:right w:w="57" w:type="dxa"/>
            </w:tcMar>
          </w:tcPr>
          <w:p w14:paraId="48C32B1A" w14:textId="61F7A9B3" w:rsidR="00D04E27" w:rsidRPr="002661A8" w:rsidRDefault="00E3277A" w:rsidP="00D04E27">
            <w:pPr>
              <w:rPr>
                <w:noProof/>
              </w:rPr>
            </w:pPr>
            <w:r w:rsidRPr="002661A8">
              <w:rPr>
                <w:noProof/>
                <w:color w:val="000000"/>
                <w:sz w:val="18"/>
                <w:szCs w:val="18"/>
              </w:rPr>
              <w:t>No cost impact identified</w:t>
            </w:r>
          </w:p>
        </w:tc>
        <w:tc>
          <w:tcPr>
            <w:tcW w:w="1415" w:type="dxa"/>
            <w:tcMar>
              <w:top w:w="57" w:type="dxa"/>
              <w:left w:w="57" w:type="dxa"/>
              <w:bottom w:w="57" w:type="dxa"/>
              <w:right w:w="57" w:type="dxa"/>
            </w:tcMar>
          </w:tcPr>
          <w:p w14:paraId="0259730B" w14:textId="52EDC9C8" w:rsidR="00D04E27" w:rsidRPr="002661A8" w:rsidRDefault="00E3277A" w:rsidP="00D04E27">
            <w:pPr>
              <w:rPr>
                <w:noProof/>
              </w:rPr>
            </w:pPr>
            <w:r w:rsidRPr="002661A8">
              <w:rPr>
                <w:noProof/>
                <w:color w:val="000000"/>
                <w:sz w:val="18"/>
                <w:szCs w:val="18"/>
              </w:rPr>
              <w:t>Increased costs of supervision may be passed on CCPs via increased supervision fees</w:t>
            </w:r>
          </w:p>
        </w:tc>
        <w:tc>
          <w:tcPr>
            <w:tcW w:w="1388" w:type="dxa"/>
            <w:tcMar>
              <w:top w:w="57" w:type="dxa"/>
              <w:left w:w="57" w:type="dxa"/>
              <w:bottom w:w="57" w:type="dxa"/>
              <w:right w:w="57" w:type="dxa"/>
            </w:tcMar>
          </w:tcPr>
          <w:p w14:paraId="3C9F245E" w14:textId="3C35CEDE" w:rsidR="00D04E27" w:rsidRPr="002661A8" w:rsidRDefault="008F2BF2" w:rsidP="003301C0">
            <w:pPr>
              <w:rPr>
                <w:noProof/>
              </w:rPr>
            </w:pPr>
            <w:r w:rsidRPr="002661A8">
              <w:rPr>
                <w:noProof/>
                <w:color w:val="000000"/>
                <w:sz w:val="18"/>
                <w:szCs w:val="18"/>
              </w:rPr>
              <w:t>No cost impact identified</w:t>
            </w:r>
          </w:p>
        </w:tc>
        <w:tc>
          <w:tcPr>
            <w:tcW w:w="1387" w:type="dxa"/>
            <w:tcMar>
              <w:top w:w="57" w:type="dxa"/>
              <w:left w:w="57" w:type="dxa"/>
              <w:bottom w:w="57" w:type="dxa"/>
              <w:right w:w="57" w:type="dxa"/>
            </w:tcMar>
          </w:tcPr>
          <w:p w14:paraId="40430CE8" w14:textId="3027BC15" w:rsidR="00D04E27" w:rsidRPr="002661A8" w:rsidRDefault="008F2BF2" w:rsidP="003301C0">
            <w:pPr>
              <w:rPr>
                <w:noProof/>
              </w:rPr>
            </w:pPr>
            <w:r w:rsidRPr="002661A8">
              <w:rPr>
                <w:noProof/>
                <w:sz w:val="18"/>
                <w:szCs w:val="18"/>
              </w:rPr>
              <w:t xml:space="preserve">Clients </w:t>
            </w:r>
            <w:r w:rsidR="003301C0" w:rsidRPr="002661A8">
              <w:rPr>
                <w:noProof/>
                <w:sz w:val="18"/>
                <w:szCs w:val="18"/>
              </w:rPr>
              <w:t xml:space="preserve">may </w:t>
            </w:r>
            <w:r w:rsidRPr="002661A8">
              <w:rPr>
                <w:noProof/>
                <w:sz w:val="18"/>
                <w:szCs w:val="18"/>
              </w:rPr>
              <w:t xml:space="preserve">face </w:t>
            </w:r>
            <w:r w:rsidR="00251CCA" w:rsidRPr="002661A8">
              <w:rPr>
                <w:noProof/>
                <w:sz w:val="18"/>
                <w:szCs w:val="18"/>
              </w:rPr>
              <w:t>a</w:t>
            </w:r>
            <w:r w:rsidR="003301C0" w:rsidRPr="002661A8">
              <w:rPr>
                <w:noProof/>
                <w:sz w:val="18"/>
                <w:szCs w:val="18"/>
              </w:rPr>
              <w:t>n</w:t>
            </w:r>
            <w:r w:rsidR="00251CCA" w:rsidRPr="002661A8">
              <w:rPr>
                <w:noProof/>
                <w:sz w:val="18"/>
                <w:szCs w:val="18"/>
              </w:rPr>
              <w:t xml:space="preserve"> increase in </w:t>
            </w:r>
            <w:r w:rsidR="005C1921">
              <w:rPr>
                <w:noProof/>
                <w:sz w:val="18"/>
                <w:szCs w:val="18"/>
              </w:rPr>
              <w:t xml:space="preserve">costs of </w:t>
            </w:r>
            <w:r w:rsidRPr="002661A8">
              <w:rPr>
                <w:noProof/>
                <w:sz w:val="18"/>
                <w:szCs w:val="18"/>
              </w:rPr>
              <w:t>clearing when the clearing member maintains multiple accounts.</w:t>
            </w:r>
            <w:r w:rsidRPr="002661A8">
              <w:rPr>
                <w:rStyle w:val="FootnoteReference"/>
                <w:noProof/>
                <w:sz w:val="18"/>
                <w:szCs w:val="18"/>
              </w:rPr>
              <w:footnoteReference w:id="201"/>
            </w:r>
            <w:r w:rsidR="005C1921">
              <w:rPr>
                <w:noProof/>
                <w:sz w:val="18"/>
                <w:szCs w:val="18"/>
              </w:rPr>
              <w:t xml:space="preserve"> Indirect cost, not subject to off-setting under “one in, one out”.</w:t>
            </w:r>
          </w:p>
        </w:tc>
        <w:tc>
          <w:tcPr>
            <w:tcW w:w="1110" w:type="dxa"/>
            <w:tcBorders>
              <w:top w:val="double" w:sz="4" w:space="0" w:color="auto"/>
              <w:bottom w:val="double" w:sz="4" w:space="0" w:color="auto"/>
              <w:tl2br w:val="double" w:sz="4" w:space="0" w:color="auto"/>
            </w:tcBorders>
            <w:tcMar>
              <w:top w:w="57" w:type="dxa"/>
              <w:left w:w="57" w:type="dxa"/>
              <w:bottom w:w="57" w:type="dxa"/>
              <w:right w:w="57" w:type="dxa"/>
            </w:tcMar>
          </w:tcPr>
          <w:p w14:paraId="6752FA31" w14:textId="77777777" w:rsidR="00D04E27" w:rsidRPr="002661A8" w:rsidRDefault="00D04E27" w:rsidP="00D04E27">
            <w:pPr>
              <w:rPr>
                <w:noProof/>
              </w:rPr>
            </w:pPr>
          </w:p>
        </w:tc>
        <w:tc>
          <w:tcPr>
            <w:tcW w:w="1249" w:type="dxa"/>
            <w:tcBorders>
              <w:top w:val="double" w:sz="4" w:space="0" w:color="auto"/>
              <w:bottom w:val="double" w:sz="4" w:space="0" w:color="auto"/>
              <w:tl2br w:val="double" w:sz="4" w:space="0" w:color="auto"/>
            </w:tcBorders>
            <w:tcMar>
              <w:top w:w="57" w:type="dxa"/>
              <w:left w:w="57" w:type="dxa"/>
              <w:bottom w:w="57" w:type="dxa"/>
              <w:right w:w="57" w:type="dxa"/>
            </w:tcMar>
          </w:tcPr>
          <w:p w14:paraId="755528CD" w14:textId="77777777" w:rsidR="00D04E27" w:rsidRPr="002661A8" w:rsidRDefault="00D04E27" w:rsidP="00D04E27">
            <w:pPr>
              <w:rPr>
                <w:noProof/>
              </w:rPr>
            </w:pPr>
          </w:p>
        </w:tc>
      </w:tr>
      <w:tr w:rsidR="004108C0" w:rsidRPr="002661A8" w14:paraId="388CB3BF" w14:textId="77777777" w:rsidTr="00FC4C63">
        <w:tc>
          <w:tcPr>
            <w:tcW w:w="972" w:type="dxa"/>
            <w:vMerge/>
            <w:tcMar>
              <w:top w:w="57" w:type="dxa"/>
              <w:left w:w="57" w:type="dxa"/>
              <w:bottom w:w="57" w:type="dxa"/>
              <w:right w:w="57" w:type="dxa"/>
            </w:tcMar>
          </w:tcPr>
          <w:p w14:paraId="4D0DA68F" w14:textId="77777777" w:rsidR="00D04E27" w:rsidRPr="002661A8" w:rsidRDefault="00D04E27" w:rsidP="00D04E27">
            <w:pPr>
              <w:rPr>
                <w:noProof/>
              </w:rPr>
            </w:pPr>
          </w:p>
        </w:tc>
        <w:tc>
          <w:tcPr>
            <w:tcW w:w="1575" w:type="dxa"/>
            <w:tcBorders>
              <w:right w:val="double" w:sz="4" w:space="0" w:color="auto"/>
            </w:tcBorders>
            <w:tcMar>
              <w:top w:w="57" w:type="dxa"/>
              <w:left w:w="57" w:type="dxa"/>
              <w:bottom w:w="57" w:type="dxa"/>
              <w:right w:w="57" w:type="dxa"/>
            </w:tcMar>
          </w:tcPr>
          <w:p w14:paraId="1FBB921E" w14:textId="77777777" w:rsidR="00D04E27" w:rsidRPr="002661A8" w:rsidRDefault="00D04E27" w:rsidP="00D04E27">
            <w:pPr>
              <w:rPr>
                <w:noProof/>
              </w:rPr>
            </w:pPr>
            <w:r w:rsidRPr="002661A8">
              <w:rPr>
                <w:noProof/>
              </w:rPr>
              <w:t>Administrative costs (for offsetting)</w:t>
            </w:r>
          </w:p>
        </w:tc>
        <w:tc>
          <w:tcPr>
            <w:tcW w:w="1110" w:type="dxa"/>
            <w:tcBorders>
              <w:left w:val="double" w:sz="4" w:space="0" w:color="auto"/>
            </w:tcBorders>
            <w:tcMar>
              <w:top w:w="57" w:type="dxa"/>
              <w:left w:w="57" w:type="dxa"/>
              <w:bottom w:w="57" w:type="dxa"/>
              <w:right w:w="57" w:type="dxa"/>
            </w:tcMar>
          </w:tcPr>
          <w:p w14:paraId="79E15E63" w14:textId="270E3C06" w:rsidR="00D04E27" w:rsidRPr="002661A8" w:rsidRDefault="00E3277A" w:rsidP="00D04E27">
            <w:pPr>
              <w:rPr>
                <w:noProof/>
              </w:rPr>
            </w:pPr>
            <w:r w:rsidRPr="002661A8">
              <w:rPr>
                <w:noProof/>
                <w:color w:val="000000"/>
                <w:sz w:val="18"/>
                <w:szCs w:val="18"/>
              </w:rPr>
              <w:t>No cost impact identified</w:t>
            </w:r>
          </w:p>
        </w:tc>
        <w:tc>
          <w:tcPr>
            <w:tcW w:w="1415" w:type="dxa"/>
            <w:tcMar>
              <w:top w:w="57" w:type="dxa"/>
              <w:left w:w="57" w:type="dxa"/>
              <w:bottom w:w="57" w:type="dxa"/>
              <w:right w:w="57" w:type="dxa"/>
            </w:tcMar>
          </w:tcPr>
          <w:p w14:paraId="55EF05D5" w14:textId="42D5A287" w:rsidR="00D04E27" w:rsidRPr="002661A8" w:rsidRDefault="00E3277A" w:rsidP="00D04E27">
            <w:pPr>
              <w:rPr>
                <w:noProof/>
              </w:rPr>
            </w:pPr>
            <w:r w:rsidRPr="002661A8">
              <w:rPr>
                <w:noProof/>
                <w:color w:val="000000"/>
                <w:sz w:val="18"/>
                <w:szCs w:val="18"/>
              </w:rPr>
              <w:t>No cost impact identified</w:t>
            </w:r>
          </w:p>
        </w:tc>
        <w:tc>
          <w:tcPr>
            <w:tcW w:w="1388" w:type="dxa"/>
            <w:tcMar>
              <w:top w:w="57" w:type="dxa"/>
              <w:left w:w="57" w:type="dxa"/>
              <w:bottom w:w="57" w:type="dxa"/>
              <w:right w:w="57" w:type="dxa"/>
            </w:tcMar>
          </w:tcPr>
          <w:p w14:paraId="2AAEE7BC" w14:textId="5D0F1020" w:rsidR="006A4218" w:rsidRDefault="006A4218" w:rsidP="006A4218">
            <w:pPr>
              <w:rPr>
                <w:noProof/>
                <w:sz w:val="18"/>
                <w:szCs w:val="18"/>
              </w:rPr>
            </w:pPr>
            <w:r>
              <w:rPr>
                <w:noProof/>
                <w:sz w:val="18"/>
                <w:szCs w:val="18"/>
              </w:rPr>
              <w:t>One-off costs related to p</w:t>
            </w:r>
            <w:r w:rsidR="001F319E" w:rsidRPr="002661A8">
              <w:rPr>
                <w:noProof/>
                <w:sz w:val="18"/>
                <w:szCs w:val="18"/>
              </w:rPr>
              <w:t xml:space="preserve">aperwork </w:t>
            </w:r>
            <w:r>
              <w:rPr>
                <w:noProof/>
                <w:sz w:val="18"/>
                <w:szCs w:val="18"/>
              </w:rPr>
              <w:t>for</w:t>
            </w:r>
            <w:r w:rsidR="001F319E" w:rsidRPr="002661A8">
              <w:rPr>
                <w:noProof/>
                <w:sz w:val="18"/>
                <w:szCs w:val="18"/>
              </w:rPr>
              <w:t xml:space="preserve"> opening an account (expected to be negligible)</w:t>
            </w:r>
            <w:r w:rsidR="001F319E" w:rsidRPr="002661A8">
              <w:rPr>
                <w:rStyle w:val="FootnoteReference"/>
                <w:noProof/>
              </w:rPr>
              <w:footnoteReference w:id="202"/>
            </w:r>
          </w:p>
          <w:p w14:paraId="641F4FFC" w14:textId="77777777" w:rsidR="006A4218" w:rsidRDefault="006A4218" w:rsidP="006A4218">
            <w:pPr>
              <w:rPr>
                <w:noProof/>
                <w:sz w:val="18"/>
                <w:szCs w:val="18"/>
              </w:rPr>
            </w:pPr>
          </w:p>
          <w:p w14:paraId="4DBF9E9C" w14:textId="55EAC620" w:rsidR="00D04E27" w:rsidRPr="002661A8" w:rsidRDefault="006A4218" w:rsidP="006A4218">
            <w:pPr>
              <w:rPr>
                <w:noProof/>
              </w:rPr>
            </w:pPr>
            <w:r>
              <w:rPr>
                <w:noProof/>
                <w:color w:val="000000"/>
                <w:sz w:val="18"/>
                <w:szCs w:val="18"/>
              </w:rPr>
              <w:t xml:space="preserve">Small ongoing costs for </w:t>
            </w:r>
            <w:r w:rsidRPr="006A4218">
              <w:rPr>
                <w:noProof/>
                <w:color w:val="000000"/>
                <w:sz w:val="18"/>
                <w:szCs w:val="18"/>
              </w:rPr>
              <w:t>reporting of active account requirements</w:t>
            </w:r>
          </w:p>
        </w:tc>
        <w:tc>
          <w:tcPr>
            <w:tcW w:w="1387" w:type="dxa"/>
            <w:tcMar>
              <w:top w:w="57" w:type="dxa"/>
              <w:left w:w="57" w:type="dxa"/>
              <w:bottom w:w="57" w:type="dxa"/>
              <w:right w:w="57" w:type="dxa"/>
            </w:tcMar>
          </w:tcPr>
          <w:p w14:paraId="4B34A588" w14:textId="26D851E6" w:rsidR="00D04E27" w:rsidRPr="002661A8" w:rsidRDefault="00E3277A" w:rsidP="00D04E27">
            <w:pPr>
              <w:rPr>
                <w:noProof/>
              </w:rPr>
            </w:pPr>
            <w:r w:rsidRPr="002661A8">
              <w:rPr>
                <w:noProof/>
                <w:color w:val="000000"/>
                <w:sz w:val="18"/>
                <w:szCs w:val="18"/>
              </w:rPr>
              <w:t>No cost impact identified</w:t>
            </w:r>
          </w:p>
        </w:tc>
        <w:tc>
          <w:tcPr>
            <w:tcW w:w="1110" w:type="dxa"/>
            <w:tcBorders>
              <w:top w:val="single" w:sz="4" w:space="0" w:color="auto"/>
              <w:bottom w:val="double" w:sz="4" w:space="0" w:color="auto"/>
              <w:tl2br w:val="double" w:sz="4" w:space="0" w:color="auto"/>
            </w:tcBorders>
            <w:tcMar>
              <w:top w:w="57" w:type="dxa"/>
              <w:left w:w="57" w:type="dxa"/>
              <w:bottom w:w="57" w:type="dxa"/>
              <w:right w:w="57" w:type="dxa"/>
            </w:tcMar>
          </w:tcPr>
          <w:p w14:paraId="3DBF2A99" w14:textId="77777777" w:rsidR="00D04E27" w:rsidRPr="002661A8" w:rsidRDefault="00D04E27" w:rsidP="00D04E27">
            <w:pPr>
              <w:rPr>
                <w:noProof/>
              </w:rPr>
            </w:pPr>
          </w:p>
        </w:tc>
        <w:tc>
          <w:tcPr>
            <w:tcW w:w="1249" w:type="dxa"/>
            <w:tcBorders>
              <w:top w:val="single" w:sz="4" w:space="0" w:color="auto"/>
              <w:bottom w:val="double" w:sz="4" w:space="0" w:color="auto"/>
              <w:tl2br w:val="double" w:sz="4" w:space="0" w:color="auto"/>
            </w:tcBorders>
            <w:tcMar>
              <w:top w:w="57" w:type="dxa"/>
              <w:left w:w="57" w:type="dxa"/>
              <w:bottom w:w="57" w:type="dxa"/>
              <w:right w:w="57" w:type="dxa"/>
            </w:tcMar>
          </w:tcPr>
          <w:p w14:paraId="69D20167" w14:textId="1C725575" w:rsidR="00D04E27" w:rsidRPr="002661A8" w:rsidRDefault="00D04E27" w:rsidP="00D04E27">
            <w:pPr>
              <w:rPr>
                <w:noProof/>
              </w:rPr>
            </w:pPr>
          </w:p>
        </w:tc>
      </w:tr>
    </w:tbl>
    <w:p w14:paraId="33F3C455" w14:textId="5E66B433" w:rsidR="00D04E27" w:rsidRPr="002661A8" w:rsidRDefault="00D04E27" w:rsidP="002636AD">
      <w:pPr>
        <w:rPr>
          <w:noProof/>
          <w:sz w:val="24"/>
          <w:szCs w:val="24"/>
        </w:rPr>
      </w:pPr>
    </w:p>
    <w:tbl>
      <w:tblPr>
        <w:tblW w:w="7371" w:type="dxa"/>
        <w:tblInd w:w="-459" w:type="dxa"/>
        <w:tblLayout w:type="fixed"/>
        <w:tblLook w:val="04A0" w:firstRow="1" w:lastRow="0" w:firstColumn="1" w:lastColumn="0" w:noHBand="0" w:noVBand="1"/>
      </w:tblPr>
      <w:tblGrid>
        <w:gridCol w:w="1276"/>
        <w:gridCol w:w="236"/>
        <w:gridCol w:w="1749"/>
        <w:gridCol w:w="283"/>
        <w:gridCol w:w="284"/>
        <w:gridCol w:w="992"/>
        <w:gridCol w:w="1843"/>
        <w:gridCol w:w="708"/>
      </w:tblGrid>
      <w:tr w:rsidR="00F66DD4" w:rsidRPr="002661A8" w14:paraId="5B20DE14" w14:textId="77777777" w:rsidTr="00FB60BA">
        <w:trPr>
          <w:trHeight w:val="300"/>
        </w:trPr>
        <w:tc>
          <w:tcPr>
            <w:tcW w:w="1276" w:type="dxa"/>
            <w:tcBorders>
              <w:top w:val="nil"/>
              <w:left w:val="nil"/>
              <w:bottom w:val="nil"/>
              <w:right w:val="nil"/>
            </w:tcBorders>
            <w:shd w:val="clear" w:color="auto" w:fill="auto"/>
            <w:noWrap/>
            <w:vAlign w:val="bottom"/>
          </w:tcPr>
          <w:p w14:paraId="657E0315" w14:textId="77777777" w:rsidR="00A06B7F" w:rsidRPr="002661A8" w:rsidRDefault="00A06B7F" w:rsidP="00A06B7F">
            <w:pPr>
              <w:spacing w:after="0" w:line="240" w:lineRule="auto"/>
              <w:rPr>
                <w:rFonts w:ascii="Times New Roman" w:eastAsia="Times New Roman" w:hAnsi="Times New Roman" w:cs="Times New Roman"/>
                <w:noProof/>
                <w:color w:val="000000"/>
                <w:sz w:val="18"/>
                <w:szCs w:val="18"/>
                <w:lang w:eastAsia="en-GB"/>
              </w:rPr>
            </w:pPr>
          </w:p>
        </w:tc>
        <w:tc>
          <w:tcPr>
            <w:tcW w:w="236" w:type="dxa"/>
            <w:tcBorders>
              <w:top w:val="nil"/>
              <w:left w:val="nil"/>
              <w:bottom w:val="nil"/>
              <w:right w:val="nil"/>
            </w:tcBorders>
            <w:shd w:val="clear" w:color="auto" w:fill="auto"/>
            <w:noWrap/>
            <w:vAlign w:val="bottom"/>
          </w:tcPr>
          <w:p w14:paraId="2E4939E9" w14:textId="77777777" w:rsidR="00A06B7F" w:rsidRPr="002661A8" w:rsidRDefault="00A06B7F" w:rsidP="00A06B7F">
            <w:pPr>
              <w:spacing w:after="0" w:line="240" w:lineRule="auto"/>
              <w:rPr>
                <w:rFonts w:ascii="Times New Roman" w:eastAsia="Times New Roman" w:hAnsi="Times New Roman" w:cs="Times New Roman"/>
                <w:noProof/>
                <w:sz w:val="18"/>
                <w:szCs w:val="18"/>
                <w:lang w:eastAsia="en-GB"/>
              </w:rPr>
            </w:pPr>
          </w:p>
        </w:tc>
        <w:tc>
          <w:tcPr>
            <w:tcW w:w="1749" w:type="dxa"/>
            <w:tcBorders>
              <w:top w:val="nil"/>
              <w:left w:val="nil"/>
              <w:bottom w:val="nil"/>
              <w:right w:val="nil"/>
            </w:tcBorders>
            <w:shd w:val="clear" w:color="auto" w:fill="auto"/>
            <w:noWrap/>
            <w:vAlign w:val="bottom"/>
          </w:tcPr>
          <w:p w14:paraId="4A3F6E18" w14:textId="77777777" w:rsidR="00A06B7F" w:rsidRPr="002661A8" w:rsidRDefault="00A06B7F" w:rsidP="00A06B7F">
            <w:pPr>
              <w:spacing w:after="0" w:line="240" w:lineRule="auto"/>
              <w:rPr>
                <w:rFonts w:ascii="Times New Roman" w:eastAsia="Times New Roman" w:hAnsi="Times New Roman" w:cs="Times New Roman"/>
                <w:noProof/>
                <w:sz w:val="18"/>
                <w:szCs w:val="18"/>
                <w:lang w:eastAsia="en-GB"/>
              </w:rPr>
            </w:pPr>
          </w:p>
        </w:tc>
        <w:tc>
          <w:tcPr>
            <w:tcW w:w="283" w:type="dxa"/>
            <w:tcBorders>
              <w:top w:val="nil"/>
              <w:left w:val="nil"/>
              <w:bottom w:val="nil"/>
              <w:right w:val="nil"/>
            </w:tcBorders>
            <w:shd w:val="clear" w:color="auto" w:fill="auto"/>
            <w:noWrap/>
            <w:vAlign w:val="bottom"/>
          </w:tcPr>
          <w:p w14:paraId="7E6F6F5F" w14:textId="77777777" w:rsidR="00A06B7F" w:rsidRPr="002661A8" w:rsidRDefault="00A06B7F" w:rsidP="00A06B7F">
            <w:pPr>
              <w:spacing w:after="0" w:line="240" w:lineRule="auto"/>
              <w:rPr>
                <w:rFonts w:ascii="Times New Roman" w:eastAsia="Times New Roman" w:hAnsi="Times New Roman" w:cs="Times New Roman"/>
                <w:noProof/>
                <w:sz w:val="18"/>
                <w:szCs w:val="18"/>
                <w:lang w:eastAsia="en-GB"/>
              </w:rPr>
            </w:pPr>
          </w:p>
        </w:tc>
        <w:tc>
          <w:tcPr>
            <w:tcW w:w="284" w:type="dxa"/>
            <w:tcBorders>
              <w:top w:val="nil"/>
              <w:left w:val="nil"/>
              <w:bottom w:val="nil"/>
              <w:right w:val="nil"/>
            </w:tcBorders>
            <w:shd w:val="clear" w:color="auto" w:fill="auto"/>
            <w:noWrap/>
            <w:vAlign w:val="bottom"/>
          </w:tcPr>
          <w:p w14:paraId="14109BDB" w14:textId="77777777" w:rsidR="00A06B7F" w:rsidRPr="002661A8" w:rsidRDefault="00A06B7F" w:rsidP="00A06B7F">
            <w:pPr>
              <w:spacing w:after="0" w:line="240" w:lineRule="auto"/>
              <w:rPr>
                <w:rFonts w:ascii="Times New Roman" w:eastAsia="Times New Roman" w:hAnsi="Times New Roman" w:cs="Times New Roman"/>
                <w:noProof/>
                <w:sz w:val="18"/>
                <w:szCs w:val="18"/>
                <w:lang w:eastAsia="en-GB"/>
              </w:rPr>
            </w:pPr>
          </w:p>
        </w:tc>
        <w:tc>
          <w:tcPr>
            <w:tcW w:w="992" w:type="dxa"/>
            <w:tcBorders>
              <w:top w:val="nil"/>
              <w:left w:val="nil"/>
              <w:bottom w:val="nil"/>
              <w:right w:val="nil"/>
            </w:tcBorders>
            <w:shd w:val="clear" w:color="auto" w:fill="auto"/>
            <w:noWrap/>
            <w:vAlign w:val="bottom"/>
          </w:tcPr>
          <w:p w14:paraId="5C37DC46" w14:textId="77777777" w:rsidR="00A06B7F" w:rsidRPr="002661A8" w:rsidRDefault="00A06B7F" w:rsidP="00A06B7F">
            <w:pPr>
              <w:spacing w:after="0" w:line="240" w:lineRule="auto"/>
              <w:rPr>
                <w:rFonts w:ascii="Times New Roman" w:eastAsia="Times New Roman" w:hAnsi="Times New Roman" w:cs="Times New Roman"/>
                <w:noProof/>
                <w:sz w:val="18"/>
                <w:szCs w:val="18"/>
                <w:lang w:eastAsia="en-GB"/>
              </w:rPr>
            </w:pPr>
          </w:p>
        </w:tc>
        <w:tc>
          <w:tcPr>
            <w:tcW w:w="1843" w:type="dxa"/>
            <w:tcBorders>
              <w:top w:val="nil"/>
              <w:left w:val="nil"/>
              <w:bottom w:val="nil"/>
              <w:right w:val="nil"/>
            </w:tcBorders>
            <w:shd w:val="clear" w:color="auto" w:fill="auto"/>
            <w:noWrap/>
            <w:vAlign w:val="bottom"/>
          </w:tcPr>
          <w:p w14:paraId="660A60B7" w14:textId="77777777" w:rsidR="00A06B7F" w:rsidRPr="002661A8" w:rsidRDefault="00A06B7F" w:rsidP="00A06B7F">
            <w:pPr>
              <w:spacing w:after="0" w:line="240" w:lineRule="auto"/>
              <w:rPr>
                <w:rFonts w:ascii="Times New Roman" w:eastAsia="Times New Roman" w:hAnsi="Times New Roman" w:cs="Times New Roman"/>
                <w:noProof/>
                <w:sz w:val="18"/>
                <w:szCs w:val="18"/>
                <w:lang w:eastAsia="en-GB"/>
              </w:rPr>
            </w:pPr>
          </w:p>
        </w:tc>
        <w:tc>
          <w:tcPr>
            <w:tcW w:w="708" w:type="dxa"/>
            <w:tcBorders>
              <w:top w:val="nil"/>
              <w:left w:val="nil"/>
              <w:bottom w:val="nil"/>
              <w:right w:val="nil"/>
            </w:tcBorders>
            <w:shd w:val="clear" w:color="auto" w:fill="auto"/>
            <w:noWrap/>
            <w:vAlign w:val="bottom"/>
          </w:tcPr>
          <w:p w14:paraId="372D2CEA" w14:textId="4E05B0A8" w:rsidR="00A06B7F" w:rsidRPr="002661A8" w:rsidRDefault="00A06B7F" w:rsidP="00A06B7F">
            <w:pPr>
              <w:spacing w:after="0" w:line="240" w:lineRule="auto"/>
              <w:rPr>
                <w:rFonts w:ascii="Times New Roman" w:eastAsia="Times New Roman" w:hAnsi="Times New Roman" w:cs="Times New Roman"/>
                <w:noProof/>
                <w:sz w:val="18"/>
                <w:szCs w:val="18"/>
                <w:lang w:eastAsia="en-GB"/>
              </w:rPr>
            </w:pPr>
          </w:p>
        </w:tc>
      </w:tr>
    </w:tbl>
    <w:p w14:paraId="5E157AC3" w14:textId="5E2D9621" w:rsidR="002636AD" w:rsidRPr="002661A8" w:rsidRDefault="004B71F0" w:rsidP="004B71F0">
      <w:pPr>
        <w:rPr>
          <w:rFonts w:ascii="Times New Roman" w:hAnsi="Times New Roman" w:cs="Times New Roman"/>
          <w:b/>
          <w:noProof/>
          <w:sz w:val="24"/>
        </w:rPr>
      </w:pPr>
      <w:bookmarkStart w:id="1741" w:name="_Toc88562937"/>
      <w:bookmarkStart w:id="1742" w:name="_Toc103337553"/>
      <w:bookmarkStart w:id="1743" w:name="_Toc104310040"/>
      <w:bookmarkStart w:id="1744" w:name="_Toc105656480"/>
      <w:bookmarkStart w:id="1745" w:name="_Toc106827883"/>
      <w:bookmarkStart w:id="1746" w:name="_Toc106981786"/>
      <w:bookmarkStart w:id="1747" w:name="_Toc107493929"/>
      <w:bookmarkStart w:id="1748" w:name="_Toc107497965"/>
      <w:bookmarkStart w:id="1749" w:name="_Toc107503518"/>
      <w:bookmarkStart w:id="1750" w:name="_Toc107504637"/>
      <w:bookmarkStart w:id="1751" w:name="_Toc107505511"/>
      <w:bookmarkStart w:id="1752" w:name="_Toc107838987"/>
      <w:bookmarkStart w:id="1753" w:name="_Toc107847053"/>
      <w:bookmarkStart w:id="1754" w:name="_Toc107849319"/>
      <w:bookmarkStart w:id="1755" w:name="_Toc107853737"/>
      <w:bookmarkStart w:id="1756" w:name="_Toc107865360"/>
      <w:bookmarkStart w:id="1757" w:name="_Toc108418569"/>
      <w:bookmarkStart w:id="1758" w:name="_Toc108539661"/>
      <w:bookmarkStart w:id="1759" w:name="_Toc108539883"/>
      <w:bookmarkStart w:id="1760" w:name="_Toc109057458"/>
      <w:bookmarkStart w:id="1761" w:name="_Toc109120824"/>
      <w:r w:rsidRPr="002661A8">
        <w:rPr>
          <w:rFonts w:ascii="Times New Roman" w:hAnsi="Times New Roman" w:cs="Times New Roman"/>
          <w:b/>
          <w:noProof/>
          <w:sz w:val="24"/>
        </w:rPr>
        <w:t xml:space="preserve">3. </w:t>
      </w:r>
      <w:r w:rsidR="002636AD" w:rsidRPr="002661A8">
        <w:rPr>
          <w:rFonts w:ascii="Times New Roman" w:hAnsi="Times New Roman" w:cs="Times New Roman"/>
          <w:b/>
          <w:noProof/>
          <w:sz w:val="24"/>
        </w:rPr>
        <w:t>Relevant sustainable development goals</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tbl>
      <w:tblPr>
        <w:tblStyle w:val="CV11"/>
        <w:tblW w:w="10377"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111"/>
        <w:gridCol w:w="3714"/>
      </w:tblGrid>
      <w:tr w:rsidR="00D41C12" w:rsidRPr="002661A8" w14:paraId="3AB89B37" w14:textId="77777777" w:rsidTr="002636AD">
        <w:tc>
          <w:tcPr>
            <w:tcW w:w="10377" w:type="dxa"/>
            <w:gridSpan w:val="3"/>
            <w:tcBorders>
              <w:top w:val="double" w:sz="4" w:space="0" w:color="auto"/>
              <w:bottom w:val="single" w:sz="4" w:space="0" w:color="auto"/>
            </w:tcBorders>
            <w:shd w:val="clear" w:color="auto" w:fill="C6D9F1" w:themeFill="text2" w:themeFillTint="33"/>
          </w:tcPr>
          <w:p w14:paraId="7AF59741" w14:textId="77777777" w:rsidR="002636AD" w:rsidRPr="002661A8" w:rsidRDefault="002636AD" w:rsidP="002636AD">
            <w:pPr>
              <w:rPr>
                <w:b/>
                <w:noProof/>
                <w:sz w:val="22"/>
                <w:szCs w:val="22"/>
              </w:rPr>
            </w:pPr>
            <w:r w:rsidRPr="002661A8">
              <w:rPr>
                <w:b/>
                <w:noProof/>
              </w:rPr>
              <w:t>III. Overview of relevant Sustainable Development Goals – Preferred Option(s)</w:t>
            </w:r>
          </w:p>
        </w:tc>
      </w:tr>
      <w:tr w:rsidR="007932E2" w:rsidRPr="002661A8" w14:paraId="488C6456" w14:textId="77777777" w:rsidTr="002636AD">
        <w:tc>
          <w:tcPr>
            <w:tcW w:w="2552" w:type="dxa"/>
            <w:tcBorders>
              <w:top w:val="single" w:sz="4" w:space="0" w:color="auto"/>
            </w:tcBorders>
            <w:shd w:val="clear" w:color="auto" w:fill="C6D9F1" w:themeFill="text2" w:themeFillTint="33"/>
          </w:tcPr>
          <w:p w14:paraId="57275788" w14:textId="77777777" w:rsidR="002636AD" w:rsidRPr="002661A8" w:rsidRDefault="002636AD" w:rsidP="002636AD">
            <w:pPr>
              <w:rPr>
                <w:b/>
                <w:noProof/>
                <w:sz w:val="22"/>
                <w:szCs w:val="22"/>
              </w:rPr>
            </w:pPr>
            <w:r w:rsidRPr="002661A8">
              <w:rPr>
                <w:b/>
                <w:noProof/>
              </w:rPr>
              <w:t>Relevant SDG</w:t>
            </w:r>
          </w:p>
        </w:tc>
        <w:tc>
          <w:tcPr>
            <w:tcW w:w="4111" w:type="dxa"/>
            <w:tcBorders>
              <w:top w:val="single" w:sz="4" w:space="0" w:color="auto"/>
            </w:tcBorders>
            <w:shd w:val="clear" w:color="auto" w:fill="C6D9F1" w:themeFill="text2" w:themeFillTint="33"/>
          </w:tcPr>
          <w:p w14:paraId="1B55F259" w14:textId="77777777" w:rsidR="002636AD" w:rsidRPr="002661A8" w:rsidRDefault="002636AD" w:rsidP="002636AD">
            <w:pPr>
              <w:rPr>
                <w:b/>
                <w:noProof/>
                <w:sz w:val="22"/>
                <w:szCs w:val="22"/>
              </w:rPr>
            </w:pPr>
            <w:r w:rsidRPr="002661A8">
              <w:rPr>
                <w:b/>
                <w:noProof/>
              </w:rPr>
              <w:t>Expected progress towards the Goal</w:t>
            </w:r>
          </w:p>
        </w:tc>
        <w:tc>
          <w:tcPr>
            <w:tcW w:w="3714" w:type="dxa"/>
            <w:tcBorders>
              <w:top w:val="single" w:sz="4" w:space="0" w:color="auto"/>
            </w:tcBorders>
            <w:shd w:val="clear" w:color="auto" w:fill="C6D9F1" w:themeFill="text2" w:themeFillTint="33"/>
            <w:tcMar>
              <w:top w:w="57" w:type="dxa"/>
              <w:left w:w="57" w:type="dxa"/>
              <w:bottom w:w="57" w:type="dxa"/>
              <w:right w:w="57" w:type="dxa"/>
            </w:tcMar>
          </w:tcPr>
          <w:p w14:paraId="4B3EF010" w14:textId="77777777" w:rsidR="002636AD" w:rsidRPr="002661A8" w:rsidRDefault="002636AD" w:rsidP="002636AD">
            <w:pPr>
              <w:rPr>
                <w:b/>
                <w:noProof/>
                <w:sz w:val="22"/>
                <w:szCs w:val="22"/>
              </w:rPr>
            </w:pPr>
            <w:r w:rsidRPr="002661A8">
              <w:rPr>
                <w:b/>
                <w:noProof/>
              </w:rPr>
              <w:t>Comments</w:t>
            </w:r>
          </w:p>
        </w:tc>
      </w:tr>
      <w:tr w:rsidR="002636AD" w:rsidRPr="002661A8" w14:paraId="63689E64" w14:textId="77777777" w:rsidTr="002636AD">
        <w:tc>
          <w:tcPr>
            <w:tcW w:w="2552" w:type="dxa"/>
            <w:tcBorders>
              <w:top w:val="double" w:sz="4" w:space="0" w:color="auto"/>
              <w:bottom w:val="single" w:sz="4" w:space="0" w:color="auto"/>
            </w:tcBorders>
          </w:tcPr>
          <w:p w14:paraId="4CF21EDE" w14:textId="1212C396" w:rsidR="002636AD" w:rsidRPr="002661A8" w:rsidRDefault="002636AD" w:rsidP="002636AD">
            <w:pPr>
              <w:rPr>
                <w:noProof/>
              </w:rPr>
            </w:pPr>
            <w:r w:rsidRPr="002661A8">
              <w:rPr>
                <w:noProof/>
              </w:rPr>
              <w:t xml:space="preserve">SDG no. </w:t>
            </w:r>
            <w:r w:rsidR="003E2545" w:rsidRPr="002661A8">
              <w:rPr>
                <w:noProof/>
              </w:rPr>
              <w:t>8</w:t>
            </w:r>
            <w:r w:rsidRPr="002661A8">
              <w:rPr>
                <w:noProof/>
              </w:rPr>
              <w:t xml:space="preserve"> – </w:t>
            </w:r>
            <w:r w:rsidR="003E2545" w:rsidRPr="002661A8">
              <w:rPr>
                <w:noProof/>
              </w:rPr>
              <w:t xml:space="preserve">decent work and economic growth </w:t>
            </w:r>
            <w:r w:rsidRPr="002661A8">
              <w:rPr>
                <w:noProof/>
              </w:rPr>
              <w:t>education</w:t>
            </w:r>
          </w:p>
        </w:tc>
        <w:tc>
          <w:tcPr>
            <w:tcW w:w="4111" w:type="dxa"/>
            <w:tcBorders>
              <w:top w:val="double" w:sz="4" w:space="0" w:color="auto"/>
              <w:bottom w:val="single" w:sz="4" w:space="0" w:color="auto"/>
            </w:tcBorders>
            <w:tcMar>
              <w:top w:w="57" w:type="dxa"/>
              <w:left w:w="57" w:type="dxa"/>
              <w:bottom w:w="57" w:type="dxa"/>
              <w:right w:w="57" w:type="dxa"/>
            </w:tcMar>
          </w:tcPr>
          <w:p w14:paraId="7F970C80" w14:textId="74E60B42" w:rsidR="002636AD" w:rsidRPr="002661A8" w:rsidRDefault="003E2545" w:rsidP="002636AD">
            <w:pPr>
              <w:rPr>
                <w:noProof/>
              </w:rPr>
            </w:pPr>
            <w:r w:rsidRPr="002661A8">
              <w:rPr>
                <w:noProof/>
              </w:rPr>
              <w:t xml:space="preserve">Expected to contribute positively to target 8.10 “Strengthen the capacity of domestic financial institutions to encourage and expand access to banking, insurance and financial services for all” </w:t>
            </w:r>
          </w:p>
        </w:tc>
        <w:tc>
          <w:tcPr>
            <w:tcW w:w="3714" w:type="dxa"/>
            <w:tcBorders>
              <w:top w:val="double" w:sz="4" w:space="0" w:color="auto"/>
              <w:bottom w:val="single" w:sz="4" w:space="0" w:color="auto"/>
            </w:tcBorders>
            <w:tcMar>
              <w:top w:w="57" w:type="dxa"/>
              <w:left w:w="57" w:type="dxa"/>
              <w:bottom w:w="57" w:type="dxa"/>
              <w:right w:w="57" w:type="dxa"/>
            </w:tcMar>
          </w:tcPr>
          <w:p w14:paraId="60C7933E" w14:textId="213A63E9" w:rsidR="002636AD" w:rsidRPr="002661A8" w:rsidRDefault="003E2545" w:rsidP="002636AD">
            <w:pPr>
              <w:rPr>
                <w:noProof/>
              </w:rPr>
            </w:pPr>
            <w:r w:rsidRPr="002661A8">
              <w:rPr>
                <w:noProof/>
              </w:rPr>
              <w:t>The impact is expected to be achieved by developing capital market infrastructure in the EU and safeguarding risks that would result in disruption in access to clearing</w:t>
            </w:r>
          </w:p>
        </w:tc>
      </w:tr>
    </w:tbl>
    <w:p w14:paraId="477D1F0F" w14:textId="77777777" w:rsidR="006B087E" w:rsidRPr="002661A8" w:rsidRDefault="006B087E" w:rsidP="006B087E">
      <w:pPr>
        <w:rPr>
          <w:noProof/>
          <w:sz w:val="24"/>
          <w:szCs w:val="24"/>
        </w:rPr>
      </w:pPr>
      <w:r w:rsidRPr="002661A8">
        <w:rPr>
          <w:noProof/>
          <w:sz w:val="24"/>
          <w:szCs w:val="24"/>
        </w:rPr>
        <w:br w:type="page"/>
      </w:r>
    </w:p>
    <w:p w14:paraId="261D65F5" w14:textId="24A65466" w:rsidR="006B087E" w:rsidRPr="002661A8" w:rsidRDefault="3FA542DF" w:rsidP="00701ABD">
      <w:pPr>
        <w:pStyle w:val="Heading1"/>
        <w:jc w:val="center"/>
        <w:rPr>
          <w:noProof/>
          <w:szCs w:val="24"/>
        </w:rPr>
      </w:pPr>
      <w:bookmarkStart w:id="1762" w:name="_Toc103337554"/>
      <w:bookmarkStart w:id="1763" w:name="_Toc106981787"/>
      <w:bookmarkStart w:id="1764" w:name="_Toc107493930"/>
      <w:bookmarkStart w:id="1765" w:name="_Toc107497966"/>
      <w:bookmarkStart w:id="1766" w:name="_Toc107503519"/>
      <w:bookmarkStart w:id="1767" w:name="_Toc107505512"/>
      <w:bookmarkStart w:id="1768" w:name="_Toc107838988"/>
      <w:bookmarkStart w:id="1769" w:name="_Toc107849320"/>
      <w:bookmarkStart w:id="1770" w:name="_Toc108539884"/>
      <w:bookmarkStart w:id="1771" w:name="_Toc109057459"/>
      <w:bookmarkStart w:id="1772" w:name="_Toc109120825"/>
      <w:bookmarkStart w:id="1773" w:name="_Toc109122421"/>
      <w:bookmarkStart w:id="1774" w:name="_Toc109133158"/>
      <w:bookmarkStart w:id="1775" w:name="_Toc120291694"/>
      <w:r w:rsidRPr="002661A8">
        <w:rPr>
          <w:noProof/>
        </w:rPr>
        <w:t>Annex 4: Analytical methods</w:t>
      </w:r>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58DA9DDF" w14:textId="77777777" w:rsidR="005A63CC" w:rsidRPr="002661A8" w:rsidRDefault="005A63CC" w:rsidP="005A63CC">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The analysis carried out as part of the impact assessment is based on three methodological approaches: </w:t>
      </w:r>
    </w:p>
    <w:p w14:paraId="55E75DA9" w14:textId="77777777" w:rsidR="005A63CC" w:rsidRPr="002661A8" w:rsidRDefault="005A63CC" w:rsidP="005A63CC">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1. desk research; </w:t>
      </w:r>
    </w:p>
    <w:p w14:paraId="2800FA95" w14:textId="77777777" w:rsidR="005A63CC" w:rsidRPr="002661A8" w:rsidRDefault="005A63CC" w:rsidP="005A63CC">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2. qualitative analysis; and</w:t>
      </w:r>
    </w:p>
    <w:p w14:paraId="4899E5F8" w14:textId="77777777" w:rsidR="005A63CC" w:rsidRPr="002661A8" w:rsidRDefault="005A63CC" w:rsidP="005A63CC">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3. quantitative analysis. </w:t>
      </w:r>
    </w:p>
    <w:p w14:paraId="53182BA4" w14:textId="77777777" w:rsidR="005A63CC" w:rsidRPr="002661A8" w:rsidRDefault="005A63CC" w:rsidP="005A63CC">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The data used to calculate the expected benefits and costs stem from a variety of different data sources. Sources include the targeted consultation that ran from January 2022 to March 2022, stakeholder meetings especially with CCPs, clearing members such as the European Banking Federation (EBF) and the Futures Industry Association (FIA), information provided by supervisors as well as other direct contributions (including confidential ones) received. Additional data was collected from publicly available sources (e.g. websites and annual statements of CCPs) and from the European Securities Markets Authority (ESMA), the ESRB and the ECB. </w:t>
      </w:r>
    </w:p>
    <w:p w14:paraId="614F1688" w14:textId="5B61DBFF" w:rsidR="005A63CC" w:rsidRPr="002661A8" w:rsidRDefault="005A63CC" w:rsidP="005A63CC">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The analysis is strongly based on cost estimates provided by supervisors, market participants and CCPs. In some cases, the data analysed cannot be publicly distributed given an extremely limited number of data points on specific market actors. Making such information public may allow identification of the contributor. Publication of this data could provide information to active or potential competitors which may allow them to gain insights as to cost functions and other sensitive corporate information, thus leading to unfair competitive advantages. This data has been considered by the Commission in its analysis and the results are reflected qualitatively in this impact assessment. To that end, respective figures have been presented in the Impact Assessment to the Regulatory Scrutiny Board as part of the impact assessment scrutiny process as coming from confidential contributions. Some data has been removed afterwards as the publication would lead to identification of the contributor.</w:t>
      </w:r>
    </w:p>
    <w:p w14:paraId="32204516" w14:textId="0A95CB17" w:rsidR="005A63CC" w:rsidRPr="002661A8" w:rsidRDefault="005A63CC" w:rsidP="005A63CC">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In addition to limitations on making data public, the presented analysis faces several methodological limitations. In particular, supervisory data such as reported to trade repositories by market participants is available to supervisors and certain other authorities only but not to the Commission or the general public. While the impact assessment sought data from supervisors, some datasets could not be shared directly. This applies especially to data which would identify individual market actors. In effect, the Impact Assessment relies on the analyses carried out by supervisors and can often refer only to qualitative insights gained therefrom.</w:t>
      </w:r>
    </w:p>
    <w:p w14:paraId="2E5AAFE9" w14:textId="20B277AB" w:rsidR="004C043C" w:rsidRPr="002661A8" w:rsidRDefault="005A63CC" w:rsidP="005A63CC">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As concerns data provided by market participants, a significant limitation and likely bias arises from the </w:t>
      </w:r>
      <w:r w:rsidR="00E26AE5" w:rsidRPr="002661A8">
        <w:rPr>
          <w:rFonts w:ascii="Times New Roman" w:hAnsi="Times New Roman" w:cs="Times New Roman"/>
          <w:noProof/>
          <w:sz w:val="24"/>
          <w:szCs w:val="24"/>
        </w:rPr>
        <w:t>economic interest</w:t>
      </w:r>
      <w:r w:rsidRPr="002661A8">
        <w:rPr>
          <w:rFonts w:ascii="Times New Roman" w:hAnsi="Times New Roman" w:cs="Times New Roman"/>
          <w:noProof/>
          <w:sz w:val="24"/>
          <w:szCs w:val="24"/>
        </w:rPr>
        <w:t xml:space="preserve"> of market participants. There is a strong incentive for market participants to maintain the status quo in terms of current clearing arrangements. In effect, it is likely that costs figures provided are inflated in order to increase the perceived costs, especially as concerns the demand side measures</w:t>
      </w:r>
      <w:r w:rsidR="00B736A2" w:rsidRPr="002661A8">
        <w:rPr>
          <w:rFonts w:ascii="Times New Roman" w:hAnsi="Times New Roman" w:cs="Times New Roman"/>
          <w:noProof/>
          <w:sz w:val="24"/>
          <w:szCs w:val="24"/>
        </w:rPr>
        <w:t xml:space="preserve"> analysed</w:t>
      </w:r>
      <w:r w:rsidRPr="002661A8">
        <w:rPr>
          <w:rFonts w:ascii="Times New Roman" w:hAnsi="Times New Roman" w:cs="Times New Roman"/>
          <w:noProof/>
          <w:sz w:val="24"/>
          <w:szCs w:val="24"/>
        </w:rPr>
        <w:t xml:space="preserve">. </w:t>
      </w:r>
      <w:r w:rsidR="00F31411">
        <w:rPr>
          <w:rFonts w:ascii="Times New Roman" w:hAnsi="Times New Roman" w:cs="Times New Roman"/>
          <w:noProof/>
          <w:sz w:val="24"/>
          <w:szCs w:val="24"/>
        </w:rPr>
        <w:t xml:space="preserve">More generally, however, market participants have been reluctant to share data for fear of providing insights into their operational structure, as well as cost structure and business strategies; for example, depending on their internal IT systems, compliance costs may vary considerably from clearing member to clearing member for certain changes. A further challenge is that not all clients are easily identifiable, making it more </w:t>
      </w:r>
      <w:r w:rsidR="00ED3D4D">
        <w:rPr>
          <w:rFonts w:ascii="Times New Roman" w:hAnsi="Times New Roman" w:cs="Times New Roman"/>
          <w:noProof/>
          <w:sz w:val="24"/>
          <w:szCs w:val="24"/>
        </w:rPr>
        <w:t>difficult</w:t>
      </w:r>
      <w:r w:rsidR="00F31411">
        <w:rPr>
          <w:rFonts w:ascii="Times New Roman" w:hAnsi="Times New Roman" w:cs="Times New Roman"/>
          <w:noProof/>
          <w:sz w:val="24"/>
          <w:szCs w:val="24"/>
        </w:rPr>
        <w:t xml:space="preserve"> to gather data in a targeted manner.</w:t>
      </w:r>
    </w:p>
    <w:p w14:paraId="067FD96E" w14:textId="79BDC35B" w:rsidR="005A63CC" w:rsidRPr="002661A8" w:rsidRDefault="005A63CC" w:rsidP="002757B1">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In addition, certain costs will depend strongly on the respective calibration (e.g. active account requirement). </w:t>
      </w:r>
      <w:r w:rsidR="00C43A73">
        <w:rPr>
          <w:rFonts w:ascii="Times New Roman" w:hAnsi="Times New Roman" w:cs="Times New Roman"/>
          <w:noProof/>
          <w:sz w:val="24"/>
          <w:szCs w:val="24"/>
        </w:rPr>
        <w:t>Where an obligation is further calibrated under level 2 acts, as is the case for the obligation to clear a certain proportion of transactions considered of substantial systemic importance to the EU in EU CCPs</w:t>
      </w:r>
      <w:r w:rsidR="00C9682E">
        <w:rPr>
          <w:rFonts w:ascii="Times New Roman" w:hAnsi="Times New Roman" w:cs="Times New Roman"/>
          <w:noProof/>
          <w:sz w:val="24"/>
          <w:szCs w:val="24"/>
        </w:rPr>
        <w:t>, t</w:t>
      </w:r>
      <w:r w:rsidRPr="002661A8">
        <w:rPr>
          <w:rFonts w:ascii="Times New Roman" w:hAnsi="Times New Roman" w:cs="Times New Roman"/>
          <w:noProof/>
          <w:sz w:val="24"/>
          <w:szCs w:val="24"/>
        </w:rPr>
        <w:t>hese costs will be assessed in detail at a later stage</w:t>
      </w:r>
      <w:r w:rsidR="004C043C">
        <w:rPr>
          <w:rFonts w:ascii="Times New Roman" w:hAnsi="Times New Roman" w:cs="Times New Roman"/>
          <w:noProof/>
          <w:sz w:val="24"/>
          <w:szCs w:val="24"/>
        </w:rPr>
        <w:t xml:space="preserve"> in the development of level 2 requirements. These technical rules will be prepared by </w:t>
      </w:r>
      <w:r w:rsidR="00C43A73">
        <w:rPr>
          <w:rFonts w:ascii="Times New Roman" w:hAnsi="Times New Roman" w:cs="Times New Roman"/>
          <w:noProof/>
          <w:sz w:val="24"/>
          <w:szCs w:val="24"/>
        </w:rPr>
        <w:t>ESMA</w:t>
      </w:r>
      <w:r w:rsidR="00C9682E">
        <w:rPr>
          <w:rFonts w:ascii="Times New Roman" w:hAnsi="Times New Roman" w:cs="Times New Roman"/>
          <w:noProof/>
          <w:sz w:val="24"/>
          <w:szCs w:val="24"/>
        </w:rPr>
        <w:t xml:space="preserve">, and for the one to calibrate the level of clearing in EU CCPs, this RTS would be developed in cooperation with ESRB, EBA and EIOPA and in </w:t>
      </w:r>
      <w:r w:rsidR="00C9682E" w:rsidRPr="00C43A73">
        <w:rPr>
          <w:rFonts w:ascii="Times New Roman" w:hAnsi="Times New Roman" w:cs="Times New Roman"/>
          <w:noProof/>
          <w:sz w:val="24"/>
          <w:szCs w:val="24"/>
        </w:rPr>
        <w:t>consult</w:t>
      </w:r>
      <w:r w:rsidR="00C9682E">
        <w:rPr>
          <w:rFonts w:ascii="Times New Roman" w:hAnsi="Times New Roman" w:cs="Times New Roman"/>
          <w:noProof/>
          <w:sz w:val="24"/>
          <w:szCs w:val="24"/>
        </w:rPr>
        <w:t>ation</w:t>
      </w:r>
      <w:r w:rsidR="00C9682E" w:rsidRPr="00C43A73">
        <w:rPr>
          <w:rFonts w:ascii="Times New Roman" w:hAnsi="Times New Roman" w:cs="Times New Roman"/>
          <w:noProof/>
          <w:sz w:val="24"/>
          <w:szCs w:val="24"/>
        </w:rPr>
        <w:t xml:space="preserve"> with the ESCB</w:t>
      </w:r>
      <w:r w:rsidR="004C342D">
        <w:rPr>
          <w:rFonts w:ascii="Times New Roman" w:hAnsi="Times New Roman" w:cs="Times New Roman"/>
          <w:noProof/>
          <w:sz w:val="24"/>
          <w:szCs w:val="24"/>
        </w:rPr>
        <w:t xml:space="preserve"> </w:t>
      </w:r>
      <w:r w:rsidR="004C043C">
        <w:rPr>
          <w:rFonts w:ascii="Times New Roman" w:hAnsi="Times New Roman" w:cs="Times New Roman"/>
          <w:noProof/>
          <w:sz w:val="24"/>
          <w:szCs w:val="24"/>
        </w:rPr>
        <w:t>to ensure the broadest institutional involvement possible. The related standards will be developed and adopted after an open public consultation has taken place and the potential related costs and benefits have been analysed, as required under, for example, the ESMA Regulation</w:t>
      </w:r>
      <w:r w:rsidR="004C043C">
        <w:rPr>
          <w:rStyle w:val="FootnoteReference"/>
          <w:rFonts w:ascii="Times New Roman" w:hAnsi="Times New Roman" w:cs="Times New Roman"/>
          <w:noProof/>
          <w:sz w:val="24"/>
          <w:szCs w:val="24"/>
        </w:rPr>
        <w:footnoteReference w:id="203"/>
      </w:r>
      <w:r w:rsidRPr="002661A8">
        <w:rPr>
          <w:rFonts w:ascii="Times New Roman" w:hAnsi="Times New Roman" w:cs="Times New Roman"/>
          <w:noProof/>
          <w:sz w:val="24"/>
          <w:szCs w:val="24"/>
        </w:rPr>
        <w:t xml:space="preserve">.Lastly, the analysis faces significant difficulties to assess quantitatively the benefits that arise in terms of financial stability. While a qualitative assessment is possible in terms of aspects such as supervisors’ tools, monitoring ability and powers, it is not possible to convert this into a cost saving figure. The envisaged amendments will address mainly tail risks (e.g. CCP default) which, while clearly present, </w:t>
      </w:r>
      <w:r w:rsidR="00DB2001" w:rsidRPr="002661A8">
        <w:rPr>
          <w:rFonts w:ascii="Times New Roman" w:hAnsi="Times New Roman" w:cs="Times New Roman"/>
          <w:noProof/>
          <w:sz w:val="24"/>
          <w:szCs w:val="24"/>
        </w:rPr>
        <w:t xml:space="preserve">cannot be estimated with any reasonably degree of accuracy. </w:t>
      </w:r>
    </w:p>
    <w:p w14:paraId="7904AAD4" w14:textId="512E0F57" w:rsidR="005A63CC" w:rsidRPr="002661A8" w:rsidRDefault="005A63CC" w:rsidP="002757B1">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This, in combination with a lack of data, makes the meaningful estimation on the effects of the presented options difficult to provide and qualitative information was used and presented to make the case for the presented preferred options. While the Commission does expect these benefits to materialise, these will also depend on future business decisions taken by the respective CCPs, for example to what extent they extend the services they offer.</w:t>
      </w:r>
    </w:p>
    <w:p w14:paraId="71D82DD1" w14:textId="77777777" w:rsidR="006B087E" w:rsidRPr="002661A8" w:rsidRDefault="006B087E" w:rsidP="00294A2C">
      <w:pPr>
        <w:jc w:val="both"/>
        <w:rPr>
          <w:noProof/>
          <w:sz w:val="24"/>
          <w:szCs w:val="24"/>
        </w:rPr>
        <w:sectPr w:rsidR="006B087E" w:rsidRPr="002661A8" w:rsidSect="00DA4586">
          <w:headerReference w:type="even" r:id="rId32"/>
          <w:headerReference w:type="default" r:id="rId33"/>
          <w:footerReference w:type="even" r:id="rId34"/>
          <w:footerReference w:type="default" r:id="rId35"/>
          <w:headerReference w:type="first" r:id="rId36"/>
          <w:footerReference w:type="first" r:id="rId37"/>
          <w:pgSz w:w="11906" w:h="16838"/>
          <w:pgMar w:top="1020" w:right="1701" w:bottom="1020" w:left="1587" w:header="601" w:footer="1077" w:gutter="0"/>
          <w:pgNumType w:start="1"/>
          <w:cols w:space="720"/>
          <w:docGrid w:linePitch="299"/>
        </w:sectPr>
      </w:pPr>
    </w:p>
    <w:p w14:paraId="382C3ED8" w14:textId="75D7D22D" w:rsidR="0056545C" w:rsidRPr="002661A8" w:rsidRDefault="3FA542DF" w:rsidP="00701ABD">
      <w:pPr>
        <w:pStyle w:val="Heading1"/>
        <w:jc w:val="center"/>
        <w:rPr>
          <w:noProof/>
          <w:szCs w:val="24"/>
        </w:rPr>
      </w:pPr>
      <w:bookmarkStart w:id="1776" w:name="_Toc103337555"/>
      <w:bookmarkStart w:id="1777" w:name="_Toc106981788"/>
      <w:bookmarkStart w:id="1778" w:name="_Toc107493931"/>
      <w:bookmarkStart w:id="1779" w:name="_Toc107497967"/>
      <w:bookmarkStart w:id="1780" w:name="_Toc107503520"/>
      <w:bookmarkStart w:id="1781" w:name="_Toc107505513"/>
      <w:bookmarkStart w:id="1782" w:name="_Toc107838989"/>
      <w:bookmarkStart w:id="1783" w:name="_Toc107849321"/>
      <w:bookmarkStart w:id="1784" w:name="_Toc108539885"/>
      <w:bookmarkStart w:id="1785" w:name="_Toc109057460"/>
      <w:bookmarkStart w:id="1786" w:name="_Toc109120826"/>
      <w:bookmarkStart w:id="1787" w:name="_Toc109122422"/>
      <w:bookmarkStart w:id="1788" w:name="_Toc109133159"/>
      <w:bookmarkStart w:id="1789" w:name="_Toc120291695"/>
      <w:r w:rsidRPr="002661A8">
        <w:rPr>
          <w:noProof/>
        </w:rPr>
        <w:t xml:space="preserve">Annex 5: </w:t>
      </w:r>
      <w:bookmarkEnd w:id="1776"/>
      <w:r w:rsidR="00E43776" w:rsidRPr="002661A8">
        <w:rPr>
          <w:noProof/>
          <w:szCs w:val="24"/>
        </w:rPr>
        <w:t>Tables</w:t>
      </w:r>
      <w:r w:rsidR="00D21C67" w:rsidRPr="002661A8">
        <w:rPr>
          <w:noProof/>
          <w:szCs w:val="24"/>
        </w:rPr>
        <w:t xml:space="preserve"> and </w:t>
      </w:r>
      <w:bookmarkEnd w:id="1777"/>
      <w:bookmarkEnd w:id="1778"/>
      <w:bookmarkEnd w:id="1779"/>
      <w:bookmarkEnd w:id="1780"/>
      <w:bookmarkEnd w:id="1781"/>
      <w:bookmarkEnd w:id="1782"/>
      <w:bookmarkEnd w:id="1783"/>
      <w:r w:rsidR="00E43776" w:rsidRPr="002661A8">
        <w:rPr>
          <w:noProof/>
          <w:szCs w:val="24"/>
        </w:rPr>
        <w:t>figures</w:t>
      </w:r>
      <w:bookmarkEnd w:id="1784"/>
      <w:bookmarkEnd w:id="1785"/>
      <w:bookmarkEnd w:id="1786"/>
      <w:bookmarkEnd w:id="1787"/>
      <w:bookmarkEnd w:id="1788"/>
      <w:bookmarkEnd w:id="1789"/>
    </w:p>
    <w:p w14:paraId="2035BB7C" w14:textId="2D4F28E4" w:rsidR="00881F3A" w:rsidRPr="002661A8" w:rsidRDefault="00D21C67" w:rsidP="00D21C67">
      <w:pPr>
        <w:jc w:val="both"/>
        <w:rPr>
          <w:rFonts w:ascii="Times New Roman" w:hAnsi="Times New Roman" w:cs="Times New Roman"/>
          <w:b/>
          <w:noProof/>
          <w:sz w:val="24"/>
          <w:szCs w:val="24"/>
        </w:rPr>
      </w:pPr>
      <w:r w:rsidRPr="002661A8">
        <w:rPr>
          <w:rFonts w:ascii="Times New Roman" w:hAnsi="Times New Roman" w:cs="Times New Roman"/>
          <w:b/>
          <w:noProof/>
          <w:sz w:val="24"/>
          <w:szCs w:val="24"/>
        </w:rPr>
        <w:t>Table 1: List of authorised EU CCPs</w:t>
      </w:r>
      <w:r w:rsidR="00684605" w:rsidRPr="002661A8">
        <w:rPr>
          <w:rStyle w:val="FootnoteReference"/>
          <w:rFonts w:ascii="Times New Roman" w:hAnsi="Times New Roman" w:cs="Times New Roman"/>
          <w:b/>
          <w:noProof/>
          <w:sz w:val="24"/>
          <w:szCs w:val="24"/>
        </w:rPr>
        <w:footnoteReference w:id="204"/>
      </w:r>
    </w:p>
    <w:tbl>
      <w:tblPr>
        <w:tblStyle w:val="TableGrid"/>
        <w:tblW w:w="9039" w:type="dxa"/>
        <w:tblLook w:val="04A0" w:firstRow="1" w:lastRow="0" w:firstColumn="1" w:lastColumn="0" w:noHBand="0" w:noVBand="1"/>
      </w:tblPr>
      <w:tblGrid>
        <w:gridCol w:w="451"/>
        <w:gridCol w:w="2059"/>
        <w:gridCol w:w="1976"/>
        <w:gridCol w:w="1290"/>
        <w:gridCol w:w="1908"/>
        <w:gridCol w:w="1355"/>
      </w:tblGrid>
      <w:tr w:rsidR="00813553" w:rsidRPr="002661A8" w14:paraId="15AADCF6" w14:textId="77777777" w:rsidTr="00C46861">
        <w:tc>
          <w:tcPr>
            <w:tcW w:w="442" w:type="dxa"/>
            <w:shd w:val="clear" w:color="auto" w:fill="C5D9F0"/>
          </w:tcPr>
          <w:p w14:paraId="6DA21496" w14:textId="69F0BEB1" w:rsidR="00813553" w:rsidRPr="002661A8" w:rsidRDefault="00813553" w:rsidP="00813553">
            <w:pPr>
              <w:jc w:val="both"/>
              <w:rPr>
                <w:b/>
                <w:noProof/>
              </w:rPr>
            </w:pPr>
            <w:r w:rsidRPr="002661A8">
              <w:rPr>
                <w:rFonts w:eastAsia="Arial"/>
                <w:noProof/>
                <w:spacing w:val="-5"/>
              </w:rPr>
              <w:t>No</w:t>
            </w:r>
          </w:p>
        </w:tc>
        <w:tc>
          <w:tcPr>
            <w:tcW w:w="2112" w:type="dxa"/>
            <w:shd w:val="clear" w:color="auto" w:fill="C5D9F0"/>
          </w:tcPr>
          <w:p w14:paraId="7DFCA67D" w14:textId="1E651526" w:rsidR="00813553" w:rsidRPr="002661A8" w:rsidRDefault="00813553" w:rsidP="00813553">
            <w:pPr>
              <w:jc w:val="both"/>
              <w:rPr>
                <w:b/>
                <w:noProof/>
              </w:rPr>
            </w:pPr>
            <w:r w:rsidRPr="002661A8">
              <w:rPr>
                <w:rFonts w:eastAsia="Arial"/>
                <w:noProof/>
              </w:rPr>
              <w:t>Name</w:t>
            </w:r>
            <w:r w:rsidRPr="002661A8">
              <w:rPr>
                <w:rFonts w:eastAsia="Arial"/>
                <w:noProof/>
                <w:spacing w:val="-4"/>
              </w:rPr>
              <w:t xml:space="preserve"> </w:t>
            </w:r>
            <w:r w:rsidRPr="002661A8">
              <w:rPr>
                <w:rFonts w:eastAsia="Arial"/>
                <w:noProof/>
              </w:rPr>
              <w:t>of</w:t>
            </w:r>
            <w:r w:rsidRPr="002661A8">
              <w:rPr>
                <w:rFonts w:eastAsia="Arial"/>
                <w:noProof/>
                <w:spacing w:val="-4"/>
              </w:rPr>
              <w:t xml:space="preserve"> </w:t>
            </w:r>
            <w:r w:rsidRPr="002661A8">
              <w:rPr>
                <w:rFonts w:eastAsia="Arial"/>
                <w:noProof/>
              </w:rPr>
              <w:t>the</w:t>
            </w:r>
            <w:r w:rsidRPr="002661A8">
              <w:rPr>
                <w:rFonts w:eastAsia="Arial"/>
                <w:noProof/>
                <w:spacing w:val="-6"/>
              </w:rPr>
              <w:t xml:space="preserve"> </w:t>
            </w:r>
            <w:r w:rsidRPr="002661A8">
              <w:rPr>
                <w:rFonts w:eastAsia="Arial"/>
                <w:noProof/>
                <w:spacing w:val="-5"/>
              </w:rPr>
              <w:t>CCP</w:t>
            </w:r>
          </w:p>
        </w:tc>
        <w:tc>
          <w:tcPr>
            <w:tcW w:w="1992" w:type="dxa"/>
            <w:shd w:val="clear" w:color="auto" w:fill="C5D9F0"/>
          </w:tcPr>
          <w:p w14:paraId="608C0E1B" w14:textId="5901643C" w:rsidR="00813553" w:rsidRPr="002661A8" w:rsidRDefault="00813553" w:rsidP="00813553">
            <w:pPr>
              <w:jc w:val="both"/>
              <w:rPr>
                <w:b/>
                <w:noProof/>
              </w:rPr>
            </w:pPr>
            <w:r w:rsidRPr="002661A8">
              <w:rPr>
                <w:rFonts w:eastAsia="Arial"/>
                <w:noProof/>
              </w:rPr>
              <w:t>Identification</w:t>
            </w:r>
            <w:r w:rsidRPr="002661A8">
              <w:rPr>
                <w:rFonts w:eastAsia="Arial"/>
                <w:noProof/>
                <w:spacing w:val="-13"/>
              </w:rPr>
              <w:t xml:space="preserve"> </w:t>
            </w:r>
            <w:r w:rsidRPr="002661A8">
              <w:rPr>
                <w:rFonts w:eastAsia="Arial"/>
                <w:noProof/>
              </w:rPr>
              <w:t>Code of CCP (LEI)</w:t>
            </w:r>
          </w:p>
        </w:tc>
        <w:tc>
          <w:tcPr>
            <w:tcW w:w="1245" w:type="dxa"/>
            <w:shd w:val="clear" w:color="auto" w:fill="C5D9F0"/>
          </w:tcPr>
          <w:p w14:paraId="78061605" w14:textId="63D3C34B" w:rsidR="00813553" w:rsidRPr="002661A8" w:rsidRDefault="00813553" w:rsidP="00813553">
            <w:pPr>
              <w:jc w:val="both"/>
              <w:rPr>
                <w:b/>
                <w:noProof/>
              </w:rPr>
            </w:pPr>
            <w:r w:rsidRPr="002661A8">
              <w:rPr>
                <w:rFonts w:eastAsia="Arial"/>
                <w:noProof/>
              </w:rPr>
              <w:t xml:space="preserve">Country of </w:t>
            </w:r>
            <w:r w:rsidRPr="002661A8">
              <w:rPr>
                <w:rFonts w:eastAsia="Arial"/>
                <w:noProof/>
                <w:spacing w:val="-2"/>
              </w:rPr>
              <w:t>establishment</w:t>
            </w:r>
          </w:p>
        </w:tc>
        <w:tc>
          <w:tcPr>
            <w:tcW w:w="1837" w:type="dxa"/>
            <w:shd w:val="clear" w:color="auto" w:fill="C5D9F0"/>
          </w:tcPr>
          <w:p w14:paraId="1C87B375" w14:textId="23FBCE0F" w:rsidR="00813553" w:rsidRPr="002661A8" w:rsidRDefault="00813553" w:rsidP="00C46861">
            <w:pPr>
              <w:jc w:val="both"/>
              <w:rPr>
                <w:b/>
                <w:noProof/>
              </w:rPr>
            </w:pPr>
            <w:r w:rsidRPr="002661A8">
              <w:rPr>
                <w:rFonts w:eastAsia="Arial"/>
                <w:noProof/>
              </w:rPr>
              <w:t>Competent</w:t>
            </w:r>
            <w:r w:rsidRPr="002661A8">
              <w:rPr>
                <w:rFonts w:eastAsia="Arial"/>
                <w:noProof/>
                <w:spacing w:val="-15"/>
              </w:rPr>
              <w:t xml:space="preserve"> </w:t>
            </w:r>
            <w:r w:rsidRPr="002661A8">
              <w:rPr>
                <w:rFonts w:eastAsia="Arial"/>
                <w:noProof/>
              </w:rPr>
              <w:t>authority</w:t>
            </w:r>
            <w:r w:rsidRPr="002661A8">
              <w:rPr>
                <w:rFonts w:eastAsia="Arial"/>
                <w:noProof/>
                <w:spacing w:val="-12"/>
              </w:rPr>
              <w:t xml:space="preserve"> </w:t>
            </w:r>
          </w:p>
        </w:tc>
        <w:tc>
          <w:tcPr>
            <w:tcW w:w="1206" w:type="dxa"/>
            <w:shd w:val="clear" w:color="auto" w:fill="C5D9F0"/>
          </w:tcPr>
          <w:p w14:paraId="1CFC49E0" w14:textId="442FA6CE" w:rsidR="00813553" w:rsidRPr="002661A8" w:rsidRDefault="00813553" w:rsidP="00813553">
            <w:pPr>
              <w:jc w:val="both"/>
              <w:rPr>
                <w:b/>
                <w:noProof/>
              </w:rPr>
            </w:pPr>
            <w:r w:rsidRPr="002661A8">
              <w:rPr>
                <w:rFonts w:eastAsia="Arial"/>
                <w:noProof/>
              </w:rPr>
              <w:t>Date</w:t>
            </w:r>
            <w:r w:rsidRPr="002661A8">
              <w:rPr>
                <w:rFonts w:eastAsia="Arial"/>
                <w:noProof/>
                <w:spacing w:val="-15"/>
              </w:rPr>
              <w:t xml:space="preserve"> </w:t>
            </w:r>
            <w:r w:rsidRPr="002661A8">
              <w:rPr>
                <w:rFonts w:eastAsia="Arial"/>
                <w:noProof/>
              </w:rPr>
              <w:t>of</w:t>
            </w:r>
            <w:r w:rsidRPr="002661A8">
              <w:rPr>
                <w:rFonts w:eastAsia="Arial"/>
                <w:noProof/>
                <w:spacing w:val="-12"/>
              </w:rPr>
              <w:t xml:space="preserve"> </w:t>
            </w:r>
            <w:r w:rsidRPr="002661A8">
              <w:rPr>
                <w:rFonts w:eastAsia="Arial"/>
                <w:noProof/>
              </w:rPr>
              <w:t xml:space="preserve">initial </w:t>
            </w:r>
            <w:r w:rsidRPr="002661A8">
              <w:rPr>
                <w:rFonts w:eastAsia="Arial"/>
                <w:noProof/>
                <w:spacing w:val="-2"/>
              </w:rPr>
              <w:t>authorisation</w:t>
            </w:r>
          </w:p>
        </w:tc>
      </w:tr>
      <w:tr w:rsidR="00813553" w:rsidRPr="002661A8" w14:paraId="65B488F4" w14:textId="77777777" w:rsidTr="00C46861">
        <w:tc>
          <w:tcPr>
            <w:tcW w:w="442" w:type="dxa"/>
            <w:shd w:val="clear" w:color="auto" w:fill="auto"/>
          </w:tcPr>
          <w:p w14:paraId="5DAA8427" w14:textId="77777777" w:rsidR="00813553" w:rsidRPr="002661A8" w:rsidRDefault="00813553" w:rsidP="00813553">
            <w:pPr>
              <w:widowControl w:val="0"/>
              <w:autoSpaceDE w:val="0"/>
              <w:autoSpaceDN w:val="0"/>
              <w:spacing w:before="1"/>
              <w:rPr>
                <w:rFonts w:eastAsia="Arial"/>
                <w:b/>
                <w:noProof/>
              </w:rPr>
            </w:pPr>
          </w:p>
          <w:p w14:paraId="56EB80E3" w14:textId="719CC1F4" w:rsidR="00813553" w:rsidRPr="002661A8" w:rsidRDefault="00813553" w:rsidP="00813553">
            <w:pPr>
              <w:jc w:val="both"/>
              <w:rPr>
                <w:b/>
                <w:noProof/>
              </w:rPr>
            </w:pPr>
            <w:r w:rsidRPr="002661A8">
              <w:rPr>
                <w:rFonts w:eastAsia="Arial"/>
                <w:noProof/>
                <w:w w:val="99"/>
              </w:rPr>
              <w:t>1</w:t>
            </w:r>
          </w:p>
        </w:tc>
        <w:tc>
          <w:tcPr>
            <w:tcW w:w="2112" w:type="dxa"/>
            <w:shd w:val="clear" w:color="auto" w:fill="auto"/>
          </w:tcPr>
          <w:p w14:paraId="23BC7529" w14:textId="6D92198B" w:rsidR="00813553" w:rsidRPr="002661A8" w:rsidRDefault="00813553" w:rsidP="009015C1">
            <w:pPr>
              <w:rPr>
                <w:b/>
                <w:noProof/>
              </w:rPr>
            </w:pPr>
            <w:r w:rsidRPr="002661A8">
              <w:rPr>
                <w:rFonts w:eastAsia="Arial"/>
                <w:noProof/>
              </w:rPr>
              <w:t>Nasdaq</w:t>
            </w:r>
            <w:r w:rsidRPr="002661A8">
              <w:rPr>
                <w:rFonts w:eastAsia="Arial"/>
                <w:noProof/>
                <w:spacing w:val="-7"/>
              </w:rPr>
              <w:t xml:space="preserve"> </w:t>
            </w:r>
            <w:r w:rsidRPr="002661A8">
              <w:rPr>
                <w:rFonts w:eastAsia="Arial"/>
                <w:noProof/>
              </w:rPr>
              <w:t>OMX</w:t>
            </w:r>
            <w:r w:rsidRPr="002661A8">
              <w:rPr>
                <w:rFonts w:eastAsia="Arial"/>
                <w:noProof/>
                <w:spacing w:val="-3"/>
              </w:rPr>
              <w:t xml:space="preserve"> </w:t>
            </w:r>
            <w:r w:rsidRPr="002661A8">
              <w:rPr>
                <w:rFonts w:eastAsia="Arial"/>
                <w:noProof/>
              </w:rPr>
              <w:t>Clearing</w:t>
            </w:r>
            <w:r w:rsidRPr="002661A8">
              <w:rPr>
                <w:rFonts w:eastAsia="Arial"/>
                <w:noProof/>
                <w:spacing w:val="-4"/>
              </w:rPr>
              <w:t xml:space="preserve"> </w:t>
            </w:r>
            <w:r w:rsidRPr="002661A8">
              <w:rPr>
                <w:rFonts w:eastAsia="Arial"/>
                <w:noProof/>
                <w:spacing w:val="-5"/>
              </w:rPr>
              <w:t>AB</w:t>
            </w:r>
          </w:p>
        </w:tc>
        <w:tc>
          <w:tcPr>
            <w:tcW w:w="1992" w:type="dxa"/>
            <w:shd w:val="clear" w:color="auto" w:fill="auto"/>
          </w:tcPr>
          <w:p w14:paraId="0FE76091" w14:textId="6FF3F83E" w:rsidR="00813553" w:rsidRPr="002661A8" w:rsidRDefault="00813553" w:rsidP="00813553">
            <w:pPr>
              <w:jc w:val="both"/>
              <w:rPr>
                <w:b/>
                <w:noProof/>
              </w:rPr>
            </w:pPr>
            <w:r w:rsidRPr="002661A8">
              <w:rPr>
                <w:rFonts w:eastAsia="Arial"/>
                <w:noProof/>
                <w:spacing w:val="-2"/>
              </w:rPr>
              <w:t>54930002A8LR1AA UCU78</w:t>
            </w:r>
          </w:p>
        </w:tc>
        <w:tc>
          <w:tcPr>
            <w:tcW w:w="1245" w:type="dxa"/>
            <w:shd w:val="clear" w:color="auto" w:fill="auto"/>
          </w:tcPr>
          <w:p w14:paraId="3A7056C5" w14:textId="58337FC2" w:rsidR="00813553" w:rsidRPr="002661A8" w:rsidRDefault="00813553" w:rsidP="00813553">
            <w:pPr>
              <w:jc w:val="both"/>
              <w:rPr>
                <w:b/>
                <w:noProof/>
              </w:rPr>
            </w:pPr>
            <w:r w:rsidRPr="002661A8">
              <w:rPr>
                <w:rFonts w:eastAsia="Arial"/>
                <w:noProof/>
                <w:spacing w:val="-2"/>
              </w:rPr>
              <w:t>Sweden</w:t>
            </w:r>
          </w:p>
        </w:tc>
        <w:tc>
          <w:tcPr>
            <w:tcW w:w="1837" w:type="dxa"/>
            <w:shd w:val="clear" w:color="auto" w:fill="auto"/>
          </w:tcPr>
          <w:p w14:paraId="02BD90F9" w14:textId="1489AE88" w:rsidR="00813553" w:rsidRPr="002661A8" w:rsidRDefault="00813553" w:rsidP="00813553">
            <w:pPr>
              <w:jc w:val="both"/>
              <w:rPr>
                <w:b/>
                <w:noProof/>
              </w:rPr>
            </w:pPr>
            <w:r w:rsidRPr="002661A8">
              <w:rPr>
                <w:rFonts w:eastAsia="Arial"/>
                <w:noProof/>
                <w:spacing w:val="-2"/>
              </w:rPr>
              <w:t>Finansinspektionen</w:t>
            </w:r>
          </w:p>
        </w:tc>
        <w:tc>
          <w:tcPr>
            <w:tcW w:w="1206" w:type="dxa"/>
            <w:shd w:val="clear" w:color="auto" w:fill="auto"/>
          </w:tcPr>
          <w:p w14:paraId="3D6F45EC" w14:textId="6B3E879C" w:rsidR="00813553" w:rsidRPr="002661A8" w:rsidRDefault="00813553" w:rsidP="00813553">
            <w:pPr>
              <w:jc w:val="both"/>
              <w:rPr>
                <w:b/>
                <w:noProof/>
              </w:rPr>
            </w:pPr>
            <w:r w:rsidRPr="002661A8">
              <w:rPr>
                <w:rFonts w:eastAsia="Arial"/>
                <w:noProof/>
              </w:rPr>
              <w:t>18</w:t>
            </w:r>
            <w:r w:rsidRPr="002661A8">
              <w:rPr>
                <w:rFonts w:eastAsia="Arial"/>
                <w:noProof/>
                <w:spacing w:val="-4"/>
              </w:rPr>
              <w:t xml:space="preserve"> </w:t>
            </w:r>
            <w:r w:rsidRPr="002661A8">
              <w:rPr>
                <w:rFonts w:eastAsia="Arial"/>
                <w:noProof/>
              </w:rPr>
              <w:t>March</w:t>
            </w:r>
            <w:r w:rsidRPr="002661A8">
              <w:rPr>
                <w:rFonts w:eastAsia="Arial"/>
                <w:noProof/>
                <w:spacing w:val="-2"/>
              </w:rPr>
              <w:t xml:space="preserve"> </w:t>
            </w:r>
            <w:r w:rsidRPr="002661A8">
              <w:rPr>
                <w:rFonts w:eastAsia="Arial"/>
                <w:noProof/>
                <w:spacing w:val="-4"/>
              </w:rPr>
              <w:t>2014</w:t>
            </w:r>
          </w:p>
        </w:tc>
      </w:tr>
      <w:tr w:rsidR="00813553" w:rsidRPr="002661A8" w14:paraId="143DB12D" w14:textId="77777777" w:rsidTr="00C46861">
        <w:tc>
          <w:tcPr>
            <w:tcW w:w="442" w:type="dxa"/>
            <w:shd w:val="clear" w:color="auto" w:fill="D9D9D9" w:themeFill="background1" w:themeFillShade="D9"/>
          </w:tcPr>
          <w:p w14:paraId="5055EA7A" w14:textId="77777777" w:rsidR="00813553" w:rsidRPr="002661A8" w:rsidRDefault="00813553" w:rsidP="00813553">
            <w:pPr>
              <w:widowControl w:val="0"/>
              <w:autoSpaceDE w:val="0"/>
              <w:autoSpaceDN w:val="0"/>
              <w:spacing w:before="10"/>
              <w:rPr>
                <w:rFonts w:eastAsia="Arial"/>
                <w:b/>
                <w:noProof/>
              </w:rPr>
            </w:pPr>
          </w:p>
          <w:p w14:paraId="0016A3FB" w14:textId="0B112AE8" w:rsidR="00813553" w:rsidRPr="002661A8" w:rsidRDefault="00813553" w:rsidP="00813553">
            <w:pPr>
              <w:jc w:val="both"/>
              <w:rPr>
                <w:b/>
                <w:noProof/>
              </w:rPr>
            </w:pPr>
            <w:r w:rsidRPr="002661A8">
              <w:rPr>
                <w:rFonts w:eastAsia="Arial"/>
                <w:noProof/>
                <w:w w:val="99"/>
              </w:rPr>
              <w:t>2</w:t>
            </w:r>
          </w:p>
        </w:tc>
        <w:tc>
          <w:tcPr>
            <w:tcW w:w="2112" w:type="dxa"/>
            <w:shd w:val="clear" w:color="auto" w:fill="D9D9D9" w:themeFill="background1" w:themeFillShade="D9"/>
          </w:tcPr>
          <w:p w14:paraId="7F9D79B8" w14:textId="597C4135" w:rsidR="00813553" w:rsidRPr="002661A8" w:rsidRDefault="00813553" w:rsidP="009015C1">
            <w:pPr>
              <w:rPr>
                <w:b/>
                <w:noProof/>
              </w:rPr>
            </w:pPr>
            <w:r w:rsidRPr="002661A8">
              <w:rPr>
                <w:rFonts w:eastAsia="Arial"/>
                <w:noProof/>
              </w:rPr>
              <w:t>European</w:t>
            </w:r>
            <w:r w:rsidRPr="002661A8">
              <w:rPr>
                <w:rFonts w:eastAsia="Arial"/>
                <w:noProof/>
                <w:spacing w:val="-13"/>
              </w:rPr>
              <w:t xml:space="preserve"> </w:t>
            </w:r>
            <w:r w:rsidRPr="002661A8">
              <w:rPr>
                <w:rFonts w:eastAsia="Arial"/>
                <w:noProof/>
              </w:rPr>
              <w:t>Central Counterparty</w:t>
            </w:r>
            <w:r w:rsidRPr="002661A8">
              <w:rPr>
                <w:rFonts w:eastAsia="Arial"/>
                <w:noProof/>
                <w:spacing w:val="-3"/>
              </w:rPr>
              <w:t xml:space="preserve"> </w:t>
            </w:r>
            <w:r w:rsidRPr="002661A8">
              <w:rPr>
                <w:rFonts w:eastAsia="Arial"/>
                <w:noProof/>
                <w:spacing w:val="-4"/>
              </w:rPr>
              <w:t>N.V.</w:t>
            </w:r>
          </w:p>
        </w:tc>
        <w:tc>
          <w:tcPr>
            <w:tcW w:w="1992" w:type="dxa"/>
            <w:shd w:val="clear" w:color="auto" w:fill="D9D9D9" w:themeFill="background1" w:themeFillShade="D9"/>
          </w:tcPr>
          <w:p w14:paraId="5753881F" w14:textId="1DBABF8C" w:rsidR="00813553" w:rsidRPr="002661A8" w:rsidRDefault="00813553" w:rsidP="00813553">
            <w:pPr>
              <w:jc w:val="both"/>
              <w:rPr>
                <w:b/>
                <w:noProof/>
              </w:rPr>
            </w:pPr>
            <w:r w:rsidRPr="002661A8">
              <w:rPr>
                <w:rFonts w:eastAsia="Arial"/>
                <w:noProof/>
                <w:spacing w:val="-2"/>
              </w:rPr>
              <w:t>724500937F740MH CX307</w:t>
            </w:r>
          </w:p>
        </w:tc>
        <w:tc>
          <w:tcPr>
            <w:tcW w:w="1245" w:type="dxa"/>
            <w:shd w:val="clear" w:color="auto" w:fill="D9D9D9" w:themeFill="background1" w:themeFillShade="D9"/>
          </w:tcPr>
          <w:p w14:paraId="3A99F3B0" w14:textId="06E73D57" w:rsidR="00813553" w:rsidRPr="002661A8" w:rsidRDefault="00813553" w:rsidP="00813553">
            <w:pPr>
              <w:jc w:val="both"/>
              <w:rPr>
                <w:b/>
                <w:noProof/>
              </w:rPr>
            </w:pPr>
            <w:r w:rsidRPr="002661A8">
              <w:rPr>
                <w:rFonts w:eastAsia="Arial"/>
                <w:noProof/>
                <w:spacing w:val="-2"/>
              </w:rPr>
              <w:t>Netherlands</w:t>
            </w:r>
          </w:p>
        </w:tc>
        <w:tc>
          <w:tcPr>
            <w:tcW w:w="1837" w:type="dxa"/>
            <w:shd w:val="clear" w:color="auto" w:fill="D9D9D9" w:themeFill="background1" w:themeFillShade="D9"/>
          </w:tcPr>
          <w:p w14:paraId="3F268C64" w14:textId="4C184189" w:rsidR="00813553" w:rsidRPr="002661A8" w:rsidRDefault="00813553" w:rsidP="00813553">
            <w:pPr>
              <w:jc w:val="both"/>
              <w:rPr>
                <w:b/>
                <w:noProof/>
              </w:rPr>
            </w:pPr>
            <w:r w:rsidRPr="002661A8">
              <w:rPr>
                <w:rFonts w:eastAsia="Arial"/>
                <w:noProof/>
              </w:rPr>
              <w:t>De</w:t>
            </w:r>
            <w:r w:rsidRPr="002661A8">
              <w:rPr>
                <w:rFonts w:eastAsia="Arial"/>
                <w:noProof/>
                <w:spacing w:val="-13"/>
              </w:rPr>
              <w:t xml:space="preserve"> </w:t>
            </w:r>
            <w:r w:rsidRPr="002661A8">
              <w:rPr>
                <w:rFonts w:eastAsia="Arial"/>
                <w:noProof/>
              </w:rPr>
              <w:t>Nederlandsche Bank (DNB)</w:t>
            </w:r>
          </w:p>
        </w:tc>
        <w:tc>
          <w:tcPr>
            <w:tcW w:w="1206" w:type="dxa"/>
            <w:shd w:val="clear" w:color="auto" w:fill="D9D9D9" w:themeFill="background1" w:themeFillShade="D9"/>
          </w:tcPr>
          <w:p w14:paraId="2BBE377C" w14:textId="77777777" w:rsidR="00813553" w:rsidRPr="002661A8" w:rsidRDefault="00813553" w:rsidP="00813553">
            <w:pPr>
              <w:widowControl w:val="0"/>
              <w:autoSpaceDE w:val="0"/>
              <w:autoSpaceDN w:val="0"/>
              <w:spacing w:before="10"/>
              <w:rPr>
                <w:rFonts w:eastAsia="Arial"/>
                <w:b/>
                <w:noProof/>
              </w:rPr>
            </w:pPr>
          </w:p>
          <w:p w14:paraId="44E4AFEB" w14:textId="3B635535" w:rsidR="00813553" w:rsidRPr="002661A8" w:rsidRDefault="00813553" w:rsidP="00813553">
            <w:pPr>
              <w:jc w:val="both"/>
              <w:rPr>
                <w:b/>
                <w:noProof/>
              </w:rPr>
            </w:pPr>
            <w:r w:rsidRPr="002661A8">
              <w:rPr>
                <w:rFonts w:eastAsia="Arial"/>
                <w:noProof/>
              </w:rPr>
              <w:t>1</w:t>
            </w:r>
            <w:r w:rsidRPr="002661A8">
              <w:rPr>
                <w:rFonts w:eastAsia="Arial"/>
                <w:noProof/>
                <w:spacing w:val="-3"/>
              </w:rPr>
              <w:t xml:space="preserve"> </w:t>
            </w:r>
            <w:r w:rsidRPr="002661A8">
              <w:rPr>
                <w:rFonts w:eastAsia="Arial"/>
                <w:noProof/>
              </w:rPr>
              <w:t>April</w:t>
            </w:r>
            <w:r w:rsidRPr="002661A8">
              <w:rPr>
                <w:rFonts w:eastAsia="Arial"/>
                <w:noProof/>
                <w:spacing w:val="-2"/>
              </w:rPr>
              <w:t xml:space="preserve"> </w:t>
            </w:r>
            <w:r w:rsidRPr="002661A8">
              <w:rPr>
                <w:rFonts w:eastAsia="Arial"/>
                <w:noProof/>
                <w:spacing w:val="-4"/>
              </w:rPr>
              <w:t>2014</w:t>
            </w:r>
          </w:p>
        </w:tc>
      </w:tr>
      <w:tr w:rsidR="00813553" w:rsidRPr="002661A8" w14:paraId="57CD07C1" w14:textId="77777777" w:rsidTr="00C46861">
        <w:tc>
          <w:tcPr>
            <w:tcW w:w="442" w:type="dxa"/>
            <w:shd w:val="clear" w:color="auto" w:fill="auto"/>
          </w:tcPr>
          <w:p w14:paraId="6CC89ED4" w14:textId="77777777" w:rsidR="00813553" w:rsidRPr="002661A8" w:rsidRDefault="00813553" w:rsidP="00813553">
            <w:pPr>
              <w:widowControl w:val="0"/>
              <w:autoSpaceDE w:val="0"/>
              <w:autoSpaceDN w:val="0"/>
              <w:spacing w:before="10"/>
              <w:rPr>
                <w:rFonts w:eastAsia="Arial"/>
                <w:b/>
                <w:noProof/>
              </w:rPr>
            </w:pPr>
          </w:p>
          <w:p w14:paraId="1DC2C6EB" w14:textId="67821D47" w:rsidR="00813553" w:rsidRPr="002661A8" w:rsidRDefault="00813553" w:rsidP="00813553">
            <w:pPr>
              <w:jc w:val="both"/>
              <w:rPr>
                <w:b/>
                <w:noProof/>
              </w:rPr>
            </w:pPr>
            <w:r w:rsidRPr="002661A8">
              <w:rPr>
                <w:rFonts w:eastAsia="Arial"/>
                <w:noProof/>
                <w:w w:val="99"/>
              </w:rPr>
              <w:t>3</w:t>
            </w:r>
          </w:p>
        </w:tc>
        <w:tc>
          <w:tcPr>
            <w:tcW w:w="2112" w:type="dxa"/>
            <w:shd w:val="clear" w:color="auto" w:fill="auto"/>
          </w:tcPr>
          <w:p w14:paraId="5455E85B" w14:textId="2F0D9100" w:rsidR="00813553" w:rsidRPr="002661A8" w:rsidRDefault="00813553" w:rsidP="009015C1">
            <w:pPr>
              <w:rPr>
                <w:b/>
                <w:noProof/>
              </w:rPr>
            </w:pPr>
            <w:r w:rsidRPr="002661A8">
              <w:rPr>
                <w:rFonts w:eastAsia="Arial"/>
                <w:noProof/>
                <w:spacing w:val="-2"/>
              </w:rPr>
              <w:t>KDPW_CCP</w:t>
            </w:r>
          </w:p>
        </w:tc>
        <w:tc>
          <w:tcPr>
            <w:tcW w:w="1992" w:type="dxa"/>
            <w:shd w:val="clear" w:color="auto" w:fill="auto"/>
          </w:tcPr>
          <w:p w14:paraId="7EBFD3BB" w14:textId="4E0B92D4" w:rsidR="00813553" w:rsidRPr="002661A8" w:rsidRDefault="00813553" w:rsidP="00813553">
            <w:pPr>
              <w:jc w:val="both"/>
              <w:rPr>
                <w:b/>
                <w:noProof/>
              </w:rPr>
            </w:pPr>
            <w:r w:rsidRPr="002661A8">
              <w:rPr>
                <w:rFonts w:eastAsia="Arial"/>
                <w:noProof/>
                <w:spacing w:val="-2"/>
              </w:rPr>
              <w:t>2594000K576D5CQ XI987</w:t>
            </w:r>
          </w:p>
        </w:tc>
        <w:tc>
          <w:tcPr>
            <w:tcW w:w="1245" w:type="dxa"/>
            <w:shd w:val="clear" w:color="auto" w:fill="auto"/>
          </w:tcPr>
          <w:p w14:paraId="202AA39F" w14:textId="716A7096" w:rsidR="00813553" w:rsidRPr="002661A8" w:rsidRDefault="00813553" w:rsidP="00813553">
            <w:pPr>
              <w:jc w:val="both"/>
              <w:rPr>
                <w:b/>
                <w:noProof/>
              </w:rPr>
            </w:pPr>
            <w:r w:rsidRPr="002661A8">
              <w:rPr>
                <w:rFonts w:eastAsia="Arial"/>
                <w:noProof/>
                <w:spacing w:val="-2"/>
              </w:rPr>
              <w:t>Poland</w:t>
            </w:r>
          </w:p>
        </w:tc>
        <w:tc>
          <w:tcPr>
            <w:tcW w:w="1837" w:type="dxa"/>
            <w:shd w:val="clear" w:color="auto" w:fill="auto"/>
          </w:tcPr>
          <w:p w14:paraId="1ED3D9D0" w14:textId="7E23B0E8" w:rsidR="00813553" w:rsidRPr="002661A8" w:rsidRDefault="00813553" w:rsidP="00813553">
            <w:pPr>
              <w:jc w:val="both"/>
              <w:rPr>
                <w:b/>
                <w:noProof/>
              </w:rPr>
            </w:pPr>
            <w:r w:rsidRPr="002661A8">
              <w:rPr>
                <w:rFonts w:eastAsia="Arial"/>
                <w:noProof/>
              </w:rPr>
              <w:t>Komisja Nadzoru Finansowego</w:t>
            </w:r>
            <w:r w:rsidRPr="002661A8">
              <w:rPr>
                <w:rFonts w:eastAsia="Arial"/>
                <w:noProof/>
                <w:spacing w:val="-13"/>
              </w:rPr>
              <w:t xml:space="preserve"> </w:t>
            </w:r>
            <w:r w:rsidRPr="002661A8">
              <w:rPr>
                <w:rFonts w:eastAsia="Arial"/>
                <w:noProof/>
              </w:rPr>
              <w:t>(KNF)</w:t>
            </w:r>
          </w:p>
        </w:tc>
        <w:tc>
          <w:tcPr>
            <w:tcW w:w="1206" w:type="dxa"/>
            <w:shd w:val="clear" w:color="auto" w:fill="auto"/>
          </w:tcPr>
          <w:p w14:paraId="1967E7B5" w14:textId="77777777" w:rsidR="00813553" w:rsidRPr="002661A8" w:rsidRDefault="00813553" w:rsidP="00813553">
            <w:pPr>
              <w:widowControl w:val="0"/>
              <w:autoSpaceDE w:val="0"/>
              <w:autoSpaceDN w:val="0"/>
              <w:spacing w:before="10"/>
              <w:ind w:right="425"/>
              <w:rPr>
                <w:rFonts w:eastAsia="Arial"/>
                <w:b/>
                <w:noProof/>
              </w:rPr>
            </w:pPr>
          </w:p>
          <w:p w14:paraId="4057CC3E" w14:textId="4230BD08" w:rsidR="00813553" w:rsidRPr="002661A8" w:rsidRDefault="00813553" w:rsidP="00813553">
            <w:pPr>
              <w:jc w:val="both"/>
              <w:rPr>
                <w:b/>
                <w:noProof/>
              </w:rPr>
            </w:pPr>
            <w:r w:rsidRPr="002661A8">
              <w:rPr>
                <w:rFonts w:eastAsia="Arial"/>
                <w:noProof/>
              </w:rPr>
              <w:t>8</w:t>
            </w:r>
            <w:r w:rsidRPr="002661A8">
              <w:rPr>
                <w:rFonts w:eastAsia="Arial"/>
                <w:noProof/>
                <w:spacing w:val="-3"/>
              </w:rPr>
              <w:t xml:space="preserve"> </w:t>
            </w:r>
            <w:r w:rsidRPr="002661A8">
              <w:rPr>
                <w:rFonts w:eastAsia="Arial"/>
                <w:noProof/>
              </w:rPr>
              <w:t>April</w:t>
            </w:r>
            <w:r w:rsidRPr="002661A8">
              <w:rPr>
                <w:rFonts w:eastAsia="Arial"/>
                <w:noProof/>
                <w:spacing w:val="-2"/>
              </w:rPr>
              <w:t xml:space="preserve"> </w:t>
            </w:r>
            <w:r w:rsidRPr="002661A8">
              <w:rPr>
                <w:rFonts w:eastAsia="Arial"/>
                <w:noProof/>
                <w:spacing w:val="-4"/>
              </w:rPr>
              <w:t>2014</w:t>
            </w:r>
          </w:p>
        </w:tc>
      </w:tr>
      <w:tr w:rsidR="00813553" w:rsidRPr="002661A8" w14:paraId="62ADA5B1" w14:textId="77777777" w:rsidTr="00C46861">
        <w:tc>
          <w:tcPr>
            <w:tcW w:w="442" w:type="dxa"/>
            <w:shd w:val="clear" w:color="auto" w:fill="D9D9D9" w:themeFill="background1" w:themeFillShade="D9"/>
          </w:tcPr>
          <w:p w14:paraId="62D0B12C" w14:textId="77777777" w:rsidR="00813553" w:rsidRPr="002661A8" w:rsidRDefault="00813553" w:rsidP="00813553">
            <w:pPr>
              <w:widowControl w:val="0"/>
              <w:autoSpaceDE w:val="0"/>
              <w:autoSpaceDN w:val="0"/>
              <w:rPr>
                <w:rFonts w:eastAsia="Arial"/>
                <w:b/>
                <w:noProof/>
              </w:rPr>
            </w:pPr>
          </w:p>
          <w:p w14:paraId="42E9E569" w14:textId="7B29D9F2" w:rsidR="00813553" w:rsidRPr="002661A8" w:rsidRDefault="00813553" w:rsidP="00813553">
            <w:pPr>
              <w:jc w:val="both"/>
              <w:rPr>
                <w:b/>
                <w:noProof/>
              </w:rPr>
            </w:pPr>
            <w:r w:rsidRPr="002661A8">
              <w:rPr>
                <w:rFonts w:eastAsia="Arial"/>
                <w:noProof/>
                <w:w w:val="99"/>
              </w:rPr>
              <w:t>4</w:t>
            </w:r>
          </w:p>
        </w:tc>
        <w:tc>
          <w:tcPr>
            <w:tcW w:w="2112" w:type="dxa"/>
            <w:shd w:val="clear" w:color="auto" w:fill="D9D9D9" w:themeFill="background1" w:themeFillShade="D9"/>
          </w:tcPr>
          <w:p w14:paraId="2212C14B" w14:textId="190818F7" w:rsidR="00813553" w:rsidRPr="002661A8" w:rsidRDefault="00813553" w:rsidP="009015C1">
            <w:pPr>
              <w:rPr>
                <w:b/>
                <w:noProof/>
              </w:rPr>
            </w:pPr>
            <w:r w:rsidRPr="002661A8">
              <w:rPr>
                <w:rFonts w:eastAsia="Arial"/>
                <w:noProof/>
              </w:rPr>
              <w:t>Eurex</w:t>
            </w:r>
            <w:r w:rsidRPr="002661A8">
              <w:rPr>
                <w:rFonts w:eastAsia="Arial"/>
                <w:noProof/>
                <w:spacing w:val="-2"/>
              </w:rPr>
              <w:t xml:space="preserve"> </w:t>
            </w:r>
            <w:r w:rsidRPr="002661A8">
              <w:rPr>
                <w:rFonts w:eastAsia="Arial"/>
                <w:noProof/>
              </w:rPr>
              <w:t>Clearing</w:t>
            </w:r>
            <w:r w:rsidRPr="002661A8">
              <w:rPr>
                <w:rFonts w:eastAsia="Arial"/>
                <w:noProof/>
                <w:spacing w:val="-3"/>
              </w:rPr>
              <w:t xml:space="preserve"> </w:t>
            </w:r>
            <w:r w:rsidRPr="002661A8">
              <w:rPr>
                <w:rFonts w:eastAsia="Arial"/>
                <w:noProof/>
                <w:spacing w:val="-5"/>
              </w:rPr>
              <w:t>AG</w:t>
            </w:r>
          </w:p>
        </w:tc>
        <w:tc>
          <w:tcPr>
            <w:tcW w:w="1992" w:type="dxa"/>
            <w:shd w:val="clear" w:color="auto" w:fill="D9D9D9" w:themeFill="background1" w:themeFillShade="D9"/>
          </w:tcPr>
          <w:p w14:paraId="30E53720" w14:textId="77777777" w:rsidR="00813553" w:rsidRPr="002661A8" w:rsidRDefault="00813553" w:rsidP="00C46861">
            <w:pPr>
              <w:widowControl w:val="0"/>
              <w:autoSpaceDE w:val="0"/>
              <w:autoSpaceDN w:val="0"/>
              <w:spacing w:before="157"/>
              <w:ind w:right="123"/>
              <w:rPr>
                <w:rFonts w:eastAsia="Arial"/>
                <w:noProof/>
              </w:rPr>
            </w:pPr>
            <w:r w:rsidRPr="002661A8">
              <w:rPr>
                <w:rFonts w:eastAsia="Arial"/>
                <w:noProof/>
                <w:spacing w:val="-2"/>
              </w:rPr>
              <w:t>529900LN3S50JPU</w:t>
            </w:r>
          </w:p>
          <w:p w14:paraId="448E240D" w14:textId="64808989" w:rsidR="00813553" w:rsidRPr="002661A8" w:rsidRDefault="00813553" w:rsidP="00813553">
            <w:pPr>
              <w:jc w:val="both"/>
              <w:rPr>
                <w:b/>
                <w:noProof/>
              </w:rPr>
            </w:pPr>
            <w:r w:rsidRPr="002661A8">
              <w:rPr>
                <w:rFonts w:eastAsia="Arial"/>
                <w:noProof/>
                <w:spacing w:val="-2"/>
              </w:rPr>
              <w:t>47S06</w:t>
            </w:r>
          </w:p>
        </w:tc>
        <w:tc>
          <w:tcPr>
            <w:tcW w:w="1245" w:type="dxa"/>
            <w:shd w:val="clear" w:color="auto" w:fill="D9D9D9" w:themeFill="background1" w:themeFillShade="D9"/>
          </w:tcPr>
          <w:p w14:paraId="1C09DD58" w14:textId="100B373F" w:rsidR="00813553" w:rsidRPr="002661A8" w:rsidRDefault="00813553" w:rsidP="00813553">
            <w:pPr>
              <w:jc w:val="both"/>
              <w:rPr>
                <w:b/>
                <w:noProof/>
              </w:rPr>
            </w:pPr>
            <w:r w:rsidRPr="002661A8">
              <w:rPr>
                <w:rFonts w:eastAsia="Arial"/>
                <w:noProof/>
                <w:spacing w:val="-2"/>
              </w:rPr>
              <w:t>Germany</w:t>
            </w:r>
          </w:p>
        </w:tc>
        <w:tc>
          <w:tcPr>
            <w:tcW w:w="1837" w:type="dxa"/>
            <w:shd w:val="clear" w:color="auto" w:fill="D9D9D9" w:themeFill="background1" w:themeFillShade="D9"/>
          </w:tcPr>
          <w:p w14:paraId="417D2B8C" w14:textId="2EEA77E1" w:rsidR="00813553" w:rsidRPr="002661A8" w:rsidRDefault="00813553" w:rsidP="00813553">
            <w:pPr>
              <w:jc w:val="both"/>
              <w:rPr>
                <w:b/>
                <w:noProof/>
                <w:lang w:val="de-DE"/>
              </w:rPr>
            </w:pPr>
            <w:r w:rsidRPr="002661A8">
              <w:rPr>
                <w:rFonts w:eastAsia="Arial"/>
                <w:noProof/>
                <w:lang w:val="de-DE"/>
              </w:rPr>
              <w:t xml:space="preserve">Bundesanstalt für </w:t>
            </w:r>
            <w:r w:rsidRPr="002661A8">
              <w:rPr>
                <w:rFonts w:eastAsia="Arial"/>
                <w:noProof/>
                <w:spacing w:val="-2"/>
                <w:lang w:val="de-DE"/>
              </w:rPr>
              <w:t xml:space="preserve">Finanzdienstleistungs </w:t>
            </w:r>
            <w:r w:rsidRPr="002661A8">
              <w:rPr>
                <w:rFonts w:eastAsia="Arial"/>
                <w:noProof/>
                <w:lang w:val="de-DE"/>
              </w:rPr>
              <w:t>aufsicht (Bafin)</w:t>
            </w:r>
          </w:p>
        </w:tc>
        <w:tc>
          <w:tcPr>
            <w:tcW w:w="1206" w:type="dxa"/>
            <w:shd w:val="clear" w:color="auto" w:fill="D9D9D9" w:themeFill="background1" w:themeFillShade="D9"/>
          </w:tcPr>
          <w:p w14:paraId="79FC64A2" w14:textId="44F9BF51" w:rsidR="00813553" w:rsidRPr="002661A8" w:rsidRDefault="00813553" w:rsidP="00813553">
            <w:pPr>
              <w:jc w:val="both"/>
              <w:rPr>
                <w:b/>
                <w:noProof/>
              </w:rPr>
            </w:pPr>
            <w:r w:rsidRPr="002661A8">
              <w:rPr>
                <w:rFonts w:eastAsia="Arial"/>
                <w:noProof/>
              </w:rPr>
              <w:t>10</w:t>
            </w:r>
            <w:r w:rsidRPr="002661A8">
              <w:rPr>
                <w:rFonts w:eastAsia="Arial"/>
                <w:noProof/>
                <w:spacing w:val="-4"/>
              </w:rPr>
              <w:t xml:space="preserve"> </w:t>
            </w:r>
            <w:r w:rsidRPr="002661A8">
              <w:rPr>
                <w:rFonts w:eastAsia="Arial"/>
                <w:noProof/>
              </w:rPr>
              <w:t>April</w:t>
            </w:r>
            <w:r w:rsidRPr="002661A8">
              <w:rPr>
                <w:rFonts w:eastAsia="Arial"/>
                <w:noProof/>
                <w:spacing w:val="-2"/>
              </w:rPr>
              <w:t xml:space="preserve"> </w:t>
            </w:r>
            <w:r w:rsidRPr="002661A8">
              <w:rPr>
                <w:rFonts w:eastAsia="Arial"/>
                <w:noProof/>
                <w:spacing w:val="-4"/>
              </w:rPr>
              <w:t>2014</w:t>
            </w:r>
          </w:p>
        </w:tc>
      </w:tr>
      <w:tr w:rsidR="00813553" w:rsidRPr="002661A8" w14:paraId="4F10DF44" w14:textId="77777777" w:rsidTr="00C46861">
        <w:tc>
          <w:tcPr>
            <w:tcW w:w="442" w:type="dxa"/>
            <w:shd w:val="clear" w:color="auto" w:fill="auto"/>
          </w:tcPr>
          <w:p w14:paraId="6E558888" w14:textId="77777777" w:rsidR="00813553" w:rsidRPr="002661A8" w:rsidRDefault="00813553" w:rsidP="00813553">
            <w:pPr>
              <w:widowControl w:val="0"/>
              <w:autoSpaceDE w:val="0"/>
              <w:autoSpaceDN w:val="0"/>
              <w:spacing w:before="10"/>
              <w:rPr>
                <w:rFonts w:eastAsia="Arial"/>
                <w:b/>
                <w:noProof/>
              </w:rPr>
            </w:pPr>
          </w:p>
          <w:p w14:paraId="3ABA6778" w14:textId="6263BDD8" w:rsidR="00813553" w:rsidRPr="002661A8" w:rsidRDefault="00813553" w:rsidP="00813553">
            <w:pPr>
              <w:jc w:val="both"/>
              <w:rPr>
                <w:b/>
                <w:noProof/>
              </w:rPr>
            </w:pPr>
            <w:r w:rsidRPr="002661A8">
              <w:rPr>
                <w:rFonts w:eastAsia="Arial"/>
                <w:noProof/>
                <w:w w:val="99"/>
              </w:rPr>
              <w:t>5</w:t>
            </w:r>
          </w:p>
        </w:tc>
        <w:tc>
          <w:tcPr>
            <w:tcW w:w="2112" w:type="dxa"/>
            <w:shd w:val="clear" w:color="auto" w:fill="auto"/>
          </w:tcPr>
          <w:p w14:paraId="1C203D37" w14:textId="0FF0E207" w:rsidR="00813553" w:rsidRPr="002661A8" w:rsidRDefault="00813553" w:rsidP="009015C1">
            <w:pPr>
              <w:rPr>
                <w:b/>
                <w:noProof/>
                <w:lang w:val="it-IT"/>
              </w:rPr>
            </w:pPr>
            <w:r w:rsidRPr="002661A8">
              <w:rPr>
                <w:rFonts w:eastAsia="Arial"/>
                <w:noProof/>
                <w:lang w:val="it-IT"/>
              </w:rPr>
              <w:t>Cassa</w:t>
            </w:r>
            <w:r w:rsidRPr="002661A8">
              <w:rPr>
                <w:rFonts w:eastAsia="Arial"/>
                <w:noProof/>
                <w:spacing w:val="-13"/>
                <w:lang w:val="it-IT"/>
              </w:rPr>
              <w:t xml:space="preserve"> </w:t>
            </w:r>
            <w:r w:rsidRPr="002661A8">
              <w:rPr>
                <w:rFonts w:eastAsia="Arial"/>
                <w:noProof/>
                <w:lang w:val="it-IT"/>
              </w:rPr>
              <w:t>di</w:t>
            </w:r>
            <w:r w:rsidRPr="002661A8">
              <w:rPr>
                <w:rFonts w:eastAsia="Arial"/>
                <w:noProof/>
                <w:spacing w:val="-12"/>
                <w:lang w:val="it-IT"/>
              </w:rPr>
              <w:t xml:space="preserve"> </w:t>
            </w:r>
            <w:r w:rsidRPr="002661A8">
              <w:rPr>
                <w:rFonts w:eastAsia="Arial"/>
                <w:noProof/>
                <w:lang w:val="it-IT"/>
              </w:rPr>
              <w:t>Compensazione</w:t>
            </w:r>
            <w:r w:rsidRPr="002661A8">
              <w:rPr>
                <w:rFonts w:eastAsia="Arial"/>
                <w:noProof/>
                <w:spacing w:val="-13"/>
                <w:lang w:val="it-IT"/>
              </w:rPr>
              <w:t xml:space="preserve"> </w:t>
            </w:r>
            <w:r w:rsidRPr="002661A8">
              <w:rPr>
                <w:rFonts w:eastAsia="Arial"/>
                <w:noProof/>
                <w:lang w:val="it-IT"/>
              </w:rPr>
              <w:t>e Garanzia S.p.A. (CCG)</w:t>
            </w:r>
          </w:p>
        </w:tc>
        <w:tc>
          <w:tcPr>
            <w:tcW w:w="1992" w:type="dxa"/>
            <w:shd w:val="clear" w:color="auto" w:fill="auto"/>
          </w:tcPr>
          <w:p w14:paraId="1BD9198F" w14:textId="09F5AF99" w:rsidR="00813553" w:rsidRPr="002661A8" w:rsidRDefault="00813553" w:rsidP="00813553">
            <w:pPr>
              <w:jc w:val="both"/>
              <w:rPr>
                <w:b/>
                <w:noProof/>
              </w:rPr>
            </w:pPr>
            <w:r w:rsidRPr="002661A8">
              <w:rPr>
                <w:rFonts w:eastAsia="Arial"/>
                <w:noProof/>
                <w:spacing w:val="-2"/>
              </w:rPr>
              <w:t xml:space="preserve">8156006407E264D2 </w:t>
            </w:r>
            <w:r w:rsidRPr="002661A8">
              <w:rPr>
                <w:rFonts w:eastAsia="Arial"/>
                <w:noProof/>
                <w:spacing w:val="-4"/>
              </w:rPr>
              <w:t>C725</w:t>
            </w:r>
          </w:p>
        </w:tc>
        <w:tc>
          <w:tcPr>
            <w:tcW w:w="1245" w:type="dxa"/>
            <w:shd w:val="clear" w:color="auto" w:fill="auto"/>
          </w:tcPr>
          <w:p w14:paraId="72B64DBA" w14:textId="079E1F45" w:rsidR="00813553" w:rsidRPr="002661A8" w:rsidRDefault="00813553" w:rsidP="00813553">
            <w:pPr>
              <w:jc w:val="both"/>
              <w:rPr>
                <w:b/>
                <w:noProof/>
              </w:rPr>
            </w:pPr>
            <w:r w:rsidRPr="002661A8">
              <w:rPr>
                <w:rFonts w:eastAsia="Arial"/>
                <w:noProof/>
                <w:spacing w:val="-2"/>
              </w:rPr>
              <w:t>Italy</w:t>
            </w:r>
          </w:p>
        </w:tc>
        <w:tc>
          <w:tcPr>
            <w:tcW w:w="1837" w:type="dxa"/>
            <w:shd w:val="clear" w:color="auto" w:fill="auto"/>
          </w:tcPr>
          <w:p w14:paraId="56D0BD0C" w14:textId="5D448B76" w:rsidR="00813553" w:rsidRPr="002661A8" w:rsidRDefault="00813553" w:rsidP="00813553">
            <w:pPr>
              <w:jc w:val="both"/>
              <w:rPr>
                <w:b/>
                <w:noProof/>
              </w:rPr>
            </w:pPr>
            <w:r w:rsidRPr="002661A8">
              <w:rPr>
                <w:rFonts w:eastAsia="Arial"/>
                <w:noProof/>
              </w:rPr>
              <w:t>Banca</w:t>
            </w:r>
            <w:r w:rsidRPr="002661A8">
              <w:rPr>
                <w:rFonts w:eastAsia="Arial"/>
                <w:noProof/>
                <w:spacing w:val="-1"/>
              </w:rPr>
              <w:t xml:space="preserve"> </w:t>
            </w:r>
            <w:r w:rsidRPr="002661A8">
              <w:rPr>
                <w:rFonts w:eastAsia="Arial"/>
                <w:noProof/>
                <w:spacing w:val="-2"/>
              </w:rPr>
              <w:t>d’Italia</w:t>
            </w:r>
          </w:p>
        </w:tc>
        <w:tc>
          <w:tcPr>
            <w:tcW w:w="1206" w:type="dxa"/>
            <w:shd w:val="clear" w:color="auto" w:fill="auto"/>
          </w:tcPr>
          <w:p w14:paraId="20F16587" w14:textId="64A04E08" w:rsidR="00813553" w:rsidRPr="002661A8" w:rsidRDefault="00813553" w:rsidP="00813553">
            <w:pPr>
              <w:jc w:val="both"/>
              <w:rPr>
                <w:b/>
                <w:noProof/>
              </w:rPr>
            </w:pPr>
            <w:r w:rsidRPr="002661A8">
              <w:rPr>
                <w:rFonts w:eastAsia="Arial"/>
                <w:noProof/>
              </w:rPr>
              <w:t>20</w:t>
            </w:r>
            <w:r w:rsidRPr="002661A8">
              <w:rPr>
                <w:rFonts w:eastAsia="Arial"/>
                <w:noProof/>
                <w:spacing w:val="-4"/>
              </w:rPr>
              <w:t xml:space="preserve"> </w:t>
            </w:r>
            <w:r w:rsidRPr="002661A8">
              <w:rPr>
                <w:rFonts w:eastAsia="Arial"/>
                <w:noProof/>
              </w:rPr>
              <w:t xml:space="preserve">May </w:t>
            </w:r>
            <w:r w:rsidRPr="002661A8">
              <w:rPr>
                <w:rFonts w:eastAsia="Arial"/>
                <w:noProof/>
                <w:spacing w:val="-4"/>
              </w:rPr>
              <w:t>2014</w:t>
            </w:r>
          </w:p>
        </w:tc>
      </w:tr>
      <w:tr w:rsidR="00813553" w:rsidRPr="002661A8" w14:paraId="10F017B0" w14:textId="77777777" w:rsidTr="00C46861">
        <w:tc>
          <w:tcPr>
            <w:tcW w:w="442" w:type="dxa"/>
            <w:shd w:val="clear" w:color="auto" w:fill="D9D9D9" w:themeFill="background1" w:themeFillShade="D9"/>
          </w:tcPr>
          <w:p w14:paraId="54135C91" w14:textId="77777777" w:rsidR="00813553" w:rsidRPr="002661A8" w:rsidRDefault="00813553" w:rsidP="00813553">
            <w:pPr>
              <w:widowControl w:val="0"/>
              <w:autoSpaceDE w:val="0"/>
              <w:autoSpaceDN w:val="0"/>
              <w:spacing w:before="10"/>
              <w:rPr>
                <w:rFonts w:eastAsia="Arial"/>
                <w:b/>
                <w:noProof/>
              </w:rPr>
            </w:pPr>
          </w:p>
          <w:p w14:paraId="4EC8A655" w14:textId="05D31832" w:rsidR="00813553" w:rsidRPr="002661A8" w:rsidRDefault="00813553" w:rsidP="00813553">
            <w:pPr>
              <w:jc w:val="both"/>
              <w:rPr>
                <w:b/>
                <w:noProof/>
              </w:rPr>
            </w:pPr>
            <w:r w:rsidRPr="002661A8">
              <w:rPr>
                <w:rFonts w:eastAsia="Arial"/>
                <w:noProof/>
                <w:w w:val="99"/>
              </w:rPr>
              <w:t>6</w:t>
            </w:r>
          </w:p>
        </w:tc>
        <w:tc>
          <w:tcPr>
            <w:tcW w:w="2112" w:type="dxa"/>
            <w:shd w:val="clear" w:color="auto" w:fill="D9D9D9" w:themeFill="background1" w:themeFillShade="D9"/>
          </w:tcPr>
          <w:p w14:paraId="0E53F0C3" w14:textId="77777777" w:rsidR="00813553" w:rsidRPr="002661A8" w:rsidRDefault="00813553" w:rsidP="00813553">
            <w:pPr>
              <w:widowControl w:val="0"/>
              <w:autoSpaceDE w:val="0"/>
              <w:autoSpaceDN w:val="0"/>
              <w:spacing w:before="10"/>
              <w:rPr>
                <w:rFonts w:eastAsia="Arial"/>
                <w:b/>
                <w:noProof/>
              </w:rPr>
            </w:pPr>
          </w:p>
          <w:p w14:paraId="02A1FC06" w14:textId="45481DF7" w:rsidR="00813553" w:rsidRPr="002661A8" w:rsidRDefault="00813553" w:rsidP="009015C1">
            <w:pPr>
              <w:rPr>
                <w:b/>
                <w:noProof/>
              </w:rPr>
            </w:pPr>
            <w:r w:rsidRPr="002661A8">
              <w:rPr>
                <w:rFonts w:eastAsia="Arial"/>
                <w:noProof/>
              </w:rPr>
              <w:t>LCH</w:t>
            </w:r>
            <w:r w:rsidRPr="002661A8">
              <w:rPr>
                <w:rFonts w:eastAsia="Arial"/>
                <w:noProof/>
                <w:spacing w:val="-5"/>
              </w:rPr>
              <w:t xml:space="preserve"> SA</w:t>
            </w:r>
          </w:p>
        </w:tc>
        <w:tc>
          <w:tcPr>
            <w:tcW w:w="1992" w:type="dxa"/>
            <w:shd w:val="clear" w:color="auto" w:fill="D9D9D9" w:themeFill="background1" w:themeFillShade="D9"/>
          </w:tcPr>
          <w:p w14:paraId="1B4E304C" w14:textId="7AB25E40" w:rsidR="00813553" w:rsidRPr="002661A8" w:rsidRDefault="00813553" w:rsidP="00813553">
            <w:pPr>
              <w:jc w:val="both"/>
              <w:rPr>
                <w:b/>
                <w:noProof/>
              </w:rPr>
            </w:pPr>
            <w:r w:rsidRPr="002661A8">
              <w:rPr>
                <w:rFonts w:eastAsia="Arial"/>
                <w:noProof/>
                <w:spacing w:val="-2"/>
              </w:rPr>
              <w:t>R1IO4YJ0O79SMW VCHB58</w:t>
            </w:r>
          </w:p>
        </w:tc>
        <w:tc>
          <w:tcPr>
            <w:tcW w:w="1245" w:type="dxa"/>
            <w:shd w:val="clear" w:color="auto" w:fill="D9D9D9" w:themeFill="background1" w:themeFillShade="D9"/>
          </w:tcPr>
          <w:p w14:paraId="27D6AF11" w14:textId="77777777" w:rsidR="00813553" w:rsidRPr="002661A8" w:rsidRDefault="00813553" w:rsidP="00813553">
            <w:pPr>
              <w:widowControl w:val="0"/>
              <w:autoSpaceDE w:val="0"/>
              <w:autoSpaceDN w:val="0"/>
              <w:spacing w:before="10"/>
              <w:rPr>
                <w:rFonts w:eastAsia="Arial"/>
                <w:b/>
                <w:noProof/>
              </w:rPr>
            </w:pPr>
          </w:p>
          <w:p w14:paraId="219F9D58" w14:textId="7206F5B7" w:rsidR="00813553" w:rsidRPr="002661A8" w:rsidRDefault="00813553" w:rsidP="00813553">
            <w:pPr>
              <w:jc w:val="both"/>
              <w:rPr>
                <w:b/>
                <w:noProof/>
              </w:rPr>
            </w:pPr>
            <w:r w:rsidRPr="002661A8">
              <w:rPr>
                <w:rFonts w:eastAsia="Arial"/>
                <w:noProof/>
                <w:spacing w:val="-2"/>
              </w:rPr>
              <w:t>France</w:t>
            </w:r>
          </w:p>
        </w:tc>
        <w:tc>
          <w:tcPr>
            <w:tcW w:w="1837" w:type="dxa"/>
            <w:shd w:val="clear" w:color="auto" w:fill="D9D9D9" w:themeFill="background1" w:themeFillShade="D9"/>
          </w:tcPr>
          <w:p w14:paraId="0363F943" w14:textId="100D65D2" w:rsidR="00813553" w:rsidRPr="002661A8" w:rsidRDefault="00813553" w:rsidP="00813553">
            <w:pPr>
              <w:jc w:val="both"/>
              <w:rPr>
                <w:b/>
                <w:noProof/>
                <w:lang w:val="fr-BE"/>
              </w:rPr>
            </w:pPr>
            <w:r w:rsidRPr="002661A8">
              <w:rPr>
                <w:rFonts w:eastAsia="Arial"/>
                <w:noProof/>
                <w:lang w:val="fr-BE"/>
              </w:rPr>
              <w:t>Autorité</w:t>
            </w:r>
            <w:r w:rsidRPr="002661A8">
              <w:rPr>
                <w:rFonts w:eastAsia="Arial"/>
                <w:noProof/>
                <w:spacing w:val="-15"/>
                <w:lang w:val="fr-BE"/>
              </w:rPr>
              <w:t xml:space="preserve"> </w:t>
            </w:r>
            <w:r w:rsidRPr="002661A8">
              <w:rPr>
                <w:rFonts w:eastAsia="Arial"/>
                <w:noProof/>
                <w:lang w:val="fr-BE"/>
              </w:rPr>
              <w:t>de</w:t>
            </w:r>
            <w:r w:rsidRPr="002661A8">
              <w:rPr>
                <w:rFonts w:eastAsia="Arial"/>
                <w:noProof/>
                <w:spacing w:val="-12"/>
                <w:lang w:val="fr-BE"/>
              </w:rPr>
              <w:t xml:space="preserve"> </w:t>
            </w:r>
            <w:r w:rsidRPr="002661A8">
              <w:rPr>
                <w:rFonts w:eastAsia="Arial"/>
                <w:noProof/>
                <w:lang w:val="fr-BE"/>
              </w:rPr>
              <w:t>Contrôle Prudentiel et de Résolution (ACPR)</w:t>
            </w:r>
          </w:p>
        </w:tc>
        <w:tc>
          <w:tcPr>
            <w:tcW w:w="1206" w:type="dxa"/>
            <w:shd w:val="clear" w:color="auto" w:fill="D9D9D9" w:themeFill="background1" w:themeFillShade="D9"/>
          </w:tcPr>
          <w:p w14:paraId="2D5E2CF9" w14:textId="7814D094" w:rsidR="00813553" w:rsidRPr="002661A8" w:rsidRDefault="00813553" w:rsidP="00813553">
            <w:pPr>
              <w:jc w:val="both"/>
              <w:rPr>
                <w:b/>
                <w:noProof/>
              </w:rPr>
            </w:pPr>
            <w:r w:rsidRPr="002661A8">
              <w:rPr>
                <w:rFonts w:eastAsia="Arial"/>
                <w:noProof/>
              </w:rPr>
              <w:t>22</w:t>
            </w:r>
            <w:r w:rsidRPr="002661A8">
              <w:rPr>
                <w:rFonts w:eastAsia="Arial"/>
                <w:noProof/>
                <w:spacing w:val="-4"/>
              </w:rPr>
              <w:t xml:space="preserve"> </w:t>
            </w:r>
            <w:r w:rsidRPr="002661A8">
              <w:rPr>
                <w:rFonts w:eastAsia="Arial"/>
                <w:noProof/>
              </w:rPr>
              <w:t xml:space="preserve">May </w:t>
            </w:r>
            <w:r w:rsidRPr="002661A8">
              <w:rPr>
                <w:rFonts w:eastAsia="Arial"/>
                <w:noProof/>
                <w:spacing w:val="-4"/>
              </w:rPr>
              <w:t>2014</w:t>
            </w:r>
          </w:p>
        </w:tc>
      </w:tr>
      <w:tr w:rsidR="00813553" w:rsidRPr="002661A8" w14:paraId="77994EDC" w14:textId="77777777" w:rsidTr="00C46861">
        <w:tc>
          <w:tcPr>
            <w:tcW w:w="442" w:type="dxa"/>
            <w:shd w:val="clear" w:color="auto" w:fill="auto"/>
          </w:tcPr>
          <w:p w14:paraId="419E06A9" w14:textId="77777777" w:rsidR="00813553" w:rsidRPr="002661A8" w:rsidRDefault="00813553" w:rsidP="00813553">
            <w:pPr>
              <w:widowControl w:val="0"/>
              <w:autoSpaceDE w:val="0"/>
              <w:autoSpaceDN w:val="0"/>
              <w:rPr>
                <w:rFonts w:eastAsia="Arial"/>
                <w:b/>
                <w:noProof/>
              </w:rPr>
            </w:pPr>
          </w:p>
          <w:p w14:paraId="65C97C7F" w14:textId="66724DF8" w:rsidR="00813553" w:rsidRPr="002661A8" w:rsidRDefault="00813553" w:rsidP="00813553">
            <w:pPr>
              <w:jc w:val="both"/>
              <w:rPr>
                <w:b/>
                <w:noProof/>
              </w:rPr>
            </w:pPr>
            <w:r w:rsidRPr="002661A8">
              <w:rPr>
                <w:rFonts w:eastAsia="Arial"/>
                <w:noProof/>
                <w:w w:val="99"/>
              </w:rPr>
              <w:t>7</w:t>
            </w:r>
          </w:p>
        </w:tc>
        <w:tc>
          <w:tcPr>
            <w:tcW w:w="2112" w:type="dxa"/>
            <w:shd w:val="clear" w:color="auto" w:fill="auto"/>
          </w:tcPr>
          <w:p w14:paraId="4A26155C" w14:textId="77777777" w:rsidR="00813553" w:rsidRPr="002661A8" w:rsidRDefault="00813553" w:rsidP="00813553">
            <w:pPr>
              <w:widowControl w:val="0"/>
              <w:autoSpaceDE w:val="0"/>
              <w:autoSpaceDN w:val="0"/>
              <w:spacing w:before="10"/>
              <w:rPr>
                <w:rFonts w:eastAsia="Arial"/>
                <w:b/>
                <w:noProof/>
              </w:rPr>
            </w:pPr>
          </w:p>
          <w:p w14:paraId="7DBA11DD" w14:textId="320E4456" w:rsidR="00813553" w:rsidRPr="002661A8" w:rsidRDefault="00813553" w:rsidP="009015C1">
            <w:pPr>
              <w:rPr>
                <w:b/>
                <w:noProof/>
              </w:rPr>
            </w:pPr>
            <w:r w:rsidRPr="002661A8">
              <w:rPr>
                <w:rFonts w:eastAsia="Arial"/>
                <w:noProof/>
              </w:rPr>
              <w:t>European</w:t>
            </w:r>
            <w:r w:rsidRPr="002661A8">
              <w:rPr>
                <w:rFonts w:eastAsia="Arial"/>
                <w:noProof/>
                <w:spacing w:val="-13"/>
              </w:rPr>
              <w:t xml:space="preserve"> </w:t>
            </w:r>
            <w:r w:rsidRPr="002661A8">
              <w:rPr>
                <w:rFonts w:eastAsia="Arial"/>
                <w:noProof/>
              </w:rPr>
              <w:t xml:space="preserve">Commodity </w:t>
            </w:r>
            <w:r w:rsidRPr="002661A8">
              <w:rPr>
                <w:rFonts w:eastAsia="Arial"/>
                <w:noProof/>
                <w:spacing w:val="-2"/>
              </w:rPr>
              <w:t>Clearing</w:t>
            </w:r>
          </w:p>
        </w:tc>
        <w:tc>
          <w:tcPr>
            <w:tcW w:w="1992" w:type="dxa"/>
            <w:shd w:val="clear" w:color="auto" w:fill="auto"/>
          </w:tcPr>
          <w:p w14:paraId="664C438B" w14:textId="68606FE1" w:rsidR="00813553" w:rsidRPr="002661A8" w:rsidRDefault="00813553" w:rsidP="00813553">
            <w:pPr>
              <w:jc w:val="both"/>
              <w:rPr>
                <w:b/>
                <w:noProof/>
              </w:rPr>
            </w:pPr>
            <w:r w:rsidRPr="002661A8">
              <w:rPr>
                <w:rFonts w:eastAsia="Arial"/>
                <w:noProof/>
                <w:spacing w:val="-2"/>
              </w:rPr>
              <w:t xml:space="preserve">529900M6JY6PUZ9 </w:t>
            </w:r>
            <w:r w:rsidRPr="002661A8">
              <w:rPr>
                <w:rFonts w:eastAsia="Arial"/>
                <w:noProof/>
                <w:spacing w:val="-4"/>
              </w:rPr>
              <w:t>NTA71</w:t>
            </w:r>
          </w:p>
        </w:tc>
        <w:tc>
          <w:tcPr>
            <w:tcW w:w="1245" w:type="dxa"/>
            <w:shd w:val="clear" w:color="auto" w:fill="auto"/>
          </w:tcPr>
          <w:p w14:paraId="56B1065E" w14:textId="77777777" w:rsidR="00813553" w:rsidRPr="002661A8" w:rsidRDefault="00813553" w:rsidP="00813553">
            <w:pPr>
              <w:widowControl w:val="0"/>
              <w:autoSpaceDE w:val="0"/>
              <w:autoSpaceDN w:val="0"/>
              <w:rPr>
                <w:rFonts w:eastAsia="Arial"/>
                <w:b/>
                <w:noProof/>
              </w:rPr>
            </w:pPr>
          </w:p>
          <w:p w14:paraId="16C819DE" w14:textId="604E391C" w:rsidR="00813553" w:rsidRPr="002661A8" w:rsidRDefault="00813553" w:rsidP="00813553">
            <w:pPr>
              <w:jc w:val="both"/>
              <w:rPr>
                <w:b/>
                <w:noProof/>
              </w:rPr>
            </w:pPr>
            <w:r w:rsidRPr="002661A8">
              <w:rPr>
                <w:rFonts w:eastAsia="Arial"/>
                <w:noProof/>
                <w:spacing w:val="-2"/>
              </w:rPr>
              <w:t>Germany</w:t>
            </w:r>
          </w:p>
        </w:tc>
        <w:tc>
          <w:tcPr>
            <w:tcW w:w="1837" w:type="dxa"/>
            <w:shd w:val="clear" w:color="auto" w:fill="auto"/>
          </w:tcPr>
          <w:p w14:paraId="1595227B" w14:textId="33F1D5C4" w:rsidR="00813553" w:rsidRPr="002661A8" w:rsidRDefault="00813553" w:rsidP="00813553">
            <w:pPr>
              <w:jc w:val="both"/>
              <w:rPr>
                <w:b/>
                <w:noProof/>
                <w:lang w:val="de-DE"/>
              </w:rPr>
            </w:pPr>
            <w:r w:rsidRPr="002661A8">
              <w:rPr>
                <w:rFonts w:eastAsia="Arial"/>
                <w:noProof/>
                <w:lang w:val="de-DE"/>
              </w:rPr>
              <w:t xml:space="preserve">Bundesanstalt für </w:t>
            </w:r>
            <w:r w:rsidRPr="002661A8">
              <w:rPr>
                <w:rFonts w:eastAsia="Arial"/>
                <w:noProof/>
                <w:spacing w:val="-2"/>
                <w:lang w:val="de-DE"/>
              </w:rPr>
              <w:t xml:space="preserve">Finanzdienstleistungs </w:t>
            </w:r>
            <w:r w:rsidRPr="002661A8">
              <w:rPr>
                <w:rFonts w:eastAsia="Arial"/>
                <w:noProof/>
                <w:lang w:val="de-DE"/>
              </w:rPr>
              <w:t>aufsicht (Bafin)</w:t>
            </w:r>
          </w:p>
        </w:tc>
        <w:tc>
          <w:tcPr>
            <w:tcW w:w="1206" w:type="dxa"/>
            <w:shd w:val="clear" w:color="auto" w:fill="auto"/>
          </w:tcPr>
          <w:p w14:paraId="15589171" w14:textId="5B34CE03" w:rsidR="00813553" w:rsidRPr="002661A8" w:rsidRDefault="00813553" w:rsidP="00813553">
            <w:pPr>
              <w:jc w:val="both"/>
              <w:rPr>
                <w:b/>
                <w:noProof/>
              </w:rPr>
            </w:pPr>
            <w:r w:rsidRPr="002661A8">
              <w:rPr>
                <w:rFonts w:eastAsia="Arial"/>
                <w:noProof/>
              </w:rPr>
              <w:t>11</w:t>
            </w:r>
            <w:r w:rsidRPr="002661A8">
              <w:rPr>
                <w:rFonts w:eastAsia="Arial"/>
                <w:noProof/>
                <w:spacing w:val="-4"/>
              </w:rPr>
              <w:t xml:space="preserve"> </w:t>
            </w:r>
            <w:r w:rsidRPr="002661A8">
              <w:rPr>
                <w:rFonts w:eastAsia="Arial"/>
                <w:noProof/>
              </w:rPr>
              <w:t>June</w:t>
            </w:r>
            <w:r w:rsidRPr="002661A8">
              <w:rPr>
                <w:rFonts w:eastAsia="Arial"/>
                <w:noProof/>
                <w:spacing w:val="-3"/>
              </w:rPr>
              <w:t xml:space="preserve"> </w:t>
            </w:r>
            <w:r w:rsidRPr="002661A8">
              <w:rPr>
                <w:rFonts w:eastAsia="Arial"/>
                <w:noProof/>
                <w:spacing w:val="-4"/>
              </w:rPr>
              <w:t>2014</w:t>
            </w:r>
          </w:p>
        </w:tc>
      </w:tr>
      <w:tr w:rsidR="00C46861" w:rsidRPr="002661A8" w14:paraId="7243B68E" w14:textId="77777777" w:rsidTr="00C46861">
        <w:tc>
          <w:tcPr>
            <w:tcW w:w="442" w:type="dxa"/>
            <w:shd w:val="clear" w:color="auto" w:fill="D9D9D9" w:themeFill="background1" w:themeFillShade="D9"/>
          </w:tcPr>
          <w:p w14:paraId="1436A721" w14:textId="77777777" w:rsidR="00813553" w:rsidRPr="002661A8" w:rsidRDefault="00813553" w:rsidP="00813553">
            <w:pPr>
              <w:pStyle w:val="TableParagraph"/>
              <w:rPr>
                <w:rFonts w:ascii="Times New Roman" w:hAnsi="Times New Roman" w:cs="Times New Roman"/>
                <w:b/>
                <w:noProof/>
                <w:lang w:val="en-GB"/>
              </w:rPr>
            </w:pPr>
          </w:p>
          <w:p w14:paraId="50C92C47" w14:textId="0FB6472D" w:rsidR="00813553" w:rsidRPr="002661A8" w:rsidRDefault="00813553" w:rsidP="00813553">
            <w:pPr>
              <w:widowControl w:val="0"/>
              <w:autoSpaceDE w:val="0"/>
              <w:autoSpaceDN w:val="0"/>
              <w:rPr>
                <w:rFonts w:eastAsia="Arial"/>
                <w:b/>
                <w:noProof/>
              </w:rPr>
            </w:pPr>
            <w:r w:rsidRPr="002661A8">
              <w:rPr>
                <w:noProof/>
                <w:w w:val="99"/>
              </w:rPr>
              <w:t>8</w:t>
            </w:r>
          </w:p>
        </w:tc>
        <w:tc>
          <w:tcPr>
            <w:tcW w:w="2112" w:type="dxa"/>
            <w:shd w:val="clear" w:color="auto" w:fill="D9D9D9" w:themeFill="background1" w:themeFillShade="D9"/>
          </w:tcPr>
          <w:p w14:paraId="50B47AD5" w14:textId="59199FEC" w:rsidR="00813553" w:rsidRPr="002661A8" w:rsidRDefault="00813553" w:rsidP="00D6052F">
            <w:pPr>
              <w:widowControl w:val="0"/>
              <w:autoSpaceDE w:val="0"/>
              <w:autoSpaceDN w:val="0"/>
              <w:spacing w:before="10"/>
              <w:rPr>
                <w:rFonts w:eastAsia="Arial"/>
                <w:b/>
                <w:noProof/>
              </w:rPr>
            </w:pPr>
            <w:r w:rsidRPr="002661A8">
              <w:rPr>
                <w:noProof/>
              </w:rPr>
              <w:t xml:space="preserve">Keler </w:t>
            </w:r>
            <w:r w:rsidRPr="002661A8">
              <w:rPr>
                <w:noProof/>
                <w:spacing w:val="-5"/>
              </w:rPr>
              <w:t>CCP</w:t>
            </w:r>
          </w:p>
        </w:tc>
        <w:tc>
          <w:tcPr>
            <w:tcW w:w="1992" w:type="dxa"/>
            <w:shd w:val="clear" w:color="auto" w:fill="D9D9D9" w:themeFill="background1" w:themeFillShade="D9"/>
          </w:tcPr>
          <w:p w14:paraId="36D90B74" w14:textId="60B7ECC8" w:rsidR="00813553" w:rsidRPr="002661A8" w:rsidRDefault="00813553" w:rsidP="00813553">
            <w:pPr>
              <w:jc w:val="both"/>
              <w:rPr>
                <w:rFonts w:eastAsia="Arial"/>
                <w:noProof/>
                <w:spacing w:val="-2"/>
              </w:rPr>
            </w:pPr>
            <w:r w:rsidRPr="002661A8">
              <w:rPr>
                <w:noProof/>
                <w:spacing w:val="-2"/>
              </w:rPr>
              <w:t>529900MHIW6Z8O TOAH28</w:t>
            </w:r>
          </w:p>
        </w:tc>
        <w:tc>
          <w:tcPr>
            <w:tcW w:w="1245" w:type="dxa"/>
            <w:shd w:val="clear" w:color="auto" w:fill="D9D9D9" w:themeFill="background1" w:themeFillShade="D9"/>
          </w:tcPr>
          <w:p w14:paraId="3F994552" w14:textId="06C74583" w:rsidR="00813553" w:rsidRPr="002661A8" w:rsidRDefault="00813553" w:rsidP="00813553">
            <w:pPr>
              <w:widowControl w:val="0"/>
              <w:autoSpaceDE w:val="0"/>
              <w:autoSpaceDN w:val="0"/>
              <w:rPr>
                <w:rFonts w:eastAsia="Arial"/>
                <w:b/>
                <w:noProof/>
              </w:rPr>
            </w:pPr>
            <w:r w:rsidRPr="002661A8">
              <w:rPr>
                <w:noProof/>
                <w:spacing w:val="-2"/>
              </w:rPr>
              <w:t>Hungary</w:t>
            </w:r>
          </w:p>
        </w:tc>
        <w:tc>
          <w:tcPr>
            <w:tcW w:w="1837" w:type="dxa"/>
            <w:shd w:val="clear" w:color="auto" w:fill="D9D9D9" w:themeFill="background1" w:themeFillShade="D9"/>
          </w:tcPr>
          <w:p w14:paraId="76052F01" w14:textId="74DB8676" w:rsidR="00813553" w:rsidRPr="002661A8" w:rsidRDefault="00813553" w:rsidP="00813553">
            <w:pPr>
              <w:jc w:val="both"/>
              <w:rPr>
                <w:rFonts w:eastAsia="Arial"/>
                <w:noProof/>
              </w:rPr>
            </w:pPr>
            <w:r w:rsidRPr="002661A8">
              <w:rPr>
                <w:noProof/>
              </w:rPr>
              <w:t xml:space="preserve">Central Bank of Hungary </w:t>
            </w:r>
            <w:r w:rsidRPr="002661A8">
              <w:rPr>
                <w:noProof/>
                <w:spacing w:val="-2"/>
              </w:rPr>
              <w:t>(MNB)</w:t>
            </w:r>
          </w:p>
        </w:tc>
        <w:tc>
          <w:tcPr>
            <w:tcW w:w="1206" w:type="dxa"/>
            <w:shd w:val="clear" w:color="auto" w:fill="D9D9D9" w:themeFill="background1" w:themeFillShade="D9"/>
          </w:tcPr>
          <w:p w14:paraId="3FE93FDC" w14:textId="3E82BF9D" w:rsidR="00813553" w:rsidRPr="002661A8" w:rsidRDefault="00813553" w:rsidP="00813553">
            <w:pPr>
              <w:widowControl w:val="0"/>
              <w:autoSpaceDE w:val="0"/>
              <w:autoSpaceDN w:val="0"/>
              <w:rPr>
                <w:rFonts w:eastAsia="Arial"/>
                <w:b/>
                <w:noProof/>
              </w:rPr>
            </w:pPr>
            <w:r w:rsidRPr="002661A8">
              <w:rPr>
                <w:noProof/>
              </w:rPr>
              <w:t xml:space="preserve">4 July </w:t>
            </w:r>
            <w:r w:rsidRPr="002661A8">
              <w:rPr>
                <w:noProof/>
                <w:spacing w:val="-4"/>
              </w:rPr>
              <w:t>2014</w:t>
            </w:r>
          </w:p>
        </w:tc>
      </w:tr>
      <w:tr w:rsidR="00C46861" w:rsidRPr="002661A8" w14:paraId="25A3A355" w14:textId="77777777" w:rsidTr="00C46861">
        <w:tc>
          <w:tcPr>
            <w:tcW w:w="442" w:type="dxa"/>
            <w:shd w:val="clear" w:color="auto" w:fill="auto"/>
          </w:tcPr>
          <w:p w14:paraId="61304F6D" w14:textId="77777777" w:rsidR="00813553" w:rsidRPr="002661A8" w:rsidRDefault="00813553" w:rsidP="00813553">
            <w:pPr>
              <w:pStyle w:val="TableParagraph"/>
              <w:spacing w:before="10"/>
              <w:rPr>
                <w:rFonts w:ascii="Times New Roman" w:hAnsi="Times New Roman" w:cs="Times New Roman"/>
                <w:b/>
                <w:noProof/>
                <w:lang w:val="en-GB"/>
              </w:rPr>
            </w:pPr>
          </w:p>
          <w:p w14:paraId="4AE953E3" w14:textId="1563F0AD" w:rsidR="00813553" w:rsidRPr="002661A8" w:rsidRDefault="00813553" w:rsidP="00813553">
            <w:pPr>
              <w:widowControl w:val="0"/>
              <w:autoSpaceDE w:val="0"/>
              <w:autoSpaceDN w:val="0"/>
              <w:rPr>
                <w:rFonts w:eastAsia="Arial"/>
                <w:b/>
                <w:noProof/>
              </w:rPr>
            </w:pPr>
            <w:r w:rsidRPr="002661A8">
              <w:rPr>
                <w:noProof/>
                <w:w w:val="99"/>
              </w:rPr>
              <w:t>9</w:t>
            </w:r>
          </w:p>
        </w:tc>
        <w:tc>
          <w:tcPr>
            <w:tcW w:w="2112" w:type="dxa"/>
            <w:shd w:val="clear" w:color="auto" w:fill="auto"/>
          </w:tcPr>
          <w:p w14:paraId="3614DBCA" w14:textId="77777777" w:rsidR="00813553" w:rsidRPr="002661A8" w:rsidRDefault="00813553" w:rsidP="00C46861">
            <w:pPr>
              <w:pStyle w:val="TableParagraph"/>
              <w:spacing w:before="11"/>
              <w:ind w:right="242" w:firstLine="3"/>
              <w:rPr>
                <w:rFonts w:ascii="Times New Roman" w:hAnsi="Times New Roman" w:cs="Times New Roman"/>
                <w:noProof/>
                <w:lang w:val="de-DE"/>
              </w:rPr>
            </w:pPr>
            <w:r w:rsidRPr="002661A8">
              <w:rPr>
                <w:rFonts w:ascii="Times New Roman" w:hAnsi="Times New Roman" w:cs="Times New Roman"/>
                <w:noProof/>
                <w:lang w:val="de-DE"/>
              </w:rPr>
              <w:t>CCP Austria Abwicklungsstelle für Börsengeschäfte</w:t>
            </w:r>
            <w:r w:rsidRPr="002661A8">
              <w:rPr>
                <w:rFonts w:ascii="Times New Roman" w:hAnsi="Times New Roman" w:cs="Times New Roman"/>
                <w:noProof/>
                <w:spacing w:val="-13"/>
                <w:lang w:val="de-DE"/>
              </w:rPr>
              <w:t xml:space="preserve"> </w:t>
            </w:r>
            <w:r w:rsidRPr="002661A8">
              <w:rPr>
                <w:rFonts w:ascii="Times New Roman" w:hAnsi="Times New Roman" w:cs="Times New Roman"/>
                <w:noProof/>
                <w:lang w:val="de-DE"/>
              </w:rPr>
              <w:t>GmbH</w:t>
            </w:r>
          </w:p>
          <w:p w14:paraId="74440214" w14:textId="59409E09" w:rsidR="00813553" w:rsidRPr="002661A8" w:rsidRDefault="00813553" w:rsidP="00D6052F">
            <w:pPr>
              <w:widowControl w:val="0"/>
              <w:autoSpaceDE w:val="0"/>
              <w:autoSpaceDN w:val="0"/>
              <w:spacing w:before="10"/>
              <w:rPr>
                <w:rFonts w:eastAsia="Arial"/>
                <w:b/>
                <w:noProof/>
              </w:rPr>
            </w:pPr>
            <w:r w:rsidRPr="002661A8">
              <w:rPr>
                <w:noProof/>
                <w:spacing w:val="-2"/>
              </w:rPr>
              <w:t>(CCP.A)</w:t>
            </w:r>
          </w:p>
        </w:tc>
        <w:tc>
          <w:tcPr>
            <w:tcW w:w="1992" w:type="dxa"/>
            <w:shd w:val="clear" w:color="auto" w:fill="auto"/>
          </w:tcPr>
          <w:p w14:paraId="7010B891" w14:textId="1EFBAE51" w:rsidR="00813553" w:rsidRPr="002661A8" w:rsidRDefault="00813553" w:rsidP="00813553">
            <w:pPr>
              <w:jc w:val="both"/>
              <w:rPr>
                <w:rFonts w:eastAsia="Arial"/>
                <w:noProof/>
                <w:spacing w:val="-2"/>
              </w:rPr>
            </w:pPr>
            <w:r w:rsidRPr="002661A8">
              <w:rPr>
                <w:noProof/>
                <w:spacing w:val="-2"/>
              </w:rPr>
              <w:t>529900QF6QY66Q ULSI15</w:t>
            </w:r>
          </w:p>
        </w:tc>
        <w:tc>
          <w:tcPr>
            <w:tcW w:w="1245" w:type="dxa"/>
            <w:shd w:val="clear" w:color="auto" w:fill="auto"/>
          </w:tcPr>
          <w:p w14:paraId="385B143F" w14:textId="77777777" w:rsidR="00813553" w:rsidRPr="002661A8" w:rsidRDefault="00813553" w:rsidP="00813553">
            <w:pPr>
              <w:pStyle w:val="TableParagraph"/>
              <w:spacing w:before="10"/>
              <w:rPr>
                <w:rFonts w:ascii="Times New Roman" w:hAnsi="Times New Roman" w:cs="Times New Roman"/>
                <w:b/>
                <w:noProof/>
                <w:lang w:val="en-GB"/>
              </w:rPr>
            </w:pPr>
          </w:p>
          <w:p w14:paraId="4C8583E4" w14:textId="19247EEB" w:rsidR="00813553" w:rsidRPr="002661A8" w:rsidRDefault="00813553" w:rsidP="00813553">
            <w:pPr>
              <w:widowControl w:val="0"/>
              <w:autoSpaceDE w:val="0"/>
              <w:autoSpaceDN w:val="0"/>
              <w:rPr>
                <w:rFonts w:eastAsia="Arial"/>
                <w:b/>
                <w:noProof/>
              </w:rPr>
            </w:pPr>
            <w:r w:rsidRPr="002661A8">
              <w:rPr>
                <w:noProof/>
                <w:spacing w:val="-2"/>
              </w:rPr>
              <w:t>Austria</w:t>
            </w:r>
          </w:p>
        </w:tc>
        <w:tc>
          <w:tcPr>
            <w:tcW w:w="1837" w:type="dxa"/>
            <w:shd w:val="clear" w:color="auto" w:fill="auto"/>
          </w:tcPr>
          <w:p w14:paraId="3921AD5A" w14:textId="2825C288" w:rsidR="00813553" w:rsidRPr="002661A8" w:rsidRDefault="00813553" w:rsidP="00813553">
            <w:pPr>
              <w:jc w:val="both"/>
              <w:rPr>
                <w:rFonts w:eastAsia="Arial"/>
                <w:noProof/>
              </w:rPr>
            </w:pPr>
            <w:r w:rsidRPr="002661A8">
              <w:rPr>
                <w:noProof/>
              </w:rPr>
              <w:t xml:space="preserve">Austrian Financial Market Authority </w:t>
            </w:r>
            <w:r w:rsidRPr="002661A8">
              <w:rPr>
                <w:noProof/>
                <w:spacing w:val="-2"/>
              </w:rPr>
              <w:t>(FMA)</w:t>
            </w:r>
          </w:p>
        </w:tc>
        <w:tc>
          <w:tcPr>
            <w:tcW w:w="1206" w:type="dxa"/>
            <w:shd w:val="clear" w:color="auto" w:fill="auto"/>
          </w:tcPr>
          <w:p w14:paraId="5C042245" w14:textId="26E981A0" w:rsidR="00813553" w:rsidRPr="002661A8" w:rsidRDefault="00813553" w:rsidP="00813553">
            <w:pPr>
              <w:widowControl w:val="0"/>
              <w:autoSpaceDE w:val="0"/>
              <w:autoSpaceDN w:val="0"/>
              <w:rPr>
                <w:rFonts w:eastAsia="Arial"/>
                <w:b/>
                <w:noProof/>
              </w:rPr>
            </w:pPr>
            <w:r w:rsidRPr="002661A8">
              <w:rPr>
                <w:noProof/>
              </w:rPr>
              <w:t xml:space="preserve">14 August </w:t>
            </w:r>
            <w:r w:rsidRPr="002661A8">
              <w:rPr>
                <w:noProof/>
                <w:spacing w:val="-4"/>
              </w:rPr>
              <w:t>2014</w:t>
            </w:r>
          </w:p>
        </w:tc>
      </w:tr>
      <w:tr w:rsidR="00813553" w:rsidRPr="002661A8" w14:paraId="0B6EA939" w14:textId="77777777" w:rsidTr="00C46861">
        <w:tc>
          <w:tcPr>
            <w:tcW w:w="442" w:type="dxa"/>
            <w:shd w:val="clear" w:color="auto" w:fill="D9D9D9" w:themeFill="background1" w:themeFillShade="D9"/>
          </w:tcPr>
          <w:p w14:paraId="507C29BD" w14:textId="77777777" w:rsidR="00813553" w:rsidRPr="002661A8" w:rsidRDefault="00813553" w:rsidP="00813553">
            <w:pPr>
              <w:pStyle w:val="TableParagraph"/>
              <w:spacing w:before="10"/>
              <w:rPr>
                <w:rFonts w:ascii="Times New Roman" w:hAnsi="Times New Roman" w:cs="Times New Roman"/>
                <w:b/>
                <w:noProof/>
                <w:lang w:val="en-GB"/>
              </w:rPr>
            </w:pPr>
          </w:p>
          <w:p w14:paraId="16D0CDAB" w14:textId="465A1D7D" w:rsidR="00813553" w:rsidRPr="002661A8" w:rsidRDefault="00813553" w:rsidP="00813553">
            <w:pPr>
              <w:widowControl w:val="0"/>
              <w:autoSpaceDE w:val="0"/>
              <w:autoSpaceDN w:val="0"/>
              <w:rPr>
                <w:rFonts w:eastAsia="Arial"/>
                <w:b/>
                <w:noProof/>
              </w:rPr>
            </w:pPr>
            <w:r w:rsidRPr="002661A8">
              <w:rPr>
                <w:noProof/>
                <w:spacing w:val="-5"/>
              </w:rPr>
              <w:t>10</w:t>
            </w:r>
          </w:p>
        </w:tc>
        <w:tc>
          <w:tcPr>
            <w:tcW w:w="2112" w:type="dxa"/>
            <w:shd w:val="clear" w:color="auto" w:fill="D9D9D9" w:themeFill="background1" w:themeFillShade="D9"/>
          </w:tcPr>
          <w:p w14:paraId="0A2A187C" w14:textId="77777777" w:rsidR="00813553" w:rsidRPr="002661A8" w:rsidRDefault="00813553" w:rsidP="00813553">
            <w:pPr>
              <w:pStyle w:val="TableParagraph"/>
              <w:spacing w:before="10"/>
              <w:rPr>
                <w:rFonts w:ascii="Times New Roman" w:hAnsi="Times New Roman" w:cs="Times New Roman"/>
                <w:b/>
                <w:noProof/>
                <w:lang w:val="en-GB"/>
              </w:rPr>
            </w:pPr>
          </w:p>
          <w:p w14:paraId="636ECEB1" w14:textId="0BF9F8E2" w:rsidR="00813553" w:rsidRPr="002661A8" w:rsidRDefault="00813553" w:rsidP="00D6052F">
            <w:pPr>
              <w:widowControl w:val="0"/>
              <w:autoSpaceDE w:val="0"/>
              <w:autoSpaceDN w:val="0"/>
              <w:spacing w:before="10"/>
              <w:rPr>
                <w:rFonts w:eastAsia="Arial"/>
                <w:b/>
                <w:noProof/>
              </w:rPr>
            </w:pPr>
            <w:r w:rsidRPr="002661A8">
              <w:rPr>
                <w:noProof/>
              </w:rPr>
              <w:t xml:space="preserve">BME </w:t>
            </w:r>
            <w:r w:rsidRPr="002661A8">
              <w:rPr>
                <w:noProof/>
                <w:spacing w:val="-2"/>
              </w:rPr>
              <w:t>Clearing</w:t>
            </w:r>
          </w:p>
        </w:tc>
        <w:tc>
          <w:tcPr>
            <w:tcW w:w="1992" w:type="dxa"/>
            <w:shd w:val="clear" w:color="auto" w:fill="D9D9D9" w:themeFill="background1" w:themeFillShade="D9"/>
          </w:tcPr>
          <w:p w14:paraId="2CFC57A2" w14:textId="0FCDB38C" w:rsidR="00813553" w:rsidRPr="002661A8" w:rsidRDefault="00813553" w:rsidP="00813553">
            <w:pPr>
              <w:jc w:val="both"/>
              <w:rPr>
                <w:rFonts w:eastAsia="Arial"/>
                <w:noProof/>
                <w:spacing w:val="-2"/>
              </w:rPr>
            </w:pPr>
            <w:r w:rsidRPr="002661A8">
              <w:rPr>
                <w:noProof/>
                <w:spacing w:val="-2"/>
              </w:rPr>
              <w:t>5299009QA8BBE2 OOB349</w:t>
            </w:r>
          </w:p>
        </w:tc>
        <w:tc>
          <w:tcPr>
            <w:tcW w:w="1245" w:type="dxa"/>
            <w:shd w:val="clear" w:color="auto" w:fill="D9D9D9" w:themeFill="background1" w:themeFillShade="D9"/>
          </w:tcPr>
          <w:p w14:paraId="616DB33C" w14:textId="77777777" w:rsidR="00813553" w:rsidRPr="002661A8" w:rsidRDefault="00813553" w:rsidP="00813553">
            <w:pPr>
              <w:pStyle w:val="TableParagraph"/>
              <w:spacing w:before="10"/>
              <w:rPr>
                <w:rFonts w:ascii="Times New Roman" w:hAnsi="Times New Roman" w:cs="Times New Roman"/>
                <w:b/>
                <w:noProof/>
                <w:lang w:val="en-GB"/>
              </w:rPr>
            </w:pPr>
          </w:p>
          <w:p w14:paraId="67BABAF0" w14:textId="4881F989" w:rsidR="00813553" w:rsidRPr="002661A8" w:rsidRDefault="00813553" w:rsidP="00813553">
            <w:pPr>
              <w:widowControl w:val="0"/>
              <w:autoSpaceDE w:val="0"/>
              <w:autoSpaceDN w:val="0"/>
              <w:rPr>
                <w:rFonts w:eastAsia="Arial"/>
                <w:b/>
                <w:noProof/>
              </w:rPr>
            </w:pPr>
            <w:r w:rsidRPr="002661A8">
              <w:rPr>
                <w:noProof/>
                <w:spacing w:val="-2"/>
              </w:rPr>
              <w:t>Spain</w:t>
            </w:r>
          </w:p>
        </w:tc>
        <w:tc>
          <w:tcPr>
            <w:tcW w:w="1837" w:type="dxa"/>
            <w:shd w:val="clear" w:color="auto" w:fill="D9D9D9" w:themeFill="background1" w:themeFillShade="D9"/>
          </w:tcPr>
          <w:p w14:paraId="01A28845" w14:textId="3D4ED676" w:rsidR="00813553" w:rsidRPr="002661A8" w:rsidRDefault="00813553" w:rsidP="00813553">
            <w:pPr>
              <w:jc w:val="both"/>
              <w:rPr>
                <w:rFonts w:eastAsia="Arial"/>
                <w:noProof/>
                <w:lang w:val="es-ES"/>
              </w:rPr>
            </w:pPr>
            <w:r w:rsidRPr="002661A8">
              <w:rPr>
                <w:noProof/>
                <w:lang w:val="es-ES"/>
              </w:rPr>
              <w:t>Comisión</w:t>
            </w:r>
            <w:r w:rsidRPr="002661A8">
              <w:rPr>
                <w:noProof/>
                <w:spacing w:val="-15"/>
                <w:lang w:val="es-ES"/>
              </w:rPr>
              <w:t xml:space="preserve"> </w:t>
            </w:r>
            <w:r w:rsidRPr="002661A8">
              <w:rPr>
                <w:noProof/>
                <w:lang w:val="es-ES"/>
              </w:rPr>
              <w:t>Nacional</w:t>
            </w:r>
            <w:r w:rsidRPr="002661A8">
              <w:rPr>
                <w:noProof/>
                <w:spacing w:val="-12"/>
                <w:lang w:val="es-ES"/>
              </w:rPr>
              <w:t xml:space="preserve"> </w:t>
            </w:r>
            <w:r w:rsidRPr="002661A8">
              <w:rPr>
                <w:noProof/>
                <w:lang w:val="es-ES"/>
              </w:rPr>
              <w:t xml:space="preserve">del Mercado de Valores </w:t>
            </w:r>
            <w:r w:rsidRPr="002661A8">
              <w:rPr>
                <w:noProof/>
                <w:spacing w:val="-2"/>
                <w:lang w:val="es-ES"/>
              </w:rPr>
              <w:t>(CNMV)</w:t>
            </w:r>
          </w:p>
        </w:tc>
        <w:tc>
          <w:tcPr>
            <w:tcW w:w="1411" w:type="dxa"/>
            <w:shd w:val="clear" w:color="auto" w:fill="D9D9D9" w:themeFill="background1" w:themeFillShade="D9"/>
          </w:tcPr>
          <w:p w14:paraId="7B036593" w14:textId="7C0BBF3B" w:rsidR="00813553" w:rsidRPr="002661A8" w:rsidRDefault="00813553" w:rsidP="00C46861">
            <w:pPr>
              <w:pStyle w:val="TableParagraph"/>
              <w:spacing w:line="207" w:lineRule="exact"/>
              <w:ind w:right="96"/>
              <w:rPr>
                <w:rFonts w:ascii="Times New Roman" w:hAnsi="Times New Roman" w:cs="Times New Roman"/>
                <w:noProof/>
                <w:lang w:val="en-GB"/>
              </w:rPr>
            </w:pPr>
            <w:r w:rsidRPr="002661A8">
              <w:rPr>
                <w:rFonts w:ascii="Times New Roman" w:hAnsi="Times New Roman" w:cs="Times New Roman"/>
                <w:noProof/>
                <w:lang w:val="en-GB"/>
              </w:rPr>
              <w:t>16</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September</w:t>
            </w:r>
          </w:p>
          <w:p w14:paraId="535274F0" w14:textId="4C5CAC3E" w:rsidR="00813553" w:rsidRPr="002661A8" w:rsidRDefault="00813553" w:rsidP="00813553">
            <w:pPr>
              <w:widowControl w:val="0"/>
              <w:autoSpaceDE w:val="0"/>
              <w:autoSpaceDN w:val="0"/>
              <w:rPr>
                <w:rFonts w:eastAsia="Arial"/>
                <w:b/>
                <w:noProof/>
              </w:rPr>
            </w:pPr>
            <w:r w:rsidRPr="002661A8">
              <w:rPr>
                <w:noProof/>
                <w:spacing w:val="-4"/>
              </w:rPr>
              <w:t>2014</w:t>
            </w:r>
          </w:p>
        </w:tc>
      </w:tr>
      <w:tr w:rsidR="00813553" w:rsidRPr="002661A8" w14:paraId="5BC290D7" w14:textId="77777777" w:rsidTr="00C46861">
        <w:tc>
          <w:tcPr>
            <w:tcW w:w="442" w:type="dxa"/>
            <w:shd w:val="clear" w:color="auto" w:fill="auto"/>
          </w:tcPr>
          <w:p w14:paraId="1A489979" w14:textId="77777777" w:rsidR="00813553" w:rsidRPr="002661A8" w:rsidRDefault="00813553" w:rsidP="00813553">
            <w:pPr>
              <w:pStyle w:val="TableParagraph"/>
              <w:spacing w:before="10"/>
              <w:rPr>
                <w:rFonts w:ascii="Times New Roman" w:hAnsi="Times New Roman" w:cs="Times New Roman"/>
                <w:b/>
                <w:noProof/>
                <w:lang w:val="en-GB"/>
              </w:rPr>
            </w:pPr>
          </w:p>
          <w:p w14:paraId="4CACDE56" w14:textId="6E346D5A" w:rsidR="00813553" w:rsidRPr="002661A8" w:rsidRDefault="00813553" w:rsidP="00813553">
            <w:pPr>
              <w:widowControl w:val="0"/>
              <w:autoSpaceDE w:val="0"/>
              <w:autoSpaceDN w:val="0"/>
              <w:rPr>
                <w:rFonts w:eastAsia="Arial"/>
                <w:b/>
                <w:noProof/>
              </w:rPr>
            </w:pPr>
            <w:r w:rsidRPr="002661A8">
              <w:rPr>
                <w:noProof/>
                <w:spacing w:val="-5"/>
              </w:rPr>
              <w:t>11</w:t>
            </w:r>
          </w:p>
        </w:tc>
        <w:tc>
          <w:tcPr>
            <w:tcW w:w="2112" w:type="dxa"/>
            <w:shd w:val="clear" w:color="auto" w:fill="auto"/>
          </w:tcPr>
          <w:p w14:paraId="6C5410F3" w14:textId="77777777" w:rsidR="00813553" w:rsidRPr="002661A8" w:rsidRDefault="00813553" w:rsidP="00813553">
            <w:pPr>
              <w:pStyle w:val="TableParagraph"/>
              <w:spacing w:before="10"/>
              <w:rPr>
                <w:rFonts w:ascii="Times New Roman" w:hAnsi="Times New Roman" w:cs="Times New Roman"/>
                <w:b/>
                <w:noProof/>
                <w:lang w:val="en-GB"/>
              </w:rPr>
            </w:pPr>
          </w:p>
          <w:p w14:paraId="1EDA731E" w14:textId="701B32D6" w:rsidR="00813553" w:rsidRPr="002661A8" w:rsidRDefault="00813553" w:rsidP="00D6052F">
            <w:pPr>
              <w:widowControl w:val="0"/>
              <w:autoSpaceDE w:val="0"/>
              <w:autoSpaceDN w:val="0"/>
              <w:spacing w:before="10"/>
              <w:rPr>
                <w:rFonts w:eastAsia="Arial"/>
                <w:b/>
                <w:noProof/>
              </w:rPr>
            </w:pPr>
            <w:r w:rsidRPr="002661A8">
              <w:rPr>
                <w:noProof/>
              </w:rPr>
              <w:t xml:space="preserve">OMIClear - C.C., </w:t>
            </w:r>
            <w:r w:rsidRPr="002661A8">
              <w:rPr>
                <w:noProof/>
                <w:spacing w:val="-4"/>
              </w:rPr>
              <w:t>S.A.</w:t>
            </w:r>
          </w:p>
        </w:tc>
        <w:tc>
          <w:tcPr>
            <w:tcW w:w="1992" w:type="dxa"/>
            <w:shd w:val="clear" w:color="auto" w:fill="auto"/>
          </w:tcPr>
          <w:p w14:paraId="3D7F12A0" w14:textId="5E7A1F9F" w:rsidR="00813553" w:rsidRPr="002661A8" w:rsidRDefault="00813553" w:rsidP="00813553">
            <w:pPr>
              <w:jc w:val="both"/>
              <w:rPr>
                <w:rFonts w:eastAsia="Arial"/>
                <w:noProof/>
                <w:spacing w:val="-2"/>
              </w:rPr>
            </w:pPr>
            <w:r w:rsidRPr="002661A8">
              <w:rPr>
                <w:noProof/>
                <w:spacing w:val="-2"/>
              </w:rPr>
              <w:t>5299001PSXO7X2J X4W10</w:t>
            </w:r>
          </w:p>
        </w:tc>
        <w:tc>
          <w:tcPr>
            <w:tcW w:w="1245" w:type="dxa"/>
            <w:shd w:val="clear" w:color="auto" w:fill="auto"/>
          </w:tcPr>
          <w:p w14:paraId="0E1BF58D" w14:textId="77777777" w:rsidR="00813553" w:rsidRPr="002661A8" w:rsidRDefault="00813553" w:rsidP="00813553">
            <w:pPr>
              <w:pStyle w:val="TableParagraph"/>
              <w:spacing w:before="10"/>
              <w:rPr>
                <w:rFonts w:ascii="Times New Roman" w:hAnsi="Times New Roman" w:cs="Times New Roman"/>
                <w:b/>
                <w:noProof/>
                <w:lang w:val="en-GB"/>
              </w:rPr>
            </w:pPr>
          </w:p>
          <w:p w14:paraId="4EFA5DF7" w14:textId="61A7CD14" w:rsidR="00813553" w:rsidRPr="002661A8" w:rsidRDefault="00813553" w:rsidP="00813553">
            <w:pPr>
              <w:widowControl w:val="0"/>
              <w:autoSpaceDE w:val="0"/>
              <w:autoSpaceDN w:val="0"/>
              <w:rPr>
                <w:rFonts w:eastAsia="Arial"/>
                <w:b/>
                <w:noProof/>
              </w:rPr>
            </w:pPr>
            <w:r w:rsidRPr="002661A8">
              <w:rPr>
                <w:noProof/>
                <w:spacing w:val="-2"/>
              </w:rPr>
              <w:t>Portugal</w:t>
            </w:r>
          </w:p>
        </w:tc>
        <w:tc>
          <w:tcPr>
            <w:tcW w:w="1837" w:type="dxa"/>
            <w:shd w:val="clear" w:color="auto" w:fill="auto"/>
          </w:tcPr>
          <w:p w14:paraId="75F39E66" w14:textId="7D737491" w:rsidR="00813553" w:rsidRPr="002661A8" w:rsidRDefault="00813553" w:rsidP="00813553">
            <w:pPr>
              <w:jc w:val="both"/>
              <w:rPr>
                <w:rFonts w:eastAsia="Arial"/>
                <w:noProof/>
                <w:lang w:val="pt-PT"/>
              </w:rPr>
            </w:pPr>
            <w:r w:rsidRPr="002661A8">
              <w:rPr>
                <w:noProof/>
                <w:lang w:val="pt-PT"/>
              </w:rPr>
              <w:t>Comissão</w:t>
            </w:r>
            <w:r w:rsidRPr="002661A8">
              <w:rPr>
                <w:noProof/>
                <w:spacing w:val="-15"/>
                <w:lang w:val="pt-PT"/>
              </w:rPr>
              <w:t xml:space="preserve"> </w:t>
            </w:r>
            <w:r w:rsidRPr="002661A8">
              <w:rPr>
                <w:noProof/>
                <w:lang w:val="pt-PT"/>
              </w:rPr>
              <w:t>do</w:t>
            </w:r>
            <w:r w:rsidRPr="002661A8">
              <w:rPr>
                <w:noProof/>
                <w:spacing w:val="-12"/>
                <w:lang w:val="pt-PT"/>
              </w:rPr>
              <w:t xml:space="preserve"> </w:t>
            </w:r>
            <w:r w:rsidRPr="002661A8">
              <w:rPr>
                <w:noProof/>
                <w:lang w:val="pt-PT"/>
              </w:rPr>
              <w:t>Mercado de</w:t>
            </w:r>
            <w:r w:rsidRPr="002661A8">
              <w:rPr>
                <w:noProof/>
                <w:spacing w:val="-3"/>
                <w:lang w:val="pt-PT"/>
              </w:rPr>
              <w:t xml:space="preserve"> </w:t>
            </w:r>
            <w:r w:rsidRPr="002661A8">
              <w:rPr>
                <w:noProof/>
                <w:lang w:val="pt-PT"/>
              </w:rPr>
              <w:t>Valores</w:t>
            </w:r>
            <w:r w:rsidRPr="002661A8">
              <w:rPr>
                <w:noProof/>
                <w:spacing w:val="-5"/>
                <w:lang w:val="pt-PT"/>
              </w:rPr>
              <w:t xml:space="preserve"> </w:t>
            </w:r>
            <w:r w:rsidRPr="002661A8">
              <w:rPr>
                <w:noProof/>
                <w:lang w:val="pt-PT"/>
              </w:rPr>
              <w:t xml:space="preserve">Mobiliários </w:t>
            </w:r>
            <w:r w:rsidRPr="002661A8">
              <w:rPr>
                <w:noProof/>
                <w:spacing w:val="-2"/>
                <w:lang w:val="pt-PT"/>
              </w:rPr>
              <w:t>(CMVM)</w:t>
            </w:r>
          </w:p>
        </w:tc>
        <w:tc>
          <w:tcPr>
            <w:tcW w:w="1206" w:type="dxa"/>
            <w:shd w:val="clear" w:color="auto" w:fill="auto"/>
          </w:tcPr>
          <w:p w14:paraId="1E10AECF" w14:textId="4B50912C" w:rsidR="00813553" w:rsidRPr="002661A8" w:rsidRDefault="00813553" w:rsidP="00813553">
            <w:pPr>
              <w:widowControl w:val="0"/>
              <w:autoSpaceDE w:val="0"/>
              <w:autoSpaceDN w:val="0"/>
              <w:rPr>
                <w:rFonts w:eastAsia="Arial"/>
                <w:b/>
                <w:noProof/>
              </w:rPr>
            </w:pPr>
            <w:r w:rsidRPr="002661A8">
              <w:rPr>
                <w:noProof/>
              </w:rPr>
              <w:t xml:space="preserve">31 October </w:t>
            </w:r>
            <w:r w:rsidRPr="002661A8">
              <w:rPr>
                <w:noProof/>
                <w:spacing w:val="-4"/>
              </w:rPr>
              <w:t>2014</w:t>
            </w:r>
          </w:p>
        </w:tc>
      </w:tr>
      <w:tr w:rsidR="00C46861" w:rsidRPr="002661A8" w14:paraId="248842DE" w14:textId="77777777" w:rsidTr="00C46861">
        <w:tc>
          <w:tcPr>
            <w:tcW w:w="442" w:type="dxa"/>
            <w:shd w:val="clear" w:color="auto" w:fill="D9D9D9" w:themeFill="background1" w:themeFillShade="D9"/>
          </w:tcPr>
          <w:p w14:paraId="3EF9CB24" w14:textId="77777777" w:rsidR="00813553" w:rsidRPr="002661A8" w:rsidRDefault="00813553" w:rsidP="00813553">
            <w:pPr>
              <w:pStyle w:val="TableParagraph"/>
              <w:spacing w:before="1"/>
              <w:rPr>
                <w:rFonts w:ascii="Times New Roman" w:hAnsi="Times New Roman" w:cs="Times New Roman"/>
                <w:b/>
                <w:noProof/>
                <w:lang w:val="en-GB"/>
              </w:rPr>
            </w:pPr>
          </w:p>
          <w:p w14:paraId="1B1B8630" w14:textId="1613745B" w:rsidR="00813553" w:rsidRPr="002661A8" w:rsidRDefault="00C46861" w:rsidP="00813553">
            <w:pPr>
              <w:widowControl w:val="0"/>
              <w:autoSpaceDE w:val="0"/>
              <w:autoSpaceDN w:val="0"/>
              <w:rPr>
                <w:rFonts w:eastAsia="Arial"/>
                <w:b/>
                <w:noProof/>
              </w:rPr>
            </w:pPr>
            <w:r w:rsidRPr="002661A8">
              <w:rPr>
                <w:noProof/>
                <w:spacing w:val="-5"/>
              </w:rPr>
              <w:t>12</w:t>
            </w:r>
          </w:p>
        </w:tc>
        <w:tc>
          <w:tcPr>
            <w:tcW w:w="2112" w:type="dxa"/>
            <w:shd w:val="clear" w:color="auto" w:fill="D9D9D9" w:themeFill="background1" w:themeFillShade="D9"/>
          </w:tcPr>
          <w:p w14:paraId="09F7A294" w14:textId="14D29706" w:rsidR="00813553" w:rsidRPr="002661A8" w:rsidRDefault="00813553" w:rsidP="00D6052F">
            <w:pPr>
              <w:widowControl w:val="0"/>
              <w:autoSpaceDE w:val="0"/>
              <w:autoSpaceDN w:val="0"/>
              <w:spacing w:before="10"/>
              <w:rPr>
                <w:rFonts w:eastAsia="Arial"/>
                <w:b/>
                <w:noProof/>
              </w:rPr>
            </w:pPr>
            <w:r w:rsidRPr="002661A8">
              <w:rPr>
                <w:noProof/>
              </w:rPr>
              <w:t xml:space="preserve">ICE Clear Netherlands </w:t>
            </w:r>
            <w:r w:rsidR="00C46861" w:rsidRPr="002661A8">
              <w:rPr>
                <w:noProof/>
                <w:spacing w:val="-2"/>
              </w:rPr>
              <w:t>B.V</w:t>
            </w:r>
            <w:r w:rsidR="00C46861" w:rsidRPr="002661A8">
              <w:rPr>
                <w:noProof/>
              </w:rPr>
              <w:t>.</w:t>
            </w:r>
            <w:r w:rsidR="00684605" w:rsidRPr="002661A8">
              <w:rPr>
                <w:rStyle w:val="FootnoteReference"/>
                <w:noProof/>
                <w:spacing w:val="-2"/>
              </w:rPr>
              <w:footnoteReference w:id="205"/>
            </w:r>
          </w:p>
        </w:tc>
        <w:tc>
          <w:tcPr>
            <w:tcW w:w="1992" w:type="dxa"/>
            <w:shd w:val="clear" w:color="auto" w:fill="D9D9D9" w:themeFill="background1" w:themeFillShade="D9"/>
          </w:tcPr>
          <w:p w14:paraId="7C24B1A6" w14:textId="7184744D" w:rsidR="00813553" w:rsidRPr="002661A8" w:rsidRDefault="00813553" w:rsidP="00813553">
            <w:pPr>
              <w:jc w:val="both"/>
              <w:rPr>
                <w:rFonts w:eastAsia="Arial"/>
                <w:noProof/>
                <w:spacing w:val="-2"/>
              </w:rPr>
            </w:pPr>
            <w:r w:rsidRPr="002661A8">
              <w:rPr>
                <w:noProof/>
                <w:spacing w:val="-2"/>
              </w:rPr>
              <w:t xml:space="preserve">7245003TLNC4R9X </w:t>
            </w:r>
            <w:r w:rsidRPr="002661A8">
              <w:rPr>
                <w:noProof/>
                <w:spacing w:val="-4"/>
              </w:rPr>
              <w:t>FDX32</w:t>
            </w:r>
          </w:p>
        </w:tc>
        <w:tc>
          <w:tcPr>
            <w:tcW w:w="1245" w:type="dxa"/>
            <w:shd w:val="clear" w:color="auto" w:fill="D9D9D9" w:themeFill="background1" w:themeFillShade="D9"/>
          </w:tcPr>
          <w:p w14:paraId="26C01BC0" w14:textId="54AB4CD7" w:rsidR="00813553" w:rsidRPr="002661A8" w:rsidRDefault="00813553" w:rsidP="00813553">
            <w:pPr>
              <w:widowControl w:val="0"/>
              <w:autoSpaceDE w:val="0"/>
              <w:autoSpaceDN w:val="0"/>
              <w:rPr>
                <w:rFonts w:eastAsia="Arial"/>
                <w:b/>
                <w:noProof/>
              </w:rPr>
            </w:pPr>
            <w:r w:rsidRPr="002661A8">
              <w:rPr>
                <w:noProof/>
                <w:spacing w:val="-2"/>
              </w:rPr>
              <w:t>Netherlands</w:t>
            </w:r>
          </w:p>
        </w:tc>
        <w:tc>
          <w:tcPr>
            <w:tcW w:w="1837" w:type="dxa"/>
            <w:shd w:val="clear" w:color="auto" w:fill="D9D9D9" w:themeFill="background1" w:themeFillShade="D9"/>
          </w:tcPr>
          <w:p w14:paraId="32F564B3" w14:textId="1B66242D" w:rsidR="00813553" w:rsidRPr="002661A8" w:rsidRDefault="00813553" w:rsidP="00813553">
            <w:pPr>
              <w:jc w:val="both"/>
              <w:rPr>
                <w:rFonts w:eastAsia="Arial"/>
                <w:noProof/>
              </w:rPr>
            </w:pPr>
            <w:r w:rsidRPr="002661A8">
              <w:rPr>
                <w:noProof/>
              </w:rPr>
              <w:t>De Nederlandsche Bank (DNB)</w:t>
            </w:r>
          </w:p>
        </w:tc>
        <w:tc>
          <w:tcPr>
            <w:tcW w:w="1206" w:type="dxa"/>
            <w:shd w:val="clear" w:color="auto" w:fill="D9D9D9" w:themeFill="background1" w:themeFillShade="D9"/>
          </w:tcPr>
          <w:p w14:paraId="0B24F99A" w14:textId="5BFDF708" w:rsidR="00813553" w:rsidRPr="002661A8" w:rsidRDefault="00813553" w:rsidP="00813553">
            <w:pPr>
              <w:widowControl w:val="0"/>
              <w:autoSpaceDE w:val="0"/>
              <w:autoSpaceDN w:val="0"/>
              <w:rPr>
                <w:rFonts w:eastAsia="Arial"/>
                <w:b/>
                <w:noProof/>
              </w:rPr>
            </w:pPr>
            <w:r w:rsidRPr="002661A8">
              <w:rPr>
                <w:noProof/>
              </w:rPr>
              <w:t>12 December</w:t>
            </w:r>
            <w:r w:rsidRPr="002661A8">
              <w:rPr>
                <w:noProof/>
                <w:spacing w:val="-4"/>
              </w:rPr>
              <w:t xml:space="preserve"> 2014</w:t>
            </w:r>
          </w:p>
        </w:tc>
      </w:tr>
      <w:tr w:rsidR="00813553" w:rsidRPr="002661A8" w14:paraId="6CBAC7BB" w14:textId="77777777" w:rsidTr="00C46861">
        <w:tc>
          <w:tcPr>
            <w:tcW w:w="442" w:type="dxa"/>
            <w:shd w:val="clear" w:color="auto" w:fill="auto"/>
          </w:tcPr>
          <w:p w14:paraId="4EB5C1CD" w14:textId="77777777" w:rsidR="00813553" w:rsidRPr="002661A8" w:rsidRDefault="00813553" w:rsidP="00813553">
            <w:pPr>
              <w:pStyle w:val="TableParagraph"/>
              <w:spacing w:before="10"/>
              <w:rPr>
                <w:rFonts w:ascii="Times New Roman" w:hAnsi="Times New Roman" w:cs="Times New Roman"/>
                <w:b/>
                <w:noProof/>
                <w:lang w:val="en-GB"/>
              </w:rPr>
            </w:pPr>
          </w:p>
          <w:p w14:paraId="1A68E0C7" w14:textId="2DD8BC0D" w:rsidR="00813553" w:rsidRPr="002661A8" w:rsidRDefault="00813553" w:rsidP="00813553">
            <w:pPr>
              <w:widowControl w:val="0"/>
              <w:autoSpaceDE w:val="0"/>
              <w:autoSpaceDN w:val="0"/>
              <w:rPr>
                <w:rFonts w:eastAsia="Arial"/>
                <w:b/>
                <w:noProof/>
              </w:rPr>
            </w:pPr>
            <w:r w:rsidRPr="002661A8">
              <w:rPr>
                <w:noProof/>
                <w:spacing w:val="-5"/>
              </w:rPr>
              <w:t>13</w:t>
            </w:r>
          </w:p>
        </w:tc>
        <w:tc>
          <w:tcPr>
            <w:tcW w:w="2112" w:type="dxa"/>
            <w:shd w:val="clear" w:color="auto" w:fill="auto"/>
          </w:tcPr>
          <w:p w14:paraId="4483F7C0" w14:textId="254BEBAD" w:rsidR="00813553" w:rsidRPr="002661A8" w:rsidRDefault="00813553" w:rsidP="00D6052F">
            <w:pPr>
              <w:widowControl w:val="0"/>
              <w:autoSpaceDE w:val="0"/>
              <w:autoSpaceDN w:val="0"/>
              <w:spacing w:before="10"/>
              <w:rPr>
                <w:rFonts w:eastAsia="Arial"/>
                <w:b/>
                <w:noProof/>
              </w:rPr>
            </w:pPr>
            <w:r w:rsidRPr="002661A8">
              <w:rPr>
                <w:noProof/>
              </w:rPr>
              <w:t>Athens Exchange Clearing House (Athex Clear)</w:t>
            </w:r>
          </w:p>
        </w:tc>
        <w:tc>
          <w:tcPr>
            <w:tcW w:w="1992" w:type="dxa"/>
            <w:shd w:val="clear" w:color="auto" w:fill="auto"/>
          </w:tcPr>
          <w:p w14:paraId="3596839C" w14:textId="5368F9E1" w:rsidR="00813553" w:rsidRPr="002661A8" w:rsidRDefault="00813553" w:rsidP="00C46861">
            <w:pPr>
              <w:pStyle w:val="TableParagraph"/>
              <w:spacing w:line="207" w:lineRule="exact"/>
              <w:ind w:right="123"/>
              <w:rPr>
                <w:rFonts w:ascii="Times New Roman" w:hAnsi="Times New Roman" w:cs="Times New Roman"/>
                <w:noProof/>
                <w:lang w:val="en-GB"/>
              </w:rPr>
            </w:pPr>
            <w:r w:rsidRPr="002661A8">
              <w:rPr>
                <w:rFonts w:ascii="Times New Roman" w:hAnsi="Times New Roman" w:cs="Times New Roman"/>
                <w:noProof/>
                <w:spacing w:val="-2"/>
                <w:lang w:val="en-GB"/>
              </w:rPr>
              <w:t>213800IW53U9JMJ</w:t>
            </w:r>
          </w:p>
          <w:p w14:paraId="15C46934" w14:textId="6A43DA33" w:rsidR="00813553" w:rsidRPr="002661A8" w:rsidRDefault="00813553" w:rsidP="00813553">
            <w:pPr>
              <w:jc w:val="both"/>
              <w:rPr>
                <w:rFonts w:eastAsia="Arial"/>
                <w:noProof/>
                <w:spacing w:val="-2"/>
              </w:rPr>
            </w:pPr>
            <w:r w:rsidRPr="002661A8">
              <w:rPr>
                <w:noProof/>
                <w:spacing w:val="-4"/>
              </w:rPr>
              <w:t>4QR40</w:t>
            </w:r>
          </w:p>
        </w:tc>
        <w:tc>
          <w:tcPr>
            <w:tcW w:w="1245" w:type="dxa"/>
            <w:shd w:val="clear" w:color="auto" w:fill="auto"/>
          </w:tcPr>
          <w:p w14:paraId="4816D142" w14:textId="77777777" w:rsidR="00813553" w:rsidRPr="002661A8" w:rsidRDefault="00813553" w:rsidP="00813553">
            <w:pPr>
              <w:pStyle w:val="TableParagraph"/>
              <w:spacing w:before="10"/>
              <w:rPr>
                <w:rFonts w:ascii="Times New Roman" w:hAnsi="Times New Roman" w:cs="Times New Roman"/>
                <w:b/>
                <w:noProof/>
                <w:lang w:val="en-GB"/>
              </w:rPr>
            </w:pPr>
          </w:p>
          <w:p w14:paraId="2B04AB4F" w14:textId="2E66BF0C" w:rsidR="00813553" w:rsidRPr="002661A8" w:rsidRDefault="00813553" w:rsidP="00813553">
            <w:pPr>
              <w:widowControl w:val="0"/>
              <w:autoSpaceDE w:val="0"/>
              <w:autoSpaceDN w:val="0"/>
              <w:rPr>
                <w:rFonts w:eastAsia="Arial"/>
                <w:b/>
                <w:noProof/>
              </w:rPr>
            </w:pPr>
            <w:r w:rsidRPr="002661A8">
              <w:rPr>
                <w:noProof/>
                <w:spacing w:val="-2"/>
              </w:rPr>
              <w:t>Greece</w:t>
            </w:r>
          </w:p>
        </w:tc>
        <w:tc>
          <w:tcPr>
            <w:tcW w:w="1837" w:type="dxa"/>
            <w:shd w:val="clear" w:color="auto" w:fill="auto"/>
          </w:tcPr>
          <w:p w14:paraId="6D2CD11C" w14:textId="032AAA39" w:rsidR="00813553" w:rsidRPr="002661A8" w:rsidRDefault="00813553" w:rsidP="00813553">
            <w:pPr>
              <w:jc w:val="both"/>
              <w:rPr>
                <w:rFonts w:eastAsia="Arial"/>
                <w:noProof/>
              </w:rPr>
            </w:pPr>
            <w:r w:rsidRPr="002661A8">
              <w:rPr>
                <w:noProof/>
              </w:rPr>
              <w:t>Hellenic Capital Market Commission</w:t>
            </w:r>
          </w:p>
        </w:tc>
        <w:tc>
          <w:tcPr>
            <w:tcW w:w="1206" w:type="dxa"/>
            <w:shd w:val="clear" w:color="auto" w:fill="auto"/>
          </w:tcPr>
          <w:p w14:paraId="6B5F1016" w14:textId="798138F6" w:rsidR="00813553" w:rsidRPr="002661A8" w:rsidRDefault="00813553" w:rsidP="00813553">
            <w:pPr>
              <w:widowControl w:val="0"/>
              <w:autoSpaceDE w:val="0"/>
              <w:autoSpaceDN w:val="0"/>
              <w:rPr>
                <w:rFonts w:eastAsia="Arial"/>
                <w:b/>
                <w:noProof/>
              </w:rPr>
            </w:pPr>
            <w:r w:rsidRPr="002661A8">
              <w:rPr>
                <w:noProof/>
              </w:rPr>
              <w:t xml:space="preserve">22 January </w:t>
            </w:r>
            <w:r w:rsidRPr="002661A8">
              <w:rPr>
                <w:noProof/>
                <w:spacing w:val="-4"/>
              </w:rPr>
              <w:t>2015</w:t>
            </w:r>
          </w:p>
        </w:tc>
      </w:tr>
      <w:tr w:rsidR="00813553" w:rsidRPr="002661A8" w14:paraId="29C46668" w14:textId="77777777" w:rsidTr="00C46861">
        <w:tc>
          <w:tcPr>
            <w:tcW w:w="442" w:type="dxa"/>
            <w:shd w:val="clear" w:color="auto" w:fill="D9D9D9" w:themeFill="background1" w:themeFillShade="D9"/>
          </w:tcPr>
          <w:p w14:paraId="5709D28C" w14:textId="77777777" w:rsidR="00813553" w:rsidRPr="002661A8" w:rsidRDefault="00813553" w:rsidP="00813553">
            <w:pPr>
              <w:pStyle w:val="TableParagraph"/>
              <w:rPr>
                <w:rFonts w:ascii="Times New Roman" w:hAnsi="Times New Roman" w:cs="Times New Roman"/>
                <w:b/>
                <w:noProof/>
                <w:lang w:val="en-GB"/>
              </w:rPr>
            </w:pPr>
          </w:p>
          <w:p w14:paraId="4F73F650" w14:textId="2EDF21B2" w:rsidR="00813553" w:rsidRPr="002661A8" w:rsidRDefault="00813553" w:rsidP="00813553">
            <w:pPr>
              <w:widowControl w:val="0"/>
              <w:autoSpaceDE w:val="0"/>
              <w:autoSpaceDN w:val="0"/>
              <w:rPr>
                <w:rFonts w:eastAsia="Arial"/>
                <w:b/>
                <w:noProof/>
              </w:rPr>
            </w:pPr>
            <w:r w:rsidRPr="002661A8">
              <w:rPr>
                <w:noProof/>
                <w:spacing w:val="-5"/>
              </w:rPr>
              <w:t>14</w:t>
            </w:r>
          </w:p>
        </w:tc>
        <w:tc>
          <w:tcPr>
            <w:tcW w:w="2112" w:type="dxa"/>
            <w:shd w:val="clear" w:color="auto" w:fill="D9D9D9" w:themeFill="background1" w:themeFillShade="D9"/>
          </w:tcPr>
          <w:p w14:paraId="7E3B5A0A" w14:textId="248A8466" w:rsidR="00813553" w:rsidRPr="002661A8" w:rsidRDefault="00813553" w:rsidP="00C46861">
            <w:pPr>
              <w:pStyle w:val="TableParagraph"/>
              <w:rPr>
                <w:rFonts w:ascii="Times New Roman" w:hAnsi="Times New Roman" w:cs="Times New Roman"/>
                <w:noProof/>
                <w:lang w:val="en-GB"/>
              </w:rPr>
            </w:pPr>
            <w:r w:rsidRPr="002661A8">
              <w:rPr>
                <w:rFonts w:ascii="Times New Roman" w:hAnsi="Times New Roman" w:cs="Times New Roman"/>
                <w:noProof/>
                <w:lang w:val="en-GB"/>
              </w:rPr>
              <w:t>SKDD-CCP</w:t>
            </w:r>
            <w:r w:rsidRPr="002661A8">
              <w:rPr>
                <w:rFonts w:ascii="Times New Roman" w:hAnsi="Times New Roman" w:cs="Times New Roman"/>
                <w:noProof/>
                <w:spacing w:val="-5"/>
                <w:lang w:val="en-GB"/>
              </w:rPr>
              <w:t xml:space="preserve"> </w:t>
            </w:r>
            <w:r w:rsidRPr="002661A8">
              <w:rPr>
                <w:rFonts w:ascii="Times New Roman" w:hAnsi="Times New Roman" w:cs="Times New Roman"/>
                <w:noProof/>
                <w:lang w:val="en-GB"/>
              </w:rPr>
              <w:t>Smart</w:t>
            </w:r>
            <w:r w:rsidRPr="002661A8">
              <w:rPr>
                <w:rFonts w:ascii="Times New Roman" w:hAnsi="Times New Roman" w:cs="Times New Roman"/>
                <w:noProof/>
                <w:spacing w:val="-5"/>
                <w:lang w:val="en-GB"/>
              </w:rPr>
              <w:t xml:space="preserve"> </w:t>
            </w:r>
            <w:r w:rsidRPr="002661A8">
              <w:rPr>
                <w:rFonts w:ascii="Times New Roman" w:hAnsi="Times New Roman" w:cs="Times New Roman"/>
                <w:noProof/>
                <w:spacing w:val="-2"/>
                <w:lang w:val="en-GB"/>
              </w:rPr>
              <w:t>Clear</w:t>
            </w:r>
          </w:p>
          <w:p w14:paraId="2EBD3CB2" w14:textId="45FA3535" w:rsidR="00813553" w:rsidRPr="002661A8" w:rsidRDefault="00813553" w:rsidP="00D6052F">
            <w:pPr>
              <w:widowControl w:val="0"/>
              <w:autoSpaceDE w:val="0"/>
              <w:autoSpaceDN w:val="0"/>
              <w:spacing w:before="10"/>
              <w:rPr>
                <w:rFonts w:eastAsia="Arial"/>
                <w:b/>
                <w:noProof/>
              </w:rPr>
            </w:pPr>
            <w:r w:rsidRPr="002661A8">
              <w:rPr>
                <w:noProof/>
              </w:rPr>
              <w:t>d.d (SKDD-</w:t>
            </w:r>
            <w:r w:rsidRPr="002661A8">
              <w:rPr>
                <w:noProof/>
                <w:spacing w:val="-4"/>
              </w:rPr>
              <w:t>CCP)</w:t>
            </w:r>
          </w:p>
        </w:tc>
        <w:tc>
          <w:tcPr>
            <w:tcW w:w="1992" w:type="dxa"/>
            <w:shd w:val="clear" w:color="auto" w:fill="D9D9D9" w:themeFill="background1" w:themeFillShade="D9"/>
          </w:tcPr>
          <w:p w14:paraId="2CCE4624" w14:textId="4E19C691" w:rsidR="00813553" w:rsidRPr="002661A8" w:rsidRDefault="00813553" w:rsidP="00813553">
            <w:pPr>
              <w:jc w:val="both"/>
              <w:rPr>
                <w:rFonts w:eastAsia="Arial"/>
                <w:noProof/>
                <w:spacing w:val="-2"/>
              </w:rPr>
            </w:pPr>
            <w:r w:rsidRPr="002661A8">
              <w:rPr>
                <w:noProof/>
                <w:spacing w:val="-2"/>
              </w:rPr>
              <w:t>747800E0OA8S9C M7RR46</w:t>
            </w:r>
          </w:p>
        </w:tc>
        <w:tc>
          <w:tcPr>
            <w:tcW w:w="1245" w:type="dxa"/>
            <w:shd w:val="clear" w:color="auto" w:fill="D9D9D9" w:themeFill="background1" w:themeFillShade="D9"/>
          </w:tcPr>
          <w:p w14:paraId="5ACB7DE7" w14:textId="77777777" w:rsidR="00813553" w:rsidRPr="002661A8" w:rsidRDefault="00813553" w:rsidP="00813553">
            <w:pPr>
              <w:pStyle w:val="TableParagraph"/>
              <w:rPr>
                <w:rFonts w:ascii="Times New Roman" w:hAnsi="Times New Roman" w:cs="Times New Roman"/>
                <w:b/>
                <w:noProof/>
                <w:lang w:val="en-GB"/>
              </w:rPr>
            </w:pPr>
          </w:p>
          <w:p w14:paraId="0065A5E1" w14:textId="4BA9F403" w:rsidR="00813553" w:rsidRPr="002661A8" w:rsidRDefault="00813553" w:rsidP="00813553">
            <w:pPr>
              <w:widowControl w:val="0"/>
              <w:autoSpaceDE w:val="0"/>
              <w:autoSpaceDN w:val="0"/>
              <w:rPr>
                <w:rFonts w:eastAsia="Arial"/>
                <w:b/>
                <w:noProof/>
              </w:rPr>
            </w:pPr>
            <w:r w:rsidRPr="002661A8">
              <w:rPr>
                <w:noProof/>
                <w:spacing w:val="-2"/>
              </w:rPr>
              <w:t>Croatia</w:t>
            </w:r>
          </w:p>
        </w:tc>
        <w:tc>
          <w:tcPr>
            <w:tcW w:w="1837" w:type="dxa"/>
            <w:shd w:val="clear" w:color="auto" w:fill="D9D9D9" w:themeFill="background1" w:themeFillShade="D9"/>
          </w:tcPr>
          <w:p w14:paraId="56995133" w14:textId="520302E9" w:rsidR="00813553" w:rsidRPr="002661A8" w:rsidRDefault="00813553" w:rsidP="00813553">
            <w:pPr>
              <w:jc w:val="both"/>
              <w:rPr>
                <w:rFonts w:eastAsia="Arial"/>
                <w:noProof/>
                <w:lang w:val="pl-PL"/>
              </w:rPr>
            </w:pPr>
            <w:r w:rsidRPr="002661A8">
              <w:rPr>
                <w:noProof/>
                <w:lang w:val="pl-PL"/>
              </w:rPr>
              <w:t>Hrvatska agencija za nadzor financijskih usluga (HANFA)</w:t>
            </w:r>
          </w:p>
        </w:tc>
        <w:tc>
          <w:tcPr>
            <w:tcW w:w="1206" w:type="dxa"/>
            <w:shd w:val="clear" w:color="auto" w:fill="D9D9D9" w:themeFill="background1" w:themeFillShade="D9"/>
          </w:tcPr>
          <w:p w14:paraId="52CCEEAA" w14:textId="30E79056" w:rsidR="00813553" w:rsidRPr="002661A8" w:rsidRDefault="00813553" w:rsidP="00813553">
            <w:pPr>
              <w:widowControl w:val="0"/>
              <w:autoSpaceDE w:val="0"/>
              <w:autoSpaceDN w:val="0"/>
              <w:rPr>
                <w:rFonts w:eastAsia="Arial"/>
                <w:b/>
                <w:noProof/>
              </w:rPr>
            </w:pPr>
            <w:r w:rsidRPr="002661A8">
              <w:rPr>
                <w:noProof/>
              </w:rPr>
              <w:t xml:space="preserve">29 October </w:t>
            </w:r>
            <w:r w:rsidRPr="002661A8">
              <w:rPr>
                <w:noProof/>
                <w:spacing w:val="-4"/>
              </w:rPr>
              <w:t>2021</w:t>
            </w:r>
          </w:p>
        </w:tc>
      </w:tr>
    </w:tbl>
    <w:p w14:paraId="500966EC" w14:textId="7265BD0C" w:rsidR="00D21C67" w:rsidRPr="002661A8" w:rsidRDefault="00D21C67" w:rsidP="00D6052F">
      <w:pPr>
        <w:spacing w:before="240"/>
        <w:jc w:val="both"/>
        <w:rPr>
          <w:rFonts w:ascii="Times New Roman" w:hAnsi="Times New Roman" w:cs="Times New Roman"/>
          <w:b/>
          <w:noProof/>
          <w:sz w:val="24"/>
          <w:szCs w:val="24"/>
        </w:rPr>
      </w:pPr>
      <w:r w:rsidRPr="002661A8">
        <w:rPr>
          <w:rFonts w:ascii="Times New Roman" w:hAnsi="Times New Roman" w:cs="Times New Roman"/>
          <w:b/>
          <w:noProof/>
          <w:sz w:val="24"/>
          <w:szCs w:val="24"/>
        </w:rPr>
        <w:t>Table 2: List of recognised third-country CCPs</w:t>
      </w:r>
      <w:r w:rsidR="009C7B19" w:rsidRPr="002661A8">
        <w:rPr>
          <w:rStyle w:val="FootnoteReference"/>
          <w:rFonts w:ascii="Times New Roman" w:hAnsi="Times New Roman" w:cs="Times New Roman"/>
          <w:b/>
          <w:noProof/>
          <w:sz w:val="24"/>
          <w:szCs w:val="24"/>
        </w:rPr>
        <w:footnoteReference w:id="206"/>
      </w:r>
    </w:p>
    <w:tbl>
      <w:tblPr>
        <w:tblStyle w:val="TableGrid"/>
        <w:tblW w:w="9498" w:type="dxa"/>
        <w:shd w:val="clear" w:color="auto" w:fill="FFFFFF" w:themeFill="background1"/>
        <w:tblLayout w:type="fixed"/>
        <w:tblLook w:val="04A0" w:firstRow="1" w:lastRow="0" w:firstColumn="1" w:lastColumn="0" w:noHBand="0" w:noVBand="1"/>
      </w:tblPr>
      <w:tblGrid>
        <w:gridCol w:w="534"/>
        <w:gridCol w:w="2835"/>
        <w:gridCol w:w="884"/>
        <w:gridCol w:w="1809"/>
        <w:gridCol w:w="1417"/>
        <w:gridCol w:w="993"/>
        <w:gridCol w:w="1026"/>
      </w:tblGrid>
      <w:tr w:rsidR="00A60E02" w:rsidRPr="002661A8" w14:paraId="5190187F" w14:textId="77777777" w:rsidTr="00DC0339">
        <w:tc>
          <w:tcPr>
            <w:tcW w:w="534" w:type="dxa"/>
            <w:tcBorders>
              <w:top w:val="single" w:sz="8" w:space="0" w:color="000000" w:themeColor="text1"/>
              <w:left w:val="nil"/>
              <w:bottom w:val="single" w:sz="8" w:space="0" w:color="000000" w:themeColor="text1"/>
              <w:right w:val="nil"/>
            </w:tcBorders>
            <w:shd w:val="clear" w:color="auto" w:fill="FFFFFF" w:themeFill="background1"/>
          </w:tcPr>
          <w:p w14:paraId="3C821F4C" w14:textId="3B9891B8" w:rsidR="00684605" w:rsidRPr="002661A8" w:rsidRDefault="00684605" w:rsidP="00684605">
            <w:pPr>
              <w:jc w:val="both"/>
              <w:rPr>
                <w:b/>
                <w:noProof/>
                <w:sz w:val="18"/>
                <w:szCs w:val="18"/>
              </w:rPr>
            </w:pPr>
            <w:r w:rsidRPr="002661A8">
              <w:rPr>
                <w:b/>
                <w:noProof/>
                <w:spacing w:val="-5"/>
                <w:sz w:val="18"/>
                <w:szCs w:val="18"/>
              </w:rPr>
              <w:t>id</w:t>
            </w:r>
          </w:p>
        </w:tc>
        <w:tc>
          <w:tcPr>
            <w:tcW w:w="2835" w:type="dxa"/>
            <w:tcBorders>
              <w:top w:val="single" w:sz="8" w:space="0" w:color="000000" w:themeColor="text1"/>
              <w:left w:val="nil"/>
              <w:bottom w:val="single" w:sz="8" w:space="0" w:color="000000" w:themeColor="text1"/>
              <w:right w:val="nil"/>
            </w:tcBorders>
            <w:shd w:val="clear" w:color="auto" w:fill="FFFFFF" w:themeFill="background1"/>
          </w:tcPr>
          <w:p w14:paraId="66F7682B" w14:textId="6EECC9E1" w:rsidR="00684605" w:rsidRPr="002661A8" w:rsidRDefault="00684605" w:rsidP="00684605">
            <w:pPr>
              <w:jc w:val="both"/>
              <w:rPr>
                <w:b/>
                <w:noProof/>
                <w:sz w:val="18"/>
                <w:szCs w:val="18"/>
              </w:rPr>
            </w:pPr>
            <w:r w:rsidRPr="002661A8">
              <w:rPr>
                <w:b/>
                <w:noProof/>
                <w:sz w:val="18"/>
                <w:szCs w:val="18"/>
              </w:rPr>
              <w:t>Name</w:t>
            </w:r>
            <w:r w:rsidRPr="002661A8">
              <w:rPr>
                <w:b/>
                <w:noProof/>
                <w:spacing w:val="-5"/>
                <w:sz w:val="18"/>
                <w:szCs w:val="18"/>
              </w:rPr>
              <w:t xml:space="preserve"> </w:t>
            </w:r>
            <w:r w:rsidRPr="002661A8">
              <w:rPr>
                <w:b/>
                <w:noProof/>
                <w:sz w:val="18"/>
                <w:szCs w:val="18"/>
              </w:rPr>
              <w:t>of</w:t>
            </w:r>
            <w:r w:rsidRPr="002661A8">
              <w:rPr>
                <w:b/>
                <w:noProof/>
                <w:spacing w:val="-4"/>
                <w:sz w:val="18"/>
                <w:szCs w:val="18"/>
              </w:rPr>
              <w:t xml:space="preserve"> </w:t>
            </w:r>
            <w:r w:rsidRPr="002661A8">
              <w:rPr>
                <w:b/>
                <w:noProof/>
                <w:sz w:val="18"/>
                <w:szCs w:val="18"/>
              </w:rPr>
              <w:t>the</w:t>
            </w:r>
            <w:r w:rsidRPr="002661A8">
              <w:rPr>
                <w:b/>
                <w:noProof/>
                <w:spacing w:val="-4"/>
                <w:sz w:val="18"/>
                <w:szCs w:val="18"/>
              </w:rPr>
              <w:t xml:space="preserve"> </w:t>
            </w:r>
            <w:r w:rsidRPr="002661A8">
              <w:rPr>
                <w:b/>
                <w:noProof/>
                <w:spacing w:val="-5"/>
                <w:sz w:val="18"/>
                <w:szCs w:val="18"/>
              </w:rPr>
              <w:t>CCP</w:t>
            </w:r>
          </w:p>
        </w:tc>
        <w:tc>
          <w:tcPr>
            <w:tcW w:w="884" w:type="dxa"/>
            <w:tcBorders>
              <w:top w:val="single" w:sz="8" w:space="0" w:color="000000" w:themeColor="text1"/>
              <w:left w:val="nil"/>
              <w:bottom w:val="single" w:sz="8" w:space="0" w:color="000000" w:themeColor="text1"/>
              <w:right w:val="nil"/>
            </w:tcBorders>
            <w:shd w:val="clear" w:color="auto" w:fill="FFFFFF" w:themeFill="background1"/>
          </w:tcPr>
          <w:p w14:paraId="3C64375A" w14:textId="0D09ACC2" w:rsidR="00684605" w:rsidRPr="002661A8" w:rsidRDefault="00684605" w:rsidP="00684605">
            <w:pPr>
              <w:jc w:val="both"/>
              <w:rPr>
                <w:b/>
                <w:noProof/>
                <w:sz w:val="18"/>
                <w:szCs w:val="18"/>
              </w:rPr>
            </w:pPr>
            <w:r w:rsidRPr="002661A8">
              <w:rPr>
                <w:b/>
                <w:noProof/>
                <w:sz w:val="18"/>
                <w:szCs w:val="18"/>
              </w:rPr>
              <w:t>CCP</w:t>
            </w:r>
            <w:r w:rsidRPr="002661A8">
              <w:rPr>
                <w:b/>
                <w:noProof/>
                <w:spacing w:val="-13"/>
                <w:sz w:val="18"/>
                <w:szCs w:val="18"/>
              </w:rPr>
              <w:t xml:space="preserve"> </w:t>
            </w:r>
            <w:r w:rsidRPr="002661A8">
              <w:rPr>
                <w:b/>
                <w:noProof/>
                <w:sz w:val="18"/>
                <w:szCs w:val="18"/>
              </w:rPr>
              <w:t xml:space="preserve">short </w:t>
            </w:r>
            <w:r w:rsidRPr="002661A8">
              <w:rPr>
                <w:b/>
                <w:noProof/>
                <w:spacing w:val="-4"/>
                <w:sz w:val="18"/>
                <w:szCs w:val="18"/>
              </w:rPr>
              <w:t>name</w:t>
            </w:r>
          </w:p>
        </w:tc>
        <w:tc>
          <w:tcPr>
            <w:tcW w:w="1809" w:type="dxa"/>
            <w:tcBorders>
              <w:top w:val="single" w:sz="8" w:space="0" w:color="000000" w:themeColor="text1"/>
              <w:left w:val="nil"/>
              <w:bottom w:val="single" w:sz="8" w:space="0" w:color="000000" w:themeColor="text1"/>
              <w:right w:val="nil"/>
            </w:tcBorders>
            <w:shd w:val="clear" w:color="auto" w:fill="FFFFFF" w:themeFill="background1"/>
          </w:tcPr>
          <w:p w14:paraId="4B901426" w14:textId="64605A95" w:rsidR="00684605" w:rsidRPr="002661A8" w:rsidRDefault="00684605" w:rsidP="00684605">
            <w:pPr>
              <w:jc w:val="both"/>
              <w:rPr>
                <w:b/>
                <w:noProof/>
                <w:sz w:val="18"/>
                <w:szCs w:val="18"/>
              </w:rPr>
            </w:pPr>
            <w:r w:rsidRPr="002661A8">
              <w:rPr>
                <w:b/>
                <w:noProof/>
                <w:sz w:val="18"/>
                <w:szCs w:val="18"/>
              </w:rPr>
              <w:t xml:space="preserve">Country of </w:t>
            </w:r>
            <w:r w:rsidRPr="002661A8">
              <w:rPr>
                <w:b/>
                <w:noProof/>
                <w:spacing w:val="-2"/>
                <w:sz w:val="18"/>
                <w:szCs w:val="18"/>
              </w:rPr>
              <w:t>establishment</w:t>
            </w:r>
          </w:p>
        </w:tc>
        <w:tc>
          <w:tcPr>
            <w:tcW w:w="1417" w:type="dxa"/>
            <w:tcBorders>
              <w:top w:val="single" w:sz="8" w:space="0" w:color="000000" w:themeColor="text1"/>
              <w:left w:val="nil"/>
              <w:bottom w:val="single" w:sz="8" w:space="0" w:color="000000" w:themeColor="text1"/>
              <w:right w:val="nil"/>
            </w:tcBorders>
            <w:shd w:val="clear" w:color="auto" w:fill="FFFFFF" w:themeFill="background1"/>
          </w:tcPr>
          <w:p w14:paraId="7161DE07" w14:textId="5F7FF266" w:rsidR="00684605" w:rsidRPr="002661A8" w:rsidRDefault="00684605" w:rsidP="00A0454F">
            <w:pPr>
              <w:ind w:left="-106" w:right="-111"/>
              <w:jc w:val="both"/>
              <w:rPr>
                <w:b/>
                <w:noProof/>
                <w:sz w:val="18"/>
                <w:szCs w:val="18"/>
              </w:rPr>
            </w:pPr>
            <w:r w:rsidRPr="002661A8">
              <w:rPr>
                <w:b/>
                <w:noProof/>
                <w:sz w:val="18"/>
                <w:szCs w:val="18"/>
              </w:rPr>
              <w:t xml:space="preserve">Date of </w:t>
            </w:r>
            <w:r w:rsidRPr="002661A8">
              <w:rPr>
                <w:b/>
                <w:noProof/>
                <w:spacing w:val="-2"/>
                <w:sz w:val="18"/>
                <w:szCs w:val="18"/>
              </w:rPr>
              <w:t>recognition</w:t>
            </w:r>
          </w:p>
        </w:tc>
        <w:tc>
          <w:tcPr>
            <w:tcW w:w="993" w:type="dxa"/>
            <w:tcBorders>
              <w:top w:val="single" w:sz="8" w:space="0" w:color="000000" w:themeColor="text1"/>
              <w:left w:val="nil"/>
              <w:bottom w:val="single" w:sz="8" w:space="0" w:color="000000" w:themeColor="text1"/>
              <w:right w:val="nil"/>
            </w:tcBorders>
            <w:shd w:val="clear" w:color="auto" w:fill="FFFFFF" w:themeFill="background1"/>
          </w:tcPr>
          <w:p w14:paraId="528FA5C8" w14:textId="4A831EF3" w:rsidR="00684605" w:rsidRPr="002661A8" w:rsidRDefault="00684605" w:rsidP="00684605">
            <w:pPr>
              <w:jc w:val="both"/>
              <w:rPr>
                <w:b/>
                <w:noProof/>
                <w:sz w:val="18"/>
                <w:szCs w:val="18"/>
              </w:rPr>
            </w:pPr>
            <w:r w:rsidRPr="002661A8">
              <w:rPr>
                <w:b/>
                <w:noProof/>
                <w:sz w:val="18"/>
                <w:szCs w:val="18"/>
              </w:rPr>
              <w:t>Date of last</w:t>
            </w:r>
            <w:r w:rsidRPr="002661A8">
              <w:rPr>
                <w:b/>
                <w:noProof/>
                <w:spacing w:val="-13"/>
                <w:sz w:val="18"/>
                <w:szCs w:val="18"/>
              </w:rPr>
              <w:t xml:space="preserve"> </w:t>
            </w:r>
            <w:r w:rsidRPr="002661A8">
              <w:rPr>
                <w:b/>
                <w:noProof/>
                <w:sz w:val="18"/>
                <w:szCs w:val="18"/>
              </w:rPr>
              <w:t>review</w:t>
            </w:r>
          </w:p>
        </w:tc>
        <w:tc>
          <w:tcPr>
            <w:tcW w:w="1026" w:type="dxa"/>
            <w:tcBorders>
              <w:top w:val="single" w:sz="8" w:space="0" w:color="000000" w:themeColor="text1"/>
              <w:left w:val="nil"/>
              <w:bottom w:val="single" w:sz="8" w:space="0" w:color="000000" w:themeColor="text1"/>
              <w:right w:val="nil"/>
            </w:tcBorders>
            <w:shd w:val="clear" w:color="auto" w:fill="FFFFFF" w:themeFill="background1"/>
          </w:tcPr>
          <w:p w14:paraId="6BD7D194" w14:textId="7F636D52" w:rsidR="00684605" w:rsidRPr="002661A8" w:rsidRDefault="00684605" w:rsidP="00684605">
            <w:pPr>
              <w:jc w:val="both"/>
              <w:rPr>
                <w:b/>
                <w:noProof/>
                <w:sz w:val="18"/>
                <w:szCs w:val="18"/>
              </w:rPr>
            </w:pPr>
            <w:r w:rsidRPr="002661A8">
              <w:rPr>
                <w:b/>
                <w:noProof/>
                <w:spacing w:val="-4"/>
                <w:sz w:val="18"/>
                <w:szCs w:val="18"/>
              </w:rPr>
              <w:t>Tier</w:t>
            </w:r>
          </w:p>
        </w:tc>
      </w:tr>
      <w:tr w:rsidR="00A60E02" w:rsidRPr="002661A8" w14:paraId="43459916" w14:textId="77777777" w:rsidTr="00DC0339">
        <w:trPr>
          <w:trHeight w:val="393"/>
        </w:trPr>
        <w:tc>
          <w:tcPr>
            <w:tcW w:w="534" w:type="dxa"/>
            <w:shd w:val="clear" w:color="auto" w:fill="FFFFFF" w:themeFill="background1"/>
          </w:tcPr>
          <w:p w14:paraId="53E84421" w14:textId="5D6EC01F" w:rsidR="00A60E02" w:rsidRPr="002661A8" w:rsidRDefault="00A60E02" w:rsidP="00641DA4">
            <w:pPr>
              <w:jc w:val="center"/>
              <w:rPr>
                <w:b/>
                <w:noProof/>
                <w:w w:val="99"/>
              </w:rPr>
            </w:pPr>
            <w:r w:rsidRPr="002661A8">
              <w:rPr>
                <w:b/>
                <w:noProof/>
                <w:w w:val="99"/>
              </w:rPr>
              <w:t>1</w:t>
            </w:r>
          </w:p>
        </w:tc>
        <w:tc>
          <w:tcPr>
            <w:tcW w:w="2835" w:type="dxa"/>
            <w:shd w:val="clear" w:color="auto" w:fill="FFFFFF" w:themeFill="background1"/>
          </w:tcPr>
          <w:p w14:paraId="108A9B08" w14:textId="741CE38D" w:rsidR="00A60E02" w:rsidRPr="002661A8" w:rsidRDefault="00A60E02" w:rsidP="00641DA4">
            <w:pPr>
              <w:jc w:val="center"/>
              <w:rPr>
                <w:noProof/>
              </w:rPr>
            </w:pPr>
            <w:r w:rsidRPr="002661A8">
              <w:rPr>
                <w:noProof/>
              </w:rPr>
              <w:t xml:space="preserve">ASX Clear (Futures) Pty </w:t>
            </w:r>
            <w:r w:rsidRPr="002661A8">
              <w:rPr>
                <w:noProof/>
                <w:spacing w:val="-2"/>
              </w:rPr>
              <w:t>Limited</w:t>
            </w:r>
          </w:p>
        </w:tc>
        <w:tc>
          <w:tcPr>
            <w:tcW w:w="884" w:type="dxa"/>
            <w:shd w:val="clear" w:color="auto" w:fill="FFFFFF" w:themeFill="background1"/>
          </w:tcPr>
          <w:p w14:paraId="306A2ABE" w14:textId="6FB53ECD" w:rsidR="00A60E02" w:rsidRPr="002661A8" w:rsidRDefault="00A60E02" w:rsidP="00641DA4">
            <w:pPr>
              <w:jc w:val="center"/>
              <w:rPr>
                <w:noProof/>
                <w:spacing w:val="-5"/>
              </w:rPr>
            </w:pPr>
            <w:r w:rsidRPr="002661A8">
              <w:rPr>
                <w:noProof/>
                <w:spacing w:val="-4"/>
              </w:rPr>
              <w:t>ASXF</w:t>
            </w:r>
          </w:p>
        </w:tc>
        <w:tc>
          <w:tcPr>
            <w:tcW w:w="1809" w:type="dxa"/>
            <w:shd w:val="clear" w:color="auto" w:fill="FFFFFF" w:themeFill="background1"/>
          </w:tcPr>
          <w:p w14:paraId="55B11458" w14:textId="4FC0ED9A" w:rsidR="00A60E02" w:rsidRPr="002661A8" w:rsidRDefault="00A60E02" w:rsidP="00A0454F">
            <w:pPr>
              <w:ind w:left="-142" w:right="-108"/>
              <w:jc w:val="center"/>
              <w:rPr>
                <w:noProof/>
                <w:spacing w:val="-2"/>
              </w:rPr>
            </w:pPr>
            <w:r w:rsidRPr="002661A8">
              <w:rPr>
                <w:noProof/>
                <w:spacing w:val="-2"/>
              </w:rPr>
              <w:t>Australia</w:t>
            </w:r>
          </w:p>
        </w:tc>
        <w:tc>
          <w:tcPr>
            <w:tcW w:w="1417" w:type="dxa"/>
            <w:shd w:val="clear" w:color="auto" w:fill="FFFFFF" w:themeFill="background1"/>
          </w:tcPr>
          <w:p w14:paraId="056659CD" w14:textId="33722A20" w:rsidR="00A60E02" w:rsidRPr="002661A8" w:rsidRDefault="00A60E02" w:rsidP="00A0454F">
            <w:pPr>
              <w:pStyle w:val="TableParagraph"/>
              <w:spacing w:before="75"/>
              <w:ind w:left="-106" w:right="-111"/>
              <w:jc w:val="center"/>
              <w:rPr>
                <w:rFonts w:ascii="Times New Roman" w:hAnsi="Times New Roman" w:cs="Times New Roman"/>
                <w:noProof/>
                <w:lang w:val="en-GB"/>
              </w:rPr>
            </w:pPr>
            <w:r w:rsidRPr="002661A8">
              <w:rPr>
                <w:rFonts w:ascii="Times New Roman" w:hAnsi="Times New Roman" w:cs="Times New Roman"/>
                <w:noProof/>
                <w:lang w:val="en-GB"/>
              </w:rPr>
              <w:t>27</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April</w:t>
            </w:r>
            <w:r w:rsidR="00641DA4" w:rsidRPr="002661A8">
              <w:rPr>
                <w:rFonts w:ascii="Times New Roman" w:hAnsi="Times New Roman" w:cs="Times New Roman"/>
                <w:noProof/>
                <w:spacing w:val="-2"/>
                <w:lang w:val="en-GB"/>
              </w:rPr>
              <w:t xml:space="preserve"> </w:t>
            </w:r>
            <w:r w:rsidRPr="002661A8">
              <w:rPr>
                <w:rFonts w:ascii="Times New Roman" w:hAnsi="Times New Roman" w:cs="Times New Roman"/>
                <w:noProof/>
                <w:spacing w:val="-4"/>
                <w:lang w:val="en-GB"/>
              </w:rPr>
              <w:t>2015</w:t>
            </w:r>
          </w:p>
        </w:tc>
        <w:tc>
          <w:tcPr>
            <w:tcW w:w="993" w:type="dxa"/>
            <w:shd w:val="clear" w:color="auto" w:fill="FFFFFF" w:themeFill="background1"/>
          </w:tcPr>
          <w:p w14:paraId="428FBB2E" w14:textId="1A7C8BC7" w:rsidR="00A60E02" w:rsidRPr="002661A8" w:rsidRDefault="00A60E02" w:rsidP="00A0454F">
            <w:pPr>
              <w:pStyle w:val="TableParagraph"/>
              <w:spacing w:before="75"/>
              <w:ind w:left="-111" w:right="-110"/>
              <w:jc w:val="center"/>
              <w:rPr>
                <w:rFonts w:ascii="Times New Roman" w:hAnsi="Times New Roman" w:cs="Times New Roman"/>
                <w:noProof/>
                <w:lang w:val="en-GB"/>
              </w:rPr>
            </w:pPr>
            <w:r w:rsidRPr="002661A8">
              <w:rPr>
                <w:rFonts w:ascii="Times New Roman" w:hAnsi="Times New Roman" w:cs="Times New Roman"/>
                <w:noProof/>
                <w:lang w:val="en-GB"/>
              </w:rPr>
              <w:t>8</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 xml:space="preserve">March </w:t>
            </w:r>
            <w:r w:rsidRPr="002661A8">
              <w:rPr>
                <w:rFonts w:ascii="Times New Roman" w:hAnsi="Times New Roman" w:cs="Times New Roman"/>
                <w:noProof/>
                <w:spacing w:val="-4"/>
                <w:lang w:val="en-GB"/>
              </w:rPr>
              <w:t>2022</w:t>
            </w:r>
          </w:p>
        </w:tc>
        <w:tc>
          <w:tcPr>
            <w:tcW w:w="1026" w:type="dxa"/>
            <w:shd w:val="clear" w:color="auto" w:fill="FFFFFF" w:themeFill="background1"/>
          </w:tcPr>
          <w:p w14:paraId="1F0CA5E9" w14:textId="40D5CF52" w:rsidR="00A60E02" w:rsidRPr="002661A8" w:rsidRDefault="00A60E02" w:rsidP="00A0454F">
            <w:pPr>
              <w:ind w:left="-104" w:right="-73"/>
              <w:jc w:val="center"/>
              <w:rPr>
                <w:noProof/>
              </w:rPr>
            </w:pPr>
            <w:r w:rsidRPr="002661A8">
              <w:rPr>
                <w:noProof/>
              </w:rPr>
              <w:t xml:space="preserve">Tier </w:t>
            </w:r>
            <w:r w:rsidRPr="002661A8">
              <w:rPr>
                <w:noProof/>
                <w:spacing w:val="-10"/>
              </w:rPr>
              <w:t>1</w:t>
            </w:r>
          </w:p>
        </w:tc>
      </w:tr>
      <w:tr w:rsidR="00A60E02" w:rsidRPr="002661A8" w14:paraId="7760AA03" w14:textId="77777777" w:rsidTr="00DC0339">
        <w:tc>
          <w:tcPr>
            <w:tcW w:w="534" w:type="dxa"/>
            <w:shd w:val="clear" w:color="auto" w:fill="D9D9D9" w:themeFill="background1" w:themeFillShade="D9"/>
          </w:tcPr>
          <w:p w14:paraId="2651C80B" w14:textId="24292DA7" w:rsidR="00A60E02" w:rsidRPr="002661A8" w:rsidRDefault="00A60E02" w:rsidP="00641DA4">
            <w:pPr>
              <w:jc w:val="center"/>
              <w:rPr>
                <w:b/>
                <w:noProof/>
              </w:rPr>
            </w:pPr>
            <w:r w:rsidRPr="002661A8">
              <w:rPr>
                <w:b/>
                <w:noProof/>
                <w:w w:val="99"/>
              </w:rPr>
              <w:t>2</w:t>
            </w:r>
          </w:p>
        </w:tc>
        <w:tc>
          <w:tcPr>
            <w:tcW w:w="2835" w:type="dxa"/>
            <w:shd w:val="clear" w:color="auto" w:fill="D9D9D9" w:themeFill="background1" w:themeFillShade="D9"/>
          </w:tcPr>
          <w:p w14:paraId="2A7409DE" w14:textId="122DB752" w:rsidR="00A60E02" w:rsidRPr="002661A8" w:rsidRDefault="00A60E02" w:rsidP="00641DA4">
            <w:pPr>
              <w:jc w:val="center"/>
              <w:rPr>
                <w:b/>
                <w:noProof/>
              </w:rPr>
            </w:pPr>
            <w:r w:rsidRPr="002661A8">
              <w:rPr>
                <w:noProof/>
              </w:rPr>
              <w:t xml:space="preserve">ASX Clear Pty </w:t>
            </w:r>
            <w:r w:rsidRPr="002661A8">
              <w:rPr>
                <w:noProof/>
                <w:spacing w:val="-2"/>
              </w:rPr>
              <w:t>Limited</w:t>
            </w:r>
          </w:p>
        </w:tc>
        <w:tc>
          <w:tcPr>
            <w:tcW w:w="884" w:type="dxa"/>
            <w:shd w:val="clear" w:color="auto" w:fill="D9D9D9" w:themeFill="background1" w:themeFillShade="D9"/>
          </w:tcPr>
          <w:p w14:paraId="40AB4225" w14:textId="7EDE7B8F" w:rsidR="00A60E02" w:rsidRPr="002661A8" w:rsidRDefault="00A60E02" w:rsidP="00641DA4">
            <w:pPr>
              <w:jc w:val="center"/>
              <w:rPr>
                <w:b/>
                <w:noProof/>
              </w:rPr>
            </w:pPr>
            <w:r w:rsidRPr="002661A8">
              <w:rPr>
                <w:noProof/>
                <w:spacing w:val="-5"/>
              </w:rPr>
              <w:t>ASX</w:t>
            </w:r>
          </w:p>
        </w:tc>
        <w:tc>
          <w:tcPr>
            <w:tcW w:w="1809" w:type="dxa"/>
            <w:shd w:val="clear" w:color="auto" w:fill="D9D9D9" w:themeFill="background1" w:themeFillShade="D9"/>
          </w:tcPr>
          <w:p w14:paraId="1FB5E1AD" w14:textId="3421619B" w:rsidR="00A60E02" w:rsidRPr="002661A8" w:rsidRDefault="00A60E02" w:rsidP="006F3DD8">
            <w:pPr>
              <w:ind w:left="-142" w:right="-108"/>
              <w:jc w:val="center"/>
              <w:rPr>
                <w:b/>
                <w:noProof/>
              </w:rPr>
            </w:pPr>
            <w:r w:rsidRPr="002661A8">
              <w:rPr>
                <w:noProof/>
                <w:spacing w:val="-2"/>
              </w:rPr>
              <w:t>Australia</w:t>
            </w:r>
          </w:p>
        </w:tc>
        <w:tc>
          <w:tcPr>
            <w:tcW w:w="1417" w:type="dxa"/>
            <w:shd w:val="clear" w:color="auto" w:fill="D9D9D9" w:themeFill="background1" w:themeFillShade="D9"/>
          </w:tcPr>
          <w:p w14:paraId="7FAA3D96" w14:textId="5EEE642A" w:rsidR="00A60E02" w:rsidRPr="002661A8" w:rsidRDefault="00A60E02" w:rsidP="006F3DD8">
            <w:pPr>
              <w:pStyle w:val="TableParagraph"/>
              <w:spacing w:before="76" w:line="207" w:lineRule="exact"/>
              <w:ind w:left="-106" w:right="-111"/>
              <w:jc w:val="center"/>
              <w:rPr>
                <w:rFonts w:ascii="Times New Roman" w:hAnsi="Times New Roman" w:cs="Times New Roman"/>
                <w:noProof/>
                <w:lang w:val="en-GB"/>
              </w:rPr>
            </w:pPr>
            <w:r w:rsidRPr="002661A8">
              <w:rPr>
                <w:rFonts w:ascii="Times New Roman" w:hAnsi="Times New Roman" w:cs="Times New Roman"/>
                <w:noProof/>
                <w:lang w:val="en-GB"/>
              </w:rPr>
              <w:t>27</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April</w:t>
            </w:r>
          </w:p>
          <w:p w14:paraId="1F9F6AD0" w14:textId="4109B23B" w:rsidR="00A60E02" w:rsidRPr="002661A8" w:rsidRDefault="00A60E02" w:rsidP="006F3DD8">
            <w:pPr>
              <w:ind w:left="-106" w:right="-111"/>
              <w:jc w:val="center"/>
              <w:rPr>
                <w:b/>
                <w:noProof/>
              </w:rPr>
            </w:pPr>
            <w:r w:rsidRPr="002661A8">
              <w:rPr>
                <w:noProof/>
                <w:spacing w:val="-4"/>
              </w:rPr>
              <w:t>2015</w:t>
            </w:r>
          </w:p>
        </w:tc>
        <w:tc>
          <w:tcPr>
            <w:tcW w:w="993" w:type="dxa"/>
            <w:shd w:val="clear" w:color="auto" w:fill="D9D9D9" w:themeFill="background1" w:themeFillShade="D9"/>
          </w:tcPr>
          <w:p w14:paraId="41D1738C" w14:textId="02C38E55" w:rsidR="00A60E02" w:rsidRPr="002661A8" w:rsidRDefault="00A60E02" w:rsidP="006F3DD8">
            <w:pPr>
              <w:pStyle w:val="TableParagraph"/>
              <w:spacing w:before="76" w:line="207" w:lineRule="exact"/>
              <w:ind w:left="-111" w:right="-110"/>
              <w:jc w:val="center"/>
              <w:rPr>
                <w:rFonts w:ascii="Times New Roman" w:hAnsi="Times New Roman" w:cs="Times New Roman"/>
                <w:noProof/>
                <w:lang w:val="en-GB"/>
              </w:rPr>
            </w:pPr>
            <w:r w:rsidRPr="002661A8">
              <w:rPr>
                <w:rFonts w:ascii="Times New Roman" w:hAnsi="Times New Roman" w:cs="Times New Roman"/>
                <w:noProof/>
                <w:lang w:val="en-GB"/>
              </w:rPr>
              <w:t>8</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 xml:space="preserve">March </w:t>
            </w:r>
            <w:r w:rsidRPr="002661A8">
              <w:rPr>
                <w:rFonts w:ascii="Times New Roman" w:hAnsi="Times New Roman" w:cs="Times New Roman"/>
                <w:noProof/>
                <w:spacing w:val="-4"/>
                <w:lang w:val="en-GB"/>
              </w:rPr>
              <w:t>2022</w:t>
            </w:r>
          </w:p>
        </w:tc>
        <w:tc>
          <w:tcPr>
            <w:tcW w:w="1026" w:type="dxa"/>
            <w:shd w:val="clear" w:color="auto" w:fill="D9D9D9" w:themeFill="background1" w:themeFillShade="D9"/>
          </w:tcPr>
          <w:p w14:paraId="1B4A8E5D" w14:textId="6B2922CE" w:rsidR="00A60E02" w:rsidRPr="002661A8" w:rsidRDefault="00A60E02" w:rsidP="006F3DD8">
            <w:pPr>
              <w:ind w:left="-104" w:right="-73"/>
              <w:jc w:val="center"/>
              <w:rPr>
                <w:b/>
                <w:noProof/>
              </w:rPr>
            </w:pPr>
            <w:r w:rsidRPr="002661A8">
              <w:rPr>
                <w:noProof/>
              </w:rPr>
              <w:t xml:space="preserve">Tier </w:t>
            </w:r>
            <w:r w:rsidRPr="002661A8">
              <w:rPr>
                <w:noProof/>
                <w:spacing w:val="-10"/>
              </w:rPr>
              <w:t>1</w:t>
            </w:r>
          </w:p>
        </w:tc>
      </w:tr>
      <w:tr w:rsidR="00A60E02" w:rsidRPr="002661A8" w14:paraId="0AA9B618" w14:textId="77777777" w:rsidTr="00DC0339">
        <w:tc>
          <w:tcPr>
            <w:tcW w:w="534" w:type="dxa"/>
            <w:shd w:val="clear" w:color="auto" w:fill="FFFFFF" w:themeFill="background1"/>
          </w:tcPr>
          <w:p w14:paraId="227F16CF" w14:textId="71A89355" w:rsidR="00A60E02" w:rsidRPr="002661A8" w:rsidRDefault="00A60E02" w:rsidP="00641DA4">
            <w:pPr>
              <w:pStyle w:val="TableParagraph"/>
              <w:spacing w:before="10"/>
              <w:jc w:val="center"/>
              <w:rPr>
                <w:rFonts w:ascii="Times New Roman" w:hAnsi="Times New Roman" w:cs="Times New Roman"/>
                <w:b/>
                <w:noProof/>
                <w:lang w:val="en-GB"/>
              </w:rPr>
            </w:pPr>
          </w:p>
          <w:p w14:paraId="54F352E1" w14:textId="009AC404" w:rsidR="00A60E02" w:rsidRPr="002661A8" w:rsidRDefault="00A60E02" w:rsidP="00641DA4">
            <w:pPr>
              <w:jc w:val="center"/>
              <w:rPr>
                <w:b/>
                <w:noProof/>
              </w:rPr>
            </w:pPr>
            <w:r w:rsidRPr="002661A8">
              <w:rPr>
                <w:b/>
                <w:noProof/>
                <w:w w:val="99"/>
              </w:rPr>
              <w:t>3</w:t>
            </w:r>
          </w:p>
        </w:tc>
        <w:tc>
          <w:tcPr>
            <w:tcW w:w="2835" w:type="dxa"/>
            <w:shd w:val="clear" w:color="auto" w:fill="FFFFFF" w:themeFill="background1"/>
          </w:tcPr>
          <w:p w14:paraId="15BF5A02" w14:textId="4C5E8580" w:rsidR="00A60E02" w:rsidRPr="002661A8" w:rsidRDefault="00A60E02" w:rsidP="00641DA4">
            <w:pPr>
              <w:jc w:val="center"/>
              <w:rPr>
                <w:b/>
                <w:noProof/>
              </w:rPr>
            </w:pPr>
            <w:r w:rsidRPr="002661A8">
              <w:rPr>
                <w:noProof/>
              </w:rPr>
              <w:t xml:space="preserve">Hong Kong Securities Clearing Company </w:t>
            </w:r>
            <w:r w:rsidRPr="002661A8">
              <w:rPr>
                <w:noProof/>
                <w:spacing w:val="-2"/>
              </w:rPr>
              <w:t>Limited</w:t>
            </w:r>
          </w:p>
        </w:tc>
        <w:tc>
          <w:tcPr>
            <w:tcW w:w="884" w:type="dxa"/>
            <w:shd w:val="clear" w:color="auto" w:fill="FFFFFF" w:themeFill="background1"/>
          </w:tcPr>
          <w:p w14:paraId="68ECB127" w14:textId="2F90C489" w:rsidR="00A60E02" w:rsidRPr="002661A8" w:rsidRDefault="00A60E02" w:rsidP="00641DA4">
            <w:pPr>
              <w:jc w:val="center"/>
              <w:rPr>
                <w:b/>
                <w:noProof/>
              </w:rPr>
            </w:pPr>
            <w:r w:rsidRPr="002661A8">
              <w:rPr>
                <w:noProof/>
                <w:spacing w:val="-2"/>
              </w:rPr>
              <w:t>HKSCC</w:t>
            </w:r>
          </w:p>
        </w:tc>
        <w:tc>
          <w:tcPr>
            <w:tcW w:w="1809" w:type="dxa"/>
            <w:shd w:val="clear" w:color="auto" w:fill="FFFFFF" w:themeFill="background1"/>
          </w:tcPr>
          <w:p w14:paraId="682F113B" w14:textId="5787805D" w:rsidR="00A60E02" w:rsidRPr="002661A8" w:rsidRDefault="00A60E02" w:rsidP="006F3DD8">
            <w:pPr>
              <w:ind w:left="-142" w:right="-108"/>
              <w:jc w:val="center"/>
              <w:rPr>
                <w:b/>
                <w:noProof/>
              </w:rPr>
            </w:pPr>
            <w:r w:rsidRPr="002661A8">
              <w:rPr>
                <w:noProof/>
              </w:rPr>
              <w:t xml:space="preserve">Hong </w:t>
            </w:r>
            <w:r w:rsidRPr="002661A8">
              <w:rPr>
                <w:noProof/>
                <w:spacing w:val="-4"/>
              </w:rPr>
              <w:t>Kong</w:t>
            </w:r>
          </w:p>
        </w:tc>
        <w:tc>
          <w:tcPr>
            <w:tcW w:w="1417" w:type="dxa"/>
            <w:shd w:val="clear" w:color="auto" w:fill="FFFFFF" w:themeFill="background1"/>
          </w:tcPr>
          <w:p w14:paraId="70B4F3C6" w14:textId="4397A854" w:rsidR="00A60E02" w:rsidRPr="002661A8" w:rsidRDefault="00A60E02" w:rsidP="006F3DD8">
            <w:pPr>
              <w:pStyle w:val="TableParagraph"/>
              <w:spacing w:before="102" w:line="207" w:lineRule="exact"/>
              <w:ind w:left="-106" w:right="-111"/>
              <w:jc w:val="center"/>
              <w:rPr>
                <w:rFonts w:ascii="Times New Roman" w:hAnsi="Times New Roman" w:cs="Times New Roman"/>
                <w:b/>
                <w:noProof/>
                <w:lang w:val="en-GB"/>
              </w:rPr>
            </w:pPr>
            <w:r w:rsidRPr="002661A8">
              <w:rPr>
                <w:rFonts w:ascii="Times New Roman" w:hAnsi="Times New Roman" w:cs="Times New Roman"/>
                <w:noProof/>
                <w:lang w:val="en-GB"/>
              </w:rPr>
              <w:t>27</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April</w:t>
            </w:r>
            <w:r w:rsidR="00641DA4" w:rsidRPr="002661A8">
              <w:rPr>
                <w:rFonts w:ascii="Times New Roman" w:hAnsi="Times New Roman" w:cs="Times New Roman"/>
                <w:noProof/>
                <w:spacing w:val="-2"/>
                <w:lang w:val="en-GB"/>
              </w:rPr>
              <w:t xml:space="preserve"> </w:t>
            </w:r>
            <w:r w:rsidRPr="002661A8">
              <w:rPr>
                <w:rFonts w:ascii="Times New Roman" w:hAnsi="Times New Roman" w:cs="Times New Roman"/>
                <w:noProof/>
                <w:spacing w:val="-4"/>
                <w:lang w:val="en-GB"/>
              </w:rPr>
              <w:t>2015</w:t>
            </w:r>
          </w:p>
        </w:tc>
        <w:tc>
          <w:tcPr>
            <w:tcW w:w="993" w:type="dxa"/>
            <w:shd w:val="clear" w:color="auto" w:fill="FFFFFF" w:themeFill="background1"/>
          </w:tcPr>
          <w:p w14:paraId="68F8EFFC" w14:textId="32D0D4CF" w:rsidR="00A60E02" w:rsidRPr="002661A8" w:rsidRDefault="00A60E02" w:rsidP="006F3DD8">
            <w:pPr>
              <w:pStyle w:val="TableParagraph"/>
              <w:spacing w:before="102" w:line="207" w:lineRule="exact"/>
              <w:ind w:left="-111" w:right="-110"/>
              <w:jc w:val="center"/>
              <w:rPr>
                <w:rFonts w:ascii="Times New Roman" w:hAnsi="Times New Roman" w:cs="Times New Roman"/>
                <w:noProof/>
                <w:lang w:val="en-GB"/>
              </w:rPr>
            </w:pPr>
            <w:r w:rsidRPr="002661A8">
              <w:rPr>
                <w:rFonts w:ascii="Times New Roman" w:hAnsi="Times New Roman" w:cs="Times New Roman"/>
                <w:noProof/>
                <w:lang w:val="en-GB"/>
              </w:rPr>
              <w:t>18</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 xml:space="preserve">March </w:t>
            </w:r>
            <w:r w:rsidRPr="002661A8">
              <w:rPr>
                <w:rFonts w:ascii="Times New Roman" w:hAnsi="Times New Roman" w:cs="Times New Roman"/>
                <w:noProof/>
                <w:spacing w:val="-4"/>
                <w:lang w:val="en-GB"/>
              </w:rPr>
              <w:t>2022</w:t>
            </w:r>
          </w:p>
        </w:tc>
        <w:tc>
          <w:tcPr>
            <w:tcW w:w="1026" w:type="dxa"/>
            <w:shd w:val="clear" w:color="auto" w:fill="FFFFFF" w:themeFill="background1"/>
          </w:tcPr>
          <w:p w14:paraId="311B7688" w14:textId="2ADCBF6D" w:rsidR="00A60E02" w:rsidRPr="002661A8" w:rsidRDefault="00A60E02" w:rsidP="006F3DD8">
            <w:pPr>
              <w:ind w:left="-104" w:right="-73"/>
              <w:jc w:val="center"/>
              <w:rPr>
                <w:b/>
                <w:noProof/>
              </w:rPr>
            </w:pPr>
            <w:r w:rsidRPr="002661A8">
              <w:rPr>
                <w:noProof/>
              </w:rPr>
              <w:t xml:space="preserve">Tier </w:t>
            </w:r>
            <w:r w:rsidRPr="002661A8">
              <w:rPr>
                <w:noProof/>
                <w:spacing w:val="-10"/>
              </w:rPr>
              <w:t>1</w:t>
            </w:r>
          </w:p>
        </w:tc>
      </w:tr>
      <w:tr w:rsidR="00A60E02" w:rsidRPr="002661A8" w14:paraId="73A2D5FE" w14:textId="77777777" w:rsidTr="00DC0339">
        <w:tc>
          <w:tcPr>
            <w:tcW w:w="534" w:type="dxa"/>
            <w:shd w:val="clear" w:color="auto" w:fill="D9D9D9" w:themeFill="background1" w:themeFillShade="D9"/>
          </w:tcPr>
          <w:p w14:paraId="41C3CCA4" w14:textId="24D21783" w:rsidR="00A60E02" w:rsidRPr="002661A8" w:rsidRDefault="00A60E02" w:rsidP="00641DA4">
            <w:pPr>
              <w:jc w:val="center"/>
              <w:rPr>
                <w:b/>
                <w:noProof/>
              </w:rPr>
            </w:pPr>
            <w:r w:rsidRPr="002661A8">
              <w:rPr>
                <w:b/>
                <w:noProof/>
                <w:w w:val="99"/>
              </w:rPr>
              <w:t>4</w:t>
            </w:r>
          </w:p>
        </w:tc>
        <w:tc>
          <w:tcPr>
            <w:tcW w:w="2835" w:type="dxa"/>
            <w:shd w:val="clear" w:color="auto" w:fill="D9D9D9" w:themeFill="background1" w:themeFillShade="D9"/>
          </w:tcPr>
          <w:p w14:paraId="0F8E762A" w14:textId="6E9D8352" w:rsidR="00A60E02" w:rsidRPr="002661A8" w:rsidRDefault="00A60E02" w:rsidP="00641DA4">
            <w:pPr>
              <w:jc w:val="center"/>
              <w:rPr>
                <w:b/>
                <w:noProof/>
              </w:rPr>
            </w:pPr>
            <w:r w:rsidRPr="002661A8">
              <w:rPr>
                <w:noProof/>
              </w:rPr>
              <w:t>HKFE Clearing Corporation Limited</w:t>
            </w:r>
          </w:p>
        </w:tc>
        <w:tc>
          <w:tcPr>
            <w:tcW w:w="884" w:type="dxa"/>
            <w:shd w:val="clear" w:color="auto" w:fill="D9D9D9" w:themeFill="background1" w:themeFillShade="D9"/>
          </w:tcPr>
          <w:p w14:paraId="6757E0C7" w14:textId="2BC3C57F" w:rsidR="00A60E02" w:rsidRPr="002661A8" w:rsidRDefault="00A60E02" w:rsidP="00641DA4">
            <w:pPr>
              <w:jc w:val="center"/>
              <w:rPr>
                <w:b/>
                <w:noProof/>
              </w:rPr>
            </w:pPr>
            <w:r w:rsidRPr="002661A8">
              <w:rPr>
                <w:noProof/>
                <w:spacing w:val="-4"/>
              </w:rPr>
              <w:t>HKFE</w:t>
            </w:r>
          </w:p>
        </w:tc>
        <w:tc>
          <w:tcPr>
            <w:tcW w:w="1809" w:type="dxa"/>
            <w:shd w:val="clear" w:color="auto" w:fill="D9D9D9" w:themeFill="background1" w:themeFillShade="D9"/>
          </w:tcPr>
          <w:p w14:paraId="76E5FE93" w14:textId="0C4BEC6F" w:rsidR="00A60E02" w:rsidRPr="002661A8" w:rsidRDefault="00A60E02" w:rsidP="006F3DD8">
            <w:pPr>
              <w:ind w:left="-142" w:right="-108"/>
              <w:jc w:val="center"/>
              <w:rPr>
                <w:b/>
                <w:noProof/>
              </w:rPr>
            </w:pPr>
            <w:r w:rsidRPr="002661A8">
              <w:rPr>
                <w:noProof/>
              </w:rPr>
              <w:t xml:space="preserve">Hong </w:t>
            </w:r>
            <w:r w:rsidRPr="002661A8">
              <w:rPr>
                <w:noProof/>
                <w:spacing w:val="-4"/>
              </w:rPr>
              <w:t>Kong</w:t>
            </w:r>
          </w:p>
        </w:tc>
        <w:tc>
          <w:tcPr>
            <w:tcW w:w="1417" w:type="dxa"/>
            <w:shd w:val="clear" w:color="auto" w:fill="D9D9D9" w:themeFill="background1" w:themeFillShade="D9"/>
          </w:tcPr>
          <w:p w14:paraId="70645638" w14:textId="4A0A365E" w:rsidR="00A60E02" w:rsidRPr="002661A8" w:rsidRDefault="00A60E02" w:rsidP="006F3DD8">
            <w:pPr>
              <w:pStyle w:val="TableParagraph"/>
              <w:spacing w:before="76" w:line="207" w:lineRule="exact"/>
              <w:ind w:left="-106" w:right="-111"/>
              <w:jc w:val="center"/>
              <w:rPr>
                <w:rFonts w:ascii="Times New Roman" w:hAnsi="Times New Roman" w:cs="Times New Roman"/>
                <w:b/>
                <w:noProof/>
                <w:lang w:val="en-GB"/>
              </w:rPr>
            </w:pPr>
            <w:r w:rsidRPr="002661A8">
              <w:rPr>
                <w:rFonts w:ascii="Times New Roman" w:hAnsi="Times New Roman" w:cs="Times New Roman"/>
                <w:noProof/>
                <w:lang w:val="en-GB"/>
              </w:rPr>
              <w:t>27</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April</w:t>
            </w:r>
            <w:r w:rsidR="00641DA4" w:rsidRPr="002661A8">
              <w:rPr>
                <w:rFonts w:ascii="Times New Roman" w:hAnsi="Times New Roman" w:cs="Times New Roman"/>
                <w:noProof/>
                <w:spacing w:val="-2"/>
                <w:lang w:val="en-GB"/>
              </w:rPr>
              <w:t xml:space="preserve"> </w:t>
            </w:r>
            <w:r w:rsidRPr="002661A8">
              <w:rPr>
                <w:rFonts w:ascii="Times New Roman" w:hAnsi="Times New Roman" w:cs="Times New Roman"/>
                <w:noProof/>
                <w:spacing w:val="-4"/>
                <w:lang w:val="en-GB"/>
              </w:rPr>
              <w:t>2015</w:t>
            </w:r>
          </w:p>
        </w:tc>
        <w:tc>
          <w:tcPr>
            <w:tcW w:w="993" w:type="dxa"/>
            <w:shd w:val="clear" w:color="auto" w:fill="D9D9D9" w:themeFill="background1" w:themeFillShade="D9"/>
          </w:tcPr>
          <w:p w14:paraId="544C9642" w14:textId="5252067C" w:rsidR="00A60E02" w:rsidRPr="002661A8" w:rsidRDefault="00A60E02" w:rsidP="006F3DD8">
            <w:pPr>
              <w:pStyle w:val="TableParagraph"/>
              <w:spacing w:before="76" w:line="207" w:lineRule="exact"/>
              <w:ind w:left="-111" w:right="-110"/>
              <w:jc w:val="center"/>
              <w:rPr>
                <w:rFonts w:ascii="Times New Roman" w:hAnsi="Times New Roman" w:cs="Times New Roman"/>
                <w:b/>
                <w:noProof/>
                <w:lang w:val="en-GB"/>
              </w:rPr>
            </w:pPr>
            <w:r w:rsidRPr="002661A8">
              <w:rPr>
                <w:rFonts w:ascii="Times New Roman" w:hAnsi="Times New Roman" w:cs="Times New Roman"/>
                <w:noProof/>
                <w:lang w:val="en-GB"/>
              </w:rPr>
              <w:t>18</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March</w:t>
            </w:r>
            <w:r w:rsidR="00641DA4" w:rsidRPr="002661A8">
              <w:rPr>
                <w:rFonts w:ascii="Times New Roman" w:hAnsi="Times New Roman" w:cs="Times New Roman"/>
                <w:noProof/>
                <w:spacing w:val="-2"/>
                <w:lang w:val="en-GB"/>
              </w:rPr>
              <w:t xml:space="preserve"> </w:t>
            </w:r>
            <w:r w:rsidRPr="002661A8">
              <w:rPr>
                <w:rFonts w:ascii="Times New Roman" w:hAnsi="Times New Roman" w:cs="Times New Roman"/>
                <w:noProof/>
                <w:spacing w:val="-4"/>
                <w:lang w:val="en-GB"/>
              </w:rPr>
              <w:t>2022</w:t>
            </w:r>
          </w:p>
        </w:tc>
        <w:tc>
          <w:tcPr>
            <w:tcW w:w="1026" w:type="dxa"/>
            <w:shd w:val="clear" w:color="auto" w:fill="D9D9D9" w:themeFill="background1" w:themeFillShade="D9"/>
          </w:tcPr>
          <w:p w14:paraId="192D3BD1" w14:textId="65BD28C6" w:rsidR="00A60E02" w:rsidRPr="002661A8" w:rsidRDefault="00A60E02" w:rsidP="006F3DD8">
            <w:pPr>
              <w:ind w:left="-104" w:right="-73"/>
              <w:jc w:val="center"/>
              <w:rPr>
                <w:b/>
                <w:noProof/>
              </w:rPr>
            </w:pPr>
            <w:r w:rsidRPr="002661A8">
              <w:rPr>
                <w:noProof/>
              </w:rPr>
              <w:t xml:space="preserve">Tier </w:t>
            </w:r>
            <w:r w:rsidRPr="002661A8">
              <w:rPr>
                <w:noProof/>
                <w:spacing w:val="-10"/>
              </w:rPr>
              <w:t>1</w:t>
            </w:r>
          </w:p>
        </w:tc>
      </w:tr>
      <w:tr w:rsidR="00A60E02" w:rsidRPr="002661A8" w14:paraId="5F2CC9B0" w14:textId="77777777" w:rsidTr="00DC0339">
        <w:tc>
          <w:tcPr>
            <w:tcW w:w="534" w:type="dxa"/>
            <w:shd w:val="clear" w:color="auto" w:fill="FFFFFF" w:themeFill="background1"/>
          </w:tcPr>
          <w:p w14:paraId="3570D0F9" w14:textId="6016CCD6" w:rsidR="00A60E02" w:rsidRPr="002661A8" w:rsidRDefault="00A60E02" w:rsidP="00641DA4">
            <w:pPr>
              <w:jc w:val="center"/>
              <w:rPr>
                <w:b/>
                <w:noProof/>
              </w:rPr>
            </w:pPr>
            <w:r w:rsidRPr="002661A8">
              <w:rPr>
                <w:b/>
                <w:noProof/>
                <w:w w:val="99"/>
              </w:rPr>
              <w:t>5</w:t>
            </w:r>
          </w:p>
        </w:tc>
        <w:tc>
          <w:tcPr>
            <w:tcW w:w="2835" w:type="dxa"/>
            <w:shd w:val="clear" w:color="auto" w:fill="FFFFFF" w:themeFill="background1"/>
          </w:tcPr>
          <w:p w14:paraId="440DAEC2" w14:textId="69ACBE2B" w:rsidR="00A60E02" w:rsidRPr="002661A8" w:rsidRDefault="00A60E02" w:rsidP="00641DA4">
            <w:pPr>
              <w:jc w:val="center"/>
              <w:rPr>
                <w:b/>
                <w:noProof/>
              </w:rPr>
            </w:pPr>
            <w:r w:rsidRPr="002661A8">
              <w:rPr>
                <w:noProof/>
              </w:rPr>
              <w:t xml:space="preserve">OTC Clearing Hong Kong </w:t>
            </w:r>
            <w:r w:rsidRPr="002661A8">
              <w:rPr>
                <w:noProof/>
                <w:spacing w:val="-2"/>
              </w:rPr>
              <w:t>Limited</w:t>
            </w:r>
          </w:p>
        </w:tc>
        <w:tc>
          <w:tcPr>
            <w:tcW w:w="884" w:type="dxa"/>
            <w:shd w:val="clear" w:color="auto" w:fill="FFFFFF" w:themeFill="background1"/>
          </w:tcPr>
          <w:p w14:paraId="5BF61B32" w14:textId="23085D87" w:rsidR="00A60E02" w:rsidRPr="002661A8" w:rsidRDefault="00A60E02" w:rsidP="00641DA4">
            <w:pPr>
              <w:jc w:val="center"/>
              <w:rPr>
                <w:b/>
                <w:noProof/>
              </w:rPr>
            </w:pPr>
            <w:r w:rsidRPr="002661A8">
              <w:rPr>
                <w:noProof/>
                <w:spacing w:val="-2"/>
              </w:rPr>
              <w:t>OTCHK</w:t>
            </w:r>
          </w:p>
        </w:tc>
        <w:tc>
          <w:tcPr>
            <w:tcW w:w="1809" w:type="dxa"/>
            <w:shd w:val="clear" w:color="auto" w:fill="FFFFFF" w:themeFill="background1"/>
          </w:tcPr>
          <w:p w14:paraId="04B8FFDD" w14:textId="6AD338EB" w:rsidR="00A60E02" w:rsidRPr="002661A8" w:rsidRDefault="00A60E02" w:rsidP="006F3DD8">
            <w:pPr>
              <w:ind w:left="-142" w:right="-108"/>
              <w:jc w:val="center"/>
              <w:rPr>
                <w:b/>
                <w:noProof/>
              </w:rPr>
            </w:pPr>
            <w:r w:rsidRPr="002661A8">
              <w:rPr>
                <w:noProof/>
              </w:rPr>
              <w:t xml:space="preserve">Hong </w:t>
            </w:r>
            <w:r w:rsidRPr="002661A8">
              <w:rPr>
                <w:noProof/>
                <w:spacing w:val="-4"/>
              </w:rPr>
              <w:t>Kong</w:t>
            </w:r>
          </w:p>
        </w:tc>
        <w:tc>
          <w:tcPr>
            <w:tcW w:w="1417" w:type="dxa"/>
            <w:shd w:val="clear" w:color="auto" w:fill="FFFFFF" w:themeFill="background1"/>
          </w:tcPr>
          <w:p w14:paraId="483C6BEB" w14:textId="64FBE2DA" w:rsidR="00A60E02" w:rsidRPr="002661A8" w:rsidRDefault="00A60E02" w:rsidP="006F3DD8">
            <w:pPr>
              <w:pStyle w:val="TableParagraph"/>
              <w:spacing w:before="76" w:line="207" w:lineRule="exact"/>
              <w:ind w:left="-106" w:right="-111"/>
              <w:jc w:val="center"/>
              <w:rPr>
                <w:rFonts w:ascii="Times New Roman" w:hAnsi="Times New Roman" w:cs="Times New Roman"/>
                <w:b/>
                <w:noProof/>
                <w:lang w:val="en-GB"/>
              </w:rPr>
            </w:pPr>
            <w:r w:rsidRPr="002661A8">
              <w:rPr>
                <w:rFonts w:ascii="Times New Roman" w:hAnsi="Times New Roman" w:cs="Times New Roman"/>
                <w:noProof/>
                <w:lang w:val="en-GB"/>
              </w:rPr>
              <w:t>27</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April</w:t>
            </w:r>
            <w:r w:rsidR="00641DA4" w:rsidRPr="002661A8">
              <w:rPr>
                <w:rFonts w:ascii="Times New Roman" w:hAnsi="Times New Roman" w:cs="Times New Roman"/>
                <w:noProof/>
                <w:spacing w:val="-2"/>
                <w:lang w:val="en-GB"/>
              </w:rPr>
              <w:t xml:space="preserve"> </w:t>
            </w:r>
            <w:r w:rsidRPr="002661A8">
              <w:rPr>
                <w:rFonts w:ascii="Times New Roman" w:hAnsi="Times New Roman" w:cs="Times New Roman"/>
                <w:noProof/>
                <w:spacing w:val="-4"/>
                <w:lang w:val="en-GB"/>
              </w:rPr>
              <w:t>2015</w:t>
            </w:r>
          </w:p>
        </w:tc>
        <w:tc>
          <w:tcPr>
            <w:tcW w:w="993" w:type="dxa"/>
            <w:shd w:val="clear" w:color="auto" w:fill="FFFFFF" w:themeFill="background1"/>
          </w:tcPr>
          <w:p w14:paraId="5104FDC5" w14:textId="180F0905" w:rsidR="00A60E02" w:rsidRPr="002661A8" w:rsidRDefault="00A60E02" w:rsidP="006F3DD8">
            <w:pPr>
              <w:pStyle w:val="TableParagraph"/>
              <w:spacing w:before="76" w:line="207" w:lineRule="exact"/>
              <w:ind w:left="-111" w:right="-110"/>
              <w:jc w:val="center"/>
              <w:rPr>
                <w:rFonts w:ascii="Times New Roman" w:hAnsi="Times New Roman" w:cs="Times New Roman"/>
                <w:b/>
                <w:noProof/>
                <w:lang w:val="en-GB"/>
              </w:rPr>
            </w:pPr>
            <w:r w:rsidRPr="002661A8">
              <w:rPr>
                <w:rFonts w:ascii="Times New Roman" w:hAnsi="Times New Roman" w:cs="Times New Roman"/>
                <w:noProof/>
                <w:lang w:val="en-GB"/>
              </w:rPr>
              <w:t>18</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March</w:t>
            </w:r>
            <w:r w:rsidR="00641DA4" w:rsidRPr="002661A8">
              <w:rPr>
                <w:rFonts w:ascii="Times New Roman" w:hAnsi="Times New Roman" w:cs="Times New Roman"/>
                <w:noProof/>
                <w:spacing w:val="-2"/>
                <w:lang w:val="en-GB"/>
              </w:rPr>
              <w:t xml:space="preserve"> </w:t>
            </w:r>
            <w:r w:rsidRPr="002661A8">
              <w:rPr>
                <w:rFonts w:ascii="Times New Roman" w:hAnsi="Times New Roman" w:cs="Times New Roman"/>
                <w:noProof/>
                <w:spacing w:val="-4"/>
                <w:lang w:val="en-GB"/>
              </w:rPr>
              <w:t>2022</w:t>
            </w:r>
          </w:p>
        </w:tc>
        <w:tc>
          <w:tcPr>
            <w:tcW w:w="1026" w:type="dxa"/>
            <w:shd w:val="clear" w:color="auto" w:fill="FFFFFF" w:themeFill="background1"/>
          </w:tcPr>
          <w:p w14:paraId="478861E2" w14:textId="3ADA3457" w:rsidR="00A60E02" w:rsidRPr="002661A8" w:rsidRDefault="00A60E02" w:rsidP="006F3DD8">
            <w:pPr>
              <w:ind w:left="-104" w:right="-73"/>
              <w:jc w:val="center"/>
              <w:rPr>
                <w:b/>
                <w:noProof/>
              </w:rPr>
            </w:pPr>
            <w:r w:rsidRPr="002661A8">
              <w:rPr>
                <w:noProof/>
              </w:rPr>
              <w:t xml:space="preserve">Tier </w:t>
            </w:r>
            <w:r w:rsidRPr="002661A8">
              <w:rPr>
                <w:noProof/>
                <w:spacing w:val="-10"/>
              </w:rPr>
              <w:t>1</w:t>
            </w:r>
          </w:p>
        </w:tc>
      </w:tr>
      <w:tr w:rsidR="00A60E02" w:rsidRPr="002661A8" w14:paraId="53DFEE9A" w14:textId="77777777" w:rsidTr="00DC0339">
        <w:tc>
          <w:tcPr>
            <w:tcW w:w="534" w:type="dxa"/>
            <w:shd w:val="clear" w:color="auto" w:fill="D9D9D9" w:themeFill="background1" w:themeFillShade="D9"/>
          </w:tcPr>
          <w:p w14:paraId="2066D15C" w14:textId="1DCF7578" w:rsidR="00A60E02" w:rsidRPr="002661A8" w:rsidRDefault="00A60E02" w:rsidP="00641DA4">
            <w:pPr>
              <w:jc w:val="center"/>
              <w:rPr>
                <w:b/>
                <w:noProof/>
              </w:rPr>
            </w:pPr>
            <w:r w:rsidRPr="002661A8">
              <w:rPr>
                <w:b/>
                <w:noProof/>
                <w:w w:val="99"/>
              </w:rPr>
              <w:t>6</w:t>
            </w:r>
          </w:p>
        </w:tc>
        <w:tc>
          <w:tcPr>
            <w:tcW w:w="2835" w:type="dxa"/>
            <w:shd w:val="clear" w:color="auto" w:fill="D9D9D9" w:themeFill="background1" w:themeFillShade="D9"/>
          </w:tcPr>
          <w:p w14:paraId="237A6A93" w14:textId="6DC006BD" w:rsidR="00A60E02" w:rsidRPr="002661A8" w:rsidRDefault="00A60E02" w:rsidP="00641DA4">
            <w:pPr>
              <w:jc w:val="center"/>
              <w:rPr>
                <w:b/>
                <w:noProof/>
              </w:rPr>
            </w:pPr>
            <w:r w:rsidRPr="002661A8">
              <w:rPr>
                <w:noProof/>
              </w:rPr>
              <w:t>The SEHK Options Clearing House Limited</w:t>
            </w:r>
          </w:p>
        </w:tc>
        <w:tc>
          <w:tcPr>
            <w:tcW w:w="884" w:type="dxa"/>
            <w:shd w:val="clear" w:color="auto" w:fill="D9D9D9" w:themeFill="background1" w:themeFillShade="D9"/>
          </w:tcPr>
          <w:p w14:paraId="2A574D10" w14:textId="7ACF7060" w:rsidR="00A60E02" w:rsidRPr="002661A8" w:rsidRDefault="00A60E02" w:rsidP="00641DA4">
            <w:pPr>
              <w:jc w:val="center"/>
              <w:rPr>
                <w:b/>
                <w:noProof/>
              </w:rPr>
            </w:pPr>
            <w:r w:rsidRPr="002661A8">
              <w:rPr>
                <w:noProof/>
                <w:spacing w:val="-4"/>
              </w:rPr>
              <w:t>SEOCH</w:t>
            </w:r>
          </w:p>
        </w:tc>
        <w:tc>
          <w:tcPr>
            <w:tcW w:w="1809" w:type="dxa"/>
            <w:shd w:val="clear" w:color="auto" w:fill="D9D9D9" w:themeFill="background1" w:themeFillShade="D9"/>
          </w:tcPr>
          <w:p w14:paraId="588DCEEB" w14:textId="2646C365" w:rsidR="00A60E02" w:rsidRPr="002661A8" w:rsidRDefault="00A60E02" w:rsidP="006F3DD8">
            <w:pPr>
              <w:ind w:left="-142" w:right="-108"/>
              <w:jc w:val="center"/>
              <w:rPr>
                <w:b/>
                <w:noProof/>
              </w:rPr>
            </w:pPr>
            <w:r w:rsidRPr="002661A8">
              <w:rPr>
                <w:noProof/>
              </w:rPr>
              <w:t xml:space="preserve">Hong </w:t>
            </w:r>
            <w:r w:rsidRPr="002661A8">
              <w:rPr>
                <w:noProof/>
                <w:spacing w:val="-4"/>
              </w:rPr>
              <w:t>Kong</w:t>
            </w:r>
          </w:p>
        </w:tc>
        <w:tc>
          <w:tcPr>
            <w:tcW w:w="1417" w:type="dxa"/>
            <w:shd w:val="clear" w:color="auto" w:fill="D9D9D9" w:themeFill="background1" w:themeFillShade="D9"/>
          </w:tcPr>
          <w:p w14:paraId="5347DFDE" w14:textId="5CB4350A" w:rsidR="00A60E02" w:rsidRPr="002661A8" w:rsidRDefault="00A60E02" w:rsidP="006F3DD8">
            <w:pPr>
              <w:pStyle w:val="TableParagraph"/>
              <w:spacing w:before="76" w:line="207" w:lineRule="exact"/>
              <w:ind w:left="-106" w:right="-111"/>
              <w:jc w:val="center"/>
              <w:rPr>
                <w:rFonts w:ascii="Times New Roman" w:hAnsi="Times New Roman" w:cs="Times New Roman"/>
                <w:b/>
                <w:noProof/>
                <w:lang w:val="en-GB"/>
              </w:rPr>
            </w:pPr>
            <w:r w:rsidRPr="002661A8">
              <w:rPr>
                <w:rFonts w:ascii="Times New Roman" w:hAnsi="Times New Roman" w:cs="Times New Roman"/>
                <w:noProof/>
                <w:lang w:val="en-GB"/>
              </w:rPr>
              <w:t>27</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April</w:t>
            </w:r>
            <w:r w:rsidR="00641DA4" w:rsidRPr="002661A8">
              <w:rPr>
                <w:rFonts w:ascii="Times New Roman" w:hAnsi="Times New Roman" w:cs="Times New Roman"/>
                <w:noProof/>
                <w:spacing w:val="-2"/>
                <w:lang w:val="en-GB"/>
              </w:rPr>
              <w:t xml:space="preserve"> </w:t>
            </w:r>
            <w:r w:rsidRPr="002661A8">
              <w:rPr>
                <w:rFonts w:ascii="Times New Roman" w:hAnsi="Times New Roman" w:cs="Times New Roman"/>
                <w:noProof/>
                <w:spacing w:val="-4"/>
                <w:lang w:val="en-GB"/>
              </w:rPr>
              <w:t>2015</w:t>
            </w:r>
          </w:p>
        </w:tc>
        <w:tc>
          <w:tcPr>
            <w:tcW w:w="993" w:type="dxa"/>
            <w:shd w:val="clear" w:color="auto" w:fill="D9D9D9" w:themeFill="background1" w:themeFillShade="D9"/>
          </w:tcPr>
          <w:p w14:paraId="076420F7" w14:textId="647ABB5F" w:rsidR="00A60E02" w:rsidRPr="002661A8" w:rsidRDefault="00A60E02" w:rsidP="006F3DD8">
            <w:pPr>
              <w:pStyle w:val="TableParagraph"/>
              <w:spacing w:before="76" w:line="207" w:lineRule="exact"/>
              <w:ind w:left="-111" w:right="-110"/>
              <w:jc w:val="center"/>
              <w:rPr>
                <w:rFonts w:ascii="Times New Roman" w:hAnsi="Times New Roman" w:cs="Times New Roman"/>
                <w:noProof/>
                <w:lang w:val="en-GB"/>
              </w:rPr>
            </w:pPr>
            <w:r w:rsidRPr="002661A8">
              <w:rPr>
                <w:rFonts w:ascii="Times New Roman" w:hAnsi="Times New Roman" w:cs="Times New Roman"/>
                <w:noProof/>
                <w:lang w:val="en-GB"/>
              </w:rPr>
              <w:t>18</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 xml:space="preserve">March </w:t>
            </w:r>
            <w:r w:rsidRPr="002661A8">
              <w:rPr>
                <w:rFonts w:ascii="Times New Roman" w:hAnsi="Times New Roman" w:cs="Times New Roman"/>
                <w:noProof/>
                <w:spacing w:val="-4"/>
                <w:lang w:val="en-GB"/>
              </w:rPr>
              <w:t>2022</w:t>
            </w:r>
          </w:p>
        </w:tc>
        <w:tc>
          <w:tcPr>
            <w:tcW w:w="1026" w:type="dxa"/>
            <w:shd w:val="clear" w:color="auto" w:fill="D9D9D9" w:themeFill="background1" w:themeFillShade="D9"/>
          </w:tcPr>
          <w:p w14:paraId="27516AFD" w14:textId="196A4B17" w:rsidR="00A60E02" w:rsidRPr="002661A8" w:rsidRDefault="00A60E02" w:rsidP="006F3DD8">
            <w:pPr>
              <w:ind w:left="-104" w:right="-73"/>
              <w:jc w:val="center"/>
              <w:rPr>
                <w:b/>
                <w:noProof/>
              </w:rPr>
            </w:pPr>
            <w:r w:rsidRPr="002661A8">
              <w:rPr>
                <w:noProof/>
              </w:rPr>
              <w:t xml:space="preserve">Tier </w:t>
            </w:r>
            <w:r w:rsidRPr="002661A8">
              <w:rPr>
                <w:noProof/>
                <w:spacing w:val="-10"/>
              </w:rPr>
              <w:t>1</w:t>
            </w:r>
          </w:p>
        </w:tc>
      </w:tr>
      <w:tr w:rsidR="00A60E02" w:rsidRPr="002661A8" w14:paraId="613B792A" w14:textId="77777777" w:rsidTr="00DC0339">
        <w:tc>
          <w:tcPr>
            <w:tcW w:w="534" w:type="dxa"/>
            <w:shd w:val="clear" w:color="auto" w:fill="FFFFFF" w:themeFill="background1"/>
          </w:tcPr>
          <w:p w14:paraId="143C59A0" w14:textId="06CA494A" w:rsidR="00A60E02" w:rsidRPr="002661A8" w:rsidRDefault="00A60E02" w:rsidP="00641DA4">
            <w:pPr>
              <w:jc w:val="center"/>
              <w:rPr>
                <w:b/>
                <w:noProof/>
              </w:rPr>
            </w:pPr>
            <w:r w:rsidRPr="002661A8">
              <w:rPr>
                <w:b/>
                <w:noProof/>
                <w:w w:val="99"/>
              </w:rPr>
              <w:t>7</w:t>
            </w:r>
          </w:p>
        </w:tc>
        <w:tc>
          <w:tcPr>
            <w:tcW w:w="2835" w:type="dxa"/>
            <w:shd w:val="clear" w:color="auto" w:fill="FFFFFF" w:themeFill="background1"/>
          </w:tcPr>
          <w:p w14:paraId="6A470D3D" w14:textId="4F00D29D" w:rsidR="00A60E02" w:rsidRPr="002661A8" w:rsidRDefault="00A60E02" w:rsidP="00641DA4">
            <w:pPr>
              <w:jc w:val="center"/>
              <w:rPr>
                <w:b/>
                <w:noProof/>
              </w:rPr>
            </w:pPr>
            <w:r w:rsidRPr="002661A8">
              <w:rPr>
                <w:noProof/>
              </w:rPr>
              <w:t xml:space="preserve">Japan Securities Clearing </w:t>
            </w:r>
            <w:r w:rsidRPr="002661A8">
              <w:rPr>
                <w:noProof/>
                <w:spacing w:val="-2"/>
              </w:rPr>
              <w:t>Corporation</w:t>
            </w:r>
          </w:p>
        </w:tc>
        <w:tc>
          <w:tcPr>
            <w:tcW w:w="884" w:type="dxa"/>
            <w:shd w:val="clear" w:color="auto" w:fill="FFFFFF" w:themeFill="background1"/>
          </w:tcPr>
          <w:p w14:paraId="42D3CD41" w14:textId="5DE1F0F8" w:rsidR="00A60E02" w:rsidRPr="002661A8" w:rsidRDefault="00A60E02" w:rsidP="00641DA4">
            <w:pPr>
              <w:jc w:val="center"/>
              <w:rPr>
                <w:b/>
                <w:noProof/>
              </w:rPr>
            </w:pPr>
            <w:r w:rsidRPr="002661A8">
              <w:rPr>
                <w:noProof/>
                <w:spacing w:val="-4"/>
              </w:rPr>
              <w:t>JSCC</w:t>
            </w:r>
          </w:p>
        </w:tc>
        <w:tc>
          <w:tcPr>
            <w:tcW w:w="1809" w:type="dxa"/>
            <w:shd w:val="clear" w:color="auto" w:fill="FFFFFF" w:themeFill="background1"/>
          </w:tcPr>
          <w:p w14:paraId="14DB1567" w14:textId="7CCDB038" w:rsidR="00A60E02" w:rsidRPr="002661A8" w:rsidRDefault="00A60E02" w:rsidP="006F3DD8">
            <w:pPr>
              <w:ind w:left="-142" w:right="-108"/>
              <w:jc w:val="center"/>
              <w:rPr>
                <w:b/>
                <w:noProof/>
              </w:rPr>
            </w:pPr>
            <w:r w:rsidRPr="002661A8">
              <w:rPr>
                <w:noProof/>
                <w:spacing w:val="-2"/>
              </w:rPr>
              <w:t>Japan</w:t>
            </w:r>
          </w:p>
        </w:tc>
        <w:tc>
          <w:tcPr>
            <w:tcW w:w="1417" w:type="dxa"/>
            <w:shd w:val="clear" w:color="auto" w:fill="FFFFFF" w:themeFill="background1"/>
          </w:tcPr>
          <w:p w14:paraId="33D0DAD3" w14:textId="79D97482" w:rsidR="00A60E02" w:rsidRPr="002661A8" w:rsidRDefault="00A60E02" w:rsidP="006F3DD8">
            <w:pPr>
              <w:pStyle w:val="TableParagraph"/>
              <w:spacing w:before="76"/>
              <w:ind w:left="-106" w:right="-111"/>
              <w:jc w:val="center"/>
              <w:rPr>
                <w:rFonts w:ascii="Times New Roman" w:hAnsi="Times New Roman" w:cs="Times New Roman"/>
                <w:b/>
                <w:noProof/>
                <w:lang w:val="en-GB"/>
              </w:rPr>
            </w:pPr>
            <w:r w:rsidRPr="002661A8">
              <w:rPr>
                <w:rFonts w:ascii="Times New Roman" w:hAnsi="Times New Roman" w:cs="Times New Roman"/>
                <w:noProof/>
                <w:lang w:val="en-GB"/>
              </w:rPr>
              <w:t>27</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April</w:t>
            </w:r>
            <w:r w:rsidR="00641DA4" w:rsidRPr="002661A8">
              <w:rPr>
                <w:rFonts w:ascii="Times New Roman" w:hAnsi="Times New Roman" w:cs="Times New Roman"/>
                <w:noProof/>
                <w:spacing w:val="-2"/>
                <w:lang w:val="en-GB"/>
              </w:rPr>
              <w:t xml:space="preserve"> </w:t>
            </w:r>
            <w:r w:rsidRPr="002661A8">
              <w:rPr>
                <w:rFonts w:ascii="Times New Roman" w:hAnsi="Times New Roman" w:cs="Times New Roman"/>
                <w:noProof/>
                <w:spacing w:val="-4"/>
                <w:lang w:val="en-GB"/>
              </w:rPr>
              <w:t>2015</w:t>
            </w:r>
          </w:p>
        </w:tc>
        <w:tc>
          <w:tcPr>
            <w:tcW w:w="993" w:type="dxa"/>
            <w:shd w:val="clear" w:color="auto" w:fill="FFFFFF" w:themeFill="background1"/>
          </w:tcPr>
          <w:p w14:paraId="6E679249" w14:textId="5E09F252" w:rsidR="00A60E02" w:rsidRPr="002661A8" w:rsidRDefault="00A60E02" w:rsidP="006F3DD8">
            <w:pPr>
              <w:pStyle w:val="TableParagraph"/>
              <w:spacing w:before="76"/>
              <w:ind w:left="-111" w:right="-110"/>
              <w:jc w:val="center"/>
              <w:rPr>
                <w:rFonts w:ascii="Times New Roman" w:hAnsi="Times New Roman" w:cs="Times New Roman"/>
                <w:noProof/>
                <w:lang w:val="en-GB"/>
              </w:rPr>
            </w:pPr>
            <w:r w:rsidRPr="002661A8">
              <w:rPr>
                <w:rFonts w:ascii="Times New Roman" w:hAnsi="Times New Roman" w:cs="Times New Roman"/>
                <w:noProof/>
                <w:lang w:val="en-GB"/>
              </w:rPr>
              <w:t>9</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 xml:space="preserve">March </w:t>
            </w:r>
            <w:r w:rsidRPr="002661A8">
              <w:rPr>
                <w:rFonts w:ascii="Times New Roman" w:hAnsi="Times New Roman" w:cs="Times New Roman"/>
                <w:noProof/>
                <w:spacing w:val="-4"/>
                <w:lang w:val="en-GB"/>
              </w:rPr>
              <w:t>2022</w:t>
            </w:r>
          </w:p>
        </w:tc>
        <w:tc>
          <w:tcPr>
            <w:tcW w:w="1026" w:type="dxa"/>
            <w:shd w:val="clear" w:color="auto" w:fill="FFFFFF" w:themeFill="background1"/>
          </w:tcPr>
          <w:p w14:paraId="1663FF38" w14:textId="333802A5" w:rsidR="00A60E02" w:rsidRPr="002661A8" w:rsidRDefault="00A60E02" w:rsidP="006F3DD8">
            <w:pPr>
              <w:ind w:left="-104" w:right="-73"/>
              <w:jc w:val="center"/>
              <w:rPr>
                <w:b/>
                <w:noProof/>
              </w:rPr>
            </w:pPr>
            <w:r w:rsidRPr="002661A8">
              <w:rPr>
                <w:noProof/>
              </w:rPr>
              <w:t xml:space="preserve">Tier </w:t>
            </w:r>
            <w:r w:rsidRPr="002661A8">
              <w:rPr>
                <w:noProof/>
                <w:spacing w:val="-10"/>
              </w:rPr>
              <w:t>1</w:t>
            </w:r>
          </w:p>
        </w:tc>
      </w:tr>
      <w:tr w:rsidR="00A60E02" w:rsidRPr="002661A8" w14:paraId="75D644EF" w14:textId="77777777" w:rsidTr="00DC0339">
        <w:tc>
          <w:tcPr>
            <w:tcW w:w="534" w:type="dxa"/>
            <w:shd w:val="clear" w:color="auto" w:fill="D9D9D9" w:themeFill="background1" w:themeFillShade="D9"/>
          </w:tcPr>
          <w:p w14:paraId="5AE4A5B9" w14:textId="7F491F05" w:rsidR="00A60E02" w:rsidRPr="002661A8" w:rsidRDefault="00A60E02" w:rsidP="00641DA4">
            <w:pPr>
              <w:jc w:val="center"/>
              <w:rPr>
                <w:b/>
                <w:noProof/>
                <w:w w:val="99"/>
              </w:rPr>
            </w:pPr>
            <w:r w:rsidRPr="002661A8">
              <w:rPr>
                <w:b/>
                <w:noProof/>
                <w:w w:val="99"/>
              </w:rPr>
              <w:t>8</w:t>
            </w:r>
          </w:p>
        </w:tc>
        <w:tc>
          <w:tcPr>
            <w:tcW w:w="2835" w:type="dxa"/>
            <w:shd w:val="clear" w:color="auto" w:fill="D9D9D9" w:themeFill="background1" w:themeFillShade="D9"/>
          </w:tcPr>
          <w:p w14:paraId="10B69210" w14:textId="75261C59" w:rsidR="00A60E02" w:rsidRPr="002661A8" w:rsidRDefault="00A60E02" w:rsidP="00641DA4">
            <w:pPr>
              <w:jc w:val="center"/>
              <w:rPr>
                <w:noProof/>
              </w:rPr>
            </w:pPr>
            <w:r w:rsidRPr="002661A8">
              <w:rPr>
                <w:noProof/>
              </w:rPr>
              <w:t xml:space="preserve">Tokyo Financial </w:t>
            </w:r>
            <w:r w:rsidRPr="002661A8">
              <w:rPr>
                <w:noProof/>
                <w:spacing w:val="-2"/>
              </w:rPr>
              <w:t>Exchange</w:t>
            </w:r>
          </w:p>
        </w:tc>
        <w:tc>
          <w:tcPr>
            <w:tcW w:w="884" w:type="dxa"/>
            <w:shd w:val="clear" w:color="auto" w:fill="D9D9D9" w:themeFill="background1" w:themeFillShade="D9"/>
          </w:tcPr>
          <w:p w14:paraId="470E19D9" w14:textId="521A7F89" w:rsidR="00A60E02" w:rsidRPr="002661A8" w:rsidRDefault="00A60E02" w:rsidP="00641DA4">
            <w:pPr>
              <w:jc w:val="center"/>
              <w:rPr>
                <w:noProof/>
                <w:spacing w:val="-4"/>
              </w:rPr>
            </w:pPr>
            <w:r w:rsidRPr="002661A8">
              <w:rPr>
                <w:noProof/>
                <w:spacing w:val="-5"/>
              </w:rPr>
              <w:t>TFX</w:t>
            </w:r>
          </w:p>
        </w:tc>
        <w:tc>
          <w:tcPr>
            <w:tcW w:w="1809" w:type="dxa"/>
            <w:shd w:val="clear" w:color="auto" w:fill="D9D9D9" w:themeFill="background1" w:themeFillShade="D9"/>
          </w:tcPr>
          <w:p w14:paraId="0F89C5C1" w14:textId="353D83AF" w:rsidR="00A60E02" w:rsidRPr="002661A8" w:rsidRDefault="00A60E02" w:rsidP="006F3DD8">
            <w:pPr>
              <w:ind w:left="-142" w:right="-108"/>
              <w:jc w:val="center"/>
              <w:rPr>
                <w:noProof/>
                <w:spacing w:val="-2"/>
              </w:rPr>
            </w:pPr>
            <w:r w:rsidRPr="002661A8">
              <w:rPr>
                <w:noProof/>
                <w:spacing w:val="-2"/>
              </w:rPr>
              <w:t>Japan</w:t>
            </w:r>
          </w:p>
        </w:tc>
        <w:tc>
          <w:tcPr>
            <w:tcW w:w="1417" w:type="dxa"/>
            <w:shd w:val="clear" w:color="auto" w:fill="D9D9D9" w:themeFill="background1" w:themeFillShade="D9"/>
          </w:tcPr>
          <w:p w14:paraId="33744280" w14:textId="74B11D5F" w:rsidR="00A60E02" w:rsidRPr="002661A8" w:rsidRDefault="00A60E02" w:rsidP="006F3DD8">
            <w:pPr>
              <w:pStyle w:val="TableParagraph"/>
              <w:spacing w:before="76" w:line="207" w:lineRule="exact"/>
              <w:ind w:left="-106" w:right="-111"/>
              <w:jc w:val="center"/>
              <w:rPr>
                <w:rFonts w:ascii="Times New Roman" w:hAnsi="Times New Roman" w:cs="Times New Roman"/>
                <w:noProof/>
                <w:lang w:val="en-GB"/>
              </w:rPr>
            </w:pPr>
            <w:r w:rsidRPr="002661A8">
              <w:rPr>
                <w:rFonts w:ascii="Times New Roman" w:hAnsi="Times New Roman" w:cs="Times New Roman"/>
                <w:noProof/>
                <w:lang w:val="en-GB"/>
              </w:rPr>
              <w:t>27</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 xml:space="preserve">April </w:t>
            </w:r>
            <w:r w:rsidRPr="002661A8">
              <w:rPr>
                <w:rFonts w:ascii="Times New Roman" w:hAnsi="Times New Roman" w:cs="Times New Roman"/>
                <w:noProof/>
                <w:spacing w:val="-4"/>
                <w:lang w:val="en-GB"/>
              </w:rPr>
              <w:t>2015</w:t>
            </w:r>
          </w:p>
        </w:tc>
        <w:tc>
          <w:tcPr>
            <w:tcW w:w="993" w:type="dxa"/>
            <w:shd w:val="clear" w:color="auto" w:fill="D9D9D9" w:themeFill="background1" w:themeFillShade="D9"/>
          </w:tcPr>
          <w:p w14:paraId="0E27FAA0" w14:textId="436E0992" w:rsidR="00A60E02" w:rsidRPr="002661A8" w:rsidRDefault="00A60E02" w:rsidP="006F3DD8">
            <w:pPr>
              <w:pStyle w:val="TableParagraph"/>
              <w:spacing w:before="76" w:line="207" w:lineRule="exact"/>
              <w:ind w:left="-111" w:right="-110"/>
              <w:jc w:val="center"/>
              <w:rPr>
                <w:rFonts w:ascii="Times New Roman" w:hAnsi="Times New Roman" w:cs="Times New Roman"/>
                <w:noProof/>
                <w:lang w:val="en-GB"/>
              </w:rPr>
            </w:pPr>
            <w:r w:rsidRPr="002661A8">
              <w:rPr>
                <w:rFonts w:ascii="Times New Roman" w:hAnsi="Times New Roman" w:cs="Times New Roman"/>
                <w:noProof/>
                <w:lang w:val="en-GB"/>
              </w:rPr>
              <w:t>9</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 xml:space="preserve">March </w:t>
            </w:r>
            <w:r w:rsidRPr="002661A8">
              <w:rPr>
                <w:rFonts w:ascii="Times New Roman" w:hAnsi="Times New Roman" w:cs="Times New Roman"/>
                <w:noProof/>
                <w:spacing w:val="-4"/>
                <w:lang w:val="en-GB"/>
              </w:rPr>
              <w:t>2022</w:t>
            </w:r>
          </w:p>
        </w:tc>
        <w:tc>
          <w:tcPr>
            <w:tcW w:w="1026" w:type="dxa"/>
            <w:shd w:val="clear" w:color="auto" w:fill="D9D9D9" w:themeFill="background1" w:themeFillShade="D9"/>
          </w:tcPr>
          <w:p w14:paraId="2EC68299" w14:textId="353E0BA9" w:rsidR="00A60E02" w:rsidRPr="002661A8" w:rsidRDefault="00A60E02" w:rsidP="006F3DD8">
            <w:pPr>
              <w:ind w:left="-104" w:right="-73"/>
              <w:jc w:val="center"/>
              <w:rPr>
                <w:noProof/>
              </w:rPr>
            </w:pPr>
            <w:r w:rsidRPr="002661A8">
              <w:rPr>
                <w:noProof/>
              </w:rPr>
              <w:t xml:space="preserve">Tier </w:t>
            </w:r>
            <w:r w:rsidRPr="002661A8">
              <w:rPr>
                <w:noProof/>
                <w:spacing w:val="-10"/>
              </w:rPr>
              <w:t>1</w:t>
            </w:r>
          </w:p>
        </w:tc>
      </w:tr>
      <w:tr w:rsidR="00A60E02" w:rsidRPr="002661A8" w14:paraId="283E9215" w14:textId="77777777" w:rsidTr="00DC0339">
        <w:tc>
          <w:tcPr>
            <w:tcW w:w="534" w:type="dxa"/>
            <w:shd w:val="clear" w:color="auto" w:fill="FFFFFF" w:themeFill="background1"/>
          </w:tcPr>
          <w:p w14:paraId="4649822F" w14:textId="1FD21AF0" w:rsidR="00A60E02" w:rsidRPr="002661A8" w:rsidRDefault="00A60E02" w:rsidP="00641DA4">
            <w:pPr>
              <w:jc w:val="center"/>
              <w:rPr>
                <w:b/>
                <w:noProof/>
                <w:w w:val="99"/>
              </w:rPr>
            </w:pPr>
            <w:r w:rsidRPr="002661A8">
              <w:rPr>
                <w:b/>
                <w:noProof/>
                <w:w w:val="99"/>
              </w:rPr>
              <w:t>9</w:t>
            </w:r>
          </w:p>
        </w:tc>
        <w:tc>
          <w:tcPr>
            <w:tcW w:w="2835" w:type="dxa"/>
            <w:shd w:val="clear" w:color="auto" w:fill="FFFFFF" w:themeFill="background1"/>
          </w:tcPr>
          <w:p w14:paraId="0D14188C" w14:textId="2AADF078" w:rsidR="00A60E02" w:rsidRPr="002661A8" w:rsidRDefault="00A60E02" w:rsidP="00641DA4">
            <w:pPr>
              <w:jc w:val="center"/>
              <w:rPr>
                <w:noProof/>
              </w:rPr>
            </w:pPr>
            <w:r w:rsidRPr="002661A8">
              <w:rPr>
                <w:noProof/>
              </w:rPr>
              <w:t xml:space="preserve">Central Depository (Pte) </w:t>
            </w:r>
            <w:r w:rsidRPr="002661A8">
              <w:rPr>
                <w:noProof/>
                <w:spacing w:val="-2"/>
              </w:rPr>
              <w:t>Limited</w:t>
            </w:r>
          </w:p>
        </w:tc>
        <w:tc>
          <w:tcPr>
            <w:tcW w:w="884" w:type="dxa"/>
            <w:shd w:val="clear" w:color="auto" w:fill="FFFFFF" w:themeFill="background1"/>
          </w:tcPr>
          <w:p w14:paraId="56FE73AC" w14:textId="6DEEF2EC" w:rsidR="00A60E02" w:rsidRPr="002661A8" w:rsidRDefault="00A60E02" w:rsidP="00641DA4">
            <w:pPr>
              <w:jc w:val="center"/>
              <w:rPr>
                <w:noProof/>
                <w:spacing w:val="-4"/>
              </w:rPr>
            </w:pPr>
            <w:r w:rsidRPr="002661A8">
              <w:rPr>
                <w:noProof/>
                <w:spacing w:val="-5"/>
              </w:rPr>
              <w:t>CDP</w:t>
            </w:r>
          </w:p>
        </w:tc>
        <w:tc>
          <w:tcPr>
            <w:tcW w:w="1809" w:type="dxa"/>
            <w:shd w:val="clear" w:color="auto" w:fill="FFFFFF" w:themeFill="background1"/>
          </w:tcPr>
          <w:p w14:paraId="2A4004F0" w14:textId="7063991B" w:rsidR="00A60E02" w:rsidRPr="002661A8" w:rsidRDefault="00A60E02" w:rsidP="006F3DD8">
            <w:pPr>
              <w:ind w:left="-142" w:right="-108"/>
              <w:jc w:val="center"/>
              <w:rPr>
                <w:noProof/>
                <w:spacing w:val="-2"/>
              </w:rPr>
            </w:pPr>
            <w:r w:rsidRPr="002661A8">
              <w:rPr>
                <w:noProof/>
                <w:spacing w:val="-2"/>
              </w:rPr>
              <w:t>Singapore</w:t>
            </w:r>
          </w:p>
        </w:tc>
        <w:tc>
          <w:tcPr>
            <w:tcW w:w="1417" w:type="dxa"/>
            <w:shd w:val="clear" w:color="auto" w:fill="FFFFFF" w:themeFill="background1"/>
          </w:tcPr>
          <w:p w14:paraId="750A2F72" w14:textId="3DFDE8B5" w:rsidR="00A60E02" w:rsidRPr="002661A8" w:rsidRDefault="00A60E02" w:rsidP="006F3DD8">
            <w:pPr>
              <w:pStyle w:val="TableParagraph"/>
              <w:spacing w:before="76" w:line="207" w:lineRule="exact"/>
              <w:ind w:left="-106" w:right="-111"/>
              <w:jc w:val="center"/>
              <w:rPr>
                <w:rFonts w:ascii="Times New Roman" w:hAnsi="Times New Roman" w:cs="Times New Roman"/>
                <w:noProof/>
                <w:lang w:val="en-GB"/>
              </w:rPr>
            </w:pPr>
            <w:r w:rsidRPr="002661A8">
              <w:rPr>
                <w:rFonts w:ascii="Times New Roman" w:hAnsi="Times New Roman" w:cs="Times New Roman"/>
                <w:noProof/>
                <w:lang w:val="en-GB"/>
              </w:rPr>
              <w:t>27</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 xml:space="preserve">April </w:t>
            </w:r>
            <w:r w:rsidRPr="002661A8">
              <w:rPr>
                <w:rFonts w:ascii="Times New Roman" w:hAnsi="Times New Roman" w:cs="Times New Roman"/>
                <w:noProof/>
                <w:spacing w:val="-4"/>
                <w:lang w:val="en-GB"/>
              </w:rPr>
              <w:t>2015</w:t>
            </w:r>
          </w:p>
        </w:tc>
        <w:tc>
          <w:tcPr>
            <w:tcW w:w="993" w:type="dxa"/>
            <w:shd w:val="clear" w:color="auto" w:fill="FFFFFF" w:themeFill="background1"/>
          </w:tcPr>
          <w:p w14:paraId="22CB1476" w14:textId="28044408" w:rsidR="00A60E02" w:rsidRPr="002661A8" w:rsidRDefault="00A60E02" w:rsidP="006F3DD8">
            <w:pPr>
              <w:pStyle w:val="TableParagraph"/>
              <w:spacing w:before="76" w:line="207" w:lineRule="exact"/>
              <w:ind w:left="-111" w:right="-110"/>
              <w:jc w:val="center"/>
              <w:rPr>
                <w:rFonts w:ascii="Times New Roman" w:hAnsi="Times New Roman" w:cs="Times New Roman"/>
                <w:noProof/>
                <w:lang w:val="en-GB"/>
              </w:rPr>
            </w:pPr>
            <w:r w:rsidRPr="002661A8">
              <w:rPr>
                <w:rFonts w:ascii="Times New Roman" w:hAnsi="Times New Roman" w:cs="Times New Roman"/>
                <w:noProof/>
                <w:lang w:val="en-GB"/>
              </w:rPr>
              <w:t>8</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 xml:space="preserve">March </w:t>
            </w:r>
            <w:r w:rsidRPr="002661A8">
              <w:rPr>
                <w:rFonts w:ascii="Times New Roman" w:hAnsi="Times New Roman" w:cs="Times New Roman"/>
                <w:noProof/>
                <w:spacing w:val="-4"/>
                <w:lang w:val="en-GB"/>
              </w:rPr>
              <w:t>2022</w:t>
            </w:r>
          </w:p>
        </w:tc>
        <w:tc>
          <w:tcPr>
            <w:tcW w:w="1026" w:type="dxa"/>
            <w:shd w:val="clear" w:color="auto" w:fill="FFFFFF" w:themeFill="background1"/>
          </w:tcPr>
          <w:p w14:paraId="63DCCA02" w14:textId="4FF2DD40" w:rsidR="00A60E02" w:rsidRPr="002661A8" w:rsidRDefault="00A60E02" w:rsidP="006F3DD8">
            <w:pPr>
              <w:ind w:left="-104" w:right="-73"/>
              <w:jc w:val="center"/>
              <w:rPr>
                <w:noProof/>
              </w:rPr>
            </w:pPr>
            <w:r w:rsidRPr="002661A8">
              <w:rPr>
                <w:noProof/>
              </w:rPr>
              <w:t xml:space="preserve">Tier </w:t>
            </w:r>
            <w:r w:rsidRPr="002661A8">
              <w:rPr>
                <w:noProof/>
                <w:spacing w:val="-10"/>
              </w:rPr>
              <w:t>1</w:t>
            </w:r>
          </w:p>
        </w:tc>
      </w:tr>
      <w:tr w:rsidR="00A60E02" w:rsidRPr="002661A8" w14:paraId="78AEE921" w14:textId="77777777" w:rsidTr="00DC0339">
        <w:tc>
          <w:tcPr>
            <w:tcW w:w="534" w:type="dxa"/>
            <w:shd w:val="clear" w:color="auto" w:fill="D9D9D9" w:themeFill="background1" w:themeFillShade="D9"/>
          </w:tcPr>
          <w:p w14:paraId="3A0AC48F" w14:textId="08810E8A" w:rsidR="00A60E02" w:rsidRPr="002661A8" w:rsidRDefault="00A60E02" w:rsidP="00641DA4">
            <w:pPr>
              <w:jc w:val="center"/>
              <w:rPr>
                <w:b/>
                <w:noProof/>
                <w:w w:val="99"/>
              </w:rPr>
            </w:pPr>
            <w:r w:rsidRPr="002661A8">
              <w:rPr>
                <w:b/>
                <w:noProof/>
                <w:spacing w:val="-5"/>
              </w:rPr>
              <w:t>10</w:t>
            </w:r>
          </w:p>
        </w:tc>
        <w:tc>
          <w:tcPr>
            <w:tcW w:w="2835" w:type="dxa"/>
            <w:shd w:val="clear" w:color="auto" w:fill="D9D9D9" w:themeFill="background1" w:themeFillShade="D9"/>
          </w:tcPr>
          <w:p w14:paraId="4A23865A" w14:textId="787BF6B5" w:rsidR="00A60E02" w:rsidRPr="002661A8" w:rsidRDefault="00A60E02" w:rsidP="00641DA4">
            <w:pPr>
              <w:jc w:val="center"/>
              <w:rPr>
                <w:noProof/>
              </w:rPr>
            </w:pPr>
            <w:r w:rsidRPr="002661A8">
              <w:rPr>
                <w:noProof/>
              </w:rPr>
              <w:t xml:space="preserve">Singapore Exchange Derivatives </w:t>
            </w:r>
            <w:r w:rsidRPr="002661A8">
              <w:rPr>
                <w:noProof/>
                <w:spacing w:val="-2"/>
              </w:rPr>
              <w:t>Clearing</w:t>
            </w:r>
          </w:p>
        </w:tc>
        <w:tc>
          <w:tcPr>
            <w:tcW w:w="884" w:type="dxa"/>
            <w:shd w:val="clear" w:color="auto" w:fill="D9D9D9" w:themeFill="background1" w:themeFillShade="D9"/>
          </w:tcPr>
          <w:p w14:paraId="4FE613D2" w14:textId="46B4774A" w:rsidR="00A60E02" w:rsidRPr="002661A8" w:rsidRDefault="00A60E02" w:rsidP="00641DA4">
            <w:pPr>
              <w:jc w:val="center"/>
              <w:rPr>
                <w:noProof/>
                <w:spacing w:val="-4"/>
              </w:rPr>
            </w:pPr>
            <w:r w:rsidRPr="002661A8">
              <w:rPr>
                <w:noProof/>
                <w:spacing w:val="-4"/>
              </w:rPr>
              <w:t>SGXDC</w:t>
            </w:r>
          </w:p>
        </w:tc>
        <w:tc>
          <w:tcPr>
            <w:tcW w:w="1809" w:type="dxa"/>
            <w:shd w:val="clear" w:color="auto" w:fill="D9D9D9" w:themeFill="background1" w:themeFillShade="D9"/>
          </w:tcPr>
          <w:p w14:paraId="521AA322" w14:textId="06DF42B7" w:rsidR="00A60E02" w:rsidRPr="002661A8" w:rsidRDefault="00A60E02" w:rsidP="006F3DD8">
            <w:pPr>
              <w:ind w:left="-142" w:right="-108"/>
              <w:jc w:val="center"/>
              <w:rPr>
                <w:noProof/>
                <w:spacing w:val="-2"/>
              </w:rPr>
            </w:pPr>
            <w:r w:rsidRPr="002661A8">
              <w:rPr>
                <w:noProof/>
                <w:spacing w:val="-2"/>
              </w:rPr>
              <w:t>Singapore</w:t>
            </w:r>
          </w:p>
        </w:tc>
        <w:tc>
          <w:tcPr>
            <w:tcW w:w="1417" w:type="dxa"/>
            <w:shd w:val="clear" w:color="auto" w:fill="D9D9D9" w:themeFill="background1" w:themeFillShade="D9"/>
          </w:tcPr>
          <w:p w14:paraId="62F143A3" w14:textId="11ACC3A9" w:rsidR="00A60E02" w:rsidRPr="002661A8" w:rsidRDefault="00A60E02" w:rsidP="006F3DD8">
            <w:pPr>
              <w:pStyle w:val="TableParagraph"/>
              <w:spacing w:before="76" w:line="207" w:lineRule="exact"/>
              <w:ind w:left="-106" w:right="-111"/>
              <w:jc w:val="center"/>
              <w:rPr>
                <w:rFonts w:ascii="Times New Roman" w:hAnsi="Times New Roman" w:cs="Times New Roman"/>
                <w:noProof/>
                <w:lang w:val="en-GB"/>
              </w:rPr>
            </w:pPr>
            <w:r w:rsidRPr="002661A8">
              <w:rPr>
                <w:rFonts w:ascii="Times New Roman" w:hAnsi="Times New Roman" w:cs="Times New Roman"/>
                <w:noProof/>
                <w:lang w:val="en-GB"/>
              </w:rPr>
              <w:t>27</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 xml:space="preserve">April </w:t>
            </w:r>
            <w:r w:rsidRPr="002661A8">
              <w:rPr>
                <w:rFonts w:ascii="Times New Roman" w:hAnsi="Times New Roman" w:cs="Times New Roman"/>
                <w:noProof/>
                <w:spacing w:val="-4"/>
                <w:lang w:val="en-GB"/>
              </w:rPr>
              <w:t>2015</w:t>
            </w:r>
          </w:p>
        </w:tc>
        <w:tc>
          <w:tcPr>
            <w:tcW w:w="993" w:type="dxa"/>
            <w:shd w:val="clear" w:color="auto" w:fill="D9D9D9" w:themeFill="background1" w:themeFillShade="D9"/>
          </w:tcPr>
          <w:p w14:paraId="5CBCC0D2" w14:textId="12E6E5D7" w:rsidR="00A60E02" w:rsidRPr="002661A8" w:rsidRDefault="00A60E02" w:rsidP="006F3DD8">
            <w:pPr>
              <w:pStyle w:val="TableParagraph"/>
              <w:spacing w:before="76" w:line="207" w:lineRule="exact"/>
              <w:ind w:left="-111" w:right="-110"/>
              <w:jc w:val="center"/>
              <w:rPr>
                <w:rFonts w:ascii="Times New Roman" w:hAnsi="Times New Roman" w:cs="Times New Roman"/>
                <w:noProof/>
                <w:lang w:val="en-GB"/>
              </w:rPr>
            </w:pPr>
            <w:r w:rsidRPr="002661A8">
              <w:rPr>
                <w:rFonts w:ascii="Times New Roman" w:hAnsi="Times New Roman" w:cs="Times New Roman"/>
                <w:noProof/>
                <w:lang w:val="en-GB"/>
              </w:rPr>
              <w:t>8</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March</w:t>
            </w:r>
            <w:r w:rsidRPr="002661A8">
              <w:rPr>
                <w:rFonts w:ascii="Times New Roman" w:hAnsi="Times New Roman" w:cs="Times New Roman"/>
                <w:noProof/>
                <w:lang w:val="en-GB"/>
              </w:rPr>
              <w:t xml:space="preserve"> </w:t>
            </w:r>
            <w:r w:rsidRPr="002661A8">
              <w:rPr>
                <w:rFonts w:ascii="Times New Roman" w:hAnsi="Times New Roman" w:cs="Times New Roman"/>
                <w:noProof/>
                <w:spacing w:val="-4"/>
                <w:lang w:val="en-GB"/>
              </w:rPr>
              <w:t>2022</w:t>
            </w:r>
          </w:p>
        </w:tc>
        <w:tc>
          <w:tcPr>
            <w:tcW w:w="1026" w:type="dxa"/>
            <w:shd w:val="clear" w:color="auto" w:fill="D9D9D9" w:themeFill="background1" w:themeFillShade="D9"/>
          </w:tcPr>
          <w:p w14:paraId="503E14C0" w14:textId="75E4D4CA" w:rsidR="00A60E02" w:rsidRPr="002661A8" w:rsidRDefault="00A60E02" w:rsidP="006F3DD8">
            <w:pPr>
              <w:ind w:left="-104" w:right="-73"/>
              <w:jc w:val="center"/>
              <w:rPr>
                <w:noProof/>
              </w:rPr>
            </w:pPr>
            <w:r w:rsidRPr="002661A8">
              <w:rPr>
                <w:noProof/>
              </w:rPr>
              <w:t xml:space="preserve">Tier </w:t>
            </w:r>
            <w:r w:rsidRPr="002661A8">
              <w:rPr>
                <w:noProof/>
                <w:spacing w:val="-10"/>
              </w:rPr>
              <w:t>1</w:t>
            </w:r>
          </w:p>
        </w:tc>
      </w:tr>
      <w:tr w:rsidR="00A60E02" w:rsidRPr="002661A8" w14:paraId="23260437" w14:textId="77777777" w:rsidTr="00DC0339">
        <w:tc>
          <w:tcPr>
            <w:tcW w:w="534" w:type="dxa"/>
            <w:shd w:val="clear" w:color="auto" w:fill="FFFFFF" w:themeFill="background1"/>
          </w:tcPr>
          <w:p w14:paraId="0718E7C4" w14:textId="1B9BF809" w:rsidR="00A60E02" w:rsidRPr="002661A8" w:rsidRDefault="00A60E02" w:rsidP="00641DA4">
            <w:pPr>
              <w:jc w:val="center"/>
              <w:rPr>
                <w:b/>
                <w:noProof/>
                <w:w w:val="99"/>
              </w:rPr>
            </w:pPr>
            <w:r w:rsidRPr="002661A8">
              <w:rPr>
                <w:b/>
                <w:noProof/>
                <w:spacing w:val="-5"/>
              </w:rPr>
              <w:t>11</w:t>
            </w:r>
          </w:p>
        </w:tc>
        <w:tc>
          <w:tcPr>
            <w:tcW w:w="2835" w:type="dxa"/>
            <w:shd w:val="clear" w:color="auto" w:fill="FFFFFF" w:themeFill="background1"/>
          </w:tcPr>
          <w:p w14:paraId="617FEF84" w14:textId="6139A81B" w:rsidR="00A60E02" w:rsidRPr="002661A8" w:rsidRDefault="00A60E02" w:rsidP="00641DA4">
            <w:pPr>
              <w:jc w:val="center"/>
              <w:rPr>
                <w:noProof/>
              </w:rPr>
            </w:pPr>
            <w:r w:rsidRPr="002661A8">
              <w:rPr>
                <w:noProof/>
              </w:rPr>
              <w:t xml:space="preserve">ICE Clear </w:t>
            </w:r>
            <w:r w:rsidRPr="002661A8">
              <w:rPr>
                <w:noProof/>
                <w:spacing w:val="-2"/>
              </w:rPr>
              <w:t>Singapore</w:t>
            </w:r>
          </w:p>
        </w:tc>
        <w:tc>
          <w:tcPr>
            <w:tcW w:w="884" w:type="dxa"/>
            <w:shd w:val="clear" w:color="auto" w:fill="FFFFFF" w:themeFill="background1"/>
          </w:tcPr>
          <w:p w14:paraId="04148654" w14:textId="366AB33D" w:rsidR="00A60E02" w:rsidRPr="002661A8" w:rsidRDefault="00A60E02" w:rsidP="00641DA4">
            <w:pPr>
              <w:jc w:val="center"/>
              <w:rPr>
                <w:noProof/>
                <w:spacing w:val="-4"/>
              </w:rPr>
            </w:pPr>
            <w:r w:rsidRPr="002661A8">
              <w:rPr>
                <w:noProof/>
                <w:spacing w:val="-4"/>
              </w:rPr>
              <w:t>ICSG</w:t>
            </w:r>
          </w:p>
        </w:tc>
        <w:tc>
          <w:tcPr>
            <w:tcW w:w="1809" w:type="dxa"/>
            <w:shd w:val="clear" w:color="auto" w:fill="FFFFFF" w:themeFill="background1"/>
          </w:tcPr>
          <w:p w14:paraId="0AEFE9AE" w14:textId="1812D491" w:rsidR="00A60E02" w:rsidRPr="002661A8" w:rsidRDefault="00A60E02" w:rsidP="006F3DD8">
            <w:pPr>
              <w:ind w:left="-142" w:right="-108"/>
              <w:jc w:val="center"/>
              <w:rPr>
                <w:noProof/>
                <w:spacing w:val="-2"/>
              </w:rPr>
            </w:pPr>
            <w:r w:rsidRPr="002661A8">
              <w:rPr>
                <w:noProof/>
                <w:spacing w:val="-2"/>
              </w:rPr>
              <w:t>Singapore</w:t>
            </w:r>
          </w:p>
        </w:tc>
        <w:tc>
          <w:tcPr>
            <w:tcW w:w="1417" w:type="dxa"/>
            <w:shd w:val="clear" w:color="auto" w:fill="FFFFFF" w:themeFill="background1"/>
          </w:tcPr>
          <w:p w14:paraId="30E46B03" w14:textId="12748842" w:rsidR="00A60E02" w:rsidRPr="002661A8" w:rsidRDefault="00A60E02" w:rsidP="006F3DD8">
            <w:pPr>
              <w:pStyle w:val="TableParagraph"/>
              <w:spacing w:line="206" w:lineRule="exact"/>
              <w:ind w:left="-106" w:right="-111"/>
              <w:jc w:val="center"/>
              <w:rPr>
                <w:rFonts w:ascii="Times New Roman" w:hAnsi="Times New Roman" w:cs="Times New Roman"/>
                <w:noProof/>
                <w:lang w:val="en-GB"/>
              </w:rPr>
            </w:pPr>
            <w:r w:rsidRPr="002661A8">
              <w:rPr>
                <w:rFonts w:ascii="Times New Roman" w:hAnsi="Times New Roman" w:cs="Times New Roman"/>
                <w:noProof/>
                <w:spacing w:val="-5"/>
                <w:lang w:val="en-GB"/>
              </w:rPr>
              <w:t xml:space="preserve">24 </w:t>
            </w:r>
            <w:r w:rsidRPr="002661A8">
              <w:rPr>
                <w:rFonts w:ascii="Times New Roman" w:hAnsi="Times New Roman" w:cs="Times New Roman"/>
                <w:noProof/>
                <w:spacing w:val="-2"/>
                <w:lang w:val="en-GB"/>
              </w:rPr>
              <w:t xml:space="preserve">September </w:t>
            </w:r>
            <w:r w:rsidRPr="002661A8">
              <w:rPr>
                <w:rFonts w:ascii="Times New Roman" w:hAnsi="Times New Roman" w:cs="Times New Roman"/>
                <w:noProof/>
                <w:spacing w:val="-4"/>
                <w:lang w:val="en-GB"/>
              </w:rPr>
              <w:t>2015</w:t>
            </w:r>
          </w:p>
        </w:tc>
        <w:tc>
          <w:tcPr>
            <w:tcW w:w="993" w:type="dxa"/>
            <w:shd w:val="clear" w:color="auto" w:fill="FFFFFF" w:themeFill="background1"/>
          </w:tcPr>
          <w:p w14:paraId="45EA31C6" w14:textId="47E0F008" w:rsidR="00A60E02" w:rsidRPr="002661A8" w:rsidRDefault="00A60E02" w:rsidP="006F3DD8">
            <w:pPr>
              <w:pStyle w:val="TableParagraph"/>
              <w:spacing w:before="104" w:line="207" w:lineRule="exact"/>
              <w:ind w:left="-111" w:right="-110"/>
              <w:jc w:val="center"/>
              <w:rPr>
                <w:rFonts w:ascii="Times New Roman" w:hAnsi="Times New Roman" w:cs="Times New Roman"/>
                <w:noProof/>
                <w:lang w:val="en-GB"/>
              </w:rPr>
            </w:pPr>
            <w:r w:rsidRPr="002661A8">
              <w:rPr>
                <w:rFonts w:ascii="Times New Roman" w:hAnsi="Times New Roman" w:cs="Times New Roman"/>
                <w:noProof/>
                <w:lang w:val="en-GB"/>
              </w:rPr>
              <w:t>8</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March</w:t>
            </w:r>
            <w:r w:rsidRPr="002661A8">
              <w:rPr>
                <w:rFonts w:ascii="Times New Roman" w:hAnsi="Times New Roman" w:cs="Times New Roman"/>
                <w:noProof/>
                <w:lang w:val="en-GB"/>
              </w:rPr>
              <w:t xml:space="preserve"> </w:t>
            </w:r>
            <w:r w:rsidRPr="002661A8">
              <w:rPr>
                <w:rFonts w:ascii="Times New Roman" w:hAnsi="Times New Roman" w:cs="Times New Roman"/>
                <w:noProof/>
                <w:spacing w:val="-4"/>
                <w:lang w:val="en-GB"/>
              </w:rPr>
              <w:t>2022</w:t>
            </w:r>
          </w:p>
        </w:tc>
        <w:tc>
          <w:tcPr>
            <w:tcW w:w="1026" w:type="dxa"/>
            <w:shd w:val="clear" w:color="auto" w:fill="FFFFFF" w:themeFill="background1"/>
          </w:tcPr>
          <w:p w14:paraId="4484510C" w14:textId="67FC2EB5" w:rsidR="00A60E02" w:rsidRPr="002661A8" w:rsidRDefault="00A60E02" w:rsidP="006F3DD8">
            <w:pPr>
              <w:ind w:left="-104" w:right="-73"/>
              <w:jc w:val="center"/>
              <w:rPr>
                <w:noProof/>
              </w:rPr>
            </w:pPr>
            <w:r w:rsidRPr="002661A8">
              <w:rPr>
                <w:noProof/>
              </w:rPr>
              <w:t xml:space="preserve">Tier </w:t>
            </w:r>
            <w:r w:rsidRPr="002661A8">
              <w:rPr>
                <w:noProof/>
                <w:spacing w:val="-10"/>
              </w:rPr>
              <w:t>1</w:t>
            </w:r>
          </w:p>
        </w:tc>
      </w:tr>
      <w:tr w:rsidR="00A60E02" w:rsidRPr="002661A8" w14:paraId="5761C0C7" w14:textId="77777777" w:rsidTr="00DC0339">
        <w:tc>
          <w:tcPr>
            <w:tcW w:w="534" w:type="dxa"/>
            <w:shd w:val="clear" w:color="auto" w:fill="D9D9D9" w:themeFill="background1" w:themeFillShade="D9"/>
          </w:tcPr>
          <w:p w14:paraId="42B83D3D" w14:textId="77777777" w:rsidR="00A60E02" w:rsidRPr="002661A8" w:rsidRDefault="00A60E02" w:rsidP="00641DA4">
            <w:pPr>
              <w:jc w:val="center"/>
              <w:rPr>
                <w:b/>
                <w:noProof/>
                <w:w w:val="99"/>
              </w:rPr>
            </w:pPr>
            <w:r w:rsidRPr="002661A8">
              <w:rPr>
                <w:b/>
                <w:noProof/>
                <w:spacing w:val="-5"/>
              </w:rPr>
              <w:t>12</w:t>
            </w:r>
          </w:p>
        </w:tc>
        <w:tc>
          <w:tcPr>
            <w:tcW w:w="2835" w:type="dxa"/>
            <w:shd w:val="clear" w:color="auto" w:fill="D9D9D9" w:themeFill="background1" w:themeFillShade="D9"/>
          </w:tcPr>
          <w:p w14:paraId="1DE559E7" w14:textId="77777777" w:rsidR="00A60E02" w:rsidRPr="002661A8" w:rsidRDefault="00A60E02" w:rsidP="00641DA4">
            <w:pPr>
              <w:jc w:val="center"/>
              <w:rPr>
                <w:noProof/>
              </w:rPr>
            </w:pPr>
            <w:r w:rsidRPr="002661A8">
              <w:rPr>
                <w:noProof/>
              </w:rPr>
              <w:t xml:space="preserve">JSE </w:t>
            </w:r>
            <w:r w:rsidRPr="002661A8">
              <w:rPr>
                <w:noProof/>
                <w:spacing w:val="-2"/>
              </w:rPr>
              <w:t>Clear</w:t>
            </w:r>
          </w:p>
        </w:tc>
        <w:tc>
          <w:tcPr>
            <w:tcW w:w="884" w:type="dxa"/>
            <w:shd w:val="clear" w:color="auto" w:fill="D9D9D9" w:themeFill="background1" w:themeFillShade="D9"/>
          </w:tcPr>
          <w:p w14:paraId="35A130C7" w14:textId="77777777" w:rsidR="00A60E02" w:rsidRPr="002661A8" w:rsidRDefault="00A60E02" w:rsidP="00641DA4">
            <w:pPr>
              <w:jc w:val="center"/>
              <w:rPr>
                <w:noProof/>
                <w:spacing w:val="-4"/>
              </w:rPr>
            </w:pPr>
            <w:r w:rsidRPr="002661A8">
              <w:rPr>
                <w:noProof/>
                <w:spacing w:val="-4"/>
              </w:rPr>
              <w:t>JSEC</w:t>
            </w:r>
          </w:p>
        </w:tc>
        <w:tc>
          <w:tcPr>
            <w:tcW w:w="1809" w:type="dxa"/>
            <w:shd w:val="clear" w:color="auto" w:fill="D9D9D9" w:themeFill="background1" w:themeFillShade="D9"/>
          </w:tcPr>
          <w:p w14:paraId="7510B437" w14:textId="77777777" w:rsidR="00A60E02" w:rsidRPr="002661A8" w:rsidRDefault="00A60E02" w:rsidP="006F3DD8">
            <w:pPr>
              <w:ind w:left="-142" w:right="-108"/>
              <w:jc w:val="center"/>
              <w:rPr>
                <w:noProof/>
                <w:spacing w:val="-2"/>
              </w:rPr>
            </w:pPr>
            <w:r w:rsidRPr="002661A8">
              <w:rPr>
                <w:noProof/>
              </w:rPr>
              <w:t>South</w:t>
            </w:r>
            <w:r w:rsidRPr="002661A8">
              <w:rPr>
                <w:noProof/>
                <w:spacing w:val="-2"/>
              </w:rPr>
              <w:t xml:space="preserve"> Africa</w:t>
            </w:r>
          </w:p>
        </w:tc>
        <w:tc>
          <w:tcPr>
            <w:tcW w:w="1417" w:type="dxa"/>
            <w:shd w:val="clear" w:color="auto" w:fill="D9D9D9" w:themeFill="background1" w:themeFillShade="D9"/>
          </w:tcPr>
          <w:p w14:paraId="22FB2284" w14:textId="0364C9CA" w:rsidR="00A60E02" w:rsidRPr="002661A8" w:rsidRDefault="00A60E02" w:rsidP="006F3DD8">
            <w:pPr>
              <w:pStyle w:val="TableParagraph"/>
              <w:spacing w:before="85" w:line="207" w:lineRule="exact"/>
              <w:ind w:left="-106" w:right="-111"/>
              <w:jc w:val="center"/>
              <w:rPr>
                <w:rFonts w:ascii="Times New Roman" w:hAnsi="Times New Roman" w:cs="Times New Roman"/>
                <w:noProof/>
                <w:lang w:val="en-GB"/>
              </w:rPr>
            </w:pPr>
            <w:r w:rsidRPr="002661A8">
              <w:rPr>
                <w:rFonts w:ascii="Times New Roman" w:hAnsi="Times New Roman" w:cs="Times New Roman"/>
                <w:noProof/>
                <w:lang w:val="en-GB"/>
              </w:rPr>
              <w:t>27</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January</w:t>
            </w:r>
            <w:r w:rsidR="00641DA4" w:rsidRPr="002661A8">
              <w:rPr>
                <w:rFonts w:ascii="Times New Roman" w:hAnsi="Times New Roman" w:cs="Times New Roman"/>
                <w:noProof/>
                <w:spacing w:val="-2"/>
                <w:lang w:val="en-GB"/>
              </w:rPr>
              <w:t xml:space="preserve"> </w:t>
            </w:r>
            <w:r w:rsidRPr="002661A8">
              <w:rPr>
                <w:rFonts w:ascii="Times New Roman" w:hAnsi="Times New Roman" w:cs="Times New Roman"/>
                <w:noProof/>
                <w:spacing w:val="-4"/>
                <w:lang w:val="en-GB"/>
              </w:rPr>
              <w:t>2016</w:t>
            </w:r>
          </w:p>
        </w:tc>
        <w:tc>
          <w:tcPr>
            <w:tcW w:w="993" w:type="dxa"/>
            <w:shd w:val="clear" w:color="auto" w:fill="D9D9D9" w:themeFill="background1" w:themeFillShade="D9"/>
          </w:tcPr>
          <w:p w14:paraId="09D79C12" w14:textId="5477200C" w:rsidR="00A60E02" w:rsidRPr="002661A8" w:rsidRDefault="00A60E02" w:rsidP="006F3DD8">
            <w:pPr>
              <w:pStyle w:val="TableParagraph"/>
              <w:spacing w:line="194" w:lineRule="exact"/>
              <w:ind w:left="-111" w:right="-110"/>
              <w:jc w:val="center"/>
              <w:rPr>
                <w:rFonts w:ascii="Times New Roman" w:hAnsi="Times New Roman" w:cs="Times New Roman"/>
                <w:noProof/>
                <w:lang w:val="en-GB"/>
              </w:rPr>
            </w:pPr>
            <w:r w:rsidRPr="002661A8">
              <w:rPr>
                <w:rFonts w:ascii="Times New Roman" w:hAnsi="Times New Roman" w:cs="Times New Roman"/>
                <w:noProof/>
                <w:lang w:val="en-GB"/>
              </w:rPr>
              <w:t>Review</w:t>
            </w:r>
            <w:r w:rsidRPr="002661A8">
              <w:rPr>
                <w:rFonts w:ascii="Times New Roman" w:hAnsi="Times New Roman" w:cs="Times New Roman"/>
                <w:noProof/>
                <w:spacing w:val="-5"/>
                <w:lang w:val="en-GB"/>
              </w:rPr>
              <w:t xml:space="preserve"> of </w:t>
            </w:r>
            <w:r w:rsidRPr="002661A8">
              <w:rPr>
                <w:rFonts w:ascii="Times New Roman" w:hAnsi="Times New Roman" w:cs="Times New Roman"/>
                <w:noProof/>
                <w:spacing w:val="-2"/>
                <w:lang w:val="en-GB"/>
              </w:rPr>
              <w:t xml:space="preserve">recognition </w:t>
            </w:r>
            <w:r w:rsidRPr="002661A8">
              <w:rPr>
                <w:rFonts w:ascii="Times New Roman" w:hAnsi="Times New Roman" w:cs="Times New Roman"/>
                <w:noProof/>
                <w:lang w:val="en-GB"/>
              </w:rPr>
              <w:t>still</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ongoing</w:t>
            </w:r>
          </w:p>
        </w:tc>
        <w:tc>
          <w:tcPr>
            <w:tcW w:w="1026" w:type="dxa"/>
            <w:shd w:val="clear" w:color="auto" w:fill="D9D9D9" w:themeFill="background1" w:themeFillShade="D9"/>
          </w:tcPr>
          <w:p w14:paraId="052AD609" w14:textId="6311AD69" w:rsidR="00A60E02" w:rsidRPr="002661A8" w:rsidRDefault="00A60E02" w:rsidP="006F3DD8">
            <w:pPr>
              <w:ind w:left="-104" w:right="-73"/>
              <w:jc w:val="center"/>
              <w:rPr>
                <w:noProof/>
              </w:rPr>
            </w:pPr>
            <w:r w:rsidRPr="002661A8">
              <w:rPr>
                <w:noProof/>
              </w:rPr>
              <w:t xml:space="preserve">Tier </w:t>
            </w:r>
            <w:r w:rsidRPr="002661A8">
              <w:rPr>
                <w:noProof/>
                <w:spacing w:val="-10"/>
              </w:rPr>
              <w:t>1</w:t>
            </w:r>
          </w:p>
        </w:tc>
      </w:tr>
      <w:tr w:rsidR="00A60E02" w:rsidRPr="002661A8" w14:paraId="4D95DEB8" w14:textId="77777777" w:rsidTr="00DC0339">
        <w:tc>
          <w:tcPr>
            <w:tcW w:w="534" w:type="dxa"/>
            <w:shd w:val="clear" w:color="auto" w:fill="FFFFFF" w:themeFill="background1"/>
          </w:tcPr>
          <w:p w14:paraId="16F990B7" w14:textId="0A6F18A8" w:rsidR="00A60E02" w:rsidRPr="002661A8" w:rsidRDefault="00A60E02" w:rsidP="00641DA4">
            <w:pPr>
              <w:jc w:val="center"/>
              <w:rPr>
                <w:b/>
                <w:noProof/>
                <w:w w:val="99"/>
              </w:rPr>
            </w:pPr>
            <w:r w:rsidRPr="002661A8">
              <w:rPr>
                <w:b/>
                <w:noProof/>
                <w:spacing w:val="-5"/>
              </w:rPr>
              <w:t>13</w:t>
            </w:r>
          </w:p>
        </w:tc>
        <w:tc>
          <w:tcPr>
            <w:tcW w:w="2835" w:type="dxa"/>
            <w:shd w:val="clear" w:color="auto" w:fill="FFFFFF" w:themeFill="background1"/>
          </w:tcPr>
          <w:p w14:paraId="7F317293" w14:textId="396EC7F8" w:rsidR="00A60E02" w:rsidRPr="002661A8" w:rsidRDefault="00A60E02" w:rsidP="00641DA4">
            <w:pPr>
              <w:jc w:val="center"/>
              <w:rPr>
                <w:noProof/>
              </w:rPr>
            </w:pPr>
            <w:r w:rsidRPr="002661A8">
              <w:rPr>
                <w:noProof/>
              </w:rPr>
              <w:t xml:space="preserve">ICE NGX Canada </w:t>
            </w:r>
            <w:r w:rsidRPr="002661A8">
              <w:rPr>
                <w:noProof/>
                <w:spacing w:val="-4"/>
              </w:rPr>
              <w:t>Inc.</w:t>
            </w:r>
            <w:r w:rsidRPr="002661A8">
              <w:rPr>
                <w:noProof/>
                <w:spacing w:val="-4"/>
                <w:position w:val="6"/>
              </w:rPr>
              <w:t>3</w:t>
            </w:r>
          </w:p>
        </w:tc>
        <w:tc>
          <w:tcPr>
            <w:tcW w:w="884" w:type="dxa"/>
            <w:shd w:val="clear" w:color="auto" w:fill="FFFFFF" w:themeFill="background1"/>
          </w:tcPr>
          <w:p w14:paraId="27057727" w14:textId="69FA38DD" w:rsidR="00A60E02" w:rsidRPr="002661A8" w:rsidRDefault="00A60E02" w:rsidP="00641DA4">
            <w:pPr>
              <w:jc w:val="center"/>
              <w:rPr>
                <w:noProof/>
                <w:spacing w:val="-4"/>
              </w:rPr>
            </w:pPr>
            <w:r w:rsidRPr="002661A8">
              <w:rPr>
                <w:noProof/>
                <w:spacing w:val="-5"/>
              </w:rPr>
              <w:t>NGX</w:t>
            </w:r>
          </w:p>
        </w:tc>
        <w:tc>
          <w:tcPr>
            <w:tcW w:w="1809" w:type="dxa"/>
            <w:shd w:val="clear" w:color="auto" w:fill="FFFFFF" w:themeFill="background1"/>
          </w:tcPr>
          <w:p w14:paraId="27FCAA5B" w14:textId="0AF498AA" w:rsidR="00A60E02" w:rsidRPr="002661A8" w:rsidRDefault="00A60E02" w:rsidP="006F3DD8">
            <w:pPr>
              <w:ind w:left="-142" w:right="-108"/>
              <w:jc w:val="center"/>
              <w:rPr>
                <w:noProof/>
                <w:spacing w:val="-2"/>
              </w:rPr>
            </w:pPr>
            <w:r w:rsidRPr="002661A8">
              <w:rPr>
                <w:noProof/>
                <w:spacing w:val="-2"/>
              </w:rPr>
              <w:t>Canada</w:t>
            </w:r>
          </w:p>
        </w:tc>
        <w:tc>
          <w:tcPr>
            <w:tcW w:w="1417" w:type="dxa"/>
            <w:shd w:val="clear" w:color="auto" w:fill="FFFFFF" w:themeFill="background1"/>
          </w:tcPr>
          <w:p w14:paraId="23202486" w14:textId="3E4A6274" w:rsidR="00A60E02" w:rsidRPr="002661A8" w:rsidRDefault="00A60E02" w:rsidP="006F3DD8">
            <w:pPr>
              <w:pStyle w:val="TableParagraph"/>
              <w:spacing w:before="76"/>
              <w:ind w:left="-106" w:right="-111"/>
              <w:jc w:val="center"/>
              <w:rPr>
                <w:rFonts w:ascii="Times New Roman" w:hAnsi="Times New Roman" w:cs="Times New Roman"/>
                <w:noProof/>
                <w:lang w:val="en-GB"/>
              </w:rPr>
            </w:pPr>
            <w:r w:rsidRPr="002661A8">
              <w:rPr>
                <w:rFonts w:ascii="Times New Roman" w:hAnsi="Times New Roman" w:cs="Times New Roman"/>
                <w:noProof/>
                <w:lang w:val="en-GB"/>
              </w:rPr>
              <w:t>27</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January</w:t>
            </w:r>
            <w:r w:rsidR="00DC0339" w:rsidRPr="002661A8">
              <w:rPr>
                <w:rFonts w:ascii="Times New Roman" w:hAnsi="Times New Roman" w:cs="Times New Roman"/>
                <w:noProof/>
                <w:spacing w:val="-2"/>
                <w:lang w:val="en-GB"/>
              </w:rPr>
              <w:t xml:space="preserve"> </w:t>
            </w:r>
            <w:r w:rsidRPr="002661A8">
              <w:rPr>
                <w:rFonts w:ascii="Times New Roman" w:hAnsi="Times New Roman" w:cs="Times New Roman"/>
                <w:noProof/>
                <w:spacing w:val="-4"/>
                <w:lang w:val="en-GB"/>
              </w:rPr>
              <w:t>2016</w:t>
            </w:r>
          </w:p>
        </w:tc>
        <w:tc>
          <w:tcPr>
            <w:tcW w:w="993" w:type="dxa"/>
            <w:shd w:val="clear" w:color="auto" w:fill="FFFFFF" w:themeFill="background1"/>
          </w:tcPr>
          <w:p w14:paraId="2325FCC0" w14:textId="2460768D" w:rsidR="00A60E02" w:rsidRPr="002661A8" w:rsidRDefault="00A60E02" w:rsidP="006F3DD8">
            <w:pPr>
              <w:pStyle w:val="TableParagraph"/>
              <w:spacing w:before="76" w:line="207" w:lineRule="exact"/>
              <w:ind w:left="-111" w:right="-110"/>
              <w:jc w:val="center"/>
              <w:rPr>
                <w:rFonts w:ascii="Times New Roman" w:hAnsi="Times New Roman" w:cs="Times New Roman"/>
                <w:noProof/>
                <w:lang w:val="en-GB"/>
              </w:rPr>
            </w:pPr>
            <w:r w:rsidRPr="002661A8">
              <w:rPr>
                <w:rFonts w:ascii="Times New Roman" w:hAnsi="Times New Roman" w:cs="Times New Roman"/>
                <w:noProof/>
                <w:lang w:val="en-GB"/>
              </w:rPr>
              <w:t>8</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 xml:space="preserve">March </w:t>
            </w:r>
            <w:r w:rsidRPr="002661A8">
              <w:rPr>
                <w:rFonts w:ascii="Times New Roman" w:hAnsi="Times New Roman" w:cs="Times New Roman"/>
                <w:noProof/>
                <w:spacing w:val="-4"/>
                <w:lang w:val="en-GB"/>
              </w:rPr>
              <w:t>2022</w:t>
            </w:r>
          </w:p>
        </w:tc>
        <w:tc>
          <w:tcPr>
            <w:tcW w:w="1026" w:type="dxa"/>
            <w:shd w:val="clear" w:color="auto" w:fill="FFFFFF" w:themeFill="background1"/>
          </w:tcPr>
          <w:p w14:paraId="035E23F3" w14:textId="6EB96692" w:rsidR="00A60E02" w:rsidRPr="002661A8" w:rsidRDefault="00A60E02" w:rsidP="006F3DD8">
            <w:pPr>
              <w:ind w:left="-104" w:right="-73"/>
              <w:jc w:val="center"/>
              <w:rPr>
                <w:noProof/>
              </w:rPr>
            </w:pPr>
            <w:r w:rsidRPr="002661A8">
              <w:rPr>
                <w:noProof/>
              </w:rPr>
              <w:t xml:space="preserve">Tier </w:t>
            </w:r>
            <w:r w:rsidRPr="002661A8">
              <w:rPr>
                <w:noProof/>
                <w:spacing w:val="-10"/>
              </w:rPr>
              <w:t>1</w:t>
            </w:r>
          </w:p>
        </w:tc>
      </w:tr>
      <w:tr w:rsidR="00A60E02" w:rsidRPr="002661A8" w14:paraId="4452E4D4" w14:textId="77777777" w:rsidTr="00DC0339">
        <w:tc>
          <w:tcPr>
            <w:tcW w:w="534" w:type="dxa"/>
            <w:shd w:val="clear" w:color="auto" w:fill="D9D9D9" w:themeFill="background1" w:themeFillShade="D9"/>
          </w:tcPr>
          <w:p w14:paraId="3AF886CB" w14:textId="1518A17A" w:rsidR="00A60E02" w:rsidRPr="002661A8" w:rsidRDefault="00A60E02" w:rsidP="00641DA4">
            <w:pPr>
              <w:jc w:val="center"/>
              <w:rPr>
                <w:b/>
                <w:noProof/>
                <w:w w:val="99"/>
              </w:rPr>
            </w:pPr>
            <w:r w:rsidRPr="002661A8">
              <w:rPr>
                <w:b/>
                <w:noProof/>
                <w:spacing w:val="-5"/>
              </w:rPr>
              <w:t>14</w:t>
            </w:r>
          </w:p>
        </w:tc>
        <w:tc>
          <w:tcPr>
            <w:tcW w:w="2835" w:type="dxa"/>
            <w:shd w:val="clear" w:color="auto" w:fill="D9D9D9" w:themeFill="background1" w:themeFillShade="D9"/>
          </w:tcPr>
          <w:p w14:paraId="6B57E798" w14:textId="5A790976" w:rsidR="00A60E02" w:rsidRPr="002661A8" w:rsidRDefault="00A60E02" w:rsidP="00641DA4">
            <w:pPr>
              <w:jc w:val="center"/>
              <w:rPr>
                <w:noProof/>
              </w:rPr>
            </w:pPr>
            <w:r w:rsidRPr="002661A8">
              <w:rPr>
                <w:noProof/>
              </w:rPr>
              <w:t xml:space="preserve">Canadian Derivatives Clearing </w:t>
            </w:r>
            <w:r w:rsidRPr="002661A8">
              <w:rPr>
                <w:noProof/>
                <w:spacing w:val="-2"/>
              </w:rPr>
              <w:t>Corporation</w:t>
            </w:r>
          </w:p>
        </w:tc>
        <w:tc>
          <w:tcPr>
            <w:tcW w:w="884" w:type="dxa"/>
            <w:shd w:val="clear" w:color="auto" w:fill="D9D9D9" w:themeFill="background1" w:themeFillShade="D9"/>
          </w:tcPr>
          <w:p w14:paraId="265CA7DC" w14:textId="706CD01A" w:rsidR="00A60E02" w:rsidRPr="002661A8" w:rsidRDefault="00A60E02" w:rsidP="00641DA4">
            <w:pPr>
              <w:jc w:val="center"/>
              <w:rPr>
                <w:noProof/>
                <w:spacing w:val="-4"/>
              </w:rPr>
            </w:pPr>
            <w:r w:rsidRPr="002661A8">
              <w:rPr>
                <w:noProof/>
                <w:spacing w:val="-4"/>
              </w:rPr>
              <w:t>CDCC</w:t>
            </w:r>
          </w:p>
        </w:tc>
        <w:tc>
          <w:tcPr>
            <w:tcW w:w="1809" w:type="dxa"/>
            <w:shd w:val="clear" w:color="auto" w:fill="D9D9D9" w:themeFill="background1" w:themeFillShade="D9"/>
          </w:tcPr>
          <w:p w14:paraId="6227CCD4" w14:textId="3AF8EDA4" w:rsidR="00A60E02" w:rsidRPr="002661A8" w:rsidRDefault="00A60E02" w:rsidP="006F3DD8">
            <w:pPr>
              <w:ind w:left="-142" w:right="-108"/>
              <w:jc w:val="center"/>
              <w:rPr>
                <w:noProof/>
                <w:spacing w:val="-2"/>
              </w:rPr>
            </w:pPr>
            <w:r w:rsidRPr="002661A8">
              <w:rPr>
                <w:noProof/>
                <w:spacing w:val="-2"/>
              </w:rPr>
              <w:t>Canada</w:t>
            </w:r>
          </w:p>
        </w:tc>
        <w:tc>
          <w:tcPr>
            <w:tcW w:w="1417" w:type="dxa"/>
            <w:shd w:val="clear" w:color="auto" w:fill="D9D9D9" w:themeFill="background1" w:themeFillShade="D9"/>
          </w:tcPr>
          <w:p w14:paraId="2BE9BEE7" w14:textId="43D88E7A" w:rsidR="00A60E02" w:rsidRPr="002661A8" w:rsidRDefault="00A60E02" w:rsidP="006F3DD8">
            <w:pPr>
              <w:pStyle w:val="TableParagraph"/>
              <w:spacing w:before="76"/>
              <w:ind w:left="-106" w:right="-111"/>
              <w:jc w:val="center"/>
              <w:rPr>
                <w:rFonts w:ascii="Times New Roman" w:hAnsi="Times New Roman" w:cs="Times New Roman"/>
                <w:noProof/>
                <w:lang w:val="en-GB"/>
              </w:rPr>
            </w:pPr>
            <w:r w:rsidRPr="002661A8">
              <w:rPr>
                <w:rFonts w:ascii="Times New Roman" w:hAnsi="Times New Roman" w:cs="Times New Roman"/>
                <w:noProof/>
                <w:lang w:val="en-GB"/>
              </w:rPr>
              <w:t>27</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January</w:t>
            </w:r>
            <w:r w:rsidR="00DC0339" w:rsidRPr="002661A8">
              <w:rPr>
                <w:rFonts w:ascii="Times New Roman" w:hAnsi="Times New Roman" w:cs="Times New Roman"/>
                <w:noProof/>
                <w:spacing w:val="-2"/>
                <w:lang w:val="en-GB"/>
              </w:rPr>
              <w:t xml:space="preserve"> </w:t>
            </w:r>
            <w:r w:rsidRPr="002661A8">
              <w:rPr>
                <w:rFonts w:ascii="Times New Roman" w:hAnsi="Times New Roman" w:cs="Times New Roman"/>
                <w:noProof/>
                <w:spacing w:val="-4"/>
                <w:lang w:val="en-GB"/>
              </w:rPr>
              <w:t>2016</w:t>
            </w:r>
          </w:p>
        </w:tc>
        <w:tc>
          <w:tcPr>
            <w:tcW w:w="993" w:type="dxa"/>
            <w:shd w:val="clear" w:color="auto" w:fill="D9D9D9" w:themeFill="background1" w:themeFillShade="D9"/>
          </w:tcPr>
          <w:p w14:paraId="414D6E3F" w14:textId="3486D1D1" w:rsidR="00A60E02" w:rsidRPr="002661A8" w:rsidRDefault="00A60E02" w:rsidP="006F3DD8">
            <w:pPr>
              <w:pStyle w:val="TableParagraph"/>
              <w:spacing w:before="76"/>
              <w:ind w:left="-111" w:right="-110"/>
              <w:jc w:val="center"/>
              <w:rPr>
                <w:rFonts w:ascii="Times New Roman" w:hAnsi="Times New Roman" w:cs="Times New Roman"/>
                <w:noProof/>
                <w:lang w:val="en-GB"/>
              </w:rPr>
            </w:pPr>
            <w:r w:rsidRPr="002661A8">
              <w:rPr>
                <w:rFonts w:ascii="Times New Roman" w:hAnsi="Times New Roman" w:cs="Times New Roman"/>
                <w:noProof/>
                <w:lang w:val="en-GB"/>
              </w:rPr>
              <w:t>8</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 xml:space="preserve">March </w:t>
            </w:r>
            <w:r w:rsidRPr="002661A8">
              <w:rPr>
                <w:rFonts w:ascii="Times New Roman" w:hAnsi="Times New Roman" w:cs="Times New Roman"/>
                <w:noProof/>
                <w:spacing w:val="-4"/>
                <w:lang w:val="en-GB"/>
              </w:rPr>
              <w:t>2022</w:t>
            </w:r>
          </w:p>
        </w:tc>
        <w:tc>
          <w:tcPr>
            <w:tcW w:w="1026" w:type="dxa"/>
            <w:shd w:val="clear" w:color="auto" w:fill="D9D9D9" w:themeFill="background1" w:themeFillShade="D9"/>
          </w:tcPr>
          <w:p w14:paraId="528B47EB" w14:textId="14C20EA7" w:rsidR="00A60E02" w:rsidRPr="002661A8" w:rsidRDefault="00A60E02" w:rsidP="006F3DD8">
            <w:pPr>
              <w:ind w:left="-104" w:right="-73"/>
              <w:jc w:val="center"/>
              <w:rPr>
                <w:noProof/>
              </w:rPr>
            </w:pPr>
            <w:r w:rsidRPr="002661A8">
              <w:rPr>
                <w:noProof/>
              </w:rPr>
              <w:t xml:space="preserve">Tier </w:t>
            </w:r>
            <w:r w:rsidRPr="002661A8">
              <w:rPr>
                <w:noProof/>
                <w:spacing w:val="-10"/>
              </w:rPr>
              <w:t>1</w:t>
            </w:r>
          </w:p>
        </w:tc>
      </w:tr>
      <w:tr w:rsidR="00A60E02" w:rsidRPr="002661A8" w14:paraId="01DC78EC" w14:textId="77777777" w:rsidTr="00DC0339">
        <w:tc>
          <w:tcPr>
            <w:tcW w:w="534" w:type="dxa"/>
            <w:shd w:val="clear" w:color="auto" w:fill="FFFFFF" w:themeFill="background1"/>
          </w:tcPr>
          <w:p w14:paraId="36E12DAC" w14:textId="214740BE" w:rsidR="00A60E02" w:rsidRPr="002661A8" w:rsidRDefault="00A60E02" w:rsidP="00641DA4">
            <w:pPr>
              <w:jc w:val="center"/>
              <w:rPr>
                <w:b/>
                <w:noProof/>
                <w:w w:val="99"/>
              </w:rPr>
            </w:pPr>
            <w:r w:rsidRPr="002661A8">
              <w:rPr>
                <w:b/>
                <w:noProof/>
                <w:spacing w:val="-5"/>
              </w:rPr>
              <w:t>15</w:t>
            </w:r>
          </w:p>
        </w:tc>
        <w:tc>
          <w:tcPr>
            <w:tcW w:w="2835" w:type="dxa"/>
            <w:shd w:val="clear" w:color="auto" w:fill="FFFFFF" w:themeFill="background1"/>
          </w:tcPr>
          <w:p w14:paraId="77A1EB9C" w14:textId="09F630C6" w:rsidR="00A60E02" w:rsidRPr="002661A8" w:rsidRDefault="00A60E02" w:rsidP="00641DA4">
            <w:pPr>
              <w:jc w:val="center"/>
              <w:rPr>
                <w:noProof/>
              </w:rPr>
            </w:pPr>
            <w:r w:rsidRPr="002661A8">
              <w:rPr>
                <w:noProof/>
              </w:rPr>
              <w:t xml:space="preserve">Asigna Compensacion y </w:t>
            </w:r>
            <w:r w:rsidRPr="002661A8">
              <w:rPr>
                <w:noProof/>
                <w:spacing w:val="-2"/>
              </w:rPr>
              <w:t>Liquidacion</w:t>
            </w:r>
          </w:p>
        </w:tc>
        <w:tc>
          <w:tcPr>
            <w:tcW w:w="884" w:type="dxa"/>
            <w:shd w:val="clear" w:color="auto" w:fill="FFFFFF" w:themeFill="background1"/>
          </w:tcPr>
          <w:p w14:paraId="19D8B9F5" w14:textId="44B9C73D" w:rsidR="00A60E02" w:rsidRPr="002661A8" w:rsidRDefault="00A60E02" w:rsidP="00641DA4">
            <w:pPr>
              <w:jc w:val="center"/>
              <w:rPr>
                <w:noProof/>
                <w:spacing w:val="-4"/>
              </w:rPr>
            </w:pPr>
            <w:r w:rsidRPr="002661A8">
              <w:rPr>
                <w:noProof/>
                <w:spacing w:val="-4"/>
              </w:rPr>
              <w:t>ACYL</w:t>
            </w:r>
          </w:p>
        </w:tc>
        <w:tc>
          <w:tcPr>
            <w:tcW w:w="1809" w:type="dxa"/>
            <w:shd w:val="clear" w:color="auto" w:fill="FFFFFF" w:themeFill="background1"/>
          </w:tcPr>
          <w:p w14:paraId="2710E663" w14:textId="4C751773" w:rsidR="00A60E02" w:rsidRPr="002661A8" w:rsidRDefault="00A60E02" w:rsidP="006F3DD8">
            <w:pPr>
              <w:ind w:left="-142" w:right="-108"/>
              <w:jc w:val="center"/>
              <w:rPr>
                <w:noProof/>
                <w:spacing w:val="-2"/>
              </w:rPr>
            </w:pPr>
            <w:r w:rsidRPr="002661A8">
              <w:rPr>
                <w:noProof/>
                <w:spacing w:val="-2"/>
              </w:rPr>
              <w:t>Mexico</w:t>
            </w:r>
          </w:p>
        </w:tc>
        <w:tc>
          <w:tcPr>
            <w:tcW w:w="1417" w:type="dxa"/>
            <w:shd w:val="clear" w:color="auto" w:fill="FFFFFF" w:themeFill="background1"/>
          </w:tcPr>
          <w:p w14:paraId="4E633AF5" w14:textId="6BDF3AA0" w:rsidR="00A60E02" w:rsidRPr="002661A8" w:rsidRDefault="00A60E02" w:rsidP="006F3DD8">
            <w:pPr>
              <w:pStyle w:val="TableParagraph"/>
              <w:spacing w:before="76" w:line="207" w:lineRule="exact"/>
              <w:ind w:left="-106" w:right="-111"/>
              <w:jc w:val="center"/>
              <w:rPr>
                <w:rFonts w:ascii="Times New Roman" w:hAnsi="Times New Roman" w:cs="Times New Roman"/>
                <w:noProof/>
                <w:lang w:val="en-GB"/>
              </w:rPr>
            </w:pPr>
            <w:r w:rsidRPr="002661A8">
              <w:rPr>
                <w:rFonts w:ascii="Times New Roman" w:hAnsi="Times New Roman" w:cs="Times New Roman"/>
                <w:noProof/>
                <w:lang w:val="en-GB"/>
              </w:rPr>
              <w:t>27</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January</w:t>
            </w:r>
            <w:r w:rsidR="00641DA4" w:rsidRPr="002661A8">
              <w:rPr>
                <w:rFonts w:ascii="Times New Roman" w:hAnsi="Times New Roman" w:cs="Times New Roman"/>
                <w:noProof/>
                <w:spacing w:val="-2"/>
                <w:lang w:val="en-GB"/>
              </w:rPr>
              <w:t xml:space="preserve"> </w:t>
            </w:r>
            <w:r w:rsidRPr="002661A8">
              <w:rPr>
                <w:rFonts w:ascii="Times New Roman" w:hAnsi="Times New Roman" w:cs="Times New Roman"/>
                <w:noProof/>
                <w:spacing w:val="-4"/>
                <w:lang w:val="en-GB"/>
              </w:rPr>
              <w:t>2016</w:t>
            </w:r>
          </w:p>
        </w:tc>
        <w:tc>
          <w:tcPr>
            <w:tcW w:w="993" w:type="dxa"/>
            <w:shd w:val="clear" w:color="auto" w:fill="FFFFFF" w:themeFill="background1"/>
          </w:tcPr>
          <w:p w14:paraId="4FD99E6C" w14:textId="4574DF4E" w:rsidR="00A60E02" w:rsidRPr="002661A8" w:rsidRDefault="00A60E02" w:rsidP="006F3DD8">
            <w:pPr>
              <w:pStyle w:val="TableParagraph"/>
              <w:spacing w:before="76" w:line="207" w:lineRule="exact"/>
              <w:ind w:left="-111" w:right="-110"/>
              <w:jc w:val="center"/>
              <w:rPr>
                <w:rFonts w:ascii="Times New Roman" w:hAnsi="Times New Roman" w:cs="Times New Roman"/>
                <w:noProof/>
                <w:lang w:val="en-GB"/>
              </w:rPr>
            </w:pPr>
            <w:r w:rsidRPr="002661A8">
              <w:rPr>
                <w:rFonts w:ascii="Times New Roman" w:hAnsi="Times New Roman" w:cs="Times New Roman"/>
                <w:noProof/>
                <w:lang w:val="en-GB"/>
              </w:rPr>
              <w:t>8</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 xml:space="preserve">March </w:t>
            </w:r>
            <w:r w:rsidRPr="002661A8">
              <w:rPr>
                <w:rFonts w:ascii="Times New Roman" w:hAnsi="Times New Roman" w:cs="Times New Roman"/>
                <w:noProof/>
                <w:spacing w:val="-4"/>
                <w:lang w:val="en-GB"/>
              </w:rPr>
              <w:t>2022</w:t>
            </w:r>
          </w:p>
        </w:tc>
        <w:tc>
          <w:tcPr>
            <w:tcW w:w="1026" w:type="dxa"/>
            <w:shd w:val="clear" w:color="auto" w:fill="FFFFFF" w:themeFill="background1"/>
          </w:tcPr>
          <w:p w14:paraId="6A9F71C5" w14:textId="43A1E89F" w:rsidR="00A60E02" w:rsidRPr="002661A8" w:rsidRDefault="00A60E02" w:rsidP="006F3DD8">
            <w:pPr>
              <w:ind w:left="-104" w:right="-73"/>
              <w:jc w:val="center"/>
              <w:rPr>
                <w:noProof/>
              </w:rPr>
            </w:pPr>
            <w:r w:rsidRPr="002661A8">
              <w:rPr>
                <w:noProof/>
              </w:rPr>
              <w:t xml:space="preserve">Tier </w:t>
            </w:r>
            <w:r w:rsidRPr="002661A8">
              <w:rPr>
                <w:noProof/>
                <w:spacing w:val="-10"/>
              </w:rPr>
              <w:t>1</w:t>
            </w:r>
          </w:p>
        </w:tc>
      </w:tr>
      <w:tr w:rsidR="00A60E02" w:rsidRPr="002661A8" w14:paraId="18F3D8B9" w14:textId="77777777" w:rsidTr="00DC0339">
        <w:tc>
          <w:tcPr>
            <w:tcW w:w="534" w:type="dxa"/>
            <w:shd w:val="clear" w:color="auto" w:fill="D9D9D9" w:themeFill="background1" w:themeFillShade="D9"/>
          </w:tcPr>
          <w:p w14:paraId="0EE8367F" w14:textId="06C37893" w:rsidR="00A60E02" w:rsidRPr="002661A8" w:rsidRDefault="00A60E02" w:rsidP="00641DA4">
            <w:pPr>
              <w:jc w:val="center"/>
              <w:rPr>
                <w:b/>
                <w:noProof/>
                <w:w w:val="99"/>
              </w:rPr>
            </w:pPr>
            <w:r w:rsidRPr="002661A8">
              <w:rPr>
                <w:b/>
                <w:noProof/>
                <w:spacing w:val="-5"/>
              </w:rPr>
              <w:t>16</w:t>
            </w:r>
          </w:p>
        </w:tc>
        <w:tc>
          <w:tcPr>
            <w:tcW w:w="2835" w:type="dxa"/>
            <w:shd w:val="clear" w:color="auto" w:fill="D9D9D9" w:themeFill="background1" w:themeFillShade="D9"/>
          </w:tcPr>
          <w:p w14:paraId="7D7F7063" w14:textId="37BD25CD" w:rsidR="00A60E02" w:rsidRPr="002661A8" w:rsidRDefault="00A60E02" w:rsidP="00641DA4">
            <w:pPr>
              <w:jc w:val="center"/>
              <w:rPr>
                <w:noProof/>
              </w:rPr>
            </w:pPr>
            <w:r w:rsidRPr="002661A8">
              <w:rPr>
                <w:noProof/>
              </w:rPr>
              <w:t xml:space="preserve">SIX x-clear </w:t>
            </w:r>
            <w:r w:rsidRPr="002661A8">
              <w:rPr>
                <w:noProof/>
                <w:spacing w:val="-5"/>
              </w:rPr>
              <w:t>AG</w:t>
            </w:r>
          </w:p>
        </w:tc>
        <w:tc>
          <w:tcPr>
            <w:tcW w:w="884" w:type="dxa"/>
            <w:shd w:val="clear" w:color="auto" w:fill="D9D9D9" w:themeFill="background1" w:themeFillShade="D9"/>
          </w:tcPr>
          <w:p w14:paraId="1D078665" w14:textId="6E5FF872" w:rsidR="00A60E02" w:rsidRPr="002661A8" w:rsidRDefault="00A60E02" w:rsidP="00641DA4">
            <w:pPr>
              <w:jc w:val="center"/>
              <w:rPr>
                <w:noProof/>
                <w:spacing w:val="-4"/>
              </w:rPr>
            </w:pPr>
            <w:r w:rsidRPr="002661A8">
              <w:rPr>
                <w:noProof/>
                <w:spacing w:val="-4"/>
              </w:rPr>
              <w:t>SIXX</w:t>
            </w:r>
          </w:p>
        </w:tc>
        <w:tc>
          <w:tcPr>
            <w:tcW w:w="1809" w:type="dxa"/>
            <w:shd w:val="clear" w:color="auto" w:fill="D9D9D9" w:themeFill="background1" w:themeFillShade="D9"/>
          </w:tcPr>
          <w:p w14:paraId="6AB8A10C" w14:textId="74773C9D" w:rsidR="00A60E02" w:rsidRPr="002661A8" w:rsidRDefault="00A60E02" w:rsidP="006F3DD8">
            <w:pPr>
              <w:ind w:left="-142" w:right="-108"/>
              <w:jc w:val="center"/>
              <w:rPr>
                <w:noProof/>
                <w:spacing w:val="-2"/>
              </w:rPr>
            </w:pPr>
            <w:r w:rsidRPr="002661A8">
              <w:rPr>
                <w:noProof/>
                <w:spacing w:val="-2"/>
              </w:rPr>
              <w:t>Switzerland</w:t>
            </w:r>
          </w:p>
        </w:tc>
        <w:tc>
          <w:tcPr>
            <w:tcW w:w="1417" w:type="dxa"/>
            <w:shd w:val="clear" w:color="auto" w:fill="D9D9D9" w:themeFill="background1" w:themeFillShade="D9"/>
          </w:tcPr>
          <w:p w14:paraId="480736D4" w14:textId="0D3E17A5" w:rsidR="00A60E02" w:rsidRPr="002661A8" w:rsidRDefault="00A60E02" w:rsidP="006F3DD8">
            <w:pPr>
              <w:pStyle w:val="TableParagraph"/>
              <w:spacing w:before="76" w:line="207" w:lineRule="exact"/>
              <w:ind w:left="-106" w:right="-111"/>
              <w:jc w:val="center"/>
              <w:rPr>
                <w:rFonts w:ascii="Times New Roman" w:hAnsi="Times New Roman" w:cs="Times New Roman"/>
                <w:noProof/>
                <w:lang w:val="en-GB"/>
              </w:rPr>
            </w:pPr>
            <w:r w:rsidRPr="002661A8">
              <w:rPr>
                <w:rFonts w:ascii="Times New Roman" w:hAnsi="Times New Roman" w:cs="Times New Roman"/>
                <w:noProof/>
                <w:lang w:val="en-GB"/>
              </w:rPr>
              <w:t>23</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March</w:t>
            </w:r>
            <w:r w:rsidR="00641DA4" w:rsidRPr="002661A8">
              <w:rPr>
                <w:rFonts w:ascii="Times New Roman" w:hAnsi="Times New Roman" w:cs="Times New Roman"/>
                <w:noProof/>
                <w:spacing w:val="-2"/>
                <w:lang w:val="en-GB"/>
              </w:rPr>
              <w:t xml:space="preserve"> </w:t>
            </w:r>
            <w:r w:rsidRPr="002661A8">
              <w:rPr>
                <w:rFonts w:ascii="Times New Roman" w:hAnsi="Times New Roman" w:cs="Times New Roman"/>
                <w:noProof/>
                <w:spacing w:val="-4"/>
                <w:lang w:val="en-GB"/>
              </w:rPr>
              <w:t>2016</w:t>
            </w:r>
          </w:p>
        </w:tc>
        <w:tc>
          <w:tcPr>
            <w:tcW w:w="993" w:type="dxa"/>
            <w:shd w:val="clear" w:color="auto" w:fill="D9D9D9" w:themeFill="background1" w:themeFillShade="D9"/>
          </w:tcPr>
          <w:p w14:paraId="57CF4B51" w14:textId="2516B8AC" w:rsidR="00A60E02" w:rsidRPr="002661A8" w:rsidRDefault="00A60E02" w:rsidP="006F3DD8">
            <w:pPr>
              <w:pStyle w:val="TableParagraph"/>
              <w:spacing w:before="76" w:line="207" w:lineRule="exact"/>
              <w:ind w:left="-111" w:right="-110"/>
              <w:jc w:val="center"/>
              <w:rPr>
                <w:rFonts w:ascii="Times New Roman" w:hAnsi="Times New Roman" w:cs="Times New Roman"/>
                <w:noProof/>
                <w:lang w:val="en-GB"/>
              </w:rPr>
            </w:pPr>
            <w:r w:rsidRPr="002661A8">
              <w:rPr>
                <w:rFonts w:ascii="Times New Roman" w:hAnsi="Times New Roman" w:cs="Times New Roman"/>
                <w:noProof/>
                <w:lang w:val="en-GB"/>
              </w:rPr>
              <w:t>9</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 xml:space="preserve">March </w:t>
            </w:r>
            <w:r w:rsidRPr="002661A8">
              <w:rPr>
                <w:rFonts w:ascii="Times New Roman" w:hAnsi="Times New Roman" w:cs="Times New Roman"/>
                <w:noProof/>
                <w:spacing w:val="-4"/>
                <w:lang w:val="en-GB"/>
              </w:rPr>
              <w:t>2022</w:t>
            </w:r>
          </w:p>
        </w:tc>
        <w:tc>
          <w:tcPr>
            <w:tcW w:w="1026" w:type="dxa"/>
            <w:shd w:val="clear" w:color="auto" w:fill="D9D9D9" w:themeFill="background1" w:themeFillShade="D9"/>
          </w:tcPr>
          <w:p w14:paraId="46893645" w14:textId="54C985F9" w:rsidR="00A60E02" w:rsidRPr="002661A8" w:rsidRDefault="00A60E02" w:rsidP="006F3DD8">
            <w:pPr>
              <w:ind w:left="-104" w:right="-73"/>
              <w:jc w:val="center"/>
              <w:rPr>
                <w:noProof/>
              </w:rPr>
            </w:pPr>
            <w:r w:rsidRPr="002661A8">
              <w:rPr>
                <w:noProof/>
              </w:rPr>
              <w:t xml:space="preserve">Tier </w:t>
            </w:r>
            <w:r w:rsidRPr="002661A8">
              <w:rPr>
                <w:noProof/>
                <w:spacing w:val="-10"/>
              </w:rPr>
              <w:t>1</w:t>
            </w:r>
          </w:p>
        </w:tc>
      </w:tr>
      <w:tr w:rsidR="00A60E02" w:rsidRPr="002661A8" w14:paraId="3E8279DA" w14:textId="77777777" w:rsidTr="00DC0339">
        <w:tc>
          <w:tcPr>
            <w:tcW w:w="534" w:type="dxa"/>
            <w:shd w:val="clear" w:color="auto" w:fill="FFFFFF" w:themeFill="background1"/>
          </w:tcPr>
          <w:p w14:paraId="5BB02602" w14:textId="0AAE3584" w:rsidR="00A60E02" w:rsidRPr="002661A8" w:rsidRDefault="00A60E02" w:rsidP="00641DA4">
            <w:pPr>
              <w:jc w:val="center"/>
              <w:rPr>
                <w:b/>
                <w:noProof/>
                <w:w w:val="99"/>
              </w:rPr>
            </w:pPr>
            <w:r w:rsidRPr="002661A8">
              <w:rPr>
                <w:b/>
                <w:noProof/>
                <w:spacing w:val="-5"/>
              </w:rPr>
              <w:t>17</w:t>
            </w:r>
          </w:p>
        </w:tc>
        <w:tc>
          <w:tcPr>
            <w:tcW w:w="2835" w:type="dxa"/>
            <w:shd w:val="clear" w:color="auto" w:fill="FFFFFF" w:themeFill="background1"/>
          </w:tcPr>
          <w:p w14:paraId="0FAF123E" w14:textId="2ECE4E1B" w:rsidR="00A60E02" w:rsidRPr="002661A8" w:rsidRDefault="00A60E02" w:rsidP="00641DA4">
            <w:pPr>
              <w:jc w:val="center"/>
              <w:rPr>
                <w:noProof/>
              </w:rPr>
            </w:pPr>
            <w:r w:rsidRPr="002661A8">
              <w:rPr>
                <w:noProof/>
              </w:rPr>
              <w:t xml:space="preserve">Korea Exchange, </w:t>
            </w:r>
            <w:r w:rsidRPr="002661A8">
              <w:rPr>
                <w:noProof/>
                <w:spacing w:val="-4"/>
              </w:rPr>
              <w:t>Inc.</w:t>
            </w:r>
          </w:p>
        </w:tc>
        <w:tc>
          <w:tcPr>
            <w:tcW w:w="884" w:type="dxa"/>
            <w:shd w:val="clear" w:color="auto" w:fill="FFFFFF" w:themeFill="background1"/>
          </w:tcPr>
          <w:p w14:paraId="4A5B7D22" w14:textId="3B973CFF" w:rsidR="00A60E02" w:rsidRPr="002661A8" w:rsidRDefault="00A60E02" w:rsidP="00641DA4">
            <w:pPr>
              <w:jc w:val="center"/>
              <w:rPr>
                <w:noProof/>
                <w:spacing w:val="-4"/>
              </w:rPr>
            </w:pPr>
            <w:r w:rsidRPr="002661A8">
              <w:rPr>
                <w:noProof/>
                <w:spacing w:val="-5"/>
              </w:rPr>
              <w:t>KRX</w:t>
            </w:r>
          </w:p>
        </w:tc>
        <w:tc>
          <w:tcPr>
            <w:tcW w:w="1809" w:type="dxa"/>
            <w:shd w:val="clear" w:color="auto" w:fill="FFFFFF" w:themeFill="background1"/>
          </w:tcPr>
          <w:p w14:paraId="4D385ABA" w14:textId="4669623E" w:rsidR="00A60E02" w:rsidRPr="002661A8" w:rsidRDefault="00A60E02" w:rsidP="006F3DD8">
            <w:pPr>
              <w:ind w:left="-142" w:right="-108"/>
              <w:jc w:val="center"/>
              <w:rPr>
                <w:noProof/>
                <w:spacing w:val="-2"/>
              </w:rPr>
            </w:pPr>
            <w:r w:rsidRPr="002661A8">
              <w:rPr>
                <w:noProof/>
              </w:rPr>
              <w:t xml:space="preserve">South </w:t>
            </w:r>
            <w:r w:rsidRPr="002661A8">
              <w:rPr>
                <w:noProof/>
                <w:spacing w:val="-2"/>
              </w:rPr>
              <w:t>Korea</w:t>
            </w:r>
          </w:p>
        </w:tc>
        <w:tc>
          <w:tcPr>
            <w:tcW w:w="1417" w:type="dxa"/>
            <w:shd w:val="clear" w:color="auto" w:fill="FFFFFF" w:themeFill="background1"/>
          </w:tcPr>
          <w:p w14:paraId="05FD7634" w14:textId="3F2750FB" w:rsidR="00A60E02" w:rsidRPr="002661A8" w:rsidRDefault="00A60E02" w:rsidP="006F3DD8">
            <w:pPr>
              <w:pStyle w:val="TableParagraph"/>
              <w:spacing w:before="76" w:line="207" w:lineRule="exact"/>
              <w:ind w:left="-106" w:right="-111"/>
              <w:jc w:val="center"/>
              <w:rPr>
                <w:rFonts w:ascii="Times New Roman" w:hAnsi="Times New Roman" w:cs="Times New Roman"/>
                <w:noProof/>
                <w:lang w:val="en-GB"/>
              </w:rPr>
            </w:pPr>
            <w:r w:rsidRPr="002661A8">
              <w:rPr>
                <w:rFonts w:ascii="Times New Roman" w:hAnsi="Times New Roman" w:cs="Times New Roman"/>
                <w:noProof/>
                <w:lang w:val="en-GB"/>
              </w:rPr>
              <w:t>22</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 xml:space="preserve">April </w:t>
            </w:r>
            <w:r w:rsidRPr="002661A8">
              <w:rPr>
                <w:rFonts w:ascii="Times New Roman" w:hAnsi="Times New Roman" w:cs="Times New Roman"/>
                <w:noProof/>
                <w:spacing w:val="-4"/>
                <w:lang w:val="en-GB"/>
              </w:rPr>
              <w:t>2016</w:t>
            </w:r>
          </w:p>
        </w:tc>
        <w:tc>
          <w:tcPr>
            <w:tcW w:w="993" w:type="dxa"/>
            <w:shd w:val="clear" w:color="auto" w:fill="FFFFFF" w:themeFill="background1"/>
          </w:tcPr>
          <w:p w14:paraId="67AC5A31" w14:textId="4A37F29F" w:rsidR="00A60E02" w:rsidRPr="002661A8" w:rsidRDefault="00A60E02" w:rsidP="006F3DD8">
            <w:pPr>
              <w:pStyle w:val="TableParagraph"/>
              <w:spacing w:before="76" w:line="207" w:lineRule="exact"/>
              <w:ind w:left="-111" w:right="-110"/>
              <w:jc w:val="center"/>
              <w:rPr>
                <w:rFonts w:ascii="Times New Roman" w:hAnsi="Times New Roman" w:cs="Times New Roman"/>
                <w:noProof/>
                <w:lang w:val="en-GB"/>
              </w:rPr>
            </w:pPr>
            <w:r w:rsidRPr="002661A8">
              <w:rPr>
                <w:rFonts w:ascii="Times New Roman" w:hAnsi="Times New Roman" w:cs="Times New Roman"/>
                <w:noProof/>
                <w:lang w:val="en-GB"/>
              </w:rPr>
              <w:t>9</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 xml:space="preserve">March </w:t>
            </w:r>
            <w:r w:rsidRPr="002661A8">
              <w:rPr>
                <w:rFonts w:ascii="Times New Roman" w:hAnsi="Times New Roman" w:cs="Times New Roman"/>
                <w:noProof/>
                <w:spacing w:val="-4"/>
                <w:lang w:val="en-GB"/>
              </w:rPr>
              <w:t>2022</w:t>
            </w:r>
          </w:p>
        </w:tc>
        <w:tc>
          <w:tcPr>
            <w:tcW w:w="1026" w:type="dxa"/>
            <w:shd w:val="clear" w:color="auto" w:fill="FFFFFF" w:themeFill="background1"/>
          </w:tcPr>
          <w:p w14:paraId="5A0CF792" w14:textId="37479DD6" w:rsidR="00A60E02" w:rsidRPr="002661A8" w:rsidRDefault="00A60E02" w:rsidP="006F3DD8">
            <w:pPr>
              <w:ind w:left="-104" w:right="-73"/>
              <w:jc w:val="center"/>
              <w:rPr>
                <w:noProof/>
              </w:rPr>
            </w:pPr>
            <w:r w:rsidRPr="002661A8">
              <w:rPr>
                <w:noProof/>
              </w:rPr>
              <w:t xml:space="preserve">Tier </w:t>
            </w:r>
            <w:r w:rsidRPr="002661A8">
              <w:rPr>
                <w:noProof/>
                <w:spacing w:val="-10"/>
              </w:rPr>
              <w:t>1</w:t>
            </w:r>
          </w:p>
        </w:tc>
      </w:tr>
      <w:tr w:rsidR="00A60E02" w:rsidRPr="002661A8" w14:paraId="249DF50D" w14:textId="77777777" w:rsidTr="00DC0339">
        <w:tc>
          <w:tcPr>
            <w:tcW w:w="534" w:type="dxa"/>
            <w:shd w:val="clear" w:color="auto" w:fill="D9D9D9" w:themeFill="background1" w:themeFillShade="D9"/>
          </w:tcPr>
          <w:p w14:paraId="51ED3AD9" w14:textId="26D7ACC1" w:rsidR="00A60E02" w:rsidRPr="002661A8" w:rsidRDefault="00A60E02" w:rsidP="00641DA4">
            <w:pPr>
              <w:jc w:val="center"/>
              <w:rPr>
                <w:b/>
                <w:noProof/>
                <w:w w:val="99"/>
              </w:rPr>
            </w:pPr>
            <w:r w:rsidRPr="002661A8">
              <w:rPr>
                <w:b/>
                <w:noProof/>
                <w:spacing w:val="-5"/>
              </w:rPr>
              <w:t>18</w:t>
            </w:r>
          </w:p>
        </w:tc>
        <w:tc>
          <w:tcPr>
            <w:tcW w:w="2835" w:type="dxa"/>
            <w:shd w:val="clear" w:color="auto" w:fill="D9D9D9" w:themeFill="background1" w:themeFillShade="D9"/>
          </w:tcPr>
          <w:p w14:paraId="14F76669" w14:textId="07099C0F" w:rsidR="00A60E02" w:rsidRPr="002661A8" w:rsidRDefault="00A60E02" w:rsidP="00641DA4">
            <w:pPr>
              <w:jc w:val="center"/>
              <w:rPr>
                <w:noProof/>
              </w:rPr>
            </w:pPr>
            <w:r w:rsidRPr="002661A8">
              <w:rPr>
                <w:noProof/>
              </w:rPr>
              <w:t>Chicago Mercantile Exchange, Inc.</w:t>
            </w:r>
          </w:p>
        </w:tc>
        <w:tc>
          <w:tcPr>
            <w:tcW w:w="884" w:type="dxa"/>
            <w:shd w:val="clear" w:color="auto" w:fill="D9D9D9" w:themeFill="background1" w:themeFillShade="D9"/>
          </w:tcPr>
          <w:p w14:paraId="722079DF" w14:textId="16B49530" w:rsidR="00A60E02" w:rsidRPr="002661A8" w:rsidRDefault="00A60E02" w:rsidP="00641DA4">
            <w:pPr>
              <w:jc w:val="center"/>
              <w:rPr>
                <w:noProof/>
                <w:spacing w:val="-4"/>
              </w:rPr>
            </w:pPr>
            <w:r w:rsidRPr="002661A8">
              <w:rPr>
                <w:noProof/>
                <w:spacing w:val="-5"/>
              </w:rPr>
              <w:t>CME</w:t>
            </w:r>
          </w:p>
        </w:tc>
        <w:tc>
          <w:tcPr>
            <w:tcW w:w="1809" w:type="dxa"/>
            <w:shd w:val="clear" w:color="auto" w:fill="D9D9D9" w:themeFill="background1" w:themeFillShade="D9"/>
          </w:tcPr>
          <w:p w14:paraId="38F5E32E" w14:textId="370B882C" w:rsidR="00A60E02" w:rsidRPr="002661A8" w:rsidRDefault="00A60E02" w:rsidP="006F3DD8">
            <w:pPr>
              <w:ind w:left="-142" w:right="-108"/>
              <w:jc w:val="center"/>
              <w:rPr>
                <w:noProof/>
                <w:spacing w:val="-2"/>
              </w:rPr>
            </w:pPr>
            <w:r w:rsidRPr="002661A8">
              <w:rPr>
                <w:noProof/>
              </w:rPr>
              <w:t>United States of America</w:t>
            </w:r>
          </w:p>
        </w:tc>
        <w:tc>
          <w:tcPr>
            <w:tcW w:w="1417" w:type="dxa"/>
            <w:shd w:val="clear" w:color="auto" w:fill="D9D9D9" w:themeFill="background1" w:themeFillShade="D9"/>
          </w:tcPr>
          <w:p w14:paraId="4C193D91" w14:textId="155A8805" w:rsidR="00A60E02" w:rsidRPr="002661A8" w:rsidRDefault="00A60E02" w:rsidP="006F3DD8">
            <w:pPr>
              <w:pStyle w:val="TableParagraph"/>
              <w:spacing w:before="76"/>
              <w:ind w:left="-106" w:right="-111"/>
              <w:jc w:val="center"/>
              <w:rPr>
                <w:rFonts w:ascii="Times New Roman" w:hAnsi="Times New Roman" w:cs="Times New Roman"/>
                <w:noProof/>
                <w:lang w:val="en-GB"/>
              </w:rPr>
            </w:pPr>
            <w:r w:rsidRPr="002661A8">
              <w:rPr>
                <w:rFonts w:ascii="Times New Roman" w:hAnsi="Times New Roman" w:cs="Times New Roman"/>
                <w:noProof/>
                <w:lang w:val="en-GB"/>
              </w:rPr>
              <w:t>13</w:t>
            </w:r>
            <w:r w:rsidRPr="002661A8">
              <w:rPr>
                <w:rFonts w:ascii="Times New Roman" w:hAnsi="Times New Roman" w:cs="Times New Roman"/>
                <w:noProof/>
                <w:spacing w:val="-4"/>
                <w:lang w:val="en-GB"/>
              </w:rPr>
              <w:t xml:space="preserve"> June 2016</w:t>
            </w:r>
          </w:p>
        </w:tc>
        <w:tc>
          <w:tcPr>
            <w:tcW w:w="993" w:type="dxa"/>
            <w:shd w:val="clear" w:color="auto" w:fill="D9D9D9" w:themeFill="background1" w:themeFillShade="D9"/>
          </w:tcPr>
          <w:p w14:paraId="7F5BC60E" w14:textId="291715D9" w:rsidR="00A60E02" w:rsidRPr="002661A8" w:rsidRDefault="00A60E02" w:rsidP="006F3DD8">
            <w:pPr>
              <w:pStyle w:val="TableParagraph"/>
              <w:spacing w:before="76"/>
              <w:ind w:left="-111" w:right="-110"/>
              <w:jc w:val="center"/>
              <w:rPr>
                <w:rFonts w:ascii="Times New Roman" w:hAnsi="Times New Roman" w:cs="Times New Roman"/>
                <w:noProof/>
                <w:lang w:val="en-GB"/>
              </w:rPr>
            </w:pPr>
            <w:r w:rsidRPr="002661A8">
              <w:rPr>
                <w:rFonts w:ascii="Times New Roman" w:hAnsi="Times New Roman" w:cs="Times New Roman"/>
                <w:noProof/>
                <w:lang w:val="en-GB"/>
              </w:rPr>
              <w:t>8</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 xml:space="preserve">March </w:t>
            </w:r>
            <w:r w:rsidRPr="002661A8">
              <w:rPr>
                <w:rFonts w:ascii="Times New Roman" w:hAnsi="Times New Roman" w:cs="Times New Roman"/>
                <w:noProof/>
                <w:spacing w:val="-4"/>
                <w:lang w:val="en-GB"/>
              </w:rPr>
              <w:t>2022</w:t>
            </w:r>
          </w:p>
        </w:tc>
        <w:tc>
          <w:tcPr>
            <w:tcW w:w="1026" w:type="dxa"/>
            <w:shd w:val="clear" w:color="auto" w:fill="D9D9D9" w:themeFill="background1" w:themeFillShade="D9"/>
          </w:tcPr>
          <w:p w14:paraId="7EC9F3E1" w14:textId="1837BAF0" w:rsidR="00A60E02" w:rsidRPr="002661A8" w:rsidRDefault="00A60E02" w:rsidP="006F3DD8">
            <w:pPr>
              <w:ind w:left="-104" w:right="-73"/>
              <w:jc w:val="center"/>
              <w:rPr>
                <w:noProof/>
              </w:rPr>
            </w:pPr>
            <w:r w:rsidRPr="002661A8">
              <w:rPr>
                <w:noProof/>
              </w:rPr>
              <w:t xml:space="preserve">Tier </w:t>
            </w:r>
            <w:r w:rsidRPr="002661A8">
              <w:rPr>
                <w:noProof/>
                <w:spacing w:val="-10"/>
              </w:rPr>
              <w:t>1</w:t>
            </w:r>
          </w:p>
        </w:tc>
      </w:tr>
      <w:tr w:rsidR="00A60E02" w:rsidRPr="002661A8" w14:paraId="0F090E53" w14:textId="77777777" w:rsidTr="00DC0339">
        <w:tc>
          <w:tcPr>
            <w:tcW w:w="534" w:type="dxa"/>
            <w:shd w:val="clear" w:color="auto" w:fill="FFFFFF" w:themeFill="background1"/>
          </w:tcPr>
          <w:p w14:paraId="4DD0F803" w14:textId="1C50952D" w:rsidR="00A60E02" w:rsidRPr="002661A8" w:rsidRDefault="00A60E02" w:rsidP="00641DA4">
            <w:pPr>
              <w:jc w:val="center"/>
              <w:rPr>
                <w:b/>
                <w:noProof/>
                <w:w w:val="99"/>
              </w:rPr>
            </w:pPr>
            <w:r w:rsidRPr="002661A8">
              <w:rPr>
                <w:b/>
                <w:noProof/>
                <w:spacing w:val="-5"/>
              </w:rPr>
              <w:t>19</w:t>
            </w:r>
          </w:p>
        </w:tc>
        <w:tc>
          <w:tcPr>
            <w:tcW w:w="2835" w:type="dxa"/>
            <w:shd w:val="clear" w:color="auto" w:fill="FFFFFF" w:themeFill="background1"/>
          </w:tcPr>
          <w:p w14:paraId="64C77CE7" w14:textId="1B82E3BD" w:rsidR="00A60E02" w:rsidRPr="002661A8" w:rsidRDefault="00A60E02" w:rsidP="00641DA4">
            <w:pPr>
              <w:jc w:val="center"/>
              <w:rPr>
                <w:noProof/>
              </w:rPr>
            </w:pPr>
            <w:r w:rsidRPr="002661A8">
              <w:rPr>
                <w:noProof/>
              </w:rPr>
              <w:t xml:space="preserve">ICE Clear Credit </w:t>
            </w:r>
            <w:r w:rsidRPr="002661A8">
              <w:rPr>
                <w:noProof/>
                <w:spacing w:val="-5"/>
              </w:rPr>
              <w:t>LLC</w:t>
            </w:r>
          </w:p>
        </w:tc>
        <w:tc>
          <w:tcPr>
            <w:tcW w:w="884" w:type="dxa"/>
            <w:shd w:val="clear" w:color="auto" w:fill="FFFFFF" w:themeFill="background1"/>
          </w:tcPr>
          <w:p w14:paraId="540FA6BF" w14:textId="2CB645A8" w:rsidR="00A60E02" w:rsidRPr="002661A8" w:rsidRDefault="00A60E02" w:rsidP="00641DA4">
            <w:pPr>
              <w:jc w:val="center"/>
              <w:rPr>
                <w:noProof/>
                <w:spacing w:val="-4"/>
              </w:rPr>
            </w:pPr>
            <w:r w:rsidRPr="002661A8">
              <w:rPr>
                <w:noProof/>
                <w:spacing w:val="-5"/>
              </w:rPr>
              <w:t>ICC</w:t>
            </w:r>
          </w:p>
        </w:tc>
        <w:tc>
          <w:tcPr>
            <w:tcW w:w="1809" w:type="dxa"/>
            <w:shd w:val="clear" w:color="auto" w:fill="FFFFFF" w:themeFill="background1"/>
          </w:tcPr>
          <w:p w14:paraId="0C7A6523" w14:textId="285B10DF" w:rsidR="00A60E02" w:rsidRPr="002661A8" w:rsidRDefault="00A60E02" w:rsidP="006F3DD8">
            <w:pPr>
              <w:ind w:left="-142" w:right="-108"/>
              <w:jc w:val="center"/>
              <w:rPr>
                <w:noProof/>
                <w:spacing w:val="-2"/>
              </w:rPr>
            </w:pPr>
            <w:r w:rsidRPr="002661A8">
              <w:rPr>
                <w:noProof/>
              </w:rPr>
              <w:t>United States of America</w:t>
            </w:r>
          </w:p>
        </w:tc>
        <w:tc>
          <w:tcPr>
            <w:tcW w:w="1417" w:type="dxa"/>
            <w:shd w:val="clear" w:color="auto" w:fill="FFFFFF" w:themeFill="background1"/>
          </w:tcPr>
          <w:p w14:paraId="4E86AD15" w14:textId="734058DE" w:rsidR="00A60E02" w:rsidRPr="002661A8" w:rsidRDefault="00A60E02" w:rsidP="006F3DD8">
            <w:pPr>
              <w:pStyle w:val="TableParagraph"/>
              <w:spacing w:line="206" w:lineRule="exact"/>
              <w:ind w:left="-106" w:right="-111"/>
              <w:jc w:val="center"/>
              <w:rPr>
                <w:rFonts w:ascii="Times New Roman" w:hAnsi="Times New Roman" w:cs="Times New Roman"/>
                <w:noProof/>
                <w:lang w:val="en-GB"/>
              </w:rPr>
            </w:pPr>
            <w:r w:rsidRPr="002661A8">
              <w:rPr>
                <w:rFonts w:ascii="Times New Roman" w:hAnsi="Times New Roman" w:cs="Times New Roman"/>
                <w:noProof/>
                <w:spacing w:val="-5"/>
                <w:lang w:val="en-GB"/>
              </w:rPr>
              <w:t xml:space="preserve">28 </w:t>
            </w:r>
            <w:r w:rsidRPr="002661A8">
              <w:rPr>
                <w:rFonts w:ascii="Times New Roman" w:hAnsi="Times New Roman" w:cs="Times New Roman"/>
                <w:noProof/>
                <w:spacing w:val="-2"/>
                <w:lang w:val="en-GB"/>
              </w:rPr>
              <w:t>September 2016</w:t>
            </w:r>
          </w:p>
        </w:tc>
        <w:tc>
          <w:tcPr>
            <w:tcW w:w="993" w:type="dxa"/>
            <w:shd w:val="clear" w:color="auto" w:fill="FFFFFF" w:themeFill="background1"/>
          </w:tcPr>
          <w:p w14:paraId="1FAACF67" w14:textId="15FCD1EB" w:rsidR="00A60E02" w:rsidRPr="002661A8" w:rsidRDefault="00A60E02" w:rsidP="006F3DD8">
            <w:pPr>
              <w:pStyle w:val="TableParagraph"/>
              <w:spacing w:before="102" w:line="207" w:lineRule="exact"/>
              <w:ind w:left="-111" w:right="-110"/>
              <w:jc w:val="center"/>
              <w:rPr>
                <w:rFonts w:ascii="Times New Roman" w:hAnsi="Times New Roman" w:cs="Times New Roman"/>
                <w:noProof/>
                <w:lang w:val="en-GB"/>
              </w:rPr>
            </w:pPr>
            <w:r w:rsidRPr="002661A8">
              <w:rPr>
                <w:rFonts w:ascii="Times New Roman" w:hAnsi="Times New Roman" w:cs="Times New Roman"/>
                <w:noProof/>
                <w:lang w:val="en-GB"/>
              </w:rPr>
              <w:t>8</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March</w:t>
            </w:r>
            <w:r w:rsidRPr="002661A8">
              <w:rPr>
                <w:rFonts w:ascii="Times New Roman" w:hAnsi="Times New Roman" w:cs="Times New Roman"/>
                <w:noProof/>
                <w:lang w:val="en-GB"/>
              </w:rPr>
              <w:t xml:space="preserve"> </w:t>
            </w:r>
            <w:r w:rsidRPr="002661A8">
              <w:rPr>
                <w:rFonts w:ascii="Times New Roman" w:hAnsi="Times New Roman" w:cs="Times New Roman"/>
                <w:noProof/>
                <w:spacing w:val="-4"/>
                <w:lang w:val="en-GB"/>
              </w:rPr>
              <w:t>2022</w:t>
            </w:r>
          </w:p>
        </w:tc>
        <w:tc>
          <w:tcPr>
            <w:tcW w:w="1026" w:type="dxa"/>
            <w:shd w:val="clear" w:color="auto" w:fill="FFFFFF" w:themeFill="background1"/>
          </w:tcPr>
          <w:p w14:paraId="76E374E9" w14:textId="2EFF89A7" w:rsidR="00A60E02" w:rsidRPr="002661A8" w:rsidRDefault="00A60E02" w:rsidP="006F3DD8">
            <w:pPr>
              <w:ind w:left="-104" w:right="-73"/>
              <w:jc w:val="center"/>
              <w:rPr>
                <w:noProof/>
              </w:rPr>
            </w:pPr>
            <w:r w:rsidRPr="002661A8">
              <w:rPr>
                <w:noProof/>
              </w:rPr>
              <w:t xml:space="preserve">Tier </w:t>
            </w:r>
            <w:r w:rsidRPr="002661A8">
              <w:rPr>
                <w:noProof/>
                <w:spacing w:val="-10"/>
              </w:rPr>
              <w:t>1</w:t>
            </w:r>
          </w:p>
        </w:tc>
      </w:tr>
      <w:tr w:rsidR="00A60E02" w:rsidRPr="002661A8" w14:paraId="2541D9E1" w14:textId="77777777" w:rsidTr="00DC0339">
        <w:tc>
          <w:tcPr>
            <w:tcW w:w="534" w:type="dxa"/>
            <w:shd w:val="clear" w:color="auto" w:fill="D9D9D9" w:themeFill="background1" w:themeFillShade="D9"/>
          </w:tcPr>
          <w:p w14:paraId="3A2053D8" w14:textId="61A178FE" w:rsidR="00A60E02" w:rsidRPr="002661A8" w:rsidRDefault="00A60E02" w:rsidP="00641DA4">
            <w:pPr>
              <w:jc w:val="center"/>
              <w:rPr>
                <w:b/>
                <w:noProof/>
                <w:w w:val="99"/>
              </w:rPr>
            </w:pPr>
            <w:r w:rsidRPr="002661A8">
              <w:rPr>
                <w:b/>
                <w:noProof/>
                <w:spacing w:val="-5"/>
              </w:rPr>
              <w:t>20</w:t>
            </w:r>
          </w:p>
        </w:tc>
        <w:tc>
          <w:tcPr>
            <w:tcW w:w="2835" w:type="dxa"/>
            <w:shd w:val="clear" w:color="auto" w:fill="D9D9D9" w:themeFill="background1" w:themeFillShade="D9"/>
          </w:tcPr>
          <w:p w14:paraId="053D57AB" w14:textId="17B2449C" w:rsidR="00A60E02" w:rsidRPr="002661A8" w:rsidRDefault="00A60E02" w:rsidP="00641DA4">
            <w:pPr>
              <w:jc w:val="center"/>
              <w:rPr>
                <w:noProof/>
              </w:rPr>
            </w:pPr>
            <w:r w:rsidRPr="002661A8">
              <w:rPr>
                <w:noProof/>
              </w:rPr>
              <w:t>Minneapolis Grain Exchange, Inc.</w:t>
            </w:r>
          </w:p>
        </w:tc>
        <w:tc>
          <w:tcPr>
            <w:tcW w:w="884" w:type="dxa"/>
            <w:shd w:val="clear" w:color="auto" w:fill="D9D9D9" w:themeFill="background1" w:themeFillShade="D9"/>
          </w:tcPr>
          <w:p w14:paraId="1D58F891" w14:textId="45AD2757" w:rsidR="00A60E02" w:rsidRPr="002661A8" w:rsidRDefault="00A60E02" w:rsidP="00641DA4">
            <w:pPr>
              <w:jc w:val="center"/>
              <w:rPr>
                <w:noProof/>
                <w:spacing w:val="-4"/>
              </w:rPr>
            </w:pPr>
            <w:r w:rsidRPr="002661A8">
              <w:rPr>
                <w:noProof/>
                <w:spacing w:val="-4"/>
              </w:rPr>
              <w:t>MGEX</w:t>
            </w:r>
          </w:p>
        </w:tc>
        <w:tc>
          <w:tcPr>
            <w:tcW w:w="1809" w:type="dxa"/>
            <w:shd w:val="clear" w:color="auto" w:fill="D9D9D9" w:themeFill="background1" w:themeFillShade="D9"/>
          </w:tcPr>
          <w:p w14:paraId="548ADB76" w14:textId="5AB7EB87" w:rsidR="00A60E02" w:rsidRPr="002661A8" w:rsidRDefault="00A60E02" w:rsidP="006F3DD8">
            <w:pPr>
              <w:ind w:left="-142" w:right="-108"/>
              <w:jc w:val="center"/>
              <w:rPr>
                <w:noProof/>
                <w:spacing w:val="-2"/>
              </w:rPr>
            </w:pPr>
            <w:r w:rsidRPr="002661A8">
              <w:rPr>
                <w:noProof/>
              </w:rPr>
              <w:t>United States of America</w:t>
            </w:r>
          </w:p>
        </w:tc>
        <w:tc>
          <w:tcPr>
            <w:tcW w:w="1417" w:type="dxa"/>
            <w:shd w:val="clear" w:color="auto" w:fill="D9D9D9" w:themeFill="background1" w:themeFillShade="D9"/>
          </w:tcPr>
          <w:p w14:paraId="6E1217B4" w14:textId="62AB16CD" w:rsidR="00A60E02" w:rsidRPr="002661A8" w:rsidRDefault="00A60E02" w:rsidP="006F3DD8">
            <w:pPr>
              <w:pStyle w:val="TableParagraph"/>
              <w:spacing w:line="206" w:lineRule="exact"/>
              <w:ind w:left="-106" w:right="-111"/>
              <w:jc w:val="center"/>
              <w:rPr>
                <w:rFonts w:ascii="Times New Roman" w:hAnsi="Times New Roman" w:cs="Times New Roman"/>
                <w:noProof/>
                <w:lang w:val="en-GB"/>
              </w:rPr>
            </w:pPr>
            <w:r w:rsidRPr="002661A8">
              <w:rPr>
                <w:rFonts w:ascii="Times New Roman" w:hAnsi="Times New Roman" w:cs="Times New Roman"/>
                <w:noProof/>
                <w:spacing w:val="-5"/>
                <w:lang w:val="en-GB"/>
              </w:rPr>
              <w:t>28</w:t>
            </w:r>
            <w:r w:rsidRPr="002661A8">
              <w:rPr>
                <w:rFonts w:ascii="Times New Roman" w:hAnsi="Times New Roman" w:cs="Times New Roman"/>
                <w:noProof/>
                <w:lang w:val="en-GB"/>
              </w:rPr>
              <w:t xml:space="preserve"> </w:t>
            </w:r>
            <w:r w:rsidRPr="002661A8">
              <w:rPr>
                <w:rFonts w:ascii="Times New Roman" w:hAnsi="Times New Roman" w:cs="Times New Roman"/>
                <w:noProof/>
                <w:spacing w:val="-2"/>
                <w:lang w:val="en-GB"/>
              </w:rPr>
              <w:t xml:space="preserve">September </w:t>
            </w:r>
            <w:r w:rsidRPr="002661A8">
              <w:rPr>
                <w:rFonts w:ascii="Times New Roman" w:hAnsi="Times New Roman" w:cs="Times New Roman"/>
                <w:noProof/>
                <w:spacing w:val="-4"/>
                <w:lang w:val="en-GB"/>
              </w:rPr>
              <w:t>2016</w:t>
            </w:r>
          </w:p>
        </w:tc>
        <w:tc>
          <w:tcPr>
            <w:tcW w:w="993" w:type="dxa"/>
            <w:shd w:val="clear" w:color="auto" w:fill="D9D9D9" w:themeFill="background1" w:themeFillShade="D9"/>
          </w:tcPr>
          <w:p w14:paraId="47244C6D" w14:textId="1A257217" w:rsidR="00A60E02" w:rsidRPr="002661A8" w:rsidRDefault="00A60E02" w:rsidP="006F3DD8">
            <w:pPr>
              <w:pStyle w:val="TableParagraph"/>
              <w:spacing w:before="104" w:line="207" w:lineRule="exact"/>
              <w:ind w:left="-111" w:right="-110"/>
              <w:jc w:val="center"/>
              <w:rPr>
                <w:rFonts w:ascii="Times New Roman" w:hAnsi="Times New Roman" w:cs="Times New Roman"/>
                <w:noProof/>
                <w:lang w:val="en-GB"/>
              </w:rPr>
            </w:pPr>
            <w:r w:rsidRPr="002661A8">
              <w:rPr>
                <w:rFonts w:ascii="Times New Roman" w:hAnsi="Times New Roman" w:cs="Times New Roman"/>
                <w:noProof/>
                <w:lang w:val="en-GB"/>
              </w:rPr>
              <w:t>8</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March</w:t>
            </w:r>
            <w:r w:rsidRPr="002661A8">
              <w:rPr>
                <w:rFonts w:ascii="Times New Roman" w:hAnsi="Times New Roman" w:cs="Times New Roman"/>
                <w:noProof/>
                <w:lang w:val="en-GB"/>
              </w:rPr>
              <w:t xml:space="preserve"> </w:t>
            </w:r>
            <w:r w:rsidRPr="002661A8">
              <w:rPr>
                <w:rFonts w:ascii="Times New Roman" w:hAnsi="Times New Roman" w:cs="Times New Roman"/>
                <w:noProof/>
                <w:spacing w:val="-4"/>
                <w:lang w:val="en-GB"/>
              </w:rPr>
              <w:t>2022</w:t>
            </w:r>
          </w:p>
        </w:tc>
        <w:tc>
          <w:tcPr>
            <w:tcW w:w="1026" w:type="dxa"/>
            <w:shd w:val="clear" w:color="auto" w:fill="D9D9D9" w:themeFill="background1" w:themeFillShade="D9"/>
          </w:tcPr>
          <w:p w14:paraId="5694CB23" w14:textId="71E46271" w:rsidR="00A60E02" w:rsidRPr="002661A8" w:rsidRDefault="00A60E02" w:rsidP="006F3DD8">
            <w:pPr>
              <w:ind w:left="-104" w:right="-73"/>
              <w:jc w:val="center"/>
              <w:rPr>
                <w:noProof/>
              </w:rPr>
            </w:pPr>
            <w:r w:rsidRPr="002661A8">
              <w:rPr>
                <w:noProof/>
              </w:rPr>
              <w:t xml:space="preserve">Tier </w:t>
            </w:r>
            <w:r w:rsidRPr="002661A8">
              <w:rPr>
                <w:noProof/>
                <w:spacing w:val="-10"/>
              </w:rPr>
              <w:t>1</w:t>
            </w:r>
          </w:p>
        </w:tc>
      </w:tr>
      <w:tr w:rsidR="00A60E02" w:rsidRPr="002661A8" w14:paraId="31A7F8DB" w14:textId="77777777" w:rsidTr="00DC0339">
        <w:tc>
          <w:tcPr>
            <w:tcW w:w="534" w:type="dxa"/>
            <w:shd w:val="clear" w:color="auto" w:fill="FFFFFF" w:themeFill="background1"/>
          </w:tcPr>
          <w:p w14:paraId="32648CD0" w14:textId="2445C153" w:rsidR="00A60E02" w:rsidRPr="002661A8" w:rsidRDefault="00A60E02" w:rsidP="00641DA4">
            <w:pPr>
              <w:jc w:val="center"/>
              <w:rPr>
                <w:b/>
                <w:noProof/>
                <w:w w:val="99"/>
              </w:rPr>
            </w:pPr>
            <w:r w:rsidRPr="002661A8">
              <w:rPr>
                <w:b/>
                <w:noProof/>
                <w:spacing w:val="-5"/>
              </w:rPr>
              <w:t>21</w:t>
            </w:r>
          </w:p>
        </w:tc>
        <w:tc>
          <w:tcPr>
            <w:tcW w:w="2835" w:type="dxa"/>
            <w:shd w:val="clear" w:color="auto" w:fill="FFFFFF" w:themeFill="background1"/>
          </w:tcPr>
          <w:p w14:paraId="567AC933" w14:textId="276D8AA6" w:rsidR="00A60E02" w:rsidRPr="002661A8" w:rsidRDefault="00A60E02" w:rsidP="00641DA4">
            <w:pPr>
              <w:jc w:val="center"/>
              <w:rPr>
                <w:noProof/>
              </w:rPr>
            </w:pPr>
            <w:r w:rsidRPr="002661A8">
              <w:rPr>
                <w:noProof/>
              </w:rPr>
              <w:t xml:space="preserve">ICE Clear US, </w:t>
            </w:r>
            <w:r w:rsidRPr="002661A8">
              <w:rPr>
                <w:noProof/>
                <w:spacing w:val="-4"/>
              </w:rPr>
              <w:t>Inc.</w:t>
            </w:r>
          </w:p>
        </w:tc>
        <w:tc>
          <w:tcPr>
            <w:tcW w:w="884" w:type="dxa"/>
            <w:shd w:val="clear" w:color="auto" w:fill="FFFFFF" w:themeFill="background1"/>
          </w:tcPr>
          <w:p w14:paraId="3F8587DD" w14:textId="57E2302B" w:rsidR="00A60E02" w:rsidRPr="002661A8" w:rsidRDefault="00A60E02" w:rsidP="00641DA4">
            <w:pPr>
              <w:jc w:val="center"/>
              <w:rPr>
                <w:noProof/>
                <w:spacing w:val="-4"/>
              </w:rPr>
            </w:pPr>
            <w:r w:rsidRPr="002661A8">
              <w:rPr>
                <w:noProof/>
                <w:spacing w:val="-4"/>
              </w:rPr>
              <w:t>ICUS</w:t>
            </w:r>
          </w:p>
        </w:tc>
        <w:tc>
          <w:tcPr>
            <w:tcW w:w="1809" w:type="dxa"/>
            <w:shd w:val="clear" w:color="auto" w:fill="FFFFFF" w:themeFill="background1"/>
          </w:tcPr>
          <w:p w14:paraId="7947E91D" w14:textId="3328DA78" w:rsidR="00A60E02" w:rsidRPr="002661A8" w:rsidRDefault="00A60E02" w:rsidP="006F3DD8">
            <w:pPr>
              <w:ind w:left="-142" w:right="-108"/>
              <w:jc w:val="center"/>
              <w:rPr>
                <w:noProof/>
                <w:spacing w:val="-2"/>
              </w:rPr>
            </w:pPr>
            <w:r w:rsidRPr="002661A8">
              <w:rPr>
                <w:noProof/>
              </w:rPr>
              <w:t>United States of America</w:t>
            </w:r>
          </w:p>
        </w:tc>
        <w:tc>
          <w:tcPr>
            <w:tcW w:w="1417" w:type="dxa"/>
            <w:shd w:val="clear" w:color="auto" w:fill="FFFFFF" w:themeFill="background1"/>
          </w:tcPr>
          <w:p w14:paraId="56C7089A" w14:textId="3E9060D2" w:rsidR="00A60E02" w:rsidRPr="002661A8" w:rsidRDefault="00A60E02" w:rsidP="006F3DD8">
            <w:pPr>
              <w:pStyle w:val="TableParagraph"/>
              <w:spacing w:line="206" w:lineRule="exact"/>
              <w:ind w:left="-106" w:right="-111"/>
              <w:jc w:val="center"/>
              <w:rPr>
                <w:rFonts w:ascii="Times New Roman" w:hAnsi="Times New Roman" w:cs="Times New Roman"/>
                <w:noProof/>
                <w:lang w:val="en-GB"/>
              </w:rPr>
            </w:pPr>
            <w:r w:rsidRPr="002661A8">
              <w:rPr>
                <w:rFonts w:ascii="Times New Roman" w:hAnsi="Times New Roman" w:cs="Times New Roman"/>
                <w:noProof/>
                <w:spacing w:val="-5"/>
                <w:lang w:val="en-GB"/>
              </w:rPr>
              <w:t>14</w:t>
            </w:r>
            <w:r w:rsidRPr="002661A8">
              <w:rPr>
                <w:rFonts w:ascii="Times New Roman" w:hAnsi="Times New Roman" w:cs="Times New Roman"/>
                <w:noProof/>
                <w:lang w:val="en-GB"/>
              </w:rPr>
              <w:t xml:space="preserve"> </w:t>
            </w:r>
            <w:r w:rsidRPr="002661A8">
              <w:rPr>
                <w:rFonts w:ascii="Times New Roman" w:hAnsi="Times New Roman" w:cs="Times New Roman"/>
                <w:noProof/>
                <w:spacing w:val="-2"/>
                <w:lang w:val="en-GB"/>
              </w:rPr>
              <w:t xml:space="preserve">December </w:t>
            </w:r>
            <w:r w:rsidRPr="002661A8">
              <w:rPr>
                <w:rFonts w:ascii="Times New Roman" w:hAnsi="Times New Roman" w:cs="Times New Roman"/>
                <w:noProof/>
                <w:spacing w:val="-4"/>
                <w:lang w:val="en-GB"/>
              </w:rPr>
              <w:t>2016</w:t>
            </w:r>
          </w:p>
        </w:tc>
        <w:tc>
          <w:tcPr>
            <w:tcW w:w="993" w:type="dxa"/>
            <w:shd w:val="clear" w:color="auto" w:fill="FFFFFF" w:themeFill="background1"/>
          </w:tcPr>
          <w:p w14:paraId="2CA1E61F" w14:textId="372D4D98" w:rsidR="00A60E02" w:rsidRPr="002661A8" w:rsidRDefault="00A60E02" w:rsidP="006F3DD8">
            <w:pPr>
              <w:pStyle w:val="TableParagraph"/>
              <w:spacing w:before="102"/>
              <w:ind w:left="-111" w:right="-110"/>
              <w:jc w:val="center"/>
              <w:rPr>
                <w:rFonts w:ascii="Times New Roman" w:hAnsi="Times New Roman" w:cs="Times New Roman"/>
                <w:noProof/>
                <w:lang w:val="en-GB"/>
              </w:rPr>
            </w:pPr>
            <w:r w:rsidRPr="002661A8">
              <w:rPr>
                <w:rFonts w:ascii="Times New Roman" w:hAnsi="Times New Roman" w:cs="Times New Roman"/>
                <w:noProof/>
                <w:lang w:val="en-GB"/>
              </w:rPr>
              <w:t>9</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March</w:t>
            </w:r>
            <w:r w:rsidRPr="002661A8">
              <w:rPr>
                <w:rFonts w:ascii="Times New Roman" w:hAnsi="Times New Roman" w:cs="Times New Roman"/>
                <w:noProof/>
                <w:lang w:val="en-GB"/>
              </w:rPr>
              <w:t xml:space="preserve"> </w:t>
            </w:r>
            <w:r w:rsidRPr="002661A8">
              <w:rPr>
                <w:rFonts w:ascii="Times New Roman" w:hAnsi="Times New Roman" w:cs="Times New Roman"/>
                <w:noProof/>
                <w:spacing w:val="-4"/>
                <w:lang w:val="en-GB"/>
              </w:rPr>
              <w:t>2022</w:t>
            </w:r>
          </w:p>
        </w:tc>
        <w:tc>
          <w:tcPr>
            <w:tcW w:w="1026" w:type="dxa"/>
            <w:shd w:val="clear" w:color="auto" w:fill="FFFFFF" w:themeFill="background1"/>
          </w:tcPr>
          <w:p w14:paraId="5A05F57F" w14:textId="79D6108C" w:rsidR="00A60E02" w:rsidRPr="002661A8" w:rsidRDefault="00A60E02" w:rsidP="006F3DD8">
            <w:pPr>
              <w:ind w:left="-104" w:right="-73"/>
              <w:jc w:val="center"/>
              <w:rPr>
                <w:noProof/>
              </w:rPr>
            </w:pPr>
            <w:r w:rsidRPr="002661A8">
              <w:rPr>
                <w:noProof/>
              </w:rPr>
              <w:t xml:space="preserve">Tier </w:t>
            </w:r>
            <w:r w:rsidRPr="002661A8">
              <w:rPr>
                <w:noProof/>
                <w:spacing w:val="-10"/>
              </w:rPr>
              <w:t>1</w:t>
            </w:r>
          </w:p>
        </w:tc>
      </w:tr>
      <w:tr w:rsidR="00A60E02" w:rsidRPr="002661A8" w14:paraId="1051B89B" w14:textId="77777777" w:rsidTr="00DC0339">
        <w:tc>
          <w:tcPr>
            <w:tcW w:w="534" w:type="dxa"/>
            <w:shd w:val="clear" w:color="auto" w:fill="D9D9D9" w:themeFill="background1" w:themeFillShade="D9"/>
          </w:tcPr>
          <w:p w14:paraId="60B552CF" w14:textId="6AD80AEB" w:rsidR="00A60E02" w:rsidRPr="002661A8" w:rsidRDefault="00A60E02" w:rsidP="00641DA4">
            <w:pPr>
              <w:jc w:val="center"/>
              <w:rPr>
                <w:b/>
                <w:noProof/>
                <w:w w:val="99"/>
              </w:rPr>
            </w:pPr>
            <w:r w:rsidRPr="002661A8">
              <w:rPr>
                <w:b/>
                <w:noProof/>
                <w:spacing w:val="-5"/>
              </w:rPr>
              <w:t>22</w:t>
            </w:r>
          </w:p>
        </w:tc>
        <w:tc>
          <w:tcPr>
            <w:tcW w:w="2835" w:type="dxa"/>
            <w:shd w:val="clear" w:color="auto" w:fill="D9D9D9" w:themeFill="background1" w:themeFillShade="D9"/>
          </w:tcPr>
          <w:p w14:paraId="2736C06B" w14:textId="0B7FE8F1" w:rsidR="00A60E02" w:rsidRPr="002661A8" w:rsidRDefault="00A60E02" w:rsidP="00641DA4">
            <w:pPr>
              <w:jc w:val="center"/>
              <w:rPr>
                <w:noProof/>
              </w:rPr>
            </w:pPr>
            <w:r w:rsidRPr="002661A8">
              <w:rPr>
                <w:noProof/>
              </w:rPr>
              <w:t xml:space="preserve">National Securities Clearing </w:t>
            </w:r>
            <w:r w:rsidRPr="002661A8">
              <w:rPr>
                <w:noProof/>
                <w:spacing w:val="-2"/>
              </w:rPr>
              <w:t>Corporation</w:t>
            </w:r>
          </w:p>
        </w:tc>
        <w:tc>
          <w:tcPr>
            <w:tcW w:w="884" w:type="dxa"/>
            <w:shd w:val="clear" w:color="auto" w:fill="D9D9D9" w:themeFill="background1" w:themeFillShade="D9"/>
          </w:tcPr>
          <w:p w14:paraId="7A808DF4" w14:textId="45181A27" w:rsidR="00A60E02" w:rsidRPr="002661A8" w:rsidRDefault="00A60E02" w:rsidP="00641DA4">
            <w:pPr>
              <w:jc w:val="center"/>
              <w:rPr>
                <w:noProof/>
                <w:spacing w:val="-4"/>
              </w:rPr>
            </w:pPr>
            <w:r w:rsidRPr="002661A8">
              <w:rPr>
                <w:noProof/>
                <w:spacing w:val="-4"/>
              </w:rPr>
              <w:t>NSCC</w:t>
            </w:r>
          </w:p>
        </w:tc>
        <w:tc>
          <w:tcPr>
            <w:tcW w:w="1809" w:type="dxa"/>
            <w:shd w:val="clear" w:color="auto" w:fill="D9D9D9" w:themeFill="background1" w:themeFillShade="D9"/>
          </w:tcPr>
          <w:p w14:paraId="1E8E1823" w14:textId="259392BB" w:rsidR="00A60E02" w:rsidRPr="002661A8" w:rsidRDefault="00A60E02" w:rsidP="006F3DD8">
            <w:pPr>
              <w:ind w:left="-142" w:right="-108"/>
              <w:jc w:val="center"/>
              <w:rPr>
                <w:noProof/>
                <w:spacing w:val="-2"/>
              </w:rPr>
            </w:pPr>
            <w:r w:rsidRPr="002661A8">
              <w:rPr>
                <w:noProof/>
              </w:rPr>
              <w:t>United States of America</w:t>
            </w:r>
          </w:p>
        </w:tc>
        <w:tc>
          <w:tcPr>
            <w:tcW w:w="1417" w:type="dxa"/>
            <w:shd w:val="clear" w:color="auto" w:fill="D9D9D9" w:themeFill="background1" w:themeFillShade="D9"/>
          </w:tcPr>
          <w:p w14:paraId="4C40B0DC" w14:textId="3717AE8C" w:rsidR="00A60E02" w:rsidRPr="002661A8" w:rsidRDefault="00A60E02" w:rsidP="006F3DD8">
            <w:pPr>
              <w:pStyle w:val="TableParagraph"/>
              <w:spacing w:before="75" w:line="207" w:lineRule="exact"/>
              <w:ind w:left="-106" w:right="-111"/>
              <w:jc w:val="center"/>
              <w:rPr>
                <w:rFonts w:ascii="Times New Roman" w:hAnsi="Times New Roman" w:cs="Times New Roman"/>
                <w:noProof/>
                <w:lang w:val="en-GB"/>
              </w:rPr>
            </w:pPr>
            <w:r w:rsidRPr="002661A8">
              <w:rPr>
                <w:rFonts w:ascii="Times New Roman" w:hAnsi="Times New Roman" w:cs="Times New Roman"/>
                <w:noProof/>
                <w:lang w:val="en-GB"/>
              </w:rPr>
              <w:t>8</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March</w:t>
            </w:r>
            <w:r w:rsidRPr="002661A8">
              <w:rPr>
                <w:rFonts w:ascii="Times New Roman" w:hAnsi="Times New Roman" w:cs="Times New Roman"/>
                <w:noProof/>
                <w:lang w:val="en-GB"/>
              </w:rPr>
              <w:t xml:space="preserve"> </w:t>
            </w:r>
            <w:r w:rsidRPr="002661A8">
              <w:rPr>
                <w:rFonts w:ascii="Times New Roman" w:hAnsi="Times New Roman" w:cs="Times New Roman"/>
                <w:noProof/>
                <w:spacing w:val="-4"/>
                <w:lang w:val="en-GB"/>
              </w:rPr>
              <w:t>2022</w:t>
            </w:r>
          </w:p>
        </w:tc>
        <w:tc>
          <w:tcPr>
            <w:tcW w:w="993" w:type="dxa"/>
            <w:shd w:val="clear" w:color="auto" w:fill="D9D9D9" w:themeFill="background1" w:themeFillShade="D9"/>
          </w:tcPr>
          <w:p w14:paraId="68CDBFF6" w14:textId="0ECC3016" w:rsidR="00A60E02" w:rsidRPr="002661A8" w:rsidRDefault="00A60E02" w:rsidP="006F3DD8">
            <w:pPr>
              <w:pStyle w:val="TableParagraph"/>
              <w:spacing w:before="76"/>
              <w:ind w:left="-111" w:right="-110"/>
              <w:jc w:val="center"/>
              <w:rPr>
                <w:rFonts w:ascii="Times New Roman" w:hAnsi="Times New Roman" w:cs="Times New Roman"/>
                <w:noProof/>
                <w:lang w:val="en-GB"/>
              </w:rPr>
            </w:pPr>
            <w:r w:rsidRPr="002661A8">
              <w:rPr>
                <w:rFonts w:ascii="Times New Roman" w:hAnsi="Times New Roman" w:cs="Times New Roman"/>
                <w:noProof/>
                <w:spacing w:val="-5"/>
                <w:lang w:val="en-GB"/>
              </w:rPr>
              <w:t>n/a</w:t>
            </w:r>
          </w:p>
        </w:tc>
        <w:tc>
          <w:tcPr>
            <w:tcW w:w="1026" w:type="dxa"/>
            <w:shd w:val="clear" w:color="auto" w:fill="D9D9D9" w:themeFill="background1" w:themeFillShade="D9"/>
          </w:tcPr>
          <w:p w14:paraId="384A2A9E" w14:textId="34E74D68" w:rsidR="00A60E02" w:rsidRPr="002661A8" w:rsidRDefault="00A60E02" w:rsidP="006F3DD8">
            <w:pPr>
              <w:ind w:left="-104" w:right="-73"/>
              <w:jc w:val="center"/>
              <w:rPr>
                <w:noProof/>
              </w:rPr>
            </w:pPr>
            <w:r w:rsidRPr="002661A8">
              <w:rPr>
                <w:noProof/>
              </w:rPr>
              <w:t xml:space="preserve">Tier </w:t>
            </w:r>
            <w:r w:rsidRPr="002661A8">
              <w:rPr>
                <w:noProof/>
                <w:spacing w:val="-10"/>
              </w:rPr>
              <w:t>1</w:t>
            </w:r>
          </w:p>
        </w:tc>
      </w:tr>
      <w:tr w:rsidR="00A60E02" w:rsidRPr="002661A8" w14:paraId="75B7B824" w14:textId="77777777" w:rsidTr="00DC0339">
        <w:tc>
          <w:tcPr>
            <w:tcW w:w="534" w:type="dxa"/>
            <w:shd w:val="clear" w:color="auto" w:fill="FFFFFF" w:themeFill="background1"/>
          </w:tcPr>
          <w:p w14:paraId="7D48CB91" w14:textId="0AC70991" w:rsidR="00A60E02" w:rsidRPr="002661A8" w:rsidRDefault="00A60E02" w:rsidP="00641DA4">
            <w:pPr>
              <w:jc w:val="center"/>
              <w:rPr>
                <w:b/>
                <w:noProof/>
                <w:w w:val="99"/>
              </w:rPr>
            </w:pPr>
            <w:r w:rsidRPr="002661A8">
              <w:rPr>
                <w:b/>
                <w:noProof/>
                <w:spacing w:val="-5"/>
              </w:rPr>
              <w:t>23</w:t>
            </w:r>
          </w:p>
        </w:tc>
        <w:tc>
          <w:tcPr>
            <w:tcW w:w="2835" w:type="dxa"/>
            <w:shd w:val="clear" w:color="auto" w:fill="FFFFFF" w:themeFill="background1"/>
          </w:tcPr>
          <w:p w14:paraId="6CB682DE" w14:textId="4315220A" w:rsidR="00A60E02" w:rsidRPr="002661A8" w:rsidRDefault="00A60E02" w:rsidP="00641DA4">
            <w:pPr>
              <w:jc w:val="center"/>
              <w:rPr>
                <w:noProof/>
              </w:rPr>
            </w:pPr>
            <w:r w:rsidRPr="002661A8">
              <w:rPr>
                <w:noProof/>
              </w:rPr>
              <w:t xml:space="preserve">Dubai Commodities Clearing </w:t>
            </w:r>
            <w:r w:rsidRPr="002661A8">
              <w:rPr>
                <w:noProof/>
                <w:spacing w:val="-2"/>
              </w:rPr>
              <w:t>Corporation</w:t>
            </w:r>
          </w:p>
        </w:tc>
        <w:tc>
          <w:tcPr>
            <w:tcW w:w="884" w:type="dxa"/>
            <w:shd w:val="clear" w:color="auto" w:fill="FFFFFF" w:themeFill="background1"/>
          </w:tcPr>
          <w:p w14:paraId="30C76EF8" w14:textId="1CC7B6EC" w:rsidR="00A60E02" w:rsidRPr="002661A8" w:rsidRDefault="00A60E02" w:rsidP="00641DA4">
            <w:pPr>
              <w:jc w:val="center"/>
              <w:rPr>
                <w:noProof/>
                <w:spacing w:val="-4"/>
              </w:rPr>
            </w:pPr>
            <w:r w:rsidRPr="002661A8">
              <w:rPr>
                <w:noProof/>
                <w:spacing w:val="-4"/>
              </w:rPr>
              <w:t>DCCC</w:t>
            </w:r>
          </w:p>
        </w:tc>
        <w:tc>
          <w:tcPr>
            <w:tcW w:w="1809" w:type="dxa"/>
            <w:shd w:val="clear" w:color="auto" w:fill="FFFFFF" w:themeFill="background1"/>
          </w:tcPr>
          <w:p w14:paraId="7F774716" w14:textId="730ED2D8" w:rsidR="00A60E02" w:rsidRPr="002661A8" w:rsidRDefault="00A60E02" w:rsidP="006F3DD8">
            <w:pPr>
              <w:ind w:left="-142" w:right="-108"/>
              <w:jc w:val="center"/>
              <w:rPr>
                <w:noProof/>
                <w:spacing w:val="-2"/>
              </w:rPr>
            </w:pPr>
            <w:r w:rsidRPr="002661A8">
              <w:rPr>
                <w:noProof/>
              </w:rPr>
              <w:t xml:space="preserve">United Arab </w:t>
            </w:r>
            <w:r w:rsidRPr="002661A8">
              <w:rPr>
                <w:noProof/>
                <w:spacing w:val="-2"/>
              </w:rPr>
              <w:t>Emirates</w:t>
            </w:r>
          </w:p>
        </w:tc>
        <w:tc>
          <w:tcPr>
            <w:tcW w:w="1417" w:type="dxa"/>
            <w:shd w:val="clear" w:color="auto" w:fill="FFFFFF" w:themeFill="background1"/>
          </w:tcPr>
          <w:p w14:paraId="1ABBAE4B" w14:textId="77777777" w:rsidR="00A60E02" w:rsidRPr="002661A8" w:rsidRDefault="00A60E02" w:rsidP="006F3DD8">
            <w:pPr>
              <w:pStyle w:val="TableParagraph"/>
              <w:spacing w:before="76" w:line="207" w:lineRule="exact"/>
              <w:ind w:left="-106" w:right="-111"/>
              <w:jc w:val="center"/>
              <w:rPr>
                <w:rFonts w:ascii="Times New Roman" w:hAnsi="Times New Roman" w:cs="Times New Roman"/>
                <w:noProof/>
                <w:lang w:val="en-GB"/>
              </w:rPr>
            </w:pPr>
            <w:r w:rsidRPr="002661A8">
              <w:rPr>
                <w:rFonts w:ascii="Times New Roman" w:hAnsi="Times New Roman" w:cs="Times New Roman"/>
                <w:noProof/>
                <w:lang w:val="en-GB"/>
              </w:rPr>
              <w:t>29</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March</w:t>
            </w:r>
          </w:p>
          <w:p w14:paraId="1DEF04EA" w14:textId="2D1A369C" w:rsidR="00A60E02" w:rsidRPr="002661A8" w:rsidRDefault="00A60E02" w:rsidP="006F3DD8">
            <w:pPr>
              <w:pStyle w:val="TableParagraph"/>
              <w:spacing w:before="76"/>
              <w:ind w:left="-106" w:right="-111"/>
              <w:jc w:val="center"/>
              <w:rPr>
                <w:rFonts w:ascii="Times New Roman" w:hAnsi="Times New Roman" w:cs="Times New Roman"/>
                <w:noProof/>
                <w:lang w:val="en-GB"/>
              </w:rPr>
            </w:pPr>
            <w:r w:rsidRPr="002661A8">
              <w:rPr>
                <w:rFonts w:ascii="Times New Roman" w:hAnsi="Times New Roman" w:cs="Times New Roman"/>
                <w:noProof/>
                <w:spacing w:val="-4"/>
                <w:lang w:val="en-GB"/>
              </w:rPr>
              <w:t>2017</w:t>
            </w:r>
          </w:p>
        </w:tc>
        <w:tc>
          <w:tcPr>
            <w:tcW w:w="993" w:type="dxa"/>
            <w:shd w:val="clear" w:color="auto" w:fill="FFFFFF" w:themeFill="background1"/>
          </w:tcPr>
          <w:p w14:paraId="759C4A77" w14:textId="1B7E5590" w:rsidR="00A60E02" w:rsidRPr="002661A8" w:rsidRDefault="00A60E02" w:rsidP="006F3DD8">
            <w:pPr>
              <w:pStyle w:val="TableParagraph"/>
              <w:spacing w:before="76" w:line="207" w:lineRule="exact"/>
              <w:ind w:left="-111" w:right="-110"/>
              <w:jc w:val="center"/>
              <w:rPr>
                <w:rFonts w:ascii="Times New Roman" w:hAnsi="Times New Roman" w:cs="Times New Roman"/>
                <w:noProof/>
                <w:lang w:val="en-GB"/>
              </w:rPr>
            </w:pPr>
            <w:r w:rsidRPr="002661A8">
              <w:rPr>
                <w:rFonts w:ascii="Times New Roman" w:hAnsi="Times New Roman" w:cs="Times New Roman"/>
                <w:noProof/>
                <w:lang w:val="en-GB"/>
              </w:rPr>
              <w:t>18</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March</w:t>
            </w:r>
            <w:r w:rsidRPr="002661A8">
              <w:rPr>
                <w:rFonts w:ascii="Times New Roman" w:hAnsi="Times New Roman" w:cs="Times New Roman"/>
                <w:noProof/>
                <w:lang w:val="en-GB"/>
              </w:rPr>
              <w:t xml:space="preserve"> </w:t>
            </w:r>
            <w:r w:rsidRPr="002661A8">
              <w:rPr>
                <w:rFonts w:ascii="Times New Roman" w:hAnsi="Times New Roman" w:cs="Times New Roman"/>
                <w:noProof/>
                <w:spacing w:val="-4"/>
                <w:lang w:val="en-GB"/>
              </w:rPr>
              <w:t>2022</w:t>
            </w:r>
          </w:p>
        </w:tc>
        <w:tc>
          <w:tcPr>
            <w:tcW w:w="1026" w:type="dxa"/>
            <w:shd w:val="clear" w:color="auto" w:fill="FFFFFF" w:themeFill="background1"/>
          </w:tcPr>
          <w:p w14:paraId="07E19FAF" w14:textId="6A433E53" w:rsidR="00A60E02" w:rsidRPr="002661A8" w:rsidRDefault="00A60E02" w:rsidP="006F3DD8">
            <w:pPr>
              <w:ind w:left="-104" w:right="-73"/>
              <w:jc w:val="center"/>
              <w:rPr>
                <w:noProof/>
              </w:rPr>
            </w:pPr>
            <w:r w:rsidRPr="002661A8">
              <w:rPr>
                <w:noProof/>
              </w:rPr>
              <w:t xml:space="preserve">Tier </w:t>
            </w:r>
            <w:r w:rsidRPr="002661A8">
              <w:rPr>
                <w:noProof/>
                <w:spacing w:val="-10"/>
              </w:rPr>
              <w:t>1</w:t>
            </w:r>
          </w:p>
        </w:tc>
      </w:tr>
      <w:tr w:rsidR="00A60E02" w:rsidRPr="002661A8" w14:paraId="6B8AD49E" w14:textId="77777777" w:rsidTr="00DC0339">
        <w:tc>
          <w:tcPr>
            <w:tcW w:w="534" w:type="dxa"/>
            <w:shd w:val="clear" w:color="auto" w:fill="D9D9D9" w:themeFill="background1" w:themeFillShade="D9"/>
          </w:tcPr>
          <w:p w14:paraId="223A8BEE" w14:textId="616A463B" w:rsidR="00A60E02" w:rsidRPr="002661A8" w:rsidRDefault="00A60E02" w:rsidP="00641DA4">
            <w:pPr>
              <w:jc w:val="center"/>
              <w:rPr>
                <w:b/>
                <w:noProof/>
                <w:w w:val="99"/>
              </w:rPr>
            </w:pPr>
            <w:r w:rsidRPr="002661A8">
              <w:rPr>
                <w:b/>
                <w:noProof/>
                <w:spacing w:val="-5"/>
              </w:rPr>
              <w:t>24</w:t>
            </w:r>
          </w:p>
        </w:tc>
        <w:tc>
          <w:tcPr>
            <w:tcW w:w="2835" w:type="dxa"/>
            <w:shd w:val="clear" w:color="auto" w:fill="D9D9D9" w:themeFill="background1" w:themeFillShade="D9"/>
          </w:tcPr>
          <w:p w14:paraId="3B16F06B" w14:textId="6B6E104C" w:rsidR="00A60E02" w:rsidRPr="002661A8" w:rsidRDefault="00A60E02" w:rsidP="00641DA4">
            <w:pPr>
              <w:jc w:val="center"/>
              <w:rPr>
                <w:noProof/>
              </w:rPr>
            </w:pPr>
            <w:r w:rsidRPr="002661A8">
              <w:rPr>
                <w:noProof/>
              </w:rPr>
              <w:t>The Clearing Corporation of India Ltd</w:t>
            </w:r>
          </w:p>
        </w:tc>
        <w:tc>
          <w:tcPr>
            <w:tcW w:w="884" w:type="dxa"/>
            <w:shd w:val="clear" w:color="auto" w:fill="D9D9D9" w:themeFill="background1" w:themeFillShade="D9"/>
          </w:tcPr>
          <w:p w14:paraId="7A12133B" w14:textId="1C480C12" w:rsidR="00A60E02" w:rsidRPr="002661A8" w:rsidRDefault="00A60E02" w:rsidP="00641DA4">
            <w:pPr>
              <w:jc w:val="center"/>
              <w:rPr>
                <w:noProof/>
                <w:spacing w:val="-4"/>
              </w:rPr>
            </w:pPr>
            <w:r w:rsidRPr="002661A8">
              <w:rPr>
                <w:noProof/>
                <w:spacing w:val="-4"/>
              </w:rPr>
              <w:t>CCIL</w:t>
            </w:r>
          </w:p>
        </w:tc>
        <w:tc>
          <w:tcPr>
            <w:tcW w:w="1809" w:type="dxa"/>
            <w:shd w:val="clear" w:color="auto" w:fill="D9D9D9" w:themeFill="background1" w:themeFillShade="D9"/>
          </w:tcPr>
          <w:p w14:paraId="0D8C8116" w14:textId="505225C0" w:rsidR="00A60E02" w:rsidRPr="002661A8" w:rsidRDefault="00A60E02" w:rsidP="006F3DD8">
            <w:pPr>
              <w:ind w:left="-142" w:right="-108"/>
              <w:jc w:val="center"/>
              <w:rPr>
                <w:noProof/>
                <w:spacing w:val="-2"/>
              </w:rPr>
            </w:pPr>
            <w:r w:rsidRPr="002661A8">
              <w:rPr>
                <w:noProof/>
                <w:spacing w:val="-2"/>
              </w:rPr>
              <w:t>India</w:t>
            </w:r>
          </w:p>
        </w:tc>
        <w:tc>
          <w:tcPr>
            <w:tcW w:w="1417" w:type="dxa"/>
            <w:shd w:val="clear" w:color="auto" w:fill="D9D9D9" w:themeFill="background1" w:themeFillShade="D9"/>
          </w:tcPr>
          <w:p w14:paraId="6240DA71" w14:textId="6437F84A" w:rsidR="00A60E02" w:rsidRPr="002661A8" w:rsidRDefault="00A60E02" w:rsidP="006F3DD8">
            <w:pPr>
              <w:pStyle w:val="TableParagraph"/>
              <w:spacing w:before="104" w:line="207" w:lineRule="exact"/>
              <w:ind w:left="-106" w:right="-111"/>
              <w:jc w:val="center"/>
              <w:rPr>
                <w:rFonts w:ascii="Times New Roman" w:hAnsi="Times New Roman" w:cs="Times New Roman"/>
                <w:noProof/>
                <w:lang w:val="en-GB"/>
              </w:rPr>
            </w:pPr>
            <w:r w:rsidRPr="002661A8">
              <w:rPr>
                <w:rFonts w:ascii="Times New Roman" w:hAnsi="Times New Roman" w:cs="Times New Roman"/>
                <w:noProof/>
                <w:lang w:val="en-GB"/>
              </w:rPr>
              <w:t>29</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March</w:t>
            </w:r>
            <w:r w:rsidR="00641DA4" w:rsidRPr="002661A8">
              <w:rPr>
                <w:rFonts w:ascii="Times New Roman" w:hAnsi="Times New Roman" w:cs="Times New Roman"/>
                <w:noProof/>
                <w:spacing w:val="-2"/>
                <w:lang w:val="en-GB"/>
              </w:rPr>
              <w:t xml:space="preserve"> </w:t>
            </w:r>
            <w:r w:rsidRPr="002661A8">
              <w:rPr>
                <w:rFonts w:ascii="Times New Roman" w:hAnsi="Times New Roman" w:cs="Times New Roman"/>
                <w:noProof/>
                <w:spacing w:val="-4"/>
                <w:lang w:val="en-GB"/>
              </w:rPr>
              <w:t>2017</w:t>
            </w:r>
          </w:p>
        </w:tc>
        <w:tc>
          <w:tcPr>
            <w:tcW w:w="993" w:type="dxa"/>
            <w:shd w:val="clear" w:color="auto" w:fill="D9D9D9" w:themeFill="background1" w:themeFillShade="D9"/>
          </w:tcPr>
          <w:p w14:paraId="6D091CC1" w14:textId="5F7D8740" w:rsidR="00A60E02" w:rsidRPr="002661A8" w:rsidRDefault="00A60E02" w:rsidP="006F3DD8">
            <w:pPr>
              <w:pStyle w:val="TableParagraph"/>
              <w:spacing w:before="76"/>
              <w:ind w:left="-111" w:right="-110"/>
              <w:jc w:val="center"/>
              <w:rPr>
                <w:rFonts w:ascii="Times New Roman" w:hAnsi="Times New Roman" w:cs="Times New Roman"/>
                <w:noProof/>
                <w:lang w:val="en-GB"/>
              </w:rPr>
            </w:pPr>
            <w:r w:rsidRPr="002661A8">
              <w:rPr>
                <w:rFonts w:ascii="Times New Roman" w:hAnsi="Times New Roman" w:cs="Times New Roman"/>
                <w:noProof/>
                <w:spacing w:val="-5"/>
                <w:lang w:val="en-GB"/>
              </w:rPr>
              <w:t>n/a</w:t>
            </w:r>
          </w:p>
        </w:tc>
        <w:tc>
          <w:tcPr>
            <w:tcW w:w="1026" w:type="dxa"/>
            <w:shd w:val="clear" w:color="auto" w:fill="D9D9D9" w:themeFill="background1" w:themeFillShade="D9"/>
          </w:tcPr>
          <w:p w14:paraId="11A1140C" w14:textId="36C06A81" w:rsidR="00A60E02" w:rsidRPr="002661A8" w:rsidRDefault="00A60E02" w:rsidP="006F3DD8">
            <w:pPr>
              <w:pStyle w:val="TableParagraph"/>
              <w:spacing w:line="206" w:lineRule="exact"/>
              <w:ind w:left="-104" w:right="-73"/>
              <w:jc w:val="center"/>
              <w:rPr>
                <w:rFonts w:ascii="Times New Roman" w:hAnsi="Times New Roman" w:cs="Times New Roman"/>
                <w:noProof/>
                <w:lang w:val="en-GB"/>
              </w:rPr>
            </w:pPr>
            <w:r w:rsidRPr="002661A8">
              <w:rPr>
                <w:rFonts w:ascii="Times New Roman" w:hAnsi="Times New Roman" w:cs="Times New Roman"/>
                <w:noProof/>
                <w:lang w:val="en-GB"/>
              </w:rPr>
              <w:t>Subject</w:t>
            </w:r>
            <w:r w:rsidRPr="002661A8">
              <w:rPr>
                <w:rFonts w:ascii="Times New Roman" w:hAnsi="Times New Roman" w:cs="Times New Roman"/>
                <w:noProof/>
                <w:spacing w:val="-1"/>
                <w:lang w:val="en-GB"/>
              </w:rPr>
              <w:t xml:space="preserve"> </w:t>
            </w:r>
            <w:r w:rsidRPr="002661A8">
              <w:rPr>
                <w:rFonts w:ascii="Times New Roman" w:hAnsi="Times New Roman" w:cs="Times New Roman"/>
                <w:noProof/>
                <w:spacing w:val="-5"/>
                <w:lang w:val="en-GB"/>
              </w:rPr>
              <w:t>to</w:t>
            </w:r>
            <w:r w:rsidR="00641DA4" w:rsidRPr="002661A8">
              <w:rPr>
                <w:rFonts w:ascii="Times New Roman" w:hAnsi="Times New Roman" w:cs="Times New Roman"/>
                <w:noProof/>
                <w:spacing w:val="-5"/>
                <w:lang w:val="en-GB"/>
              </w:rPr>
              <w:t xml:space="preserve"> </w:t>
            </w:r>
            <w:r w:rsidRPr="002661A8">
              <w:rPr>
                <w:rFonts w:ascii="Times New Roman" w:hAnsi="Times New Roman" w:cs="Times New Roman"/>
                <w:noProof/>
                <w:spacing w:val="-5"/>
                <w:lang w:val="en-GB"/>
              </w:rPr>
              <w:t>r</w:t>
            </w:r>
            <w:r w:rsidRPr="002661A8">
              <w:rPr>
                <w:rFonts w:ascii="Times New Roman" w:hAnsi="Times New Roman" w:cs="Times New Roman"/>
                <w:noProof/>
                <w:lang w:val="en-GB"/>
              </w:rPr>
              <w:t xml:space="preserve">eview of </w:t>
            </w:r>
            <w:r w:rsidRPr="002661A8">
              <w:rPr>
                <w:rFonts w:ascii="Times New Roman" w:hAnsi="Times New Roman" w:cs="Times New Roman"/>
                <w:noProof/>
                <w:spacing w:val="-2"/>
                <w:lang w:val="en-GB"/>
              </w:rPr>
              <w:t>recognition</w:t>
            </w:r>
          </w:p>
        </w:tc>
      </w:tr>
      <w:tr w:rsidR="00A60E02" w:rsidRPr="002661A8" w14:paraId="69D5F13D" w14:textId="77777777" w:rsidTr="00DC0339">
        <w:tc>
          <w:tcPr>
            <w:tcW w:w="534" w:type="dxa"/>
            <w:shd w:val="clear" w:color="auto" w:fill="FFFFFF" w:themeFill="background1"/>
          </w:tcPr>
          <w:p w14:paraId="514F490F" w14:textId="5C7437CE" w:rsidR="00A60E02" w:rsidRPr="002661A8" w:rsidRDefault="00A60E02" w:rsidP="00641DA4">
            <w:pPr>
              <w:pStyle w:val="TableParagraph"/>
              <w:spacing w:before="9"/>
              <w:jc w:val="center"/>
              <w:rPr>
                <w:rFonts w:ascii="Times New Roman" w:hAnsi="Times New Roman" w:cs="Times New Roman"/>
                <w:noProof/>
                <w:lang w:val="en-GB"/>
              </w:rPr>
            </w:pPr>
          </w:p>
          <w:p w14:paraId="7B3B72C5" w14:textId="43EC548B" w:rsidR="00A60E02" w:rsidRPr="002661A8" w:rsidRDefault="00A60E02" w:rsidP="00641DA4">
            <w:pPr>
              <w:jc w:val="center"/>
              <w:rPr>
                <w:b/>
                <w:noProof/>
                <w:w w:val="99"/>
              </w:rPr>
            </w:pPr>
            <w:r w:rsidRPr="002661A8">
              <w:rPr>
                <w:b/>
                <w:noProof/>
                <w:spacing w:val="-5"/>
              </w:rPr>
              <w:t>25</w:t>
            </w:r>
          </w:p>
        </w:tc>
        <w:tc>
          <w:tcPr>
            <w:tcW w:w="2835" w:type="dxa"/>
            <w:shd w:val="clear" w:color="auto" w:fill="FFFFFF" w:themeFill="background1"/>
          </w:tcPr>
          <w:p w14:paraId="32AEF8FC" w14:textId="34EE5530" w:rsidR="00A60E02" w:rsidRPr="002661A8" w:rsidRDefault="00A60E02" w:rsidP="00641DA4">
            <w:pPr>
              <w:jc w:val="center"/>
              <w:rPr>
                <w:noProof/>
              </w:rPr>
            </w:pPr>
            <w:r w:rsidRPr="002661A8">
              <w:rPr>
                <w:noProof/>
              </w:rPr>
              <w:t xml:space="preserve">Nasdaq Dubai </w:t>
            </w:r>
            <w:r w:rsidRPr="002661A8">
              <w:rPr>
                <w:noProof/>
                <w:spacing w:val="-5"/>
              </w:rPr>
              <w:t>Ltd</w:t>
            </w:r>
          </w:p>
        </w:tc>
        <w:tc>
          <w:tcPr>
            <w:tcW w:w="884" w:type="dxa"/>
            <w:shd w:val="clear" w:color="auto" w:fill="FFFFFF" w:themeFill="background1"/>
          </w:tcPr>
          <w:p w14:paraId="7D92BA7A" w14:textId="56CF94E6" w:rsidR="00A60E02" w:rsidRPr="002661A8" w:rsidRDefault="00A60E02" w:rsidP="00641DA4">
            <w:pPr>
              <w:jc w:val="center"/>
              <w:rPr>
                <w:noProof/>
                <w:spacing w:val="-4"/>
              </w:rPr>
            </w:pPr>
            <w:r w:rsidRPr="002661A8">
              <w:rPr>
                <w:noProof/>
                <w:spacing w:val="-5"/>
              </w:rPr>
              <w:t>NDL</w:t>
            </w:r>
          </w:p>
        </w:tc>
        <w:tc>
          <w:tcPr>
            <w:tcW w:w="1809" w:type="dxa"/>
            <w:shd w:val="clear" w:color="auto" w:fill="FFFFFF" w:themeFill="background1"/>
          </w:tcPr>
          <w:p w14:paraId="4C802F52" w14:textId="11D580AF" w:rsidR="00A60E02" w:rsidRPr="002661A8" w:rsidRDefault="00A60E02" w:rsidP="006F3DD8">
            <w:pPr>
              <w:pStyle w:val="TableParagraph"/>
              <w:ind w:left="-142" w:right="-108"/>
              <w:jc w:val="center"/>
              <w:rPr>
                <w:rFonts w:ascii="Times New Roman" w:hAnsi="Times New Roman" w:cs="Times New Roman"/>
                <w:noProof/>
                <w:spacing w:val="-2"/>
                <w:lang w:val="en-GB"/>
              </w:rPr>
            </w:pPr>
            <w:r w:rsidRPr="002661A8">
              <w:rPr>
                <w:rFonts w:ascii="Times New Roman" w:hAnsi="Times New Roman" w:cs="Times New Roman"/>
                <w:noProof/>
                <w:spacing w:val="-2"/>
                <w:lang w:val="en-GB"/>
              </w:rPr>
              <w:t>Dubai International</w:t>
            </w:r>
            <w:r w:rsidR="00641DA4" w:rsidRPr="002661A8">
              <w:rPr>
                <w:rFonts w:ascii="Times New Roman" w:hAnsi="Times New Roman" w:cs="Times New Roman"/>
                <w:noProof/>
                <w:spacing w:val="-2"/>
                <w:lang w:val="en-GB"/>
              </w:rPr>
              <w:t xml:space="preserve"> </w:t>
            </w:r>
            <w:r w:rsidRPr="002661A8">
              <w:rPr>
                <w:rFonts w:ascii="Times New Roman" w:hAnsi="Times New Roman" w:cs="Times New Roman"/>
                <w:noProof/>
                <w:spacing w:val="-2"/>
                <w:lang w:val="en-GB"/>
              </w:rPr>
              <w:t>Financial Centre</w:t>
            </w:r>
          </w:p>
        </w:tc>
        <w:tc>
          <w:tcPr>
            <w:tcW w:w="1417" w:type="dxa"/>
            <w:shd w:val="clear" w:color="auto" w:fill="FFFFFF" w:themeFill="background1"/>
          </w:tcPr>
          <w:p w14:paraId="6CA42C10" w14:textId="1503105E" w:rsidR="00A60E02" w:rsidRPr="002661A8" w:rsidRDefault="00A60E02" w:rsidP="006F3DD8">
            <w:pPr>
              <w:pStyle w:val="TableParagraph"/>
              <w:ind w:left="-106" w:right="-111"/>
              <w:jc w:val="center"/>
              <w:rPr>
                <w:rFonts w:ascii="Times New Roman" w:hAnsi="Times New Roman" w:cs="Times New Roman"/>
                <w:noProof/>
                <w:lang w:val="en-GB"/>
              </w:rPr>
            </w:pPr>
            <w:r w:rsidRPr="002661A8">
              <w:rPr>
                <w:rFonts w:ascii="Times New Roman" w:hAnsi="Times New Roman" w:cs="Times New Roman"/>
                <w:noProof/>
                <w:lang w:val="en-GB"/>
              </w:rPr>
              <w:t>29</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March</w:t>
            </w:r>
            <w:r w:rsidR="00641DA4" w:rsidRPr="002661A8">
              <w:rPr>
                <w:rFonts w:ascii="Times New Roman" w:hAnsi="Times New Roman" w:cs="Times New Roman"/>
                <w:noProof/>
                <w:spacing w:val="-2"/>
                <w:lang w:val="en-GB"/>
              </w:rPr>
              <w:t xml:space="preserve"> </w:t>
            </w:r>
            <w:r w:rsidRPr="002661A8">
              <w:rPr>
                <w:rFonts w:ascii="Times New Roman" w:hAnsi="Times New Roman" w:cs="Times New Roman"/>
                <w:noProof/>
                <w:spacing w:val="-4"/>
                <w:lang w:val="en-GB"/>
              </w:rPr>
              <w:t>2017</w:t>
            </w:r>
          </w:p>
        </w:tc>
        <w:tc>
          <w:tcPr>
            <w:tcW w:w="993" w:type="dxa"/>
            <w:shd w:val="clear" w:color="auto" w:fill="FFFFFF" w:themeFill="background1"/>
          </w:tcPr>
          <w:p w14:paraId="713B4DDB" w14:textId="464C2302" w:rsidR="00A60E02" w:rsidRPr="002661A8" w:rsidRDefault="00A60E02" w:rsidP="006F3DD8">
            <w:pPr>
              <w:pStyle w:val="TableParagraph"/>
              <w:ind w:left="-111" w:right="-110"/>
              <w:jc w:val="center"/>
              <w:rPr>
                <w:rFonts w:ascii="Times New Roman" w:hAnsi="Times New Roman" w:cs="Times New Roman"/>
                <w:noProof/>
                <w:lang w:val="en-GB"/>
              </w:rPr>
            </w:pPr>
            <w:r w:rsidRPr="002661A8">
              <w:rPr>
                <w:rFonts w:ascii="Times New Roman" w:hAnsi="Times New Roman" w:cs="Times New Roman"/>
                <w:noProof/>
                <w:lang w:val="en-GB"/>
              </w:rPr>
              <w:t>18</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March</w:t>
            </w:r>
            <w:r w:rsidRPr="002661A8">
              <w:rPr>
                <w:rFonts w:ascii="Times New Roman" w:hAnsi="Times New Roman" w:cs="Times New Roman"/>
                <w:noProof/>
                <w:lang w:val="en-GB"/>
              </w:rPr>
              <w:t xml:space="preserve"> </w:t>
            </w:r>
            <w:r w:rsidRPr="002661A8">
              <w:rPr>
                <w:rFonts w:ascii="Times New Roman" w:hAnsi="Times New Roman" w:cs="Times New Roman"/>
                <w:noProof/>
                <w:spacing w:val="-4"/>
                <w:lang w:val="en-GB"/>
              </w:rPr>
              <w:t>2022</w:t>
            </w:r>
          </w:p>
        </w:tc>
        <w:tc>
          <w:tcPr>
            <w:tcW w:w="1026" w:type="dxa"/>
            <w:shd w:val="clear" w:color="auto" w:fill="FFFFFF" w:themeFill="background1"/>
          </w:tcPr>
          <w:p w14:paraId="0B26C811" w14:textId="3ED31C2A" w:rsidR="00A60E02" w:rsidRPr="002661A8" w:rsidRDefault="00A60E02" w:rsidP="006F3DD8">
            <w:pPr>
              <w:ind w:left="-104" w:right="-73"/>
              <w:jc w:val="center"/>
              <w:rPr>
                <w:noProof/>
              </w:rPr>
            </w:pPr>
            <w:r w:rsidRPr="002661A8">
              <w:rPr>
                <w:noProof/>
              </w:rPr>
              <w:t xml:space="preserve">Tier </w:t>
            </w:r>
            <w:r w:rsidRPr="002661A8">
              <w:rPr>
                <w:noProof/>
                <w:spacing w:val="-10"/>
              </w:rPr>
              <w:t>1</w:t>
            </w:r>
          </w:p>
        </w:tc>
      </w:tr>
      <w:tr w:rsidR="00A60E02" w:rsidRPr="002661A8" w14:paraId="139DDFEB" w14:textId="77777777" w:rsidTr="00DC0339">
        <w:tc>
          <w:tcPr>
            <w:tcW w:w="534" w:type="dxa"/>
            <w:shd w:val="clear" w:color="auto" w:fill="D9D9D9" w:themeFill="background1" w:themeFillShade="D9"/>
          </w:tcPr>
          <w:p w14:paraId="0429761C" w14:textId="061803D0" w:rsidR="00A60E02" w:rsidRPr="002661A8" w:rsidRDefault="00A60E02" w:rsidP="00641DA4">
            <w:pPr>
              <w:jc w:val="center"/>
              <w:rPr>
                <w:b/>
                <w:noProof/>
                <w:w w:val="99"/>
              </w:rPr>
            </w:pPr>
            <w:r w:rsidRPr="002661A8">
              <w:rPr>
                <w:b/>
                <w:noProof/>
                <w:spacing w:val="-5"/>
              </w:rPr>
              <w:t>26</w:t>
            </w:r>
          </w:p>
        </w:tc>
        <w:tc>
          <w:tcPr>
            <w:tcW w:w="2835" w:type="dxa"/>
            <w:shd w:val="clear" w:color="auto" w:fill="D9D9D9" w:themeFill="background1" w:themeFillShade="D9"/>
          </w:tcPr>
          <w:p w14:paraId="45A4B93C" w14:textId="2B804620" w:rsidR="00A60E02" w:rsidRPr="002661A8" w:rsidRDefault="00A60E02" w:rsidP="00641DA4">
            <w:pPr>
              <w:jc w:val="center"/>
              <w:rPr>
                <w:noProof/>
              </w:rPr>
            </w:pPr>
            <w:r w:rsidRPr="002661A8">
              <w:rPr>
                <w:noProof/>
                <w:spacing w:val="-5"/>
              </w:rPr>
              <w:t>B3</w:t>
            </w:r>
          </w:p>
        </w:tc>
        <w:tc>
          <w:tcPr>
            <w:tcW w:w="884" w:type="dxa"/>
            <w:shd w:val="clear" w:color="auto" w:fill="D9D9D9" w:themeFill="background1" w:themeFillShade="D9"/>
          </w:tcPr>
          <w:p w14:paraId="5B62FAF4" w14:textId="713407AB" w:rsidR="00A60E02" w:rsidRPr="002661A8" w:rsidRDefault="00A60E02" w:rsidP="00641DA4">
            <w:pPr>
              <w:jc w:val="center"/>
              <w:rPr>
                <w:noProof/>
                <w:spacing w:val="-4"/>
              </w:rPr>
            </w:pPr>
            <w:r w:rsidRPr="002661A8">
              <w:rPr>
                <w:noProof/>
                <w:spacing w:val="-5"/>
              </w:rPr>
              <w:t>B3</w:t>
            </w:r>
          </w:p>
        </w:tc>
        <w:tc>
          <w:tcPr>
            <w:tcW w:w="1809" w:type="dxa"/>
            <w:shd w:val="clear" w:color="auto" w:fill="D9D9D9" w:themeFill="background1" w:themeFillShade="D9"/>
          </w:tcPr>
          <w:p w14:paraId="2AA131A9" w14:textId="72FA614F" w:rsidR="00A60E02" w:rsidRPr="002661A8" w:rsidRDefault="00A60E02" w:rsidP="006F3DD8">
            <w:pPr>
              <w:ind w:left="-142" w:right="-108"/>
              <w:jc w:val="center"/>
              <w:rPr>
                <w:noProof/>
                <w:spacing w:val="-2"/>
              </w:rPr>
            </w:pPr>
            <w:r w:rsidRPr="002661A8">
              <w:rPr>
                <w:noProof/>
                <w:spacing w:val="-2"/>
              </w:rPr>
              <w:t>Brazil</w:t>
            </w:r>
          </w:p>
        </w:tc>
        <w:tc>
          <w:tcPr>
            <w:tcW w:w="1417" w:type="dxa"/>
            <w:shd w:val="clear" w:color="auto" w:fill="D9D9D9" w:themeFill="background1" w:themeFillShade="D9"/>
          </w:tcPr>
          <w:p w14:paraId="04FAE302" w14:textId="7ADB3D5B" w:rsidR="00A60E02" w:rsidRPr="002661A8" w:rsidRDefault="00A60E02" w:rsidP="006F3DD8">
            <w:pPr>
              <w:pStyle w:val="TableParagraph"/>
              <w:spacing w:before="76" w:line="207" w:lineRule="exact"/>
              <w:ind w:left="-106" w:right="-111"/>
              <w:jc w:val="center"/>
              <w:rPr>
                <w:rFonts w:ascii="Times New Roman" w:hAnsi="Times New Roman" w:cs="Times New Roman"/>
                <w:noProof/>
                <w:lang w:val="en-GB"/>
              </w:rPr>
            </w:pPr>
            <w:r w:rsidRPr="002661A8">
              <w:rPr>
                <w:rFonts w:ascii="Times New Roman" w:hAnsi="Times New Roman" w:cs="Times New Roman"/>
                <w:noProof/>
                <w:lang w:val="en-GB"/>
              </w:rPr>
              <w:t>29</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 xml:space="preserve">March </w:t>
            </w:r>
            <w:r w:rsidRPr="002661A8">
              <w:rPr>
                <w:rFonts w:ascii="Times New Roman" w:hAnsi="Times New Roman" w:cs="Times New Roman"/>
                <w:noProof/>
                <w:spacing w:val="-4"/>
                <w:lang w:val="en-GB"/>
              </w:rPr>
              <w:t>2017</w:t>
            </w:r>
          </w:p>
        </w:tc>
        <w:tc>
          <w:tcPr>
            <w:tcW w:w="993" w:type="dxa"/>
            <w:shd w:val="clear" w:color="auto" w:fill="D9D9D9" w:themeFill="background1" w:themeFillShade="D9"/>
          </w:tcPr>
          <w:p w14:paraId="27E38990" w14:textId="528E5E3E" w:rsidR="00A60E02" w:rsidRPr="002661A8" w:rsidRDefault="00A60E02" w:rsidP="006F3DD8">
            <w:pPr>
              <w:pStyle w:val="TableParagraph"/>
              <w:spacing w:before="76" w:line="207" w:lineRule="exact"/>
              <w:ind w:left="-111" w:right="-110"/>
              <w:jc w:val="center"/>
              <w:rPr>
                <w:rFonts w:ascii="Times New Roman" w:hAnsi="Times New Roman" w:cs="Times New Roman"/>
                <w:noProof/>
                <w:lang w:val="en-GB"/>
              </w:rPr>
            </w:pPr>
            <w:r w:rsidRPr="002661A8">
              <w:rPr>
                <w:rFonts w:ascii="Times New Roman" w:hAnsi="Times New Roman" w:cs="Times New Roman"/>
                <w:noProof/>
                <w:lang w:val="en-GB"/>
              </w:rPr>
              <w:t>9</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March</w:t>
            </w:r>
            <w:r w:rsidR="00641DA4" w:rsidRPr="002661A8">
              <w:rPr>
                <w:rFonts w:ascii="Times New Roman" w:hAnsi="Times New Roman" w:cs="Times New Roman"/>
                <w:noProof/>
                <w:spacing w:val="-2"/>
                <w:lang w:val="en-GB"/>
              </w:rPr>
              <w:t xml:space="preserve"> </w:t>
            </w:r>
            <w:r w:rsidRPr="002661A8">
              <w:rPr>
                <w:rFonts w:ascii="Times New Roman" w:hAnsi="Times New Roman" w:cs="Times New Roman"/>
                <w:noProof/>
                <w:spacing w:val="-4"/>
                <w:lang w:val="en-GB"/>
              </w:rPr>
              <w:t>2022</w:t>
            </w:r>
          </w:p>
        </w:tc>
        <w:tc>
          <w:tcPr>
            <w:tcW w:w="1026" w:type="dxa"/>
            <w:shd w:val="clear" w:color="auto" w:fill="D9D9D9" w:themeFill="background1" w:themeFillShade="D9"/>
          </w:tcPr>
          <w:p w14:paraId="5F2117E0" w14:textId="091E0AF0" w:rsidR="00A60E02" w:rsidRPr="002661A8" w:rsidRDefault="00A60E02" w:rsidP="006F3DD8">
            <w:pPr>
              <w:ind w:left="-104" w:right="-73"/>
              <w:jc w:val="center"/>
              <w:rPr>
                <w:noProof/>
              </w:rPr>
            </w:pPr>
            <w:r w:rsidRPr="002661A8">
              <w:rPr>
                <w:noProof/>
              </w:rPr>
              <w:t xml:space="preserve">Tier </w:t>
            </w:r>
            <w:r w:rsidRPr="002661A8">
              <w:rPr>
                <w:noProof/>
                <w:spacing w:val="-10"/>
              </w:rPr>
              <w:t>1</w:t>
            </w:r>
          </w:p>
        </w:tc>
      </w:tr>
      <w:tr w:rsidR="00A60E02" w:rsidRPr="002661A8" w14:paraId="5DC3E880" w14:textId="77777777" w:rsidTr="00DC0339">
        <w:tc>
          <w:tcPr>
            <w:tcW w:w="534" w:type="dxa"/>
            <w:shd w:val="clear" w:color="auto" w:fill="FFFFFF" w:themeFill="background1"/>
          </w:tcPr>
          <w:p w14:paraId="0BB8C1C4" w14:textId="78796A7F" w:rsidR="00A60E02" w:rsidRPr="002661A8" w:rsidDel="00A60E02" w:rsidRDefault="00A60E02" w:rsidP="00641DA4">
            <w:pPr>
              <w:jc w:val="center"/>
              <w:rPr>
                <w:b/>
                <w:noProof/>
                <w:w w:val="99"/>
              </w:rPr>
            </w:pPr>
            <w:r w:rsidRPr="002661A8">
              <w:rPr>
                <w:b/>
                <w:noProof/>
                <w:spacing w:val="-5"/>
              </w:rPr>
              <w:t>27</w:t>
            </w:r>
          </w:p>
        </w:tc>
        <w:tc>
          <w:tcPr>
            <w:tcW w:w="2835" w:type="dxa"/>
            <w:shd w:val="clear" w:color="auto" w:fill="FFFFFF" w:themeFill="background1"/>
          </w:tcPr>
          <w:p w14:paraId="49EE3B5E" w14:textId="77A1E761" w:rsidR="00A60E02" w:rsidRPr="002661A8" w:rsidRDefault="00A60E02" w:rsidP="00641DA4">
            <w:pPr>
              <w:jc w:val="center"/>
              <w:rPr>
                <w:noProof/>
                <w:spacing w:val="-5"/>
              </w:rPr>
            </w:pPr>
            <w:r w:rsidRPr="002661A8">
              <w:rPr>
                <w:noProof/>
              </w:rPr>
              <w:t xml:space="preserve">Nodal Clear, </w:t>
            </w:r>
            <w:r w:rsidRPr="002661A8">
              <w:rPr>
                <w:noProof/>
                <w:spacing w:val="-5"/>
              </w:rPr>
              <w:t>LLC</w:t>
            </w:r>
          </w:p>
        </w:tc>
        <w:tc>
          <w:tcPr>
            <w:tcW w:w="884" w:type="dxa"/>
            <w:shd w:val="clear" w:color="auto" w:fill="FFFFFF" w:themeFill="background1"/>
          </w:tcPr>
          <w:p w14:paraId="536863B5" w14:textId="193663BC" w:rsidR="00A60E02" w:rsidRPr="002661A8" w:rsidRDefault="00A60E02" w:rsidP="00641DA4">
            <w:pPr>
              <w:jc w:val="center"/>
              <w:rPr>
                <w:noProof/>
                <w:spacing w:val="-5"/>
              </w:rPr>
            </w:pPr>
            <w:r w:rsidRPr="002661A8">
              <w:rPr>
                <w:noProof/>
                <w:spacing w:val="-5"/>
              </w:rPr>
              <w:t>NCL</w:t>
            </w:r>
          </w:p>
        </w:tc>
        <w:tc>
          <w:tcPr>
            <w:tcW w:w="1809" w:type="dxa"/>
            <w:shd w:val="clear" w:color="auto" w:fill="FFFFFF" w:themeFill="background1"/>
          </w:tcPr>
          <w:p w14:paraId="53FEF9A1" w14:textId="5B8628FA" w:rsidR="00A60E02" w:rsidRPr="002661A8" w:rsidRDefault="00A60E02" w:rsidP="006F3DD8">
            <w:pPr>
              <w:ind w:left="-142" w:right="-108"/>
              <w:jc w:val="center"/>
              <w:rPr>
                <w:noProof/>
                <w:spacing w:val="-2"/>
              </w:rPr>
            </w:pPr>
            <w:r w:rsidRPr="002661A8">
              <w:rPr>
                <w:noProof/>
              </w:rPr>
              <w:t>United States of America</w:t>
            </w:r>
          </w:p>
        </w:tc>
        <w:tc>
          <w:tcPr>
            <w:tcW w:w="1417" w:type="dxa"/>
            <w:shd w:val="clear" w:color="auto" w:fill="FFFFFF" w:themeFill="background1"/>
          </w:tcPr>
          <w:p w14:paraId="77BB7B50" w14:textId="2E20C8BD" w:rsidR="00A60E02" w:rsidRPr="002661A8" w:rsidRDefault="00A60E02" w:rsidP="006F3DD8">
            <w:pPr>
              <w:pStyle w:val="TableParagraph"/>
              <w:spacing w:before="76" w:line="207" w:lineRule="exact"/>
              <w:ind w:left="-106" w:right="-111"/>
              <w:jc w:val="center"/>
              <w:rPr>
                <w:rFonts w:ascii="Times New Roman" w:hAnsi="Times New Roman" w:cs="Times New Roman"/>
                <w:noProof/>
                <w:lang w:val="en-GB"/>
              </w:rPr>
            </w:pPr>
            <w:r w:rsidRPr="002661A8">
              <w:rPr>
                <w:rFonts w:ascii="Times New Roman" w:hAnsi="Times New Roman" w:cs="Times New Roman"/>
                <w:noProof/>
                <w:lang w:val="en-GB"/>
              </w:rPr>
              <w:t>29</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2"/>
                <w:lang w:val="en-GB"/>
              </w:rPr>
              <w:t xml:space="preserve">March </w:t>
            </w:r>
            <w:r w:rsidRPr="002661A8">
              <w:rPr>
                <w:rFonts w:ascii="Times New Roman" w:hAnsi="Times New Roman" w:cs="Times New Roman"/>
                <w:noProof/>
                <w:spacing w:val="-4"/>
                <w:lang w:val="en-GB"/>
              </w:rPr>
              <w:t>2017</w:t>
            </w:r>
          </w:p>
        </w:tc>
        <w:tc>
          <w:tcPr>
            <w:tcW w:w="993" w:type="dxa"/>
            <w:shd w:val="clear" w:color="auto" w:fill="FFFFFF" w:themeFill="background1"/>
          </w:tcPr>
          <w:p w14:paraId="6E76A67E" w14:textId="553AA4C4" w:rsidR="00A60E02" w:rsidRPr="002661A8" w:rsidRDefault="00A60E02" w:rsidP="006F3DD8">
            <w:pPr>
              <w:pStyle w:val="TableParagraph"/>
              <w:spacing w:before="76" w:line="207" w:lineRule="exact"/>
              <w:ind w:left="-111" w:right="-110"/>
              <w:jc w:val="center"/>
              <w:rPr>
                <w:rFonts w:ascii="Times New Roman" w:hAnsi="Times New Roman" w:cs="Times New Roman"/>
                <w:noProof/>
                <w:lang w:val="en-GB"/>
              </w:rPr>
            </w:pPr>
            <w:r w:rsidRPr="002661A8">
              <w:rPr>
                <w:rFonts w:ascii="Times New Roman" w:hAnsi="Times New Roman" w:cs="Times New Roman"/>
                <w:noProof/>
                <w:lang w:val="en-GB"/>
              </w:rPr>
              <w:t>8</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 xml:space="preserve">March </w:t>
            </w:r>
            <w:r w:rsidRPr="002661A8">
              <w:rPr>
                <w:rFonts w:ascii="Times New Roman" w:hAnsi="Times New Roman" w:cs="Times New Roman"/>
                <w:noProof/>
                <w:spacing w:val="-4"/>
                <w:lang w:val="en-GB"/>
              </w:rPr>
              <w:t>2022</w:t>
            </w:r>
          </w:p>
        </w:tc>
        <w:tc>
          <w:tcPr>
            <w:tcW w:w="1026" w:type="dxa"/>
            <w:shd w:val="clear" w:color="auto" w:fill="FFFFFF" w:themeFill="background1"/>
          </w:tcPr>
          <w:p w14:paraId="58DE287B" w14:textId="225EEC43" w:rsidR="00A60E02" w:rsidRPr="002661A8" w:rsidRDefault="00A60E02" w:rsidP="006F3DD8">
            <w:pPr>
              <w:ind w:left="-104" w:right="-73"/>
              <w:jc w:val="center"/>
              <w:rPr>
                <w:noProof/>
              </w:rPr>
            </w:pPr>
            <w:r w:rsidRPr="002661A8">
              <w:rPr>
                <w:noProof/>
              </w:rPr>
              <w:t xml:space="preserve">Tier </w:t>
            </w:r>
            <w:r w:rsidRPr="002661A8">
              <w:rPr>
                <w:noProof/>
                <w:spacing w:val="-10"/>
              </w:rPr>
              <w:t>1</w:t>
            </w:r>
          </w:p>
        </w:tc>
      </w:tr>
      <w:tr w:rsidR="00A60E02" w:rsidRPr="002661A8" w14:paraId="7B829676" w14:textId="77777777" w:rsidTr="00DC0339">
        <w:tc>
          <w:tcPr>
            <w:tcW w:w="534" w:type="dxa"/>
            <w:shd w:val="clear" w:color="auto" w:fill="D9D9D9" w:themeFill="background1" w:themeFillShade="D9"/>
          </w:tcPr>
          <w:p w14:paraId="003BB953" w14:textId="41F34F40" w:rsidR="00A60E02" w:rsidRPr="002661A8" w:rsidRDefault="00A60E02" w:rsidP="00641DA4">
            <w:pPr>
              <w:jc w:val="center"/>
              <w:rPr>
                <w:b/>
                <w:noProof/>
                <w:spacing w:val="-5"/>
              </w:rPr>
            </w:pPr>
            <w:r w:rsidRPr="002661A8">
              <w:rPr>
                <w:b/>
                <w:noProof/>
                <w:spacing w:val="-5"/>
              </w:rPr>
              <w:t>28</w:t>
            </w:r>
          </w:p>
        </w:tc>
        <w:tc>
          <w:tcPr>
            <w:tcW w:w="2835" w:type="dxa"/>
            <w:shd w:val="clear" w:color="auto" w:fill="D9D9D9" w:themeFill="background1" w:themeFillShade="D9"/>
          </w:tcPr>
          <w:p w14:paraId="0E414F6A" w14:textId="2820F5AA" w:rsidR="00A60E02" w:rsidRPr="002661A8" w:rsidRDefault="00A60E02" w:rsidP="00641DA4">
            <w:pPr>
              <w:jc w:val="center"/>
              <w:rPr>
                <w:noProof/>
              </w:rPr>
            </w:pPr>
            <w:r w:rsidRPr="002661A8">
              <w:rPr>
                <w:noProof/>
              </w:rPr>
              <w:t xml:space="preserve">New Zealand Clearing </w:t>
            </w:r>
            <w:r w:rsidRPr="002661A8">
              <w:rPr>
                <w:noProof/>
                <w:spacing w:val="-2"/>
              </w:rPr>
              <w:t>Limited</w:t>
            </w:r>
          </w:p>
        </w:tc>
        <w:tc>
          <w:tcPr>
            <w:tcW w:w="884" w:type="dxa"/>
            <w:shd w:val="clear" w:color="auto" w:fill="D9D9D9" w:themeFill="background1" w:themeFillShade="D9"/>
          </w:tcPr>
          <w:p w14:paraId="7A905A11" w14:textId="137D3D13" w:rsidR="00A60E02" w:rsidRPr="002661A8" w:rsidRDefault="00A60E02" w:rsidP="00641DA4">
            <w:pPr>
              <w:jc w:val="center"/>
              <w:rPr>
                <w:noProof/>
                <w:spacing w:val="-5"/>
              </w:rPr>
            </w:pPr>
            <w:r w:rsidRPr="002661A8">
              <w:rPr>
                <w:noProof/>
                <w:spacing w:val="-5"/>
              </w:rPr>
              <w:t>NZX</w:t>
            </w:r>
          </w:p>
        </w:tc>
        <w:tc>
          <w:tcPr>
            <w:tcW w:w="1809" w:type="dxa"/>
            <w:shd w:val="clear" w:color="auto" w:fill="D9D9D9" w:themeFill="background1" w:themeFillShade="D9"/>
          </w:tcPr>
          <w:p w14:paraId="2FE1651A" w14:textId="037A0C57" w:rsidR="00A60E02" w:rsidRPr="002661A8" w:rsidRDefault="00A60E02" w:rsidP="006F3DD8">
            <w:pPr>
              <w:ind w:left="-142" w:right="-108"/>
              <w:jc w:val="center"/>
              <w:rPr>
                <w:noProof/>
              </w:rPr>
            </w:pPr>
            <w:r w:rsidRPr="002661A8">
              <w:rPr>
                <w:noProof/>
              </w:rPr>
              <w:t xml:space="preserve">New </w:t>
            </w:r>
            <w:r w:rsidRPr="002661A8">
              <w:rPr>
                <w:noProof/>
                <w:spacing w:val="-2"/>
              </w:rPr>
              <w:t>Zealand</w:t>
            </w:r>
          </w:p>
        </w:tc>
        <w:tc>
          <w:tcPr>
            <w:tcW w:w="1417" w:type="dxa"/>
            <w:shd w:val="clear" w:color="auto" w:fill="D9D9D9" w:themeFill="background1" w:themeFillShade="D9"/>
          </w:tcPr>
          <w:p w14:paraId="74F05F1F" w14:textId="714EDAAD" w:rsidR="00A60E02" w:rsidRPr="002661A8" w:rsidRDefault="00A60E02" w:rsidP="006F3DD8">
            <w:pPr>
              <w:pStyle w:val="TableParagraph"/>
              <w:spacing w:before="75"/>
              <w:ind w:left="-106" w:right="-111"/>
              <w:jc w:val="center"/>
              <w:rPr>
                <w:rFonts w:ascii="Times New Roman" w:hAnsi="Times New Roman" w:cs="Times New Roman"/>
                <w:noProof/>
                <w:lang w:val="en-GB"/>
              </w:rPr>
            </w:pPr>
            <w:r w:rsidRPr="002661A8">
              <w:rPr>
                <w:rFonts w:ascii="Times New Roman" w:hAnsi="Times New Roman" w:cs="Times New Roman"/>
                <w:noProof/>
                <w:lang w:val="en-GB"/>
              </w:rPr>
              <w:t>24</w:t>
            </w:r>
            <w:r w:rsidRPr="002661A8">
              <w:rPr>
                <w:rFonts w:ascii="Times New Roman" w:hAnsi="Times New Roman" w:cs="Times New Roman"/>
                <w:noProof/>
                <w:spacing w:val="-4"/>
                <w:lang w:val="en-GB"/>
              </w:rPr>
              <w:t xml:space="preserve"> </w:t>
            </w:r>
            <w:r w:rsidRPr="002661A8">
              <w:rPr>
                <w:rFonts w:ascii="Times New Roman" w:hAnsi="Times New Roman" w:cs="Times New Roman"/>
                <w:noProof/>
                <w:spacing w:val="-5"/>
                <w:lang w:val="en-GB"/>
              </w:rPr>
              <w:t>May</w:t>
            </w:r>
            <w:r w:rsidRPr="002661A8">
              <w:rPr>
                <w:rFonts w:ascii="Times New Roman" w:hAnsi="Times New Roman" w:cs="Times New Roman"/>
                <w:noProof/>
                <w:spacing w:val="-4"/>
                <w:lang w:val="en-GB"/>
              </w:rPr>
              <w:t>2017</w:t>
            </w:r>
          </w:p>
        </w:tc>
        <w:tc>
          <w:tcPr>
            <w:tcW w:w="993" w:type="dxa"/>
            <w:shd w:val="clear" w:color="auto" w:fill="D9D9D9" w:themeFill="background1" w:themeFillShade="D9"/>
          </w:tcPr>
          <w:p w14:paraId="447E2FCF" w14:textId="63E6CAFB" w:rsidR="00A60E02" w:rsidRPr="002661A8" w:rsidRDefault="00A60E02" w:rsidP="006F3DD8">
            <w:pPr>
              <w:pStyle w:val="TableParagraph"/>
              <w:spacing w:before="75"/>
              <w:ind w:left="-111" w:right="-110"/>
              <w:jc w:val="center"/>
              <w:rPr>
                <w:rFonts w:ascii="Times New Roman" w:hAnsi="Times New Roman" w:cs="Times New Roman"/>
                <w:noProof/>
                <w:lang w:val="en-GB"/>
              </w:rPr>
            </w:pPr>
            <w:r w:rsidRPr="002661A8">
              <w:rPr>
                <w:rFonts w:ascii="Times New Roman" w:hAnsi="Times New Roman" w:cs="Times New Roman"/>
                <w:noProof/>
                <w:lang w:val="en-GB"/>
              </w:rPr>
              <w:t>8</w:t>
            </w:r>
            <w:r w:rsidRPr="002661A8">
              <w:rPr>
                <w:rFonts w:ascii="Times New Roman" w:hAnsi="Times New Roman" w:cs="Times New Roman"/>
                <w:noProof/>
                <w:spacing w:val="-2"/>
                <w:lang w:val="en-GB"/>
              </w:rPr>
              <w:t xml:space="preserve"> March</w:t>
            </w:r>
            <w:r w:rsidR="00641DA4" w:rsidRPr="002661A8">
              <w:rPr>
                <w:rFonts w:ascii="Times New Roman" w:hAnsi="Times New Roman" w:cs="Times New Roman"/>
                <w:noProof/>
                <w:spacing w:val="-2"/>
                <w:lang w:val="en-GB"/>
              </w:rPr>
              <w:t xml:space="preserve"> </w:t>
            </w:r>
            <w:r w:rsidRPr="002661A8">
              <w:rPr>
                <w:rFonts w:ascii="Times New Roman" w:hAnsi="Times New Roman" w:cs="Times New Roman"/>
                <w:noProof/>
                <w:spacing w:val="-4"/>
                <w:lang w:val="en-GB"/>
              </w:rPr>
              <w:t>2022</w:t>
            </w:r>
          </w:p>
        </w:tc>
        <w:tc>
          <w:tcPr>
            <w:tcW w:w="1026" w:type="dxa"/>
            <w:shd w:val="clear" w:color="auto" w:fill="D9D9D9" w:themeFill="background1" w:themeFillShade="D9"/>
          </w:tcPr>
          <w:p w14:paraId="37FCE24E" w14:textId="43244EFE" w:rsidR="00A60E02" w:rsidRPr="002661A8" w:rsidRDefault="00A60E02" w:rsidP="006F3DD8">
            <w:pPr>
              <w:ind w:left="-104" w:right="-73"/>
              <w:jc w:val="center"/>
              <w:rPr>
                <w:noProof/>
              </w:rPr>
            </w:pPr>
            <w:r w:rsidRPr="002661A8">
              <w:rPr>
                <w:noProof/>
              </w:rPr>
              <w:t xml:space="preserve">Tier </w:t>
            </w:r>
            <w:r w:rsidRPr="002661A8">
              <w:rPr>
                <w:noProof/>
                <w:spacing w:val="-10"/>
              </w:rPr>
              <w:t>1</w:t>
            </w:r>
          </w:p>
        </w:tc>
      </w:tr>
      <w:tr w:rsidR="00A60E02" w:rsidRPr="002661A8" w14:paraId="57863FB1" w14:textId="77777777" w:rsidTr="00DC0339">
        <w:tc>
          <w:tcPr>
            <w:tcW w:w="534" w:type="dxa"/>
            <w:shd w:val="clear" w:color="auto" w:fill="FFFFFF" w:themeFill="background1"/>
          </w:tcPr>
          <w:p w14:paraId="0D9C9B1E" w14:textId="0130AF30" w:rsidR="00A60E02" w:rsidRPr="002661A8" w:rsidRDefault="00A60E02" w:rsidP="00641DA4">
            <w:pPr>
              <w:jc w:val="center"/>
              <w:rPr>
                <w:b/>
                <w:noProof/>
                <w:w w:val="99"/>
              </w:rPr>
            </w:pPr>
            <w:r w:rsidRPr="002661A8">
              <w:rPr>
                <w:b/>
                <w:noProof/>
                <w:spacing w:val="-5"/>
              </w:rPr>
              <w:t>29</w:t>
            </w:r>
          </w:p>
        </w:tc>
        <w:tc>
          <w:tcPr>
            <w:tcW w:w="2835" w:type="dxa"/>
            <w:shd w:val="clear" w:color="auto" w:fill="FFFFFF" w:themeFill="background1"/>
          </w:tcPr>
          <w:p w14:paraId="4BF786B2" w14:textId="31F48D58" w:rsidR="00A60E02" w:rsidRPr="002661A8" w:rsidRDefault="00A60E02" w:rsidP="00641DA4">
            <w:pPr>
              <w:jc w:val="center"/>
              <w:rPr>
                <w:noProof/>
              </w:rPr>
            </w:pPr>
            <w:r w:rsidRPr="002661A8">
              <w:rPr>
                <w:noProof/>
              </w:rPr>
              <w:t>Indian Clearing Corporation Limited</w:t>
            </w:r>
          </w:p>
        </w:tc>
        <w:tc>
          <w:tcPr>
            <w:tcW w:w="884" w:type="dxa"/>
            <w:shd w:val="clear" w:color="auto" w:fill="FFFFFF" w:themeFill="background1"/>
          </w:tcPr>
          <w:p w14:paraId="71F7285D" w14:textId="4A2F6411" w:rsidR="00A60E02" w:rsidRPr="002661A8" w:rsidRDefault="00A60E02" w:rsidP="00641DA4">
            <w:pPr>
              <w:jc w:val="center"/>
              <w:rPr>
                <w:noProof/>
                <w:spacing w:val="-4"/>
              </w:rPr>
            </w:pPr>
            <w:r w:rsidRPr="002661A8">
              <w:rPr>
                <w:noProof/>
                <w:spacing w:val="-4"/>
              </w:rPr>
              <w:t>ICCL</w:t>
            </w:r>
          </w:p>
        </w:tc>
        <w:tc>
          <w:tcPr>
            <w:tcW w:w="1809" w:type="dxa"/>
            <w:shd w:val="clear" w:color="auto" w:fill="FFFFFF" w:themeFill="background1"/>
          </w:tcPr>
          <w:p w14:paraId="3B6000DF" w14:textId="215AB262" w:rsidR="00A60E02" w:rsidRPr="002661A8" w:rsidRDefault="00A60E02" w:rsidP="006F3DD8">
            <w:pPr>
              <w:ind w:left="-142" w:right="-108"/>
              <w:jc w:val="center"/>
              <w:rPr>
                <w:noProof/>
                <w:spacing w:val="-2"/>
              </w:rPr>
            </w:pPr>
            <w:r w:rsidRPr="002661A8">
              <w:rPr>
                <w:noProof/>
                <w:spacing w:val="-2"/>
              </w:rPr>
              <w:t>India</w:t>
            </w:r>
          </w:p>
        </w:tc>
        <w:tc>
          <w:tcPr>
            <w:tcW w:w="1417" w:type="dxa"/>
            <w:shd w:val="clear" w:color="auto" w:fill="FFFFFF" w:themeFill="background1"/>
          </w:tcPr>
          <w:p w14:paraId="6D0E4945" w14:textId="3AB3A3E0" w:rsidR="00A60E02" w:rsidRPr="002661A8" w:rsidRDefault="00A60E02" w:rsidP="006F3DD8">
            <w:pPr>
              <w:pStyle w:val="TableParagraph"/>
              <w:spacing w:line="206" w:lineRule="exact"/>
              <w:ind w:left="-106" w:right="-111"/>
              <w:jc w:val="center"/>
              <w:rPr>
                <w:rFonts w:ascii="Times New Roman" w:hAnsi="Times New Roman" w:cs="Times New Roman"/>
                <w:noProof/>
                <w:lang w:val="en-GB"/>
              </w:rPr>
            </w:pPr>
            <w:r w:rsidRPr="002661A8">
              <w:rPr>
                <w:rFonts w:ascii="Times New Roman" w:hAnsi="Times New Roman" w:cs="Times New Roman"/>
                <w:noProof/>
                <w:spacing w:val="-5"/>
                <w:lang w:val="en-GB"/>
              </w:rPr>
              <w:t>27</w:t>
            </w:r>
            <w:r w:rsidRPr="002661A8">
              <w:rPr>
                <w:rFonts w:ascii="Times New Roman" w:hAnsi="Times New Roman" w:cs="Times New Roman"/>
                <w:noProof/>
                <w:lang w:val="en-GB"/>
              </w:rPr>
              <w:t xml:space="preserve"> </w:t>
            </w:r>
            <w:r w:rsidRPr="002661A8">
              <w:rPr>
                <w:rFonts w:ascii="Times New Roman" w:hAnsi="Times New Roman" w:cs="Times New Roman"/>
                <w:noProof/>
                <w:spacing w:val="-2"/>
                <w:lang w:val="en-GB"/>
              </w:rPr>
              <w:t xml:space="preserve">September </w:t>
            </w:r>
            <w:r w:rsidRPr="002661A8">
              <w:rPr>
                <w:rFonts w:ascii="Times New Roman" w:hAnsi="Times New Roman" w:cs="Times New Roman"/>
                <w:noProof/>
                <w:spacing w:val="-4"/>
                <w:lang w:val="en-GB"/>
              </w:rPr>
              <w:t>2017</w:t>
            </w:r>
          </w:p>
        </w:tc>
        <w:tc>
          <w:tcPr>
            <w:tcW w:w="993" w:type="dxa"/>
            <w:shd w:val="clear" w:color="auto" w:fill="FFFFFF" w:themeFill="background1"/>
          </w:tcPr>
          <w:p w14:paraId="581DC93C" w14:textId="122A6D13" w:rsidR="00A60E02" w:rsidRPr="002661A8" w:rsidRDefault="00A60E02" w:rsidP="006F3DD8">
            <w:pPr>
              <w:pStyle w:val="TableParagraph"/>
              <w:spacing w:before="76"/>
              <w:ind w:left="-111" w:right="-110"/>
              <w:jc w:val="center"/>
              <w:rPr>
                <w:rFonts w:ascii="Times New Roman" w:hAnsi="Times New Roman" w:cs="Times New Roman"/>
                <w:noProof/>
                <w:lang w:val="en-GB"/>
              </w:rPr>
            </w:pPr>
            <w:r w:rsidRPr="002661A8">
              <w:rPr>
                <w:rFonts w:ascii="Times New Roman" w:hAnsi="Times New Roman" w:cs="Times New Roman"/>
                <w:noProof/>
                <w:spacing w:val="-5"/>
                <w:lang w:val="en-GB"/>
              </w:rPr>
              <w:t>n/a</w:t>
            </w:r>
          </w:p>
        </w:tc>
        <w:tc>
          <w:tcPr>
            <w:tcW w:w="1026" w:type="dxa"/>
            <w:shd w:val="clear" w:color="auto" w:fill="FFFFFF" w:themeFill="background1"/>
          </w:tcPr>
          <w:p w14:paraId="09BDF5AA" w14:textId="61449C30" w:rsidR="00A60E02" w:rsidRPr="002661A8" w:rsidRDefault="00A60E02" w:rsidP="006F3DD8">
            <w:pPr>
              <w:ind w:left="-104" w:right="-73"/>
              <w:jc w:val="center"/>
              <w:rPr>
                <w:noProof/>
              </w:rPr>
            </w:pPr>
            <w:r w:rsidRPr="002661A8">
              <w:rPr>
                <w:noProof/>
              </w:rPr>
              <w:t xml:space="preserve">Subject to review of </w:t>
            </w:r>
            <w:r w:rsidRPr="002661A8">
              <w:rPr>
                <w:noProof/>
                <w:spacing w:val="-2"/>
              </w:rPr>
              <w:t>recognition</w:t>
            </w:r>
          </w:p>
        </w:tc>
      </w:tr>
      <w:tr w:rsidR="00A60E02" w:rsidRPr="002661A8" w14:paraId="4B248C9E" w14:textId="77777777" w:rsidTr="00DC0339">
        <w:tc>
          <w:tcPr>
            <w:tcW w:w="534" w:type="dxa"/>
            <w:shd w:val="clear" w:color="auto" w:fill="D9D9D9" w:themeFill="background1" w:themeFillShade="D9"/>
          </w:tcPr>
          <w:p w14:paraId="6E81389F" w14:textId="4D9B89FF" w:rsidR="00A60E02" w:rsidRPr="002661A8" w:rsidRDefault="00A60E02" w:rsidP="00641DA4">
            <w:pPr>
              <w:jc w:val="center"/>
              <w:rPr>
                <w:b/>
                <w:noProof/>
                <w:w w:val="99"/>
              </w:rPr>
            </w:pPr>
            <w:r w:rsidRPr="002661A8">
              <w:rPr>
                <w:b/>
                <w:noProof/>
                <w:spacing w:val="-5"/>
              </w:rPr>
              <w:t>30</w:t>
            </w:r>
          </w:p>
        </w:tc>
        <w:tc>
          <w:tcPr>
            <w:tcW w:w="2835" w:type="dxa"/>
            <w:shd w:val="clear" w:color="auto" w:fill="D9D9D9" w:themeFill="background1" w:themeFillShade="D9"/>
          </w:tcPr>
          <w:p w14:paraId="6E662AD6" w14:textId="1FEB481F" w:rsidR="00A60E02" w:rsidRPr="002661A8" w:rsidRDefault="00A60E02" w:rsidP="00641DA4">
            <w:pPr>
              <w:jc w:val="center"/>
              <w:rPr>
                <w:noProof/>
              </w:rPr>
            </w:pPr>
            <w:r w:rsidRPr="002661A8">
              <w:rPr>
                <w:noProof/>
              </w:rPr>
              <w:t xml:space="preserve">NSE Clearing </w:t>
            </w:r>
            <w:r w:rsidRPr="002661A8">
              <w:rPr>
                <w:noProof/>
                <w:spacing w:val="-2"/>
              </w:rPr>
              <w:t>Limited</w:t>
            </w:r>
            <w:r w:rsidRPr="002661A8">
              <w:rPr>
                <w:noProof/>
                <w:spacing w:val="-2"/>
                <w:position w:val="6"/>
              </w:rPr>
              <w:t>8</w:t>
            </w:r>
          </w:p>
        </w:tc>
        <w:tc>
          <w:tcPr>
            <w:tcW w:w="884" w:type="dxa"/>
            <w:shd w:val="clear" w:color="auto" w:fill="D9D9D9" w:themeFill="background1" w:themeFillShade="D9"/>
          </w:tcPr>
          <w:p w14:paraId="60865657" w14:textId="0233F433" w:rsidR="00A60E02" w:rsidRPr="002661A8" w:rsidRDefault="00A60E02" w:rsidP="00641DA4">
            <w:pPr>
              <w:jc w:val="center"/>
              <w:rPr>
                <w:noProof/>
                <w:spacing w:val="-4"/>
              </w:rPr>
            </w:pPr>
            <w:r w:rsidRPr="002661A8">
              <w:rPr>
                <w:noProof/>
                <w:spacing w:val="-4"/>
              </w:rPr>
              <w:t>NSCCL</w:t>
            </w:r>
          </w:p>
        </w:tc>
        <w:tc>
          <w:tcPr>
            <w:tcW w:w="1809" w:type="dxa"/>
            <w:shd w:val="clear" w:color="auto" w:fill="D9D9D9" w:themeFill="background1" w:themeFillShade="D9"/>
          </w:tcPr>
          <w:p w14:paraId="6FA43C40" w14:textId="723C5A86" w:rsidR="00A60E02" w:rsidRPr="002661A8" w:rsidRDefault="00A60E02" w:rsidP="006F3DD8">
            <w:pPr>
              <w:ind w:left="-142" w:right="-108"/>
              <w:jc w:val="center"/>
              <w:rPr>
                <w:noProof/>
                <w:spacing w:val="-2"/>
              </w:rPr>
            </w:pPr>
            <w:r w:rsidRPr="002661A8">
              <w:rPr>
                <w:noProof/>
                <w:spacing w:val="-2"/>
              </w:rPr>
              <w:t>India</w:t>
            </w:r>
          </w:p>
        </w:tc>
        <w:tc>
          <w:tcPr>
            <w:tcW w:w="1417" w:type="dxa"/>
            <w:shd w:val="clear" w:color="auto" w:fill="D9D9D9" w:themeFill="background1" w:themeFillShade="D9"/>
          </w:tcPr>
          <w:p w14:paraId="0AA85FB6" w14:textId="0CD29A12" w:rsidR="00A60E02" w:rsidRPr="002661A8" w:rsidRDefault="00A60E02" w:rsidP="006F3DD8">
            <w:pPr>
              <w:pStyle w:val="TableParagraph"/>
              <w:spacing w:line="206" w:lineRule="exact"/>
              <w:ind w:left="-106" w:right="-111"/>
              <w:jc w:val="center"/>
              <w:rPr>
                <w:rFonts w:ascii="Times New Roman" w:hAnsi="Times New Roman" w:cs="Times New Roman"/>
                <w:noProof/>
                <w:lang w:val="en-GB"/>
              </w:rPr>
            </w:pPr>
            <w:r w:rsidRPr="002661A8">
              <w:rPr>
                <w:rFonts w:ascii="Times New Roman" w:hAnsi="Times New Roman" w:cs="Times New Roman"/>
                <w:noProof/>
                <w:spacing w:val="-5"/>
                <w:lang w:val="en-GB"/>
              </w:rPr>
              <w:t>27</w:t>
            </w:r>
            <w:r w:rsidRPr="002661A8">
              <w:rPr>
                <w:rFonts w:ascii="Times New Roman" w:hAnsi="Times New Roman" w:cs="Times New Roman"/>
                <w:noProof/>
                <w:lang w:val="en-GB"/>
              </w:rPr>
              <w:t xml:space="preserve"> </w:t>
            </w:r>
            <w:r w:rsidRPr="002661A8">
              <w:rPr>
                <w:rFonts w:ascii="Times New Roman" w:hAnsi="Times New Roman" w:cs="Times New Roman"/>
                <w:noProof/>
                <w:spacing w:val="-2"/>
                <w:lang w:val="en-GB"/>
              </w:rPr>
              <w:t xml:space="preserve">September </w:t>
            </w:r>
            <w:r w:rsidRPr="002661A8">
              <w:rPr>
                <w:rFonts w:ascii="Times New Roman" w:hAnsi="Times New Roman" w:cs="Times New Roman"/>
                <w:noProof/>
                <w:spacing w:val="-4"/>
                <w:lang w:val="en-GB"/>
              </w:rPr>
              <w:t>2017</w:t>
            </w:r>
          </w:p>
        </w:tc>
        <w:tc>
          <w:tcPr>
            <w:tcW w:w="993" w:type="dxa"/>
            <w:shd w:val="clear" w:color="auto" w:fill="D9D9D9" w:themeFill="background1" w:themeFillShade="D9"/>
          </w:tcPr>
          <w:p w14:paraId="786C715A" w14:textId="58E64036" w:rsidR="00A60E02" w:rsidRPr="002661A8" w:rsidRDefault="00A60E02" w:rsidP="006F3DD8">
            <w:pPr>
              <w:pStyle w:val="TableParagraph"/>
              <w:spacing w:before="76"/>
              <w:ind w:left="-111" w:right="-110"/>
              <w:jc w:val="center"/>
              <w:rPr>
                <w:rFonts w:ascii="Times New Roman" w:hAnsi="Times New Roman" w:cs="Times New Roman"/>
                <w:noProof/>
                <w:lang w:val="en-GB"/>
              </w:rPr>
            </w:pPr>
            <w:r w:rsidRPr="002661A8">
              <w:rPr>
                <w:rFonts w:ascii="Times New Roman" w:hAnsi="Times New Roman" w:cs="Times New Roman"/>
                <w:noProof/>
                <w:spacing w:val="-5"/>
                <w:lang w:val="en-GB"/>
              </w:rPr>
              <w:t>n/a</w:t>
            </w:r>
          </w:p>
        </w:tc>
        <w:tc>
          <w:tcPr>
            <w:tcW w:w="1026" w:type="dxa"/>
            <w:shd w:val="clear" w:color="auto" w:fill="D9D9D9" w:themeFill="background1" w:themeFillShade="D9"/>
          </w:tcPr>
          <w:p w14:paraId="73457849" w14:textId="71106457" w:rsidR="00A60E02" w:rsidRPr="002661A8" w:rsidRDefault="00A60E02" w:rsidP="006F3DD8">
            <w:pPr>
              <w:pStyle w:val="TableParagraph"/>
              <w:spacing w:line="206" w:lineRule="exact"/>
              <w:ind w:left="-104" w:right="-73"/>
              <w:jc w:val="center"/>
              <w:rPr>
                <w:rFonts w:ascii="Times New Roman" w:hAnsi="Times New Roman" w:cs="Times New Roman"/>
                <w:noProof/>
                <w:lang w:val="en-GB"/>
              </w:rPr>
            </w:pPr>
            <w:r w:rsidRPr="002661A8">
              <w:rPr>
                <w:rFonts w:ascii="Times New Roman" w:hAnsi="Times New Roman" w:cs="Times New Roman"/>
                <w:noProof/>
                <w:lang w:val="en-GB"/>
              </w:rPr>
              <w:t>Subject</w:t>
            </w:r>
            <w:r w:rsidRPr="002661A8">
              <w:rPr>
                <w:rFonts w:ascii="Times New Roman" w:hAnsi="Times New Roman" w:cs="Times New Roman"/>
                <w:noProof/>
                <w:spacing w:val="-1"/>
                <w:lang w:val="en-GB"/>
              </w:rPr>
              <w:t xml:space="preserve"> </w:t>
            </w:r>
            <w:r w:rsidRPr="002661A8">
              <w:rPr>
                <w:rFonts w:ascii="Times New Roman" w:hAnsi="Times New Roman" w:cs="Times New Roman"/>
                <w:noProof/>
                <w:spacing w:val="-5"/>
                <w:lang w:val="en-GB"/>
              </w:rPr>
              <w:t>to</w:t>
            </w:r>
            <w:r w:rsidR="00641DA4" w:rsidRPr="002661A8">
              <w:rPr>
                <w:rFonts w:ascii="Times New Roman" w:hAnsi="Times New Roman" w:cs="Times New Roman"/>
                <w:noProof/>
                <w:spacing w:val="-5"/>
                <w:lang w:val="en-GB"/>
              </w:rPr>
              <w:t xml:space="preserve"> </w:t>
            </w:r>
            <w:r w:rsidRPr="002661A8">
              <w:rPr>
                <w:rFonts w:ascii="Times New Roman" w:hAnsi="Times New Roman" w:cs="Times New Roman"/>
                <w:noProof/>
                <w:lang w:val="en-GB"/>
              </w:rPr>
              <w:t xml:space="preserve">review of </w:t>
            </w:r>
            <w:r w:rsidRPr="002661A8">
              <w:rPr>
                <w:rFonts w:ascii="Times New Roman" w:hAnsi="Times New Roman" w:cs="Times New Roman"/>
                <w:noProof/>
                <w:spacing w:val="-2"/>
                <w:lang w:val="en-GB"/>
              </w:rPr>
              <w:t>recognition</w:t>
            </w:r>
          </w:p>
        </w:tc>
      </w:tr>
      <w:tr w:rsidR="00A60E02" w:rsidRPr="002661A8" w14:paraId="4AB70BBD" w14:textId="77777777" w:rsidTr="00DC0339">
        <w:tc>
          <w:tcPr>
            <w:tcW w:w="534" w:type="dxa"/>
            <w:shd w:val="clear" w:color="auto" w:fill="FFFFFF" w:themeFill="background1"/>
          </w:tcPr>
          <w:p w14:paraId="17EDAAD3" w14:textId="5C1D1AD4" w:rsidR="00A60E02" w:rsidRPr="002661A8" w:rsidRDefault="00A60E02" w:rsidP="00641DA4">
            <w:pPr>
              <w:rPr>
                <w:b/>
                <w:noProof/>
                <w:w w:val="99"/>
              </w:rPr>
            </w:pPr>
            <w:r w:rsidRPr="002661A8">
              <w:rPr>
                <w:b/>
                <w:noProof/>
                <w:spacing w:val="-5"/>
              </w:rPr>
              <w:t>31</w:t>
            </w:r>
          </w:p>
        </w:tc>
        <w:tc>
          <w:tcPr>
            <w:tcW w:w="2835" w:type="dxa"/>
            <w:shd w:val="clear" w:color="auto" w:fill="FFFFFF" w:themeFill="background1"/>
          </w:tcPr>
          <w:p w14:paraId="13BF30C1" w14:textId="0C532D31" w:rsidR="00A60E02" w:rsidRPr="002661A8" w:rsidRDefault="00A60E02" w:rsidP="00641DA4">
            <w:pPr>
              <w:jc w:val="center"/>
              <w:rPr>
                <w:noProof/>
              </w:rPr>
            </w:pPr>
            <w:r w:rsidRPr="002661A8">
              <w:rPr>
                <w:noProof/>
              </w:rPr>
              <w:t>India International Clearing Corporation (IFSC) Limited</w:t>
            </w:r>
          </w:p>
        </w:tc>
        <w:tc>
          <w:tcPr>
            <w:tcW w:w="884" w:type="dxa"/>
            <w:shd w:val="clear" w:color="auto" w:fill="FFFFFF" w:themeFill="background1"/>
          </w:tcPr>
          <w:p w14:paraId="28BE1642" w14:textId="16C78418" w:rsidR="00A60E02" w:rsidRPr="002661A8" w:rsidRDefault="00A60E02" w:rsidP="00641DA4">
            <w:pPr>
              <w:jc w:val="center"/>
              <w:rPr>
                <w:noProof/>
                <w:spacing w:val="-4"/>
              </w:rPr>
            </w:pPr>
            <w:r w:rsidRPr="002661A8">
              <w:rPr>
                <w:noProof/>
                <w:spacing w:val="-4"/>
              </w:rPr>
              <w:t>IICC</w:t>
            </w:r>
          </w:p>
        </w:tc>
        <w:tc>
          <w:tcPr>
            <w:tcW w:w="1809" w:type="dxa"/>
            <w:shd w:val="clear" w:color="auto" w:fill="FFFFFF" w:themeFill="background1"/>
          </w:tcPr>
          <w:p w14:paraId="0FB515B4" w14:textId="40E786A4" w:rsidR="00A60E02" w:rsidRPr="002661A8" w:rsidRDefault="00A60E02" w:rsidP="006F3DD8">
            <w:pPr>
              <w:ind w:left="-142" w:right="-108"/>
              <w:jc w:val="center"/>
              <w:rPr>
                <w:noProof/>
                <w:spacing w:val="-2"/>
              </w:rPr>
            </w:pPr>
            <w:r w:rsidRPr="002661A8">
              <w:rPr>
                <w:noProof/>
                <w:spacing w:val="-2"/>
              </w:rPr>
              <w:t>India</w:t>
            </w:r>
          </w:p>
        </w:tc>
        <w:tc>
          <w:tcPr>
            <w:tcW w:w="1417" w:type="dxa"/>
            <w:shd w:val="clear" w:color="auto" w:fill="FFFFFF" w:themeFill="background1"/>
          </w:tcPr>
          <w:p w14:paraId="310E6399" w14:textId="638E2A0F" w:rsidR="00A60E02" w:rsidRPr="002661A8" w:rsidRDefault="00A60E02" w:rsidP="006F3DD8">
            <w:pPr>
              <w:pStyle w:val="TableParagraph"/>
              <w:spacing w:before="76"/>
              <w:ind w:left="-106" w:right="-111"/>
              <w:jc w:val="center"/>
              <w:rPr>
                <w:rFonts w:ascii="Times New Roman" w:hAnsi="Times New Roman" w:cs="Times New Roman"/>
                <w:noProof/>
                <w:lang w:val="en-GB"/>
              </w:rPr>
            </w:pPr>
            <w:r w:rsidRPr="002661A8">
              <w:rPr>
                <w:rFonts w:ascii="Times New Roman" w:hAnsi="Times New Roman" w:cs="Times New Roman"/>
                <w:noProof/>
                <w:lang w:val="en-GB"/>
              </w:rPr>
              <w:t>6</w:t>
            </w:r>
            <w:r w:rsidRPr="002661A8">
              <w:rPr>
                <w:rFonts w:ascii="Times New Roman" w:hAnsi="Times New Roman" w:cs="Times New Roman"/>
                <w:noProof/>
                <w:spacing w:val="-3"/>
                <w:lang w:val="en-GB"/>
              </w:rPr>
              <w:t xml:space="preserve"> </w:t>
            </w:r>
            <w:r w:rsidRPr="002661A8">
              <w:rPr>
                <w:rFonts w:ascii="Times New Roman" w:hAnsi="Times New Roman" w:cs="Times New Roman"/>
                <w:noProof/>
                <w:lang w:val="en-GB"/>
              </w:rPr>
              <w:t xml:space="preserve">May </w:t>
            </w:r>
            <w:r w:rsidRPr="002661A8">
              <w:rPr>
                <w:rFonts w:ascii="Times New Roman" w:hAnsi="Times New Roman" w:cs="Times New Roman"/>
                <w:noProof/>
                <w:spacing w:val="-4"/>
                <w:lang w:val="en-GB"/>
              </w:rPr>
              <w:t>2019</w:t>
            </w:r>
          </w:p>
        </w:tc>
        <w:tc>
          <w:tcPr>
            <w:tcW w:w="993" w:type="dxa"/>
            <w:shd w:val="clear" w:color="auto" w:fill="FFFFFF" w:themeFill="background1"/>
          </w:tcPr>
          <w:p w14:paraId="100FA9D2" w14:textId="25521BE2" w:rsidR="00A60E02" w:rsidRPr="002661A8" w:rsidRDefault="00A60E02" w:rsidP="006F3DD8">
            <w:pPr>
              <w:pStyle w:val="TableParagraph"/>
              <w:spacing w:before="76"/>
              <w:ind w:left="-111" w:right="-110"/>
              <w:jc w:val="center"/>
              <w:rPr>
                <w:rFonts w:ascii="Times New Roman" w:hAnsi="Times New Roman" w:cs="Times New Roman"/>
                <w:noProof/>
                <w:lang w:val="en-GB"/>
              </w:rPr>
            </w:pPr>
            <w:r w:rsidRPr="002661A8">
              <w:rPr>
                <w:rFonts w:ascii="Times New Roman" w:hAnsi="Times New Roman" w:cs="Times New Roman"/>
                <w:noProof/>
                <w:spacing w:val="-5"/>
                <w:lang w:val="en-GB"/>
              </w:rPr>
              <w:t>n/a</w:t>
            </w:r>
          </w:p>
        </w:tc>
        <w:tc>
          <w:tcPr>
            <w:tcW w:w="1026" w:type="dxa"/>
            <w:shd w:val="clear" w:color="auto" w:fill="FFFFFF" w:themeFill="background1"/>
          </w:tcPr>
          <w:p w14:paraId="43F28A79" w14:textId="3DAF77CA" w:rsidR="00A60E02" w:rsidRPr="002661A8" w:rsidRDefault="00A60E02" w:rsidP="006F3DD8">
            <w:pPr>
              <w:ind w:left="-104" w:right="-73"/>
              <w:jc w:val="center"/>
              <w:rPr>
                <w:noProof/>
              </w:rPr>
            </w:pPr>
            <w:r w:rsidRPr="002661A8">
              <w:rPr>
                <w:noProof/>
              </w:rPr>
              <w:t xml:space="preserve">Subject to review of </w:t>
            </w:r>
            <w:r w:rsidRPr="002661A8">
              <w:rPr>
                <w:noProof/>
                <w:spacing w:val="-2"/>
              </w:rPr>
              <w:t>recognition</w:t>
            </w:r>
          </w:p>
        </w:tc>
      </w:tr>
      <w:tr w:rsidR="00A60E02" w:rsidRPr="002661A8" w14:paraId="6B62C2DB" w14:textId="77777777" w:rsidTr="00DC0339">
        <w:tc>
          <w:tcPr>
            <w:tcW w:w="534" w:type="dxa"/>
            <w:shd w:val="clear" w:color="auto" w:fill="D9D9D9" w:themeFill="background1" w:themeFillShade="D9"/>
          </w:tcPr>
          <w:p w14:paraId="4E12306C" w14:textId="00FC19BF" w:rsidR="00A60E02" w:rsidRPr="002661A8" w:rsidRDefault="00A60E02" w:rsidP="00641DA4">
            <w:pPr>
              <w:jc w:val="center"/>
              <w:rPr>
                <w:b/>
                <w:noProof/>
                <w:w w:val="99"/>
              </w:rPr>
            </w:pPr>
            <w:r w:rsidRPr="002661A8">
              <w:rPr>
                <w:b/>
                <w:noProof/>
                <w:spacing w:val="-5"/>
              </w:rPr>
              <w:t>32</w:t>
            </w:r>
          </w:p>
        </w:tc>
        <w:tc>
          <w:tcPr>
            <w:tcW w:w="2835" w:type="dxa"/>
            <w:shd w:val="clear" w:color="auto" w:fill="D9D9D9" w:themeFill="background1" w:themeFillShade="D9"/>
          </w:tcPr>
          <w:p w14:paraId="2AD884C4" w14:textId="1ABA9CEB" w:rsidR="00A60E02" w:rsidRPr="002661A8" w:rsidRDefault="00A60E02" w:rsidP="00641DA4">
            <w:pPr>
              <w:jc w:val="center"/>
              <w:rPr>
                <w:noProof/>
              </w:rPr>
            </w:pPr>
            <w:r w:rsidRPr="002661A8">
              <w:rPr>
                <w:noProof/>
              </w:rPr>
              <w:t xml:space="preserve">NSE IFSC Clearing Corporation </w:t>
            </w:r>
            <w:r w:rsidRPr="002661A8">
              <w:rPr>
                <w:noProof/>
                <w:spacing w:val="-2"/>
              </w:rPr>
              <w:t>Limited</w:t>
            </w:r>
          </w:p>
        </w:tc>
        <w:tc>
          <w:tcPr>
            <w:tcW w:w="884" w:type="dxa"/>
            <w:shd w:val="clear" w:color="auto" w:fill="D9D9D9" w:themeFill="background1" w:themeFillShade="D9"/>
          </w:tcPr>
          <w:p w14:paraId="4F6A0B66" w14:textId="400A1D19" w:rsidR="00A60E02" w:rsidRPr="002661A8" w:rsidRDefault="00A60E02" w:rsidP="00641DA4">
            <w:pPr>
              <w:jc w:val="center"/>
              <w:rPr>
                <w:noProof/>
                <w:spacing w:val="-4"/>
              </w:rPr>
            </w:pPr>
            <w:r w:rsidRPr="002661A8">
              <w:rPr>
                <w:noProof/>
                <w:spacing w:val="-2"/>
              </w:rPr>
              <w:t>NICCL</w:t>
            </w:r>
          </w:p>
        </w:tc>
        <w:tc>
          <w:tcPr>
            <w:tcW w:w="1809" w:type="dxa"/>
            <w:shd w:val="clear" w:color="auto" w:fill="D9D9D9" w:themeFill="background1" w:themeFillShade="D9"/>
          </w:tcPr>
          <w:p w14:paraId="7C285099" w14:textId="68F445F6" w:rsidR="00A60E02" w:rsidRPr="002661A8" w:rsidRDefault="00A60E02" w:rsidP="006F3DD8">
            <w:pPr>
              <w:ind w:left="-142" w:right="-108"/>
              <w:jc w:val="center"/>
              <w:rPr>
                <w:noProof/>
                <w:spacing w:val="-2"/>
              </w:rPr>
            </w:pPr>
            <w:r w:rsidRPr="002661A8">
              <w:rPr>
                <w:noProof/>
                <w:spacing w:val="-2"/>
              </w:rPr>
              <w:t>India</w:t>
            </w:r>
          </w:p>
        </w:tc>
        <w:tc>
          <w:tcPr>
            <w:tcW w:w="1417" w:type="dxa"/>
            <w:shd w:val="clear" w:color="auto" w:fill="D9D9D9" w:themeFill="background1" w:themeFillShade="D9"/>
          </w:tcPr>
          <w:p w14:paraId="31A909C6" w14:textId="26D6F670" w:rsidR="00A60E02" w:rsidRPr="002661A8" w:rsidRDefault="00A60E02" w:rsidP="006F3DD8">
            <w:pPr>
              <w:pStyle w:val="TableParagraph"/>
              <w:spacing w:before="103" w:line="207" w:lineRule="exact"/>
              <w:ind w:left="-106" w:right="-111"/>
              <w:jc w:val="center"/>
              <w:rPr>
                <w:rFonts w:ascii="Times New Roman" w:hAnsi="Times New Roman" w:cs="Times New Roman"/>
                <w:noProof/>
                <w:lang w:val="en-GB"/>
              </w:rPr>
            </w:pPr>
            <w:r w:rsidRPr="002661A8">
              <w:rPr>
                <w:rFonts w:ascii="Times New Roman" w:hAnsi="Times New Roman" w:cs="Times New Roman"/>
                <w:noProof/>
                <w:lang w:val="en-GB"/>
              </w:rPr>
              <w:t>24</w:t>
            </w:r>
            <w:r w:rsidRPr="002661A8">
              <w:rPr>
                <w:rFonts w:ascii="Times New Roman" w:hAnsi="Times New Roman" w:cs="Times New Roman"/>
                <w:noProof/>
                <w:spacing w:val="-4"/>
                <w:lang w:val="en-GB"/>
              </w:rPr>
              <w:t xml:space="preserve"> June</w:t>
            </w:r>
            <w:r w:rsidRPr="002661A8">
              <w:rPr>
                <w:rFonts w:ascii="Times New Roman" w:hAnsi="Times New Roman" w:cs="Times New Roman"/>
                <w:noProof/>
                <w:lang w:val="en-GB"/>
              </w:rPr>
              <w:t xml:space="preserve"> </w:t>
            </w:r>
            <w:r w:rsidRPr="002661A8">
              <w:rPr>
                <w:rFonts w:ascii="Times New Roman" w:hAnsi="Times New Roman" w:cs="Times New Roman"/>
                <w:noProof/>
                <w:spacing w:val="-4"/>
                <w:lang w:val="en-GB"/>
              </w:rPr>
              <w:t>2019</w:t>
            </w:r>
          </w:p>
        </w:tc>
        <w:tc>
          <w:tcPr>
            <w:tcW w:w="993" w:type="dxa"/>
            <w:shd w:val="clear" w:color="auto" w:fill="D9D9D9" w:themeFill="background1" w:themeFillShade="D9"/>
          </w:tcPr>
          <w:p w14:paraId="3CE8C513" w14:textId="0610468F" w:rsidR="00A60E02" w:rsidRPr="002661A8" w:rsidRDefault="00A60E02" w:rsidP="006F3DD8">
            <w:pPr>
              <w:pStyle w:val="TableParagraph"/>
              <w:spacing w:before="76"/>
              <w:ind w:left="-111" w:right="-110"/>
              <w:jc w:val="center"/>
              <w:rPr>
                <w:rFonts w:ascii="Times New Roman" w:hAnsi="Times New Roman" w:cs="Times New Roman"/>
                <w:noProof/>
                <w:lang w:val="en-GB"/>
              </w:rPr>
            </w:pPr>
            <w:r w:rsidRPr="002661A8">
              <w:rPr>
                <w:rFonts w:ascii="Times New Roman" w:hAnsi="Times New Roman" w:cs="Times New Roman"/>
                <w:noProof/>
                <w:spacing w:val="-5"/>
                <w:lang w:val="en-GB"/>
              </w:rPr>
              <w:t>n/a</w:t>
            </w:r>
          </w:p>
        </w:tc>
        <w:tc>
          <w:tcPr>
            <w:tcW w:w="1026" w:type="dxa"/>
            <w:shd w:val="clear" w:color="auto" w:fill="D9D9D9" w:themeFill="background1" w:themeFillShade="D9"/>
          </w:tcPr>
          <w:p w14:paraId="48DD4311" w14:textId="1926CFBC" w:rsidR="00A60E02" w:rsidRPr="002661A8" w:rsidRDefault="00A60E02" w:rsidP="006F3DD8">
            <w:pPr>
              <w:ind w:left="-104" w:right="-73"/>
              <w:jc w:val="center"/>
              <w:rPr>
                <w:noProof/>
              </w:rPr>
            </w:pPr>
            <w:r w:rsidRPr="002661A8">
              <w:rPr>
                <w:noProof/>
              </w:rPr>
              <w:t xml:space="preserve">Subject to review of </w:t>
            </w:r>
            <w:r w:rsidRPr="002661A8">
              <w:rPr>
                <w:noProof/>
                <w:spacing w:val="-2"/>
              </w:rPr>
              <w:t>recognition</w:t>
            </w:r>
          </w:p>
        </w:tc>
      </w:tr>
      <w:tr w:rsidR="00A60E02" w:rsidRPr="002661A8" w14:paraId="4F28A183" w14:textId="77777777" w:rsidTr="00DC0339">
        <w:tc>
          <w:tcPr>
            <w:tcW w:w="534" w:type="dxa"/>
            <w:shd w:val="clear" w:color="auto" w:fill="FFFFFF" w:themeFill="background1"/>
          </w:tcPr>
          <w:p w14:paraId="772FF91C" w14:textId="6A07FAEF" w:rsidR="00A60E02" w:rsidRPr="002661A8" w:rsidRDefault="00A60E02" w:rsidP="00641DA4">
            <w:pPr>
              <w:jc w:val="center"/>
              <w:rPr>
                <w:b/>
                <w:noProof/>
                <w:w w:val="99"/>
              </w:rPr>
            </w:pPr>
            <w:r w:rsidRPr="002661A8">
              <w:rPr>
                <w:b/>
                <w:noProof/>
                <w:spacing w:val="-5"/>
              </w:rPr>
              <w:t>33</w:t>
            </w:r>
          </w:p>
        </w:tc>
        <w:tc>
          <w:tcPr>
            <w:tcW w:w="2835" w:type="dxa"/>
            <w:shd w:val="clear" w:color="auto" w:fill="FFFFFF" w:themeFill="background1"/>
          </w:tcPr>
          <w:p w14:paraId="0674AB0D" w14:textId="609E1848" w:rsidR="00A60E02" w:rsidRPr="002661A8" w:rsidRDefault="00A60E02" w:rsidP="00641DA4">
            <w:pPr>
              <w:pStyle w:val="TableParagraph"/>
              <w:spacing w:line="206" w:lineRule="exact"/>
              <w:ind w:left="307" w:firstLine="91"/>
              <w:jc w:val="center"/>
              <w:rPr>
                <w:noProof/>
                <w:lang w:val="en-GB"/>
              </w:rPr>
            </w:pPr>
            <w:r w:rsidRPr="002661A8">
              <w:rPr>
                <w:rFonts w:ascii="Times New Roman" w:hAnsi="Times New Roman" w:cs="Times New Roman"/>
                <w:noProof/>
                <w:lang w:val="en-GB"/>
              </w:rPr>
              <w:t>Multi</w:t>
            </w:r>
            <w:r w:rsidRPr="002661A8">
              <w:rPr>
                <w:rFonts w:ascii="Times New Roman" w:hAnsi="Times New Roman" w:cs="Times New Roman"/>
                <w:noProof/>
                <w:spacing w:val="-6"/>
                <w:lang w:val="en-GB"/>
              </w:rPr>
              <w:t xml:space="preserve"> </w:t>
            </w:r>
            <w:r w:rsidRPr="002661A8">
              <w:rPr>
                <w:rFonts w:ascii="Times New Roman" w:hAnsi="Times New Roman" w:cs="Times New Roman"/>
                <w:noProof/>
                <w:spacing w:val="-2"/>
                <w:lang w:val="en-GB"/>
              </w:rPr>
              <w:t>Commodity</w:t>
            </w:r>
            <w:r w:rsidR="00641DA4" w:rsidRPr="002661A8">
              <w:rPr>
                <w:rFonts w:ascii="Times New Roman" w:hAnsi="Times New Roman" w:cs="Times New Roman"/>
                <w:noProof/>
                <w:spacing w:val="-2"/>
                <w:lang w:val="en-GB"/>
              </w:rPr>
              <w:t xml:space="preserve"> </w:t>
            </w:r>
            <w:r w:rsidRPr="002661A8">
              <w:rPr>
                <w:noProof/>
                <w:lang w:val="en-GB"/>
              </w:rPr>
              <w:t xml:space="preserve">Exchange Clearing Corporation </w:t>
            </w:r>
            <w:r w:rsidRPr="002661A8">
              <w:rPr>
                <w:noProof/>
                <w:spacing w:val="-2"/>
                <w:lang w:val="en-GB"/>
              </w:rPr>
              <w:t>Limited</w:t>
            </w:r>
          </w:p>
        </w:tc>
        <w:tc>
          <w:tcPr>
            <w:tcW w:w="884" w:type="dxa"/>
            <w:shd w:val="clear" w:color="auto" w:fill="FFFFFF" w:themeFill="background1"/>
          </w:tcPr>
          <w:p w14:paraId="44D2B936" w14:textId="6DCFAC39" w:rsidR="00A60E02" w:rsidRPr="002661A8" w:rsidRDefault="00A60E02" w:rsidP="00641DA4">
            <w:pPr>
              <w:jc w:val="center"/>
              <w:rPr>
                <w:noProof/>
                <w:spacing w:val="-4"/>
              </w:rPr>
            </w:pPr>
            <w:r w:rsidRPr="002661A8">
              <w:rPr>
                <w:noProof/>
                <w:spacing w:val="-2"/>
              </w:rPr>
              <w:t>MCXCCL</w:t>
            </w:r>
          </w:p>
        </w:tc>
        <w:tc>
          <w:tcPr>
            <w:tcW w:w="1809" w:type="dxa"/>
            <w:shd w:val="clear" w:color="auto" w:fill="FFFFFF" w:themeFill="background1"/>
          </w:tcPr>
          <w:p w14:paraId="2EF2DA69" w14:textId="0D6D566C" w:rsidR="00A60E02" w:rsidRPr="002661A8" w:rsidRDefault="00A60E02" w:rsidP="006F3DD8">
            <w:pPr>
              <w:ind w:left="-142" w:right="-108"/>
              <w:jc w:val="center"/>
              <w:rPr>
                <w:noProof/>
                <w:spacing w:val="-2"/>
              </w:rPr>
            </w:pPr>
            <w:r w:rsidRPr="002661A8">
              <w:rPr>
                <w:noProof/>
                <w:spacing w:val="-2"/>
              </w:rPr>
              <w:t>India</w:t>
            </w:r>
          </w:p>
        </w:tc>
        <w:tc>
          <w:tcPr>
            <w:tcW w:w="1417" w:type="dxa"/>
            <w:shd w:val="clear" w:color="auto" w:fill="FFFFFF" w:themeFill="background1"/>
          </w:tcPr>
          <w:p w14:paraId="35B1CD28" w14:textId="76E6875A" w:rsidR="00A60E02" w:rsidRPr="002661A8" w:rsidRDefault="00A60E02" w:rsidP="006F3DD8">
            <w:pPr>
              <w:pStyle w:val="TableParagraph"/>
              <w:spacing w:line="206" w:lineRule="exact"/>
              <w:ind w:left="-106" w:right="-111"/>
              <w:jc w:val="center"/>
              <w:rPr>
                <w:rFonts w:ascii="Times New Roman" w:hAnsi="Times New Roman" w:cs="Times New Roman"/>
                <w:noProof/>
                <w:lang w:val="en-GB"/>
              </w:rPr>
            </w:pPr>
            <w:r w:rsidRPr="002661A8">
              <w:rPr>
                <w:rFonts w:ascii="Times New Roman" w:hAnsi="Times New Roman" w:cs="Times New Roman"/>
                <w:noProof/>
                <w:w w:val="99"/>
                <w:lang w:val="en-GB"/>
              </w:rPr>
              <w:t>3</w:t>
            </w:r>
            <w:r w:rsidRPr="002661A8">
              <w:rPr>
                <w:rFonts w:ascii="Times New Roman" w:hAnsi="Times New Roman" w:cs="Times New Roman"/>
                <w:noProof/>
                <w:lang w:val="en-GB"/>
              </w:rPr>
              <w:t xml:space="preserve"> </w:t>
            </w:r>
            <w:r w:rsidRPr="002661A8">
              <w:rPr>
                <w:rFonts w:ascii="Times New Roman" w:hAnsi="Times New Roman" w:cs="Times New Roman"/>
                <w:noProof/>
                <w:spacing w:val="-2"/>
                <w:lang w:val="en-GB"/>
              </w:rPr>
              <w:t xml:space="preserve">December </w:t>
            </w:r>
            <w:r w:rsidRPr="002661A8">
              <w:rPr>
                <w:rFonts w:ascii="Times New Roman" w:hAnsi="Times New Roman" w:cs="Times New Roman"/>
                <w:noProof/>
                <w:spacing w:val="-4"/>
                <w:lang w:val="en-GB"/>
              </w:rPr>
              <w:t>2019</w:t>
            </w:r>
          </w:p>
        </w:tc>
        <w:tc>
          <w:tcPr>
            <w:tcW w:w="993" w:type="dxa"/>
            <w:shd w:val="clear" w:color="auto" w:fill="FFFFFF" w:themeFill="background1"/>
          </w:tcPr>
          <w:p w14:paraId="0118374D" w14:textId="75CDED86" w:rsidR="00A60E02" w:rsidRPr="002661A8" w:rsidRDefault="00A60E02" w:rsidP="006F3DD8">
            <w:pPr>
              <w:pStyle w:val="TableParagraph"/>
              <w:spacing w:before="76"/>
              <w:ind w:left="-111" w:right="-110"/>
              <w:jc w:val="center"/>
              <w:rPr>
                <w:rFonts w:ascii="Times New Roman" w:hAnsi="Times New Roman" w:cs="Times New Roman"/>
                <w:noProof/>
                <w:lang w:val="en-GB"/>
              </w:rPr>
            </w:pPr>
            <w:r w:rsidRPr="002661A8">
              <w:rPr>
                <w:rFonts w:ascii="Times New Roman" w:hAnsi="Times New Roman" w:cs="Times New Roman"/>
                <w:noProof/>
                <w:lang w:val="en-GB"/>
              </w:rPr>
              <w:t xml:space="preserve">Review of </w:t>
            </w:r>
            <w:r w:rsidRPr="002661A8">
              <w:rPr>
                <w:rFonts w:ascii="Times New Roman" w:hAnsi="Times New Roman" w:cs="Times New Roman"/>
                <w:noProof/>
                <w:spacing w:val="-2"/>
                <w:lang w:val="en-GB"/>
              </w:rPr>
              <w:t xml:space="preserve">recognition </w:t>
            </w:r>
            <w:r w:rsidRPr="002661A8">
              <w:rPr>
                <w:rFonts w:ascii="Times New Roman" w:hAnsi="Times New Roman" w:cs="Times New Roman"/>
                <w:noProof/>
                <w:lang w:val="en-GB"/>
              </w:rPr>
              <w:t>still</w:t>
            </w:r>
            <w:r w:rsidRPr="002661A8">
              <w:rPr>
                <w:rFonts w:ascii="Times New Roman" w:hAnsi="Times New Roman" w:cs="Times New Roman"/>
                <w:noProof/>
                <w:spacing w:val="-12"/>
                <w:lang w:val="en-GB"/>
              </w:rPr>
              <w:t xml:space="preserve"> </w:t>
            </w:r>
            <w:r w:rsidRPr="002661A8">
              <w:rPr>
                <w:rFonts w:ascii="Times New Roman" w:hAnsi="Times New Roman" w:cs="Times New Roman"/>
                <w:noProof/>
                <w:lang w:val="en-GB"/>
              </w:rPr>
              <w:t>ongoing</w:t>
            </w:r>
          </w:p>
        </w:tc>
        <w:tc>
          <w:tcPr>
            <w:tcW w:w="1026" w:type="dxa"/>
            <w:shd w:val="clear" w:color="auto" w:fill="FFFFFF" w:themeFill="background1"/>
          </w:tcPr>
          <w:p w14:paraId="190E2831" w14:textId="60618F4B" w:rsidR="00A60E02" w:rsidRPr="002661A8" w:rsidRDefault="00A60E02" w:rsidP="006F3DD8">
            <w:pPr>
              <w:ind w:left="-104" w:right="-73"/>
              <w:jc w:val="center"/>
              <w:rPr>
                <w:noProof/>
              </w:rPr>
            </w:pPr>
            <w:r w:rsidRPr="002661A8">
              <w:rPr>
                <w:noProof/>
              </w:rPr>
              <w:t xml:space="preserve">Tier </w:t>
            </w:r>
            <w:r w:rsidRPr="002661A8">
              <w:rPr>
                <w:noProof/>
                <w:spacing w:val="-10"/>
              </w:rPr>
              <w:t>1</w:t>
            </w:r>
          </w:p>
        </w:tc>
      </w:tr>
      <w:tr w:rsidR="00A60E02" w:rsidRPr="002661A8" w14:paraId="18248B8D" w14:textId="77777777" w:rsidTr="00DC0339">
        <w:tc>
          <w:tcPr>
            <w:tcW w:w="534" w:type="dxa"/>
            <w:shd w:val="clear" w:color="auto" w:fill="D9D9D9" w:themeFill="background1" w:themeFillShade="D9"/>
          </w:tcPr>
          <w:p w14:paraId="7E0B6FB3" w14:textId="021E52F7" w:rsidR="00A60E02" w:rsidRPr="002661A8" w:rsidRDefault="00A60E02" w:rsidP="00641DA4">
            <w:pPr>
              <w:jc w:val="center"/>
              <w:rPr>
                <w:b/>
                <w:noProof/>
                <w:w w:val="99"/>
              </w:rPr>
            </w:pPr>
            <w:r w:rsidRPr="002661A8">
              <w:rPr>
                <w:b/>
                <w:noProof/>
                <w:spacing w:val="-5"/>
              </w:rPr>
              <w:t>34</w:t>
            </w:r>
          </w:p>
        </w:tc>
        <w:tc>
          <w:tcPr>
            <w:tcW w:w="2835" w:type="dxa"/>
            <w:shd w:val="clear" w:color="auto" w:fill="D9D9D9" w:themeFill="background1" w:themeFillShade="D9"/>
          </w:tcPr>
          <w:p w14:paraId="17C91A65" w14:textId="1CA92734" w:rsidR="00A60E02" w:rsidRPr="002661A8" w:rsidRDefault="00A60E02" w:rsidP="00641DA4">
            <w:pPr>
              <w:jc w:val="center"/>
              <w:rPr>
                <w:noProof/>
              </w:rPr>
            </w:pPr>
            <w:r w:rsidRPr="002661A8">
              <w:rPr>
                <w:noProof/>
              </w:rPr>
              <w:t xml:space="preserve">LCH </w:t>
            </w:r>
            <w:r w:rsidRPr="002661A8">
              <w:rPr>
                <w:noProof/>
                <w:spacing w:val="-2"/>
              </w:rPr>
              <w:t>Limited</w:t>
            </w:r>
          </w:p>
        </w:tc>
        <w:tc>
          <w:tcPr>
            <w:tcW w:w="884" w:type="dxa"/>
            <w:shd w:val="clear" w:color="auto" w:fill="D9D9D9" w:themeFill="background1" w:themeFillShade="D9"/>
          </w:tcPr>
          <w:p w14:paraId="19064B9E" w14:textId="1AD0B216" w:rsidR="00A60E02" w:rsidRPr="002661A8" w:rsidRDefault="00A60E02" w:rsidP="00641DA4">
            <w:pPr>
              <w:jc w:val="center"/>
              <w:rPr>
                <w:noProof/>
                <w:spacing w:val="-4"/>
              </w:rPr>
            </w:pPr>
            <w:r w:rsidRPr="002661A8">
              <w:rPr>
                <w:noProof/>
                <w:spacing w:val="-5"/>
              </w:rPr>
              <w:t>LCH</w:t>
            </w:r>
          </w:p>
        </w:tc>
        <w:tc>
          <w:tcPr>
            <w:tcW w:w="1809" w:type="dxa"/>
            <w:shd w:val="clear" w:color="auto" w:fill="D9D9D9" w:themeFill="background1" w:themeFillShade="D9"/>
          </w:tcPr>
          <w:p w14:paraId="1EC6FC9C" w14:textId="3ED1D4FB" w:rsidR="00A60E02" w:rsidRPr="002661A8" w:rsidRDefault="00A60E02" w:rsidP="006F3DD8">
            <w:pPr>
              <w:ind w:left="-142" w:right="-108"/>
              <w:jc w:val="center"/>
              <w:rPr>
                <w:noProof/>
                <w:spacing w:val="-2"/>
              </w:rPr>
            </w:pPr>
            <w:r w:rsidRPr="002661A8">
              <w:rPr>
                <w:noProof/>
                <w:spacing w:val="-2"/>
              </w:rPr>
              <w:t>United Kingdom</w:t>
            </w:r>
          </w:p>
        </w:tc>
        <w:tc>
          <w:tcPr>
            <w:tcW w:w="1417" w:type="dxa"/>
            <w:shd w:val="clear" w:color="auto" w:fill="D9D9D9" w:themeFill="background1" w:themeFillShade="D9"/>
          </w:tcPr>
          <w:p w14:paraId="52D5A5C4" w14:textId="75714141" w:rsidR="00A60E02" w:rsidRPr="002661A8" w:rsidRDefault="00A60E02" w:rsidP="006F3DD8">
            <w:pPr>
              <w:pStyle w:val="TableParagraph"/>
              <w:spacing w:before="76" w:line="207" w:lineRule="exact"/>
              <w:ind w:left="-106" w:right="-111"/>
              <w:jc w:val="center"/>
              <w:rPr>
                <w:rFonts w:ascii="Times New Roman" w:hAnsi="Times New Roman" w:cs="Times New Roman"/>
                <w:noProof/>
                <w:lang w:val="en-GB"/>
              </w:rPr>
            </w:pPr>
            <w:r w:rsidRPr="002661A8">
              <w:rPr>
                <w:rFonts w:ascii="Times New Roman" w:hAnsi="Times New Roman" w:cs="Times New Roman"/>
                <w:noProof/>
                <w:lang w:val="en-GB"/>
              </w:rPr>
              <w:t>1</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January</w:t>
            </w:r>
            <w:r w:rsidR="00641DA4" w:rsidRPr="002661A8">
              <w:rPr>
                <w:rFonts w:ascii="Times New Roman" w:hAnsi="Times New Roman" w:cs="Times New Roman"/>
                <w:noProof/>
                <w:spacing w:val="-2"/>
                <w:lang w:val="en-GB"/>
              </w:rPr>
              <w:t xml:space="preserve"> </w:t>
            </w:r>
            <w:r w:rsidRPr="002661A8">
              <w:rPr>
                <w:rFonts w:ascii="Times New Roman" w:hAnsi="Times New Roman" w:cs="Times New Roman"/>
                <w:noProof/>
                <w:spacing w:val="-4"/>
                <w:lang w:val="en-GB"/>
              </w:rPr>
              <w:t>2021</w:t>
            </w:r>
          </w:p>
        </w:tc>
        <w:tc>
          <w:tcPr>
            <w:tcW w:w="993" w:type="dxa"/>
            <w:shd w:val="clear" w:color="auto" w:fill="D9D9D9" w:themeFill="background1" w:themeFillShade="D9"/>
          </w:tcPr>
          <w:p w14:paraId="694539C6" w14:textId="19E846EC" w:rsidR="00A60E02" w:rsidRPr="002661A8" w:rsidRDefault="00A60E02" w:rsidP="006F3DD8">
            <w:pPr>
              <w:pStyle w:val="TableParagraph"/>
              <w:spacing w:before="76"/>
              <w:ind w:left="-111" w:right="-110"/>
              <w:jc w:val="center"/>
              <w:rPr>
                <w:rFonts w:ascii="Times New Roman" w:hAnsi="Times New Roman" w:cs="Times New Roman"/>
                <w:noProof/>
                <w:lang w:val="en-GB"/>
              </w:rPr>
            </w:pPr>
            <w:r w:rsidRPr="002661A8">
              <w:rPr>
                <w:rFonts w:ascii="Times New Roman" w:hAnsi="Times New Roman" w:cs="Times New Roman"/>
                <w:noProof/>
                <w:spacing w:val="-5"/>
                <w:lang w:val="en-GB"/>
              </w:rPr>
              <w:t>n/a</w:t>
            </w:r>
          </w:p>
        </w:tc>
        <w:tc>
          <w:tcPr>
            <w:tcW w:w="1026" w:type="dxa"/>
            <w:shd w:val="clear" w:color="auto" w:fill="D9D9D9" w:themeFill="background1" w:themeFillShade="D9"/>
          </w:tcPr>
          <w:p w14:paraId="1FC65E83" w14:textId="571971D1" w:rsidR="00A60E02" w:rsidRPr="002661A8" w:rsidRDefault="00A60E02" w:rsidP="006F3DD8">
            <w:pPr>
              <w:ind w:left="-104" w:right="-73"/>
              <w:jc w:val="center"/>
              <w:rPr>
                <w:noProof/>
              </w:rPr>
            </w:pPr>
            <w:r w:rsidRPr="002661A8">
              <w:rPr>
                <w:noProof/>
              </w:rPr>
              <w:t xml:space="preserve">Tier </w:t>
            </w:r>
            <w:r w:rsidRPr="002661A8">
              <w:rPr>
                <w:noProof/>
                <w:spacing w:val="-10"/>
              </w:rPr>
              <w:t>2</w:t>
            </w:r>
          </w:p>
        </w:tc>
      </w:tr>
      <w:tr w:rsidR="00A60E02" w:rsidRPr="002661A8" w14:paraId="70D11A02" w14:textId="77777777" w:rsidTr="00DC0339">
        <w:tc>
          <w:tcPr>
            <w:tcW w:w="534" w:type="dxa"/>
            <w:shd w:val="clear" w:color="auto" w:fill="FFFFFF" w:themeFill="background1"/>
          </w:tcPr>
          <w:p w14:paraId="6332988B" w14:textId="0A09EE7A" w:rsidR="00A60E02" w:rsidRPr="002661A8" w:rsidRDefault="00A60E02" w:rsidP="00641DA4">
            <w:pPr>
              <w:jc w:val="center"/>
              <w:rPr>
                <w:b/>
                <w:noProof/>
                <w:w w:val="99"/>
              </w:rPr>
            </w:pPr>
            <w:r w:rsidRPr="002661A8">
              <w:rPr>
                <w:b/>
                <w:noProof/>
                <w:spacing w:val="-5"/>
              </w:rPr>
              <w:t>35</w:t>
            </w:r>
          </w:p>
        </w:tc>
        <w:tc>
          <w:tcPr>
            <w:tcW w:w="2835" w:type="dxa"/>
            <w:shd w:val="clear" w:color="auto" w:fill="FFFFFF" w:themeFill="background1"/>
          </w:tcPr>
          <w:p w14:paraId="27130402" w14:textId="2CC38E03" w:rsidR="00A60E02" w:rsidRPr="002661A8" w:rsidRDefault="00A60E02" w:rsidP="00641DA4">
            <w:pPr>
              <w:jc w:val="center"/>
              <w:rPr>
                <w:noProof/>
              </w:rPr>
            </w:pPr>
            <w:r w:rsidRPr="002661A8">
              <w:rPr>
                <w:noProof/>
              </w:rPr>
              <w:t xml:space="preserve">ICE Clear Europe </w:t>
            </w:r>
            <w:r w:rsidRPr="002661A8">
              <w:rPr>
                <w:noProof/>
                <w:spacing w:val="-2"/>
              </w:rPr>
              <w:t>Limited</w:t>
            </w:r>
          </w:p>
        </w:tc>
        <w:tc>
          <w:tcPr>
            <w:tcW w:w="884" w:type="dxa"/>
            <w:shd w:val="clear" w:color="auto" w:fill="FFFFFF" w:themeFill="background1"/>
          </w:tcPr>
          <w:p w14:paraId="1F8D8FB4" w14:textId="650951F4" w:rsidR="00A60E02" w:rsidRPr="002661A8" w:rsidRDefault="00A60E02" w:rsidP="00641DA4">
            <w:pPr>
              <w:jc w:val="center"/>
              <w:rPr>
                <w:noProof/>
                <w:spacing w:val="-4"/>
              </w:rPr>
            </w:pPr>
            <w:r w:rsidRPr="002661A8">
              <w:rPr>
                <w:noProof/>
                <w:spacing w:val="-4"/>
              </w:rPr>
              <w:t>ICEU</w:t>
            </w:r>
          </w:p>
        </w:tc>
        <w:tc>
          <w:tcPr>
            <w:tcW w:w="1809" w:type="dxa"/>
            <w:shd w:val="clear" w:color="auto" w:fill="FFFFFF" w:themeFill="background1"/>
          </w:tcPr>
          <w:p w14:paraId="586CFB93" w14:textId="79EBAD50" w:rsidR="00A60E02" w:rsidRPr="002661A8" w:rsidRDefault="00A60E02" w:rsidP="006F3DD8">
            <w:pPr>
              <w:ind w:left="-142" w:right="-108"/>
              <w:jc w:val="center"/>
              <w:rPr>
                <w:noProof/>
                <w:spacing w:val="-2"/>
              </w:rPr>
            </w:pPr>
            <w:r w:rsidRPr="002661A8">
              <w:rPr>
                <w:noProof/>
                <w:spacing w:val="-2"/>
              </w:rPr>
              <w:t>United Kingdom</w:t>
            </w:r>
          </w:p>
        </w:tc>
        <w:tc>
          <w:tcPr>
            <w:tcW w:w="1417" w:type="dxa"/>
            <w:shd w:val="clear" w:color="auto" w:fill="FFFFFF" w:themeFill="background1"/>
          </w:tcPr>
          <w:p w14:paraId="67FC1B07" w14:textId="57CD4505" w:rsidR="00A60E02" w:rsidRPr="002661A8" w:rsidRDefault="00A60E02" w:rsidP="006F3DD8">
            <w:pPr>
              <w:pStyle w:val="TableParagraph"/>
              <w:spacing w:before="76" w:line="207" w:lineRule="exact"/>
              <w:ind w:left="-106" w:right="-111"/>
              <w:jc w:val="center"/>
              <w:rPr>
                <w:rFonts w:ascii="Times New Roman" w:hAnsi="Times New Roman" w:cs="Times New Roman"/>
                <w:noProof/>
                <w:lang w:val="en-GB"/>
              </w:rPr>
            </w:pPr>
            <w:r w:rsidRPr="002661A8">
              <w:rPr>
                <w:rFonts w:ascii="Times New Roman" w:hAnsi="Times New Roman" w:cs="Times New Roman"/>
                <w:noProof/>
                <w:lang w:val="en-GB"/>
              </w:rPr>
              <w:t>1</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January</w:t>
            </w:r>
            <w:r w:rsidR="00641DA4" w:rsidRPr="002661A8">
              <w:rPr>
                <w:rFonts w:ascii="Times New Roman" w:hAnsi="Times New Roman" w:cs="Times New Roman"/>
                <w:noProof/>
                <w:spacing w:val="-2"/>
                <w:lang w:val="en-GB"/>
              </w:rPr>
              <w:t xml:space="preserve"> </w:t>
            </w:r>
            <w:r w:rsidRPr="002661A8">
              <w:rPr>
                <w:rFonts w:ascii="Times New Roman" w:hAnsi="Times New Roman" w:cs="Times New Roman"/>
                <w:noProof/>
                <w:spacing w:val="-4"/>
                <w:lang w:val="en-GB"/>
              </w:rPr>
              <w:t>2021</w:t>
            </w:r>
          </w:p>
        </w:tc>
        <w:tc>
          <w:tcPr>
            <w:tcW w:w="993" w:type="dxa"/>
            <w:shd w:val="clear" w:color="auto" w:fill="FFFFFF" w:themeFill="background1"/>
          </w:tcPr>
          <w:p w14:paraId="4DA5D992" w14:textId="712E1659" w:rsidR="00A60E02" w:rsidRPr="002661A8" w:rsidRDefault="00A60E02" w:rsidP="006F3DD8">
            <w:pPr>
              <w:pStyle w:val="TableParagraph"/>
              <w:spacing w:before="76"/>
              <w:ind w:left="-111" w:right="-110"/>
              <w:jc w:val="center"/>
              <w:rPr>
                <w:rFonts w:ascii="Times New Roman" w:hAnsi="Times New Roman" w:cs="Times New Roman"/>
                <w:noProof/>
                <w:lang w:val="en-GB"/>
              </w:rPr>
            </w:pPr>
            <w:r w:rsidRPr="002661A8">
              <w:rPr>
                <w:rFonts w:ascii="Times New Roman" w:hAnsi="Times New Roman" w:cs="Times New Roman"/>
                <w:noProof/>
                <w:spacing w:val="-5"/>
                <w:lang w:val="en-GB"/>
              </w:rPr>
              <w:t>n/a</w:t>
            </w:r>
          </w:p>
        </w:tc>
        <w:tc>
          <w:tcPr>
            <w:tcW w:w="1026" w:type="dxa"/>
            <w:shd w:val="clear" w:color="auto" w:fill="FFFFFF" w:themeFill="background1"/>
          </w:tcPr>
          <w:p w14:paraId="6E98A3CE" w14:textId="3CE86836" w:rsidR="00A60E02" w:rsidRPr="002661A8" w:rsidRDefault="00A60E02" w:rsidP="006F3DD8">
            <w:pPr>
              <w:ind w:left="-104" w:right="-73"/>
              <w:jc w:val="center"/>
              <w:rPr>
                <w:noProof/>
              </w:rPr>
            </w:pPr>
            <w:r w:rsidRPr="002661A8">
              <w:rPr>
                <w:noProof/>
              </w:rPr>
              <w:t xml:space="preserve">Tier </w:t>
            </w:r>
            <w:r w:rsidRPr="002661A8">
              <w:rPr>
                <w:noProof/>
                <w:spacing w:val="-10"/>
              </w:rPr>
              <w:t>2</w:t>
            </w:r>
          </w:p>
        </w:tc>
      </w:tr>
      <w:tr w:rsidR="00A60E02" w:rsidRPr="002661A8" w14:paraId="4BCB00A3" w14:textId="77777777" w:rsidTr="00DC0339">
        <w:tc>
          <w:tcPr>
            <w:tcW w:w="534" w:type="dxa"/>
            <w:shd w:val="clear" w:color="auto" w:fill="D9D9D9" w:themeFill="background1" w:themeFillShade="D9"/>
          </w:tcPr>
          <w:p w14:paraId="7DB17452" w14:textId="45195301" w:rsidR="00A60E02" w:rsidRPr="002661A8" w:rsidRDefault="00A60E02" w:rsidP="00641DA4">
            <w:pPr>
              <w:jc w:val="center"/>
              <w:rPr>
                <w:b/>
                <w:noProof/>
                <w:spacing w:val="-5"/>
              </w:rPr>
            </w:pPr>
            <w:r w:rsidRPr="002661A8">
              <w:rPr>
                <w:b/>
                <w:noProof/>
                <w:spacing w:val="-5"/>
              </w:rPr>
              <w:t>36</w:t>
            </w:r>
          </w:p>
        </w:tc>
        <w:tc>
          <w:tcPr>
            <w:tcW w:w="2835" w:type="dxa"/>
            <w:shd w:val="clear" w:color="auto" w:fill="D9D9D9" w:themeFill="background1" w:themeFillShade="D9"/>
          </w:tcPr>
          <w:p w14:paraId="1BC85A36" w14:textId="45EE2D4D" w:rsidR="00A60E02" w:rsidRPr="002661A8" w:rsidRDefault="00A60E02" w:rsidP="00641DA4">
            <w:pPr>
              <w:jc w:val="center"/>
              <w:rPr>
                <w:noProof/>
              </w:rPr>
            </w:pPr>
            <w:r w:rsidRPr="002661A8">
              <w:rPr>
                <w:noProof/>
              </w:rPr>
              <w:t xml:space="preserve">LME Clear </w:t>
            </w:r>
            <w:r w:rsidRPr="002661A8">
              <w:rPr>
                <w:noProof/>
                <w:spacing w:val="-2"/>
              </w:rPr>
              <w:t>Limite</w:t>
            </w:r>
            <w:r w:rsidR="0073538D" w:rsidRPr="002661A8">
              <w:rPr>
                <w:noProof/>
                <w:spacing w:val="-2"/>
              </w:rPr>
              <w:t>d</w:t>
            </w:r>
          </w:p>
        </w:tc>
        <w:tc>
          <w:tcPr>
            <w:tcW w:w="884" w:type="dxa"/>
            <w:shd w:val="clear" w:color="auto" w:fill="D9D9D9" w:themeFill="background1" w:themeFillShade="D9"/>
          </w:tcPr>
          <w:p w14:paraId="70399D29" w14:textId="4CA815A2" w:rsidR="00A60E02" w:rsidRPr="002661A8" w:rsidRDefault="00A60E02" w:rsidP="00641DA4">
            <w:pPr>
              <w:jc w:val="center"/>
              <w:rPr>
                <w:noProof/>
                <w:spacing w:val="-4"/>
              </w:rPr>
            </w:pPr>
            <w:r w:rsidRPr="002661A8">
              <w:rPr>
                <w:noProof/>
                <w:spacing w:val="-4"/>
              </w:rPr>
              <w:t>LMEC</w:t>
            </w:r>
          </w:p>
        </w:tc>
        <w:tc>
          <w:tcPr>
            <w:tcW w:w="1809" w:type="dxa"/>
            <w:shd w:val="clear" w:color="auto" w:fill="D9D9D9" w:themeFill="background1" w:themeFillShade="D9"/>
          </w:tcPr>
          <w:p w14:paraId="0EF38613" w14:textId="6F0DFBC0" w:rsidR="00A60E02" w:rsidRPr="002661A8" w:rsidRDefault="00A60E02" w:rsidP="006F3DD8">
            <w:pPr>
              <w:ind w:left="-142" w:right="-108"/>
              <w:jc w:val="center"/>
              <w:rPr>
                <w:noProof/>
                <w:spacing w:val="-2"/>
              </w:rPr>
            </w:pPr>
            <w:r w:rsidRPr="002661A8">
              <w:rPr>
                <w:noProof/>
                <w:spacing w:val="-2"/>
              </w:rPr>
              <w:t>United Kingdom</w:t>
            </w:r>
          </w:p>
        </w:tc>
        <w:tc>
          <w:tcPr>
            <w:tcW w:w="1417" w:type="dxa"/>
            <w:shd w:val="clear" w:color="auto" w:fill="D9D9D9" w:themeFill="background1" w:themeFillShade="D9"/>
          </w:tcPr>
          <w:p w14:paraId="2F6B43AC" w14:textId="5F289BD4" w:rsidR="00A60E02" w:rsidRPr="002661A8" w:rsidRDefault="00A60E02" w:rsidP="006F3DD8">
            <w:pPr>
              <w:pStyle w:val="TableParagraph"/>
              <w:spacing w:before="73"/>
              <w:ind w:left="-106" w:right="-111"/>
              <w:jc w:val="center"/>
              <w:rPr>
                <w:rFonts w:ascii="Times New Roman" w:hAnsi="Times New Roman" w:cs="Times New Roman"/>
                <w:noProof/>
                <w:lang w:val="en-GB"/>
              </w:rPr>
            </w:pPr>
            <w:r w:rsidRPr="002661A8">
              <w:rPr>
                <w:rFonts w:ascii="Times New Roman" w:hAnsi="Times New Roman" w:cs="Times New Roman"/>
                <w:noProof/>
                <w:lang w:val="en-GB"/>
              </w:rPr>
              <w:t>1</w:t>
            </w:r>
            <w:r w:rsidRPr="002661A8">
              <w:rPr>
                <w:rFonts w:ascii="Times New Roman" w:hAnsi="Times New Roman" w:cs="Times New Roman"/>
                <w:noProof/>
                <w:spacing w:val="-3"/>
                <w:lang w:val="en-GB"/>
              </w:rPr>
              <w:t xml:space="preserve"> </w:t>
            </w:r>
            <w:r w:rsidRPr="002661A8">
              <w:rPr>
                <w:rFonts w:ascii="Times New Roman" w:hAnsi="Times New Roman" w:cs="Times New Roman"/>
                <w:noProof/>
                <w:spacing w:val="-2"/>
                <w:lang w:val="en-GB"/>
              </w:rPr>
              <w:t>January</w:t>
            </w:r>
            <w:r w:rsidR="00641DA4" w:rsidRPr="002661A8">
              <w:rPr>
                <w:rFonts w:ascii="Times New Roman" w:hAnsi="Times New Roman" w:cs="Times New Roman"/>
                <w:noProof/>
                <w:spacing w:val="-2"/>
                <w:lang w:val="en-GB"/>
              </w:rPr>
              <w:t xml:space="preserve"> </w:t>
            </w:r>
            <w:r w:rsidRPr="002661A8">
              <w:rPr>
                <w:rFonts w:ascii="Times New Roman" w:hAnsi="Times New Roman" w:cs="Times New Roman"/>
                <w:noProof/>
                <w:spacing w:val="-4"/>
                <w:lang w:val="en-GB"/>
              </w:rPr>
              <w:t>2021</w:t>
            </w:r>
          </w:p>
        </w:tc>
        <w:tc>
          <w:tcPr>
            <w:tcW w:w="993" w:type="dxa"/>
            <w:shd w:val="clear" w:color="auto" w:fill="D9D9D9" w:themeFill="background1" w:themeFillShade="D9"/>
          </w:tcPr>
          <w:p w14:paraId="410FDCE0" w14:textId="79F6B427" w:rsidR="00A60E02" w:rsidRPr="002661A8" w:rsidRDefault="00A60E02" w:rsidP="00A60E02">
            <w:pPr>
              <w:pStyle w:val="TableParagraph"/>
              <w:spacing w:before="76"/>
              <w:ind w:left="185" w:right="307"/>
              <w:jc w:val="center"/>
              <w:rPr>
                <w:rFonts w:ascii="Times New Roman" w:hAnsi="Times New Roman" w:cs="Times New Roman"/>
                <w:noProof/>
                <w:spacing w:val="-5"/>
                <w:lang w:val="en-GB"/>
              </w:rPr>
            </w:pPr>
            <w:r w:rsidRPr="002661A8">
              <w:rPr>
                <w:rFonts w:ascii="Times New Roman" w:hAnsi="Times New Roman" w:cs="Times New Roman"/>
                <w:noProof/>
                <w:spacing w:val="-5"/>
                <w:lang w:val="en-GB"/>
              </w:rPr>
              <w:t>n/a</w:t>
            </w:r>
          </w:p>
        </w:tc>
        <w:tc>
          <w:tcPr>
            <w:tcW w:w="1026" w:type="dxa"/>
            <w:shd w:val="clear" w:color="auto" w:fill="D9D9D9" w:themeFill="background1" w:themeFillShade="D9"/>
          </w:tcPr>
          <w:p w14:paraId="18994A7B" w14:textId="6BAD03F1" w:rsidR="00A60E02" w:rsidRPr="002661A8" w:rsidRDefault="00A60E02" w:rsidP="006F3DD8">
            <w:pPr>
              <w:ind w:left="-104" w:right="-73"/>
              <w:jc w:val="center"/>
              <w:rPr>
                <w:noProof/>
              </w:rPr>
            </w:pPr>
            <w:r w:rsidRPr="002661A8">
              <w:rPr>
                <w:noProof/>
              </w:rPr>
              <w:t xml:space="preserve">Tier </w:t>
            </w:r>
            <w:r w:rsidRPr="002661A8">
              <w:rPr>
                <w:noProof/>
                <w:spacing w:val="-10"/>
              </w:rPr>
              <w:t>1</w:t>
            </w:r>
          </w:p>
        </w:tc>
      </w:tr>
      <w:tr w:rsidR="00641DA4" w:rsidRPr="002661A8" w14:paraId="6018A58B" w14:textId="77777777" w:rsidTr="00072D24">
        <w:trPr>
          <w:trHeight w:val="48"/>
        </w:trPr>
        <w:tc>
          <w:tcPr>
            <w:tcW w:w="534" w:type="dxa"/>
            <w:shd w:val="clear" w:color="auto" w:fill="FFFFFF" w:themeFill="background1"/>
          </w:tcPr>
          <w:p w14:paraId="32073373" w14:textId="2A897A8A" w:rsidR="00641DA4" w:rsidRPr="002661A8" w:rsidRDefault="00641DA4" w:rsidP="00641DA4">
            <w:pPr>
              <w:jc w:val="center"/>
              <w:rPr>
                <w:b/>
                <w:noProof/>
                <w:spacing w:val="-5"/>
              </w:rPr>
            </w:pPr>
            <w:r w:rsidRPr="002661A8">
              <w:rPr>
                <w:b/>
                <w:noProof/>
                <w:spacing w:val="-5"/>
              </w:rPr>
              <w:t>37</w:t>
            </w:r>
          </w:p>
        </w:tc>
        <w:tc>
          <w:tcPr>
            <w:tcW w:w="2835" w:type="dxa"/>
            <w:shd w:val="clear" w:color="auto" w:fill="FFFFFF" w:themeFill="background1"/>
          </w:tcPr>
          <w:p w14:paraId="1BAC6977" w14:textId="2CC0D2C2" w:rsidR="00641DA4" w:rsidRPr="002661A8" w:rsidRDefault="00641DA4" w:rsidP="00641DA4">
            <w:pPr>
              <w:jc w:val="center"/>
              <w:rPr>
                <w:noProof/>
              </w:rPr>
            </w:pPr>
            <w:r w:rsidRPr="002661A8">
              <w:rPr>
                <w:noProof/>
              </w:rPr>
              <w:t>Options Clearing Corporation</w:t>
            </w:r>
          </w:p>
        </w:tc>
        <w:tc>
          <w:tcPr>
            <w:tcW w:w="884" w:type="dxa"/>
            <w:shd w:val="clear" w:color="auto" w:fill="FFFFFF" w:themeFill="background1"/>
          </w:tcPr>
          <w:p w14:paraId="5102AF87" w14:textId="74E6C83A" w:rsidR="00641DA4" w:rsidRPr="002661A8" w:rsidRDefault="00641DA4" w:rsidP="00641DA4">
            <w:pPr>
              <w:jc w:val="center"/>
              <w:rPr>
                <w:noProof/>
              </w:rPr>
            </w:pPr>
            <w:r w:rsidRPr="002661A8">
              <w:rPr>
                <w:noProof/>
              </w:rPr>
              <w:t>OCC</w:t>
            </w:r>
          </w:p>
        </w:tc>
        <w:tc>
          <w:tcPr>
            <w:tcW w:w="1809" w:type="dxa"/>
            <w:shd w:val="clear" w:color="auto" w:fill="FFFFFF" w:themeFill="background1"/>
          </w:tcPr>
          <w:p w14:paraId="45501D49" w14:textId="465EE497" w:rsidR="00641DA4" w:rsidRPr="002661A8" w:rsidRDefault="00641DA4" w:rsidP="006F3DD8">
            <w:pPr>
              <w:ind w:left="-142" w:right="-108"/>
              <w:jc w:val="center"/>
              <w:rPr>
                <w:noProof/>
              </w:rPr>
            </w:pPr>
            <w:r w:rsidRPr="002661A8">
              <w:rPr>
                <w:noProof/>
              </w:rPr>
              <w:t>United States of America</w:t>
            </w:r>
          </w:p>
        </w:tc>
        <w:tc>
          <w:tcPr>
            <w:tcW w:w="1417" w:type="dxa"/>
            <w:shd w:val="clear" w:color="auto" w:fill="FFFFFF" w:themeFill="background1"/>
          </w:tcPr>
          <w:p w14:paraId="1F4EDCFB" w14:textId="681674E9" w:rsidR="00641DA4" w:rsidRPr="002661A8" w:rsidRDefault="00641DA4" w:rsidP="006F3DD8">
            <w:pPr>
              <w:ind w:left="-106" w:right="-111"/>
              <w:jc w:val="center"/>
              <w:rPr>
                <w:rFonts w:eastAsiaTheme="minorEastAsia"/>
                <w:noProof/>
              </w:rPr>
            </w:pPr>
            <w:r w:rsidRPr="002661A8">
              <w:rPr>
                <w:rFonts w:eastAsiaTheme="minorEastAsia"/>
                <w:noProof/>
              </w:rPr>
              <w:t>27 June 2022</w:t>
            </w:r>
          </w:p>
        </w:tc>
        <w:tc>
          <w:tcPr>
            <w:tcW w:w="993" w:type="dxa"/>
            <w:shd w:val="clear" w:color="auto" w:fill="FFFFFF" w:themeFill="background1"/>
          </w:tcPr>
          <w:p w14:paraId="24727162" w14:textId="2A316F97" w:rsidR="00641DA4" w:rsidRPr="002661A8" w:rsidRDefault="00641DA4" w:rsidP="00641DA4">
            <w:pPr>
              <w:jc w:val="center"/>
              <w:rPr>
                <w:rFonts w:eastAsiaTheme="minorEastAsia"/>
                <w:noProof/>
              </w:rPr>
            </w:pPr>
            <w:r w:rsidRPr="002661A8">
              <w:rPr>
                <w:rFonts w:eastAsiaTheme="minorEastAsia"/>
                <w:noProof/>
              </w:rPr>
              <w:t>n/a</w:t>
            </w:r>
          </w:p>
        </w:tc>
        <w:tc>
          <w:tcPr>
            <w:tcW w:w="1026" w:type="dxa"/>
            <w:shd w:val="clear" w:color="auto" w:fill="FFFFFF" w:themeFill="background1"/>
          </w:tcPr>
          <w:p w14:paraId="57110652" w14:textId="6C6427DF" w:rsidR="00641DA4" w:rsidRPr="002661A8" w:rsidRDefault="00641DA4" w:rsidP="006F3DD8">
            <w:pPr>
              <w:ind w:left="-104" w:right="-73"/>
              <w:jc w:val="center"/>
              <w:rPr>
                <w:noProof/>
              </w:rPr>
            </w:pPr>
            <w:r w:rsidRPr="002661A8">
              <w:rPr>
                <w:noProof/>
              </w:rPr>
              <w:t>Tier 1</w:t>
            </w:r>
          </w:p>
        </w:tc>
      </w:tr>
      <w:tr w:rsidR="00F30B83" w:rsidRPr="002661A8" w14:paraId="545E231F" w14:textId="77777777" w:rsidTr="00DC0339">
        <w:tc>
          <w:tcPr>
            <w:tcW w:w="534" w:type="dxa"/>
            <w:shd w:val="clear" w:color="auto" w:fill="D9D9D9" w:themeFill="background1" w:themeFillShade="D9"/>
          </w:tcPr>
          <w:p w14:paraId="67EB2193" w14:textId="77777777" w:rsidR="1FF2EE3F" w:rsidRPr="002661A8" w:rsidRDefault="2D4CC08A" w:rsidP="00641DA4">
            <w:pPr>
              <w:jc w:val="center"/>
              <w:rPr>
                <w:b/>
                <w:noProof/>
                <w:spacing w:val="-5"/>
              </w:rPr>
            </w:pPr>
            <w:r w:rsidRPr="002661A8">
              <w:rPr>
                <w:b/>
                <w:noProof/>
                <w:spacing w:val="-5"/>
              </w:rPr>
              <w:t>38</w:t>
            </w:r>
          </w:p>
        </w:tc>
        <w:tc>
          <w:tcPr>
            <w:tcW w:w="2835" w:type="dxa"/>
            <w:shd w:val="clear" w:color="auto" w:fill="D9D9D9" w:themeFill="background1" w:themeFillShade="D9"/>
          </w:tcPr>
          <w:p w14:paraId="4273DFBD" w14:textId="77777777" w:rsidR="1FF2EE3F" w:rsidRPr="002661A8" w:rsidRDefault="194184D9" w:rsidP="00641DA4">
            <w:pPr>
              <w:jc w:val="center"/>
              <w:rPr>
                <w:noProof/>
              </w:rPr>
            </w:pPr>
            <w:r w:rsidRPr="002661A8">
              <w:rPr>
                <w:noProof/>
              </w:rPr>
              <w:t>Fixed Income Clearing Corporation</w:t>
            </w:r>
          </w:p>
        </w:tc>
        <w:tc>
          <w:tcPr>
            <w:tcW w:w="884" w:type="dxa"/>
            <w:shd w:val="clear" w:color="auto" w:fill="D9D9D9" w:themeFill="background1" w:themeFillShade="D9"/>
          </w:tcPr>
          <w:p w14:paraId="725B3F9B" w14:textId="77777777" w:rsidR="1FF2EE3F" w:rsidRPr="002661A8" w:rsidRDefault="194184D9" w:rsidP="00641DA4">
            <w:pPr>
              <w:jc w:val="center"/>
              <w:rPr>
                <w:noProof/>
              </w:rPr>
            </w:pPr>
            <w:r w:rsidRPr="002661A8">
              <w:rPr>
                <w:noProof/>
              </w:rPr>
              <w:t>FICC</w:t>
            </w:r>
          </w:p>
        </w:tc>
        <w:tc>
          <w:tcPr>
            <w:tcW w:w="1809" w:type="dxa"/>
            <w:shd w:val="clear" w:color="auto" w:fill="D9D9D9" w:themeFill="background1" w:themeFillShade="D9"/>
          </w:tcPr>
          <w:p w14:paraId="7F2146F0" w14:textId="77777777" w:rsidR="1FF2EE3F" w:rsidRPr="002661A8" w:rsidRDefault="16F6A490" w:rsidP="006F3DD8">
            <w:pPr>
              <w:ind w:left="-142" w:right="-108"/>
              <w:jc w:val="center"/>
              <w:rPr>
                <w:noProof/>
              </w:rPr>
            </w:pPr>
            <w:r w:rsidRPr="002661A8">
              <w:rPr>
                <w:noProof/>
              </w:rPr>
              <w:t>United States of America</w:t>
            </w:r>
          </w:p>
        </w:tc>
        <w:tc>
          <w:tcPr>
            <w:tcW w:w="1417" w:type="dxa"/>
            <w:shd w:val="clear" w:color="auto" w:fill="D9D9D9" w:themeFill="background1" w:themeFillShade="D9"/>
          </w:tcPr>
          <w:p w14:paraId="3AAB6491" w14:textId="77777777" w:rsidR="1FF2EE3F" w:rsidRPr="002661A8" w:rsidRDefault="16F6A490" w:rsidP="006F3DD8">
            <w:pPr>
              <w:ind w:left="-106" w:right="-111"/>
              <w:jc w:val="center"/>
              <w:rPr>
                <w:noProof/>
              </w:rPr>
            </w:pPr>
            <w:r w:rsidRPr="002661A8">
              <w:rPr>
                <w:rFonts w:eastAsiaTheme="minorEastAsia"/>
                <w:noProof/>
              </w:rPr>
              <w:t>27 June 2022</w:t>
            </w:r>
          </w:p>
        </w:tc>
        <w:tc>
          <w:tcPr>
            <w:tcW w:w="993" w:type="dxa"/>
            <w:shd w:val="clear" w:color="auto" w:fill="D9D9D9" w:themeFill="background1" w:themeFillShade="D9"/>
          </w:tcPr>
          <w:p w14:paraId="5C3DE06C" w14:textId="77777777" w:rsidR="1FF2EE3F" w:rsidRPr="002661A8" w:rsidRDefault="21DDC89C" w:rsidP="00641DA4">
            <w:pPr>
              <w:jc w:val="center"/>
              <w:rPr>
                <w:noProof/>
              </w:rPr>
            </w:pPr>
            <w:r w:rsidRPr="002661A8">
              <w:rPr>
                <w:rFonts w:eastAsiaTheme="minorEastAsia"/>
                <w:noProof/>
              </w:rPr>
              <w:t>n/a</w:t>
            </w:r>
          </w:p>
        </w:tc>
        <w:tc>
          <w:tcPr>
            <w:tcW w:w="1026" w:type="dxa"/>
            <w:shd w:val="clear" w:color="auto" w:fill="D9D9D9" w:themeFill="background1" w:themeFillShade="D9"/>
          </w:tcPr>
          <w:p w14:paraId="4CD76F97" w14:textId="77777777" w:rsidR="1FF2EE3F" w:rsidRPr="002661A8" w:rsidRDefault="21DDC89C" w:rsidP="006F3DD8">
            <w:pPr>
              <w:ind w:left="-104" w:right="-73"/>
              <w:jc w:val="center"/>
              <w:rPr>
                <w:noProof/>
              </w:rPr>
            </w:pPr>
            <w:r w:rsidRPr="002661A8">
              <w:rPr>
                <w:noProof/>
              </w:rPr>
              <w:t>Tier 1</w:t>
            </w:r>
          </w:p>
        </w:tc>
      </w:tr>
      <w:tr w:rsidR="009C7490" w:rsidRPr="002661A8" w14:paraId="7B470F8D" w14:textId="77777777" w:rsidTr="00072D24">
        <w:tc>
          <w:tcPr>
            <w:tcW w:w="534" w:type="dxa"/>
            <w:shd w:val="clear" w:color="auto" w:fill="FFFFFF" w:themeFill="background1"/>
          </w:tcPr>
          <w:p w14:paraId="12EF1B25" w14:textId="0E413964" w:rsidR="009C7490" w:rsidRPr="002661A8" w:rsidRDefault="009C7490" w:rsidP="00641DA4">
            <w:pPr>
              <w:jc w:val="center"/>
              <w:rPr>
                <w:b/>
                <w:noProof/>
                <w:spacing w:val="-5"/>
              </w:rPr>
            </w:pPr>
            <w:r>
              <w:rPr>
                <w:b/>
                <w:noProof/>
                <w:spacing w:val="-5"/>
              </w:rPr>
              <w:t>39</w:t>
            </w:r>
          </w:p>
        </w:tc>
        <w:tc>
          <w:tcPr>
            <w:tcW w:w="2835" w:type="dxa"/>
            <w:shd w:val="clear" w:color="auto" w:fill="FFFFFF" w:themeFill="background1"/>
          </w:tcPr>
          <w:p w14:paraId="79F11F5F" w14:textId="1E881A54" w:rsidR="009C7490" w:rsidRPr="002661A8" w:rsidRDefault="000026CE" w:rsidP="00641DA4">
            <w:pPr>
              <w:jc w:val="center"/>
              <w:rPr>
                <w:noProof/>
              </w:rPr>
            </w:pPr>
            <w:r>
              <w:rPr>
                <w:noProof/>
              </w:rPr>
              <w:t>ComDer Contraparte Central</w:t>
            </w:r>
          </w:p>
        </w:tc>
        <w:tc>
          <w:tcPr>
            <w:tcW w:w="884" w:type="dxa"/>
            <w:shd w:val="clear" w:color="auto" w:fill="FFFFFF" w:themeFill="background1"/>
          </w:tcPr>
          <w:p w14:paraId="324D83E9" w14:textId="0F85F1DC" w:rsidR="009C7490" w:rsidRPr="002661A8" w:rsidRDefault="000026CE" w:rsidP="00641DA4">
            <w:pPr>
              <w:jc w:val="center"/>
              <w:rPr>
                <w:noProof/>
              </w:rPr>
            </w:pPr>
            <w:r>
              <w:rPr>
                <w:noProof/>
              </w:rPr>
              <w:t>CDER</w:t>
            </w:r>
          </w:p>
        </w:tc>
        <w:tc>
          <w:tcPr>
            <w:tcW w:w="1809" w:type="dxa"/>
            <w:shd w:val="clear" w:color="auto" w:fill="FFFFFF" w:themeFill="background1"/>
          </w:tcPr>
          <w:p w14:paraId="62CA59FC" w14:textId="70D53C64" w:rsidR="009C7490" w:rsidRPr="002661A8" w:rsidRDefault="000026CE" w:rsidP="006F3DD8">
            <w:pPr>
              <w:ind w:left="-142" w:right="-108"/>
              <w:jc w:val="center"/>
              <w:rPr>
                <w:noProof/>
              </w:rPr>
            </w:pPr>
            <w:r>
              <w:rPr>
                <w:noProof/>
              </w:rPr>
              <w:t>Chile</w:t>
            </w:r>
          </w:p>
        </w:tc>
        <w:tc>
          <w:tcPr>
            <w:tcW w:w="1417" w:type="dxa"/>
            <w:shd w:val="clear" w:color="auto" w:fill="FFFFFF" w:themeFill="background1"/>
          </w:tcPr>
          <w:p w14:paraId="07EAF84F" w14:textId="056180AA" w:rsidR="009C7490" w:rsidRPr="002661A8" w:rsidRDefault="000026CE" w:rsidP="006F3DD8">
            <w:pPr>
              <w:ind w:left="-106" w:right="-111"/>
              <w:jc w:val="center"/>
              <w:rPr>
                <w:rFonts w:eastAsiaTheme="minorEastAsia"/>
                <w:noProof/>
              </w:rPr>
            </w:pPr>
            <w:r>
              <w:rPr>
                <w:noProof/>
              </w:rPr>
              <w:t>8 August 2022</w:t>
            </w:r>
          </w:p>
        </w:tc>
        <w:tc>
          <w:tcPr>
            <w:tcW w:w="993" w:type="dxa"/>
            <w:shd w:val="clear" w:color="auto" w:fill="FFFFFF" w:themeFill="background1"/>
          </w:tcPr>
          <w:p w14:paraId="5C44A76B" w14:textId="436B1DF5" w:rsidR="009C7490" w:rsidRPr="002661A8" w:rsidRDefault="000026CE" w:rsidP="00641DA4">
            <w:pPr>
              <w:jc w:val="center"/>
              <w:rPr>
                <w:rFonts w:eastAsiaTheme="minorEastAsia"/>
                <w:noProof/>
              </w:rPr>
            </w:pPr>
            <w:r w:rsidRPr="002661A8">
              <w:rPr>
                <w:rFonts w:eastAsiaTheme="minorEastAsia"/>
                <w:noProof/>
              </w:rPr>
              <w:t>n/a</w:t>
            </w:r>
          </w:p>
        </w:tc>
        <w:tc>
          <w:tcPr>
            <w:tcW w:w="1026" w:type="dxa"/>
            <w:shd w:val="clear" w:color="auto" w:fill="FFFFFF" w:themeFill="background1"/>
          </w:tcPr>
          <w:p w14:paraId="50D7A0F7" w14:textId="1867A38B" w:rsidR="009C7490" w:rsidRPr="002661A8" w:rsidRDefault="000026CE" w:rsidP="006F3DD8">
            <w:pPr>
              <w:ind w:left="-104" w:right="-73"/>
              <w:jc w:val="center"/>
              <w:rPr>
                <w:noProof/>
              </w:rPr>
            </w:pPr>
            <w:r w:rsidRPr="002661A8">
              <w:rPr>
                <w:noProof/>
              </w:rPr>
              <w:t>Tier 1</w:t>
            </w:r>
          </w:p>
        </w:tc>
      </w:tr>
      <w:tr w:rsidR="009C7490" w:rsidRPr="002661A8" w14:paraId="29C1488D" w14:textId="77777777" w:rsidTr="00DC0339">
        <w:tc>
          <w:tcPr>
            <w:tcW w:w="534" w:type="dxa"/>
            <w:shd w:val="clear" w:color="auto" w:fill="D9D9D9" w:themeFill="background1" w:themeFillShade="D9"/>
          </w:tcPr>
          <w:p w14:paraId="5F813C80" w14:textId="236E1CFB" w:rsidR="009C7490" w:rsidRDefault="009C7490" w:rsidP="00641DA4">
            <w:pPr>
              <w:jc w:val="center"/>
              <w:rPr>
                <w:b/>
                <w:noProof/>
                <w:spacing w:val="-5"/>
              </w:rPr>
            </w:pPr>
            <w:r>
              <w:rPr>
                <w:b/>
                <w:noProof/>
                <w:spacing w:val="-5"/>
              </w:rPr>
              <w:t>40</w:t>
            </w:r>
          </w:p>
        </w:tc>
        <w:tc>
          <w:tcPr>
            <w:tcW w:w="2835" w:type="dxa"/>
            <w:shd w:val="clear" w:color="auto" w:fill="D9D9D9" w:themeFill="background1" w:themeFillShade="D9"/>
          </w:tcPr>
          <w:p w14:paraId="7BFAE652" w14:textId="4C1E59AC" w:rsidR="009C7490" w:rsidRPr="002661A8" w:rsidRDefault="000026CE" w:rsidP="00641DA4">
            <w:pPr>
              <w:jc w:val="center"/>
              <w:rPr>
                <w:noProof/>
              </w:rPr>
            </w:pPr>
            <w:r>
              <w:rPr>
                <w:noProof/>
              </w:rPr>
              <w:t>Shanghai Clearing House</w:t>
            </w:r>
          </w:p>
        </w:tc>
        <w:tc>
          <w:tcPr>
            <w:tcW w:w="884" w:type="dxa"/>
            <w:shd w:val="clear" w:color="auto" w:fill="D9D9D9" w:themeFill="background1" w:themeFillShade="D9"/>
          </w:tcPr>
          <w:p w14:paraId="6362C03D" w14:textId="4C3CFF51" w:rsidR="009C7490" w:rsidRPr="002661A8" w:rsidRDefault="000026CE" w:rsidP="00641DA4">
            <w:pPr>
              <w:jc w:val="center"/>
              <w:rPr>
                <w:noProof/>
              </w:rPr>
            </w:pPr>
            <w:r>
              <w:rPr>
                <w:noProof/>
              </w:rPr>
              <w:t>SHCH</w:t>
            </w:r>
          </w:p>
        </w:tc>
        <w:tc>
          <w:tcPr>
            <w:tcW w:w="1809" w:type="dxa"/>
            <w:shd w:val="clear" w:color="auto" w:fill="D9D9D9" w:themeFill="background1" w:themeFillShade="D9"/>
          </w:tcPr>
          <w:p w14:paraId="5E75C617" w14:textId="168493D6" w:rsidR="009C7490" w:rsidRPr="002661A8" w:rsidRDefault="000026CE" w:rsidP="006F3DD8">
            <w:pPr>
              <w:ind w:left="-142" w:right="-108"/>
              <w:jc w:val="center"/>
              <w:rPr>
                <w:noProof/>
              </w:rPr>
            </w:pPr>
            <w:r>
              <w:rPr>
                <w:noProof/>
              </w:rPr>
              <w:t>China</w:t>
            </w:r>
          </w:p>
        </w:tc>
        <w:tc>
          <w:tcPr>
            <w:tcW w:w="1417" w:type="dxa"/>
            <w:shd w:val="clear" w:color="auto" w:fill="D9D9D9" w:themeFill="background1" w:themeFillShade="D9"/>
          </w:tcPr>
          <w:p w14:paraId="673D49B4" w14:textId="73DAF81D" w:rsidR="009C7490" w:rsidRPr="002661A8" w:rsidRDefault="000026CE" w:rsidP="006F3DD8">
            <w:pPr>
              <w:ind w:left="-106" w:right="-111"/>
              <w:jc w:val="center"/>
              <w:rPr>
                <w:rFonts w:eastAsiaTheme="minorEastAsia"/>
                <w:noProof/>
              </w:rPr>
            </w:pPr>
            <w:r>
              <w:rPr>
                <w:rFonts w:eastAsiaTheme="minorEastAsia"/>
                <w:noProof/>
              </w:rPr>
              <w:t>27 September 2022</w:t>
            </w:r>
          </w:p>
        </w:tc>
        <w:tc>
          <w:tcPr>
            <w:tcW w:w="993" w:type="dxa"/>
            <w:shd w:val="clear" w:color="auto" w:fill="D9D9D9" w:themeFill="background1" w:themeFillShade="D9"/>
          </w:tcPr>
          <w:p w14:paraId="35416711" w14:textId="26A571C5" w:rsidR="009C7490" w:rsidRPr="002661A8" w:rsidRDefault="000026CE" w:rsidP="00641DA4">
            <w:pPr>
              <w:jc w:val="center"/>
              <w:rPr>
                <w:rFonts w:eastAsiaTheme="minorEastAsia"/>
                <w:noProof/>
              </w:rPr>
            </w:pPr>
            <w:r w:rsidRPr="002661A8">
              <w:rPr>
                <w:rFonts w:eastAsiaTheme="minorEastAsia"/>
                <w:noProof/>
              </w:rPr>
              <w:t>n/a</w:t>
            </w:r>
          </w:p>
        </w:tc>
        <w:tc>
          <w:tcPr>
            <w:tcW w:w="1026" w:type="dxa"/>
            <w:shd w:val="clear" w:color="auto" w:fill="D9D9D9" w:themeFill="background1" w:themeFillShade="D9"/>
          </w:tcPr>
          <w:p w14:paraId="291BC780" w14:textId="61FE2183" w:rsidR="009C7490" w:rsidRDefault="000026CE" w:rsidP="006F3DD8">
            <w:pPr>
              <w:ind w:left="-104" w:right="-73"/>
              <w:jc w:val="center"/>
              <w:rPr>
                <w:noProof/>
              </w:rPr>
            </w:pPr>
            <w:r w:rsidRPr="002661A8">
              <w:rPr>
                <w:noProof/>
              </w:rPr>
              <w:t>Tier 1</w:t>
            </w:r>
          </w:p>
        </w:tc>
      </w:tr>
      <w:tr w:rsidR="009C7490" w:rsidRPr="002661A8" w14:paraId="6650F746" w14:textId="77777777" w:rsidTr="00072D24">
        <w:tc>
          <w:tcPr>
            <w:tcW w:w="534" w:type="dxa"/>
            <w:shd w:val="clear" w:color="auto" w:fill="FFFFFF" w:themeFill="background1"/>
          </w:tcPr>
          <w:p w14:paraId="36FB612B" w14:textId="78A670A1" w:rsidR="009C7490" w:rsidRDefault="009C7490" w:rsidP="00641DA4">
            <w:pPr>
              <w:jc w:val="center"/>
              <w:rPr>
                <w:b/>
                <w:noProof/>
                <w:spacing w:val="-5"/>
              </w:rPr>
            </w:pPr>
            <w:r>
              <w:rPr>
                <w:b/>
                <w:noProof/>
                <w:spacing w:val="-5"/>
              </w:rPr>
              <w:t>41</w:t>
            </w:r>
          </w:p>
        </w:tc>
        <w:tc>
          <w:tcPr>
            <w:tcW w:w="2835" w:type="dxa"/>
            <w:shd w:val="clear" w:color="auto" w:fill="FFFFFF" w:themeFill="background1"/>
          </w:tcPr>
          <w:p w14:paraId="64CB7E6B" w14:textId="6824E91D" w:rsidR="009C7490" w:rsidRPr="002661A8" w:rsidRDefault="000026CE" w:rsidP="00641DA4">
            <w:pPr>
              <w:jc w:val="center"/>
              <w:rPr>
                <w:noProof/>
              </w:rPr>
            </w:pPr>
            <w:r>
              <w:rPr>
                <w:noProof/>
              </w:rPr>
              <w:t>Dubai Clear LLC</w:t>
            </w:r>
          </w:p>
        </w:tc>
        <w:tc>
          <w:tcPr>
            <w:tcW w:w="884" w:type="dxa"/>
            <w:shd w:val="clear" w:color="auto" w:fill="FFFFFF" w:themeFill="background1"/>
          </w:tcPr>
          <w:p w14:paraId="6DBDB9DE" w14:textId="01EE8EBD" w:rsidR="009C7490" w:rsidRPr="002661A8" w:rsidRDefault="000026CE" w:rsidP="00641DA4">
            <w:pPr>
              <w:jc w:val="center"/>
              <w:rPr>
                <w:noProof/>
              </w:rPr>
            </w:pPr>
            <w:r>
              <w:rPr>
                <w:noProof/>
              </w:rPr>
              <w:t>DUBC</w:t>
            </w:r>
          </w:p>
        </w:tc>
        <w:tc>
          <w:tcPr>
            <w:tcW w:w="1809" w:type="dxa"/>
            <w:shd w:val="clear" w:color="auto" w:fill="FFFFFF" w:themeFill="background1"/>
          </w:tcPr>
          <w:p w14:paraId="2290622D" w14:textId="3443890D" w:rsidR="009C7490" w:rsidRPr="002661A8" w:rsidRDefault="000026CE" w:rsidP="006F3DD8">
            <w:pPr>
              <w:ind w:left="-142" w:right="-108"/>
              <w:jc w:val="center"/>
              <w:rPr>
                <w:noProof/>
              </w:rPr>
            </w:pPr>
            <w:r>
              <w:rPr>
                <w:noProof/>
              </w:rPr>
              <w:t>United Arab Emirates</w:t>
            </w:r>
          </w:p>
        </w:tc>
        <w:tc>
          <w:tcPr>
            <w:tcW w:w="1417" w:type="dxa"/>
            <w:shd w:val="clear" w:color="auto" w:fill="FFFFFF" w:themeFill="background1"/>
          </w:tcPr>
          <w:p w14:paraId="18131AD0" w14:textId="2FE9F41F" w:rsidR="009C7490" w:rsidRPr="002661A8" w:rsidRDefault="000026CE" w:rsidP="006F3DD8">
            <w:pPr>
              <w:ind w:left="-106" w:right="-111"/>
              <w:jc w:val="center"/>
              <w:rPr>
                <w:rFonts w:eastAsiaTheme="minorEastAsia"/>
                <w:noProof/>
              </w:rPr>
            </w:pPr>
            <w:r>
              <w:rPr>
                <w:rFonts w:eastAsiaTheme="minorEastAsia"/>
                <w:noProof/>
              </w:rPr>
              <w:t>27 September 2022</w:t>
            </w:r>
          </w:p>
        </w:tc>
        <w:tc>
          <w:tcPr>
            <w:tcW w:w="993" w:type="dxa"/>
            <w:shd w:val="clear" w:color="auto" w:fill="FFFFFF" w:themeFill="background1"/>
          </w:tcPr>
          <w:p w14:paraId="2FF85576" w14:textId="7B84B5BF" w:rsidR="009C7490" w:rsidRPr="002661A8" w:rsidRDefault="000026CE" w:rsidP="00641DA4">
            <w:pPr>
              <w:jc w:val="center"/>
              <w:rPr>
                <w:rFonts w:eastAsiaTheme="minorEastAsia"/>
                <w:noProof/>
              </w:rPr>
            </w:pPr>
            <w:r w:rsidRPr="002661A8">
              <w:rPr>
                <w:rFonts w:eastAsiaTheme="minorEastAsia"/>
                <w:noProof/>
              </w:rPr>
              <w:t>n/a</w:t>
            </w:r>
          </w:p>
        </w:tc>
        <w:tc>
          <w:tcPr>
            <w:tcW w:w="1026" w:type="dxa"/>
            <w:shd w:val="clear" w:color="auto" w:fill="FFFFFF" w:themeFill="background1"/>
          </w:tcPr>
          <w:p w14:paraId="64F356AC" w14:textId="2278F402" w:rsidR="009C7490" w:rsidRDefault="000026CE" w:rsidP="006F3DD8">
            <w:pPr>
              <w:ind w:left="-104" w:right="-73"/>
              <w:jc w:val="center"/>
              <w:rPr>
                <w:noProof/>
              </w:rPr>
            </w:pPr>
            <w:r w:rsidRPr="002661A8">
              <w:rPr>
                <w:noProof/>
              </w:rPr>
              <w:t>Tier 1</w:t>
            </w:r>
          </w:p>
        </w:tc>
      </w:tr>
    </w:tbl>
    <w:p w14:paraId="6C08FCAD" w14:textId="77777777" w:rsidR="00641DA4" w:rsidRPr="002661A8" w:rsidRDefault="00641DA4" w:rsidP="00D21C67">
      <w:pPr>
        <w:jc w:val="both"/>
        <w:rPr>
          <w:rFonts w:ascii="Times New Roman" w:hAnsi="Times New Roman" w:cs="Times New Roman"/>
          <w:b/>
          <w:noProof/>
          <w:sz w:val="24"/>
          <w:szCs w:val="24"/>
        </w:rPr>
      </w:pPr>
    </w:p>
    <w:p w14:paraId="0D94FA9C" w14:textId="2723EF3B" w:rsidR="00D21C67" w:rsidRPr="002661A8" w:rsidRDefault="00D21C67" w:rsidP="00D21C67">
      <w:pPr>
        <w:jc w:val="both"/>
        <w:rPr>
          <w:rFonts w:ascii="Times New Roman" w:hAnsi="Times New Roman" w:cs="Times New Roman"/>
          <w:b/>
          <w:noProof/>
          <w:sz w:val="24"/>
          <w:szCs w:val="24"/>
        </w:rPr>
      </w:pPr>
      <w:r w:rsidRPr="002661A8">
        <w:rPr>
          <w:rFonts w:ascii="Times New Roman" w:hAnsi="Times New Roman" w:cs="Times New Roman"/>
          <w:b/>
          <w:noProof/>
          <w:sz w:val="24"/>
          <w:szCs w:val="24"/>
        </w:rPr>
        <w:t>Table 3: Involvement of colleges and ESMA in decisions adopted by national supervisors</w:t>
      </w:r>
    </w:p>
    <w:tbl>
      <w:tblPr>
        <w:tblStyle w:val="TableGrid"/>
        <w:tblW w:w="8755" w:type="dxa"/>
        <w:tblLook w:val="04A0" w:firstRow="1" w:lastRow="0" w:firstColumn="1" w:lastColumn="0" w:noHBand="0" w:noVBand="1"/>
      </w:tblPr>
      <w:tblGrid>
        <w:gridCol w:w="3794"/>
        <w:gridCol w:w="2410"/>
        <w:gridCol w:w="2551"/>
      </w:tblGrid>
      <w:tr w:rsidR="00D21C67" w:rsidRPr="002661A8" w14:paraId="72DD40E3" w14:textId="3DE4F41F" w:rsidTr="00227A34">
        <w:tc>
          <w:tcPr>
            <w:tcW w:w="3794" w:type="dxa"/>
          </w:tcPr>
          <w:p w14:paraId="275EF655" w14:textId="77777777" w:rsidR="00D21C67" w:rsidRPr="002661A8" w:rsidRDefault="00D21C67" w:rsidP="004D2EEA">
            <w:pPr>
              <w:rPr>
                <w:b/>
                <w:noProof/>
              </w:rPr>
            </w:pPr>
            <w:r w:rsidRPr="002661A8">
              <w:rPr>
                <w:b/>
                <w:noProof/>
              </w:rPr>
              <w:t>EMIR provisions</w:t>
            </w:r>
          </w:p>
        </w:tc>
        <w:tc>
          <w:tcPr>
            <w:tcW w:w="2410" w:type="dxa"/>
          </w:tcPr>
          <w:p w14:paraId="008B1625" w14:textId="77777777" w:rsidR="00D21C67" w:rsidRPr="002661A8" w:rsidRDefault="00D21C67" w:rsidP="004D2EEA">
            <w:pPr>
              <w:rPr>
                <w:b/>
                <w:noProof/>
              </w:rPr>
            </w:pPr>
            <w:r w:rsidRPr="002661A8">
              <w:rPr>
                <w:b/>
                <w:noProof/>
              </w:rPr>
              <w:t>College opinion</w:t>
            </w:r>
            <w:r w:rsidRPr="002661A8">
              <w:rPr>
                <w:rStyle w:val="FootnoteReference"/>
                <w:b/>
                <w:noProof/>
              </w:rPr>
              <w:footnoteReference w:id="207"/>
            </w:r>
          </w:p>
        </w:tc>
        <w:tc>
          <w:tcPr>
            <w:tcW w:w="2551" w:type="dxa"/>
          </w:tcPr>
          <w:p w14:paraId="6F724D8A" w14:textId="77777777" w:rsidR="00A317E4" w:rsidRPr="002661A8" w:rsidRDefault="00A317E4" w:rsidP="00A317E4">
            <w:pPr>
              <w:rPr>
                <w:b/>
                <w:noProof/>
              </w:rPr>
            </w:pPr>
            <w:r w:rsidRPr="002661A8">
              <w:rPr>
                <w:b/>
                <w:noProof/>
              </w:rPr>
              <w:t xml:space="preserve">ESMA opinion </w:t>
            </w:r>
          </w:p>
          <w:p w14:paraId="77A4601C" w14:textId="0F15A205" w:rsidR="00A317E4" w:rsidRPr="002661A8" w:rsidRDefault="00A317E4" w:rsidP="00A317E4">
            <w:pPr>
              <w:rPr>
                <w:b/>
                <w:noProof/>
              </w:rPr>
            </w:pPr>
            <w:r w:rsidRPr="002661A8">
              <w:rPr>
                <w:b/>
                <w:noProof/>
              </w:rPr>
              <w:t>(draft prepared by CCP Supervisory Committee)</w:t>
            </w:r>
            <w:r w:rsidRPr="002661A8">
              <w:rPr>
                <w:rStyle w:val="FootnoteReference"/>
                <w:b/>
                <w:noProof/>
              </w:rPr>
              <w:footnoteReference w:id="208"/>
            </w:r>
          </w:p>
        </w:tc>
      </w:tr>
      <w:tr w:rsidR="00D21C67" w:rsidRPr="002661A8" w14:paraId="29444B2A" w14:textId="79F3FCC7" w:rsidTr="00227A34">
        <w:tc>
          <w:tcPr>
            <w:tcW w:w="3794" w:type="dxa"/>
          </w:tcPr>
          <w:p w14:paraId="2D0F2E31" w14:textId="77777777" w:rsidR="00D21C67" w:rsidRPr="002661A8" w:rsidRDefault="00D21C67" w:rsidP="004D2EEA">
            <w:pPr>
              <w:rPr>
                <w:noProof/>
              </w:rPr>
            </w:pPr>
            <w:r w:rsidRPr="002661A8">
              <w:rPr>
                <w:noProof/>
              </w:rPr>
              <w:t>Access to a CCP (Art. 7)</w:t>
            </w:r>
          </w:p>
        </w:tc>
        <w:tc>
          <w:tcPr>
            <w:tcW w:w="2410" w:type="dxa"/>
          </w:tcPr>
          <w:p w14:paraId="56522AE4" w14:textId="77777777" w:rsidR="00D21C67" w:rsidRPr="002661A8" w:rsidRDefault="00D21C67" w:rsidP="004D2EEA">
            <w:pPr>
              <w:jc w:val="center"/>
              <w:rPr>
                <w:noProof/>
              </w:rPr>
            </w:pPr>
          </w:p>
        </w:tc>
        <w:tc>
          <w:tcPr>
            <w:tcW w:w="2551" w:type="dxa"/>
          </w:tcPr>
          <w:p w14:paraId="548C9A34" w14:textId="1C020F2A" w:rsidR="00A317E4" w:rsidRPr="002661A8" w:rsidRDefault="00A317E4" w:rsidP="00A317E4">
            <w:pPr>
              <w:jc w:val="center"/>
              <w:rPr>
                <w:rFonts w:ascii="Segoe UI Symbol" w:hAnsi="Segoe UI Symbol" w:cs="Segoe UI Symbol"/>
                <w:noProof/>
              </w:rPr>
            </w:pPr>
            <w:r w:rsidRPr="002661A8">
              <w:rPr>
                <w:rFonts w:ascii="Segoe UI Symbol" w:hAnsi="Segoe UI Symbol" w:cs="Segoe UI Symbol"/>
                <w:noProof/>
              </w:rPr>
              <w:t>✔</w:t>
            </w:r>
          </w:p>
        </w:tc>
      </w:tr>
      <w:tr w:rsidR="00D21C67" w:rsidRPr="002661A8" w14:paraId="0A134772" w14:textId="5FDDE422" w:rsidTr="00227A34">
        <w:tc>
          <w:tcPr>
            <w:tcW w:w="3794" w:type="dxa"/>
          </w:tcPr>
          <w:p w14:paraId="3C045809" w14:textId="77777777" w:rsidR="00D21C67" w:rsidRPr="002661A8" w:rsidRDefault="00D21C67" w:rsidP="004D2EEA">
            <w:pPr>
              <w:rPr>
                <w:noProof/>
              </w:rPr>
            </w:pPr>
            <w:r w:rsidRPr="002661A8">
              <w:rPr>
                <w:noProof/>
              </w:rPr>
              <w:t>Access to a trading venue (Art. 8)</w:t>
            </w:r>
          </w:p>
        </w:tc>
        <w:tc>
          <w:tcPr>
            <w:tcW w:w="2410" w:type="dxa"/>
          </w:tcPr>
          <w:p w14:paraId="048C011C" w14:textId="77777777" w:rsidR="00D21C67" w:rsidRPr="002661A8" w:rsidRDefault="00D21C67" w:rsidP="004D2EEA">
            <w:pPr>
              <w:jc w:val="center"/>
              <w:rPr>
                <w:noProof/>
              </w:rPr>
            </w:pPr>
          </w:p>
        </w:tc>
        <w:tc>
          <w:tcPr>
            <w:tcW w:w="2551" w:type="dxa"/>
          </w:tcPr>
          <w:p w14:paraId="4D5D6409" w14:textId="160C71E3" w:rsidR="00A317E4" w:rsidRPr="002661A8" w:rsidRDefault="00A317E4" w:rsidP="00A317E4">
            <w:pPr>
              <w:jc w:val="center"/>
              <w:rPr>
                <w:rFonts w:ascii="Segoe UI Symbol" w:hAnsi="Segoe UI Symbol" w:cs="Segoe UI Symbol"/>
                <w:noProof/>
              </w:rPr>
            </w:pPr>
            <w:r w:rsidRPr="002661A8">
              <w:rPr>
                <w:rFonts w:ascii="Segoe UI Symbol" w:hAnsi="Segoe UI Symbol" w:cs="Segoe UI Symbol"/>
                <w:noProof/>
              </w:rPr>
              <w:t>✔</w:t>
            </w:r>
          </w:p>
        </w:tc>
      </w:tr>
      <w:tr w:rsidR="00D21C67" w:rsidRPr="002661A8" w14:paraId="79D459D6" w14:textId="09042E01" w:rsidTr="00227A34">
        <w:tc>
          <w:tcPr>
            <w:tcW w:w="3794" w:type="dxa"/>
          </w:tcPr>
          <w:p w14:paraId="20A8A3B4" w14:textId="77777777" w:rsidR="00D21C67" w:rsidRPr="002661A8" w:rsidRDefault="00D21C67" w:rsidP="004D2EEA">
            <w:pPr>
              <w:rPr>
                <w:noProof/>
              </w:rPr>
            </w:pPr>
            <w:r w:rsidRPr="002661A8">
              <w:rPr>
                <w:noProof/>
              </w:rPr>
              <w:t>Authorisation of a CCP and its procedures (Art. 14 and 17)</w:t>
            </w:r>
          </w:p>
        </w:tc>
        <w:tc>
          <w:tcPr>
            <w:tcW w:w="2410" w:type="dxa"/>
          </w:tcPr>
          <w:p w14:paraId="1E8545D2" w14:textId="77777777" w:rsidR="00D21C67" w:rsidRPr="002661A8" w:rsidRDefault="00D21C67" w:rsidP="004D2EEA">
            <w:pPr>
              <w:jc w:val="center"/>
              <w:rPr>
                <w:noProof/>
              </w:rPr>
            </w:pPr>
            <w:r w:rsidRPr="002661A8">
              <w:rPr>
                <w:rFonts w:ascii="Segoe UI Symbol" w:hAnsi="Segoe UI Symbol" w:cs="Segoe UI Symbol"/>
                <w:noProof/>
                <w:color w:val="333333"/>
                <w:shd w:val="clear" w:color="auto" w:fill="FFFFFF"/>
              </w:rPr>
              <w:t>✔</w:t>
            </w:r>
          </w:p>
        </w:tc>
        <w:tc>
          <w:tcPr>
            <w:tcW w:w="2551" w:type="dxa"/>
          </w:tcPr>
          <w:p w14:paraId="57F63235" w14:textId="7679CAB5" w:rsidR="00A317E4" w:rsidRPr="002661A8" w:rsidRDefault="00A317E4" w:rsidP="00A317E4">
            <w:pPr>
              <w:jc w:val="center"/>
              <w:rPr>
                <w:rFonts w:ascii="Segoe UI Symbol" w:hAnsi="Segoe UI Symbol" w:cs="Segoe UI Symbol"/>
                <w:noProof/>
              </w:rPr>
            </w:pPr>
            <w:r w:rsidRPr="002661A8">
              <w:rPr>
                <w:rFonts w:ascii="Segoe UI Symbol" w:hAnsi="Segoe UI Symbol" w:cs="Segoe UI Symbol"/>
                <w:noProof/>
              </w:rPr>
              <w:t>✔</w:t>
            </w:r>
          </w:p>
        </w:tc>
      </w:tr>
      <w:tr w:rsidR="00D21C67" w:rsidRPr="002661A8" w14:paraId="52B87DF4" w14:textId="4A8F5108" w:rsidTr="00227A34">
        <w:tc>
          <w:tcPr>
            <w:tcW w:w="3794" w:type="dxa"/>
          </w:tcPr>
          <w:p w14:paraId="62875632" w14:textId="77777777" w:rsidR="00D21C67" w:rsidRPr="002661A8" w:rsidRDefault="00D21C67" w:rsidP="004D2EEA">
            <w:pPr>
              <w:rPr>
                <w:noProof/>
              </w:rPr>
            </w:pPr>
            <w:r w:rsidRPr="002661A8">
              <w:rPr>
                <w:noProof/>
              </w:rPr>
              <w:t>Extension of activities or services (Art. 15)</w:t>
            </w:r>
          </w:p>
        </w:tc>
        <w:tc>
          <w:tcPr>
            <w:tcW w:w="2410" w:type="dxa"/>
          </w:tcPr>
          <w:p w14:paraId="6B3B0840" w14:textId="77777777" w:rsidR="00D21C67" w:rsidRPr="002661A8" w:rsidRDefault="00D21C67" w:rsidP="004D2EEA">
            <w:pPr>
              <w:jc w:val="center"/>
              <w:rPr>
                <w:noProof/>
              </w:rPr>
            </w:pPr>
            <w:r w:rsidRPr="002661A8">
              <w:rPr>
                <w:rFonts w:ascii="Segoe UI Symbol" w:hAnsi="Segoe UI Symbol" w:cs="Segoe UI Symbol"/>
                <w:noProof/>
                <w:color w:val="333333"/>
                <w:shd w:val="clear" w:color="auto" w:fill="FFFFFF"/>
              </w:rPr>
              <w:t>✔</w:t>
            </w:r>
          </w:p>
        </w:tc>
        <w:tc>
          <w:tcPr>
            <w:tcW w:w="2551" w:type="dxa"/>
          </w:tcPr>
          <w:p w14:paraId="45BD6579" w14:textId="39627944" w:rsidR="00A317E4" w:rsidRPr="002661A8" w:rsidRDefault="00A317E4" w:rsidP="00A317E4">
            <w:pPr>
              <w:jc w:val="center"/>
              <w:rPr>
                <w:rFonts w:ascii="Segoe UI Symbol" w:hAnsi="Segoe UI Symbol" w:cs="Segoe UI Symbol"/>
                <w:noProof/>
                <w:color w:val="333333"/>
                <w:shd w:val="clear" w:color="auto" w:fill="FFFFFF"/>
              </w:rPr>
            </w:pPr>
            <w:r w:rsidRPr="002661A8">
              <w:rPr>
                <w:rFonts w:ascii="Segoe UI Symbol" w:hAnsi="Segoe UI Symbol" w:cs="Segoe UI Symbol"/>
                <w:noProof/>
                <w:color w:val="333333"/>
                <w:shd w:val="clear" w:color="auto" w:fill="FFFFFF"/>
              </w:rPr>
              <w:t>✔</w:t>
            </w:r>
          </w:p>
        </w:tc>
      </w:tr>
      <w:tr w:rsidR="00D21C67" w:rsidRPr="002661A8" w:rsidDel="00B86755" w14:paraId="6B778539" w14:textId="12DE1785" w:rsidTr="00227A34">
        <w:tc>
          <w:tcPr>
            <w:tcW w:w="3794" w:type="dxa"/>
          </w:tcPr>
          <w:p w14:paraId="0AC4D97A" w14:textId="77777777" w:rsidR="00D21C67" w:rsidRPr="002661A8" w:rsidDel="00B86755" w:rsidRDefault="00D21C67" w:rsidP="004D2EEA">
            <w:pPr>
              <w:rPr>
                <w:noProof/>
              </w:rPr>
            </w:pPr>
            <w:r w:rsidRPr="002661A8">
              <w:rPr>
                <w:noProof/>
              </w:rPr>
              <w:t>Withdrawal of authorisation (Art. 20)</w:t>
            </w:r>
          </w:p>
        </w:tc>
        <w:tc>
          <w:tcPr>
            <w:tcW w:w="2410" w:type="dxa"/>
          </w:tcPr>
          <w:p w14:paraId="40467EB4" w14:textId="77777777" w:rsidR="00D21C67" w:rsidRPr="002661A8" w:rsidDel="00B86755" w:rsidRDefault="00D21C67" w:rsidP="004D2EEA">
            <w:pPr>
              <w:jc w:val="center"/>
              <w:rPr>
                <w:noProof/>
                <w:color w:val="333333"/>
              </w:rPr>
            </w:pPr>
            <w:r w:rsidRPr="002661A8">
              <w:rPr>
                <w:rFonts w:ascii="Segoe UI Symbol" w:hAnsi="Segoe UI Symbol" w:cs="Segoe UI Symbol"/>
                <w:noProof/>
                <w:color w:val="333333"/>
                <w:shd w:val="clear" w:color="auto" w:fill="FFFFFF"/>
              </w:rPr>
              <w:t>✔</w:t>
            </w:r>
          </w:p>
        </w:tc>
        <w:tc>
          <w:tcPr>
            <w:tcW w:w="2551" w:type="dxa"/>
          </w:tcPr>
          <w:p w14:paraId="65760A38" w14:textId="77777777" w:rsidR="00A317E4" w:rsidRPr="002661A8" w:rsidRDefault="00A317E4" w:rsidP="00A317E4">
            <w:pPr>
              <w:jc w:val="center"/>
              <w:rPr>
                <w:rFonts w:ascii="Segoe UI Symbol" w:hAnsi="Segoe UI Symbol" w:cs="Segoe UI Symbol"/>
                <w:noProof/>
                <w:color w:val="333333"/>
                <w:shd w:val="clear" w:color="auto" w:fill="FFFFFF"/>
              </w:rPr>
            </w:pPr>
          </w:p>
        </w:tc>
      </w:tr>
      <w:tr w:rsidR="00D21C67" w:rsidRPr="002661A8" w:rsidDel="00B86755" w14:paraId="4D04EF62" w14:textId="2A77E243" w:rsidTr="00227A34">
        <w:tc>
          <w:tcPr>
            <w:tcW w:w="3794" w:type="dxa"/>
          </w:tcPr>
          <w:p w14:paraId="633EC0A2" w14:textId="77777777" w:rsidR="00D21C67" w:rsidRPr="002661A8" w:rsidRDefault="00D21C67" w:rsidP="004D2EEA">
            <w:pPr>
              <w:rPr>
                <w:noProof/>
              </w:rPr>
            </w:pPr>
            <w:r w:rsidRPr="002661A8">
              <w:rPr>
                <w:noProof/>
              </w:rPr>
              <w:t>Review and evaluation of the CCP's compliance with EMIR regularly, at least annually (Art. 21)</w:t>
            </w:r>
          </w:p>
        </w:tc>
        <w:tc>
          <w:tcPr>
            <w:tcW w:w="2410" w:type="dxa"/>
          </w:tcPr>
          <w:p w14:paraId="7E458B7B" w14:textId="77777777" w:rsidR="00D21C67" w:rsidRPr="002661A8" w:rsidRDefault="00D21C67" w:rsidP="004D2EEA">
            <w:pPr>
              <w:rPr>
                <w:noProof/>
              </w:rPr>
            </w:pPr>
            <w:r w:rsidRPr="002661A8">
              <w:rPr>
                <w:noProof/>
              </w:rPr>
              <w:t>(No opinion, but College is informed)</w:t>
            </w:r>
          </w:p>
        </w:tc>
        <w:tc>
          <w:tcPr>
            <w:tcW w:w="2551" w:type="dxa"/>
          </w:tcPr>
          <w:p w14:paraId="7D0391CE" w14:textId="77777777" w:rsidR="00A317E4" w:rsidRPr="002661A8" w:rsidRDefault="00A317E4" w:rsidP="00A317E4">
            <w:pPr>
              <w:rPr>
                <w:noProof/>
              </w:rPr>
            </w:pPr>
          </w:p>
        </w:tc>
      </w:tr>
      <w:tr w:rsidR="00D21C67" w:rsidRPr="002661A8" w:rsidDel="00B86755" w14:paraId="7ACDFDAD" w14:textId="76E30F09" w:rsidTr="00227A34">
        <w:tc>
          <w:tcPr>
            <w:tcW w:w="3794" w:type="dxa"/>
          </w:tcPr>
          <w:p w14:paraId="51606CA0" w14:textId="77777777" w:rsidR="00D21C67" w:rsidRPr="002661A8" w:rsidRDefault="00D21C67" w:rsidP="004D2EEA">
            <w:pPr>
              <w:rPr>
                <w:noProof/>
              </w:rPr>
            </w:pPr>
            <w:r w:rsidRPr="002661A8">
              <w:rPr>
                <w:noProof/>
              </w:rPr>
              <w:t>Emergency situations (Art. 24)</w:t>
            </w:r>
          </w:p>
        </w:tc>
        <w:tc>
          <w:tcPr>
            <w:tcW w:w="2410" w:type="dxa"/>
          </w:tcPr>
          <w:p w14:paraId="1774E6FC" w14:textId="77777777" w:rsidR="00D21C67" w:rsidRPr="002661A8" w:rsidRDefault="00D21C67" w:rsidP="004D2EEA">
            <w:pPr>
              <w:rPr>
                <w:noProof/>
              </w:rPr>
            </w:pPr>
            <w:r w:rsidRPr="002661A8">
              <w:rPr>
                <w:noProof/>
              </w:rPr>
              <w:t>(No opinion, but College is informed)</w:t>
            </w:r>
          </w:p>
        </w:tc>
        <w:tc>
          <w:tcPr>
            <w:tcW w:w="2551" w:type="dxa"/>
          </w:tcPr>
          <w:p w14:paraId="00A412D5" w14:textId="11D2F4C1" w:rsidR="00A317E4" w:rsidRPr="002661A8" w:rsidRDefault="00A317E4" w:rsidP="00A317E4">
            <w:pPr>
              <w:rPr>
                <w:noProof/>
              </w:rPr>
            </w:pPr>
            <w:r w:rsidRPr="002661A8">
              <w:rPr>
                <w:noProof/>
              </w:rPr>
              <w:t>(No opinion, but ESMA is informed)</w:t>
            </w:r>
          </w:p>
        </w:tc>
      </w:tr>
      <w:tr w:rsidR="00D21C67" w:rsidRPr="002661A8" w14:paraId="70B9606F" w14:textId="42435322" w:rsidTr="00227A34">
        <w:tc>
          <w:tcPr>
            <w:tcW w:w="3794" w:type="dxa"/>
          </w:tcPr>
          <w:p w14:paraId="4B89D586" w14:textId="77777777" w:rsidR="00D21C67" w:rsidRPr="002661A8" w:rsidRDefault="00D21C67" w:rsidP="004D2EEA">
            <w:pPr>
              <w:rPr>
                <w:noProof/>
              </w:rPr>
            </w:pPr>
            <w:r w:rsidRPr="002661A8">
              <w:rPr>
                <w:noProof/>
              </w:rPr>
              <w:t>Record-keeping (Art. 29)</w:t>
            </w:r>
          </w:p>
        </w:tc>
        <w:tc>
          <w:tcPr>
            <w:tcW w:w="2410" w:type="dxa"/>
          </w:tcPr>
          <w:p w14:paraId="58DB50D8" w14:textId="77777777" w:rsidR="00D21C67" w:rsidRPr="002661A8" w:rsidRDefault="00D21C67" w:rsidP="004D2EEA">
            <w:pPr>
              <w:jc w:val="center"/>
              <w:rPr>
                <w:noProof/>
                <w:color w:val="333333"/>
                <w:shd w:val="clear" w:color="auto" w:fill="FFFFFF"/>
              </w:rPr>
            </w:pPr>
          </w:p>
        </w:tc>
        <w:tc>
          <w:tcPr>
            <w:tcW w:w="2551" w:type="dxa"/>
          </w:tcPr>
          <w:p w14:paraId="5FC6565E" w14:textId="65045BCA" w:rsidR="00A317E4" w:rsidRPr="002661A8" w:rsidRDefault="00A317E4" w:rsidP="00A317E4">
            <w:pPr>
              <w:jc w:val="center"/>
              <w:rPr>
                <w:rFonts w:ascii="Segoe UI Symbol" w:hAnsi="Segoe UI Symbol" w:cs="Segoe UI Symbol"/>
                <w:noProof/>
                <w:color w:val="333333"/>
                <w:shd w:val="clear" w:color="auto" w:fill="FFFFFF"/>
              </w:rPr>
            </w:pPr>
            <w:r w:rsidRPr="002661A8">
              <w:rPr>
                <w:rFonts w:ascii="Segoe UI Symbol" w:hAnsi="Segoe UI Symbol" w:cs="Segoe UI Symbol"/>
                <w:noProof/>
                <w:color w:val="333333"/>
                <w:shd w:val="clear" w:color="auto" w:fill="FFFFFF"/>
              </w:rPr>
              <w:t>✔</w:t>
            </w:r>
          </w:p>
        </w:tc>
      </w:tr>
      <w:tr w:rsidR="00D21C67" w:rsidRPr="002661A8" w14:paraId="06299D28" w14:textId="12F50E64" w:rsidTr="00227A34">
        <w:tc>
          <w:tcPr>
            <w:tcW w:w="3794" w:type="dxa"/>
          </w:tcPr>
          <w:p w14:paraId="12B57DBC" w14:textId="77777777" w:rsidR="00D21C67" w:rsidRPr="002661A8" w:rsidRDefault="00D21C67" w:rsidP="004D2EEA">
            <w:pPr>
              <w:rPr>
                <w:noProof/>
              </w:rPr>
            </w:pPr>
            <w:r w:rsidRPr="002661A8">
              <w:rPr>
                <w:noProof/>
              </w:rPr>
              <w:t>Shareholders and members with qualifying holdings (Art. 30-32)</w:t>
            </w:r>
          </w:p>
        </w:tc>
        <w:tc>
          <w:tcPr>
            <w:tcW w:w="2410" w:type="dxa"/>
          </w:tcPr>
          <w:p w14:paraId="7BD71ABC" w14:textId="77777777" w:rsidR="00D21C67" w:rsidRPr="002661A8" w:rsidRDefault="00D21C67" w:rsidP="004D2EEA">
            <w:pPr>
              <w:jc w:val="center"/>
              <w:rPr>
                <w:noProof/>
                <w:color w:val="333333"/>
              </w:rPr>
            </w:pPr>
            <w:r w:rsidRPr="002661A8">
              <w:rPr>
                <w:rFonts w:ascii="Segoe UI Symbol" w:hAnsi="Segoe UI Symbol" w:cs="Segoe UI Symbol"/>
                <w:noProof/>
                <w:color w:val="333333"/>
                <w:shd w:val="clear" w:color="auto" w:fill="FFFFFF"/>
              </w:rPr>
              <w:t>✔</w:t>
            </w:r>
          </w:p>
        </w:tc>
        <w:tc>
          <w:tcPr>
            <w:tcW w:w="2551" w:type="dxa"/>
          </w:tcPr>
          <w:p w14:paraId="1194D5B1" w14:textId="73423FC1" w:rsidR="00A317E4" w:rsidRPr="002661A8" w:rsidRDefault="00A317E4" w:rsidP="00A317E4">
            <w:pPr>
              <w:jc w:val="center"/>
              <w:rPr>
                <w:rFonts w:ascii="Segoe UI Symbol" w:hAnsi="Segoe UI Symbol" w:cs="Segoe UI Symbol"/>
                <w:noProof/>
                <w:color w:val="333333"/>
                <w:shd w:val="clear" w:color="auto" w:fill="FFFFFF"/>
              </w:rPr>
            </w:pPr>
            <w:r w:rsidRPr="002661A8">
              <w:rPr>
                <w:rFonts w:ascii="Segoe UI Symbol" w:hAnsi="Segoe UI Symbol" w:cs="Segoe UI Symbol"/>
                <w:noProof/>
                <w:color w:val="333333"/>
                <w:shd w:val="clear" w:color="auto" w:fill="FFFFFF"/>
              </w:rPr>
              <w:t>✔</w:t>
            </w:r>
          </w:p>
        </w:tc>
      </w:tr>
      <w:tr w:rsidR="00D21C67" w:rsidRPr="002661A8" w14:paraId="031160C3" w14:textId="4962B736" w:rsidTr="00227A34">
        <w:tc>
          <w:tcPr>
            <w:tcW w:w="3794" w:type="dxa"/>
          </w:tcPr>
          <w:p w14:paraId="057EA894" w14:textId="77777777" w:rsidR="00D21C67" w:rsidRPr="002661A8" w:rsidRDefault="00D21C67" w:rsidP="004D2EEA">
            <w:pPr>
              <w:rPr>
                <w:noProof/>
              </w:rPr>
            </w:pPr>
            <w:r w:rsidRPr="002661A8">
              <w:rPr>
                <w:noProof/>
              </w:rPr>
              <w:t>Conflicts of interest (Art. 33)</w:t>
            </w:r>
          </w:p>
        </w:tc>
        <w:tc>
          <w:tcPr>
            <w:tcW w:w="2410" w:type="dxa"/>
          </w:tcPr>
          <w:p w14:paraId="4F3A1A57" w14:textId="77777777" w:rsidR="00D21C67" w:rsidRPr="002661A8" w:rsidRDefault="00D21C67" w:rsidP="004D2EEA">
            <w:pPr>
              <w:jc w:val="center"/>
              <w:rPr>
                <w:noProof/>
                <w:color w:val="333333"/>
                <w:shd w:val="clear" w:color="auto" w:fill="FFFFFF"/>
              </w:rPr>
            </w:pPr>
          </w:p>
        </w:tc>
        <w:tc>
          <w:tcPr>
            <w:tcW w:w="2551" w:type="dxa"/>
          </w:tcPr>
          <w:p w14:paraId="4ED7309F" w14:textId="4F94B41E" w:rsidR="00A317E4" w:rsidRPr="002661A8" w:rsidRDefault="00A317E4" w:rsidP="00A317E4">
            <w:pPr>
              <w:jc w:val="center"/>
              <w:rPr>
                <w:rFonts w:ascii="Segoe UI Symbol" w:hAnsi="Segoe UI Symbol" w:cs="Segoe UI Symbol"/>
                <w:noProof/>
                <w:color w:val="333333"/>
                <w:shd w:val="clear" w:color="auto" w:fill="FFFFFF"/>
              </w:rPr>
            </w:pPr>
            <w:r w:rsidRPr="002661A8">
              <w:rPr>
                <w:rFonts w:ascii="Segoe UI Symbol" w:hAnsi="Segoe UI Symbol" w:cs="Segoe UI Symbol"/>
                <w:noProof/>
                <w:color w:val="333333"/>
                <w:shd w:val="clear" w:color="auto" w:fill="FFFFFF"/>
              </w:rPr>
              <w:t>✔</w:t>
            </w:r>
          </w:p>
        </w:tc>
      </w:tr>
      <w:tr w:rsidR="00D21C67" w:rsidRPr="002661A8" w14:paraId="1E6D6FC9" w14:textId="65FF69F2" w:rsidTr="00227A34">
        <w:tc>
          <w:tcPr>
            <w:tcW w:w="3794" w:type="dxa"/>
          </w:tcPr>
          <w:p w14:paraId="4CB9D48F" w14:textId="77777777" w:rsidR="00D21C67" w:rsidRPr="002661A8" w:rsidRDefault="00D21C67" w:rsidP="004D2EEA">
            <w:pPr>
              <w:rPr>
                <w:noProof/>
              </w:rPr>
            </w:pPr>
            <w:r w:rsidRPr="002661A8">
              <w:rPr>
                <w:noProof/>
              </w:rPr>
              <w:t>Outsourcing (Art. 35)</w:t>
            </w:r>
          </w:p>
        </w:tc>
        <w:tc>
          <w:tcPr>
            <w:tcW w:w="2410" w:type="dxa"/>
          </w:tcPr>
          <w:p w14:paraId="273E5C73" w14:textId="77777777" w:rsidR="00D21C67" w:rsidRPr="002661A8" w:rsidRDefault="00D21C67" w:rsidP="004D2EEA">
            <w:pPr>
              <w:jc w:val="center"/>
              <w:rPr>
                <w:noProof/>
                <w:color w:val="333333"/>
              </w:rPr>
            </w:pPr>
            <w:r w:rsidRPr="002661A8">
              <w:rPr>
                <w:rFonts w:ascii="Segoe UI Symbol" w:hAnsi="Segoe UI Symbol" w:cs="Segoe UI Symbol"/>
                <w:noProof/>
                <w:color w:val="333333"/>
                <w:shd w:val="clear" w:color="auto" w:fill="FFFFFF"/>
              </w:rPr>
              <w:t>✔</w:t>
            </w:r>
          </w:p>
        </w:tc>
        <w:tc>
          <w:tcPr>
            <w:tcW w:w="2551" w:type="dxa"/>
          </w:tcPr>
          <w:p w14:paraId="3AEBF72B" w14:textId="16CEB70C" w:rsidR="00A317E4" w:rsidRPr="002661A8" w:rsidRDefault="00A317E4" w:rsidP="00A317E4">
            <w:pPr>
              <w:jc w:val="center"/>
              <w:rPr>
                <w:rFonts w:ascii="Segoe UI Symbol" w:hAnsi="Segoe UI Symbol" w:cs="Segoe UI Symbol"/>
                <w:noProof/>
                <w:color w:val="333333"/>
                <w:shd w:val="clear" w:color="auto" w:fill="FFFFFF"/>
              </w:rPr>
            </w:pPr>
            <w:r w:rsidRPr="002661A8">
              <w:rPr>
                <w:rFonts w:ascii="Segoe UI Symbol" w:hAnsi="Segoe UI Symbol" w:cs="Segoe UI Symbol"/>
                <w:noProof/>
                <w:color w:val="333333"/>
                <w:shd w:val="clear" w:color="auto" w:fill="FFFFFF"/>
              </w:rPr>
              <w:t>✔</w:t>
            </w:r>
          </w:p>
        </w:tc>
      </w:tr>
      <w:tr w:rsidR="00D21C67" w:rsidRPr="002661A8" w14:paraId="301978DF" w14:textId="65255EBE" w:rsidTr="00227A34">
        <w:tc>
          <w:tcPr>
            <w:tcW w:w="3794" w:type="dxa"/>
          </w:tcPr>
          <w:p w14:paraId="67663AD9" w14:textId="77777777" w:rsidR="00D21C67" w:rsidRPr="002661A8" w:rsidRDefault="00D21C67" w:rsidP="004D2EEA">
            <w:pPr>
              <w:rPr>
                <w:noProof/>
              </w:rPr>
            </w:pPr>
            <w:r w:rsidRPr="002661A8">
              <w:rPr>
                <w:noProof/>
              </w:rPr>
              <w:t>General provisions on conduct of business (Art. 36)</w:t>
            </w:r>
          </w:p>
        </w:tc>
        <w:tc>
          <w:tcPr>
            <w:tcW w:w="2410" w:type="dxa"/>
          </w:tcPr>
          <w:p w14:paraId="27DBA36E" w14:textId="77777777" w:rsidR="00D21C67" w:rsidRPr="002661A8" w:rsidRDefault="00D21C67" w:rsidP="004D2EEA">
            <w:pPr>
              <w:jc w:val="center"/>
              <w:rPr>
                <w:noProof/>
                <w:color w:val="333333"/>
                <w:shd w:val="clear" w:color="auto" w:fill="FFFFFF"/>
              </w:rPr>
            </w:pPr>
          </w:p>
        </w:tc>
        <w:tc>
          <w:tcPr>
            <w:tcW w:w="2551" w:type="dxa"/>
          </w:tcPr>
          <w:p w14:paraId="686899A3" w14:textId="1350FA2A" w:rsidR="00A317E4" w:rsidRPr="002661A8" w:rsidRDefault="00A317E4" w:rsidP="00A317E4">
            <w:pPr>
              <w:jc w:val="center"/>
              <w:rPr>
                <w:rFonts w:ascii="Segoe UI Symbol" w:hAnsi="Segoe UI Symbol" w:cs="Segoe UI Symbol"/>
                <w:noProof/>
                <w:color w:val="333333"/>
                <w:shd w:val="clear" w:color="auto" w:fill="FFFFFF"/>
              </w:rPr>
            </w:pPr>
            <w:r w:rsidRPr="002661A8">
              <w:rPr>
                <w:rFonts w:ascii="Segoe UI Symbol" w:hAnsi="Segoe UI Symbol" w:cs="Segoe UI Symbol"/>
                <w:noProof/>
                <w:color w:val="333333"/>
                <w:shd w:val="clear" w:color="auto" w:fill="FFFFFF"/>
              </w:rPr>
              <w:t>✔</w:t>
            </w:r>
          </w:p>
        </w:tc>
      </w:tr>
      <w:tr w:rsidR="00D21C67" w:rsidRPr="002661A8" w14:paraId="01D6F510" w14:textId="2DC3C852" w:rsidTr="00227A34">
        <w:tc>
          <w:tcPr>
            <w:tcW w:w="3794" w:type="dxa"/>
          </w:tcPr>
          <w:p w14:paraId="5C3EC88B" w14:textId="77777777" w:rsidR="00D21C67" w:rsidRPr="002661A8" w:rsidRDefault="00D21C67" w:rsidP="004D2EEA">
            <w:pPr>
              <w:rPr>
                <w:noProof/>
              </w:rPr>
            </w:pPr>
            <w:r w:rsidRPr="002661A8">
              <w:rPr>
                <w:noProof/>
              </w:rPr>
              <w:t>Validation of models and parameters for margins (Art. 41(2))</w:t>
            </w:r>
          </w:p>
        </w:tc>
        <w:tc>
          <w:tcPr>
            <w:tcW w:w="2410" w:type="dxa"/>
          </w:tcPr>
          <w:p w14:paraId="7858CDAA" w14:textId="77777777" w:rsidR="00D21C67" w:rsidRPr="002661A8" w:rsidRDefault="00D21C67" w:rsidP="004D2EEA">
            <w:pPr>
              <w:jc w:val="center"/>
              <w:rPr>
                <w:noProof/>
                <w:color w:val="333333"/>
              </w:rPr>
            </w:pPr>
            <w:r w:rsidRPr="002661A8">
              <w:rPr>
                <w:rFonts w:ascii="Segoe UI Symbol" w:hAnsi="Segoe UI Symbol" w:cs="Segoe UI Symbol"/>
                <w:noProof/>
                <w:color w:val="333333"/>
                <w:shd w:val="clear" w:color="auto" w:fill="FFFFFF"/>
              </w:rPr>
              <w:t>✔</w:t>
            </w:r>
          </w:p>
        </w:tc>
        <w:tc>
          <w:tcPr>
            <w:tcW w:w="2551" w:type="dxa"/>
          </w:tcPr>
          <w:p w14:paraId="2043F715" w14:textId="77777777" w:rsidR="00A317E4" w:rsidRPr="002661A8" w:rsidRDefault="00A317E4" w:rsidP="00A317E4">
            <w:pPr>
              <w:jc w:val="center"/>
              <w:rPr>
                <w:rFonts w:ascii="Segoe UI Symbol" w:hAnsi="Segoe UI Symbol" w:cs="Segoe UI Symbol"/>
                <w:noProof/>
                <w:color w:val="333333"/>
                <w:shd w:val="clear" w:color="auto" w:fill="FFFFFF"/>
              </w:rPr>
            </w:pPr>
          </w:p>
        </w:tc>
      </w:tr>
      <w:tr w:rsidR="00D21C67" w:rsidRPr="002661A8" w14:paraId="46A7FA5E" w14:textId="0F6E4464" w:rsidTr="00227A34">
        <w:tc>
          <w:tcPr>
            <w:tcW w:w="3794" w:type="dxa"/>
          </w:tcPr>
          <w:p w14:paraId="2E84157F" w14:textId="77777777" w:rsidR="00D21C67" w:rsidRPr="002661A8" w:rsidRDefault="00D21C67" w:rsidP="004D2EEA">
            <w:pPr>
              <w:rPr>
                <w:noProof/>
              </w:rPr>
            </w:pPr>
            <w:r w:rsidRPr="002661A8">
              <w:rPr>
                <w:noProof/>
              </w:rPr>
              <w:t>Review of models, stress testing and back testing (Art. 49)</w:t>
            </w:r>
          </w:p>
        </w:tc>
        <w:tc>
          <w:tcPr>
            <w:tcW w:w="2410" w:type="dxa"/>
          </w:tcPr>
          <w:p w14:paraId="609170F9" w14:textId="77777777" w:rsidR="00D21C67" w:rsidRPr="002661A8" w:rsidRDefault="00D21C67" w:rsidP="004D2EEA">
            <w:pPr>
              <w:jc w:val="center"/>
              <w:rPr>
                <w:noProof/>
                <w:color w:val="333333"/>
              </w:rPr>
            </w:pPr>
            <w:r w:rsidRPr="002661A8">
              <w:rPr>
                <w:rFonts w:ascii="Segoe UI Symbol" w:hAnsi="Segoe UI Symbol" w:cs="Segoe UI Symbol"/>
                <w:noProof/>
                <w:color w:val="333333"/>
                <w:shd w:val="clear" w:color="auto" w:fill="FFFFFF"/>
              </w:rPr>
              <w:t>✔</w:t>
            </w:r>
          </w:p>
        </w:tc>
        <w:tc>
          <w:tcPr>
            <w:tcW w:w="2551" w:type="dxa"/>
          </w:tcPr>
          <w:p w14:paraId="736435C9" w14:textId="2499D694" w:rsidR="00A317E4" w:rsidRPr="002661A8" w:rsidRDefault="00A317E4" w:rsidP="00A317E4">
            <w:pPr>
              <w:jc w:val="center"/>
              <w:rPr>
                <w:noProof/>
                <w:color w:val="333333"/>
                <w:shd w:val="clear" w:color="auto" w:fill="FFFFFF"/>
              </w:rPr>
            </w:pPr>
            <w:r w:rsidRPr="002661A8">
              <w:rPr>
                <w:noProof/>
                <w:color w:val="333333"/>
                <w:shd w:val="clear" w:color="auto" w:fill="FFFFFF"/>
              </w:rPr>
              <w:t>(ESMA validation required in addition to an NCA validation)</w:t>
            </w:r>
          </w:p>
        </w:tc>
      </w:tr>
      <w:tr w:rsidR="00D21C67" w:rsidRPr="002661A8" w14:paraId="7C9A2CAC" w14:textId="55E20CE7" w:rsidTr="00227A34">
        <w:tc>
          <w:tcPr>
            <w:tcW w:w="3794" w:type="dxa"/>
          </w:tcPr>
          <w:p w14:paraId="353CAFEE" w14:textId="77777777" w:rsidR="00D21C67" w:rsidRPr="002661A8" w:rsidRDefault="00D21C67" w:rsidP="004D2EEA">
            <w:pPr>
              <w:rPr>
                <w:noProof/>
              </w:rPr>
            </w:pPr>
            <w:r w:rsidRPr="002661A8">
              <w:rPr>
                <w:noProof/>
              </w:rPr>
              <w:t>Interoperability arrangements (Art. 51)</w:t>
            </w:r>
          </w:p>
        </w:tc>
        <w:tc>
          <w:tcPr>
            <w:tcW w:w="2410" w:type="dxa"/>
          </w:tcPr>
          <w:p w14:paraId="5A39F5DE" w14:textId="77777777" w:rsidR="00D21C67" w:rsidRPr="002661A8" w:rsidRDefault="00D21C67" w:rsidP="004D2EEA">
            <w:pPr>
              <w:jc w:val="center"/>
              <w:rPr>
                <w:noProof/>
                <w:color w:val="333333"/>
              </w:rPr>
            </w:pPr>
            <w:r w:rsidRPr="002661A8">
              <w:rPr>
                <w:rFonts w:ascii="Segoe UI Symbol" w:hAnsi="Segoe UI Symbol" w:cs="Segoe UI Symbol"/>
                <w:noProof/>
                <w:color w:val="333333"/>
                <w:shd w:val="clear" w:color="auto" w:fill="FFFFFF"/>
              </w:rPr>
              <w:t>✔</w:t>
            </w:r>
          </w:p>
        </w:tc>
        <w:tc>
          <w:tcPr>
            <w:tcW w:w="2551" w:type="dxa"/>
          </w:tcPr>
          <w:p w14:paraId="01E3321B" w14:textId="77777777" w:rsidR="00A317E4" w:rsidRPr="002661A8" w:rsidRDefault="00A317E4" w:rsidP="00A317E4">
            <w:pPr>
              <w:jc w:val="center"/>
              <w:rPr>
                <w:rFonts w:ascii="Segoe UI Symbol" w:hAnsi="Segoe UI Symbol" w:cs="Segoe UI Symbol"/>
                <w:noProof/>
                <w:color w:val="333333"/>
                <w:shd w:val="clear" w:color="auto" w:fill="FFFFFF"/>
              </w:rPr>
            </w:pPr>
          </w:p>
        </w:tc>
      </w:tr>
      <w:tr w:rsidR="00D21C67" w:rsidRPr="002661A8" w14:paraId="2E143379" w14:textId="6AC506B7" w:rsidTr="00227A34">
        <w:tc>
          <w:tcPr>
            <w:tcW w:w="3794" w:type="dxa"/>
          </w:tcPr>
          <w:p w14:paraId="41B0B952" w14:textId="77777777" w:rsidR="00D21C67" w:rsidRPr="002661A8" w:rsidRDefault="00D21C67" w:rsidP="004D2EEA">
            <w:pPr>
              <w:rPr>
                <w:noProof/>
              </w:rPr>
            </w:pPr>
            <w:r w:rsidRPr="002661A8">
              <w:rPr>
                <w:noProof/>
              </w:rPr>
              <w:t>Approval of interoperability arrangements (Art. 54)</w:t>
            </w:r>
          </w:p>
        </w:tc>
        <w:tc>
          <w:tcPr>
            <w:tcW w:w="2410" w:type="dxa"/>
          </w:tcPr>
          <w:p w14:paraId="424D6478" w14:textId="77777777" w:rsidR="00D21C67" w:rsidRPr="002661A8" w:rsidRDefault="00D21C67" w:rsidP="004D2EEA">
            <w:pPr>
              <w:jc w:val="center"/>
              <w:rPr>
                <w:noProof/>
                <w:color w:val="333333"/>
              </w:rPr>
            </w:pPr>
            <w:r w:rsidRPr="002661A8">
              <w:rPr>
                <w:rFonts w:ascii="Segoe UI Symbol" w:hAnsi="Segoe UI Symbol" w:cs="Segoe UI Symbol"/>
                <w:noProof/>
                <w:color w:val="333333"/>
                <w:shd w:val="clear" w:color="auto" w:fill="FFFFFF"/>
              </w:rPr>
              <w:t>✔</w:t>
            </w:r>
          </w:p>
        </w:tc>
        <w:tc>
          <w:tcPr>
            <w:tcW w:w="2551" w:type="dxa"/>
          </w:tcPr>
          <w:p w14:paraId="53BE402C" w14:textId="3CC9C3E2" w:rsidR="00A317E4" w:rsidRPr="002661A8" w:rsidRDefault="00A317E4" w:rsidP="00A317E4">
            <w:pPr>
              <w:jc w:val="center"/>
              <w:rPr>
                <w:rFonts w:ascii="Segoe UI Symbol" w:hAnsi="Segoe UI Symbol" w:cs="Segoe UI Symbol"/>
                <w:noProof/>
                <w:color w:val="333333"/>
                <w:shd w:val="clear" w:color="auto" w:fill="FFFFFF"/>
              </w:rPr>
            </w:pPr>
            <w:r w:rsidRPr="002661A8">
              <w:rPr>
                <w:rFonts w:ascii="Segoe UI Symbol" w:hAnsi="Segoe UI Symbol" w:cs="Segoe UI Symbol"/>
                <w:noProof/>
                <w:color w:val="333333"/>
                <w:shd w:val="clear" w:color="auto" w:fill="FFFFFF"/>
              </w:rPr>
              <w:t>✔</w:t>
            </w:r>
          </w:p>
        </w:tc>
      </w:tr>
    </w:tbl>
    <w:p w14:paraId="0B9AF86E" w14:textId="299E6204" w:rsidR="00AB659F" w:rsidRPr="002661A8" w:rsidRDefault="00AB659F">
      <w:pPr>
        <w:rPr>
          <w:i/>
          <w:noProof/>
          <w:sz w:val="24"/>
          <w:szCs w:val="24"/>
        </w:rPr>
      </w:pPr>
    </w:p>
    <w:p w14:paraId="6394A90D" w14:textId="77777777" w:rsidR="004873EE" w:rsidRPr="002661A8" w:rsidRDefault="004873EE" w:rsidP="00AB659F">
      <w:pPr>
        <w:pStyle w:val="AnnexTitle"/>
        <w:rPr>
          <w:noProof/>
          <w:sz w:val="24"/>
          <w:szCs w:val="24"/>
        </w:rPr>
        <w:sectPr w:rsidR="004873EE" w:rsidRPr="002661A8" w:rsidSect="00A93139">
          <w:headerReference w:type="even" r:id="rId38"/>
          <w:headerReference w:type="default" r:id="rId39"/>
          <w:footerReference w:type="even" r:id="rId40"/>
          <w:footerReference w:type="default" r:id="rId41"/>
          <w:headerReference w:type="first" r:id="rId42"/>
          <w:footerReference w:type="first" r:id="rId43"/>
          <w:pgSz w:w="11906" w:h="16838"/>
          <w:pgMar w:top="1020" w:right="1701" w:bottom="1020" w:left="1587" w:header="601" w:footer="1077" w:gutter="0"/>
          <w:cols w:space="720"/>
          <w:titlePg/>
        </w:sectPr>
      </w:pPr>
      <w:bookmarkStart w:id="1790" w:name="_Toc108539886"/>
      <w:bookmarkStart w:id="1791" w:name="_Toc107493949"/>
      <w:bookmarkStart w:id="1792" w:name="_Toc107497985"/>
      <w:bookmarkStart w:id="1793" w:name="_Toc107503538"/>
      <w:bookmarkStart w:id="1794" w:name="_Toc107505531"/>
      <w:bookmarkStart w:id="1795" w:name="_Toc107839007"/>
      <w:bookmarkStart w:id="1796" w:name="_Toc107849339"/>
    </w:p>
    <w:p w14:paraId="651AD028" w14:textId="512FBEC5" w:rsidR="00BC7533" w:rsidRPr="002661A8" w:rsidRDefault="00AB659F" w:rsidP="00701ABD">
      <w:pPr>
        <w:pStyle w:val="Heading1"/>
        <w:jc w:val="center"/>
        <w:rPr>
          <w:noProof/>
          <w:szCs w:val="24"/>
        </w:rPr>
      </w:pPr>
      <w:bookmarkStart w:id="1797" w:name="_Toc109057461"/>
      <w:bookmarkStart w:id="1798" w:name="_Toc109120827"/>
      <w:bookmarkStart w:id="1799" w:name="_Toc109122423"/>
      <w:bookmarkStart w:id="1800" w:name="_Toc109133160"/>
      <w:bookmarkStart w:id="1801" w:name="_Toc120291696"/>
      <w:r w:rsidRPr="002661A8">
        <w:rPr>
          <w:noProof/>
        </w:rPr>
        <w:t xml:space="preserve">Annex </w:t>
      </w:r>
      <w:r w:rsidR="003250C7" w:rsidRPr="002661A8">
        <w:rPr>
          <w:noProof/>
          <w:szCs w:val="24"/>
        </w:rPr>
        <w:t>6</w:t>
      </w:r>
      <w:r w:rsidR="00BE7BD0" w:rsidRPr="002661A8">
        <w:rPr>
          <w:noProof/>
          <w:szCs w:val="24"/>
        </w:rPr>
        <w:t>:</w:t>
      </w:r>
      <w:r w:rsidR="00BC7533" w:rsidRPr="002661A8">
        <w:rPr>
          <w:noProof/>
          <w:szCs w:val="24"/>
        </w:rPr>
        <w:t xml:space="preserve"> Options discarded at an early stage</w:t>
      </w:r>
      <w:bookmarkEnd w:id="1790"/>
      <w:bookmarkEnd w:id="1797"/>
      <w:bookmarkEnd w:id="1798"/>
      <w:bookmarkEnd w:id="1799"/>
      <w:bookmarkEnd w:id="1800"/>
      <w:bookmarkEnd w:id="1801"/>
    </w:p>
    <w:p w14:paraId="018D7569" w14:textId="145D8E67" w:rsidR="00BC7533" w:rsidRPr="002661A8" w:rsidRDefault="00BC7533" w:rsidP="00BC7533">
      <w:pPr>
        <w:pStyle w:val="Text2"/>
        <w:spacing w:after="120"/>
        <w:ind w:left="0"/>
        <w:rPr>
          <w:noProof/>
        </w:rPr>
      </w:pPr>
      <w:r w:rsidRPr="002661A8">
        <w:rPr>
          <w:noProof/>
        </w:rPr>
        <w:t>Certain options were discarded at an early stage as inconsistent with the EU legal framework or with financial stability considerations</w:t>
      </w:r>
      <w:r w:rsidR="002504D9">
        <w:rPr>
          <w:noProof/>
        </w:rPr>
        <w:t xml:space="preserve"> that</w:t>
      </w:r>
      <w:r w:rsidRPr="002661A8">
        <w:rPr>
          <w:noProof/>
        </w:rPr>
        <w:t xml:space="preserve"> are at the heart of EMIR and of this initiative. These options refer, in particular, to measures targeting the supply side of clearing services (Section 5.2.1)</w:t>
      </w:r>
      <w:r w:rsidR="00AD6092">
        <w:rPr>
          <w:noProof/>
        </w:rPr>
        <w:t>,</w:t>
      </w:r>
      <w:r w:rsidRPr="002661A8">
        <w:rPr>
          <w:noProof/>
        </w:rPr>
        <w:t xml:space="preserve"> measures targeting the demand side of clearing services (Section 5.2.2)</w:t>
      </w:r>
      <w:r w:rsidR="00AD6092">
        <w:rPr>
          <w:noProof/>
        </w:rPr>
        <w:t xml:space="preserve">, </w:t>
      </w:r>
      <w:r w:rsidR="00AD6092" w:rsidRPr="0039661C">
        <w:rPr>
          <w:noProof/>
        </w:rPr>
        <w:t>and relying on an approach based on global coordination</w:t>
      </w:r>
      <w:r w:rsidRPr="002661A8">
        <w:rPr>
          <w:noProof/>
        </w:rPr>
        <w:t xml:space="preserve">. </w:t>
      </w:r>
    </w:p>
    <w:p w14:paraId="2ADDF4BE" w14:textId="4C6C8157" w:rsidR="00BC7533" w:rsidRPr="002661A8" w:rsidRDefault="00BC7533" w:rsidP="00BC7533">
      <w:pPr>
        <w:pStyle w:val="Text2"/>
        <w:spacing w:after="120"/>
        <w:ind w:left="0"/>
        <w:rPr>
          <w:noProof/>
        </w:rPr>
      </w:pPr>
      <w:r w:rsidRPr="002661A8">
        <w:rPr>
          <w:noProof/>
        </w:rPr>
        <w:t xml:space="preserve">Concerning the supply side of clearing services, two options were discarded as they </w:t>
      </w:r>
      <w:r w:rsidR="003352CE">
        <w:rPr>
          <w:noProof/>
        </w:rPr>
        <w:t>fall within the</w:t>
      </w:r>
      <w:r w:rsidR="003352CE" w:rsidRPr="002661A8">
        <w:rPr>
          <w:noProof/>
        </w:rPr>
        <w:t xml:space="preserve"> </w:t>
      </w:r>
      <w:r w:rsidRPr="002661A8">
        <w:rPr>
          <w:noProof/>
        </w:rPr>
        <w:t xml:space="preserve">competence of central banks: granting all EU CCPs the same access to central bank liquidity facilities, irrespective of the need for a banking licence; and the extension of the operating hours of payment systems (Target 2) beyond the current closing time (6 p.m.). The same level of access to central bank liquidity facilities for EU CCPs irrespective of them holding a banking license could contribute to improving the attractiveness of the EU central clearing framework and bringing the EU in line with other jurisdictions, e.g. </w:t>
      </w:r>
      <w:r w:rsidR="003352CE">
        <w:rPr>
          <w:noProof/>
        </w:rPr>
        <w:t xml:space="preserve">the </w:t>
      </w:r>
      <w:r w:rsidRPr="002661A8">
        <w:rPr>
          <w:noProof/>
        </w:rPr>
        <w:t xml:space="preserve">UK or </w:t>
      </w:r>
      <w:r w:rsidR="003352CE">
        <w:rPr>
          <w:noProof/>
        </w:rPr>
        <w:t xml:space="preserve">the </w:t>
      </w:r>
      <w:r w:rsidRPr="002661A8">
        <w:rPr>
          <w:noProof/>
        </w:rPr>
        <w:t>US. Stakeholders consider this option to be effective or rather effective in contributing to the objectives of the initiative, and Member States’ feedback</w:t>
      </w:r>
      <w:r w:rsidRPr="002661A8">
        <w:rPr>
          <w:rStyle w:val="FootnoteReference"/>
          <w:noProof/>
        </w:rPr>
        <w:footnoteReference w:id="209"/>
      </w:r>
      <w:r w:rsidRPr="002661A8">
        <w:rPr>
          <w:noProof/>
        </w:rPr>
        <w:t xml:space="preserve"> was also overall positive. ESMA also assessed this option as worth exploring,</w:t>
      </w:r>
      <w:r w:rsidRPr="002661A8" w:rsidDel="003352CE">
        <w:rPr>
          <w:noProof/>
        </w:rPr>
        <w:t xml:space="preserve"> </w:t>
      </w:r>
      <w:r w:rsidR="003352CE">
        <w:rPr>
          <w:noProof/>
        </w:rPr>
        <w:t>since</w:t>
      </w:r>
      <w:r w:rsidRPr="002661A8">
        <w:rPr>
          <w:noProof/>
        </w:rPr>
        <w:t xml:space="preserve"> requiring a banking license leads to additional costs without clear added value.</w:t>
      </w:r>
      <w:r w:rsidRPr="002661A8">
        <w:rPr>
          <w:rStyle w:val="FootnoteReference"/>
          <w:noProof/>
        </w:rPr>
        <w:footnoteReference w:id="210"/>
      </w:r>
      <w:r w:rsidRPr="002661A8">
        <w:rPr>
          <w:noProof/>
        </w:rPr>
        <w:t xml:space="preserve"> However, in the EU access to central bank facilities is the exclusive competence of central banks and linked to their independence as grounded in the TFEU. As regards Target 2 operating hours, extending them would allow clearing participants to meet late-hour CCP margin calls in euros instead of relying on other currencies (typically, US Dollars), as Euro payments cannot be processed after Target 2 closes</w:t>
      </w:r>
      <w:r w:rsidR="00E77D1B" w:rsidRPr="002661A8">
        <w:rPr>
          <w:rStyle w:val="FootnoteReference"/>
          <w:noProof/>
        </w:rPr>
        <w:footnoteReference w:id="211"/>
      </w:r>
      <w:r w:rsidRPr="002661A8">
        <w:rPr>
          <w:noProof/>
        </w:rPr>
        <w:t xml:space="preserve">. </w:t>
      </w:r>
      <w:r w:rsidR="00A42A33" w:rsidRPr="002661A8">
        <w:rPr>
          <w:noProof/>
        </w:rPr>
        <w:t>Respondents</w:t>
      </w:r>
      <w:r w:rsidRPr="002661A8">
        <w:rPr>
          <w:noProof/>
        </w:rPr>
        <w:t xml:space="preserve"> to the </w:t>
      </w:r>
      <w:r w:rsidR="001C35F8" w:rsidRPr="002661A8">
        <w:rPr>
          <w:noProof/>
        </w:rPr>
        <w:t xml:space="preserve">targeted </w:t>
      </w:r>
      <w:r w:rsidRPr="002661A8">
        <w:rPr>
          <w:noProof/>
        </w:rPr>
        <w:t xml:space="preserve">consultation also generally supported this option, also because it would reduce the dependence of EU clearing participants on US Dollar liquidity. However, these types of operational initiatives are not regulated under EMIR. Consequently, these options </w:t>
      </w:r>
      <w:r w:rsidR="003352CE">
        <w:rPr>
          <w:noProof/>
        </w:rPr>
        <w:t>were not further assessed</w:t>
      </w:r>
      <w:r w:rsidRPr="002661A8">
        <w:rPr>
          <w:noProof/>
        </w:rPr>
        <w:t>.</w:t>
      </w:r>
    </w:p>
    <w:p w14:paraId="2002EE53" w14:textId="1BC063DD" w:rsidR="00BC7533" w:rsidRPr="002661A8" w:rsidRDefault="00BC7533" w:rsidP="00BC7533">
      <w:pPr>
        <w:pStyle w:val="Text2"/>
        <w:spacing w:after="120"/>
        <w:ind w:left="0"/>
        <w:rPr>
          <w:noProof/>
        </w:rPr>
      </w:pPr>
      <w:r w:rsidRPr="002661A8">
        <w:rPr>
          <w:noProof/>
        </w:rPr>
        <w:t xml:space="preserve">As regards the demand of clearing services, the option of broadening the scope of products subject to a clearing obligation was discarded. Stakeholders generally did not see the specific need to extend the range of products subject to the clearing obligation, as </w:t>
      </w:r>
      <w:r w:rsidRPr="002661A8" w:rsidDel="003C3291">
        <w:rPr>
          <w:noProof/>
        </w:rPr>
        <w:t xml:space="preserve">the </w:t>
      </w:r>
      <w:r w:rsidRPr="002661A8">
        <w:rPr>
          <w:noProof/>
        </w:rPr>
        <w:t>criteria for including new products are already clear in the EMIR framework; only products that are liquid and standardised enough could qualify for a clearing obligation. CCPs, on the other hand, were generally in favour of an extended scope. However, extending the scope of the clearing obligation is already possible under EMIR following a procedure involving ESMA. The procedure requires an analysis as to if the mentioned criteria are met before imposing a clearing obligation. These criteria are associated with financial stability and they should be duly assessed for any new category of products to be made subject to a clearing obligation. In light of the above, a more</w:t>
      </w:r>
      <w:r w:rsidRPr="002661A8" w:rsidDel="003C3291">
        <w:rPr>
          <w:noProof/>
        </w:rPr>
        <w:t xml:space="preserve"> </w:t>
      </w:r>
      <w:r w:rsidRPr="002661A8">
        <w:rPr>
          <w:noProof/>
        </w:rPr>
        <w:t>regular review by ESMA of the products rather than any specific changes to the criteria for the clearing obligation is considered more appropriate.</w:t>
      </w:r>
    </w:p>
    <w:p w14:paraId="2B7DA834" w14:textId="77777777" w:rsidR="00BC7533" w:rsidRPr="002661A8" w:rsidRDefault="00BC7533" w:rsidP="00BC7533">
      <w:pPr>
        <w:pStyle w:val="Text2"/>
        <w:spacing w:after="120"/>
        <w:ind w:left="0"/>
        <w:rPr>
          <w:noProof/>
        </w:rPr>
      </w:pPr>
      <w:r w:rsidRPr="002661A8">
        <w:rPr>
          <w:noProof/>
        </w:rPr>
        <w:t>Another option concerning the demand of clearing services which was discarded is imposing a straightforward obligation to clear all derivative transactions at EU CCPs and/or Tier 1 CCPs. The vast majority of respondents were against an amendment of Article 5 of EMIR resulting in a clearing obligation for new contracts which could only be fulfilled through authorised EU CCPs and/or recognised Tier 1 CCPs. Several Member States also opposed such a measure</w:t>
      </w:r>
      <w:r w:rsidRPr="002661A8">
        <w:rPr>
          <w:rStyle w:val="FootnoteReference"/>
          <w:noProof/>
        </w:rPr>
        <w:footnoteReference w:id="212"/>
      </w:r>
      <w:r w:rsidRPr="002661A8">
        <w:rPr>
          <w:noProof/>
        </w:rPr>
        <w:t xml:space="preserve">. This option was discarded as disproportionate at this stage. </w:t>
      </w:r>
    </w:p>
    <w:p w14:paraId="1469B83A" w14:textId="217B8667" w:rsidR="00BC7533" w:rsidRPr="002661A8" w:rsidRDefault="0039661C" w:rsidP="009015C1">
      <w:pPr>
        <w:spacing w:line="240" w:lineRule="auto"/>
        <w:rPr>
          <w:noProof/>
          <w:sz w:val="24"/>
          <w:szCs w:val="24"/>
        </w:rPr>
      </w:pPr>
      <w:r>
        <w:rPr>
          <w:rFonts w:ascii="Times New Roman" w:hAnsi="Times New Roman" w:cs="Times New Roman"/>
          <w:noProof/>
          <w:sz w:val="24"/>
          <w:szCs w:val="24"/>
        </w:rPr>
        <w:t>T</w:t>
      </w:r>
      <w:r w:rsidR="00BC7533" w:rsidRPr="002661A8">
        <w:rPr>
          <w:rFonts w:ascii="Times New Roman" w:hAnsi="Times New Roman" w:cs="Times New Roman"/>
          <w:noProof/>
          <w:sz w:val="24"/>
          <w:szCs w:val="24"/>
        </w:rPr>
        <w:t>he option to oblige pension scheme arrangements to clear is not considered here as this requirement already exists and will kick in on 19 June 2023.</w:t>
      </w:r>
    </w:p>
    <w:p w14:paraId="1CA18BC6" w14:textId="68787A9E" w:rsidR="00AD6092" w:rsidRDefault="00AD6092">
      <w:pPr>
        <w:pStyle w:val="CommentText"/>
        <w:jc w:val="both"/>
        <w:rPr>
          <w:rFonts w:ascii="Times New Roman" w:hAnsi="Times New Roman" w:cs="Times New Roman"/>
          <w:noProof/>
          <w:sz w:val="24"/>
          <w:szCs w:val="24"/>
        </w:rPr>
      </w:pPr>
      <w:bookmarkStart w:id="1802" w:name="_Toc108539887"/>
      <w:r w:rsidRPr="0039661C">
        <w:rPr>
          <w:rFonts w:ascii="Times New Roman" w:hAnsi="Times New Roman" w:cs="Times New Roman"/>
          <w:noProof/>
          <w:sz w:val="24"/>
          <w:szCs w:val="24"/>
        </w:rPr>
        <w:t xml:space="preserve">As regards the option of relying on coordination </w:t>
      </w:r>
      <w:r w:rsidR="00360E6B">
        <w:rPr>
          <w:rFonts w:ascii="Times New Roman" w:hAnsi="Times New Roman" w:cs="Times New Roman"/>
          <w:noProof/>
          <w:sz w:val="24"/>
          <w:szCs w:val="24"/>
        </w:rPr>
        <w:t>at the global level, following on from the G20 commitments in Pittsburgh</w:t>
      </w:r>
      <w:r w:rsidR="00360E6B">
        <w:rPr>
          <w:rStyle w:val="FootnoteReference"/>
          <w:rFonts w:ascii="Times New Roman" w:hAnsi="Times New Roman" w:cs="Times New Roman"/>
          <w:noProof/>
          <w:sz w:val="24"/>
          <w:szCs w:val="24"/>
        </w:rPr>
        <w:footnoteReference w:id="213"/>
      </w:r>
      <w:r w:rsidR="00360E6B">
        <w:rPr>
          <w:rFonts w:ascii="Times New Roman" w:hAnsi="Times New Roman" w:cs="Times New Roman"/>
          <w:noProof/>
          <w:sz w:val="24"/>
          <w:szCs w:val="24"/>
        </w:rPr>
        <w:t>, there is cooperation on standard-setting among the major jurisdictions. The EMIR framework is based on the Principles for Financial Market Infrastructures set by the relevant international body (CPMI-IOSCO); EMIR implements then in the EU in an ambitious way, sometimes even going beyond them</w:t>
      </w:r>
      <w:r w:rsidR="00360E6B">
        <w:rPr>
          <w:rStyle w:val="FootnoteReference"/>
          <w:rFonts w:ascii="Times New Roman" w:hAnsi="Times New Roman" w:cs="Times New Roman"/>
          <w:noProof/>
          <w:sz w:val="24"/>
          <w:szCs w:val="24"/>
        </w:rPr>
        <w:footnoteReference w:id="214"/>
      </w:r>
      <w:r w:rsidR="00360E6B">
        <w:rPr>
          <w:rFonts w:ascii="Times New Roman" w:hAnsi="Times New Roman" w:cs="Times New Roman"/>
          <w:noProof/>
          <w:sz w:val="24"/>
          <w:szCs w:val="24"/>
        </w:rPr>
        <w:t>.</w:t>
      </w:r>
      <w:r w:rsidR="003544AF">
        <w:rPr>
          <w:rFonts w:ascii="Times New Roman" w:hAnsi="Times New Roman" w:cs="Times New Roman"/>
          <w:noProof/>
          <w:sz w:val="24"/>
          <w:szCs w:val="24"/>
        </w:rPr>
        <w:t xml:space="preserve"> The EU also participates in the monitoring of their implementation and regularly discusses implementation issues in the relevant international fora. A</w:t>
      </w:r>
      <w:r w:rsidR="003544AF" w:rsidRPr="0039661C">
        <w:rPr>
          <w:rFonts w:ascii="Times New Roman" w:hAnsi="Times New Roman" w:cs="Times New Roman"/>
          <w:noProof/>
          <w:sz w:val="24"/>
          <w:szCs w:val="24"/>
        </w:rPr>
        <w:t>s</w:t>
      </w:r>
      <w:r w:rsidRPr="0039661C">
        <w:rPr>
          <w:rFonts w:ascii="Times New Roman" w:hAnsi="Times New Roman" w:cs="Times New Roman"/>
          <w:noProof/>
          <w:sz w:val="24"/>
          <w:szCs w:val="24"/>
        </w:rPr>
        <w:t xml:space="preserve"> described in this impact assessment different jurisdictions have chosen different ways to implement the international principles for financial market infrastructures. Within these frameworks, </w:t>
      </w:r>
      <w:r w:rsidR="0039661C">
        <w:rPr>
          <w:rFonts w:ascii="Times New Roman" w:hAnsi="Times New Roman" w:cs="Times New Roman"/>
          <w:noProof/>
          <w:sz w:val="24"/>
          <w:szCs w:val="24"/>
        </w:rPr>
        <w:t>third-countries, such as Japan or the US,</w:t>
      </w:r>
      <w:r w:rsidRPr="0039661C">
        <w:rPr>
          <w:rFonts w:ascii="Times New Roman" w:hAnsi="Times New Roman" w:cs="Times New Roman"/>
          <w:noProof/>
          <w:sz w:val="24"/>
          <w:szCs w:val="24"/>
        </w:rPr>
        <w:t xml:space="preserve"> have also opted to manage their exposure to foreign entities to protect their financial and economic system from undue risks. </w:t>
      </w:r>
      <w:r w:rsidR="00BC008A" w:rsidRPr="00907BAF">
        <w:rPr>
          <w:rFonts w:ascii="Times New Roman" w:hAnsi="Times New Roman" w:cs="Times New Roman"/>
          <w:noProof/>
          <w:sz w:val="24"/>
          <w:szCs w:val="24"/>
        </w:rPr>
        <w:t>Japan requires Japanese entities to clear their</w:t>
      </w:r>
      <w:r w:rsidR="002C66E4" w:rsidRPr="002C66E4">
        <w:rPr>
          <w:rFonts w:ascii="Times New Roman" w:hAnsi="Times New Roman" w:cs="Times New Roman"/>
          <w:noProof/>
          <w:sz w:val="24"/>
          <w:szCs w:val="24"/>
        </w:rPr>
        <w:t xml:space="preserve"> </w:t>
      </w:r>
      <w:r w:rsidR="00BC008A" w:rsidRPr="00907BAF">
        <w:rPr>
          <w:rFonts w:ascii="Times New Roman" w:hAnsi="Times New Roman" w:cs="Times New Roman"/>
          <w:noProof/>
          <w:sz w:val="24"/>
          <w:szCs w:val="24"/>
        </w:rPr>
        <w:t xml:space="preserve">home currency-denominated </w:t>
      </w:r>
      <w:r w:rsidR="00BC008A">
        <w:rPr>
          <w:rFonts w:ascii="Times New Roman" w:hAnsi="Times New Roman" w:cs="Times New Roman"/>
          <w:noProof/>
          <w:sz w:val="24"/>
          <w:szCs w:val="24"/>
        </w:rPr>
        <w:t>interest rate derivatives</w:t>
      </w:r>
      <w:r w:rsidR="00BC008A" w:rsidRPr="00907BAF">
        <w:rPr>
          <w:rFonts w:ascii="Times New Roman" w:hAnsi="Times New Roman" w:cs="Times New Roman"/>
          <w:noProof/>
          <w:sz w:val="24"/>
          <w:szCs w:val="24"/>
        </w:rPr>
        <w:t xml:space="preserve"> through a local CCP</w:t>
      </w:r>
      <w:r w:rsidR="00BC008A">
        <w:rPr>
          <w:rStyle w:val="FootnoteReference"/>
          <w:rFonts w:ascii="Times New Roman" w:hAnsi="Times New Roman" w:cs="Times New Roman"/>
          <w:noProof/>
          <w:sz w:val="24"/>
          <w:szCs w:val="24"/>
        </w:rPr>
        <w:footnoteReference w:id="215"/>
      </w:r>
      <w:r w:rsidR="002C66E4">
        <w:rPr>
          <w:rFonts w:ascii="Times New Roman" w:hAnsi="Times New Roman" w:cs="Times New Roman"/>
          <w:noProof/>
          <w:sz w:val="24"/>
          <w:szCs w:val="24"/>
        </w:rPr>
        <w:t xml:space="preserve">, </w:t>
      </w:r>
      <w:r w:rsidR="00067EF9">
        <w:rPr>
          <w:rFonts w:ascii="Times New Roman" w:hAnsi="Times New Roman" w:cs="Times New Roman"/>
          <w:noProof/>
          <w:sz w:val="24"/>
          <w:szCs w:val="24"/>
        </w:rPr>
        <w:t>while the US ha</w:t>
      </w:r>
      <w:r w:rsidR="00360E6B">
        <w:rPr>
          <w:rFonts w:ascii="Times New Roman" w:hAnsi="Times New Roman" w:cs="Times New Roman"/>
          <w:noProof/>
          <w:sz w:val="24"/>
          <w:szCs w:val="24"/>
        </w:rPr>
        <w:t>s</w:t>
      </w:r>
      <w:r w:rsidR="00067EF9">
        <w:rPr>
          <w:rFonts w:ascii="Times New Roman" w:hAnsi="Times New Roman" w:cs="Times New Roman"/>
          <w:noProof/>
          <w:sz w:val="24"/>
          <w:szCs w:val="24"/>
        </w:rPr>
        <w:t xml:space="preserve"> a</w:t>
      </w:r>
      <w:r w:rsidR="00360E6B">
        <w:rPr>
          <w:rFonts w:ascii="Times New Roman" w:hAnsi="Times New Roman" w:cs="Times New Roman"/>
          <w:noProof/>
          <w:sz w:val="24"/>
          <w:szCs w:val="24"/>
        </w:rPr>
        <w:t xml:space="preserve"> more expansive</w:t>
      </w:r>
      <w:r w:rsidR="00067EF9">
        <w:rPr>
          <w:rFonts w:ascii="Times New Roman" w:hAnsi="Times New Roman" w:cs="Times New Roman"/>
          <w:noProof/>
          <w:sz w:val="24"/>
          <w:szCs w:val="24"/>
        </w:rPr>
        <w:t xml:space="preserve"> approach to supervision, complemented by the possibility to grant additional powers to the Federal Reserve over UK CCPs. </w:t>
      </w:r>
      <w:r w:rsidR="0039661C">
        <w:rPr>
          <w:rFonts w:ascii="Times New Roman" w:hAnsi="Times New Roman" w:cs="Times New Roman"/>
          <w:noProof/>
          <w:sz w:val="24"/>
          <w:szCs w:val="24"/>
        </w:rPr>
        <w:t xml:space="preserve">The UK too has a specific regime for exposures to third-country CCPs. </w:t>
      </w:r>
      <w:r w:rsidRPr="0039661C">
        <w:rPr>
          <w:rFonts w:ascii="Times New Roman" w:hAnsi="Times New Roman" w:cs="Times New Roman"/>
          <w:noProof/>
          <w:sz w:val="24"/>
          <w:szCs w:val="24"/>
        </w:rPr>
        <w:t>A globally-agreed approach to the exposures to third-country CCPs is difficult to achieve because jurisdictions have developed their own approaches and do not share the same situations and interests</w:t>
      </w:r>
      <w:r>
        <w:rPr>
          <w:rFonts w:ascii="Times New Roman" w:hAnsi="Times New Roman" w:cs="Times New Roman"/>
          <w:noProof/>
          <w:sz w:val="24"/>
          <w:szCs w:val="24"/>
        </w:rPr>
        <w:t>.</w:t>
      </w:r>
      <w:r w:rsidR="0039661C">
        <w:rPr>
          <w:rFonts w:ascii="Times New Roman" w:hAnsi="Times New Roman" w:cs="Times New Roman"/>
          <w:noProof/>
          <w:sz w:val="24"/>
          <w:szCs w:val="24"/>
        </w:rPr>
        <w:t xml:space="preserve"> As such, the option of relying </w:t>
      </w:r>
      <w:r w:rsidR="00474102">
        <w:rPr>
          <w:rFonts w:ascii="Times New Roman" w:hAnsi="Times New Roman" w:cs="Times New Roman"/>
          <w:noProof/>
          <w:sz w:val="24"/>
          <w:szCs w:val="24"/>
        </w:rPr>
        <w:t>solely</w:t>
      </w:r>
      <w:r w:rsidR="0039661C">
        <w:rPr>
          <w:rFonts w:ascii="Times New Roman" w:hAnsi="Times New Roman" w:cs="Times New Roman"/>
          <w:noProof/>
          <w:sz w:val="24"/>
          <w:szCs w:val="24"/>
        </w:rPr>
        <w:t xml:space="preserve"> on international cooperation has been discarded at an early stage.</w:t>
      </w:r>
    </w:p>
    <w:p w14:paraId="252B9E09" w14:textId="0A89B93A" w:rsidR="0039661C" w:rsidRPr="00474102" w:rsidRDefault="0039661C" w:rsidP="0039661C">
      <w:pPr>
        <w:pStyle w:val="CommentText"/>
        <w:jc w:val="both"/>
        <w:rPr>
          <w:rFonts w:ascii="Times New Roman" w:hAnsi="Times New Roman" w:cs="Times New Roman"/>
          <w:noProof/>
          <w:sz w:val="24"/>
          <w:szCs w:val="24"/>
        </w:rPr>
      </w:pPr>
      <w:r>
        <w:rPr>
          <w:rFonts w:ascii="Times New Roman" w:hAnsi="Times New Roman" w:cs="Times New Roman"/>
          <w:noProof/>
          <w:sz w:val="24"/>
          <w:szCs w:val="24"/>
        </w:rPr>
        <w:t xml:space="preserve">Finally, the option of granting permanent equivalence </w:t>
      </w:r>
      <w:r w:rsidR="00C12CB1">
        <w:rPr>
          <w:rFonts w:ascii="Times New Roman" w:hAnsi="Times New Roman" w:cs="Times New Roman"/>
          <w:noProof/>
          <w:sz w:val="24"/>
          <w:szCs w:val="24"/>
        </w:rPr>
        <w:t>to certain third countries</w:t>
      </w:r>
      <w:r>
        <w:rPr>
          <w:rFonts w:ascii="Times New Roman" w:hAnsi="Times New Roman" w:cs="Times New Roman"/>
          <w:noProof/>
          <w:sz w:val="24"/>
          <w:szCs w:val="24"/>
        </w:rPr>
        <w:t xml:space="preserve"> is discarded here too. Such an approach would not mitigate the risks for EU firms </w:t>
      </w:r>
      <w:r w:rsidR="003544AF">
        <w:rPr>
          <w:rFonts w:ascii="Times New Roman" w:hAnsi="Times New Roman" w:cs="Times New Roman"/>
          <w:noProof/>
          <w:sz w:val="24"/>
          <w:szCs w:val="24"/>
        </w:rPr>
        <w:t xml:space="preserve">and the wider EU financial system </w:t>
      </w:r>
      <w:r>
        <w:rPr>
          <w:rFonts w:ascii="Times New Roman" w:hAnsi="Times New Roman" w:cs="Times New Roman"/>
          <w:noProof/>
          <w:sz w:val="24"/>
          <w:szCs w:val="24"/>
        </w:rPr>
        <w:t xml:space="preserve">arising from substantially systemic exposures and thus be ineffective. More importantly, this impact assessment cannot tie the hands of a future Commission, in particular if the regulatory and supervisory framework of </w:t>
      </w:r>
      <w:r w:rsidR="00C12CB1">
        <w:rPr>
          <w:rFonts w:ascii="Times New Roman" w:hAnsi="Times New Roman" w:cs="Times New Roman"/>
          <w:noProof/>
          <w:sz w:val="24"/>
          <w:szCs w:val="24"/>
        </w:rPr>
        <w:t xml:space="preserve">a third country, e.g. </w:t>
      </w:r>
      <w:r>
        <w:rPr>
          <w:rFonts w:ascii="Times New Roman" w:hAnsi="Times New Roman" w:cs="Times New Roman"/>
          <w:noProof/>
          <w:sz w:val="24"/>
          <w:szCs w:val="24"/>
        </w:rPr>
        <w:t>the UK</w:t>
      </w:r>
      <w:r w:rsidR="00C12CB1">
        <w:rPr>
          <w:rFonts w:ascii="Times New Roman" w:hAnsi="Times New Roman" w:cs="Times New Roman"/>
          <w:noProof/>
          <w:sz w:val="24"/>
          <w:szCs w:val="24"/>
        </w:rPr>
        <w:t>,</w:t>
      </w:r>
      <w:r>
        <w:rPr>
          <w:rFonts w:ascii="Times New Roman" w:hAnsi="Times New Roman" w:cs="Times New Roman"/>
          <w:noProof/>
          <w:sz w:val="24"/>
          <w:szCs w:val="24"/>
        </w:rPr>
        <w:t xml:space="preserve"> were to diverge from that of the EU, which remains a possibility. </w:t>
      </w:r>
    </w:p>
    <w:p w14:paraId="7DEB1631" w14:textId="38DF17D7" w:rsidR="006B73F1" w:rsidRPr="0039661C" w:rsidRDefault="006B73F1" w:rsidP="00325494">
      <w:pPr>
        <w:rPr>
          <w:b/>
          <w:noProof/>
        </w:rPr>
        <w:sectPr w:rsidR="006B73F1" w:rsidRPr="0039661C" w:rsidSect="00A93139">
          <w:headerReference w:type="even" r:id="rId44"/>
          <w:headerReference w:type="default" r:id="rId45"/>
          <w:footerReference w:type="even" r:id="rId46"/>
          <w:footerReference w:type="default" r:id="rId47"/>
          <w:headerReference w:type="first" r:id="rId48"/>
          <w:footerReference w:type="first" r:id="rId49"/>
          <w:pgSz w:w="11906" w:h="16838"/>
          <w:pgMar w:top="1020" w:right="1701" w:bottom="1020" w:left="1587" w:header="601" w:footer="1077" w:gutter="0"/>
          <w:cols w:space="720"/>
          <w:titlePg/>
        </w:sectPr>
      </w:pPr>
    </w:p>
    <w:p w14:paraId="48513128" w14:textId="22FCF35D" w:rsidR="00AB659F" w:rsidRPr="002661A8" w:rsidRDefault="00AB659F" w:rsidP="00701ABD">
      <w:pPr>
        <w:pStyle w:val="Heading1"/>
        <w:jc w:val="center"/>
        <w:rPr>
          <w:noProof/>
          <w:szCs w:val="24"/>
        </w:rPr>
      </w:pPr>
      <w:bookmarkStart w:id="1803" w:name="_Annex_7:_Background"/>
      <w:bookmarkStart w:id="1804" w:name="_Toc109057462"/>
      <w:bookmarkStart w:id="1805" w:name="_Toc109120828"/>
      <w:bookmarkStart w:id="1806" w:name="_Toc109122424"/>
      <w:bookmarkStart w:id="1807" w:name="_Toc109133161"/>
      <w:bookmarkStart w:id="1808" w:name="_Toc120291697"/>
      <w:bookmarkEnd w:id="1803"/>
      <w:r w:rsidRPr="002661A8">
        <w:rPr>
          <w:noProof/>
        </w:rPr>
        <w:t xml:space="preserve">Annex </w:t>
      </w:r>
      <w:r w:rsidR="00BC7533" w:rsidRPr="002661A8">
        <w:rPr>
          <w:noProof/>
          <w:szCs w:val="24"/>
        </w:rPr>
        <w:t>7</w:t>
      </w:r>
      <w:r w:rsidRPr="002661A8">
        <w:rPr>
          <w:noProof/>
          <w:szCs w:val="24"/>
        </w:rPr>
        <w:t>: Background</w:t>
      </w:r>
      <w:bookmarkEnd w:id="1791"/>
      <w:bookmarkEnd w:id="1792"/>
      <w:bookmarkEnd w:id="1793"/>
      <w:bookmarkEnd w:id="1794"/>
      <w:bookmarkEnd w:id="1795"/>
      <w:bookmarkEnd w:id="1796"/>
      <w:bookmarkEnd w:id="1802"/>
      <w:bookmarkEnd w:id="1804"/>
      <w:bookmarkEnd w:id="1805"/>
      <w:bookmarkEnd w:id="1806"/>
      <w:bookmarkEnd w:id="1807"/>
      <w:bookmarkEnd w:id="1808"/>
    </w:p>
    <w:p w14:paraId="60C8631B" w14:textId="77777777" w:rsidR="00F831E7" w:rsidRPr="002661A8" w:rsidRDefault="00F831E7" w:rsidP="00ED5088">
      <w:pPr>
        <w:pStyle w:val="Heading1"/>
        <w:numPr>
          <w:ilvl w:val="0"/>
          <w:numId w:val="10"/>
        </w:numPr>
        <w:rPr>
          <w:noProof/>
        </w:rPr>
      </w:pPr>
      <w:bookmarkStart w:id="1809" w:name="_Toc103337453"/>
      <w:bookmarkStart w:id="1810" w:name="_Toc106827802"/>
      <w:bookmarkStart w:id="1811" w:name="_Toc106981677"/>
      <w:bookmarkStart w:id="1812" w:name="_Toc107493950"/>
      <w:bookmarkStart w:id="1813" w:name="_Toc107497986"/>
      <w:bookmarkStart w:id="1814" w:name="_Toc107503539"/>
      <w:bookmarkStart w:id="1815" w:name="_Toc107504652"/>
      <w:bookmarkStart w:id="1816" w:name="_Toc107505532"/>
      <w:bookmarkStart w:id="1817" w:name="_Toc107839008"/>
      <w:bookmarkStart w:id="1818" w:name="_Toc107847068"/>
      <w:bookmarkStart w:id="1819" w:name="_Toc107849340"/>
      <w:bookmarkStart w:id="1820" w:name="_Toc107853752"/>
      <w:bookmarkStart w:id="1821" w:name="_Toc107865381"/>
      <w:bookmarkStart w:id="1822" w:name="_Toc108418578"/>
      <w:bookmarkStart w:id="1823" w:name="_Toc108539888"/>
      <w:bookmarkStart w:id="1824" w:name="_Toc108539970"/>
      <w:bookmarkStart w:id="1825" w:name="_Toc109057463"/>
      <w:bookmarkStart w:id="1826" w:name="_Toc109120829"/>
      <w:bookmarkStart w:id="1827" w:name="_Toc109122425"/>
      <w:bookmarkStart w:id="1828" w:name="_Toc109133162"/>
      <w:bookmarkStart w:id="1829" w:name="_Toc120291698"/>
      <w:r w:rsidRPr="002661A8">
        <w:rPr>
          <w:noProof/>
        </w:rPr>
        <w:t>The over-the-counter (OTC) derivatives market</w:t>
      </w:r>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p>
    <w:p w14:paraId="028EEEEF" w14:textId="77777777" w:rsidR="00F831E7" w:rsidRPr="002661A8" w:rsidRDefault="00F831E7" w:rsidP="00F831E7">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A derivative is a financial contract whose value is linked to a change in the price of an underlying asset, a basket of assets or other benchmark or index. They allow for a transfer of risks between market participants and are often used to cover the risks (e.g. interest rate, exchange rate risks).</w:t>
      </w:r>
      <w:r w:rsidRPr="002661A8">
        <w:rPr>
          <w:rStyle w:val="FootnoteReference"/>
          <w:rFonts w:ascii="Times New Roman" w:hAnsi="Times New Roman" w:cs="Times New Roman"/>
          <w:noProof/>
          <w:sz w:val="24"/>
          <w:szCs w:val="24"/>
        </w:rPr>
        <w:footnoteReference w:id="216"/>
      </w:r>
      <w:r w:rsidRPr="002661A8">
        <w:rPr>
          <w:rFonts w:ascii="Times New Roman" w:hAnsi="Times New Roman" w:cs="Times New Roman"/>
          <w:noProof/>
          <w:sz w:val="24"/>
          <w:szCs w:val="24"/>
        </w:rPr>
        <w:t xml:space="preserve"> Derivatives can also be used for speculative purposes. Examples of assets on which a derivative contract can be written include equities or commodities (metals, oil, cereals…). OTC derivatives can therefore have a significant impact on the real economy, from mortgages to food prices. The value of a derivative can also be derived from the value of a market variable (e.g. interest rate benchmark, exchange rate or a stock index). Although derivatives are generally used to cover the risk of</w:t>
      </w:r>
      <w:r w:rsidRPr="002661A8" w:rsidDel="00F6462B">
        <w:rPr>
          <w:rFonts w:ascii="Times New Roman" w:hAnsi="Times New Roman" w:cs="Times New Roman"/>
          <w:noProof/>
          <w:sz w:val="24"/>
          <w:szCs w:val="24"/>
        </w:rPr>
        <w:t xml:space="preserve"> </w:t>
      </w:r>
      <w:r w:rsidRPr="002661A8">
        <w:rPr>
          <w:rFonts w:ascii="Times New Roman" w:hAnsi="Times New Roman" w:cs="Times New Roman"/>
          <w:noProof/>
          <w:sz w:val="24"/>
          <w:szCs w:val="24"/>
        </w:rPr>
        <w:t>changes in the value of the underlying asset, the way markets work means that the price of the derivative can influence on the price of the underlying asset and vice-versa.</w:t>
      </w:r>
      <w:r w:rsidRPr="002661A8">
        <w:rPr>
          <w:rStyle w:val="FootnoteReference"/>
          <w:rFonts w:ascii="Times New Roman" w:hAnsi="Times New Roman" w:cs="Times New Roman"/>
          <w:noProof/>
          <w:sz w:val="24"/>
          <w:szCs w:val="24"/>
        </w:rPr>
        <w:footnoteReference w:id="217"/>
      </w:r>
    </w:p>
    <w:p w14:paraId="4070FE6C" w14:textId="77777777" w:rsidR="00F831E7" w:rsidRPr="002661A8" w:rsidRDefault="00F831E7" w:rsidP="00F831E7">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An OTC derivative contract is privately negotiated between two firms and not traded on regulated markets. It is tailored to the specific needs of the counterparties. Derivatives traded on a regulated market are called exchange traded derivatives (ETDs), by nature, these are standardised and generally less risky than OTC derivatives.</w:t>
      </w:r>
      <w:r w:rsidRPr="002661A8">
        <w:rPr>
          <w:rStyle w:val="FootnoteReference"/>
          <w:rFonts w:ascii="Times New Roman" w:hAnsi="Times New Roman" w:cs="Times New Roman"/>
          <w:noProof/>
          <w:sz w:val="24"/>
          <w:szCs w:val="24"/>
        </w:rPr>
        <w:footnoteReference w:id="218"/>
      </w:r>
      <w:r w:rsidRPr="002661A8">
        <w:rPr>
          <w:rFonts w:ascii="Times New Roman" w:hAnsi="Times New Roman" w:cs="Times New Roman"/>
          <w:noProof/>
          <w:sz w:val="24"/>
          <w:szCs w:val="24"/>
        </w:rPr>
        <w:t xml:space="preserve"> As of end-June 2021, the outstanding notional of OTC derivatives amounted to EUR</w:t>
      </w:r>
      <w:r w:rsidRPr="002661A8">
        <w:rPr>
          <w:noProof/>
        </w:rPr>
        <w:t> </w:t>
      </w:r>
      <w:r w:rsidRPr="002661A8">
        <w:rPr>
          <w:rFonts w:ascii="Times New Roman" w:hAnsi="Times New Roman" w:cs="Times New Roman"/>
          <w:noProof/>
          <w:sz w:val="24"/>
          <w:szCs w:val="24"/>
        </w:rPr>
        <w:t>514</w:t>
      </w:r>
      <w:r w:rsidRPr="002661A8">
        <w:rPr>
          <w:noProof/>
        </w:rPr>
        <w:t> </w:t>
      </w:r>
      <w:r w:rsidRPr="002661A8">
        <w:rPr>
          <w:rFonts w:ascii="Times New Roman" w:hAnsi="Times New Roman" w:cs="Times New Roman"/>
          <w:noProof/>
          <w:sz w:val="24"/>
          <w:szCs w:val="24"/>
        </w:rPr>
        <w:t>trillion, corresponding to 88% of the overall derivatives market.</w:t>
      </w:r>
      <w:r w:rsidRPr="002661A8">
        <w:rPr>
          <w:rStyle w:val="FootnoteReference"/>
          <w:rFonts w:ascii="Times New Roman" w:hAnsi="Times New Roman" w:cs="Times New Roman"/>
          <w:noProof/>
          <w:sz w:val="24"/>
          <w:szCs w:val="24"/>
        </w:rPr>
        <w:footnoteReference w:id="219"/>
      </w:r>
      <w:r w:rsidRPr="002661A8">
        <w:rPr>
          <w:rFonts w:ascii="Times New Roman" w:hAnsi="Times New Roman" w:cs="Times New Roman"/>
          <w:noProof/>
          <w:sz w:val="24"/>
          <w:szCs w:val="24"/>
        </w:rPr>
        <w:t xml:space="preserve"> Interest rate derivatives represent 80% of outstanding OTC derivatives, of which 60% are cleared through CCPs.</w:t>
      </w:r>
    </w:p>
    <w:p w14:paraId="49DD4689" w14:textId="77777777" w:rsidR="00F831E7" w:rsidRPr="002661A8" w:rsidRDefault="00F831E7" w:rsidP="00F831E7">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OTC derivatives were at the heart of the 2008-2009 financial crisis for several reasons including the lack of transparency in those markets, the leverage</w:t>
      </w:r>
      <w:r w:rsidRPr="002661A8">
        <w:rPr>
          <w:rStyle w:val="FootnoteReference"/>
          <w:rFonts w:ascii="Times New Roman" w:hAnsi="Times New Roman" w:cs="Times New Roman"/>
          <w:noProof/>
          <w:sz w:val="24"/>
          <w:szCs w:val="24"/>
        </w:rPr>
        <w:footnoteReference w:id="220"/>
      </w:r>
      <w:r w:rsidRPr="002661A8" w:rsidDel="009A6103">
        <w:rPr>
          <w:rFonts w:ascii="Times New Roman" w:hAnsi="Times New Roman" w:cs="Times New Roman"/>
          <w:noProof/>
          <w:sz w:val="24"/>
          <w:szCs w:val="24"/>
        </w:rPr>
        <w:t xml:space="preserve"> </w:t>
      </w:r>
      <w:r w:rsidRPr="002661A8">
        <w:rPr>
          <w:rFonts w:ascii="Times New Roman" w:hAnsi="Times New Roman" w:cs="Times New Roman"/>
          <w:noProof/>
          <w:sz w:val="24"/>
          <w:szCs w:val="24"/>
        </w:rPr>
        <w:t>market participants could build through them, as well as the risk they expose parties to the contract to, and the resulting interconnectedness throughout the financial system. To address those risks, the G20 decided in 2009 to make the OTC derivatives market more transparent by reporting contracts to trade repositories and requiring all standardised OTC derivatives to be traded on exchanges or electronic platforms and centrally cleared, while also ensuring that uncleared derivative transactions are appropriately risk managed. In the EU, this was implemented via the European Market Infrastructure Regulation (EMIR) in 2012.</w:t>
      </w:r>
    </w:p>
    <w:p w14:paraId="48E7C352" w14:textId="77777777" w:rsidR="00F831E7" w:rsidRPr="002661A8" w:rsidRDefault="00F831E7" w:rsidP="00ED5088">
      <w:pPr>
        <w:pStyle w:val="Heading1"/>
        <w:numPr>
          <w:ilvl w:val="0"/>
          <w:numId w:val="10"/>
        </w:numPr>
        <w:rPr>
          <w:noProof/>
        </w:rPr>
      </w:pPr>
      <w:bookmarkStart w:id="1830" w:name="_Toc103337454"/>
      <w:bookmarkStart w:id="1831" w:name="_Toc106827803"/>
      <w:bookmarkStart w:id="1832" w:name="_Toc106981678"/>
      <w:bookmarkStart w:id="1833" w:name="_Toc107493951"/>
      <w:bookmarkStart w:id="1834" w:name="_Toc107497987"/>
      <w:bookmarkStart w:id="1835" w:name="_Toc107503540"/>
      <w:bookmarkStart w:id="1836" w:name="_Toc107504653"/>
      <w:bookmarkStart w:id="1837" w:name="_Toc107505533"/>
      <w:bookmarkStart w:id="1838" w:name="_Toc107839009"/>
      <w:bookmarkStart w:id="1839" w:name="_Toc107847069"/>
      <w:bookmarkStart w:id="1840" w:name="_Toc107849341"/>
      <w:bookmarkStart w:id="1841" w:name="_Toc107853753"/>
      <w:bookmarkStart w:id="1842" w:name="_Toc107865382"/>
      <w:bookmarkStart w:id="1843" w:name="_Toc108418579"/>
      <w:bookmarkStart w:id="1844" w:name="_Toc108539889"/>
      <w:bookmarkStart w:id="1845" w:name="_Toc108539971"/>
      <w:bookmarkStart w:id="1846" w:name="_Toc109057464"/>
      <w:bookmarkStart w:id="1847" w:name="_Toc109120830"/>
      <w:bookmarkStart w:id="1848" w:name="_Toc109122426"/>
      <w:bookmarkStart w:id="1849" w:name="_Toc109133163"/>
      <w:bookmarkStart w:id="1850" w:name="_Toc120291699"/>
      <w:r w:rsidRPr="002661A8">
        <w:rPr>
          <w:noProof/>
        </w:rPr>
        <w:t>Clearing</w:t>
      </w:r>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14:paraId="7E3CFA8D" w14:textId="024F1594" w:rsidR="00F831E7" w:rsidRPr="002661A8" w:rsidRDefault="00F831E7" w:rsidP="00F831E7">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CCPs</w:t>
      </w:r>
      <w:r w:rsidRPr="002661A8" w:rsidDel="009A6103">
        <w:rPr>
          <w:rFonts w:ascii="Times New Roman" w:hAnsi="Times New Roman" w:cs="Times New Roman"/>
          <w:noProof/>
          <w:sz w:val="24"/>
          <w:szCs w:val="24"/>
        </w:rPr>
        <w:t xml:space="preserve"> </w:t>
      </w:r>
      <w:r w:rsidRPr="002661A8">
        <w:rPr>
          <w:rFonts w:ascii="Times New Roman" w:hAnsi="Times New Roman" w:cs="Times New Roman"/>
          <w:noProof/>
          <w:sz w:val="24"/>
          <w:szCs w:val="24"/>
        </w:rPr>
        <w:t>interpose themselves between counterparties to a financial instrument or product, becoming the buyer to every seller and the seller to every buyer in a process known as clearing. EMIR defines clearing as the process of establishing positions, including the calculation of net obligations, and ensuring that financial guarantees (or ‘collateral’) are available to secure the exposures arising from those positions.</w:t>
      </w:r>
      <w:r w:rsidRPr="002661A8">
        <w:rPr>
          <w:rStyle w:val="FootnoteReference"/>
          <w:rFonts w:ascii="Times New Roman" w:hAnsi="Times New Roman" w:cs="Times New Roman"/>
          <w:noProof/>
          <w:sz w:val="24"/>
          <w:szCs w:val="24"/>
        </w:rPr>
        <w:footnoteReference w:id="221"/>
      </w:r>
      <w:r w:rsidRPr="002661A8">
        <w:rPr>
          <w:rFonts w:ascii="Times New Roman" w:hAnsi="Times New Roman" w:cs="Times New Roman"/>
          <w:noProof/>
          <w:sz w:val="24"/>
          <w:szCs w:val="24"/>
        </w:rPr>
        <w:t xml:space="preserve"> CCPs become the focal point for derivative transactions, linking multiple financial actors, increasing market transparency and reducing some risks. As a corollary, CCPs concentrate risk and should therefore be regulated and supervised accordingly.</w:t>
      </w:r>
    </w:p>
    <w:p w14:paraId="0464E44B" w14:textId="77777777" w:rsidR="00F831E7" w:rsidRPr="002661A8" w:rsidRDefault="00F831E7" w:rsidP="00ED5088">
      <w:pPr>
        <w:pStyle w:val="Heading1"/>
        <w:numPr>
          <w:ilvl w:val="0"/>
          <w:numId w:val="10"/>
        </w:numPr>
        <w:rPr>
          <w:noProof/>
        </w:rPr>
      </w:pPr>
      <w:bookmarkStart w:id="1851" w:name="_Toc106981679"/>
      <w:bookmarkStart w:id="1852" w:name="_Toc107493952"/>
      <w:bookmarkStart w:id="1853" w:name="_Toc107497988"/>
      <w:bookmarkStart w:id="1854" w:name="_Toc107503541"/>
      <w:bookmarkStart w:id="1855" w:name="_Toc107504654"/>
      <w:bookmarkStart w:id="1856" w:name="_Toc107505534"/>
      <w:bookmarkStart w:id="1857" w:name="_Toc107839010"/>
      <w:bookmarkStart w:id="1858" w:name="_Toc107847070"/>
      <w:bookmarkStart w:id="1859" w:name="_Toc107849342"/>
      <w:bookmarkStart w:id="1860" w:name="_Toc107853754"/>
      <w:bookmarkStart w:id="1861" w:name="_Toc107865383"/>
      <w:bookmarkStart w:id="1862" w:name="_Toc108418580"/>
      <w:bookmarkStart w:id="1863" w:name="_Toc108539890"/>
      <w:bookmarkStart w:id="1864" w:name="_Toc108539972"/>
      <w:bookmarkStart w:id="1865" w:name="_Toc109057465"/>
      <w:bookmarkStart w:id="1866" w:name="_Toc109120831"/>
      <w:bookmarkStart w:id="1867" w:name="_Toc109122427"/>
      <w:bookmarkStart w:id="1868" w:name="_Toc109133164"/>
      <w:bookmarkStart w:id="1869" w:name="_Toc120291700"/>
      <w:r w:rsidRPr="002661A8">
        <w:rPr>
          <w:noProof/>
        </w:rPr>
        <w:t>CCPs are vital infrastructures for the financial system</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p>
    <w:p w14:paraId="2D96C878" w14:textId="4B07C4F5" w:rsidR="00F831E7" w:rsidRPr="002661A8" w:rsidRDefault="00F831E7" w:rsidP="00F831E7">
      <w:pPr>
        <w:pStyle w:val="Body"/>
        <w:spacing w:after="120"/>
        <w:rPr>
          <w:rFonts w:eastAsia="Arial Unicode MS" w:cs="Arial Unicode MS"/>
          <w:noProof/>
        </w:rPr>
      </w:pPr>
      <w:r w:rsidRPr="002661A8">
        <w:rPr>
          <w:rFonts w:eastAsia="Arial Unicode MS" w:cs="Arial Unicode MS"/>
          <w:noProof/>
        </w:rPr>
        <w:t>CCPs are at the centre of financial markets. They play a key role in mitigating counterparty credit risk in transactions involving a range of financial instruments and products, thereby contributing to the reduction of systemic risk.</w:t>
      </w:r>
      <w:r w:rsidRPr="002661A8">
        <w:rPr>
          <w:rStyle w:val="FootnoteReference"/>
          <w:rFonts w:eastAsia="Arial Unicode MS" w:cs="Arial Unicode MS"/>
          <w:noProof/>
        </w:rPr>
        <w:footnoteReference w:id="222"/>
      </w:r>
      <w:r w:rsidRPr="002661A8">
        <w:rPr>
          <w:rFonts w:eastAsia="Arial Unicode MS" w:cs="Arial Unicode MS"/>
          <w:noProof/>
        </w:rPr>
        <w:t xml:space="preserve"> By interposing themselves between parties to transactions, CCPs simplify the network of counterparty exposures and lower the average counterparty credit risk</w:t>
      </w:r>
      <w:r w:rsidRPr="002661A8">
        <w:rPr>
          <w:rStyle w:val="FootnoteReference"/>
          <w:rFonts w:eastAsia="Arial Unicode MS" w:cs="Arial Unicode MS"/>
          <w:noProof/>
        </w:rPr>
        <w:footnoteReference w:id="223"/>
      </w:r>
      <w:r w:rsidRPr="002661A8">
        <w:rPr>
          <w:rFonts w:eastAsia="Arial Unicode MS" w:cs="Arial Unicode MS"/>
          <w:noProof/>
        </w:rPr>
        <w:t xml:space="preserve"> through multilateral netting techniques, i.e. a payment arrangement under which transactions among multiple counterparties are grouped and settled on a net basis, rather than settled individually (</w:t>
      </w:r>
      <w:r w:rsidRPr="002661A8">
        <w:rPr>
          <w:noProof/>
        </w:rPr>
        <w:t xml:space="preserve">Figure </w:t>
      </w:r>
      <w:r w:rsidR="004873EE" w:rsidRPr="002661A8">
        <w:rPr>
          <w:noProof/>
        </w:rPr>
        <w:t>4</w:t>
      </w:r>
      <w:r w:rsidRPr="002661A8">
        <w:rPr>
          <w:rFonts w:eastAsia="Arial Unicode MS" w:cs="Arial Unicode MS"/>
          <w:noProof/>
        </w:rPr>
        <w:t>). These techniques could reduce exposures and, as a result, central clearing may also mitigate systemic risk by reducing the risk that the default of one or several clearing members propagates from counterparty to counterparty.</w:t>
      </w:r>
    </w:p>
    <w:p w14:paraId="0C95786B" w14:textId="483B0FAB" w:rsidR="00F831E7" w:rsidRPr="002661A8" w:rsidRDefault="00F831E7" w:rsidP="00F831E7">
      <w:pPr>
        <w:pStyle w:val="Caption"/>
        <w:rPr>
          <w:noProof/>
          <w:lang w:val="en-GB"/>
        </w:rPr>
      </w:pPr>
      <w:bookmarkStart w:id="1870" w:name="_Ref95989758"/>
      <w:r w:rsidRPr="002661A8">
        <w:rPr>
          <w:noProof/>
          <w:lang w:val="en-GB"/>
        </w:rPr>
        <w:t xml:space="preserve">Figure </w:t>
      </w:r>
      <w:r w:rsidR="00387BC9" w:rsidRPr="002661A8">
        <w:rPr>
          <w:noProof/>
          <w:lang w:val="en-GB"/>
        </w:rPr>
        <w:t>4</w:t>
      </w:r>
      <w:bookmarkEnd w:id="1870"/>
      <w:r w:rsidRPr="002661A8">
        <w:rPr>
          <w:noProof/>
          <w:lang w:val="en-GB"/>
        </w:rPr>
        <w:t xml:space="preserve"> - </w:t>
      </w:r>
      <w:r w:rsidRPr="002661A8">
        <w:rPr>
          <w:rStyle w:val="None"/>
          <w:noProof/>
          <w:lang w:val="en-GB"/>
        </w:rPr>
        <w:t>Exposures network: from non-centrally cleared to centrally cleared derivatives</w:t>
      </w:r>
    </w:p>
    <w:p w14:paraId="5D3945A9" w14:textId="77777777" w:rsidR="00F831E7" w:rsidRPr="002661A8" w:rsidRDefault="00F831E7" w:rsidP="00F831E7">
      <w:pPr>
        <w:pStyle w:val="Body"/>
        <w:keepNext/>
        <w:spacing w:after="120"/>
        <w:jc w:val="center"/>
        <w:rPr>
          <w:noProof/>
        </w:rPr>
      </w:pPr>
      <w:r w:rsidRPr="002661A8">
        <w:rPr>
          <w:noProof/>
        </w:rPr>
        <w:drawing>
          <wp:inline distT="0" distB="0" distL="0" distR="0" wp14:anchorId="048722C1" wp14:editId="4F4CFAF0">
            <wp:extent cx="2300299" cy="1366157"/>
            <wp:effectExtent l="0" t="0" r="5080" b="5715"/>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3.png"/>
                    <pic:cNvPicPr>
                      <a:picLocks noChangeAspect="1"/>
                    </pic:cNvPicPr>
                  </pic:nvPicPr>
                  <pic:blipFill>
                    <a:blip r:embed="rId50"/>
                    <a:stretch>
                      <a:fillRect/>
                    </a:stretch>
                  </pic:blipFill>
                  <pic:spPr>
                    <a:xfrm>
                      <a:off x="0" y="0"/>
                      <a:ext cx="2330428" cy="1384051"/>
                    </a:xfrm>
                    <a:prstGeom prst="rect">
                      <a:avLst/>
                    </a:prstGeom>
                    <a:ln w="12700" cap="flat">
                      <a:noFill/>
                      <a:miter lim="400000"/>
                    </a:ln>
                    <a:effectLst/>
                  </pic:spPr>
                </pic:pic>
              </a:graphicData>
            </a:graphic>
          </wp:inline>
        </w:drawing>
      </w:r>
    </w:p>
    <w:p w14:paraId="79324559" w14:textId="77777777" w:rsidR="00F831E7" w:rsidRPr="002661A8" w:rsidRDefault="00F831E7" w:rsidP="00D6052F">
      <w:pPr>
        <w:pStyle w:val="Caption"/>
        <w:spacing w:before="0"/>
        <w:jc w:val="left"/>
        <w:rPr>
          <w:rStyle w:val="None"/>
          <w:rFonts w:asciiTheme="minorHAnsi" w:eastAsiaTheme="minorEastAsia" w:hAnsiTheme="minorHAnsi" w:cstheme="minorBidi"/>
          <w:b w:val="0"/>
          <w:i/>
          <w:noProof/>
          <w:color w:val="auto"/>
          <w:sz w:val="20"/>
          <w:szCs w:val="20"/>
          <w:lang w:val="en-GB" w:eastAsia="en-US"/>
        </w:rPr>
      </w:pPr>
      <w:r w:rsidRPr="002661A8">
        <w:rPr>
          <w:rStyle w:val="None"/>
          <w:b w:val="0"/>
          <w:i/>
          <w:noProof/>
          <w:sz w:val="20"/>
          <w:szCs w:val="20"/>
          <w:lang w:val="en-GB"/>
        </w:rPr>
        <w:t>Source: BIS</w:t>
      </w:r>
      <w:r w:rsidRPr="002661A8">
        <w:rPr>
          <w:rStyle w:val="None"/>
          <w:b w:val="0"/>
          <w:noProof/>
          <w:sz w:val="20"/>
          <w:szCs w:val="20"/>
          <w:vertAlign w:val="superscript"/>
          <w:lang w:val="en-GB"/>
        </w:rPr>
        <w:footnoteReference w:id="224"/>
      </w:r>
    </w:p>
    <w:p w14:paraId="189B692F" w14:textId="77777777" w:rsidR="00F831E7" w:rsidRPr="002661A8" w:rsidRDefault="00F831E7" w:rsidP="00F831E7">
      <w:pPr>
        <w:pStyle w:val="Body"/>
        <w:spacing w:after="120"/>
        <w:rPr>
          <w:noProof/>
        </w:rPr>
      </w:pPr>
      <w:r w:rsidRPr="002661A8">
        <w:rPr>
          <w:rFonts w:eastAsia="Arial Unicode MS" w:cs="Arial Unicode MS"/>
          <w:noProof/>
        </w:rPr>
        <w:t>A limited number of clearing members typically access CCPs directly, while a wide array of clients and indirect clients access CCPs via clearing members or clients respectively. Clients and indirect clients typically include medium sized banks, small financial companies, investment funds, insurance companies as well as non-financial companies. Direct CCP membership is concentrated in a limited number of entities, as CCPs impose stringent criteria to clearing members, notably in terms of financial robustness, operational capacity and product expertise.</w:t>
      </w:r>
      <w:r w:rsidRPr="002661A8">
        <w:rPr>
          <w:rStyle w:val="FootnoteReference"/>
          <w:rFonts w:eastAsia="Arial Unicode MS" w:cs="Arial Unicode MS"/>
          <w:noProof/>
        </w:rPr>
        <w:footnoteReference w:id="225"/>
      </w:r>
      <w:r w:rsidRPr="002661A8">
        <w:rPr>
          <w:rFonts w:eastAsia="Arial Unicode MS" w:cs="Arial Unicode MS"/>
          <w:noProof/>
        </w:rPr>
        <w:t xml:space="preserve"> Typically in the EU, a clearing member is a large credit institution subject to prudential requirements under the Capital Requirements Regulation</w:t>
      </w:r>
      <w:r w:rsidRPr="002661A8">
        <w:rPr>
          <w:rStyle w:val="FootnoteReference"/>
          <w:rFonts w:eastAsia="Arial Unicode MS" w:cs="Arial Unicode MS"/>
          <w:noProof/>
        </w:rPr>
        <w:footnoteReference w:id="226"/>
      </w:r>
      <w:r w:rsidRPr="002661A8">
        <w:rPr>
          <w:rFonts w:eastAsia="Arial Unicode MS" w:cs="Arial Unicode MS"/>
          <w:noProof/>
        </w:rPr>
        <w:t>, engaging with CCPs to trade on their own account or that of their clients.</w:t>
      </w:r>
      <w:r w:rsidRPr="002661A8">
        <w:rPr>
          <w:rStyle w:val="FootnoteReference"/>
          <w:rFonts w:eastAsia="Arial Unicode MS" w:cs="Arial Unicode MS"/>
          <w:noProof/>
        </w:rPr>
        <w:footnoteReference w:id="227"/>
      </w:r>
    </w:p>
    <w:p w14:paraId="1D1F01AC" w14:textId="77777777" w:rsidR="00F831E7" w:rsidRPr="002661A8" w:rsidRDefault="00F831E7" w:rsidP="00F831E7">
      <w:pPr>
        <w:pStyle w:val="Body"/>
        <w:spacing w:after="120"/>
        <w:rPr>
          <w:rFonts w:eastAsia="Arial Unicode MS" w:cs="Arial Unicode MS"/>
          <w:noProof/>
        </w:rPr>
      </w:pPr>
      <w:r w:rsidRPr="002661A8">
        <w:rPr>
          <w:rFonts w:eastAsia="Arial Unicode MS" w:cs="Arial Unicode MS"/>
          <w:noProof/>
        </w:rPr>
        <w:t xml:space="preserve">Post-crisis reforms have focused on establishing clearing obligations for standardised OTC derivatives, but </w:t>
      </w:r>
      <w:r w:rsidRPr="002661A8">
        <w:rPr>
          <w:rFonts w:eastAsia="Arial Unicode MS" w:cs="Arial Unicode MS"/>
          <w:b/>
          <w:noProof/>
        </w:rPr>
        <w:t>CCPs clear a much wide and diverse range of financial instruments and products</w:t>
      </w:r>
      <w:r w:rsidRPr="002661A8">
        <w:rPr>
          <w:rFonts w:eastAsia="Arial Unicode MS" w:cs="Arial Unicode MS"/>
          <w:noProof/>
        </w:rPr>
        <w:t>. Instruments cleared by CCPs differ in risk profile, ranging from the clearing of securities which are liquid assets and for which a key risk lies in the settlement of transactions, usually over a few days, to long term OTC derivatives which can become highly illiquid in times of stress and have market, liquidity and credit risk spread over several years.</w:t>
      </w:r>
    </w:p>
    <w:p w14:paraId="498FF5E8" w14:textId="20BD2D9A" w:rsidR="00F831E7" w:rsidRPr="002661A8" w:rsidRDefault="00F831E7" w:rsidP="00D6052F">
      <w:pPr>
        <w:pStyle w:val="Body"/>
        <w:spacing w:after="120"/>
        <w:rPr>
          <w:i/>
          <w:noProof/>
        </w:rPr>
      </w:pPr>
      <w:r w:rsidRPr="002661A8">
        <w:rPr>
          <w:rFonts w:eastAsia="Arial Unicode MS" w:cs="Arial Unicode MS"/>
          <w:noProof/>
        </w:rPr>
        <w:t>Contracts cleared by CCPs can be outright purchases and sales of securities (bonds or equities), commodities, Securities Financing Transactions</w:t>
      </w:r>
      <w:r w:rsidRPr="002661A8">
        <w:rPr>
          <w:rStyle w:val="FootnoteReference"/>
          <w:rFonts w:eastAsia="Arial Unicode MS" w:cs="Arial Unicode MS"/>
          <w:noProof/>
        </w:rPr>
        <w:footnoteReference w:id="228"/>
      </w:r>
      <w:r w:rsidRPr="002661A8">
        <w:rPr>
          <w:rFonts w:eastAsia="Arial Unicode MS" w:cs="Arial Unicode MS"/>
          <w:noProof/>
        </w:rPr>
        <w:t xml:space="preserve"> (‘SFTs’, including repurchase agreements, i.e. repos), or derivatives, whether traded on an exchange (listed) or bilaterally (OTC). A large number of CCPs only clear securities and SFTs in their local markets, but about half of them also clear derivatives, locally or internationally. In contrast, most CCPs established in the EU clear several product classes, from listed and OTC financial and commodity derivatives to cash equities, bonds and repos.</w:t>
      </w:r>
      <w:r w:rsidRPr="002661A8">
        <w:rPr>
          <w:rStyle w:val="FootnoteReference"/>
          <w:rFonts w:eastAsia="Arial Unicode MS" w:cs="Arial Unicode MS"/>
          <w:noProof/>
        </w:rPr>
        <w:footnoteReference w:id="229"/>
      </w:r>
      <w:r w:rsidRPr="002661A8">
        <w:rPr>
          <w:rFonts w:eastAsia="Arial Unicode MS" w:cs="Arial Unicode MS"/>
          <w:noProof/>
        </w:rPr>
        <w:t xml:space="preserve"> EU financial market participants can use </w:t>
      </w:r>
      <w:r w:rsidR="00E17E28" w:rsidRPr="002661A8">
        <w:rPr>
          <w:rFonts w:eastAsia="Arial Unicode MS" w:cs="Arial Unicode MS"/>
          <w:noProof/>
        </w:rPr>
        <w:t xml:space="preserve">EU authorised </w:t>
      </w:r>
      <w:r w:rsidRPr="002661A8">
        <w:rPr>
          <w:rFonts w:eastAsia="Arial Unicode MS" w:cs="Arial Unicode MS"/>
          <w:noProof/>
        </w:rPr>
        <w:t xml:space="preserve">CCPs </w:t>
      </w:r>
      <w:r w:rsidR="00E17E28" w:rsidRPr="002661A8">
        <w:rPr>
          <w:rFonts w:eastAsia="Arial Unicode MS" w:cs="Arial Unicode MS"/>
          <w:noProof/>
        </w:rPr>
        <w:t>and</w:t>
      </w:r>
      <w:r w:rsidRPr="002661A8">
        <w:rPr>
          <w:rFonts w:eastAsia="Arial Unicode MS" w:cs="Arial Unicode MS"/>
          <w:noProof/>
        </w:rPr>
        <w:t xml:space="preserve"> CCPs established outside of the EU, </w:t>
      </w:r>
      <w:r w:rsidR="00E17E28" w:rsidRPr="002661A8">
        <w:rPr>
          <w:rFonts w:eastAsia="Arial Unicode MS" w:cs="Arial Unicode MS"/>
          <w:noProof/>
        </w:rPr>
        <w:t xml:space="preserve">if </w:t>
      </w:r>
      <w:r w:rsidRPr="002661A8">
        <w:rPr>
          <w:rFonts w:eastAsia="Arial Unicode MS" w:cs="Arial Unicode MS"/>
          <w:noProof/>
        </w:rPr>
        <w:t>recognised by ESMA.</w:t>
      </w:r>
      <w:r w:rsidRPr="002661A8">
        <w:rPr>
          <w:rStyle w:val="FootnoteReference"/>
          <w:rFonts w:eastAsia="Arial Unicode MS" w:cs="Arial Unicode MS"/>
          <w:noProof/>
        </w:rPr>
        <w:footnoteReference w:id="230"/>
      </w:r>
    </w:p>
    <w:p w14:paraId="32D997A1" w14:textId="77777777" w:rsidR="00F831E7" w:rsidRPr="002661A8" w:rsidRDefault="00F831E7" w:rsidP="00ED5088">
      <w:pPr>
        <w:pStyle w:val="Heading1"/>
        <w:numPr>
          <w:ilvl w:val="0"/>
          <w:numId w:val="10"/>
        </w:numPr>
        <w:rPr>
          <w:noProof/>
        </w:rPr>
      </w:pPr>
      <w:bookmarkStart w:id="1871" w:name="_Toc103337456"/>
      <w:bookmarkStart w:id="1872" w:name="_Toc106827804"/>
      <w:bookmarkStart w:id="1873" w:name="_Toc106981680"/>
      <w:bookmarkStart w:id="1874" w:name="_Toc107493953"/>
      <w:bookmarkStart w:id="1875" w:name="_Toc107497989"/>
      <w:bookmarkStart w:id="1876" w:name="_Toc107503542"/>
      <w:bookmarkStart w:id="1877" w:name="_Toc107504655"/>
      <w:bookmarkStart w:id="1878" w:name="_Toc107505535"/>
      <w:bookmarkStart w:id="1879" w:name="_Toc107839011"/>
      <w:bookmarkStart w:id="1880" w:name="_Toc107847071"/>
      <w:bookmarkStart w:id="1881" w:name="_Toc107849343"/>
      <w:bookmarkStart w:id="1882" w:name="_Toc107853755"/>
      <w:bookmarkStart w:id="1883" w:name="_Toc107865384"/>
      <w:bookmarkStart w:id="1884" w:name="_Toc108418581"/>
      <w:bookmarkStart w:id="1885" w:name="_Toc108539891"/>
      <w:bookmarkStart w:id="1886" w:name="_Toc108539973"/>
      <w:bookmarkStart w:id="1887" w:name="_Toc109057466"/>
      <w:bookmarkStart w:id="1888" w:name="_Toc109120832"/>
      <w:bookmarkStart w:id="1889" w:name="_Toc109122428"/>
      <w:bookmarkStart w:id="1890" w:name="_Toc109133165"/>
      <w:bookmarkStart w:id="1891" w:name="_Toc120291701"/>
      <w:r w:rsidRPr="002661A8">
        <w:rPr>
          <w:noProof/>
        </w:rPr>
        <w:t>Clearing in the EU</w:t>
      </w:r>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p>
    <w:p w14:paraId="6DFA3DCB" w14:textId="02D552C0" w:rsidR="007A5361" w:rsidRPr="002661A8" w:rsidRDefault="007A5361" w:rsidP="00ED5088">
      <w:pPr>
        <w:pStyle w:val="Heading1"/>
        <w:numPr>
          <w:ilvl w:val="1"/>
          <w:numId w:val="10"/>
        </w:numPr>
        <w:rPr>
          <w:rFonts w:eastAsiaTheme="minorEastAsia"/>
          <w:smallCaps w:val="0"/>
          <w:noProof/>
        </w:rPr>
      </w:pPr>
      <w:bookmarkStart w:id="1892" w:name="_Toc107839012"/>
      <w:bookmarkStart w:id="1893" w:name="_Toc107847072"/>
      <w:bookmarkStart w:id="1894" w:name="_Toc107849344"/>
      <w:bookmarkStart w:id="1895" w:name="_Toc107853756"/>
      <w:bookmarkStart w:id="1896" w:name="_Toc107865385"/>
      <w:bookmarkStart w:id="1897" w:name="_Toc108418582"/>
      <w:bookmarkStart w:id="1898" w:name="_Toc108539670"/>
      <w:bookmarkStart w:id="1899" w:name="_Toc108539892"/>
      <w:bookmarkStart w:id="1900" w:name="_Toc108539974"/>
      <w:bookmarkStart w:id="1901" w:name="_Toc108540089"/>
      <w:bookmarkStart w:id="1902" w:name="_Toc109057467"/>
      <w:bookmarkStart w:id="1903" w:name="_Toc109120833"/>
      <w:bookmarkStart w:id="1904" w:name="_Toc109122429"/>
      <w:bookmarkStart w:id="1905" w:name="_Toc109133166"/>
      <w:bookmarkStart w:id="1906" w:name="_Toc120291702"/>
      <w:r w:rsidRPr="002661A8">
        <w:rPr>
          <w:rFonts w:eastAsiaTheme="minorEastAsia"/>
          <w:smallCaps w:val="0"/>
          <w:noProof/>
        </w:rPr>
        <w:t>Increasing volumes of clearing</w:t>
      </w:r>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p>
    <w:p w14:paraId="609AC6DD" w14:textId="0BAFBE33" w:rsidR="00F831E7" w:rsidRPr="002661A8" w:rsidRDefault="00F831E7" w:rsidP="00F831E7">
      <w:pPr>
        <w:pStyle w:val="Body"/>
        <w:spacing w:after="120"/>
        <w:rPr>
          <w:rFonts w:eastAsia="Arial Unicode MS" w:cs="Arial Unicode MS"/>
          <w:noProof/>
        </w:rPr>
      </w:pPr>
      <w:r w:rsidRPr="002661A8">
        <w:rPr>
          <w:rFonts w:eastAsia="Arial Unicode MS" w:cs="Arial Unicode MS"/>
          <w:noProof/>
        </w:rPr>
        <w:t>Since the adoption of EMIR and the introduction of a clearing obligation for standardised OTC derivatives and the creation of incentives for central clearing (see Section 1.4.1), the number of centrally-cleared contracts, in particular for interest-rate and credit derivatives, has significantly increased. (</w:t>
      </w:r>
      <w:r w:rsidRPr="002661A8">
        <w:rPr>
          <w:noProof/>
        </w:rPr>
        <w:fldChar w:fldCharType="begin"/>
      </w:r>
      <w:r w:rsidRPr="002661A8">
        <w:rPr>
          <w:rFonts w:eastAsia="Arial Unicode MS" w:cs="Arial Unicode MS"/>
          <w:noProof/>
        </w:rPr>
        <w:instrText xml:space="preserve"> REF _Ref95810447 \h </w:instrText>
      </w:r>
      <w:r w:rsidRPr="002661A8">
        <w:rPr>
          <w:noProof/>
        </w:rPr>
        <w:instrText xml:space="preserve"> \* MERGEFORMAT </w:instrText>
      </w:r>
      <w:r w:rsidRPr="002661A8">
        <w:rPr>
          <w:noProof/>
        </w:rPr>
      </w:r>
      <w:r w:rsidRPr="002661A8">
        <w:rPr>
          <w:rFonts w:eastAsia="Arial Unicode MS" w:cs="Arial Unicode MS"/>
          <w:noProof/>
        </w:rPr>
        <w:fldChar w:fldCharType="separate"/>
      </w:r>
      <w:r w:rsidR="009D6A61" w:rsidRPr="002661A8">
        <w:rPr>
          <w:noProof/>
        </w:rPr>
        <w:t>Figure 5</w:t>
      </w:r>
      <w:r w:rsidRPr="002661A8">
        <w:rPr>
          <w:noProof/>
        </w:rPr>
        <w:fldChar w:fldCharType="end"/>
      </w:r>
      <w:r w:rsidRPr="002661A8">
        <w:rPr>
          <w:rFonts w:eastAsia="Arial Unicode MS" w:cs="Arial Unicode MS"/>
          <w:noProof/>
        </w:rPr>
        <w:t xml:space="preserve">). </w:t>
      </w:r>
    </w:p>
    <w:p w14:paraId="2CCC0226" w14:textId="77777777" w:rsidR="00F831E7" w:rsidRPr="002661A8" w:rsidRDefault="00F831E7" w:rsidP="00F831E7">
      <w:pPr>
        <w:pStyle w:val="Body"/>
        <w:spacing w:after="120"/>
        <w:rPr>
          <w:rFonts w:eastAsia="Arial Unicode MS" w:cs="Arial Unicode MS"/>
          <w:noProof/>
        </w:rPr>
      </w:pPr>
      <w:r w:rsidRPr="002661A8">
        <w:rPr>
          <w:rFonts w:eastAsia="Arial Unicode MS" w:cs="Arial Unicode MS"/>
          <w:noProof/>
        </w:rPr>
        <w:t>The outstanding gross market value of transactions cleared by CCPs globally reflects the introduction of central clearing obligations across asset classes as well as a broad acceptance of the benefits of central clearing by market participants. The notional amounts of centrally cleared OTC derivatives transactions outstanding at the end of June 2021 was estimated at USD</w:t>
      </w:r>
      <w:r w:rsidRPr="002661A8">
        <w:rPr>
          <w:noProof/>
        </w:rPr>
        <w:t> </w:t>
      </w:r>
      <w:r w:rsidRPr="002661A8">
        <w:rPr>
          <w:rFonts w:eastAsia="Arial Unicode MS" w:cs="Arial Unicode MS"/>
          <w:noProof/>
        </w:rPr>
        <w:t>610 trillion,</w:t>
      </w:r>
      <w:r w:rsidRPr="002661A8">
        <w:rPr>
          <w:rStyle w:val="FootnoteReference"/>
          <w:noProof/>
        </w:rPr>
        <w:footnoteReference w:id="231"/>
      </w:r>
      <w:r w:rsidRPr="002661A8">
        <w:rPr>
          <w:rFonts w:eastAsia="Arial Unicode MS" w:cs="Arial Unicode MS"/>
          <w:noProof/>
        </w:rPr>
        <w:t xml:space="preserve"> of which USD</w:t>
      </w:r>
      <w:r w:rsidRPr="002661A8">
        <w:rPr>
          <w:noProof/>
        </w:rPr>
        <w:t> </w:t>
      </w:r>
      <w:r w:rsidRPr="002661A8">
        <w:rPr>
          <w:rFonts w:eastAsia="Arial Unicode MS" w:cs="Arial Unicode MS"/>
          <w:noProof/>
        </w:rPr>
        <w:t>488</w:t>
      </w:r>
      <w:r w:rsidRPr="002661A8">
        <w:rPr>
          <w:noProof/>
        </w:rPr>
        <w:t> </w:t>
      </w:r>
      <w:r w:rsidRPr="002661A8">
        <w:rPr>
          <w:rFonts w:eastAsia="Arial Unicode MS" w:cs="Arial Unicode MS"/>
          <w:noProof/>
        </w:rPr>
        <w:t>trillion was attributable to interest-rate derivatives and USD</w:t>
      </w:r>
      <w:r w:rsidRPr="002661A8">
        <w:rPr>
          <w:noProof/>
        </w:rPr>
        <w:t> </w:t>
      </w:r>
      <w:r w:rsidRPr="002661A8">
        <w:rPr>
          <w:rFonts w:eastAsia="Arial Unicode MS" w:cs="Arial Unicode MS"/>
          <w:noProof/>
        </w:rPr>
        <w:t>8.8</w:t>
      </w:r>
      <w:r w:rsidRPr="002661A8">
        <w:rPr>
          <w:noProof/>
        </w:rPr>
        <w:t> </w:t>
      </w:r>
      <w:r w:rsidRPr="002661A8">
        <w:rPr>
          <w:rFonts w:eastAsia="Arial Unicode MS" w:cs="Arial Unicode MS"/>
          <w:noProof/>
        </w:rPr>
        <w:t>trillion was attributable to credit default swaps. The gross market value of those derivatives represented USD</w:t>
      </w:r>
      <w:r w:rsidRPr="002661A8">
        <w:rPr>
          <w:noProof/>
        </w:rPr>
        <w:t> </w:t>
      </w:r>
      <w:r w:rsidRPr="002661A8">
        <w:rPr>
          <w:rFonts w:eastAsia="Arial Unicode MS" w:cs="Arial Unicode MS"/>
          <w:noProof/>
        </w:rPr>
        <w:t>8.9</w:t>
      </w:r>
      <w:r w:rsidRPr="002661A8">
        <w:rPr>
          <w:noProof/>
        </w:rPr>
        <w:t> </w:t>
      </w:r>
      <w:r w:rsidRPr="002661A8">
        <w:rPr>
          <w:rFonts w:eastAsia="Arial Unicode MS" w:cs="Arial Unicode MS"/>
          <w:noProof/>
        </w:rPr>
        <w:t>trillion and USD</w:t>
      </w:r>
      <w:r w:rsidRPr="002661A8">
        <w:rPr>
          <w:noProof/>
        </w:rPr>
        <w:t> </w:t>
      </w:r>
      <w:r w:rsidRPr="002661A8">
        <w:rPr>
          <w:rFonts w:eastAsia="Arial Unicode MS" w:cs="Arial Unicode MS"/>
          <w:noProof/>
        </w:rPr>
        <w:t>205</w:t>
      </w:r>
      <w:r w:rsidRPr="002661A8">
        <w:rPr>
          <w:noProof/>
        </w:rPr>
        <w:t> </w:t>
      </w:r>
      <w:r w:rsidRPr="002661A8">
        <w:rPr>
          <w:rFonts w:eastAsia="Arial Unicode MS" w:cs="Arial Unicode MS"/>
          <w:noProof/>
        </w:rPr>
        <w:t>billion, respectively. For interest-rate derivatives, 75% of the outstanding notional amount was centrally cleared, with a corresponding share of 64% for credit derivatives. The share of centrally-cleared transactions in other segments of OTC derivatives markets remains negligible (about 4% of the outstanding notional amount for OTC foreign exchange derivatives and roughly 1% for equity-linked contracts</w:t>
      </w:r>
      <w:r w:rsidRPr="002661A8">
        <w:rPr>
          <w:rStyle w:val="FootnoteReference"/>
          <w:noProof/>
        </w:rPr>
        <w:footnoteReference w:id="232"/>
      </w:r>
      <w:r w:rsidRPr="002661A8">
        <w:rPr>
          <w:rFonts w:eastAsia="Arial Unicode MS" w:cs="Arial Unicode MS"/>
          <w:noProof/>
        </w:rPr>
        <w:t>), mainly due to the absence of a central clearing obligation.</w:t>
      </w:r>
    </w:p>
    <w:p w14:paraId="297B3AEE" w14:textId="4020FD14" w:rsidR="00F831E7" w:rsidRPr="002661A8" w:rsidRDefault="00F831E7" w:rsidP="00F831E7">
      <w:pPr>
        <w:pStyle w:val="Caption"/>
        <w:keepNext/>
        <w:rPr>
          <w:noProof/>
          <w:lang w:val="en-GB"/>
        </w:rPr>
      </w:pPr>
      <w:bookmarkStart w:id="1907" w:name="_Ref95810447"/>
      <w:bookmarkStart w:id="1908" w:name="_Ref95810430"/>
      <w:r w:rsidRPr="002661A8">
        <w:rPr>
          <w:noProof/>
          <w:lang w:val="en-GB"/>
        </w:rPr>
        <w:t>Figure</w:t>
      </w:r>
      <w:r w:rsidR="009223A2" w:rsidRPr="002661A8">
        <w:rPr>
          <w:noProof/>
          <w:lang w:val="en-GB"/>
        </w:rPr>
        <w:t xml:space="preserve"> </w:t>
      </w:r>
      <w:r w:rsidR="00387BC9" w:rsidRPr="002661A8">
        <w:rPr>
          <w:noProof/>
          <w:lang w:val="en-GB"/>
        </w:rPr>
        <w:t>5</w:t>
      </w:r>
      <w:bookmarkEnd w:id="1907"/>
      <w:r w:rsidRPr="002661A8">
        <w:rPr>
          <w:noProof/>
          <w:lang w:val="en-GB"/>
        </w:rPr>
        <w:t xml:space="preserve">: </w:t>
      </w:r>
      <w:bookmarkStart w:id="1909" w:name="_Ref95810441"/>
      <w:r w:rsidRPr="002661A8">
        <w:rPr>
          <w:noProof/>
          <w:lang w:val="en-GB"/>
        </w:rPr>
        <w:t>Growth of central clearing (notional amounts outstanding by counterparty in percent)</w:t>
      </w:r>
      <w:bookmarkEnd w:id="1908"/>
      <w:bookmarkEnd w:id="1909"/>
    </w:p>
    <w:p w14:paraId="77908F1B" w14:textId="77777777" w:rsidR="00F831E7" w:rsidRPr="002661A8" w:rsidRDefault="00F831E7" w:rsidP="00F831E7">
      <w:pPr>
        <w:pStyle w:val="Body"/>
        <w:jc w:val="center"/>
        <w:rPr>
          <w:noProof/>
        </w:rPr>
      </w:pPr>
      <w:r w:rsidRPr="002661A8">
        <w:rPr>
          <w:noProof/>
        </w:rPr>
        <w:drawing>
          <wp:inline distT="0" distB="0" distL="0" distR="0" wp14:anchorId="5743A533" wp14:editId="59257177">
            <wp:extent cx="2591983" cy="21934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33258" cy="2228400"/>
                    </a:xfrm>
                    <a:prstGeom prst="rect">
                      <a:avLst/>
                    </a:prstGeom>
                  </pic:spPr>
                </pic:pic>
              </a:graphicData>
            </a:graphic>
          </wp:inline>
        </w:drawing>
      </w:r>
    </w:p>
    <w:p w14:paraId="7FCEE60E" w14:textId="77777777" w:rsidR="00F831E7" w:rsidRPr="002661A8" w:rsidRDefault="00F831E7" w:rsidP="00F831E7">
      <w:pPr>
        <w:pStyle w:val="Body"/>
        <w:rPr>
          <w:noProof/>
          <w:sz w:val="20"/>
          <w:szCs w:val="20"/>
        </w:rPr>
      </w:pPr>
      <w:r w:rsidRPr="002661A8">
        <w:rPr>
          <w:rStyle w:val="None"/>
          <w:i/>
          <w:noProof/>
          <w:sz w:val="20"/>
          <w:szCs w:val="20"/>
        </w:rPr>
        <w:t>Source: BIS derivatives statistics, November 2021</w:t>
      </w:r>
      <w:r w:rsidRPr="002661A8">
        <w:rPr>
          <w:rStyle w:val="None"/>
          <w:i/>
          <w:noProof/>
          <w:sz w:val="20"/>
          <w:szCs w:val="20"/>
          <w:vertAlign w:val="superscript"/>
        </w:rPr>
        <w:footnoteReference w:id="233"/>
      </w:r>
    </w:p>
    <w:p w14:paraId="3F5CB2FA" w14:textId="77777777" w:rsidR="00F831E7" w:rsidRPr="002661A8" w:rsidRDefault="00F831E7" w:rsidP="00F831E7">
      <w:pPr>
        <w:pStyle w:val="Body"/>
        <w:spacing w:after="120"/>
        <w:rPr>
          <w:noProof/>
        </w:rPr>
      </w:pPr>
      <w:r w:rsidRPr="002661A8">
        <w:rPr>
          <w:rFonts w:eastAsia="Arial Unicode MS" w:cs="Arial Unicode MS"/>
          <w:noProof/>
        </w:rPr>
        <w:t>EEA30 derivatives stood at EUR</w:t>
      </w:r>
      <w:r w:rsidRPr="002661A8">
        <w:rPr>
          <w:noProof/>
        </w:rPr>
        <w:t> </w:t>
      </w:r>
      <w:r w:rsidRPr="002661A8">
        <w:rPr>
          <w:rFonts w:eastAsia="Arial Unicode MS" w:cs="Arial Unicode MS"/>
          <w:noProof/>
        </w:rPr>
        <w:t>244</w:t>
      </w:r>
      <w:r w:rsidRPr="002661A8">
        <w:rPr>
          <w:noProof/>
        </w:rPr>
        <w:t> </w:t>
      </w:r>
      <w:r w:rsidRPr="002661A8">
        <w:rPr>
          <w:rFonts w:eastAsia="Arial Unicode MS" w:cs="Arial Unicode MS"/>
          <w:noProof/>
        </w:rPr>
        <w:t>trillion in outstanding total notional amount, down from EUR</w:t>
      </w:r>
      <w:r w:rsidRPr="002661A8">
        <w:rPr>
          <w:noProof/>
        </w:rPr>
        <w:t> </w:t>
      </w:r>
      <w:r w:rsidRPr="002661A8">
        <w:rPr>
          <w:rFonts w:eastAsia="Arial Unicode MS" w:cs="Arial Unicode MS"/>
          <w:noProof/>
        </w:rPr>
        <w:t>254</w:t>
      </w:r>
      <w:r w:rsidRPr="002661A8">
        <w:rPr>
          <w:noProof/>
        </w:rPr>
        <w:t> </w:t>
      </w:r>
      <w:r w:rsidRPr="002661A8">
        <w:rPr>
          <w:rFonts w:eastAsia="Arial Unicode MS" w:cs="Arial Unicode MS"/>
          <w:noProof/>
        </w:rPr>
        <w:t>trillion a year earlier</w:t>
      </w:r>
      <w:r w:rsidRPr="002661A8">
        <w:rPr>
          <w:rStyle w:val="FootnoteReference"/>
          <w:rFonts w:eastAsia="Arial Unicode MS" w:cs="Arial Unicode MS"/>
          <w:noProof/>
        </w:rPr>
        <w:footnoteReference w:id="234"/>
      </w:r>
      <w:r w:rsidRPr="002661A8">
        <w:rPr>
          <w:rFonts w:eastAsia="Arial Unicode MS" w:cs="Arial Unicode MS"/>
          <w:noProof/>
        </w:rPr>
        <w:t>. Market composition changed slightly, with interest rate derivatives (IRDs) accounting for 79% of notional amount in 4Q20 (up from 76% in 4Q 2019) while 13% of the notional amount was in currency (down from 16%), with 8% remaining in equity, credit and commodities. Credit institutions and investment firms were the most significant counterparties, these were counterparties in close to 75% of contracts by outstanding notional amount. OTC derivatives contracts still accounted for most of the outstanding notional amount, 92%, but 16% of all notional amount was in on-trading venue OTC contracts, while 8% was in exchange traded derivatives (ETDs). Central clearing rates in Q4 2020 were 71% of the notional amount in IRDs and 41% in credit derivatives, both up on a year earlier (from 68% and 38% respectively).</w:t>
      </w:r>
      <w:r w:rsidRPr="002661A8">
        <w:rPr>
          <w:rStyle w:val="FootnoteReference"/>
          <w:rFonts w:eastAsia="Arial Unicode MS" w:cs="Arial Unicode MS"/>
          <w:noProof/>
        </w:rPr>
        <w:footnoteReference w:id="235"/>
      </w:r>
      <w:r w:rsidRPr="002661A8">
        <w:rPr>
          <w:rFonts w:eastAsia="Arial Unicode MS" w:cs="Arial Unicode MS"/>
          <w:noProof/>
        </w:rPr>
        <w:t xml:space="preserve"> </w:t>
      </w:r>
    </w:p>
    <w:p w14:paraId="624AFF74" w14:textId="5B614330" w:rsidR="00F831E7" w:rsidRPr="002661A8" w:rsidRDefault="00F831E7" w:rsidP="00D6052F">
      <w:pPr>
        <w:pStyle w:val="Body"/>
        <w:spacing w:after="120"/>
        <w:rPr>
          <w:i/>
          <w:noProof/>
        </w:rPr>
      </w:pPr>
      <w:r w:rsidRPr="002661A8">
        <w:rPr>
          <w:rFonts w:eastAsia="Arial Unicode MS" w:cs="Arial Unicode MS"/>
          <w:noProof/>
        </w:rPr>
        <w:t>Since June 2016, certain interest-rate and credit derivatives need to be centrally cleared;</w:t>
      </w:r>
      <w:r w:rsidRPr="002661A8">
        <w:rPr>
          <w:rStyle w:val="FootnoteReference"/>
          <w:noProof/>
        </w:rPr>
        <w:footnoteReference w:id="236"/>
      </w:r>
      <w:r w:rsidRPr="002661A8">
        <w:rPr>
          <w:rFonts w:eastAsia="Arial Unicode MS" w:cs="Arial Unicode MS"/>
          <w:noProof/>
        </w:rPr>
        <w:t xml:space="preserve"> mandatory central clearing for other derivatives can be required by the Commission on the basis of a recommendation by ESMA if liquidity picks up and the criteria for the clearing obligation are deemed fulfilled.</w:t>
      </w:r>
      <w:r w:rsidRPr="002661A8">
        <w:rPr>
          <w:rStyle w:val="FootnoteReference"/>
          <w:noProof/>
        </w:rPr>
        <w:footnoteReference w:id="237"/>
      </w:r>
      <w:r w:rsidRPr="002661A8">
        <w:rPr>
          <w:rFonts w:eastAsia="Arial Unicode MS" w:cs="Arial Unicode MS"/>
          <w:noProof/>
        </w:rPr>
        <w:t xml:space="preserve"> Further requirements exist to mitigate risk in bilateral transactions</w:t>
      </w:r>
      <w:r w:rsidRPr="002661A8">
        <w:rPr>
          <w:rStyle w:val="FootnoteReference"/>
          <w:rFonts w:eastAsia="Arial Unicode MS" w:cs="Arial Unicode MS"/>
          <w:noProof/>
        </w:rPr>
        <w:footnoteReference w:id="238"/>
      </w:r>
      <w:r w:rsidRPr="002661A8">
        <w:rPr>
          <w:rFonts w:eastAsia="Arial Unicode MS" w:cs="Arial Unicode MS"/>
          <w:noProof/>
        </w:rPr>
        <w:t xml:space="preserve"> by imposing higher collateral requirements (as agreed by the G20) and to strengthen the incentives to move to central clearing (where possible and available).</w:t>
      </w:r>
      <w:r w:rsidRPr="002661A8">
        <w:rPr>
          <w:rStyle w:val="FootnoteReference"/>
          <w:noProof/>
        </w:rPr>
        <w:footnoteReference w:id="239"/>
      </w:r>
      <w:r w:rsidRPr="002661A8">
        <w:rPr>
          <w:rFonts w:eastAsia="Arial Unicode MS" w:cs="Arial Unicode MS"/>
          <w:noProof/>
        </w:rPr>
        <w:t xml:space="preserve"> The higher collateral requirement on bilateral transactions has attracted many entities towards central clearing, </w:t>
      </w:r>
      <w:r w:rsidR="00E24B88" w:rsidRPr="002661A8">
        <w:rPr>
          <w:rFonts w:eastAsia="Arial Unicode MS" w:cs="Arial Unicode MS"/>
          <w:noProof/>
        </w:rPr>
        <w:t>e.g.</w:t>
      </w:r>
      <w:r w:rsidRPr="002661A8">
        <w:rPr>
          <w:rFonts w:eastAsia="Arial Unicode MS" w:cs="Arial Unicode MS"/>
          <w:noProof/>
        </w:rPr>
        <w:t xml:space="preserve"> </w:t>
      </w:r>
      <w:r w:rsidR="00C057B1" w:rsidRPr="002661A8">
        <w:rPr>
          <w:rFonts w:eastAsia="Arial Unicode MS" w:cs="Arial Unicode MS"/>
          <w:noProof/>
        </w:rPr>
        <w:t xml:space="preserve">insurance companies and </w:t>
      </w:r>
      <w:r w:rsidRPr="002661A8">
        <w:rPr>
          <w:rFonts w:eastAsia="Arial Unicode MS" w:cs="Arial Unicode MS"/>
          <w:noProof/>
        </w:rPr>
        <w:t>pension funds or, even though the</w:t>
      </w:r>
      <w:r w:rsidR="00C057B1" w:rsidRPr="002661A8">
        <w:rPr>
          <w:rFonts w:eastAsia="Arial Unicode MS" w:cs="Arial Unicode MS"/>
          <w:noProof/>
        </w:rPr>
        <w:t xml:space="preserve"> latter</w:t>
      </w:r>
      <w:r w:rsidRPr="002661A8">
        <w:rPr>
          <w:rFonts w:eastAsia="Arial Unicode MS" w:cs="Arial Unicode MS"/>
          <w:noProof/>
        </w:rPr>
        <w:t xml:space="preserve"> do not currently fall within the scope of the EMIR clearing obligation. This trend is likely to continue in 2022 with the entry into force of the requirements for the last class of entities to be subject to the framework.</w:t>
      </w:r>
      <w:r w:rsidRPr="002661A8">
        <w:rPr>
          <w:rStyle w:val="FootnoteReference"/>
          <w:rFonts w:eastAsia="Arial Unicode MS" w:cs="Arial Unicode MS"/>
          <w:noProof/>
        </w:rPr>
        <w:footnoteReference w:id="240"/>
      </w:r>
    </w:p>
    <w:p w14:paraId="71F87859" w14:textId="1BA5B1EE" w:rsidR="007A5361" w:rsidRPr="002661A8" w:rsidRDefault="007A5361" w:rsidP="00ED5088">
      <w:pPr>
        <w:pStyle w:val="Heading1"/>
        <w:numPr>
          <w:ilvl w:val="1"/>
          <w:numId w:val="10"/>
        </w:numPr>
        <w:rPr>
          <w:rFonts w:eastAsiaTheme="minorEastAsia"/>
          <w:smallCaps w:val="0"/>
          <w:noProof/>
        </w:rPr>
      </w:pPr>
      <w:bookmarkStart w:id="1910" w:name="_Toc107839013"/>
      <w:bookmarkStart w:id="1911" w:name="_Toc107847073"/>
      <w:bookmarkStart w:id="1912" w:name="_Toc107849345"/>
      <w:bookmarkStart w:id="1913" w:name="_Toc107853757"/>
      <w:bookmarkStart w:id="1914" w:name="_Toc107865386"/>
      <w:bookmarkStart w:id="1915" w:name="_Toc108418583"/>
      <w:bookmarkStart w:id="1916" w:name="_Toc108539671"/>
      <w:bookmarkStart w:id="1917" w:name="_Toc108539893"/>
      <w:bookmarkStart w:id="1918" w:name="_Toc108539975"/>
      <w:bookmarkStart w:id="1919" w:name="_Toc108540090"/>
      <w:bookmarkStart w:id="1920" w:name="_Toc109057468"/>
      <w:bookmarkStart w:id="1921" w:name="_Toc109120834"/>
      <w:bookmarkStart w:id="1922" w:name="_Toc109122430"/>
      <w:bookmarkStart w:id="1923" w:name="_Toc109133167"/>
      <w:bookmarkStart w:id="1924" w:name="_Toc120291703"/>
      <w:r w:rsidRPr="002661A8">
        <w:rPr>
          <w:rFonts w:eastAsiaTheme="minorEastAsia"/>
          <w:smallCaps w:val="0"/>
          <w:noProof/>
        </w:rPr>
        <w:t>Concentrated and integrated CCP landscape</w:t>
      </w:r>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p>
    <w:p w14:paraId="40739991" w14:textId="77777777" w:rsidR="00F831E7" w:rsidRPr="002661A8" w:rsidRDefault="00F831E7" w:rsidP="00F831E7">
      <w:pPr>
        <w:pStyle w:val="Body"/>
        <w:spacing w:after="120"/>
        <w:rPr>
          <w:noProof/>
        </w:rPr>
      </w:pPr>
      <w:r w:rsidRPr="002661A8">
        <w:rPr>
          <w:rFonts w:eastAsia="Arial Unicode MS" w:cs="Arial Unicode MS"/>
          <w:noProof/>
        </w:rPr>
        <w:t>Most CCPs (and other market infrastructures) were originally established to serve national needs. Today, many of these CCPs provide their services across national borders, regardless of the currency denomination, and the market for the provision of clearing services is highly concentrated.</w:t>
      </w:r>
    </w:p>
    <w:p w14:paraId="2DD735F4" w14:textId="77777777" w:rsidR="00F831E7" w:rsidRPr="002661A8" w:rsidRDefault="00F831E7" w:rsidP="00F831E7">
      <w:pPr>
        <w:pStyle w:val="Text2"/>
        <w:spacing w:after="120"/>
        <w:ind w:left="0"/>
        <w:rPr>
          <w:noProof/>
          <w:szCs w:val="24"/>
        </w:rPr>
      </w:pPr>
      <w:r w:rsidRPr="002661A8">
        <w:rPr>
          <w:noProof/>
        </w:rPr>
        <w:t>While the volume of transactions cleared in the EU has increased substantially, the number of</w:t>
      </w:r>
      <w:r w:rsidRPr="002661A8">
        <w:rPr>
          <w:rStyle w:val="None"/>
          <w:b/>
          <w:noProof/>
        </w:rPr>
        <w:t xml:space="preserve"> </w:t>
      </w:r>
      <w:r w:rsidRPr="002661A8">
        <w:rPr>
          <w:noProof/>
        </w:rPr>
        <w:t>CCPs remains high compared to other jurisdictions with a limited range of products offered for clearing. Currently, there are 14 CCPs</w:t>
      </w:r>
      <w:r w:rsidRPr="002661A8">
        <w:rPr>
          <w:rStyle w:val="FootnoteReference"/>
          <w:noProof/>
        </w:rPr>
        <w:footnoteReference w:id="241"/>
      </w:r>
      <w:r w:rsidRPr="002661A8">
        <w:rPr>
          <w:noProof/>
        </w:rPr>
        <w:t xml:space="preserve"> established in the EU and authorised under EMIR to offer clearing services in the EU. Some of these EU CCPs are also authorised, recognised or registered by third-country authorities to provide clearing services to non-EU clearing members or trading venues.</w:t>
      </w:r>
    </w:p>
    <w:p w14:paraId="343DA928" w14:textId="057C64C9" w:rsidR="00F831E7" w:rsidRPr="002661A8" w:rsidRDefault="00F831E7" w:rsidP="00F831E7">
      <w:pPr>
        <w:pStyle w:val="Text2"/>
        <w:spacing w:after="120"/>
        <w:ind w:left="0"/>
        <w:rPr>
          <w:noProof/>
          <w:szCs w:val="24"/>
        </w:rPr>
      </w:pPr>
      <w:r w:rsidRPr="002661A8">
        <w:rPr>
          <w:noProof/>
        </w:rPr>
        <w:t>Not all EU CCPs are authorised to clear all asset classes. In the case of some asset classes, there is only a small number of EU CCPs offering clearing services (e.g. only one EU CCP clears credit derivatives, only two EU CCPs clear inflation-rate derivatives). In addition to EU CCPs, a further 3</w:t>
      </w:r>
      <w:r w:rsidR="7AEF34EB" w:rsidRPr="002661A8">
        <w:rPr>
          <w:noProof/>
        </w:rPr>
        <w:t>8</w:t>
      </w:r>
      <w:r w:rsidRPr="002661A8">
        <w:rPr>
          <w:noProof/>
        </w:rPr>
        <w:t xml:space="preserve"> third-country CCPs have been recognised by ESMA under EMIR, including UK CCPs in September 2020 enabling them to offer their services in the EU.</w:t>
      </w:r>
      <w:r w:rsidRPr="002661A8">
        <w:rPr>
          <w:rStyle w:val="FootnoteReference"/>
          <w:noProof/>
        </w:rPr>
        <w:footnoteReference w:id="242"/>
      </w:r>
    </w:p>
    <w:p w14:paraId="3C8F435D" w14:textId="77777777" w:rsidR="00F831E7" w:rsidRPr="002661A8" w:rsidRDefault="00F831E7" w:rsidP="00D6052F">
      <w:pPr>
        <w:pStyle w:val="Text2"/>
        <w:spacing w:after="120"/>
        <w:ind w:left="0"/>
        <w:rPr>
          <w:rStyle w:val="None"/>
          <w:rFonts w:asciiTheme="minorHAnsi" w:eastAsiaTheme="minorEastAsia" w:hAnsiTheme="minorHAnsi" w:cstheme="minorBidi"/>
          <w:b/>
          <w:noProof/>
          <w:sz w:val="22"/>
          <w:szCs w:val="22"/>
        </w:rPr>
      </w:pPr>
      <w:r w:rsidRPr="002661A8">
        <w:rPr>
          <w:noProof/>
        </w:rPr>
        <w:t>The number of recognised third-country CCPs reflects the EU's commitment to integrated financial markets and international standards.</w:t>
      </w:r>
      <w:r w:rsidRPr="002661A8">
        <w:rPr>
          <w:rStyle w:val="FootnoteReference"/>
          <w:noProof/>
        </w:rPr>
        <w:footnoteReference w:id="243"/>
      </w:r>
      <w:r w:rsidRPr="002661A8">
        <w:rPr>
          <w:noProof/>
        </w:rPr>
        <w:t xml:space="preserve"> Once recognition has been granted, the third-country CCP may provide services to clearing members established in the EU and to EU trading venues, EU counterparties may use the third-country CCP to clear OTC derivatives subject to the EMIR clearing obligation, in the same way as an EU CCP. Such recognition also allows EU clearing member banks to benefit from preferential risk weightings for calculating the capital requirements associated with the trade exposures and default fund contributions towards those third-country CCPs.</w:t>
      </w:r>
      <w:r w:rsidRPr="002661A8">
        <w:rPr>
          <w:rStyle w:val="FootnoteReference"/>
          <w:noProof/>
        </w:rPr>
        <w:footnoteReference w:id="244"/>
      </w:r>
    </w:p>
    <w:p w14:paraId="5F182CD6" w14:textId="6751A08E" w:rsidR="00F831E7" w:rsidRPr="002661A8" w:rsidRDefault="00F831E7" w:rsidP="00F831E7">
      <w:pPr>
        <w:pStyle w:val="Text2"/>
        <w:spacing w:after="120"/>
        <w:ind w:left="0"/>
        <w:rPr>
          <w:noProof/>
          <w:szCs w:val="24"/>
        </w:rPr>
      </w:pPr>
      <w:r w:rsidRPr="002661A8">
        <w:rPr>
          <w:noProof/>
        </w:rPr>
        <w:t xml:space="preserve">Despite having </w:t>
      </w:r>
      <w:r w:rsidR="788D6DEF" w:rsidRPr="002661A8">
        <w:rPr>
          <w:noProof/>
        </w:rPr>
        <w:t>52</w:t>
      </w:r>
      <w:r w:rsidRPr="002661A8" w:rsidDel="00DA3CA8">
        <w:rPr>
          <w:noProof/>
        </w:rPr>
        <w:t xml:space="preserve"> </w:t>
      </w:r>
      <w:r w:rsidRPr="002661A8">
        <w:rPr>
          <w:noProof/>
        </w:rPr>
        <w:t>CCPs authorised or recognised under EMIR for clearing worldwide, central clearing markets are generally concentrated in a few CCPs located outside of the EU, and are highly concentrated in respect of some asset classes.</w:t>
      </w:r>
      <w:r w:rsidRPr="002661A8">
        <w:rPr>
          <w:rStyle w:val="FootnoteReference"/>
          <w:noProof/>
        </w:rPr>
        <w:footnoteReference w:id="245"/>
      </w:r>
      <w:r w:rsidRPr="002661A8">
        <w:rPr>
          <w:noProof/>
        </w:rPr>
        <w:t xml:space="preserve"> As a consequence, the EU is heavily </w:t>
      </w:r>
      <w:r w:rsidR="00007C18" w:rsidRPr="002661A8">
        <w:rPr>
          <w:noProof/>
        </w:rPr>
        <w:t xml:space="preserve">reliant </w:t>
      </w:r>
      <w:r w:rsidRPr="002661A8">
        <w:rPr>
          <w:noProof/>
        </w:rPr>
        <w:t>on certain third-country CCPs.</w:t>
      </w:r>
      <w:r w:rsidRPr="002661A8">
        <w:rPr>
          <w:rFonts w:eastAsia="Arial Unicode MS" w:cs="Arial Unicode MS"/>
          <w:noProof/>
        </w:rPr>
        <w:t xml:space="preserve"> For instance, according to the ESRB, at end-December 2020, SwapClear, the clearing service of LCH Ltd (a CCP established in the UK) for interest rate derivatives, cleared more than 90% of centrally cleared OTC interest rate derivatives globally. In terms of EU currencies, SwapClear cleared more than 80% of the volume of EUR-denominated OTC IRDs and more than 90% of the volume for OTC IRDs denominated in other EU currencies.</w:t>
      </w:r>
      <w:r w:rsidRPr="002661A8">
        <w:rPr>
          <w:rStyle w:val="FootnoteReference"/>
          <w:rFonts w:eastAsia="Arial Unicode MS" w:cs="Arial Unicode MS"/>
          <w:noProof/>
        </w:rPr>
        <w:footnoteReference w:id="246"/>
      </w:r>
      <w:r w:rsidRPr="002661A8">
        <w:rPr>
          <w:noProof/>
        </w:rPr>
        <w:t xml:space="preserve"> Additionally, there are CCPs established outside of the EU that have no substitute globally to their clearing offer (e.g. LME Ltd in the UK which clears commodity derivatives). </w:t>
      </w:r>
    </w:p>
    <w:p w14:paraId="67EE8B36" w14:textId="124DE5AF" w:rsidR="007A5361" w:rsidRPr="002661A8" w:rsidRDefault="007A5361" w:rsidP="00ED5088">
      <w:pPr>
        <w:pStyle w:val="Heading1"/>
        <w:numPr>
          <w:ilvl w:val="1"/>
          <w:numId w:val="10"/>
        </w:numPr>
        <w:rPr>
          <w:rFonts w:eastAsiaTheme="minorEastAsia"/>
          <w:smallCaps w:val="0"/>
          <w:noProof/>
        </w:rPr>
      </w:pPr>
      <w:bookmarkStart w:id="1925" w:name="_Toc107839014"/>
      <w:bookmarkStart w:id="1926" w:name="_Toc107847074"/>
      <w:bookmarkStart w:id="1927" w:name="_Toc107849346"/>
      <w:bookmarkStart w:id="1928" w:name="_Toc107853758"/>
      <w:bookmarkStart w:id="1929" w:name="_Toc107865387"/>
      <w:bookmarkStart w:id="1930" w:name="_Toc108418584"/>
      <w:bookmarkStart w:id="1931" w:name="_Toc108539672"/>
      <w:bookmarkStart w:id="1932" w:name="_Toc108539894"/>
      <w:bookmarkStart w:id="1933" w:name="_Toc108539976"/>
      <w:bookmarkStart w:id="1934" w:name="_Toc108540091"/>
      <w:bookmarkStart w:id="1935" w:name="_Toc109057469"/>
      <w:bookmarkStart w:id="1936" w:name="_Toc109120835"/>
      <w:bookmarkStart w:id="1937" w:name="_Toc109122431"/>
      <w:bookmarkStart w:id="1938" w:name="_Toc109133168"/>
      <w:bookmarkStart w:id="1939" w:name="_Toc120291704"/>
      <w:r w:rsidRPr="002661A8">
        <w:rPr>
          <w:rFonts w:eastAsiaTheme="minorEastAsia"/>
          <w:smallCaps w:val="0"/>
          <w:noProof/>
        </w:rPr>
        <w:t>Big differences in product offerings</w:t>
      </w:r>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p>
    <w:p w14:paraId="7E11B6AC" w14:textId="77777777" w:rsidR="00F831E7" w:rsidRPr="002661A8" w:rsidRDefault="00F831E7" w:rsidP="00F831E7">
      <w:pPr>
        <w:pStyle w:val="Text2"/>
        <w:spacing w:after="120"/>
        <w:ind w:left="0"/>
        <w:rPr>
          <w:noProof/>
          <w:szCs w:val="24"/>
        </w:rPr>
      </w:pPr>
      <w:r w:rsidRPr="002661A8">
        <w:rPr>
          <w:noProof/>
        </w:rPr>
        <w:t>Most CCPs, albeit with some exceptions, operate mainly as regional or national hubs based on the currencies of the instruments they clear, with instruments being traded and cleared by and between local participants in local CCPs. The exceptions are a few ‘global’ CCPs offering services for a broad range of products to a wide spectrum of clearing members and clients.</w:t>
      </w:r>
    </w:p>
    <w:p w14:paraId="0899EFC8" w14:textId="12F4C7EE" w:rsidR="00F831E7" w:rsidRPr="002661A8" w:rsidRDefault="00F831E7" w:rsidP="00F831E7">
      <w:pPr>
        <w:spacing w:after="120" w:line="240" w:lineRule="auto"/>
        <w:jc w:val="both"/>
        <w:rPr>
          <w:rFonts w:ascii="Times New Roman" w:hAnsi="Times New Roman" w:cs="Times New Roman"/>
          <w:noProof/>
          <w:sz w:val="24"/>
          <w:szCs w:val="24"/>
          <w:lang w:eastAsia="en-GB"/>
        </w:rPr>
      </w:pPr>
      <w:r w:rsidRPr="002661A8">
        <w:rPr>
          <w:rFonts w:ascii="Times New Roman" w:hAnsi="Times New Roman" w:cs="Times New Roman"/>
          <w:noProof/>
          <w:sz w:val="24"/>
          <w:szCs w:val="24"/>
          <w:lang w:eastAsia="en-GB"/>
        </w:rPr>
        <w:t>EU CCPs initially developed their offer on the basis of the needs of local market participants, i.e. serving local equity and bond markets as well as derivatives allowing hedging in the local currency. With the introduction of the euro and the development of the single market, some CCPs have started to offer products that are of interest to the international community. However, given the prominent role London has taken over the years as a financial hub while the UK was part of the EU, thanks to the regulatory environment offered by the single market, the trading and clearing of derivatives developed and concentrated in the UK.</w:t>
      </w:r>
    </w:p>
    <w:p w14:paraId="07FE7673" w14:textId="5535B37A" w:rsidR="00CB60F4" w:rsidRPr="002661A8" w:rsidRDefault="00CB60F4" w:rsidP="00CB60F4">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In general, </w:t>
      </w:r>
      <w:r w:rsidRPr="002661A8">
        <w:rPr>
          <w:rFonts w:ascii="Times New Roman" w:hAnsi="Times New Roman" w:cs="Times New Roman"/>
          <w:b/>
          <w:noProof/>
          <w:sz w:val="24"/>
          <w:szCs w:val="24"/>
        </w:rPr>
        <w:t>most EU clearing members active in UK CCPs are also participants in EU CCPs</w:t>
      </w:r>
      <w:r w:rsidRPr="002661A8">
        <w:rPr>
          <w:rFonts w:ascii="Times New Roman" w:hAnsi="Times New Roman" w:cs="Times New Roman"/>
          <w:noProof/>
          <w:sz w:val="24"/>
          <w:szCs w:val="24"/>
        </w:rPr>
        <w:t>. For example, as regards LCH Ltd, the level of participation of EU clearing members varies per clearing segment and is the highest in SwapClear, which is used by 47 EU clearing members from 12 Member States.</w:t>
      </w:r>
      <w:r w:rsidRPr="002661A8">
        <w:rPr>
          <w:rStyle w:val="FootnoteReference"/>
          <w:rFonts w:ascii="Times New Roman" w:hAnsi="Times New Roman" w:cs="Times New Roman"/>
          <w:noProof/>
          <w:sz w:val="24"/>
          <w:szCs w:val="24"/>
        </w:rPr>
        <w:footnoteReference w:id="247"/>
      </w:r>
      <w:r w:rsidRPr="002661A8">
        <w:rPr>
          <w:rFonts w:ascii="Times New Roman" w:hAnsi="Times New Roman" w:cs="Times New Roman"/>
          <w:noProof/>
          <w:sz w:val="24"/>
          <w:szCs w:val="24"/>
        </w:rPr>
        <w:t xml:space="preserve"> The top three EU clearing members in SwapClear include BNP Paribas (France), Deutsche Bank (Germany) and Société Générale (France)</w:t>
      </w:r>
      <w:r w:rsidRPr="002661A8">
        <w:rPr>
          <w:rStyle w:val="FootnoteReference"/>
          <w:rFonts w:ascii="Times New Roman" w:hAnsi="Times New Roman" w:cs="Times New Roman"/>
          <w:noProof/>
          <w:sz w:val="24"/>
          <w:szCs w:val="24"/>
        </w:rPr>
        <w:footnoteReference w:id="248"/>
      </w:r>
      <w:r w:rsidRPr="002661A8">
        <w:rPr>
          <w:rFonts w:ascii="Times New Roman" w:hAnsi="Times New Roman" w:cs="Times New Roman"/>
          <w:noProof/>
          <w:sz w:val="24"/>
          <w:szCs w:val="24"/>
        </w:rPr>
        <w:t>. Among the top 30 clearing members at SwapClear, 9 are from the EU. Currently, the main alternative to SwapClear in the EU is Eurex Clearing and most EU clearing members active at SwapClear are also clearing members in Eurex Clearing</w:t>
      </w:r>
      <w:r w:rsidRPr="002661A8">
        <w:rPr>
          <w:rStyle w:val="FootnoteReference"/>
          <w:rFonts w:ascii="Times New Roman" w:hAnsi="Times New Roman" w:cs="Times New Roman"/>
          <w:noProof/>
          <w:sz w:val="24"/>
          <w:szCs w:val="24"/>
        </w:rPr>
        <w:footnoteReference w:id="249"/>
      </w:r>
      <w:r w:rsidRPr="002661A8">
        <w:rPr>
          <w:rFonts w:ascii="Times New Roman" w:hAnsi="Times New Roman" w:cs="Times New Roman"/>
          <w:noProof/>
          <w:sz w:val="24"/>
          <w:szCs w:val="24"/>
        </w:rPr>
        <w:t xml:space="preserve">. However, LCH Ltd is able to offer the clearing of some contracts in certain third-country currencies, due to the economies of scale achieved and due to its extended membership. Overall, Eurex Clearing offers clearing of fewer currencies. </w:t>
      </w:r>
    </w:p>
    <w:p w14:paraId="4812C22A" w14:textId="0942FEC7" w:rsidR="00CB60F4" w:rsidRPr="002661A8" w:rsidRDefault="00CB60F4" w:rsidP="00CB60F4">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Table </w:t>
      </w:r>
      <w:r w:rsidR="00387BC9" w:rsidRPr="002661A8">
        <w:rPr>
          <w:rFonts w:ascii="Times New Roman" w:hAnsi="Times New Roman" w:cs="Times New Roman"/>
          <w:noProof/>
          <w:sz w:val="24"/>
          <w:szCs w:val="24"/>
        </w:rPr>
        <w:t>4</w:t>
      </w:r>
      <w:r w:rsidRPr="002661A8">
        <w:rPr>
          <w:rFonts w:ascii="Times New Roman" w:hAnsi="Times New Roman" w:cs="Times New Roman"/>
          <w:noProof/>
          <w:sz w:val="24"/>
          <w:szCs w:val="24"/>
        </w:rPr>
        <w:t xml:space="preserve"> shows the participation in LCH Ltd: in addition to participants from the EU, the high number of participants from other jurisdictions should also</w:t>
      </w:r>
      <w:r w:rsidRPr="002661A8" w:rsidDel="00D60D08">
        <w:rPr>
          <w:rFonts w:ascii="Times New Roman" w:hAnsi="Times New Roman" w:cs="Times New Roman"/>
          <w:noProof/>
          <w:sz w:val="24"/>
          <w:szCs w:val="24"/>
        </w:rPr>
        <w:t xml:space="preserve"> </w:t>
      </w:r>
      <w:r w:rsidRPr="002661A8">
        <w:rPr>
          <w:rFonts w:ascii="Times New Roman" w:hAnsi="Times New Roman" w:cs="Times New Roman"/>
          <w:noProof/>
          <w:sz w:val="24"/>
          <w:szCs w:val="24"/>
        </w:rPr>
        <w:t>be noted.</w:t>
      </w:r>
    </w:p>
    <w:p w14:paraId="12AF9B6E" w14:textId="1D645DE0" w:rsidR="00CB60F4" w:rsidRPr="002661A8" w:rsidRDefault="00CB60F4" w:rsidP="00CB60F4">
      <w:pPr>
        <w:pStyle w:val="Caption"/>
        <w:keepNext/>
        <w:spacing w:before="0"/>
        <w:rPr>
          <w:noProof/>
          <w:lang w:val="en-GB"/>
        </w:rPr>
      </w:pPr>
      <w:r w:rsidRPr="002661A8">
        <w:rPr>
          <w:noProof/>
          <w:lang w:val="en-GB"/>
        </w:rPr>
        <w:t xml:space="preserve">Table </w:t>
      </w:r>
      <w:r w:rsidR="00387BC9" w:rsidRPr="002661A8">
        <w:rPr>
          <w:noProof/>
          <w:lang w:val="en-GB"/>
        </w:rPr>
        <w:t>4</w:t>
      </w:r>
      <w:r w:rsidRPr="002661A8">
        <w:rPr>
          <w:noProof/>
          <w:lang w:val="en-GB"/>
        </w:rPr>
        <w:t>. Clearing members per LCH Ltd clearing service (end of June 2021)</w:t>
      </w:r>
    </w:p>
    <w:tbl>
      <w:tblPr>
        <w:tblStyle w:val="TableGrid"/>
        <w:tblW w:w="0" w:type="auto"/>
        <w:tblInd w:w="108" w:type="dxa"/>
        <w:tblLook w:val="04A0" w:firstRow="1" w:lastRow="0" w:firstColumn="1" w:lastColumn="0" w:noHBand="0" w:noVBand="1"/>
      </w:tblPr>
      <w:tblGrid>
        <w:gridCol w:w="1533"/>
        <w:gridCol w:w="3258"/>
        <w:gridCol w:w="1757"/>
        <w:gridCol w:w="1957"/>
      </w:tblGrid>
      <w:tr w:rsidR="00CB60F4" w:rsidRPr="002661A8" w14:paraId="4333CCBC" w14:textId="77777777" w:rsidTr="00FC4C63">
        <w:tc>
          <w:tcPr>
            <w:tcW w:w="1533" w:type="dxa"/>
            <w:tcBorders>
              <w:top w:val="single" w:sz="4" w:space="0" w:color="auto"/>
              <w:left w:val="single" w:sz="4" w:space="0" w:color="auto"/>
            </w:tcBorders>
            <w:shd w:val="clear" w:color="auto" w:fill="auto"/>
          </w:tcPr>
          <w:p w14:paraId="75EA7A16" w14:textId="77777777" w:rsidR="00CB60F4" w:rsidRPr="002661A8" w:rsidRDefault="00CB60F4" w:rsidP="00FC4C63">
            <w:pPr>
              <w:keepNext/>
              <w:rPr>
                <w:b/>
                <w:noProof/>
              </w:rPr>
            </w:pPr>
            <w:r w:rsidRPr="002661A8">
              <w:rPr>
                <w:b/>
                <w:noProof/>
              </w:rPr>
              <w:t>Business Segment</w:t>
            </w:r>
          </w:p>
        </w:tc>
        <w:tc>
          <w:tcPr>
            <w:tcW w:w="3258" w:type="dxa"/>
            <w:tcBorders>
              <w:top w:val="single" w:sz="4" w:space="0" w:color="auto"/>
            </w:tcBorders>
            <w:shd w:val="clear" w:color="auto" w:fill="auto"/>
          </w:tcPr>
          <w:p w14:paraId="3F5AA7DC" w14:textId="77777777" w:rsidR="00CB60F4" w:rsidRPr="002661A8" w:rsidRDefault="00CB60F4" w:rsidP="00FC4C63">
            <w:pPr>
              <w:keepNext/>
              <w:jc w:val="center"/>
              <w:rPr>
                <w:b/>
                <w:noProof/>
              </w:rPr>
            </w:pPr>
            <w:r w:rsidRPr="002661A8">
              <w:rPr>
                <w:b/>
                <w:noProof/>
              </w:rPr>
              <w:t>Number of EU clearing members</w:t>
            </w:r>
          </w:p>
        </w:tc>
        <w:tc>
          <w:tcPr>
            <w:tcW w:w="1757" w:type="dxa"/>
            <w:tcBorders>
              <w:top w:val="single" w:sz="4" w:space="0" w:color="auto"/>
            </w:tcBorders>
            <w:shd w:val="clear" w:color="auto" w:fill="auto"/>
          </w:tcPr>
          <w:p w14:paraId="13E68528" w14:textId="77777777" w:rsidR="00CB60F4" w:rsidRPr="002661A8" w:rsidRDefault="00CB60F4" w:rsidP="00FC4C63">
            <w:pPr>
              <w:keepNext/>
              <w:jc w:val="center"/>
              <w:rPr>
                <w:b/>
                <w:noProof/>
              </w:rPr>
            </w:pPr>
            <w:r w:rsidRPr="002661A8">
              <w:rPr>
                <w:b/>
                <w:noProof/>
              </w:rPr>
              <w:t>Number of non-EU clearing members</w:t>
            </w:r>
          </w:p>
        </w:tc>
        <w:tc>
          <w:tcPr>
            <w:tcW w:w="1957" w:type="dxa"/>
            <w:tcBorders>
              <w:top w:val="single" w:sz="4" w:space="0" w:color="auto"/>
            </w:tcBorders>
            <w:shd w:val="clear" w:color="auto" w:fill="auto"/>
          </w:tcPr>
          <w:p w14:paraId="0D8F0808" w14:textId="77777777" w:rsidR="00CB60F4" w:rsidRPr="002661A8" w:rsidRDefault="00CB60F4" w:rsidP="00FC4C63">
            <w:pPr>
              <w:keepNext/>
              <w:jc w:val="center"/>
              <w:rPr>
                <w:b/>
                <w:noProof/>
              </w:rPr>
            </w:pPr>
            <w:r w:rsidRPr="002661A8">
              <w:rPr>
                <w:b/>
                <w:noProof/>
              </w:rPr>
              <w:t>Total number of clearing members</w:t>
            </w:r>
          </w:p>
        </w:tc>
      </w:tr>
      <w:tr w:rsidR="00CB60F4" w:rsidRPr="002661A8" w14:paraId="0FB43DCB" w14:textId="77777777" w:rsidTr="00FC4C63">
        <w:tc>
          <w:tcPr>
            <w:tcW w:w="1533" w:type="dxa"/>
          </w:tcPr>
          <w:p w14:paraId="35421A1F" w14:textId="77777777" w:rsidR="00CB60F4" w:rsidRPr="002661A8" w:rsidRDefault="00CB60F4" w:rsidP="00FC4C63">
            <w:pPr>
              <w:keepNext/>
              <w:rPr>
                <w:noProof/>
              </w:rPr>
            </w:pPr>
            <w:r w:rsidRPr="002661A8">
              <w:rPr>
                <w:noProof/>
              </w:rPr>
              <w:t>SwapClear</w:t>
            </w:r>
          </w:p>
        </w:tc>
        <w:tc>
          <w:tcPr>
            <w:tcW w:w="3258" w:type="dxa"/>
          </w:tcPr>
          <w:p w14:paraId="43F0D83A" w14:textId="77777777" w:rsidR="00CB60F4" w:rsidRPr="002661A8" w:rsidRDefault="00CB60F4" w:rsidP="00FC4C63">
            <w:pPr>
              <w:keepNext/>
              <w:jc w:val="center"/>
              <w:rPr>
                <w:noProof/>
              </w:rPr>
            </w:pPr>
            <w:r w:rsidRPr="002661A8">
              <w:rPr>
                <w:noProof/>
              </w:rPr>
              <w:t>47 (AT, BE, DE, DK, ES, FR, FI, IE, IT, NL, PL, SE)</w:t>
            </w:r>
            <w:r w:rsidRPr="002661A8">
              <w:rPr>
                <w:rStyle w:val="FootnoteReference"/>
                <w:noProof/>
              </w:rPr>
              <w:footnoteReference w:id="250"/>
            </w:r>
          </w:p>
        </w:tc>
        <w:tc>
          <w:tcPr>
            <w:tcW w:w="1757" w:type="dxa"/>
          </w:tcPr>
          <w:p w14:paraId="09A3EF0F" w14:textId="77777777" w:rsidR="00CB60F4" w:rsidRPr="002661A8" w:rsidRDefault="00CB60F4" w:rsidP="00FC4C63">
            <w:pPr>
              <w:keepNext/>
              <w:jc w:val="center"/>
              <w:rPr>
                <w:noProof/>
              </w:rPr>
            </w:pPr>
            <w:r w:rsidRPr="002661A8">
              <w:rPr>
                <w:noProof/>
              </w:rPr>
              <w:t>75</w:t>
            </w:r>
          </w:p>
        </w:tc>
        <w:tc>
          <w:tcPr>
            <w:tcW w:w="1957" w:type="dxa"/>
          </w:tcPr>
          <w:p w14:paraId="7116B896" w14:textId="77777777" w:rsidR="00CB60F4" w:rsidRPr="002661A8" w:rsidRDefault="00CB60F4" w:rsidP="00FC4C63">
            <w:pPr>
              <w:keepNext/>
              <w:jc w:val="center"/>
              <w:rPr>
                <w:noProof/>
              </w:rPr>
            </w:pPr>
            <w:r w:rsidRPr="002661A8">
              <w:rPr>
                <w:noProof/>
              </w:rPr>
              <w:t>122</w:t>
            </w:r>
          </w:p>
        </w:tc>
      </w:tr>
      <w:tr w:rsidR="00CB60F4" w:rsidRPr="002661A8" w14:paraId="539050E5" w14:textId="77777777" w:rsidTr="00FC4C63">
        <w:tc>
          <w:tcPr>
            <w:tcW w:w="1533" w:type="dxa"/>
          </w:tcPr>
          <w:p w14:paraId="10B34C6C" w14:textId="77777777" w:rsidR="00CB60F4" w:rsidRPr="002661A8" w:rsidRDefault="00CB60F4" w:rsidP="00FC4C63">
            <w:pPr>
              <w:keepNext/>
              <w:rPr>
                <w:noProof/>
              </w:rPr>
            </w:pPr>
            <w:r w:rsidRPr="002661A8">
              <w:rPr>
                <w:noProof/>
              </w:rPr>
              <w:t>ForexClear</w:t>
            </w:r>
          </w:p>
        </w:tc>
        <w:tc>
          <w:tcPr>
            <w:tcW w:w="3258" w:type="dxa"/>
          </w:tcPr>
          <w:p w14:paraId="49877D23" w14:textId="77777777" w:rsidR="00CB60F4" w:rsidRPr="002661A8" w:rsidRDefault="00CB60F4" w:rsidP="00FC4C63">
            <w:pPr>
              <w:keepNext/>
              <w:jc w:val="center"/>
              <w:rPr>
                <w:noProof/>
              </w:rPr>
            </w:pPr>
            <w:r w:rsidRPr="002661A8">
              <w:rPr>
                <w:noProof/>
              </w:rPr>
              <w:t>9 (DE, ES, FR, NL)</w:t>
            </w:r>
          </w:p>
        </w:tc>
        <w:tc>
          <w:tcPr>
            <w:tcW w:w="1757" w:type="dxa"/>
          </w:tcPr>
          <w:p w14:paraId="6DD88081" w14:textId="77777777" w:rsidR="00CB60F4" w:rsidRPr="002661A8" w:rsidRDefault="00CB60F4" w:rsidP="00FC4C63">
            <w:pPr>
              <w:keepNext/>
              <w:jc w:val="center"/>
              <w:rPr>
                <w:noProof/>
              </w:rPr>
            </w:pPr>
            <w:r w:rsidRPr="002661A8">
              <w:rPr>
                <w:noProof/>
              </w:rPr>
              <w:t>24</w:t>
            </w:r>
          </w:p>
        </w:tc>
        <w:tc>
          <w:tcPr>
            <w:tcW w:w="1957" w:type="dxa"/>
          </w:tcPr>
          <w:p w14:paraId="25C6B812" w14:textId="77777777" w:rsidR="00CB60F4" w:rsidRPr="002661A8" w:rsidRDefault="00CB60F4" w:rsidP="00FC4C63">
            <w:pPr>
              <w:keepNext/>
              <w:jc w:val="center"/>
              <w:rPr>
                <w:noProof/>
              </w:rPr>
            </w:pPr>
            <w:r w:rsidRPr="002661A8">
              <w:rPr>
                <w:noProof/>
              </w:rPr>
              <w:t>33</w:t>
            </w:r>
          </w:p>
        </w:tc>
      </w:tr>
      <w:tr w:rsidR="00CB60F4" w:rsidRPr="002661A8" w14:paraId="16D22B22" w14:textId="77777777" w:rsidTr="00FC4C63">
        <w:tc>
          <w:tcPr>
            <w:tcW w:w="1533" w:type="dxa"/>
          </w:tcPr>
          <w:p w14:paraId="627C5088" w14:textId="77777777" w:rsidR="00CB60F4" w:rsidRPr="002661A8" w:rsidRDefault="00CB60F4" w:rsidP="00FC4C63">
            <w:pPr>
              <w:keepNext/>
              <w:rPr>
                <w:noProof/>
              </w:rPr>
            </w:pPr>
            <w:r w:rsidRPr="002661A8">
              <w:rPr>
                <w:noProof/>
              </w:rPr>
              <w:t>Listed Rates</w:t>
            </w:r>
          </w:p>
        </w:tc>
        <w:tc>
          <w:tcPr>
            <w:tcW w:w="3258" w:type="dxa"/>
          </w:tcPr>
          <w:p w14:paraId="562A6E76" w14:textId="77777777" w:rsidR="00CB60F4" w:rsidRPr="002661A8" w:rsidRDefault="00CB60F4" w:rsidP="00FC4C63">
            <w:pPr>
              <w:keepNext/>
              <w:jc w:val="center"/>
              <w:rPr>
                <w:noProof/>
              </w:rPr>
            </w:pPr>
            <w:r w:rsidRPr="002661A8">
              <w:rPr>
                <w:noProof/>
              </w:rPr>
              <w:t>2 (FR)</w:t>
            </w:r>
          </w:p>
        </w:tc>
        <w:tc>
          <w:tcPr>
            <w:tcW w:w="1757" w:type="dxa"/>
          </w:tcPr>
          <w:p w14:paraId="34DC84C7" w14:textId="77777777" w:rsidR="00CB60F4" w:rsidRPr="002661A8" w:rsidRDefault="00CB60F4" w:rsidP="00FC4C63">
            <w:pPr>
              <w:keepNext/>
              <w:jc w:val="center"/>
              <w:rPr>
                <w:noProof/>
              </w:rPr>
            </w:pPr>
            <w:r w:rsidRPr="002661A8">
              <w:rPr>
                <w:noProof/>
              </w:rPr>
              <w:t>14</w:t>
            </w:r>
          </w:p>
        </w:tc>
        <w:tc>
          <w:tcPr>
            <w:tcW w:w="1957" w:type="dxa"/>
          </w:tcPr>
          <w:p w14:paraId="0ADE8CF4" w14:textId="77777777" w:rsidR="00CB60F4" w:rsidRPr="002661A8" w:rsidRDefault="00CB60F4" w:rsidP="00FC4C63">
            <w:pPr>
              <w:keepNext/>
              <w:jc w:val="center"/>
              <w:rPr>
                <w:noProof/>
              </w:rPr>
            </w:pPr>
            <w:r w:rsidRPr="002661A8">
              <w:rPr>
                <w:noProof/>
              </w:rPr>
              <w:t>16</w:t>
            </w:r>
          </w:p>
        </w:tc>
      </w:tr>
      <w:tr w:rsidR="00CB60F4" w:rsidRPr="002661A8" w14:paraId="52962406" w14:textId="77777777" w:rsidTr="00FC4C63">
        <w:tc>
          <w:tcPr>
            <w:tcW w:w="1533" w:type="dxa"/>
          </w:tcPr>
          <w:p w14:paraId="17CD7D90" w14:textId="77777777" w:rsidR="00CB60F4" w:rsidRPr="002661A8" w:rsidRDefault="00CB60F4" w:rsidP="00FC4C63">
            <w:pPr>
              <w:keepNext/>
              <w:rPr>
                <w:noProof/>
              </w:rPr>
            </w:pPr>
            <w:r w:rsidRPr="002661A8">
              <w:rPr>
                <w:noProof/>
              </w:rPr>
              <w:t>RepoClear</w:t>
            </w:r>
          </w:p>
        </w:tc>
        <w:tc>
          <w:tcPr>
            <w:tcW w:w="3258" w:type="dxa"/>
          </w:tcPr>
          <w:p w14:paraId="4156B85B" w14:textId="77777777" w:rsidR="00CB60F4" w:rsidRPr="002661A8" w:rsidRDefault="00CB60F4" w:rsidP="00FC4C63">
            <w:pPr>
              <w:keepNext/>
              <w:jc w:val="center"/>
              <w:rPr>
                <w:noProof/>
              </w:rPr>
            </w:pPr>
            <w:r w:rsidRPr="002661A8">
              <w:rPr>
                <w:noProof/>
              </w:rPr>
              <w:t>43 (BE, DE, DK, ES, FR, IE, IT, LU, NL)</w:t>
            </w:r>
          </w:p>
        </w:tc>
        <w:tc>
          <w:tcPr>
            <w:tcW w:w="1757" w:type="dxa"/>
          </w:tcPr>
          <w:p w14:paraId="36EB59FE" w14:textId="77777777" w:rsidR="00CB60F4" w:rsidRPr="002661A8" w:rsidRDefault="00CB60F4" w:rsidP="00FC4C63">
            <w:pPr>
              <w:keepNext/>
              <w:jc w:val="center"/>
              <w:rPr>
                <w:noProof/>
              </w:rPr>
            </w:pPr>
            <w:r w:rsidRPr="002661A8">
              <w:rPr>
                <w:noProof/>
              </w:rPr>
              <w:t>63</w:t>
            </w:r>
          </w:p>
        </w:tc>
        <w:tc>
          <w:tcPr>
            <w:tcW w:w="1957" w:type="dxa"/>
          </w:tcPr>
          <w:p w14:paraId="7DE8446E" w14:textId="77777777" w:rsidR="00CB60F4" w:rsidRPr="002661A8" w:rsidRDefault="00CB60F4" w:rsidP="00FC4C63">
            <w:pPr>
              <w:keepNext/>
              <w:jc w:val="center"/>
              <w:rPr>
                <w:noProof/>
              </w:rPr>
            </w:pPr>
            <w:r w:rsidRPr="002661A8">
              <w:rPr>
                <w:noProof/>
              </w:rPr>
              <w:t>106</w:t>
            </w:r>
          </w:p>
        </w:tc>
      </w:tr>
      <w:tr w:rsidR="00CB60F4" w:rsidRPr="002661A8" w14:paraId="3A3BE46A" w14:textId="77777777" w:rsidTr="00FC4C63">
        <w:tc>
          <w:tcPr>
            <w:tcW w:w="1533" w:type="dxa"/>
          </w:tcPr>
          <w:p w14:paraId="64F0E1F4" w14:textId="77777777" w:rsidR="00CB60F4" w:rsidRPr="002661A8" w:rsidRDefault="00CB60F4" w:rsidP="00FC4C63">
            <w:pPr>
              <w:keepNext/>
              <w:rPr>
                <w:noProof/>
              </w:rPr>
            </w:pPr>
            <w:r w:rsidRPr="002661A8">
              <w:rPr>
                <w:noProof/>
              </w:rPr>
              <w:t>EquityClear</w:t>
            </w:r>
          </w:p>
        </w:tc>
        <w:tc>
          <w:tcPr>
            <w:tcW w:w="3258" w:type="dxa"/>
          </w:tcPr>
          <w:p w14:paraId="08193D70" w14:textId="77777777" w:rsidR="00CB60F4" w:rsidRPr="002661A8" w:rsidRDefault="00CB60F4" w:rsidP="00FC4C63">
            <w:pPr>
              <w:keepNext/>
              <w:jc w:val="center"/>
              <w:rPr>
                <w:noProof/>
                <w:lang w:val="es-ES"/>
              </w:rPr>
            </w:pPr>
            <w:r w:rsidRPr="002661A8">
              <w:rPr>
                <w:noProof/>
                <w:lang w:val="es-ES"/>
              </w:rPr>
              <w:t>19 (FI, FR, DE, IE, IT, NL, ES)</w:t>
            </w:r>
          </w:p>
        </w:tc>
        <w:tc>
          <w:tcPr>
            <w:tcW w:w="1757" w:type="dxa"/>
          </w:tcPr>
          <w:p w14:paraId="4B56A576" w14:textId="77777777" w:rsidR="00CB60F4" w:rsidRPr="002661A8" w:rsidRDefault="00CB60F4" w:rsidP="00FC4C63">
            <w:pPr>
              <w:keepNext/>
              <w:jc w:val="center"/>
              <w:rPr>
                <w:noProof/>
              </w:rPr>
            </w:pPr>
            <w:r w:rsidRPr="002661A8">
              <w:rPr>
                <w:noProof/>
              </w:rPr>
              <w:t>22</w:t>
            </w:r>
          </w:p>
        </w:tc>
        <w:tc>
          <w:tcPr>
            <w:tcW w:w="1957" w:type="dxa"/>
          </w:tcPr>
          <w:p w14:paraId="56168D69" w14:textId="77777777" w:rsidR="00CB60F4" w:rsidRPr="002661A8" w:rsidRDefault="00CB60F4" w:rsidP="00FC4C63">
            <w:pPr>
              <w:keepNext/>
              <w:jc w:val="center"/>
              <w:rPr>
                <w:noProof/>
              </w:rPr>
            </w:pPr>
            <w:r w:rsidRPr="002661A8">
              <w:rPr>
                <w:noProof/>
              </w:rPr>
              <w:t>41</w:t>
            </w:r>
          </w:p>
        </w:tc>
      </w:tr>
    </w:tbl>
    <w:p w14:paraId="26B6863C" w14:textId="77777777" w:rsidR="00CB60F4" w:rsidRPr="002661A8" w:rsidRDefault="00CB60F4" w:rsidP="00CB60F4">
      <w:pPr>
        <w:spacing w:after="120" w:line="240" w:lineRule="auto"/>
        <w:rPr>
          <w:rFonts w:ascii="Times New Roman" w:hAnsi="Times New Roman" w:cs="Times New Roman"/>
          <w:i/>
          <w:noProof/>
          <w:sz w:val="20"/>
          <w:szCs w:val="20"/>
        </w:rPr>
      </w:pPr>
      <w:r w:rsidRPr="002661A8">
        <w:rPr>
          <w:rFonts w:ascii="Times New Roman" w:hAnsi="Times New Roman" w:cs="Times New Roman"/>
          <w:i/>
          <w:noProof/>
          <w:sz w:val="20"/>
          <w:szCs w:val="20"/>
        </w:rPr>
        <w:t>Source: ESMA Report, December 2021</w:t>
      </w:r>
    </w:p>
    <w:p w14:paraId="43486977" w14:textId="77777777" w:rsidR="00CB60F4" w:rsidRPr="002661A8" w:rsidRDefault="00CB60F4" w:rsidP="00CB60F4">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Given SwapClear’s dominant market share in OTC interest rate derivatives, an important number of EU entities have direct or indirect access to this service to be able to clear products under the clearing obligation. For the other segments, EU entities’ reliance is lower due to the absence of the clearing obligation and the availability of alternative services at other CCPs.</w:t>
      </w:r>
    </w:p>
    <w:p w14:paraId="4C02C083" w14:textId="3563B54C" w:rsidR="00CB60F4" w:rsidRPr="002661A8" w:rsidRDefault="00CB60F4" w:rsidP="00CB60F4">
      <w:pPr>
        <w:spacing w:after="120" w:line="240" w:lineRule="auto"/>
        <w:ind w:right="31"/>
        <w:jc w:val="both"/>
        <w:rPr>
          <w:rFonts w:ascii="Times New Roman" w:hAnsi="Times New Roman" w:cs="Times New Roman"/>
          <w:noProof/>
          <w:sz w:val="24"/>
          <w:szCs w:val="24"/>
        </w:rPr>
      </w:pPr>
      <w:r w:rsidRPr="002661A8">
        <w:rPr>
          <w:rFonts w:ascii="Times New Roman" w:hAnsi="Times New Roman" w:cs="Times New Roman"/>
          <w:noProof/>
          <w:sz w:val="24"/>
          <w:szCs w:val="24"/>
        </w:rPr>
        <w:t>A</w:t>
      </w:r>
      <w:r w:rsidRPr="002661A8" w:rsidDel="00D60D08">
        <w:rPr>
          <w:rFonts w:ascii="Times New Roman" w:hAnsi="Times New Roman" w:cs="Times New Roman"/>
          <w:noProof/>
          <w:sz w:val="24"/>
          <w:szCs w:val="24"/>
        </w:rPr>
        <w:t xml:space="preserve"> </w:t>
      </w:r>
      <w:r w:rsidRPr="002661A8">
        <w:rPr>
          <w:rFonts w:ascii="Times New Roman" w:hAnsi="Times New Roman" w:cs="Times New Roman"/>
          <w:noProof/>
          <w:sz w:val="24"/>
          <w:szCs w:val="24"/>
        </w:rPr>
        <w:t xml:space="preserve">significant number of EU </w:t>
      </w:r>
      <w:r w:rsidRPr="002661A8">
        <w:rPr>
          <w:rFonts w:ascii="Times New Roman" w:hAnsi="Times New Roman" w:cs="Times New Roman"/>
          <w:b/>
          <w:noProof/>
          <w:sz w:val="24"/>
          <w:szCs w:val="24"/>
          <w:u w:val="single"/>
        </w:rPr>
        <w:t>clients</w:t>
      </w:r>
      <w:r w:rsidRPr="002661A8">
        <w:rPr>
          <w:rStyle w:val="FootnoteReference"/>
          <w:rFonts w:ascii="Times New Roman" w:hAnsi="Times New Roman" w:cs="Times New Roman"/>
          <w:b/>
          <w:noProof/>
          <w:sz w:val="24"/>
          <w:szCs w:val="24"/>
          <w:u w:val="single"/>
        </w:rPr>
        <w:footnoteReference w:id="251"/>
      </w:r>
      <w:r w:rsidRPr="002661A8">
        <w:rPr>
          <w:rFonts w:ascii="Times New Roman" w:hAnsi="Times New Roman" w:cs="Times New Roman"/>
          <w:b/>
          <w:noProof/>
          <w:sz w:val="24"/>
          <w:szCs w:val="24"/>
          <w:u w:val="single"/>
        </w:rPr>
        <w:t>,</w:t>
      </w:r>
      <w:r w:rsidRPr="002661A8">
        <w:rPr>
          <w:rFonts w:ascii="Times New Roman" w:hAnsi="Times New Roman" w:cs="Times New Roman"/>
          <w:noProof/>
          <w:sz w:val="24"/>
          <w:szCs w:val="24"/>
        </w:rPr>
        <w:t xml:space="preserve"> from 23 Member States, are also active at SwapClear</w:t>
      </w:r>
      <w:r w:rsidRPr="002661A8">
        <w:rPr>
          <w:rStyle w:val="FootnoteReference"/>
          <w:rFonts w:ascii="Times New Roman" w:hAnsi="Times New Roman" w:cs="Times New Roman"/>
          <w:noProof/>
          <w:sz w:val="24"/>
          <w:szCs w:val="24"/>
        </w:rPr>
        <w:footnoteReference w:id="252"/>
      </w:r>
      <w:r w:rsidRPr="002661A8">
        <w:rPr>
          <w:rFonts w:ascii="Times New Roman" w:hAnsi="Times New Roman" w:cs="Times New Roman"/>
          <w:noProof/>
          <w:sz w:val="24"/>
          <w:szCs w:val="24"/>
        </w:rPr>
        <w:t xml:space="preserve">. Some, but not all, of the clients are subject to the clearing obligation for interest rate derivatives. Participation of EU clients in </w:t>
      </w:r>
      <w:r w:rsidR="009223A2" w:rsidRPr="002661A8">
        <w:rPr>
          <w:rFonts w:ascii="Times New Roman" w:hAnsi="Times New Roman" w:cs="Times New Roman"/>
          <w:noProof/>
          <w:sz w:val="24"/>
          <w:szCs w:val="24"/>
        </w:rPr>
        <w:t>SwapClear</w:t>
      </w:r>
      <w:r w:rsidRPr="002661A8">
        <w:rPr>
          <w:rFonts w:ascii="Times New Roman" w:hAnsi="Times New Roman" w:cs="Times New Roman"/>
          <w:noProof/>
          <w:sz w:val="24"/>
          <w:szCs w:val="24"/>
        </w:rPr>
        <w:t xml:space="preserve"> is greater than in Eurex Clearing. For example, the clearing activity of pension scheme arrangements (for cleared swaps) is split between Eurex and LCH Ltd in the same proportion as for the rest of the market, i.e. LCH Ltd has a very dominant market share.</w:t>
      </w:r>
      <w:r w:rsidRPr="002661A8">
        <w:rPr>
          <w:rStyle w:val="FootnoteReference"/>
          <w:rFonts w:ascii="Times New Roman" w:hAnsi="Times New Roman" w:cs="Times New Roman"/>
          <w:noProof/>
          <w:sz w:val="24"/>
          <w:szCs w:val="24"/>
        </w:rPr>
        <w:footnoteReference w:id="253"/>
      </w:r>
      <w:r w:rsidRPr="002661A8">
        <w:rPr>
          <w:rFonts w:ascii="Times New Roman" w:hAnsi="Times New Roman" w:cs="Times New Roman"/>
          <w:noProof/>
          <w:sz w:val="24"/>
          <w:szCs w:val="24"/>
        </w:rPr>
        <w:t xml:space="preserve"> </w:t>
      </w:r>
    </w:p>
    <w:p w14:paraId="20A049F8" w14:textId="6FAE0DF5" w:rsidR="00CB60F4" w:rsidRPr="002661A8" w:rsidRDefault="00CB60F4" w:rsidP="00CB60F4">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Also in the case of ICE EU, the largest EU clearing members participate in both its clearing segments (the futures and options segment and the CDS segment), as shown in Table </w:t>
      </w:r>
      <w:r w:rsidR="00387BC9" w:rsidRPr="002661A8">
        <w:rPr>
          <w:rFonts w:ascii="Times New Roman" w:hAnsi="Times New Roman" w:cs="Times New Roman"/>
          <w:noProof/>
          <w:sz w:val="24"/>
          <w:szCs w:val="24"/>
        </w:rPr>
        <w:t>5</w:t>
      </w:r>
      <w:r w:rsidRPr="002661A8">
        <w:rPr>
          <w:rFonts w:ascii="Times New Roman" w:hAnsi="Times New Roman" w:cs="Times New Roman"/>
          <w:noProof/>
          <w:sz w:val="24"/>
          <w:szCs w:val="24"/>
        </w:rPr>
        <w:t xml:space="preserve"> below. A significant number of major non-EU clearing members also participate</w:t>
      </w:r>
      <w:r w:rsidRPr="002661A8">
        <w:rPr>
          <w:rStyle w:val="FootnoteReference"/>
          <w:rFonts w:ascii="Times New Roman" w:hAnsi="Times New Roman" w:cs="Times New Roman"/>
          <w:noProof/>
          <w:sz w:val="24"/>
          <w:szCs w:val="24"/>
        </w:rPr>
        <w:footnoteReference w:id="254"/>
      </w:r>
      <w:r w:rsidRPr="002661A8">
        <w:rPr>
          <w:rFonts w:ascii="Times New Roman" w:hAnsi="Times New Roman" w:cs="Times New Roman"/>
          <w:noProof/>
          <w:sz w:val="24"/>
          <w:szCs w:val="24"/>
        </w:rPr>
        <w:t>.</w:t>
      </w:r>
      <w:r w:rsidRPr="002661A8">
        <w:rPr>
          <w:rStyle w:val="FootnoteReference"/>
          <w:rFonts w:ascii="Times New Roman" w:hAnsi="Times New Roman" w:cs="Times New Roman"/>
          <w:noProof/>
          <w:sz w:val="24"/>
          <w:szCs w:val="24"/>
        </w:rPr>
        <w:t xml:space="preserve"> </w:t>
      </w:r>
      <w:r w:rsidRPr="002661A8">
        <w:rPr>
          <w:rFonts w:ascii="Times New Roman" w:hAnsi="Times New Roman" w:cs="Times New Roman"/>
          <w:noProof/>
          <w:sz w:val="24"/>
          <w:szCs w:val="24"/>
        </w:rPr>
        <w:t xml:space="preserve">The CCP is estimated to have an important market share for these products in Europe, notably for the transactions of EU clearing members. </w:t>
      </w:r>
    </w:p>
    <w:p w14:paraId="4042638B" w14:textId="35DBC6B0" w:rsidR="00CB60F4" w:rsidRPr="002661A8" w:rsidRDefault="00CB60F4" w:rsidP="00CB60F4">
      <w:pPr>
        <w:pStyle w:val="Caption"/>
        <w:keepNext/>
        <w:spacing w:before="0"/>
        <w:rPr>
          <w:noProof/>
          <w:lang w:val="en-GB"/>
        </w:rPr>
      </w:pPr>
      <w:r w:rsidRPr="002661A8">
        <w:rPr>
          <w:noProof/>
          <w:lang w:val="en-GB"/>
        </w:rPr>
        <w:t xml:space="preserve">Table </w:t>
      </w:r>
      <w:r w:rsidR="00387BC9" w:rsidRPr="002661A8">
        <w:rPr>
          <w:noProof/>
          <w:lang w:val="en-GB"/>
        </w:rPr>
        <w:t>5</w:t>
      </w:r>
      <w:r w:rsidRPr="002661A8">
        <w:rPr>
          <w:noProof/>
          <w:lang w:val="en-GB"/>
        </w:rPr>
        <w:t>. Clearing members per ICEU clearing service (end June 2021)</w:t>
      </w:r>
    </w:p>
    <w:tbl>
      <w:tblPr>
        <w:tblStyle w:val="TableGrid"/>
        <w:tblW w:w="8505" w:type="dxa"/>
        <w:tblInd w:w="108" w:type="dxa"/>
        <w:tblLook w:val="04A0" w:firstRow="1" w:lastRow="0" w:firstColumn="1" w:lastColumn="0" w:noHBand="0" w:noVBand="1"/>
      </w:tblPr>
      <w:tblGrid>
        <w:gridCol w:w="3289"/>
        <w:gridCol w:w="3756"/>
        <w:gridCol w:w="1460"/>
      </w:tblGrid>
      <w:tr w:rsidR="00CB60F4" w:rsidRPr="002661A8" w14:paraId="6D9A75B0" w14:textId="77777777" w:rsidTr="00FC4C63">
        <w:tc>
          <w:tcPr>
            <w:tcW w:w="3289" w:type="dxa"/>
            <w:tcBorders>
              <w:top w:val="single" w:sz="4" w:space="0" w:color="auto"/>
              <w:left w:val="single" w:sz="4" w:space="0" w:color="auto"/>
            </w:tcBorders>
            <w:shd w:val="clear" w:color="auto" w:fill="D9D9D9" w:themeFill="background1" w:themeFillShade="D9"/>
          </w:tcPr>
          <w:p w14:paraId="4DF1AB07" w14:textId="77777777" w:rsidR="00CB60F4" w:rsidRPr="002661A8" w:rsidRDefault="00CB60F4" w:rsidP="00FC4C63">
            <w:pPr>
              <w:keepNext/>
              <w:ind w:left="455" w:hanging="455"/>
              <w:rPr>
                <w:b/>
                <w:noProof/>
                <w:color w:val="000000" w:themeColor="text1"/>
              </w:rPr>
            </w:pPr>
            <w:r w:rsidRPr="002661A8">
              <w:rPr>
                <w:b/>
                <w:noProof/>
                <w:color w:val="000000" w:themeColor="text1"/>
              </w:rPr>
              <w:t>Business Segment</w:t>
            </w:r>
          </w:p>
        </w:tc>
        <w:tc>
          <w:tcPr>
            <w:tcW w:w="3756" w:type="dxa"/>
            <w:tcBorders>
              <w:top w:val="single" w:sz="4" w:space="0" w:color="auto"/>
            </w:tcBorders>
            <w:shd w:val="clear" w:color="auto" w:fill="D9D9D9" w:themeFill="background1" w:themeFillShade="D9"/>
          </w:tcPr>
          <w:p w14:paraId="4B3B1C16" w14:textId="77777777" w:rsidR="00CB60F4" w:rsidRPr="002661A8" w:rsidRDefault="00CB60F4" w:rsidP="00FC4C63">
            <w:pPr>
              <w:keepNext/>
              <w:jc w:val="center"/>
              <w:rPr>
                <w:b/>
                <w:noProof/>
                <w:color w:val="000000" w:themeColor="text1"/>
              </w:rPr>
            </w:pPr>
            <w:r w:rsidRPr="002661A8">
              <w:rPr>
                <w:b/>
                <w:noProof/>
                <w:color w:val="000000" w:themeColor="text1"/>
              </w:rPr>
              <w:t>Number of EU clearing members</w:t>
            </w:r>
          </w:p>
        </w:tc>
        <w:tc>
          <w:tcPr>
            <w:tcW w:w="1460" w:type="dxa"/>
            <w:tcBorders>
              <w:top w:val="single" w:sz="4" w:space="0" w:color="auto"/>
            </w:tcBorders>
            <w:shd w:val="clear" w:color="auto" w:fill="D9D9D9" w:themeFill="background1" w:themeFillShade="D9"/>
          </w:tcPr>
          <w:p w14:paraId="35B14B17" w14:textId="77777777" w:rsidR="00CB60F4" w:rsidRPr="002661A8" w:rsidRDefault="00CB60F4" w:rsidP="00FC4C63">
            <w:pPr>
              <w:keepNext/>
              <w:jc w:val="center"/>
              <w:rPr>
                <w:b/>
                <w:noProof/>
                <w:color w:val="000000" w:themeColor="text1"/>
              </w:rPr>
            </w:pPr>
            <w:r w:rsidRPr="002661A8">
              <w:rPr>
                <w:b/>
                <w:noProof/>
                <w:color w:val="000000" w:themeColor="text1"/>
              </w:rPr>
              <w:t>Number of non-EU clearing members</w:t>
            </w:r>
          </w:p>
        </w:tc>
      </w:tr>
      <w:tr w:rsidR="00CB60F4" w:rsidRPr="002661A8" w14:paraId="78B60781" w14:textId="77777777" w:rsidTr="00FC4C63">
        <w:tc>
          <w:tcPr>
            <w:tcW w:w="3289" w:type="dxa"/>
          </w:tcPr>
          <w:p w14:paraId="59A1D3F4" w14:textId="77777777" w:rsidR="00CB60F4" w:rsidRPr="002661A8" w:rsidRDefault="00CB60F4" w:rsidP="00FC4C63">
            <w:pPr>
              <w:keepNext/>
              <w:rPr>
                <w:noProof/>
              </w:rPr>
            </w:pPr>
            <w:r w:rsidRPr="002661A8">
              <w:rPr>
                <w:noProof/>
              </w:rPr>
              <w:t>CDS</w:t>
            </w:r>
          </w:p>
        </w:tc>
        <w:tc>
          <w:tcPr>
            <w:tcW w:w="3756" w:type="dxa"/>
          </w:tcPr>
          <w:p w14:paraId="304D0A96" w14:textId="77777777" w:rsidR="00CB60F4" w:rsidRPr="002661A8" w:rsidRDefault="00CB60F4" w:rsidP="00FC4C63">
            <w:pPr>
              <w:keepNext/>
              <w:jc w:val="center"/>
              <w:rPr>
                <w:noProof/>
                <w:lang w:val="es-ES"/>
              </w:rPr>
            </w:pPr>
            <w:r w:rsidRPr="002661A8">
              <w:rPr>
                <w:noProof/>
                <w:lang w:val="es-ES"/>
              </w:rPr>
              <w:t>15 (DE, ES, FR, IE, IT)</w:t>
            </w:r>
          </w:p>
        </w:tc>
        <w:tc>
          <w:tcPr>
            <w:tcW w:w="1460" w:type="dxa"/>
          </w:tcPr>
          <w:p w14:paraId="169BF942" w14:textId="77777777" w:rsidR="00CB60F4" w:rsidRPr="002661A8" w:rsidRDefault="00CB60F4" w:rsidP="00FC4C63">
            <w:pPr>
              <w:keepNext/>
              <w:jc w:val="center"/>
              <w:rPr>
                <w:noProof/>
              </w:rPr>
            </w:pPr>
            <w:r w:rsidRPr="002661A8">
              <w:rPr>
                <w:noProof/>
              </w:rPr>
              <w:t>15</w:t>
            </w:r>
          </w:p>
        </w:tc>
      </w:tr>
      <w:tr w:rsidR="00CB60F4" w:rsidRPr="002661A8" w14:paraId="5F027EEB" w14:textId="77777777" w:rsidTr="00FC4C63">
        <w:tc>
          <w:tcPr>
            <w:tcW w:w="3289" w:type="dxa"/>
          </w:tcPr>
          <w:p w14:paraId="7A4AD858" w14:textId="77777777" w:rsidR="00CB60F4" w:rsidRPr="002661A8" w:rsidRDefault="00CB60F4" w:rsidP="00FC4C63">
            <w:pPr>
              <w:keepNext/>
              <w:rPr>
                <w:noProof/>
              </w:rPr>
            </w:pPr>
            <w:r w:rsidRPr="002661A8">
              <w:rPr>
                <w:noProof/>
              </w:rPr>
              <w:t>F&amp;O</w:t>
            </w:r>
          </w:p>
        </w:tc>
        <w:tc>
          <w:tcPr>
            <w:tcW w:w="3756" w:type="dxa"/>
          </w:tcPr>
          <w:p w14:paraId="245AAB2C" w14:textId="77777777" w:rsidR="00CB60F4" w:rsidRPr="002661A8" w:rsidRDefault="00CB60F4" w:rsidP="00FC4C63">
            <w:pPr>
              <w:keepNext/>
              <w:jc w:val="center"/>
              <w:rPr>
                <w:noProof/>
                <w:lang w:val="es-ES"/>
              </w:rPr>
            </w:pPr>
            <w:r w:rsidRPr="002661A8">
              <w:rPr>
                <w:noProof/>
                <w:lang w:val="es-ES"/>
              </w:rPr>
              <w:t>20 (DE, ES, FR, IT, NL, SE)</w:t>
            </w:r>
          </w:p>
        </w:tc>
        <w:tc>
          <w:tcPr>
            <w:tcW w:w="1460" w:type="dxa"/>
          </w:tcPr>
          <w:p w14:paraId="45656C8F" w14:textId="77777777" w:rsidR="00CB60F4" w:rsidRPr="002661A8" w:rsidRDefault="00CB60F4" w:rsidP="00FC4C63">
            <w:pPr>
              <w:keepNext/>
              <w:jc w:val="center"/>
              <w:rPr>
                <w:noProof/>
              </w:rPr>
            </w:pPr>
            <w:r w:rsidRPr="002661A8">
              <w:rPr>
                <w:noProof/>
              </w:rPr>
              <w:t>55</w:t>
            </w:r>
          </w:p>
        </w:tc>
      </w:tr>
    </w:tbl>
    <w:p w14:paraId="7DCBD675" w14:textId="77777777" w:rsidR="00CB60F4" w:rsidRPr="002661A8" w:rsidRDefault="00CB60F4" w:rsidP="00CB60F4">
      <w:pPr>
        <w:spacing w:line="240" w:lineRule="auto"/>
        <w:rPr>
          <w:rFonts w:ascii="Times New Roman" w:hAnsi="Times New Roman" w:cs="Times New Roman"/>
          <w:i/>
          <w:noProof/>
          <w:sz w:val="20"/>
          <w:szCs w:val="20"/>
        </w:rPr>
      </w:pPr>
      <w:r w:rsidRPr="002661A8">
        <w:rPr>
          <w:rFonts w:ascii="Times New Roman" w:hAnsi="Times New Roman" w:cs="Times New Roman"/>
          <w:i/>
          <w:noProof/>
          <w:sz w:val="20"/>
          <w:szCs w:val="20"/>
        </w:rPr>
        <w:t>Source: ESMA Report, December 2021</w:t>
      </w:r>
    </w:p>
    <w:p w14:paraId="54BAC2B5" w14:textId="71FB965B" w:rsidR="005A3EF4" w:rsidRPr="002661A8" w:rsidRDefault="00F831E7" w:rsidP="007A5361">
      <w:pPr>
        <w:spacing w:after="120" w:line="240" w:lineRule="auto"/>
        <w:jc w:val="both"/>
        <w:rPr>
          <w:rFonts w:ascii="Times New Roman" w:eastAsia="Times New Roman" w:hAnsi="Times New Roman" w:cs="Times New Roman"/>
          <w:noProof/>
          <w:sz w:val="24"/>
          <w:szCs w:val="24"/>
          <w:lang w:eastAsia="en-GB"/>
        </w:rPr>
      </w:pPr>
      <w:r w:rsidRPr="002661A8">
        <w:rPr>
          <w:rFonts w:ascii="Times New Roman" w:hAnsi="Times New Roman" w:cs="Times New Roman"/>
          <w:b/>
          <w:noProof/>
          <w:sz w:val="24"/>
          <w:szCs w:val="24"/>
          <w:lang w:eastAsia="en-GB"/>
        </w:rPr>
        <w:t>EU CCPs offer a range of products</w:t>
      </w:r>
      <w:r w:rsidRPr="002661A8">
        <w:rPr>
          <w:rFonts w:ascii="Times New Roman" w:hAnsi="Times New Roman" w:cs="Times New Roman"/>
          <w:noProof/>
          <w:sz w:val="24"/>
          <w:szCs w:val="24"/>
          <w:lang w:eastAsia="en-GB"/>
        </w:rPr>
        <w:t xml:space="preserve"> to large international banks, funds and institutional investors as well as non-financial companies including: </w:t>
      </w:r>
      <w:r w:rsidRPr="002661A8">
        <w:rPr>
          <w:rFonts w:ascii="Times New Roman" w:eastAsia="Times New Roman" w:hAnsi="Times New Roman" w:cs="Times New Roman"/>
          <w:noProof/>
          <w:sz w:val="24"/>
          <w:szCs w:val="24"/>
          <w:lang w:eastAsia="en-GB"/>
        </w:rPr>
        <w:t>cash equity markets at EuroCCP; euro general collateral repos at LCH SA or Eurex Clearing; EURO STOXX futures at Eurex Clearing; interest rate derivatives in multiple currencies in Eurex Clearing; credit default swaps in a broad range of EU and US underlyings at LCH SA; some commodity and energy products at ECC (power, natural gas, emission allowances, pulp).</w:t>
      </w:r>
      <w:r w:rsidR="00DC0339" w:rsidRPr="002661A8">
        <w:rPr>
          <w:rFonts w:ascii="Times New Roman" w:eastAsia="Times New Roman" w:hAnsi="Times New Roman" w:cs="Times New Roman"/>
          <w:noProof/>
          <w:sz w:val="24"/>
          <w:szCs w:val="24"/>
          <w:lang w:eastAsia="en-GB"/>
        </w:rPr>
        <w:t xml:space="preserve"> See Annex X for further information.</w:t>
      </w:r>
    </w:p>
    <w:p w14:paraId="43F66607" w14:textId="1894AE5B" w:rsidR="007A5361" w:rsidRPr="002661A8" w:rsidRDefault="007A5361" w:rsidP="007A5361">
      <w:pPr>
        <w:spacing w:after="120" w:line="240" w:lineRule="auto"/>
        <w:jc w:val="both"/>
        <w:rPr>
          <w:rFonts w:ascii="Times New Roman" w:eastAsia="Times New Roman" w:hAnsi="Times New Roman" w:cs="Times New Roman"/>
          <w:noProof/>
          <w:sz w:val="24"/>
          <w:szCs w:val="24"/>
          <w:lang w:eastAsia="en-GB"/>
        </w:rPr>
      </w:pPr>
      <w:r w:rsidRPr="002661A8">
        <w:rPr>
          <w:rFonts w:ascii="Times New Roman" w:hAnsi="Times New Roman" w:cs="Times New Roman"/>
          <w:noProof/>
          <w:sz w:val="24"/>
          <w:szCs w:val="24"/>
        </w:rPr>
        <w:t xml:space="preserve">LCH Ltd, for example, offers clearing of </w:t>
      </w:r>
      <w:r w:rsidRPr="002661A8">
        <w:rPr>
          <w:rFonts w:ascii="Times New Roman" w:hAnsi="Times New Roman" w:cs="Times New Roman"/>
          <w:b/>
          <w:noProof/>
          <w:sz w:val="24"/>
          <w:szCs w:val="24"/>
        </w:rPr>
        <w:t>interest rate derivatives</w:t>
      </w:r>
      <w:r w:rsidRPr="002661A8" w:rsidDel="00D601F4">
        <w:rPr>
          <w:rFonts w:ascii="Times New Roman" w:hAnsi="Times New Roman" w:cs="Times New Roman"/>
          <w:b/>
          <w:noProof/>
          <w:sz w:val="24"/>
          <w:szCs w:val="24"/>
        </w:rPr>
        <w:t xml:space="preserve"> </w:t>
      </w:r>
      <w:r w:rsidRPr="002661A8">
        <w:rPr>
          <w:rFonts w:ascii="Times New Roman" w:hAnsi="Times New Roman" w:cs="Times New Roman"/>
          <w:noProof/>
          <w:sz w:val="24"/>
          <w:szCs w:val="24"/>
        </w:rPr>
        <w:t xml:space="preserve">in 27 currencies, referencing different benchmark rates across a wide range of available maturities (See Table </w:t>
      </w:r>
      <w:r w:rsidR="00387BC9" w:rsidRPr="002661A8">
        <w:rPr>
          <w:rFonts w:ascii="Times New Roman" w:hAnsi="Times New Roman" w:cs="Times New Roman"/>
          <w:noProof/>
          <w:sz w:val="24"/>
          <w:szCs w:val="24"/>
        </w:rPr>
        <w:t>6</w:t>
      </w:r>
      <w:r w:rsidRPr="002661A8">
        <w:rPr>
          <w:rFonts w:ascii="Times New Roman" w:hAnsi="Times New Roman" w:cs="Times New Roman"/>
          <w:noProof/>
          <w:sz w:val="24"/>
          <w:szCs w:val="24"/>
        </w:rPr>
        <w:t>)</w:t>
      </w:r>
      <w:r w:rsidRPr="002661A8">
        <w:rPr>
          <w:rStyle w:val="FootnoteReference"/>
          <w:rFonts w:ascii="Times New Roman" w:hAnsi="Times New Roman" w:cs="Times New Roman"/>
          <w:noProof/>
          <w:sz w:val="24"/>
          <w:szCs w:val="24"/>
        </w:rPr>
        <w:footnoteReference w:id="255"/>
      </w:r>
      <w:r w:rsidRPr="002661A8">
        <w:rPr>
          <w:rFonts w:ascii="Times New Roman" w:hAnsi="Times New Roman" w:cs="Times New Roman"/>
          <w:noProof/>
          <w:sz w:val="24"/>
          <w:szCs w:val="24"/>
        </w:rPr>
        <w:t>. LCH Ltd clears products denominated in all EU currencies, including all IRDs subject to the clearing obligation</w:t>
      </w:r>
      <w:r w:rsidRPr="002661A8">
        <w:rPr>
          <w:rStyle w:val="FootnoteReference"/>
          <w:rFonts w:ascii="Times New Roman" w:hAnsi="Times New Roman" w:cs="Times New Roman"/>
          <w:noProof/>
          <w:sz w:val="24"/>
          <w:szCs w:val="24"/>
        </w:rPr>
        <w:footnoteReference w:id="256"/>
      </w:r>
      <w:r w:rsidRPr="002661A8">
        <w:rPr>
          <w:rFonts w:ascii="Times New Roman" w:hAnsi="Times New Roman" w:cs="Times New Roman"/>
          <w:noProof/>
          <w:sz w:val="24"/>
          <w:szCs w:val="24"/>
        </w:rPr>
        <w:t>. The market share of SwapClear is estimated to be above 90% for these products.</w:t>
      </w:r>
      <w:r w:rsidRPr="002661A8">
        <w:rPr>
          <w:rStyle w:val="FootnoteReference"/>
          <w:rFonts w:ascii="Times New Roman" w:hAnsi="Times New Roman" w:cs="Times New Roman"/>
          <w:noProof/>
          <w:sz w:val="24"/>
          <w:szCs w:val="24"/>
        </w:rPr>
        <w:footnoteReference w:id="257"/>
      </w:r>
      <w:r w:rsidRPr="002661A8">
        <w:rPr>
          <w:rFonts w:ascii="Times New Roman" w:hAnsi="Times New Roman" w:cs="Times New Roman"/>
          <w:noProof/>
          <w:sz w:val="24"/>
          <w:szCs w:val="24"/>
        </w:rPr>
        <w:t xml:space="preserve"> Within LCH Ltd, the activity in products denominated in EU currencies is relatively important compared to other currencies with a share of around 27%.</w:t>
      </w:r>
      <w:r w:rsidRPr="002661A8">
        <w:rPr>
          <w:rFonts w:ascii="Times New Roman" w:eastAsia="Times New Roman" w:hAnsi="Times New Roman" w:cs="Times New Roman"/>
          <w:noProof/>
          <w:sz w:val="24"/>
          <w:szCs w:val="24"/>
          <w:lang w:eastAsia="en-GB"/>
        </w:rPr>
        <w:t xml:space="preserve"> </w:t>
      </w:r>
    </w:p>
    <w:p w14:paraId="5EB4F6B4" w14:textId="3B1A3DE6" w:rsidR="007A5361" w:rsidRPr="002661A8" w:rsidRDefault="007A5361" w:rsidP="00D6052F">
      <w:pPr>
        <w:spacing w:after="120" w:line="240" w:lineRule="auto"/>
        <w:jc w:val="both"/>
        <w:rPr>
          <w:rFonts w:ascii="Times New Roman" w:hAnsi="Times New Roman" w:cs="Times New Roman"/>
          <w:b/>
          <w:noProof/>
          <w:sz w:val="24"/>
          <w:szCs w:val="24"/>
        </w:rPr>
      </w:pPr>
      <w:r w:rsidRPr="002661A8">
        <w:rPr>
          <w:rFonts w:ascii="Times New Roman" w:hAnsi="Times New Roman" w:cs="Times New Roman"/>
          <w:b/>
          <w:noProof/>
          <w:sz w:val="24"/>
          <w:szCs w:val="24"/>
        </w:rPr>
        <w:t xml:space="preserve">Table </w:t>
      </w:r>
      <w:r w:rsidR="00387BC9" w:rsidRPr="002661A8">
        <w:rPr>
          <w:rFonts w:ascii="Times New Roman" w:hAnsi="Times New Roman" w:cs="Times New Roman"/>
          <w:b/>
          <w:noProof/>
          <w:sz w:val="24"/>
          <w:szCs w:val="24"/>
        </w:rPr>
        <w:t>6</w:t>
      </w:r>
      <w:r w:rsidRPr="002661A8">
        <w:rPr>
          <w:rFonts w:ascii="Times New Roman" w:hAnsi="Times New Roman" w:cs="Times New Roman"/>
          <w:b/>
          <w:noProof/>
          <w:sz w:val="24"/>
          <w:szCs w:val="24"/>
        </w:rPr>
        <w:t xml:space="preserve">. </w:t>
      </w:r>
      <w:r w:rsidR="00022531" w:rsidRPr="002661A8">
        <w:rPr>
          <w:rFonts w:ascii="Times New Roman" w:hAnsi="Times New Roman" w:cs="Times New Roman"/>
          <w:b/>
          <w:noProof/>
          <w:sz w:val="24"/>
          <w:szCs w:val="24"/>
        </w:rPr>
        <w:t>E</w:t>
      </w:r>
      <w:r w:rsidRPr="002661A8">
        <w:rPr>
          <w:rFonts w:ascii="Times New Roman" w:hAnsi="Times New Roman" w:cs="Times New Roman"/>
          <w:b/>
          <w:noProof/>
          <w:sz w:val="24"/>
          <w:szCs w:val="24"/>
        </w:rPr>
        <w:t>xample of different CCP offer: LCH Ltd SwapClear vs Eurex Clearing</w:t>
      </w:r>
    </w:p>
    <w:tbl>
      <w:tblPr>
        <w:tblStyle w:val="TableGrid"/>
        <w:tblW w:w="8931" w:type="dxa"/>
        <w:tblInd w:w="108" w:type="dxa"/>
        <w:tblLook w:val="04A0" w:firstRow="1" w:lastRow="0" w:firstColumn="1" w:lastColumn="0" w:noHBand="0" w:noVBand="1"/>
      </w:tblPr>
      <w:tblGrid>
        <w:gridCol w:w="2366"/>
        <w:gridCol w:w="2596"/>
        <w:gridCol w:w="3969"/>
      </w:tblGrid>
      <w:tr w:rsidR="007A5361" w:rsidRPr="002661A8" w14:paraId="7B1D5524" w14:textId="4EFF408C" w:rsidTr="00425C97">
        <w:tc>
          <w:tcPr>
            <w:tcW w:w="2366" w:type="dxa"/>
          </w:tcPr>
          <w:p w14:paraId="5F694143" w14:textId="396665DF" w:rsidR="007A5361" w:rsidRPr="002661A8" w:rsidRDefault="007A5361" w:rsidP="00425C97">
            <w:pPr>
              <w:keepNext/>
              <w:rPr>
                <w:noProof/>
                <w:color w:val="000000" w:themeColor="text1"/>
                <w:kern w:val="24"/>
              </w:rPr>
            </w:pPr>
          </w:p>
        </w:tc>
        <w:tc>
          <w:tcPr>
            <w:tcW w:w="2596" w:type="dxa"/>
            <w:shd w:val="clear" w:color="auto" w:fill="BFBFBF" w:themeFill="background1" w:themeFillShade="BF"/>
          </w:tcPr>
          <w:p w14:paraId="63F99A6E" w14:textId="5A89A637" w:rsidR="007A5361" w:rsidRPr="002661A8" w:rsidRDefault="007A5361" w:rsidP="00425C97">
            <w:pPr>
              <w:keepNext/>
              <w:jc w:val="center"/>
              <w:rPr>
                <w:b/>
                <w:noProof/>
                <w:color w:val="000000" w:themeColor="text1"/>
              </w:rPr>
            </w:pPr>
            <w:r w:rsidRPr="002661A8">
              <w:rPr>
                <w:b/>
                <w:noProof/>
                <w:color w:val="000000" w:themeColor="text1"/>
                <w:kern w:val="24"/>
              </w:rPr>
              <w:t>LCH Ltd</w:t>
            </w:r>
          </w:p>
        </w:tc>
        <w:tc>
          <w:tcPr>
            <w:tcW w:w="3969" w:type="dxa"/>
            <w:shd w:val="clear" w:color="auto" w:fill="BFBFBF" w:themeFill="background1" w:themeFillShade="BF"/>
          </w:tcPr>
          <w:p w14:paraId="79A647CC" w14:textId="25C69999" w:rsidR="007A5361" w:rsidRPr="002661A8" w:rsidRDefault="007A5361" w:rsidP="00425C97">
            <w:pPr>
              <w:keepNext/>
              <w:jc w:val="center"/>
              <w:rPr>
                <w:b/>
                <w:noProof/>
                <w:color w:val="000000" w:themeColor="text1"/>
              </w:rPr>
            </w:pPr>
            <w:r w:rsidRPr="002661A8">
              <w:rPr>
                <w:b/>
                <w:noProof/>
                <w:color w:val="000000" w:themeColor="text1"/>
                <w:kern w:val="24"/>
              </w:rPr>
              <w:t>Eurex Clearing</w:t>
            </w:r>
          </w:p>
        </w:tc>
      </w:tr>
      <w:tr w:rsidR="007A5361" w:rsidRPr="002661A8" w14:paraId="683C0415" w14:textId="612D178D" w:rsidTr="00DC0339">
        <w:trPr>
          <w:trHeight w:val="858"/>
        </w:trPr>
        <w:tc>
          <w:tcPr>
            <w:tcW w:w="2366" w:type="dxa"/>
            <w:vAlign w:val="center"/>
          </w:tcPr>
          <w:p w14:paraId="2F5845FB" w14:textId="537DDE48" w:rsidR="007A5361" w:rsidRPr="002661A8" w:rsidRDefault="007A5361" w:rsidP="00425C97">
            <w:pPr>
              <w:keepNext/>
              <w:rPr>
                <w:noProof/>
                <w:color w:val="000000" w:themeColor="text1"/>
              </w:rPr>
            </w:pPr>
            <w:r w:rsidRPr="002661A8">
              <w:rPr>
                <w:noProof/>
                <w:color w:val="000000" w:themeColor="text1"/>
                <w:kern w:val="24"/>
              </w:rPr>
              <w:t>CO Transactions</w:t>
            </w:r>
            <w:r w:rsidRPr="002661A8">
              <w:rPr>
                <w:rStyle w:val="FootnoteReference"/>
                <w:noProof/>
                <w:color w:val="000000" w:themeColor="text1"/>
                <w:kern w:val="24"/>
              </w:rPr>
              <w:footnoteReference w:id="258"/>
            </w:r>
          </w:p>
        </w:tc>
        <w:tc>
          <w:tcPr>
            <w:tcW w:w="2596" w:type="dxa"/>
            <w:vAlign w:val="center"/>
          </w:tcPr>
          <w:p w14:paraId="68818A6B" w14:textId="10729BCC" w:rsidR="007A5361" w:rsidRPr="002661A8" w:rsidRDefault="007A5361" w:rsidP="00425C97">
            <w:pPr>
              <w:keepNext/>
              <w:jc w:val="center"/>
              <w:rPr>
                <w:noProof/>
                <w:color w:val="000000" w:themeColor="text1"/>
              </w:rPr>
            </w:pPr>
            <w:r w:rsidRPr="002661A8">
              <w:rPr>
                <w:noProof/>
                <w:color w:val="000000" w:themeColor="text1"/>
                <w:kern w:val="24"/>
              </w:rPr>
              <w:t>EUR, USD, GBP, JPY, NOK, PLN, SEK</w:t>
            </w:r>
          </w:p>
        </w:tc>
        <w:tc>
          <w:tcPr>
            <w:tcW w:w="3969" w:type="dxa"/>
            <w:vAlign w:val="center"/>
          </w:tcPr>
          <w:p w14:paraId="4CA81BB6" w14:textId="11A0CEE0" w:rsidR="007A5361" w:rsidRPr="002661A8" w:rsidRDefault="007A5361" w:rsidP="00425C97">
            <w:pPr>
              <w:keepNext/>
              <w:jc w:val="center"/>
              <w:rPr>
                <w:noProof/>
                <w:color w:val="00B050"/>
              </w:rPr>
            </w:pPr>
            <w:r w:rsidRPr="002661A8">
              <w:rPr>
                <w:noProof/>
                <w:color w:val="00B050"/>
                <w:kern w:val="24"/>
              </w:rPr>
              <w:t>EUR, USD, GBP, JPY, NOK, PLN, SEK</w:t>
            </w:r>
          </w:p>
        </w:tc>
      </w:tr>
      <w:tr w:rsidR="007A5361" w:rsidRPr="002661A8" w14:paraId="74B435EC" w14:textId="2E3AEEAC" w:rsidTr="00DC0339">
        <w:tc>
          <w:tcPr>
            <w:tcW w:w="2366" w:type="dxa"/>
            <w:vMerge w:val="restart"/>
            <w:vAlign w:val="center"/>
          </w:tcPr>
          <w:p w14:paraId="61759A34" w14:textId="459D60D9" w:rsidR="007A5361" w:rsidRPr="002661A8" w:rsidRDefault="007A5361" w:rsidP="00425C97">
            <w:pPr>
              <w:keepNext/>
              <w:rPr>
                <w:noProof/>
                <w:color w:val="000000" w:themeColor="text1"/>
                <w:lang w:val="da-DK"/>
              </w:rPr>
            </w:pPr>
            <w:r w:rsidRPr="002661A8">
              <w:rPr>
                <w:noProof/>
                <w:color w:val="000000" w:themeColor="text1"/>
                <w:kern w:val="24"/>
                <w:lang w:val="da-DK"/>
              </w:rPr>
              <w:t>IRS, ZC, Basis, VNS, FRA, OIS</w:t>
            </w:r>
          </w:p>
        </w:tc>
        <w:tc>
          <w:tcPr>
            <w:tcW w:w="2596" w:type="dxa"/>
            <w:vAlign w:val="center"/>
          </w:tcPr>
          <w:p w14:paraId="77A9B167" w14:textId="308FEC71" w:rsidR="007A5361" w:rsidRPr="002661A8" w:rsidRDefault="007A5361" w:rsidP="00425C97">
            <w:pPr>
              <w:keepNext/>
              <w:jc w:val="center"/>
              <w:rPr>
                <w:noProof/>
                <w:color w:val="000000" w:themeColor="text1"/>
              </w:rPr>
            </w:pPr>
            <w:r w:rsidRPr="002661A8">
              <w:rPr>
                <w:noProof/>
                <w:color w:val="000000" w:themeColor="text1"/>
                <w:kern w:val="24"/>
              </w:rPr>
              <w:t>EUR, USD, GBP</w:t>
            </w:r>
          </w:p>
        </w:tc>
        <w:tc>
          <w:tcPr>
            <w:tcW w:w="3969" w:type="dxa"/>
            <w:vAlign w:val="center"/>
          </w:tcPr>
          <w:p w14:paraId="4407A791" w14:textId="52BCC0BD" w:rsidR="007A5361" w:rsidRPr="002661A8" w:rsidRDefault="007A5361" w:rsidP="00425C97">
            <w:pPr>
              <w:keepNext/>
              <w:jc w:val="center"/>
              <w:rPr>
                <w:noProof/>
                <w:color w:val="00B050"/>
              </w:rPr>
            </w:pPr>
            <w:r w:rsidRPr="002661A8">
              <w:rPr>
                <w:noProof/>
                <w:color w:val="00B050"/>
                <w:kern w:val="24"/>
              </w:rPr>
              <w:t>EUR, USD, GBP</w:t>
            </w:r>
          </w:p>
        </w:tc>
      </w:tr>
      <w:tr w:rsidR="007A5361" w:rsidRPr="002661A8" w14:paraId="0BAB6A04" w14:textId="1487AAAE" w:rsidTr="00DC0339">
        <w:tc>
          <w:tcPr>
            <w:tcW w:w="2366" w:type="dxa"/>
            <w:vMerge/>
            <w:vAlign w:val="center"/>
          </w:tcPr>
          <w:p w14:paraId="40858D2E" w14:textId="25E3186C" w:rsidR="007A5361" w:rsidRPr="002661A8" w:rsidRDefault="007A5361" w:rsidP="00425C97">
            <w:pPr>
              <w:keepNext/>
              <w:rPr>
                <w:noProof/>
                <w:color w:val="000000" w:themeColor="text1"/>
                <w:kern w:val="24"/>
              </w:rPr>
            </w:pPr>
          </w:p>
        </w:tc>
        <w:tc>
          <w:tcPr>
            <w:tcW w:w="2596" w:type="dxa"/>
            <w:vAlign w:val="center"/>
          </w:tcPr>
          <w:p w14:paraId="5E85EDA8" w14:textId="133CEFFC" w:rsidR="007A5361" w:rsidRPr="002661A8" w:rsidRDefault="007A5361" w:rsidP="00425C97">
            <w:pPr>
              <w:keepNext/>
              <w:jc w:val="center"/>
              <w:rPr>
                <w:noProof/>
                <w:color w:val="000000" w:themeColor="text1"/>
              </w:rPr>
            </w:pPr>
            <w:r w:rsidRPr="002661A8">
              <w:rPr>
                <w:noProof/>
                <w:color w:val="000000" w:themeColor="text1"/>
                <w:kern w:val="24"/>
              </w:rPr>
              <w:t>CHF, JPY</w:t>
            </w:r>
          </w:p>
        </w:tc>
        <w:tc>
          <w:tcPr>
            <w:tcW w:w="3969" w:type="dxa"/>
          </w:tcPr>
          <w:p w14:paraId="52FB3EF7" w14:textId="5F95E539" w:rsidR="007A5361" w:rsidRPr="002661A8" w:rsidRDefault="007A5361" w:rsidP="00425C97">
            <w:pPr>
              <w:keepNext/>
              <w:jc w:val="center"/>
              <w:rPr>
                <w:noProof/>
                <w:color w:val="FFC000"/>
              </w:rPr>
            </w:pPr>
            <w:r w:rsidRPr="002661A8">
              <w:rPr>
                <w:noProof/>
                <w:color w:val="00B050"/>
                <w:kern w:val="24"/>
              </w:rPr>
              <w:t>CHF</w:t>
            </w:r>
            <w:r w:rsidRPr="002661A8">
              <w:rPr>
                <w:noProof/>
                <w:color w:val="FFC000"/>
                <w:kern w:val="24"/>
              </w:rPr>
              <w:t>, JPY</w:t>
            </w:r>
          </w:p>
        </w:tc>
      </w:tr>
      <w:tr w:rsidR="007A5361" w:rsidRPr="002661A8" w14:paraId="4198B0A1" w14:textId="417A2235" w:rsidTr="00DC0339">
        <w:tc>
          <w:tcPr>
            <w:tcW w:w="2366" w:type="dxa"/>
            <w:vMerge/>
            <w:vAlign w:val="center"/>
          </w:tcPr>
          <w:p w14:paraId="4A0EDE97" w14:textId="33AB8910" w:rsidR="007A5361" w:rsidRPr="002661A8" w:rsidRDefault="007A5361" w:rsidP="00425C97">
            <w:pPr>
              <w:keepNext/>
              <w:rPr>
                <w:noProof/>
                <w:color w:val="000000" w:themeColor="text1"/>
                <w:kern w:val="24"/>
              </w:rPr>
            </w:pPr>
          </w:p>
        </w:tc>
        <w:tc>
          <w:tcPr>
            <w:tcW w:w="2596" w:type="dxa"/>
            <w:vAlign w:val="center"/>
          </w:tcPr>
          <w:p w14:paraId="377E171B" w14:textId="1E1CE084" w:rsidR="007A5361" w:rsidRPr="002661A8" w:rsidRDefault="007A5361" w:rsidP="00425C97">
            <w:pPr>
              <w:keepNext/>
              <w:jc w:val="center"/>
              <w:rPr>
                <w:noProof/>
                <w:color w:val="000000" w:themeColor="text1"/>
              </w:rPr>
            </w:pPr>
            <w:r w:rsidRPr="002661A8">
              <w:rPr>
                <w:noProof/>
                <w:color w:val="000000" w:themeColor="text1"/>
                <w:kern w:val="24"/>
              </w:rPr>
              <w:t>DKK, SEK, NOK</w:t>
            </w:r>
          </w:p>
        </w:tc>
        <w:tc>
          <w:tcPr>
            <w:tcW w:w="3969" w:type="dxa"/>
            <w:vAlign w:val="center"/>
          </w:tcPr>
          <w:p w14:paraId="7B492EE3" w14:textId="2D2A0E7A" w:rsidR="007A5361" w:rsidRPr="002661A8" w:rsidRDefault="007A5361" w:rsidP="00425C97">
            <w:pPr>
              <w:keepNext/>
              <w:jc w:val="center"/>
              <w:rPr>
                <w:noProof/>
                <w:color w:val="FFC000"/>
              </w:rPr>
            </w:pPr>
            <w:r w:rsidRPr="002661A8">
              <w:rPr>
                <w:noProof/>
                <w:color w:val="FFC000"/>
                <w:kern w:val="24"/>
              </w:rPr>
              <w:t>DKK, SEK, NOK</w:t>
            </w:r>
          </w:p>
        </w:tc>
      </w:tr>
      <w:tr w:rsidR="007A5361" w:rsidRPr="002661A8" w14:paraId="5F1B1622" w14:textId="3026D594" w:rsidTr="00DC0339">
        <w:tc>
          <w:tcPr>
            <w:tcW w:w="2366" w:type="dxa"/>
            <w:vMerge/>
            <w:vAlign w:val="center"/>
          </w:tcPr>
          <w:p w14:paraId="19BCD533" w14:textId="057F1476" w:rsidR="007A5361" w:rsidRPr="002661A8" w:rsidRDefault="007A5361" w:rsidP="00425C97">
            <w:pPr>
              <w:keepNext/>
              <w:rPr>
                <w:noProof/>
                <w:color w:val="000000" w:themeColor="text1"/>
                <w:kern w:val="24"/>
              </w:rPr>
            </w:pPr>
          </w:p>
        </w:tc>
        <w:tc>
          <w:tcPr>
            <w:tcW w:w="2596" w:type="dxa"/>
            <w:vAlign w:val="center"/>
          </w:tcPr>
          <w:p w14:paraId="7C4BCEA7" w14:textId="08E390FE" w:rsidR="007A5361" w:rsidRPr="002661A8" w:rsidRDefault="007A5361" w:rsidP="00425C97">
            <w:pPr>
              <w:keepNext/>
              <w:jc w:val="center"/>
              <w:rPr>
                <w:noProof/>
                <w:color w:val="000000" w:themeColor="text1"/>
              </w:rPr>
            </w:pPr>
            <w:r w:rsidRPr="002661A8">
              <w:rPr>
                <w:noProof/>
                <w:color w:val="000000" w:themeColor="text1"/>
                <w:kern w:val="24"/>
              </w:rPr>
              <w:t>PLN, CZK, HUF</w:t>
            </w:r>
          </w:p>
        </w:tc>
        <w:tc>
          <w:tcPr>
            <w:tcW w:w="3969" w:type="dxa"/>
            <w:vAlign w:val="center"/>
          </w:tcPr>
          <w:p w14:paraId="0343E7AA" w14:textId="473750E2" w:rsidR="007A5361" w:rsidRPr="002661A8" w:rsidRDefault="007A5361" w:rsidP="00425C97">
            <w:pPr>
              <w:keepNext/>
              <w:jc w:val="center"/>
              <w:rPr>
                <w:noProof/>
                <w:color w:val="FFC000"/>
              </w:rPr>
            </w:pPr>
            <w:r w:rsidRPr="002661A8">
              <w:rPr>
                <w:noProof/>
                <w:color w:val="FFC000"/>
                <w:kern w:val="24"/>
              </w:rPr>
              <w:t xml:space="preserve">PLN, </w:t>
            </w:r>
            <w:r w:rsidRPr="002661A8">
              <w:rPr>
                <w:noProof/>
                <w:color w:val="FF0000"/>
                <w:kern w:val="24"/>
              </w:rPr>
              <w:t>CZK, HUF</w:t>
            </w:r>
          </w:p>
        </w:tc>
      </w:tr>
      <w:tr w:rsidR="007A5361" w:rsidRPr="002661A8" w14:paraId="768CA9C8" w14:textId="4F0611E5" w:rsidTr="00DC0339">
        <w:tc>
          <w:tcPr>
            <w:tcW w:w="2366" w:type="dxa"/>
            <w:vMerge/>
            <w:vAlign w:val="center"/>
          </w:tcPr>
          <w:p w14:paraId="2D2D0B18" w14:textId="5CDC62AF" w:rsidR="007A5361" w:rsidRPr="002661A8" w:rsidRDefault="007A5361" w:rsidP="00425C97">
            <w:pPr>
              <w:keepNext/>
              <w:rPr>
                <w:noProof/>
                <w:color w:val="000000" w:themeColor="text1"/>
                <w:kern w:val="24"/>
              </w:rPr>
            </w:pPr>
          </w:p>
        </w:tc>
        <w:tc>
          <w:tcPr>
            <w:tcW w:w="2596" w:type="dxa"/>
            <w:vAlign w:val="center"/>
          </w:tcPr>
          <w:p w14:paraId="340F620C" w14:textId="03077037" w:rsidR="007A5361" w:rsidRPr="002661A8" w:rsidRDefault="007A5361" w:rsidP="00425C97">
            <w:pPr>
              <w:keepNext/>
              <w:jc w:val="center"/>
              <w:rPr>
                <w:noProof/>
                <w:color w:val="000000" w:themeColor="text1"/>
              </w:rPr>
            </w:pPr>
            <w:r w:rsidRPr="002661A8">
              <w:rPr>
                <w:noProof/>
                <w:color w:val="000000" w:themeColor="text1"/>
                <w:kern w:val="24"/>
              </w:rPr>
              <w:t>AUD, CAD, HKD, MXN, NZD, SGD, ZAR, BRL, CLP, CNY, COP, INR, KRW, ILS, THB, TWD</w:t>
            </w:r>
          </w:p>
        </w:tc>
        <w:tc>
          <w:tcPr>
            <w:tcW w:w="3969" w:type="dxa"/>
          </w:tcPr>
          <w:p w14:paraId="4D314764" w14:textId="7B999C17" w:rsidR="007A5361" w:rsidRPr="002661A8" w:rsidRDefault="007A5361" w:rsidP="00425C97">
            <w:pPr>
              <w:keepNext/>
              <w:jc w:val="center"/>
              <w:rPr>
                <w:noProof/>
                <w:color w:val="000000" w:themeColor="text1"/>
              </w:rPr>
            </w:pPr>
            <w:r w:rsidRPr="002661A8">
              <w:rPr>
                <w:noProof/>
                <w:color w:val="FF0000"/>
                <w:kern w:val="24"/>
              </w:rPr>
              <w:t>AUD, CAD, HKD, MXN, NZD, SGD, ZAR, BRL, CLP, CNY, COP, INR, KRW, ILS, THB, TWD</w:t>
            </w:r>
          </w:p>
        </w:tc>
      </w:tr>
      <w:tr w:rsidR="007A5361" w:rsidRPr="002661A8" w14:paraId="29635921" w14:textId="502F2871" w:rsidTr="00DC0339">
        <w:tc>
          <w:tcPr>
            <w:tcW w:w="2366" w:type="dxa"/>
            <w:vAlign w:val="center"/>
          </w:tcPr>
          <w:p w14:paraId="0D5A516D" w14:textId="316CF65F" w:rsidR="007A5361" w:rsidRPr="002661A8" w:rsidRDefault="007A5361" w:rsidP="00425C97">
            <w:pPr>
              <w:keepNext/>
              <w:rPr>
                <w:noProof/>
                <w:color w:val="000000" w:themeColor="text1"/>
              </w:rPr>
            </w:pPr>
            <w:r w:rsidRPr="002661A8">
              <w:rPr>
                <w:noProof/>
                <w:color w:val="000000" w:themeColor="text1"/>
                <w:kern w:val="24"/>
              </w:rPr>
              <w:t>Inflation</w:t>
            </w:r>
          </w:p>
        </w:tc>
        <w:tc>
          <w:tcPr>
            <w:tcW w:w="2596" w:type="dxa"/>
            <w:vAlign w:val="center"/>
          </w:tcPr>
          <w:p w14:paraId="5CF26823" w14:textId="42693D7D" w:rsidR="007A5361" w:rsidRPr="002661A8" w:rsidRDefault="007A5361" w:rsidP="00425C97">
            <w:pPr>
              <w:keepNext/>
              <w:jc w:val="center"/>
              <w:rPr>
                <w:noProof/>
                <w:color w:val="000000" w:themeColor="text1"/>
              </w:rPr>
            </w:pPr>
            <w:r w:rsidRPr="002661A8">
              <w:rPr>
                <w:noProof/>
                <w:color w:val="000000" w:themeColor="text1"/>
                <w:kern w:val="24"/>
              </w:rPr>
              <w:t>EUR, GBP, USD</w:t>
            </w:r>
          </w:p>
        </w:tc>
        <w:tc>
          <w:tcPr>
            <w:tcW w:w="3969" w:type="dxa"/>
            <w:vAlign w:val="center"/>
          </w:tcPr>
          <w:p w14:paraId="5A91E0A1" w14:textId="00A4DFED" w:rsidR="007A5361" w:rsidRPr="002661A8" w:rsidRDefault="007A5361" w:rsidP="00425C97">
            <w:pPr>
              <w:keepNext/>
              <w:jc w:val="center"/>
              <w:rPr>
                <w:noProof/>
                <w:color w:val="000000" w:themeColor="text1"/>
              </w:rPr>
            </w:pPr>
            <w:r w:rsidRPr="002661A8">
              <w:rPr>
                <w:noProof/>
                <w:color w:val="FFC000"/>
                <w:kern w:val="24"/>
              </w:rPr>
              <w:t>EUR, GBP, USD</w:t>
            </w:r>
          </w:p>
        </w:tc>
      </w:tr>
      <w:tr w:rsidR="007A5361" w:rsidRPr="002661A8" w14:paraId="4E3B635F" w14:textId="6D7EF6BE" w:rsidTr="00DC0339">
        <w:trPr>
          <w:trHeight w:val="39"/>
        </w:trPr>
        <w:tc>
          <w:tcPr>
            <w:tcW w:w="2366" w:type="dxa"/>
            <w:vAlign w:val="center"/>
          </w:tcPr>
          <w:p w14:paraId="635F1C41" w14:textId="5B99339D" w:rsidR="007A5361" w:rsidRPr="002661A8" w:rsidRDefault="007A5361" w:rsidP="00425C97">
            <w:pPr>
              <w:keepNext/>
              <w:rPr>
                <w:noProof/>
                <w:color w:val="000000" w:themeColor="text1"/>
              </w:rPr>
            </w:pPr>
            <w:r w:rsidRPr="002661A8">
              <w:rPr>
                <w:noProof/>
                <w:color w:val="000000" w:themeColor="text1"/>
                <w:kern w:val="24"/>
              </w:rPr>
              <w:t>Basis Overnight/IBOR</w:t>
            </w:r>
          </w:p>
        </w:tc>
        <w:tc>
          <w:tcPr>
            <w:tcW w:w="2596" w:type="dxa"/>
            <w:vAlign w:val="center"/>
          </w:tcPr>
          <w:p w14:paraId="52CBDE93" w14:textId="72F6B2A1" w:rsidR="007A5361" w:rsidRPr="002661A8" w:rsidRDefault="007A5361" w:rsidP="00425C97">
            <w:pPr>
              <w:keepNext/>
              <w:jc w:val="center"/>
              <w:rPr>
                <w:noProof/>
                <w:color w:val="000000" w:themeColor="text1"/>
              </w:rPr>
            </w:pPr>
            <w:r w:rsidRPr="002661A8">
              <w:rPr>
                <w:noProof/>
                <w:color w:val="000000" w:themeColor="text1"/>
                <w:kern w:val="24"/>
              </w:rPr>
              <w:t>AUD, CAD, EUR, GBP, JPY, NZD, SGD, USD</w:t>
            </w:r>
          </w:p>
        </w:tc>
        <w:tc>
          <w:tcPr>
            <w:tcW w:w="3969" w:type="dxa"/>
          </w:tcPr>
          <w:p w14:paraId="72269BFE" w14:textId="28FC2E0A" w:rsidR="007A5361" w:rsidRPr="002661A8" w:rsidRDefault="007A5361" w:rsidP="00425C97">
            <w:pPr>
              <w:keepNext/>
              <w:jc w:val="center"/>
              <w:rPr>
                <w:noProof/>
                <w:color w:val="000000" w:themeColor="text1"/>
              </w:rPr>
            </w:pPr>
            <w:r w:rsidRPr="002661A8">
              <w:rPr>
                <w:noProof/>
                <w:color w:val="FF0000"/>
                <w:kern w:val="24"/>
              </w:rPr>
              <w:t>AUD, CAD, EUR, GBP, JPY, NZD, SGD, USD</w:t>
            </w:r>
          </w:p>
        </w:tc>
      </w:tr>
    </w:tbl>
    <w:p w14:paraId="57601657" w14:textId="666DE0C8" w:rsidR="007A5361" w:rsidRPr="002661A8" w:rsidRDefault="007A5361" w:rsidP="007A5361">
      <w:pPr>
        <w:spacing w:after="120"/>
        <w:ind w:right="-142"/>
        <w:rPr>
          <w:rFonts w:ascii="Times New Roman" w:hAnsi="Times New Roman" w:cs="Times New Roman"/>
          <w:noProof/>
          <w:color w:val="FF0000"/>
          <w:sz w:val="20"/>
          <w:szCs w:val="20"/>
        </w:rPr>
      </w:pPr>
      <w:r w:rsidRPr="002661A8">
        <w:rPr>
          <w:rFonts w:ascii="Times New Roman" w:hAnsi="Times New Roman" w:cs="Times New Roman"/>
          <w:noProof/>
          <w:sz w:val="20"/>
          <w:szCs w:val="20"/>
        </w:rPr>
        <w:t xml:space="preserve">Source: CCP websites, </w:t>
      </w:r>
      <w:r w:rsidRPr="002661A8">
        <w:rPr>
          <w:rFonts w:ascii="Times New Roman" w:hAnsi="Times New Roman" w:cs="Times New Roman"/>
          <w:noProof/>
          <w:color w:val="00B050"/>
          <w:sz w:val="20"/>
          <w:szCs w:val="20"/>
        </w:rPr>
        <w:t>green: similar product offering</w:t>
      </w:r>
      <w:r w:rsidRPr="002661A8">
        <w:rPr>
          <w:rFonts w:ascii="Times New Roman" w:hAnsi="Times New Roman" w:cs="Times New Roman"/>
          <w:noProof/>
          <w:sz w:val="20"/>
          <w:szCs w:val="20"/>
        </w:rPr>
        <w:t xml:space="preserve">, </w:t>
      </w:r>
      <w:r w:rsidRPr="002661A8">
        <w:rPr>
          <w:rFonts w:ascii="Times New Roman" w:hAnsi="Times New Roman" w:cs="Times New Roman"/>
          <w:noProof/>
          <w:color w:val="FFC000"/>
          <w:sz w:val="20"/>
          <w:szCs w:val="20"/>
        </w:rPr>
        <w:t>orange: partial match (not all maturities available)</w:t>
      </w:r>
      <w:r w:rsidRPr="002661A8">
        <w:rPr>
          <w:rFonts w:ascii="Times New Roman" w:hAnsi="Times New Roman" w:cs="Times New Roman"/>
          <w:noProof/>
          <w:sz w:val="20"/>
          <w:szCs w:val="20"/>
        </w:rPr>
        <w:t xml:space="preserve">, </w:t>
      </w:r>
      <w:r w:rsidRPr="002661A8">
        <w:rPr>
          <w:rFonts w:ascii="Times New Roman" w:hAnsi="Times New Roman" w:cs="Times New Roman"/>
          <w:noProof/>
          <w:color w:val="FF0000"/>
          <w:sz w:val="20"/>
          <w:szCs w:val="20"/>
        </w:rPr>
        <w:t>red: no product offering</w:t>
      </w:r>
    </w:p>
    <w:p w14:paraId="1C45F7DA" w14:textId="77777777" w:rsidR="007A5361" w:rsidRPr="002661A8" w:rsidRDefault="007A5361" w:rsidP="00D6052F">
      <w:pPr>
        <w:spacing w:after="120" w:line="240" w:lineRule="auto"/>
        <w:jc w:val="both"/>
        <w:rPr>
          <w:rFonts w:ascii="Times New Roman" w:hAnsi="Times New Roman" w:cs="Times New Roman"/>
          <w:b/>
          <w:smallCaps/>
          <w:noProof/>
          <w:color w:val="595959" w:themeColor="text1" w:themeTint="A6"/>
          <w:sz w:val="24"/>
          <w:szCs w:val="24"/>
        </w:rPr>
      </w:pPr>
      <w:r w:rsidRPr="002661A8">
        <w:rPr>
          <w:rFonts w:ascii="Times New Roman" w:eastAsia="Times New Roman" w:hAnsi="Times New Roman" w:cs="Times New Roman"/>
          <w:noProof/>
          <w:sz w:val="24"/>
          <w:szCs w:val="24"/>
          <w:lang w:eastAsia="en-GB"/>
        </w:rPr>
        <w:t>Clearing members and clients argued that to benefit from portfolio margining</w:t>
      </w:r>
      <w:r w:rsidRPr="002661A8">
        <w:rPr>
          <w:rStyle w:val="FootnoteReference"/>
          <w:rFonts w:ascii="Times New Roman" w:eastAsia="Times New Roman" w:hAnsi="Times New Roman" w:cs="Times New Roman"/>
          <w:noProof/>
          <w:sz w:val="24"/>
          <w:szCs w:val="24"/>
          <w:lang w:eastAsia="en-GB"/>
        </w:rPr>
        <w:footnoteReference w:id="259"/>
      </w:r>
      <w:r w:rsidRPr="002661A8">
        <w:rPr>
          <w:rFonts w:ascii="Times New Roman" w:eastAsia="Times New Roman" w:hAnsi="Times New Roman" w:cs="Times New Roman"/>
          <w:noProof/>
          <w:sz w:val="24"/>
          <w:szCs w:val="24"/>
          <w:lang w:eastAsia="en-GB"/>
        </w:rPr>
        <w:t>, and because of the correlation between currencies, there is an incentive to clear all interest rate swaps in the CCP offering the widest range of currencies available for clearing.</w:t>
      </w:r>
      <w:r w:rsidRPr="002661A8">
        <w:rPr>
          <w:rStyle w:val="FootnoteReference"/>
          <w:rFonts w:ascii="Times New Roman" w:eastAsia="Times New Roman" w:hAnsi="Times New Roman" w:cs="Times New Roman"/>
          <w:noProof/>
          <w:sz w:val="24"/>
          <w:szCs w:val="24"/>
          <w:lang w:eastAsia="en-GB"/>
        </w:rPr>
        <w:footnoteReference w:id="260"/>
      </w:r>
      <w:r w:rsidRPr="002661A8">
        <w:rPr>
          <w:rFonts w:ascii="Times New Roman" w:eastAsia="Times New Roman" w:hAnsi="Times New Roman" w:cs="Times New Roman"/>
          <w:noProof/>
          <w:sz w:val="24"/>
          <w:szCs w:val="24"/>
          <w:lang w:eastAsia="en-GB"/>
        </w:rPr>
        <w:t xml:space="preserve"> (See Section X). LCH Ltd, for example, currently provides a wider currency offer than EU CCPs. </w:t>
      </w:r>
    </w:p>
    <w:p w14:paraId="43421D6B" w14:textId="3D5B62CD" w:rsidR="007A5361" w:rsidRPr="002661A8" w:rsidRDefault="007A5361" w:rsidP="007A5361">
      <w:pPr>
        <w:spacing w:after="120" w:line="240" w:lineRule="auto"/>
        <w:jc w:val="both"/>
        <w:rPr>
          <w:rFonts w:ascii="Times New Roman" w:hAnsi="Times New Roman" w:cs="Times New Roman"/>
          <w:noProof/>
          <w:sz w:val="24"/>
          <w:szCs w:val="24"/>
        </w:rPr>
      </w:pPr>
      <w:r w:rsidRPr="002661A8">
        <w:rPr>
          <w:rFonts w:ascii="Times New Roman" w:eastAsia="Times New Roman" w:hAnsi="Times New Roman" w:cs="Times New Roman"/>
          <w:noProof/>
          <w:sz w:val="24"/>
          <w:szCs w:val="24"/>
          <w:lang w:eastAsia="en-GB"/>
        </w:rPr>
        <w:t xml:space="preserve">Another example is </w:t>
      </w:r>
      <w:r w:rsidRPr="002661A8">
        <w:rPr>
          <w:rFonts w:ascii="Times New Roman" w:eastAsia="Times New Roman" w:hAnsi="Times New Roman" w:cs="Times New Roman"/>
          <w:b/>
          <w:noProof/>
          <w:sz w:val="24"/>
          <w:szCs w:val="24"/>
          <w:lang w:eastAsia="en-GB"/>
        </w:rPr>
        <w:t>credit default swaps (CDSs</w:t>
      </w:r>
      <w:r w:rsidRPr="002661A8">
        <w:rPr>
          <w:rFonts w:ascii="Times New Roman" w:eastAsia="Times New Roman" w:hAnsi="Times New Roman" w:cs="Times New Roman"/>
          <w:b/>
          <w:bCs/>
          <w:noProof/>
          <w:sz w:val="24"/>
          <w:szCs w:val="24"/>
          <w:lang w:eastAsia="en-GB"/>
        </w:rPr>
        <w:t>)</w:t>
      </w:r>
      <w:r w:rsidRPr="002661A8">
        <w:rPr>
          <w:rFonts w:ascii="Times New Roman" w:eastAsia="Times New Roman" w:hAnsi="Times New Roman" w:cs="Times New Roman"/>
          <w:noProof/>
          <w:sz w:val="24"/>
          <w:szCs w:val="24"/>
          <w:lang w:eastAsia="en-GB"/>
        </w:rPr>
        <w:t xml:space="preserve">. Before the global financial crisis, CDS clearing was in ICE Clear Credit in the US and ICE Clear Europe </w:t>
      </w:r>
      <w:r w:rsidRPr="002661A8">
        <w:rPr>
          <w:rFonts w:ascii="Times New Roman" w:hAnsi="Times New Roman" w:cs="Times New Roman"/>
          <w:noProof/>
          <w:sz w:val="24"/>
          <w:szCs w:val="24"/>
        </w:rPr>
        <w:t>(ICEU)</w:t>
      </w:r>
      <w:r w:rsidRPr="002661A8">
        <w:rPr>
          <w:rFonts w:ascii="Times New Roman" w:eastAsia="Times New Roman" w:hAnsi="Times New Roman" w:cs="Times New Roman"/>
          <w:noProof/>
          <w:sz w:val="24"/>
          <w:szCs w:val="24"/>
          <w:lang w:eastAsia="en-GB"/>
        </w:rPr>
        <w:t xml:space="preserve"> in the UK. </w:t>
      </w:r>
      <w:r w:rsidRPr="002661A8">
        <w:rPr>
          <w:rFonts w:ascii="Times New Roman" w:hAnsi="Times New Roman" w:cs="Times New Roman"/>
          <w:noProof/>
          <w:sz w:val="24"/>
          <w:szCs w:val="24"/>
        </w:rPr>
        <w:t>ICEU offers clearing of EU CDSs executed in the OTC market, which includes 148 index products, 200 corporate single names, and 7 sovereign single names</w:t>
      </w:r>
      <w:r w:rsidRPr="002661A8">
        <w:rPr>
          <w:rStyle w:val="FootnoteReference"/>
          <w:rFonts w:ascii="Times New Roman" w:hAnsi="Times New Roman" w:cs="Times New Roman"/>
          <w:noProof/>
          <w:sz w:val="24"/>
          <w:szCs w:val="24"/>
        </w:rPr>
        <w:footnoteReference w:id="261"/>
      </w:r>
      <w:r w:rsidRPr="002661A8">
        <w:rPr>
          <w:rFonts w:ascii="Times New Roman" w:hAnsi="Times New Roman" w:cs="Times New Roman"/>
          <w:noProof/>
          <w:sz w:val="24"/>
          <w:szCs w:val="24"/>
        </w:rPr>
        <w:t xml:space="preserve">. It contains products subject to the EU clearing obligation. </w:t>
      </w:r>
      <w:r w:rsidRPr="002661A8">
        <w:rPr>
          <w:rFonts w:ascii="Times New Roman" w:eastAsia="Times New Roman" w:hAnsi="Times New Roman" w:cs="Times New Roman"/>
          <w:noProof/>
          <w:sz w:val="24"/>
          <w:szCs w:val="24"/>
          <w:lang w:eastAsia="en-GB"/>
        </w:rPr>
        <w:t>An alternative offer was launched in 2010 in LCH SA.</w:t>
      </w:r>
      <w:r w:rsidRPr="002661A8">
        <w:rPr>
          <w:rStyle w:val="FootnoteReference"/>
          <w:rFonts w:ascii="Times New Roman" w:eastAsia="Times New Roman" w:hAnsi="Times New Roman" w:cs="Times New Roman"/>
          <w:noProof/>
          <w:sz w:val="24"/>
          <w:szCs w:val="24"/>
          <w:lang w:eastAsia="en-GB"/>
        </w:rPr>
        <w:footnoteReference w:id="262"/>
      </w:r>
      <w:r w:rsidRPr="002661A8">
        <w:rPr>
          <w:rFonts w:ascii="Times New Roman" w:hAnsi="Times New Roman" w:cs="Times New Roman"/>
          <w:noProof/>
          <w:sz w:val="24"/>
          <w:szCs w:val="24"/>
        </w:rPr>
        <w:t xml:space="preserve"> In recent years, LCH SA’s offer grew from a very low market share, nevertheless, as </w:t>
      </w:r>
      <w:r w:rsidR="003577FA" w:rsidRPr="002661A8">
        <w:rPr>
          <w:rFonts w:ascii="Times New Roman" w:hAnsi="Times New Roman" w:cs="Times New Roman"/>
          <w:noProof/>
          <w:sz w:val="24"/>
          <w:szCs w:val="24"/>
        </w:rPr>
        <w:t xml:space="preserve">shown </w:t>
      </w:r>
      <w:r w:rsidRPr="002661A8">
        <w:rPr>
          <w:rFonts w:ascii="Times New Roman" w:hAnsi="Times New Roman" w:cs="Times New Roman"/>
          <w:noProof/>
          <w:sz w:val="24"/>
          <w:szCs w:val="24"/>
        </w:rPr>
        <w:t>in Figure X, ICE Group CCPs continue to dominate the market.</w:t>
      </w:r>
    </w:p>
    <w:p w14:paraId="5A6F66B0" w14:textId="3EB3CA36" w:rsidR="007A5361" w:rsidRPr="002661A8" w:rsidRDefault="007A5361" w:rsidP="007A5361">
      <w:pPr>
        <w:pStyle w:val="Caption"/>
        <w:keepNext/>
        <w:rPr>
          <w:noProof/>
          <w:lang w:val="en-GB"/>
        </w:rPr>
      </w:pPr>
      <w:r w:rsidRPr="002661A8">
        <w:rPr>
          <w:noProof/>
          <w:lang w:val="en-GB"/>
        </w:rPr>
        <w:t>Figure</w:t>
      </w:r>
      <w:r w:rsidR="009979AF" w:rsidRPr="002661A8">
        <w:rPr>
          <w:noProof/>
          <w:lang w:val="en-GB"/>
        </w:rPr>
        <w:t xml:space="preserve"> </w:t>
      </w:r>
      <w:r w:rsidR="00387BC9" w:rsidRPr="002661A8">
        <w:rPr>
          <w:noProof/>
          <w:lang w:val="en-GB"/>
        </w:rPr>
        <w:t>6</w:t>
      </w:r>
      <w:r w:rsidRPr="002661A8">
        <w:rPr>
          <w:noProof/>
          <w:lang w:val="en-GB"/>
        </w:rPr>
        <w:t>: Market Share of EUR iTraxx</w:t>
      </w:r>
    </w:p>
    <w:p w14:paraId="7EC35F73" w14:textId="50AA0641" w:rsidR="007A5361" w:rsidRPr="002661A8" w:rsidRDefault="007A5361" w:rsidP="007A5361">
      <w:pPr>
        <w:spacing w:after="120" w:line="240" w:lineRule="auto"/>
        <w:jc w:val="center"/>
        <w:rPr>
          <w:rFonts w:ascii="Times New Roman" w:eastAsia="Times New Roman" w:hAnsi="Times New Roman" w:cs="Times New Roman"/>
          <w:noProof/>
          <w:sz w:val="24"/>
          <w:szCs w:val="24"/>
          <w:lang w:eastAsia="en-GB"/>
        </w:rPr>
      </w:pPr>
      <w:r w:rsidRPr="002661A8">
        <w:rPr>
          <w:noProof/>
          <w:sz w:val="24"/>
          <w:szCs w:val="24"/>
          <w:lang w:eastAsia="en-GB"/>
        </w:rPr>
        <w:drawing>
          <wp:inline distT="0" distB="0" distL="0" distR="0" wp14:anchorId="5FA19845" wp14:editId="555B8574">
            <wp:extent cx="3847053" cy="2302329"/>
            <wp:effectExtent l="0" t="0" r="1270" b="3175"/>
            <wp:docPr id="15" name="Picture 15" descr="https://cdn.clarusft.com/wp-content/upLoads/2022/02/2021CCPCRF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larusft.com/wp-content/upLoads/2022/02/2021CCPCRFX-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62838" cy="2311776"/>
                    </a:xfrm>
                    <a:prstGeom prst="rect">
                      <a:avLst/>
                    </a:prstGeom>
                    <a:noFill/>
                    <a:ln>
                      <a:noFill/>
                    </a:ln>
                  </pic:spPr>
                </pic:pic>
              </a:graphicData>
            </a:graphic>
          </wp:inline>
        </w:drawing>
      </w:r>
    </w:p>
    <w:p w14:paraId="2831C61A" w14:textId="2378BB81" w:rsidR="007A5361" w:rsidRPr="002661A8" w:rsidRDefault="007A5361" w:rsidP="007A5361">
      <w:pPr>
        <w:ind w:left="709" w:right="-142" w:hanging="851"/>
        <w:rPr>
          <w:rFonts w:ascii="Times New Roman" w:hAnsi="Times New Roman" w:cs="Times New Roman"/>
          <w:noProof/>
          <w:sz w:val="20"/>
          <w:szCs w:val="20"/>
        </w:rPr>
      </w:pPr>
      <w:r w:rsidRPr="002661A8">
        <w:rPr>
          <w:rFonts w:ascii="Times New Roman" w:hAnsi="Times New Roman" w:cs="Times New Roman"/>
          <w:noProof/>
          <w:sz w:val="20"/>
          <w:szCs w:val="20"/>
        </w:rPr>
        <w:t xml:space="preserve">Source: ClarusFT </w:t>
      </w:r>
    </w:p>
    <w:p w14:paraId="188988B9" w14:textId="758784FA" w:rsidR="007A5361" w:rsidRPr="002661A8" w:rsidRDefault="007A5361" w:rsidP="007A5361">
      <w:pPr>
        <w:pStyle w:val="Caption"/>
        <w:keepNext/>
        <w:rPr>
          <w:b w:val="0"/>
          <w:smallCaps/>
          <w:noProof/>
          <w:color w:val="595959" w:themeColor="text1" w:themeTint="A6"/>
          <w:lang w:val="en-GB"/>
        </w:rPr>
      </w:pPr>
      <w:r w:rsidRPr="002661A8">
        <w:rPr>
          <w:noProof/>
          <w:lang w:val="en-GB"/>
        </w:rPr>
        <w:t xml:space="preserve">Table </w:t>
      </w:r>
      <w:r w:rsidR="00387BC9" w:rsidRPr="002661A8">
        <w:rPr>
          <w:noProof/>
          <w:lang w:val="en-GB"/>
        </w:rPr>
        <w:t>7</w:t>
      </w:r>
      <w:r w:rsidRPr="002661A8">
        <w:rPr>
          <w:noProof/>
          <w:lang w:val="en-GB"/>
        </w:rPr>
        <w:t>. Illustrative example: CCP CDS services</w:t>
      </w:r>
    </w:p>
    <w:tbl>
      <w:tblPr>
        <w:tblStyle w:val="TableGrid"/>
        <w:tblW w:w="8755" w:type="dxa"/>
        <w:tblLook w:val="04A0" w:firstRow="1" w:lastRow="0" w:firstColumn="1" w:lastColumn="0" w:noHBand="0" w:noVBand="1"/>
      </w:tblPr>
      <w:tblGrid>
        <w:gridCol w:w="1555"/>
        <w:gridCol w:w="2268"/>
        <w:gridCol w:w="2268"/>
        <w:gridCol w:w="2664"/>
      </w:tblGrid>
      <w:tr w:rsidR="007A5361" w:rsidRPr="002661A8" w14:paraId="6C07DD22" w14:textId="1BF6FDED" w:rsidTr="00425C97">
        <w:tc>
          <w:tcPr>
            <w:tcW w:w="1555" w:type="dxa"/>
          </w:tcPr>
          <w:p w14:paraId="6F4EDA4D" w14:textId="4C986A4F" w:rsidR="007A5361" w:rsidRPr="002661A8" w:rsidRDefault="007A5361" w:rsidP="00425C97">
            <w:pPr>
              <w:keepNext/>
              <w:rPr>
                <w:noProof/>
                <w:color w:val="000000" w:themeColor="text1"/>
                <w:kern w:val="24"/>
              </w:rPr>
            </w:pPr>
          </w:p>
        </w:tc>
        <w:tc>
          <w:tcPr>
            <w:tcW w:w="2268" w:type="dxa"/>
            <w:shd w:val="clear" w:color="auto" w:fill="BFBFBF" w:themeFill="background1" w:themeFillShade="BF"/>
          </w:tcPr>
          <w:p w14:paraId="3F19A58C" w14:textId="5B43BF88" w:rsidR="007A5361" w:rsidRPr="002661A8" w:rsidRDefault="007A5361" w:rsidP="00425C97">
            <w:pPr>
              <w:keepNext/>
              <w:rPr>
                <w:b/>
                <w:noProof/>
                <w:color w:val="000000" w:themeColor="text1"/>
              </w:rPr>
            </w:pPr>
            <w:r w:rsidRPr="002661A8">
              <w:rPr>
                <w:b/>
                <w:noProof/>
                <w:color w:val="000000" w:themeColor="text1"/>
                <w:kern w:val="24"/>
              </w:rPr>
              <w:t>ICEU</w:t>
            </w:r>
          </w:p>
        </w:tc>
        <w:tc>
          <w:tcPr>
            <w:tcW w:w="2268" w:type="dxa"/>
            <w:shd w:val="clear" w:color="auto" w:fill="BFBFBF" w:themeFill="background1" w:themeFillShade="BF"/>
          </w:tcPr>
          <w:p w14:paraId="55F0C326" w14:textId="1252663C" w:rsidR="007A5361" w:rsidRPr="002661A8" w:rsidRDefault="007A5361" w:rsidP="00425C97">
            <w:pPr>
              <w:keepNext/>
              <w:rPr>
                <w:b/>
                <w:noProof/>
                <w:color w:val="000000" w:themeColor="text1"/>
              </w:rPr>
            </w:pPr>
            <w:r w:rsidRPr="002661A8">
              <w:rPr>
                <w:b/>
                <w:noProof/>
                <w:color w:val="000000" w:themeColor="text1"/>
                <w:kern w:val="24"/>
              </w:rPr>
              <w:t>ICE Clear Credit LLC</w:t>
            </w:r>
          </w:p>
        </w:tc>
        <w:tc>
          <w:tcPr>
            <w:tcW w:w="2664" w:type="dxa"/>
            <w:shd w:val="clear" w:color="auto" w:fill="BFBFBF" w:themeFill="background1" w:themeFillShade="BF"/>
          </w:tcPr>
          <w:p w14:paraId="107B7A19" w14:textId="7C8F2E7A" w:rsidR="007A5361" w:rsidRPr="002661A8" w:rsidRDefault="007A5361" w:rsidP="00425C97">
            <w:pPr>
              <w:keepNext/>
              <w:rPr>
                <w:b/>
                <w:noProof/>
                <w:color w:val="000000" w:themeColor="text1"/>
              </w:rPr>
            </w:pPr>
            <w:r w:rsidRPr="002661A8">
              <w:rPr>
                <w:b/>
                <w:noProof/>
                <w:color w:val="000000" w:themeColor="text1"/>
                <w:kern w:val="24"/>
              </w:rPr>
              <w:t>LCH SA</w:t>
            </w:r>
          </w:p>
        </w:tc>
      </w:tr>
      <w:tr w:rsidR="007A5361" w:rsidRPr="002661A8" w14:paraId="46B64B2F" w14:textId="16C22E69" w:rsidTr="005A3EF4">
        <w:tc>
          <w:tcPr>
            <w:tcW w:w="1555" w:type="dxa"/>
            <w:vMerge w:val="restart"/>
            <w:vAlign w:val="center"/>
          </w:tcPr>
          <w:p w14:paraId="04BB4935" w14:textId="3674E2D5" w:rsidR="007A5361" w:rsidRPr="002661A8" w:rsidRDefault="007A5361" w:rsidP="00425C97">
            <w:pPr>
              <w:keepNext/>
              <w:rPr>
                <w:noProof/>
                <w:color w:val="000000" w:themeColor="text1"/>
              </w:rPr>
            </w:pPr>
            <w:r w:rsidRPr="002661A8">
              <w:rPr>
                <w:noProof/>
                <w:color w:val="000000" w:themeColor="text1"/>
                <w:kern w:val="24"/>
              </w:rPr>
              <w:t>Clearing Obligation</w:t>
            </w:r>
          </w:p>
        </w:tc>
        <w:tc>
          <w:tcPr>
            <w:tcW w:w="2268" w:type="dxa"/>
          </w:tcPr>
          <w:p w14:paraId="1FF42071" w14:textId="476D5917" w:rsidR="007A5361" w:rsidRPr="002661A8" w:rsidRDefault="007A5361" w:rsidP="00425C97">
            <w:pPr>
              <w:keepNext/>
              <w:rPr>
                <w:noProof/>
                <w:color w:val="000000" w:themeColor="text1"/>
              </w:rPr>
            </w:pPr>
            <w:r w:rsidRPr="002661A8">
              <w:rPr>
                <w:noProof/>
                <w:color w:val="000000" w:themeColor="text1"/>
                <w:kern w:val="24"/>
              </w:rPr>
              <w:t>Itraxx Europe Main</w:t>
            </w:r>
          </w:p>
        </w:tc>
        <w:tc>
          <w:tcPr>
            <w:tcW w:w="2268" w:type="dxa"/>
          </w:tcPr>
          <w:p w14:paraId="738D4CA4" w14:textId="0FB5A569" w:rsidR="007A5361" w:rsidRPr="002661A8" w:rsidRDefault="007A5361" w:rsidP="00425C97">
            <w:pPr>
              <w:keepNext/>
              <w:rPr>
                <w:noProof/>
                <w:color w:val="00B050"/>
              </w:rPr>
            </w:pPr>
            <w:r w:rsidRPr="002661A8">
              <w:rPr>
                <w:noProof/>
                <w:color w:val="00B050"/>
                <w:kern w:val="24"/>
              </w:rPr>
              <w:t>Itraxx Europe Main</w:t>
            </w:r>
          </w:p>
        </w:tc>
        <w:tc>
          <w:tcPr>
            <w:tcW w:w="2664" w:type="dxa"/>
          </w:tcPr>
          <w:p w14:paraId="0EC21542" w14:textId="3AACEB0D" w:rsidR="007A5361" w:rsidRPr="002661A8" w:rsidRDefault="007A5361" w:rsidP="00425C97">
            <w:pPr>
              <w:keepNext/>
              <w:rPr>
                <w:noProof/>
                <w:color w:val="00B050"/>
              </w:rPr>
            </w:pPr>
            <w:r w:rsidRPr="002661A8">
              <w:rPr>
                <w:noProof/>
                <w:color w:val="00B050"/>
                <w:kern w:val="24"/>
              </w:rPr>
              <w:t>Itraxx Europe Main</w:t>
            </w:r>
          </w:p>
        </w:tc>
      </w:tr>
      <w:tr w:rsidR="007A5361" w:rsidRPr="002661A8" w14:paraId="2C3E7EC0" w14:textId="70E1DDF1" w:rsidTr="00425C97">
        <w:tc>
          <w:tcPr>
            <w:tcW w:w="1555" w:type="dxa"/>
            <w:vMerge/>
            <w:vAlign w:val="center"/>
          </w:tcPr>
          <w:p w14:paraId="5A6F2B7B" w14:textId="327B4012" w:rsidR="007A5361" w:rsidRPr="002661A8" w:rsidRDefault="007A5361" w:rsidP="00425C97">
            <w:pPr>
              <w:keepNext/>
              <w:rPr>
                <w:noProof/>
                <w:color w:val="000000" w:themeColor="text1"/>
                <w:kern w:val="24"/>
              </w:rPr>
            </w:pPr>
          </w:p>
        </w:tc>
        <w:tc>
          <w:tcPr>
            <w:tcW w:w="2268" w:type="dxa"/>
          </w:tcPr>
          <w:p w14:paraId="75E3EC9D" w14:textId="1F047D1F" w:rsidR="007A5361" w:rsidRPr="002661A8" w:rsidRDefault="007A5361" w:rsidP="00425C97">
            <w:pPr>
              <w:keepNext/>
              <w:rPr>
                <w:noProof/>
                <w:color w:val="000000" w:themeColor="text1"/>
              </w:rPr>
            </w:pPr>
            <w:r w:rsidRPr="002661A8">
              <w:rPr>
                <w:noProof/>
                <w:color w:val="000000" w:themeColor="text1"/>
                <w:kern w:val="24"/>
              </w:rPr>
              <w:t>Itraxx Europe Crossover</w:t>
            </w:r>
          </w:p>
        </w:tc>
        <w:tc>
          <w:tcPr>
            <w:tcW w:w="2268" w:type="dxa"/>
          </w:tcPr>
          <w:p w14:paraId="43F9488F" w14:textId="4F12CF2D" w:rsidR="007A5361" w:rsidRPr="002661A8" w:rsidRDefault="007A5361" w:rsidP="00425C97">
            <w:pPr>
              <w:keepNext/>
              <w:rPr>
                <w:noProof/>
                <w:color w:val="00B050"/>
              </w:rPr>
            </w:pPr>
            <w:r w:rsidRPr="002661A8">
              <w:rPr>
                <w:noProof/>
                <w:color w:val="00B050"/>
                <w:kern w:val="24"/>
              </w:rPr>
              <w:t>Itraxx Europe Crossover</w:t>
            </w:r>
          </w:p>
        </w:tc>
        <w:tc>
          <w:tcPr>
            <w:tcW w:w="2664" w:type="dxa"/>
          </w:tcPr>
          <w:p w14:paraId="4D6163CD" w14:textId="45C6A62D" w:rsidR="007A5361" w:rsidRPr="002661A8" w:rsidRDefault="007A5361" w:rsidP="00425C97">
            <w:pPr>
              <w:keepNext/>
              <w:rPr>
                <w:noProof/>
                <w:color w:val="00B050"/>
              </w:rPr>
            </w:pPr>
            <w:r w:rsidRPr="002661A8">
              <w:rPr>
                <w:noProof/>
                <w:color w:val="00B050"/>
                <w:kern w:val="24"/>
              </w:rPr>
              <w:t>Itraxx Europe Crossover</w:t>
            </w:r>
          </w:p>
        </w:tc>
      </w:tr>
      <w:tr w:rsidR="007A5361" w:rsidRPr="002661A8" w14:paraId="0424FA43" w14:textId="3CB65DD2" w:rsidTr="00DC0339">
        <w:tc>
          <w:tcPr>
            <w:tcW w:w="1555" w:type="dxa"/>
            <w:vMerge w:val="restart"/>
            <w:vAlign w:val="center"/>
          </w:tcPr>
          <w:p w14:paraId="749145F7" w14:textId="09B23898" w:rsidR="007A5361" w:rsidRPr="002661A8" w:rsidRDefault="007A5361" w:rsidP="00425C97">
            <w:pPr>
              <w:keepNext/>
              <w:rPr>
                <w:noProof/>
                <w:color w:val="000000" w:themeColor="text1"/>
              </w:rPr>
            </w:pPr>
            <w:r w:rsidRPr="002661A8">
              <w:rPr>
                <w:noProof/>
                <w:color w:val="000000" w:themeColor="text1"/>
                <w:kern w:val="24"/>
              </w:rPr>
              <w:t>Other Indexes</w:t>
            </w:r>
          </w:p>
        </w:tc>
        <w:tc>
          <w:tcPr>
            <w:tcW w:w="2268" w:type="dxa"/>
          </w:tcPr>
          <w:p w14:paraId="04361A1B" w14:textId="3142014C" w:rsidR="007A5361" w:rsidRPr="002661A8" w:rsidRDefault="007A5361" w:rsidP="00425C97">
            <w:pPr>
              <w:keepNext/>
              <w:rPr>
                <w:noProof/>
                <w:color w:val="000000" w:themeColor="text1"/>
              </w:rPr>
            </w:pPr>
            <w:r w:rsidRPr="002661A8">
              <w:rPr>
                <w:noProof/>
                <w:color w:val="000000" w:themeColor="text1"/>
                <w:kern w:val="24"/>
              </w:rPr>
              <w:t>Itraxx Senior Financials</w:t>
            </w:r>
          </w:p>
        </w:tc>
        <w:tc>
          <w:tcPr>
            <w:tcW w:w="2268" w:type="dxa"/>
          </w:tcPr>
          <w:p w14:paraId="2A943D93" w14:textId="30EEF1F2" w:rsidR="007A5361" w:rsidRPr="002661A8" w:rsidRDefault="007A5361" w:rsidP="00425C97">
            <w:pPr>
              <w:keepNext/>
              <w:rPr>
                <w:noProof/>
                <w:color w:val="00B050"/>
              </w:rPr>
            </w:pPr>
            <w:r w:rsidRPr="002661A8">
              <w:rPr>
                <w:noProof/>
                <w:color w:val="00B050"/>
                <w:kern w:val="24"/>
              </w:rPr>
              <w:t>Itraxx Senior Financials</w:t>
            </w:r>
          </w:p>
        </w:tc>
        <w:tc>
          <w:tcPr>
            <w:tcW w:w="2664" w:type="dxa"/>
          </w:tcPr>
          <w:p w14:paraId="140AF9FC" w14:textId="651A4AD9" w:rsidR="007A5361" w:rsidRPr="002661A8" w:rsidRDefault="007A5361" w:rsidP="00425C97">
            <w:pPr>
              <w:keepNext/>
              <w:rPr>
                <w:noProof/>
                <w:color w:val="00B050"/>
              </w:rPr>
            </w:pPr>
            <w:r w:rsidRPr="002661A8">
              <w:rPr>
                <w:noProof/>
                <w:color w:val="00B050"/>
                <w:kern w:val="24"/>
              </w:rPr>
              <w:t>Itraxx Senior Financials</w:t>
            </w:r>
          </w:p>
        </w:tc>
      </w:tr>
      <w:tr w:rsidR="007A5361" w:rsidRPr="002661A8" w14:paraId="7ED886C8" w14:textId="382FBFF4" w:rsidTr="00425C97">
        <w:trPr>
          <w:trHeight w:val="115"/>
        </w:trPr>
        <w:tc>
          <w:tcPr>
            <w:tcW w:w="1555" w:type="dxa"/>
            <w:vMerge/>
            <w:vAlign w:val="center"/>
          </w:tcPr>
          <w:p w14:paraId="19A19B48" w14:textId="3B3A05D9" w:rsidR="007A5361" w:rsidRPr="002661A8" w:rsidRDefault="007A5361" w:rsidP="00425C97">
            <w:pPr>
              <w:keepNext/>
              <w:rPr>
                <w:noProof/>
                <w:color w:val="000000" w:themeColor="text1"/>
                <w:kern w:val="24"/>
              </w:rPr>
            </w:pPr>
          </w:p>
        </w:tc>
        <w:tc>
          <w:tcPr>
            <w:tcW w:w="2268" w:type="dxa"/>
          </w:tcPr>
          <w:p w14:paraId="67CEE2CF" w14:textId="48FCBDD6" w:rsidR="007A5361" w:rsidRPr="002661A8" w:rsidRDefault="007A5361" w:rsidP="00425C97">
            <w:pPr>
              <w:keepNext/>
              <w:rPr>
                <w:noProof/>
                <w:color w:val="000000" w:themeColor="text1"/>
              </w:rPr>
            </w:pPr>
            <w:r w:rsidRPr="002661A8">
              <w:rPr>
                <w:noProof/>
                <w:color w:val="000000" w:themeColor="text1"/>
                <w:kern w:val="24"/>
              </w:rPr>
              <w:t>Itraxx Sub Financials</w:t>
            </w:r>
          </w:p>
        </w:tc>
        <w:tc>
          <w:tcPr>
            <w:tcW w:w="2268" w:type="dxa"/>
          </w:tcPr>
          <w:p w14:paraId="06E00E3F" w14:textId="0DDFCED9" w:rsidR="007A5361" w:rsidRPr="002661A8" w:rsidRDefault="007A5361" w:rsidP="00425C97">
            <w:pPr>
              <w:keepNext/>
              <w:rPr>
                <w:noProof/>
                <w:color w:val="00B050"/>
              </w:rPr>
            </w:pPr>
            <w:r w:rsidRPr="002661A8">
              <w:rPr>
                <w:noProof/>
                <w:color w:val="00B050"/>
                <w:kern w:val="24"/>
              </w:rPr>
              <w:t>Itraxx Sub Financials</w:t>
            </w:r>
          </w:p>
        </w:tc>
        <w:tc>
          <w:tcPr>
            <w:tcW w:w="2664" w:type="dxa"/>
          </w:tcPr>
          <w:p w14:paraId="5C8F41B4" w14:textId="03AA529B" w:rsidR="007A5361" w:rsidRPr="002661A8" w:rsidRDefault="007A5361" w:rsidP="00425C97">
            <w:pPr>
              <w:keepNext/>
              <w:rPr>
                <w:noProof/>
                <w:color w:val="00B050"/>
              </w:rPr>
            </w:pPr>
            <w:r w:rsidRPr="002661A8">
              <w:rPr>
                <w:noProof/>
                <w:color w:val="00B050"/>
                <w:kern w:val="24"/>
              </w:rPr>
              <w:t>Itraxx Sub Financials</w:t>
            </w:r>
          </w:p>
        </w:tc>
      </w:tr>
      <w:tr w:rsidR="007A5361" w:rsidRPr="002661A8" w14:paraId="24CA2AAB" w14:textId="228DC9E0" w:rsidTr="00425C97">
        <w:trPr>
          <w:trHeight w:val="39"/>
        </w:trPr>
        <w:tc>
          <w:tcPr>
            <w:tcW w:w="1555" w:type="dxa"/>
            <w:vMerge/>
            <w:vAlign w:val="center"/>
          </w:tcPr>
          <w:p w14:paraId="53B7922D" w14:textId="1AE3BD99" w:rsidR="007A5361" w:rsidRPr="002661A8" w:rsidRDefault="007A5361" w:rsidP="00425C97">
            <w:pPr>
              <w:keepNext/>
              <w:rPr>
                <w:noProof/>
                <w:color w:val="000000" w:themeColor="text1"/>
                <w:kern w:val="24"/>
              </w:rPr>
            </w:pPr>
          </w:p>
        </w:tc>
        <w:tc>
          <w:tcPr>
            <w:tcW w:w="2268" w:type="dxa"/>
          </w:tcPr>
          <w:p w14:paraId="446FBB5D" w14:textId="04DA00A2" w:rsidR="007A5361" w:rsidRPr="002661A8" w:rsidRDefault="007A5361" w:rsidP="00425C97">
            <w:pPr>
              <w:keepNext/>
              <w:rPr>
                <w:noProof/>
                <w:color w:val="000000" w:themeColor="text1"/>
              </w:rPr>
            </w:pPr>
            <w:r w:rsidRPr="002661A8">
              <w:rPr>
                <w:noProof/>
                <w:color w:val="000000" w:themeColor="text1"/>
                <w:kern w:val="24"/>
              </w:rPr>
              <w:t>CDX.NA.IG</w:t>
            </w:r>
          </w:p>
        </w:tc>
        <w:tc>
          <w:tcPr>
            <w:tcW w:w="2268" w:type="dxa"/>
          </w:tcPr>
          <w:p w14:paraId="0D73B1A9" w14:textId="33A932E4" w:rsidR="007A5361" w:rsidRPr="002661A8" w:rsidRDefault="007A5361" w:rsidP="00425C97">
            <w:pPr>
              <w:keepNext/>
              <w:rPr>
                <w:noProof/>
                <w:color w:val="00B050"/>
              </w:rPr>
            </w:pPr>
            <w:r w:rsidRPr="002661A8">
              <w:rPr>
                <w:noProof/>
                <w:color w:val="00B050"/>
                <w:kern w:val="24"/>
              </w:rPr>
              <w:t>CDX.NA.IG</w:t>
            </w:r>
          </w:p>
        </w:tc>
        <w:tc>
          <w:tcPr>
            <w:tcW w:w="2664" w:type="dxa"/>
          </w:tcPr>
          <w:p w14:paraId="2A734FD3" w14:textId="3ABDE883" w:rsidR="007A5361" w:rsidRPr="002661A8" w:rsidRDefault="007A5361" w:rsidP="00425C97">
            <w:pPr>
              <w:keepNext/>
              <w:rPr>
                <w:noProof/>
                <w:color w:val="00B050"/>
              </w:rPr>
            </w:pPr>
            <w:r w:rsidRPr="002661A8">
              <w:rPr>
                <w:noProof/>
                <w:color w:val="00B050"/>
                <w:kern w:val="24"/>
              </w:rPr>
              <w:t>CDX.NA.IG</w:t>
            </w:r>
          </w:p>
        </w:tc>
      </w:tr>
      <w:tr w:rsidR="007A5361" w:rsidRPr="002661A8" w14:paraId="3242B477" w14:textId="388AAF38" w:rsidTr="00425C97">
        <w:trPr>
          <w:trHeight w:val="39"/>
        </w:trPr>
        <w:tc>
          <w:tcPr>
            <w:tcW w:w="1555" w:type="dxa"/>
            <w:vMerge/>
            <w:vAlign w:val="center"/>
          </w:tcPr>
          <w:p w14:paraId="7AD3B3DD" w14:textId="34865983" w:rsidR="007A5361" w:rsidRPr="002661A8" w:rsidRDefault="007A5361" w:rsidP="00425C97">
            <w:pPr>
              <w:keepNext/>
              <w:rPr>
                <w:noProof/>
                <w:color w:val="000000" w:themeColor="text1"/>
                <w:kern w:val="24"/>
              </w:rPr>
            </w:pPr>
          </w:p>
        </w:tc>
        <w:tc>
          <w:tcPr>
            <w:tcW w:w="2268" w:type="dxa"/>
          </w:tcPr>
          <w:p w14:paraId="26A82C02" w14:textId="1AECEE30" w:rsidR="007A5361" w:rsidRPr="002661A8" w:rsidRDefault="007A5361" w:rsidP="00425C97">
            <w:pPr>
              <w:keepNext/>
              <w:rPr>
                <w:noProof/>
                <w:color w:val="000000" w:themeColor="text1"/>
              </w:rPr>
            </w:pPr>
            <w:r w:rsidRPr="002661A8">
              <w:rPr>
                <w:noProof/>
                <w:color w:val="000000" w:themeColor="text1"/>
                <w:kern w:val="24"/>
              </w:rPr>
              <w:t>CDX.NA.HY</w:t>
            </w:r>
          </w:p>
        </w:tc>
        <w:tc>
          <w:tcPr>
            <w:tcW w:w="2268" w:type="dxa"/>
          </w:tcPr>
          <w:p w14:paraId="1CAD12FC" w14:textId="0B3D23CC" w:rsidR="007A5361" w:rsidRPr="002661A8" w:rsidRDefault="007A5361" w:rsidP="00425C97">
            <w:pPr>
              <w:keepNext/>
              <w:rPr>
                <w:noProof/>
                <w:color w:val="00B050"/>
              </w:rPr>
            </w:pPr>
            <w:r w:rsidRPr="002661A8">
              <w:rPr>
                <w:noProof/>
                <w:color w:val="00B050"/>
                <w:kern w:val="24"/>
              </w:rPr>
              <w:t>CDX.NA.HY</w:t>
            </w:r>
          </w:p>
        </w:tc>
        <w:tc>
          <w:tcPr>
            <w:tcW w:w="2664" w:type="dxa"/>
          </w:tcPr>
          <w:p w14:paraId="36BE0140" w14:textId="7B243ED0" w:rsidR="007A5361" w:rsidRPr="002661A8" w:rsidRDefault="007A5361" w:rsidP="00425C97">
            <w:pPr>
              <w:keepNext/>
              <w:rPr>
                <w:noProof/>
                <w:color w:val="00B050"/>
              </w:rPr>
            </w:pPr>
            <w:r w:rsidRPr="002661A8">
              <w:rPr>
                <w:noProof/>
                <w:color w:val="00B050"/>
                <w:kern w:val="24"/>
              </w:rPr>
              <w:t>CDX.NA.HY</w:t>
            </w:r>
          </w:p>
        </w:tc>
      </w:tr>
      <w:tr w:rsidR="007A5361" w:rsidRPr="002661A8" w14:paraId="2692594A" w14:textId="62025949" w:rsidTr="00DC0339">
        <w:trPr>
          <w:trHeight w:val="166"/>
        </w:trPr>
        <w:tc>
          <w:tcPr>
            <w:tcW w:w="1555" w:type="dxa"/>
            <w:vAlign w:val="center"/>
          </w:tcPr>
          <w:p w14:paraId="44120642" w14:textId="6FDCA35A" w:rsidR="007A5361" w:rsidRPr="002661A8" w:rsidRDefault="007A5361" w:rsidP="00425C97">
            <w:pPr>
              <w:keepNext/>
              <w:rPr>
                <w:noProof/>
                <w:color w:val="000000" w:themeColor="text1"/>
              </w:rPr>
            </w:pPr>
            <w:r w:rsidRPr="002661A8">
              <w:rPr>
                <w:noProof/>
                <w:color w:val="000000" w:themeColor="text1"/>
                <w:kern w:val="24"/>
              </w:rPr>
              <w:t>Single Name</w:t>
            </w:r>
          </w:p>
        </w:tc>
        <w:tc>
          <w:tcPr>
            <w:tcW w:w="2268" w:type="dxa"/>
          </w:tcPr>
          <w:p w14:paraId="0286E154" w14:textId="33850172" w:rsidR="007A5361" w:rsidRPr="002661A8" w:rsidRDefault="007A5361" w:rsidP="00425C97">
            <w:pPr>
              <w:keepNext/>
              <w:rPr>
                <w:noProof/>
                <w:color w:val="000000" w:themeColor="text1"/>
              </w:rPr>
            </w:pPr>
            <w:r w:rsidRPr="002661A8">
              <w:rPr>
                <w:noProof/>
                <w:color w:val="000000" w:themeColor="text1"/>
                <w:kern w:val="24"/>
              </w:rPr>
              <w:t>European Corporates</w:t>
            </w:r>
          </w:p>
        </w:tc>
        <w:tc>
          <w:tcPr>
            <w:tcW w:w="2268" w:type="dxa"/>
          </w:tcPr>
          <w:p w14:paraId="0B7F14B5" w14:textId="4A8FABCD" w:rsidR="007A5361" w:rsidRPr="002661A8" w:rsidRDefault="007A5361" w:rsidP="00425C97">
            <w:pPr>
              <w:keepNext/>
              <w:rPr>
                <w:noProof/>
                <w:color w:val="00B050"/>
              </w:rPr>
            </w:pPr>
            <w:r w:rsidRPr="002661A8">
              <w:rPr>
                <w:noProof/>
                <w:color w:val="00B050"/>
                <w:kern w:val="24"/>
              </w:rPr>
              <w:t>European Corporates</w:t>
            </w:r>
          </w:p>
        </w:tc>
        <w:tc>
          <w:tcPr>
            <w:tcW w:w="2664" w:type="dxa"/>
          </w:tcPr>
          <w:p w14:paraId="254A1848" w14:textId="250C4010" w:rsidR="007A5361" w:rsidRPr="002661A8" w:rsidRDefault="007A5361" w:rsidP="00425C97">
            <w:pPr>
              <w:keepNext/>
              <w:rPr>
                <w:noProof/>
                <w:color w:val="00B050"/>
              </w:rPr>
            </w:pPr>
            <w:r w:rsidRPr="002661A8">
              <w:rPr>
                <w:noProof/>
                <w:color w:val="00B050"/>
                <w:kern w:val="24"/>
              </w:rPr>
              <w:t>European Corporates</w:t>
            </w:r>
          </w:p>
        </w:tc>
      </w:tr>
      <w:tr w:rsidR="007A5361" w:rsidRPr="002661A8" w14:paraId="26FF1923" w14:textId="35F5F4D0" w:rsidTr="00DC0339">
        <w:trPr>
          <w:trHeight w:val="166"/>
        </w:trPr>
        <w:tc>
          <w:tcPr>
            <w:tcW w:w="1555" w:type="dxa"/>
            <w:vMerge w:val="restart"/>
            <w:vAlign w:val="center"/>
          </w:tcPr>
          <w:p w14:paraId="57783FFD" w14:textId="15CE49FA" w:rsidR="007A5361" w:rsidRPr="002661A8" w:rsidRDefault="007A5361" w:rsidP="00425C97">
            <w:pPr>
              <w:keepNext/>
              <w:rPr>
                <w:noProof/>
                <w:color w:val="000000" w:themeColor="text1"/>
              </w:rPr>
            </w:pPr>
            <w:r w:rsidRPr="002661A8">
              <w:rPr>
                <w:noProof/>
                <w:color w:val="000000" w:themeColor="text1"/>
                <w:kern w:val="24"/>
              </w:rPr>
              <w:t>Sovereigns</w:t>
            </w:r>
          </w:p>
        </w:tc>
        <w:tc>
          <w:tcPr>
            <w:tcW w:w="2268" w:type="dxa"/>
          </w:tcPr>
          <w:p w14:paraId="3B3BB5C6" w14:textId="546BFA1C" w:rsidR="007A5361" w:rsidRPr="002661A8" w:rsidRDefault="007A5361" w:rsidP="00425C97">
            <w:pPr>
              <w:keepNext/>
              <w:rPr>
                <w:noProof/>
                <w:color w:val="000000" w:themeColor="text1"/>
              </w:rPr>
            </w:pPr>
            <w:r w:rsidRPr="002661A8">
              <w:rPr>
                <w:noProof/>
                <w:color w:val="000000" w:themeColor="text1"/>
                <w:kern w:val="24"/>
              </w:rPr>
              <w:t>AT</w:t>
            </w:r>
          </w:p>
        </w:tc>
        <w:tc>
          <w:tcPr>
            <w:tcW w:w="2268" w:type="dxa"/>
          </w:tcPr>
          <w:p w14:paraId="7CB93B73" w14:textId="020BE07A" w:rsidR="007A5361" w:rsidRPr="002661A8" w:rsidRDefault="007A5361" w:rsidP="00425C97">
            <w:pPr>
              <w:keepNext/>
              <w:rPr>
                <w:noProof/>
                <w:color w:val="00B050"/>
              </w:rPr>
            </w:pPr>
            <w:r w:rsidRPr="002661A8">
              <w:rPr>
                <w:noProof/>
                <w:color w:val="00B050"/>
                <w:kern w:val="24"/>
              </w:rPr>
              <w:t>AT</w:t>
            </w:r>
          </w:p>
        </w:tc>
        <w:tc>
          <w:tcPr>
            <w:tcW w:w="2664" w:type="dxa"/>
          </w:tcPr>
          <w:p w14:paraId="692AB8C4" w14:textId="0D955BF8" w:rsidR="007A5361" w:rsidRPr="002661A8" w:rsidRDefault="007A5361" w:rsidP="00425C97">
            <w:pPr>
              <w:keepNext/>
              <w:rPr>
                <w:noProof/>
                <w:color w:val="FF0000"/>
              </w:rPr>
            </w:pPr>
            <w:r w:rsidRPr="002661A8">
              <w:rPr>
                <w:noProof/>
                <w:color w:val="FF0000"/>
                <w:kern w:val="24"/>
              </w:rPr>
              <w:t>AT</w:t>
            </w:r>
          </w:p>
        </w:tc>
      </w:tr>
      <w:tr w:rsidR="007A5361" w:rsidRPr="002661A8" w14:paraId="33A10A16" w14:textId="3A986908" w:rsidTr="00425C97">
        <w:trPr>
          <w:trHeight w:val="166"/>
        </w:trPr>
        <w:tc>
          <w:tcPr>
            <w:tcW w:w="1555" w:type="dxa"/>
            <w:vMerge/>
            <w:vAlign w:val="center"/>
          </w:tcPr>
          <w:p w14:paraId="237416B4" w14:textId="37BDA07C" w:rsidR="007A5361" w:rsidRPr="002661A8" w:rsidRDefault="007A5361" w:rsidP="00425C97">
            <w:pPr>
              <w:keepNext/>
              <w:rPr>
                <w:noProof/>
                <w:color w:val="000000" w:themeColor="text1"/>
                <w:kern w:val="24"/>
              </w:rPr>
            </w:pPr>
          </w:p>
        </w:tc>
        <w:tc>
          <w:tcPr>
            <w:tcW w:w="2268" w:type="dxa"/>
          </w:tcPr>
          <w:p w14:paraId="3797B9B4" w14:textId="43ED60C2" w:rsidR="007A5361" w:rsidRPr="002661A8" w:rsidRDefault="007A5361" w:rsidP="00425C97">
            <w:pPr>
              <w:keepNext/>
              <w:rPr>
                <w:noProof/>
                <w:color w:val="000000" w:themeColor="text1"/>
              </w:rPr>
            </w:pPr>
            <w:r w:rsidRPr="002661A8">
              <w:rPr>
                <w:noProof/>
                <w:color w:val="000000" w:themeColor="text1"/>
                <w:kern w:val="24"/>
              </w:rPr>
              <w:t>BE</w:t>
            </w:r>
          </w:p>
        </w:tc>
        <w:tc>
          <w:tcPr>
            <w:tcW w:w="2268" w:type="dxa"/>
          </w:tcPr>
          <w:p w14:paraId="52BBFEB7" w14:textId="64EFFB57" w:rsidR="007A5361" w:rsidRPr="002661A8" w:rsidRDefault="007A5361" w:rsidP="00425C97">
            <w:pPr>
              <w:keepNext/>
              <w:rPr>
                <w:noProof/>
                <w:color w:val="00B050"/>
              </w:rPr>
            </w:pPr>
            <w:r w:rsidRPr="002661A8">
              <w:rPr>
                <w:noProof/>
                <w:color w:val="00B050"/>
                <w:kern w:val="24"/>
              </w:rPr>
              <w:t>BE</w:t>
            </w:r>
          </w:p>
        </w:tc>
        <w:tc>
          <w:tcPr>
            <w:tcW w:w="2664" w:type="dxa"/>
          </w:tcPr>
          <w:p w14:paraId="11278188" w14:textId="7EEF3A31" w:rsidR="007A5361" w:rsidRPr="002661A8" w:rsidRDefault="007A5361" w:rsidP="00425C97">
            <w:pPr>
              <w:keepNext/>
              <w:rPr>
                <w:noProof/>
                <w:color w:val="FF0000"/>
              </w:rPr>
            </w:pPr>
            <w:r w:rsidRPr="002661A8">
              <w:rPr>
                <w:noProof/>
                <w:color w:val="FF0000"/>
                <w:kern w:val="24"/>
              </w:rPr>
              <w:t>BE</w:t>
            </w:r>
          </w:p>
        </w:tc>
      </w:tr>
      <w:tr w:rsidR="007A5361" w:rsidRPr="002661A8" w14:paraId="7DA04602" w14:textId="3416F587" w:rsidTr="00425C97">
        <w:trPr>
          <w:trHeight w:val="166"/>
        </w:trPr>
        <w:tc>
          <w:tcPr>
            <w:tcW w:w="1555" w:type="dxa"/>
            <w:vMerge/>
            <w:vAlign w:val="center"/>
          </w:tcPr>
          <w:p w14:paraId="440CB300" w14:textId="04021BDF" w:rsidR="007A5361" w:rsidRPr="002661A8" w:rsidRDefault="007A5361" w:rsidP="00425C97">
            <w:pPr>
              <w:keepNext/>
              <w:rPr>
                <w:noProof/>
                <w:color w:val="000000" w:themeColor="text1"/>
                <w:kern w:val="24"/>
              </w:rPr>
            </w:pPr>
          </w:p>
        </w:tc>
        <w:tc>
          <w:tcPr>
            <w:tcW w:w="2268" w:type="dxa"/>
          </w:tcPr>
          <w:p w14:paraId="363BEC01" w14:textId="2A77D6C4" w:rsidR="007A5361" w:rsidRPr="002661A8" w:rsidRDefault="007A5361" w:rsidP="00425C97">
            <w:pPr>
              <w:keepNext/>
              <w:rPr>
                <w:noProof/>
                <w:color w:val="000000" w:themeColor="text1"/>
              </w:rPr>
            </w:pPr>
            <w:r w:rsidRPr="002661A8">
              <w:rPr>
                <w:noProof/>
                <w:color w:val="000000" w:themeColor="text1"/>
                <w:kern w:val="24"/>
              </w:rPr>
              <w:t>ES</w:t>
            </w:r>
          </w:p>
        </w:tc>
        <w:tc>
          <w:tcPr>
            <w:tcW w:w="2268" w:type="dxa"/>
          </w:tcPr>
          <w:p w14:paraId="33D9B682" w14:textId="380D1CE3" w:rsidR="007A5361" w:rsidRPr="002661A8" w:rsidRDefault="007A5361" w:rsidP="00425C97">
            <w:pPr>
              <w:keepNext/>
              <w:rPr>
                <w:noProof/>
                <w:color w:val="00B050"/>
              </w:rPr>
            </w:pPr>
            <w:r w:rsidRPr="002661A8">
              <w:rPr>
                <w:noProof/>
                <w:color w:val="00B050"/>
                <w:kern w:val="24"/>
              </w:rPr>
              <w:t>ES</w:t>
            </w:r>
          </w:p>
        </w:tc>
        <w:tc>
          <w:tcPr>
            <w:tcW w:w="2664" w:type="dxa"/>
          </w:tcPr>
          <w:p w14:paraId="423B7264" w14:textId="0104E6CD" w:rsidR="007A5361" w:rsidRPr="002661A8" w:rsidRDefault="007A5361" w:rsidP="00425C97">
            <w:pPr>
              <w:keepNext/>
              <w:rPr>
                <w:noProof/>
                <w:color w:val="FF0000"/>
              </w:rPr>
            </w:pPr>
            <w:r w:rsidRPr="002661A8">
              <w:rPr>
                <w:noProof/>
                <w:color w:val="FF0000"/>
                <w:kern w:val="24"/>
              </w:rPr>
              <w:t>ES</w:t>
            </w:r>
          </w:p>
        </w:tc>
      </w:tr>
      <w:tr w:rsidR="007A5361" w:rsidRPr="002661A8" w14:paraId="71395383" w14:textId="27DFCB3B" w:rsidTr="00425C97">
        <w:trPr>
          <w:trHeight w:val="60"/>
        </w:trPr>
        <w:tc>
          <w:tcPr>
            <w:tcW w:w="1555" w:type="dxa"/>
            <w:vMerge/>
            <w:vAlign w:val="center"/>
          </w:tcPr>
          <w:p w14:paraId="08AAB936" w14:textId="6FD61894" w:rsidR="007A5361" w:rsidRPr="002661A8" w:rsidRDefault="007A5361" w:rsidP="00425C97">
            <w:pPr>
              <w:keepNext/>
              <w:rPr>
                <w:noProof/>
                <w:color w:val="000000" w:themeColor="text1"/>
                <w:kern w:val="24"/>
              </w:rPr>
            </w:pPr>
          </w:p>
        </w:tc>
        <w:tc>
          <w:tcPr>
            <w:tcW w:w="2268" w:type="dxa"/>
          </w:tcPr>
          <w:p w14:paraId="188FF11C" w14:textId="7451B591" w:rsidR="007A5361" w:rsidRPr="002661A8" w:rsidRDefault="007A5361" w:rsidP="00425C97">
            <w:pPr>
              <w:keepNext/>
              <w:rPr>
                <w:noProof/>
                <w:color w:val="000000" w:themeColor="text1"/>
              </w:rPr>
            </w:pPr>
            <w:r w:rsidRPr="002661A8">
              <w:rPr>
                <w:noProof/>
                <w:color w:val="000000" w:themeColor="text1"/>
                <w:kern w:val="24"/>
              </w:rPr>
              <w:t>IE</w:t>
            </w:r>
          </w:p>
        </w:tc>
        <w:tc>
          <w:tcPr>
            <w:tcW w:w="2268" w:type="dxa"/>
          </w:tcPr>
          <w:p w14:paraId="65218441" w14:textId="4E2DAF8F" w:rsidR="007A5361" w:rsidRPr="002661A8" w:rsidRDefault="007A5361" w:rsidP="00425C97">
            <w:pPr>
              <w:keepNext/>
              <w:rPr>
                <w:noProof/>
                <w:color w:val="00B050"/>
              </w:rPr>
            </w:pPr>
            <w:r w:rsidRPr="002661A8">
              <w:rPr>
                <w:noProof/>
                <w:color w:val="00B050"/>
                <w:kern w:val="24"/>
              </w:rPr>
              <w:t>IE</w:t>
            </w:r>
          </w:p>
        </w:tc>
        <w:tc>
          <w:tcPr>
            <w:tcW w:w="2664" w:type="dxa"/>
          </w:tcPr>
          <w:p w14:paraId="51DB9D96" w14:textId="3B7C3A92" w:rsidR="007A5361" w:rsidRPr="002661A8" w:rsidRDefault="007A5361" w:rsidP="00425C97">
            <w:pPr>
              <w:keepNext/>
              <w:rPr>
                <w:noProof/>
                <w:color w:val="FF0000"/>
              </w:rPr>
            </w:pPr>
            <w:r w:rsidRPr="002661A8">
              <w:rPr>
                <w:noProof/>
                <w:color w:val="FF0000"/>
                <w:kern w:val="24"/>
              </w:rPr>
              <w:t>IE</w:t>
            </w:r>
          </w:p>
        </w:tc>
      </w:tr>
      <w:tr w:rsidR="007A5361" w:rsidRPr="002661A8" w14:paraId="4BC59BE5" w14:textId="37E5B660" w:rsidTr="00425C97">
        <w:trPr>
          <w:trHeight w:val="166"/>
        </w:trPr>
        <w:tc>
          <w:tcPr>
            <w:tcW w:w="1555" w:type="dxa"/>
            <w:vMerge/>
            <w:vAlign w:val="center"/>
          </w:tcPr>
          <w:p w14:paraId="3F45C87E" w14:textId="4F846841" w:rsidR="007A5361" w:rsidRPr="002661A8" w:rsidRDefault="007A5361" w:rsidP="00425C97">
            <w:pPr>
              <w:keepNext/>
              <w:rPr>
                <w:noProof/>
                <w:color w:val="000000" w:themeColor="text1"/>
                <w:kern w:val="24"/>
              </w:rPr>
            </w:pPr>
          </w:p>
        </w:tc>
        <w:tc>
          <w:tcPr>
            <w:tcW w:w="2268" w:type="dxa"/>
          </w:tcPr>
          <w:p w14:paraId="73296602" w14:textId="16801F89" w:rsidR="007A5361" w:rsidRPr="002661A8" w:rsidRDefault="007A5361" w:rsidP="00425C97">
            <w:pPr>
              <w:keepNext/>
              <w:rPr>
                <w:noProof/>
                <w:color w:val="000000" w:themeColor="text1"/>
              </w:rPr>
            </w:pPr>
            <w:r w:rsidRPr="002661A8">
              <w:rPr>
                <w:noProof/>
                <w:color w:val="000000" w:themeColor="text1"/>
                <w:kern w:val="24"/>
              </w:rPr>
              <w:t>IT</w:t>
            </w:r>
          </w:p>
        </w:tc>
        <w:tc>
          <w:tcPr>
            <w:tcW w:w="2268" w:type="dxa"/>
          </w:tcPr>
          <w:p w14:paraId="163B4B92" w14:textId="4B261D5D" w:rsidR="007A5361" w:rsidRPr="002661A8" w:rsidRDefault="007A5361" w:rsidP="00425C97">
            <w:pPr>
              <w:keepNext/>
              <w:rPr>
                <w:noProof/>
                <w:color w:val="00B050"/>
              </w:rPr>
            </w:pPr>
            <w:r w:rsidRPr="002661A8">
              <w:rPr>
                <w:noProof/>
                <w:color w:val="00B050"/>
                <w:kern w:val="24"/>
              </w:rPr>
              <w:t>IT</w:t>
            </w:r>
          </w:p>
        </w:tc>
        <w:tc>
          <w:tcPr>
            <w:tcW w:w="2664" w:type="dxa"/>
          </w:tcPr>
          <w:p w14:paraId="7BCEE8CB" w14:textId="35AC8E8E" w:rsidR="007A5361" w:rsidRPr="002661A8" w:rsidRDefault="007A5361" w:rsidP="00425C97">
            <w:pPr>
              <w:keepNext/>
              <w:rPr>
                <w:noProof/>
                <w:color w:val="FF0000"/>
              </w:rPr>
            </w:pPr>
            <w:r w:rsidRPr="002661A8">
              <w:rPr>
                <w:noProof/>
                <w:color w:val="FF0000"/>
                <w:kern w:val="24"/>
              </w:rPr>
              <w:t>IT</w:t>
            </w:r>
          </w:p>
        </w:tc>
      </w:tr>
      <w:tr w:rsidR="007A5361" w:rsidRPr="002661A8" w14:paraId="57489E85" w14:textId="1D30DB5F" w:rsidTr="00425C97">
        <w:trPr>
          <w:trHeight w:val="166"/>
        </w:trPr>
        <w:tc>
          <w:tcPr>
            <w:tcW w:w="1555" w:type="dxa"/>
            <w:vMerge/>
            <w:vAlign w:val="center"/>
          </w:tcPr>
          <w:p w14:paraId="76FA8C9C" w14:textId="02926416" w:rsidR="007A5361" w:rsidRPr="002661A8" w:rsidRDefault="007A5361" w:rsidP="00425C97">
            <w:pPr>
              <w:keepNext/>
              <w:rPr>
                <w:noProof/>
                <w:color w:val="000000" w:themeColor="text1"/>
                <w:kern w:val="24"/>
              </w:rPr>
            </w:pPr>
          </w:p>
        </w:tc>
        <w:tc>
          <w:tcPr>
            <w:tcW w:w="2268" w:type="dxa"/>
          </w:tcPr>
          <w:p w14:paraId="04F13682" w14:textId="01A195E6" w:rsidR="007A5361" w:rsidRPr="002661A8" w:rsidRDefault="007A5361" w:rsidP="00425C97">
            <w:pPr>
              <w:keepNext/>
              <w:rPr>
                <w:noProof/>
                <w:color w:val="000000" w:themeColor="text1"/>
              </w:rPr>
            </w:pPr>
            <w:r w:rsidRPr="002661A8">
              <w:rPr>
                <w:noProof/>
                <w:color w:val="000000" w:themeColor="text1"/>
                <w:kern w:val="24"/>
              </w:rPr>
              <w:t>NL</w:t>
            </w:r>
          </w:p>
        </w:tc>
        <w:tc>
          <w:tcPr>
            <w:tcW w:w="2268" w:type="dxa"/>
          </w:tcPr>
          <w:p w14:paraId="34C4DA31" w14:textId="36ABA086" w:rsidR="007A5361" w:rsidRPr="002661A8" w:rsidRDefault="007A5361" w:rsidP="00425C97">
            <w:pPr>
              <w:keepNext/>
              <w:rPr>
                <w:noProof/>
                <w:color w:val="00B050"/>
              </w:rPr>
            </w:pPr>
            <w:r w:rsidRPr="002661A8">
              <w:rPr>
                <w:noProof/>
                <w:color w:val="00B050"/>
                <w:kern w:val="24"/>
              </w:rPr>
              <w:t>NL</w:t>
            </w:r>
          </w:p>
        </w:tc>
        <w:tc>
          <w:tcPr>
            <w:tcW w:w="2664" w:type="dxa"/>
          </w:tcPr>
          <w:p w14:paraId="7EF34FC8" w14:textId="5A44D1C8" w:rsidR="007A5361" w:rsidRPr="002661A8" w:rsidRDefault="007A5361" w:rsidP="00425C97">
            <w:pPr>
              <w:keepNext/>
              <w:rPr>
                <w:noProof/>
                <w:color w:val="FF0000"/>
              </w:rPr>
            </w:pPr>
            <w:r w:rsidRPr="002661A8">
              <w:rPr>
                <w:noProof/>
                <w:color w:val="FF0000"/>
                <w:kern w:val="24"/>
              </w:rPr>
              <w:t>NL</w:t>
            </w:r>
          </w:p>
        </w:tc>
      </w:tr>
      <w:tr w:rsidR="007A5361" w:rsidRPr="002661A8" w14:paraId="64E6F1B2" w14:textId="0ED18AFF" w:rsidTr="00425C97">
        <w:trPr>
          <w:trHeight w:val="166"/>
        </w:trPr>
        <w:tc>
          <w:tcPr>
            <w:tcW w:w="1555" w:type="dxa"/>
            <w:vMerge/>
            <w:vAlign w:val="center"/>
          </w:tcPr>
          <w:p w14:paraId="17F63FB1" w14:textId="765C8CB2" w:rsidR="007A5361" w:rsidRPr="002661A8" w:rsidRDefault="007A5361" w:rsidP="00425C97">
            <w:pPr>
              <w:keepNext/>
              <w:rPr>
                <w:noProof/>
                <w:color w:val="000000" w:themeColor="text1"/>
                <w:kern w:val="24"/>
              </w:rPr>
            </w:pPr>
          </w:p>
        </w:tc>
        <w:tc>
          <w:tcPr>
            <w:tcW w:w="2268" w:type="dxa"/>
          </w:tcPr>
          <w:p w14:paraId="5CF627F0" w14:textId="124DBC96" w:rsidR="007A5361" w:rsidRPr="002661A8" w:rsidRDefault="007A5361" w:rsidP="00425C97">
            <w:pPr>
              <w:keepNext/>
              <w:rPr>
                <w:noProof/>
                <w:color w:val="000000" w:themeColor="text1"/>
              </w:rPr>
            </w:pPr>
            <w:r w:rsidRPr="002661A8">
              <w:rPr>
                <w:noProof/>
                <w:color w:val="000000" w:themeColor="text1"/>
                <w:kern w:val="24"/>
              </w:rPr>
              <w:t>PT</w:t>
            </w:r>
          </w:p>
        </w:tc>
        <w:tc>
          <w:tcPr>
            <w:tcW w:w="2268" w:type="dxa"/>
          </w:tcPr>
          <w:p w14:paraId="6A671CB1" w14:textId="3A5024AB" w:rsidR="007A5361" w:rsidRPr="002661A8" w:rsidRDefault="007A5361" w:rsidP="00425C97">
            <w:pPr>
              <w:keepNext/>
              <w:rPr>
                <w:noProof/>
                <w:color w:val="00B050"/>
              </w:rPr>
            </w:pPr>
            <w:r w:rsidRPr="002661A8">
              <w:rPr>
                <w:noProof/>
                <w:color w:val="00B050"/>
                <w:kern w:val="24"/>
              </w:rPr>
              <w:t>PT</w:t>
            </w:r>
          </w:p>
        </w:tc>
        <w:tc>
          <w:tcPr>
            <w:tcW w:w="2664" w:type="dxa"/>
          </w:tcPr>
          <w:p w14:paraId="10C4B1D5" w14:textId="79F03296" w:rsidR="007A5361" w:rsidRPr="002661A8" w:rsidRDefault="007A5361" w:rsidP="00425C97">
            <w:pPr>
              <w:keepNext/>
              <w:rPr>
                <w:noProof/>
                <w:color w:val="FF0000"/>
              </w:rPr>
            </w:pPr>
            <w:r w:rsidRPr="002661A8">
              <w:rPr>
                <w:noProof/>
                <w:color w:val="FF0000"/>
                <w:kern w:val="24"/>
              </w:rPr>
              <w:t>PT</w:t>
            </w:r>
          </w:p>
        </w:tc>
      </w:tr>
    </w:tbl>
    <w:p w14:paraId="0AD33826" w14:textId="73C948A6" w:rsidR="007A5361" w:rsidRPr="002661A8" w:rsidRDefault="007A5361" w:rsidP="007A5361">
      <w:pPr>
        <w:ind w:left="709" w:right="-142" w:hanging="851"/>
        <w:rPr>
          <w:rFonts w:ascii="Times New Roman" w:hAnsi="Times New Roman" w:cs="Times New Roman"/>
          <w:b/>
          <w:smallCaps/>
          <w:noProof/>
          <w:color w:val="595959" w:themeColor="text1" w:themeTint="A6"/>
          <w:spacing w:val="6"/>
          <w:sz w:val="24"/>
          <w:szCs w:val="24"/>
        </w:rPr>
      </w:pPr>
      <w:r w:rsidRPr="002661A8">
        <w:rPr>
          <w:rFonts w:ascii="Times New Roman" w:hAnsi="Times New Roman" w:cs="Times New Roman"/>
          <w:noProof/>
          <w:sz w:val="24"/>
          <w:szCs w:val="24"/>
        </w:rPr>
        <w:t xml:space="preserve">Source: CCP websites, </w:t>
      </w:r>
      <w:r w:rsidRPr="002661A8">
        <w:rPr>
          <w:rFonts w:ascii="Times New Roman" w:hAnsi="Times New Roman" w:cs="Times New Roman"/>
          <w:noProof/>
          <w:color w:val="00B050"/>
          <w:sz w:val="24"/>
          <w:szCs w:val="24"/>
        </w:rPr>
        <w:t>green: similar product offering</w:t>
      </w:r>
      <w:r w:rsidRPr="002661A8">
        <w:rPr>
          <w:rFonts w:ascii="Times New Roman" w:hAnsi="Times New Roman" w:cs="Times New Roman"/>
          <w:noProof/>
          <w:sz w:val="24"/>
          <w:szCs w:val="24"/>
        </w:rPr>
        <w:t xml:space="preserve">, </w:t>
      </w:r>
      <w:r w:rsidRPr="002661A8">
        <w:rPr>
          <w:rFonts w:ascii="Times New Roman" w:hAnsi="Times New Roman" w:cs="Times New Roman"/>
          <w:noProof/>
          <w:color w:val="FF0000"/>
          <w:sz w:val="24"/>
          <w:szCs w:val="24"/>
        </w:rPr>
        <w:t>red: no product offering</w:t>
      </w:r>
    </w:p>
    <w:p w14:paraId="641DAE4B" w14:textId="4FF7483D" w:rsidR="007A5361" w:rsidRPr="002661A8" w:rsidRDefault="007A5361" w:rsidP="007A5361">
      <w:pPr>
        <w:spacing w:after="120" w:line="240" w:lineRule="auto"/>
        <w:jc w:val="both"/>
        <w:rPr>
          <w:rFonts w:ascii="Times New Roman" w:eastAsia="Times New Roman" w:hAnsi="Times New Roman" w:cs="Times New Roman"/>
          <w:noProof/>
          <w:sz w:val="24"/>
          <w:szCs w:val="24"/>
          <w:lang w:eastAsia="en-GB"/>
        </w:rPr>
      </w:pPr>
      <w:r w:rsidRPr="002661A8">
        <w:rPr>
          <w:rFonts w:ascii="Times New Roman" w:hAnsi="Times New Roman" w:cs="Times New Roman"/>
          <w:noProof/>
          <w:sz w:val="24"/>
          <w:szCs w:val="24"/>
        </w:rPr>
        <w:t xml:space="preserve">ICEU also offers clearing of futures and options, including </w:t>
      </w:r>
      <w:r w:rsidRPr="002661A8">
        <w:rPr>
          <w:rFonts w:ascii="Times New Roman" w:hAnsi="Times New Roman" w:cs="Times New Roman"/>
          <w:b/>
          <w:bCs/>
          <w:noProof/>
          <w:sz w:val="24"/>
          <w:szCs w:val="24"/>
        </w:rPr>
        <w:t>short-term interest rate derivatives (STIR futures)</w:t>
      </w:r>
      <w:r w:rsidRPr="002661A8">
        <w:rPr>
          <w:rFonts w:ascii="Times New Roman" w:hAnsi="Times New Roman" w:cs="Times New Roman"/>
          <w:noProof/>
          <w:sz w:val="24"/>
          <w:szCs w:val="24"/>
        </w:rPr>
        <w:t>.</w:t>
      </w:r>
      <w:r w:rsidRPr="002661A8">
        <w:rPr>
          <w:rStyle w:val="FootnoteReference"/>
          <w:rFonts w:ascii="Times New Roman" w:hAnsi="Times New Roman" w:cs="Times New Roman"/>
          <w:noProof/>
          <w:sz w:val="24"/>
          <w:szCs w:val="24"/>
        </w:rPr>
        <w:footnoteReference w:id="263"/>
      </w:r>
      <w:r w:rsidRPr="002661A8">
        <w:rPr>
          <w:rFonts w:ascii="Times New Roman" w:hAnsi="Times New Roman" w:cs="Times New Roman"/>
          <w:noProof/>
          <w:sz w:val="24"/>
          <w:szCs w:val="24"/>
        </w:rPr>
        <w:t xml:space="preserve"> In both the CDS and the futures and options segments of ICEU, the euro is the most significant currency of denomination. Some EU CCPs also offer STIR futures, but they do not offer the same range as ICEU. Eurex Clearing, for example, has a similar offer for EUR-denominated products, including Euribor Futures.</w:t>
      </w:r>
      <w:r w:rsidRPr="002661A8">
        <w:rPr>
          <w:rStyle w:val="FootnoteReference"/>
          <w:rFonts w:ascii="Times New Roman" w:hAnsi="Times New Roman" w:cs="Times New Roman"/>
          <w:noProof/>
          <w:sz w:val="24"/>
          <w:szCs w:val="24"/>
        </w:rPr>
        <w:footnoteReference w:id="264"/>
      </w:r>
      <w:r w:rsidRPr="002661A8">
        <w:rPr>
          <w:rFonts w:ascii="Times New Roman" w:hAnsi="Times New Roman" w:cs="Times New Roman"/>
          <w:noProof/>
          <w:sz w:val="24"/>
          <w:szCs w:val="24"/>
        </w:rPr>
        <w:t xml:space="preserve"> However, ICEU is dominant in Euribor Futures with more than 90% of total open interests while volumes traded and cleared in, e.g. Eurex</w:t>
      </w:r>
      <w:r w:rsidR="1AD3F5DB" w:rsidRPr="002661A8">
        <w:rPr>
          <w:rFonts w:ascii="Times New Roman" w:hAnsi="Times New Roman" w:cs="Times New Roman"/>
          <w:noProof/>
          <w:sz w:val="24"/>
          <w:szCs w:val="24"/>
        </w:rPr>
        <w:t xml:space="preserve"> Clearing</w:t>
      </w:r>
      <w:r w:rsidRPr="002661A8">
        <w:rPr>
          <w:rFonts w:ascii="Times New Roman" w:hAnsi="Times New Roman" w:cs="Times New Roman"/>
          <w:noProof/>
          <w:sz w:val="24"/>
          <w:szCs w:val="24"/>
        </w:rPr>
        <w:t>, represent 0.2%.</w:t>
      </w:r>
      <w:r w:rsidRPr="002661A8">
        <w:rPr>
          <w:rStyle w:val="FootnoteReference"/>
          <w:rFonts w:ascii="Times New Roman" w:hAnsi="Times New Roman" w:cs="Times New Roman"/>
          <w:noProof/>
          <w:sz w:val="24"/>
          <w:szCs w:val="24"/>
        </w:rPr>
        <w:footnoteReference w:id="265"/>
      </w:r>
    </w:p>
    <w:p w14:paraId="61B45EB1" w14:textId="77777777" w:rsidR="007A5361" w:rsidRPr="002661A8" w:rsidRDefault="007A5361" w:rsidP="007A5361">
      <w:pPr>
        <w:spacing w:after="120" w:line="240" w:lineRule="auto"/>
        <w:jc w:val="both"/>
        <w:rPr>
          <w:rFonts w:ascii="Times New Roman" w:eastAsia="Times New Roman" w:hAnsi="Times New Roman" w:cs="Times New Roman"/>
          <w:noProof/>
          <w:sz w:val="24"/>
          <w:szCs w:val="24"/>
          <w:lang w:eastAsia="en-GB"/>
        </w:rPr>
      </w:pPr>
      <w:r w:rsidRPr="002661A8">
        <w:rPr>
          <w:rFonts w:ascii="Times New Roman" w:eastAsia="Times New Roman" w:hAnsi="Times New Roman" w:cs="Times New Roman"/>
          <w:noProof/>
          <w:sz w:val="24"/>
          <w:szCs w:val="24"/>
          <w:lang w:eastAsia="en-GB"/>
        </w:rPr>
        <w:t xml:space="preserve">Finally, though none of these asset classes are subject to a clearing obligation, there is currently no offer in the EU for </w:t>
      </w:r>
      <w:r w:rsidRPr="002661A8">
        <w:rPr>
          <w:rFonts w:ascii="Times New Roman" w:eastAsia="Times New Roman" w:hAnsi="Times New Roman" w:cs="Times New Roman"/>
          <w:b/>
          <w:noProof/>
          <w:sz w:val="24"/>
          <w:szCs w:val="24"/>
          <w:lang w:eastAsia="en-GB"/>
        </w:rPr>
        <w:t>certain commodity derivatives</w:t>
      </w:r>
      <w:r w:rsidRPr="002661A8">
        <w:rPr>
          <w:rFonts w:ascii="Times New Roman" w:eastAsia="Times New Roman" w:hAnsi="Times New Roman" w:cs="Times New Roman"/>
          <w:noProof/>
          <w:sz w:val="24"/>
          <w:szCs w:val="24"/>
          <w:lang w:eastAsia="en-GB"/>
        </w:rPr>
        <w:t>, e.g.</w:t>
      </w:r>
      <w:r w:rsidRPr="002661A8">
        <w:rPr>
          <w:rFonts w:ascii="Times New Roman" w:eastAsia="Times New Roman" w:hAnsi="Times New Roman" w:cs="Times New Roman"/>
          <w:b/>
          <w:noProof/>
          <w:sz w:val="24"/>
          <w:szCs w:val="24"/>
          <w:lang w:eastAsia="en-GB"/>
        </w:rPr>
        <w:t xml:space="preserve"> </w:t>
      </w:r>
      <w:r w:rsidRPr="002661A8">
        <w:rPr>
          <w:rFonts w:ascii="Times New Roman" w:eastAsia="Times New Roman" w:hAnsi="Times New Roman" w:cs="Times New Roman"/>
          <w:noProof/>
          <w:sz w:val="24"/>
          <w:szCs w:val="24"/>
          <w:lang w:eastAsia="en-GB"/>
        </w:rPr>
        <w:t xml:space="preserve">metal or oil derivatives such as those offered in LME Ltd or ICE Clear Europe, as well as no offer for the clearing of </w:t>
      </w:r>
      <w:r w:rsidRPr="002661A8">
        <w:rPr>
          <w:rFonts w:ascii="Times New Roman" w:eastAsia="Times New Roman" w:hAnsi="Times New Roman" w:cs="Times New Roman"/>
          <w:b/>
          <w:noProof/>
          <w:sz w:val="24"/>
          <w:szCs w:val="24"/>
          <w:lang w:eastAsia="en-GB"/>
        </w:rPr>
        <w:t>foreign exchange derivatives</w:t>
      </w:r>
      <w:r w:rsidRPr="002661A8">
        <w:rPr>
          <w:rFonts w:ascii="Times New Roman" w:eastAsia="Times New Roman" w:hAnsi="Times New Roman" w:cs="Times New Roman"/>
          <w:noProof/>
          <w:sz w:val="24"/>
          <w:szCs w:val="24"/>
          <w:lang w:eastAsia="en-GB"/>
        </w:rPr>
        <w:t xml:space="preserve"> such as those offered in LCH Ltd.</w:t>
      </w:r>
    </w:p>
    <w:p w14:paraId="7BEE06A4" w14:textId="14C42D81" w:rsidR="007A5361" w:rsidRPr="002661A8" w:rsidRDefault="007A5361" w:rsidP="00ED5088">
      <w:pPr>
        <w:pStyle w:val="Heading1"/>
        <w:numPr>
          <w:ilvl w:val="1"/>
          <w:numId w:val="10"/>
        </w:numPr>
        <w:rPr>
          <w:rFonts w:eastAsiaTheme="minorEastAsia"/>
          <w:smallCaps w:val="0"/>
          <w:noProof/>
        </w:rPr>
      </w:pPr>
      <w:bookmarkStart w:id="1940" w:name="_Toc107839015"/>
      <w:bookmarkStart w:id="1941" w:name="_Toc107847075"/>
      <w:bookmarkStart w:id="1942" w:name="_Toc107849347"/>
      <w:bookmarkStart w:id="1943" w:name="_Toc107853759"/>
      <w:bookmarkStart w:id="1944" w:name="_Toc107865388"/>
      <w:bookmarkStart w:id="1945" w:name="_Toc108418585"/>
      <w:bookmarkStart w:id="1946" w:name="_Toc108539673"/>
      <w:bookmarkStart w:id="1947" w:name="_Toc108539895"/>
      <w:bookmarkStart w:id="1948" w:name="_Toc108539977"/>
      <w:bookmarkStart w:id="1949" w:name="_Toc108540092"/>
      <w:bookmarkStart w:id="1950" w:name="_Toc109057470"/>
      <w:bookmarkStart w:id="1951" w:name="_Toc109120836"/>
      <w:bookmarkStart w:id="1952" w:name="_Toc109122432"/>
      <w:bookmarkStart w:id="1953" w:name="_Toc109133169"/>
      <w:bookmarkStart w:id="1954" w:name="_Toc120291705"/>
      <w:r w:rsidRPr="002661A8">
        <w:rPr>
          <w:rFonts w:eastAsiaTheme="minorEastAsia"/>
          <w:smallCaps w:val="0"/>
          <w:noProof/>
        </w:rPr>
        <w:t>Liquidity</w:t>
      </w:r>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p>
    <w:p w14:paraId="16746986" w14:textId="62190548" w:rsidR="007A5361" w:rsidRPr="002661A8" w:rsidRDefault="007A5361" w:rsidP="007A5361">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The number of trades (volume) and currency value of trades in a product or market can be used as a (rough) indicator of liquidity. For example, LCH Ltd is one of the largest CCPs worldwide in term of the value of cleared transactions, and has been growing in recent years</w:t>
      </w:r>
      <w:r w:rsidRPr="002661A8">
        <w:rPr>
          <w:rStyle w:val="FootnoteReference"/>
          <w:noProof/>
          <w:sz w:val="24"/>
          <w:szCs w:val="24"/>
        </w:rPr>
        <w:footnoteReference w:id="266"/>
      </w:r>
      <w:r w:rsidRPr="002661A8">
        <w:rPr>
          <w:rFonts w:ascii="Times New Roman" w:hAnsi="Times New Roman" w:cs="Times New Roman"/>
          <w:noProof/>
          <w:sz w:val="24"/>
          <w:szCs w:val="24"/>
        </w:rPr>
        <w:t xml:space="preserve">. The OTC derivatives segment has in particular grown following the G20 mandate of 2009 to centrally clear all standardised OTC derivatives (Figures </w:t>
      </w:r>
      <w:r w:rsidR="00387BC9" w:rsidRPr="002661A8">
        <w:rPr>
          <w:rFonts w:ascii="Times New Roman" w:hAnsi="Times New Roman" w:cs="Times New Roman"/>
          <w:noProof/>
          <w:sz w:val="24"/>
          <w:szCs w:val="24"/>
        </w:rPr>
        <w:t>7</w:t>
      </w:r>
      <w:r w:rsidRPr="002661A8">
        <w:rPr>
          <w:rFonts w:ascii="Times New Roman" w:hAnsi="Times New Roman" w:cs="Times New Roman"/>
          <w:noProof/>
          <w:sz w:val="24"/>
          <w:szCs w:val="24"/>
        </w:rPr>
        <w:t xml:space="preserve"> and </w:t>
      </w:r>
      <w:r w:rsidR="00387BC9" w:rsidRPr="002661A8">
        <w:rPr>
          <w:rFonts w:ascii="Times New Roman" w:hAnsi="Times New Roman" w:cs="Times New Roman"/>
          <w:noProof/>
          <w:sz w:val="24"/>
          <w:szCs w:val="24"/>
        </w:rPr>
        <w:t>8</w:t>
      </w:r>
      <w:r w:rsidRPr="002661A8">
        <w:rPr>
          <w:rFonts w:ascii="Times New Roman" w:hAnsi="Times New Roman" w:cs="Times New Roman"/>
          <w:noProof/>
          <w:sz w:val="24"/>
          <w:szCs w:val="24"/>
        </w:rPr>
        <w:t>).</w:t>
      </w:r>
    </w:p>
    <w:tbl>
      <w:tblPr>
        <w:tblStyle w:val="TableGrid"/>
        <w:tblW w:w="8647" w:type="dxa"/>
        <w:tblInd w:w="108" w:type="dxa"/>
        <w:tblLook w:val="04A0" w:firstRow="1" w:lastRow="0" w:firstColumn="1" w:lastColumn="0" w:noHBand="0" w:noVBand="1"/>
      </w:tblPr>
      <w:tblGrid>
        <w:gridCol w:w="4233"/>
        <w:gridCol w:w="4414"/>
      </w:tblGrid>
      <w:tr w:rsidR="007A5361" w:rsidRPr="002661A8" w14:paraId="6D05BEC5" w14:textId="77777777" w:rsidTr="005A3EF4">
        <w:trPr>
          <w:trHeight w:val="477"/>
        </w:trPr>
        <w:tc>
          <w:tcPr>
            <w:tcW w:w="4573" w:type="dxa"/>
            <w:tcBorders>
              <w:top w:val="nil"/>
              <w:left w:val="nil"/>
              <w:bottom w:val="single" w:sz="4" w:space="0" w:color="auto"/>
              <w:right w:val="nil"/>
            </w:tcBorders>
          </w:tcPr>
          <w:p w14:paraId="0B00F879" w14:textId="4A89F5A5" w:rsidR="007A5361" w:rsidRPr="002661A8" w:rsidRDefault="007A5361" w:rsidP="00425C97">
            <w:pPr>
              <w:pStyle w:val="Caption"/>
              <w:keepNext/>
              <w:spacing w:before="0"/>
              <w:rPr>
                <w:noProof/>
                <w:lang w:val="en-GB"/>
              </w:rPr>
            </w:pPr>
            <w:r w:rsidRPr="002661A8">
              <w:rPr>
                <w:noProof/>
                <w:lang w:val="en-GB"/>
              </w:rPr>
              <w:t xml:space="preserve">Figure </w:t>
            </w:r>
            <w:r w:rsidR="00387BC9" w:rsidRPr="002661A8">
              <w:rPr>
                <w:noProof/>
                <w:lang w:val="en-GB"/>
              </w:rPr>
              <w:t>7</w:t>
            </w:r>
            <w:r w:rsidRPr="002661A8">
              <w:rPr>
                <w:noProof/>
                <w:lang w:val="en-GB"/>
              </w:rPr>
              <w:t>. LCH Ltd Cleared Value Worldwide Ranking, 2019</w:t>
            </w:r>
          </w:p>
        </w:tc>
        <w:tc>
          <w:tcPr>
            <w:tcW w:w="4074" w:type="dxa"/>
            <w:tcBorders>
              <w:top w:val="nil"/>
              <w:left w:val="nil"/>
              <w:bottom w:val="single" w:sz="4" w:space="0" w:color="auto"/>
              <w:right w:val="nil"/>
            </w:tcBorders>
          </w:tcPr>
          <w:p w14:paraId="3F48F5AD" w14:textId="1DF2C09E" w:rsidR="007A5361" w:rsidRPr="002661A8" w:rsidRDefault="007A5361" w:rsidP="00425C97">
            <w:pPr>
              <w:pStyle w:val="Caption"/>
              <w:keepNext/>
              <w:spacing w:before="0"/>
              <w:rPr>
                <w:noProof/>
                <w:lang w:val="en-GB"/>
              </w:rPr>
            </w:pPr>
            <w:r w:rsidRPr="002661A8">
              <w:rPr>
                <w:noProof/>
                <w:lang w:val="en-GB"/>
              </w:rPr>
              <w:t xml:space="preserve">Figure </w:t>
            </w:r>
            <w:r w:rsidR="00387BC9" w:rsidRPr="002661A8">
              <w:rPr>
                <w:noProof/>
                <w:lang w:val="en-GB"/>
              </w:rPr>
              <w:t>8</w:t>
            </w:r>
            <w:r w:rsidRPr="002661A8">
              <w:rPr>
                <w:noProof/>
                <w:lang w:val="en-GB"/>
              </w:rPr>
              <w:t>. LCH Ltd Cleared Value 2015-2019</w:t>
            </w:r>
          </w:p>
        </w:tc>
      </w:tr>
      <w:tr w:rsidR="007A5361" w:rsidRPr="002661A8" w14:paraId="48E539C7" w14:textId="77777777" w:rsidTr="005A3EF4">
        <w:trPr>
          <w:trHeight w:val="3586"/>
        </w:trPr>
        <w:tc>
          <w:tcPr>
            <w:tcW w:w="4573" w:type="dxa"/>
            <w:tcBorders>
              <w:top w:val="single" w:sz="4" w:space="0" w:color="auto"/>
            </w:tcBorders>
          </w:tcPr>
          <w:p w14:paraId="10746C01" w14:textId="77777777" w:rsidR="007A5361" w:rsidRPr="002661A8" w:rsidRDefault="007A5361" w:rsidP="00425C97">
            <w:pPr>
              <w:keepNext/>
              <w:spacing w:after="120"/>
              <w:rPr>
                <w:noProof/>
                <w:sz w:val="24"/>
                <w:szCs w:val="24"/>
              </w:rPr>
            </w:pPr>
            <w:r w:rsidRPr="002661A8">
              <w:rPr>
                <w:noProof/>
                <w:sz w:val="24"/>
                <w:szCs w:val="24"/>
              </w:rPr>
              <w:drawing>
                <wp:inline distT="0" distB="0" distL="0" distR="0" wp14:anchorId="0A7CBA70" wp14:editId="6E090E03">
                  <wp:extent cx="2388368" cy="24149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8466" cy="2435226"/>
                          </a:xfrm>
                          <a:prstGeom prst="rect">
                            <a:avLst/>
                          </a:prstGeom>
                          <a:noFill/>
                        </pic:spPr>
                      </pic:pic>
                    </a:graphicData>
                  </a:graphic>
                </wp:inline>
              </w:drawing>
            </w:r>
          </w:p>
        </w:tc>
        <w:tc>
          <w:tcPr>
            <w:tcW w:w="4074" w:type="dxa"/>
            <w:tcBorders>
              <w:top w:val="single" w:sz="4" w:space="0" w:color="auto"/>
            </w:tcBorders>
          </w:tcPr>
          <w:p w14:paraId="5D600D25" w14:textId="77777777" w:rsidR="007A5361" w:rsidRPr="002661A8" w:rsidRDefault="007A5361" w:rsidP="00425C97">
            <w:pPr>
              <w:keepNext/>
              <w:spacing w:after="120"/>
              <w:rPr>
                <w:noProof/>
                <w:sz w:val="24"/>
                <w:szCs w:val="24"/>
              </w:rPr>
            </w:pPr>
            <w:r w:rsidRPr="002661A8">
              <w:rPr>
                <w:noProof/>
                <w:sz w:val="24"/>
                <w:szCs w:val="24"/>
              </w:rPr>
              <w:drawing>
                <wp:inline distT="0" distB="0" distL="0" distR="0" wp14:anchorId="6C6B7330" wp14:editId="712EDA11">
                  <wp:extent cx="2665730" cy="24758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65730" cy="2475865"/>
                          </a:xfrm>
                          <a:prstGeom prst="rect">
                            <a:avLst/>
                          </a:prstGeom>
                          <a:noFill/>
                          <a:ln>
                            <a:noFill/>
                          </a:ln>
                        </pic:spPr>
                      </pic:pic>
                    </a:graphicData>
                  </a:graphic>
                </wp:inline>
              </w:drawing>
            </w:r>
          </w:p>
        </w:tc>
      </w:tr>
    </w:tbl>
    <w:p w14:paraId="1CE6725E" w14:textId="77777777" w:rsidR="007A5361" w:rsidRPr="002661A8" w:rsidRDefault="007A5361" w:rsidP="007A5361">
      <w:pPr>
        <w:spacing w:after="120" w:line="240" w:lineRule="auto"/>
        <w:jc w:val="both"/>
        <w:rPr>
          <w:rFonts w:ascii="Times New Roman" w:hAnsi="Times New Roman" w:cs="Times New Roman"/>
          <w:noProof/>
          <w:sz w:val="20"/>
          <w:szCs w:val="20"/>
        </w:rPr>
      </w:pPr>
      <w:r w:rsidRPr="002661A8">
        <w:rPr>
          <w:rFonts w:ascii="Times New Roman" w:hAnsi="Times New Roman" w:cs="Times New Roman"/>
          <w:noProof/>
          <w:sz w:val="20"/>
          <w:szCs w:val="20"/>
        </w:rPr>
        <w:t>Source: CPMI Statistics Payments and Financial Market Infrastructures, 2021</w:t>
      </w:r>
    </w:p>
    <w:p w14:paraId="4FBE4947" w14:textId="3F9AB55A" w:rsidR="007A5361" w:rsidRPr="002661A8" w:rsidRDefault="007A5361" w:rsidP="007A5361">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 xml:space="preserve">Moreover, SwapClear has the highest market share in interest rate derivatives under the clearing obligation (Figure </w:t>
      </w:r>
      <w:r w:rsidR="00387BC9" w:rsidRPr="002661A8">
        <w:rPr>
          <w:rFonts w:ascii="Times New Roman" w:hAnsi="Times New Roman" w:cs="Times New Roman"/>
          <w:noProof/>
          <w:sz w:val="24"/>
          <w:szCs w:val="24"/>
        </w:rPr>
        <w:t>9</w:t>
      </w:r>
      <w:r w:rsidRPr="002661A8">
        <w:rPr>
          <w:rFonts w:ascii="Times New Roman" w:hAnsi="Times New Roman" w:cs="Times New Roman"/>
          <w:noProof/>
          <w:sz w:val="24"/>
          <w:szCs w:val="24"/>
        </w:rPr>
        <w:t xml:space="preserve">) and more in general in EU currencies (Figure </w:t>
      </w:r>
      <w:r w:rsidR="00387BC9" w:rsidRPr="002661A8">
        <w:rPr>
          <w:rFonts w:ascii="Times New Roman" w:hAnsi="Times New Roman" w:cs="Times New Roman"/>
          <w:noProof/>
          <w:sz w:val="24"/>
          <w:szCs w:val="24"/>
        </w:rPr>
        <w:t>10</w:t>
      </w:r>
      <w:r w:rsidRPr="002661A8">
        <w:rPr>
          <w:rFonts w:ascii="Times New Roman" w:hAnsi="Times New Roman" w:cs="Times New Roman"/>
          <w:noProof/>
          <w:sz w:val="24"/>
          <w:szCs w:val="24"/>
        </w:rPr>
        <w:t>).</w:t>
      </w:r>
    </w:p>
    <w:tbl>
      <w:tblPr>
        <w:tblStyle w:val="TableGrid"/>
        <w:tblW w:w="0" w:type="auto"/>
        <w:tblInd w:w="108" w:type="dxa"/>
        <w:tblLook w:val="04A0" w:firstRow="1" w:lastRow="0" w:firstColumn="1" w:lastColumn="0" w:noHBand="0" w:noVBand="1"/>
      </w:tblPr>
      <w:tblGrid>
        <w:gridCol w:w="4575"/>
        <w:gridCol w:w="4151"/>
      </w:tblGrid>
      <w:tr w:rsidR="007A5361" w:rsidRPr="002661A8" w14:paraId="433FC853" w14:textId="77777777" w:rsidTr="005A3EF4">
        <w:tc>
          <w:tcPr>
            <w:tcW w:w="4575" w:type="dxa"/>
            <w:tcBorders>
              <w:top w:val="nil"/>
              <w:left w:val="nil"/>
              <w:bottom w:val="single" w:sz="4" w:space="0" w:color="auto"/>
              <w:right w:val="nil"/>
            </w:tcBorders>
          </w:tcPr>
          <w:p w14:paraId="520E0D6C" w14:textId="418384A3" w:rsidR="007A5361" w:rsidRPr="002661A8" w:rsidRDefault="007A5361" w:rsidP="00425C97">
            <w:pPr>
              <w:keepNext/>
              <w:spacing w:after="120"/>
              <w:rPr>
                <w:noProof/>
                <w:sz w:val="24"/>
                <w:szCs w:val="24"/>
              </w:rPr>
            </w:pPr>
            <w:r w:rsidRPr="002661A8">
              <w:rPr>
                <w:rFonts w:eastAsia="Arial Unicode MS" w:cs="Arial Unicode MS"/>
                <w:b/>
                <w:noProof/>
                <w:color w:val="000000"/>
                <w:sz w:val="24"/>
                <w:szCs w:val="24"/>
                <w:bdr w:val="nil"/>
              </w:rPr>
              <w:t xml:space="preserve">Figure </w:t>
            </w:r>
            <w:r w:rsidR="00387BC9" w:rsidRPr="002661A8">
              <w:rPr>
                <w:rFonts w:eastAsia="Arial Unicode MS" w:cs="Arial Unicode MS"/>
                <w:b/>
                <w:noProof/>
                <w:color w:val="000000"/>
                <w:sz w:val="24"/>
                <w:szCs w:val="24"/>
                <w:bdr w:val="nil"/>
              </w:rPr>
              <w:t>9</w:t>
            </w:r>
            <w:r w:rsidRPr="002661A8">
              <w:rPr>
                <w:rFonts w:eastAsia="Arial Unicode MS" w:cs="Arial Unicode MS"/>
                <w:b/>
                <w:noProof/>
                <w:color w:val="000000"/>
                <w:sz w:val="24"/>
                <w:szCs w:val="24"/>
                <w:bdr w:val="nil"/>
              </w:rPr>
              <w:t>. Market share OTC IRD under Clearing Obligation (EUR, USD, JPY, GBP)</w:t>
            </w:r>
          </w:p>
        </w:tc>
        <w:tc>
          <w:tcPr>
            <w:tcW w:w="4151" w:type="dxa"/>
            <w:tcBorders>
              <w:top w:val="nil"/>
              <w:left w:val="nil"/>
              <w:bottom w:val="single" w:sz="4" w:space="0" w:color="auto"/>
              <w:right w:val="nil"/>
            </w:tcBorders>
          </w:tcPr>
          <w:p w14:paraId="0025BFE8" w14:textId="75C0299D" w:rsidR="007A5361" w:rsidRPr="002661A8" w:rsidRDefault="007A5361" w:rsidP="00425C97">
            <w:pPr>
              <w:pStyle w:val="Caption"/>
              <w:keepNext/>
              <w:spacing w:before="0"/>
              <w:rPr>
                <w:noProof/>
                <w:lang w:val="en-GB"/>
              </w:rPr>
            </w:pPr>
            <w:r w:rsidRPr="002661A8">
              <w:rPr>
                <w:noProof/>
                <w:lang w:val="en-GB"/>
              </w:rPr>
              <w:t xml:space="preserve">Figure </w:t>
            </w:r>
            <w:r w:rsidR="00387BC9" w:rsidRPr="002661A8">
              <w:rPr>
                <w:noProof/>
                <w:lang w:val="en-GB"/>
              </w:rPr>
              <w:t>10</w:t>
            </w:r>
            <w:r w:rsidRPr="002661A8">
              <w:rPr>
                <w:noProof/>
                <w:lang w:val="en-GB"/>
              </w:rPr>
              <w:t>. Market share OTC IRDs in EU currencies</w:t>
            </w:r>
          </w:p>
        </w:tc>
      </w:tr>
      <w:tr w:rsidR="007A5361" w:rsidRPr="002661A8" w14:paraId="460CE6AE" w14:textId="77777777" w:rsidTr="005A3EF4">
        <w:tc>
          <w:tcPr>
            <w:tcW w:w="4575" w:type="dxa"/>
            <w:tcBorders>
              <w:top w:val="single" w:sz="4" w:space="0" w:color="auto"/>
            </w:tcBorders>
          </w:tcPr>
          <w:p w14:paraId="00F4F5F8" w14:textId="77777777" w:rsidR="007A5361" w:rsidRPr="002661A8" w:rsidRDefault="007A5361" w:rsidP="00425C97">
            <w:pPr>
              <w:spacing w:after="120"/>
              <w:rPr>
                <w:noProof/>
                <w:sz w:val="24"/>
                <w:szCs w:val="24"/>
              </w:rPr>
            </w:pPr>
            <w:r w:rsidRPr="002661A8">
              <w:rPr>
                <w:noProof/>
                <w:sz w:val="24"/>
                <w:szCs w:val="24"/>
              </w:rPr>
              <w:drawing>
                <wp:inline distT="0" distB="0" distL="0" distR="0" wp14:anchorId="2D70B217" wp14:editId="576CF632">
                  <wp:extent cx="2665730" cy="233807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65730" cy="2338070"/>
                          </a:xfrm>
                          <a:prstGeom prst="rect">
                            <a:avLst/>
                          </a:prstGeom>
                          <a:noFill/>
                          <a:ln>
                            <a:noFill/>
                          </a:ln>
                        </pic:spPr>
                      </pic:pic>
                    </a:graphicData>
                  </a:graphic>
                </wp:inline>
              </w:drawing>
            </w:r>
          </w:p>
        </w:tc>
        <w:tc>
          <w:tcPr>
            <w:tcW w:w="4151" w:type="dxa"/>
            <w:tcBorders>
              <w:top w:val="single" w:sz="4" w:space="0" w:color="auto"/>
            </w:tcBorders>
          </w:tcPr>
          <w:p w14:paraId="508CD67A" w14:textId="77777777" w:rsidR="007A5361" w:rsidRPr="002661A8" w:rsidRDefault="007A5361" w:rsidP="00425C97">
            <w:pPr>
              <w:keepNext/>
              <w:spacing w:after="120"/>
              <w:rPr>
                <w:noProof/>
                <w:sz w:val="24"/>
                <w:szCs w:val="24"/>
              </w:rPr>
            </w:pPr>
            <w:r w:rsidRPr="002661A8">
              <w:rPr>
                <w:noProof/>
                <w:sz w:val="24"/>
                <w:szCs w:val="24"/>
              </w:rPr>
              <w:drawing>
                <wp:inline distT="0" distB="0" distL="0" distR="0" wp14:anchorId="0A2DADD7" wp14:editId="1572C422">
                  <wp:extent cx="2498725" cy="23406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98725" cy="2340610"/>
                          </a:xfrm>
                          <a:prstGeom prst="rect">
                            <a:avLst/>
                          </a:prstGeom>
                          <a:noFill/>
                          <a:ln>
                            <a:noFill/>
                          </a:ln>
                        </pic:spPr>
                      </pic:pic>
                    </a:graphicData>
                  </a:graphic>
                </wp:inline>
              </w:drawing>
            </w:r>
          </w:p>
        </w:tc>
      </w:tr>
    </w:tbl>
    <w:p w14:paraId="62E95CE6" w14:textId="77777777" w:rsidR="007A5361" w:rsidRPr="002661A8" w:rsidRDefault="007A5361" w:rsidP="007A5361">
      <w:pPr>
        <w:spacing w:after="120" w:line="240" w:lineRule="auto"/>
        <w:jc w:val="both"/>
        <w:rPr>
          <w:rFonts w:ascii="Times New Roman" w:hAnsi="Times New Roman" w:cs="Times New Roman"/>
          <w:noProof/>
          <w:sz w:val="24"/>
          <w:szCs w:val="24"/>
        </w:rPr>
      </w:pPr>
    </w:p>
    <w:p w14:paraId="77FA76C7" w14:textId="133603CC" w:rsidR="007A5361" w:rsidRPr="002661A8" w:rsidRDefault="007A5361" w:rsidP="007A5361">
      <w:pPr>
        <w:spacing w:after="120" w:line="240" w:lineRule="auto"/>
        <w:jc w:val="both"/>
        <w:rPr>
          <w:rFonts w:ascii="Times New Roman" w:hAnsi="Times New Roman" w:cs="Times New Roman"/>
          <w:noProof/>
          <w:sz w:val="24"/>
          <w:szCs w:val="24"/>
        </w:rPr>
      </w:pPr>
      <w:r w:rsidRPr="002661A8">
        <w:rPr>
          <w:rFonts w:ascii="Times New Roman" w:hAnsi="Times New Roman" w:cs="Times New Roman"/>
          <w:noProof/>
          <w:sz w:val="24"/>
          <w:szCs w:val="24"/>
        </w:rPr>
        <w:t>The other UK-based CCP classified as systemically important (Tier 2 CCP) under EMIR, ICE Clear Europe, is also one of the largest in terms of the value of cleared transactions, compared to its EU peers</w:t>
      </w:r>
      <w:r w:rsidRPr="002661A8">
        <w:rPr>
          <w:rStyle w:val="FootnoteReference"/>
          <w:noProof/>
          <w:sz w:val="24"/>
          <w:szCs w:val="24"/>
        </w:rPr>
        <w:footnoteReference w:id="267"/>
      </w:r>
      <w:r w:rsidRPr="002661A8">
        <w:rPr>
          <w:rFonts w:ascii="Times New Roman" w:hAnsi="Times New Roman" w:cs="Times New Roman"/>
          <w:noProof/>
          <w:sz w:val="24"/>
          <w:szCs w:val="24"/>
        </w:rPr>
        <w:t xml:space="preserve">. As described in Section 2.2.3, ICE Clear Europe offers clearing of CDSs and short-term interest rate derivatives (STIR futures). LCH SA offers the same clearing of CDSs as ICEU (except for CDSs on sovereigns). </w:t>
      </w:r>
      <w:r w:rsidRPr="002661A8">
        <w:rPr>
          <w:rFonts w:ascii="Times New Roman" w:eastAsia="Times New Roman" w:hAnsi="Times New Roman" w:cs="Times New Roman"/>
          <w:noProof/>
          <w:sz w:val="24"/>
          <w:szCs w:val="24"/>
          <w:lang w:eastAsia="en-GB"/>
        </w:rPr>
        <w:t xml:space="preserve">The market for the clearing of the two main euro-denominated index CDSs is split almost evenly between ICEU and LCH SA, even if the situation has recently changed, with the relocation of some CDS trading to the US (See Figure </w:t>
      </w:r>
      <w:r w:rsidR="00387BC9" w:rsidRPr="002661A8">
        <w:rPr>
          <w:rFonts w:ascii="Times New Roman" w:eastAsia="Times New Roman" w:hAnsi="Times New Roman" w:cs="Times New Roman"/>
          <w:noProof/>
          <w:sz w:val="24"/>
          <w:szCs w:val="24"/>
          <w:lang w:eastAsia="en-GB"/>
        </w:rPr>
        <w:t>11</w:t>
      </w:r>
      <w:r w:rsidRPr="002661A8">
        <w:rPr>
          <w:rFonts w:ascii="Times New Roman" w:eastAsia="Times New Roman" w:hAnsi="Times New Roman" w:cs="Times New Roman"/>
          <w:noProof/>
          <w:sz w:val="24"/>
          <w:szCs w:val="24"/>
          <w:lang w:eastAsia="en-GB"/>
        </w:rPr>
        <w:t xml:space="preserve">). </w:t>
      </w:r>
      <w:r w:rsidRPr="002661A8">
        <w:rPr>
          <w:rFonts w:ascii="Times New Roman" w:hAnsi="Times New Roman" w:cs="Times New Roman"/>
          <w:noProof/>
          <w:sz w:val="24"/>
          <w:szCs w:val="24"/>
          <w:u w:val="single"/>
        </w:rPr>
        <w:t>As regards STIR futures</w:t>
      </w:r>
      <w:r w:rsidRPr="002661A8">
        <w:rPr>
          <w:rFonts w:ascii="Times New Roman" w:hAnsi="Times New Roman" w:cs="Times New Roman"/>
          <w:noProof/>
          <w:sz w:val="24"/>
          <w:szCs w:val="24"/>
        </w:rPr>
        <w:t xml:space="preserve"> (which are not subject to the clearing obligation), ICEU is the only CCP to have access to the trading venue of reference for the STIR products, namely ICE Futures Europe. </w:t>
      </w:r>
    </w:p>
    <w:p w14:paraId="5EAB9AC4" w14:textId="2F3D71A3" w:rsidR="007A5361" w:rsidRPr="002661A8" w:rsidRDefault="007A5361" w:rsidP="00D6052F">
      <w:pPr>
        <w:spacing w:after="120" w:line="240" w:lineRule="auto"/>
        <w:jc w:val="both"/>
        <w:rPr>
          <w:rFonts w:ascii="Times New Roman" w:hAnsi="Times New Roman" w:cs="Times New Roman"/>
          <w:b/>
          <w:noProof/>
          <w:sz w:val="24"/>
          <w:szCs w:val="24"/>
        </w:rPr>
      </w:pPr>
      <w:r w:rsidRPr="002661A8">
        <w:rPr>
          <w:rFonts w:ascii="Times New Roman" w:hAnsi="Times New Roman" w:cs="Times New Roman"/>
          <w:b/>
          <w:noProof/>
          <w:sz w:val="24"/>
          <w:szCs w:val="24"/>
        </w:rPr>
        <w:t xml:space="preserve">Figure </w:t>
      </w:r>
      <w:r w:rsidR="00387BC9" w:rsidRPr="002661A8">
        <w:rPr>
          <w:rFonts w:ascii="Times New Roman" w:hAnsi="Times New Roman" w:cs="Times New Roman"/>
          <w:b/>
          <w:noProof/>
          <w:sz w:val="24"/>
          <w:szCs w:val="24"/>
        </w:rPr>
        <w:t>11</w:t>
      </w:r>
      <w:r w:rsidRPr="002661A8">
        <w:rPr>
          <w:rFonts w:ascii="Times New Roman" w:hAnsi="Times New Roman" w:cs="Times New Roman"/>
          <w:b/>
          <w:noProof/>
          <w:sz w:val="24"/>
          <w:szCs w:val="24"/>
        </w:rPr>
        <w:t>. Market share CDS under the clearing obligation</w:t>
      </w:r>
    </w:p>
    <w:p w14:paraId="785D2F63" w14:textId="69C49C95" w:rsidR="007A5361" w:rsidRPr="00000AE9" w:rsidRDefault="007A5361" w:rsidP="007A5361">
      <w:pPr>
        <w:pStyle w:val="ListParagraph"/>
        <w:spacing w:after="120" w:line="240" w:lineRule="auto"/>
        <w:ind w:left="480"/>
        <w:jc w:val="both"/>
        <w:rPr>
          <w:rFonts w:ascii="Times New Roman" w:hAnsi="Times New Roman" w:cs="Times New Roman"/>
          <w:noProof/>
          <w:sz w:val="24"/>
          <w:szCs w:val="24"/>
        </w:rPr>
      </w:pPr>
      <w:r w:rsidRPr="002661A8">
        <w:rPr>
          <w:noProof/>
          <w:sz w:val="24"/>
          <w:szCs w:val="24"/>
          <w:lang w:eastAsia="en-GB"/>
        </w:rPr>
        <w:drawing>
          <wp:anchor distT="0" distB="0" distL="114300" distR="114300" simplePos="0" relativeHeight="251658241" behindDoc="0" locked="0" layoutInCell="1" allowOverlap="1" wp14:anchorId="6EDB1A93" wp14:editId="66976B84">
            <wp:simplePos x="0" y="0"/>
            <wp:positionH relativeFrom="column">
              <wp:posOffset>668202</wp:posOffset>
            </wp:positionH>
            <wp:positionV relativeFrom="paragraph">
              <wp:posOffset>92801</wp:posOffset>
            </wp:positionV>
            <wp:extent cx="3695700" cy="1981200"/>
            <wp:effectExtent l="19050" t="19050" r="19050" b="190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95700" cy="198120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9EFCF2B" w14:textId="36B7F3BF" w:rsidR="007A5361" w:rsidRPr="00000AE9" w:rsidRDefault="007A5361" w:rsidP="007A5361">
      <w:pPr>
        <w:pStyle w:val="ListParagraph"/>
        <w:spacing w:after="120" w:line="240" w:lineRule="auto"/>
        <w:ind w:left="480"/>
        <w:jc w:val="both"/>
        <w:rPr>
          <w:rFonts w:ascii="Times New Roman" w:hAnsi="Times New Roman" w:cs="Times New Roman"/>
          <w:noProof/>
          <w:sz w:val="24"/>
          <w:szCs w:val="24"/>
        </w:rPr>
      </w:pPr>
    </w:p>
    <w:p w14:paraId="6FEB752B" w14:textId="4A0EA447" w:rsidR="007A5361" w:rsidRPr="00000AE9" w:rsidRDefault="007A5361" w:rsidP="007A5361">
      <w:pPr>
        <w:pStyle w:val="ListParagraph"/>
        <w:spacing w:after="120" w:line="240" w:lineRule="auto"/>
        <w:ind w:left="480"/>
        <w:jc w:val="both"/>
        <w:rPr>
          <w:rFonts w:ascii="Times New Roman" w:hAnsi="Times New Roman" w:cs="Times New Roman"/>
          <w:noProof/>
          <w:sz w:val="24"/>
          <w:szCs w:val="24"/>
        </w:rPr>
      </w:pPr>
    </w:p>
    <w:p w14:paraId="36FAD694" w14:textId="2EC112FB" w:rsidR="007A5361" w:rsidRPr="007A5361" w:rsidRDefault="007A5361" w:rsidP="007A5361">
      <w:pPr>
        <w:pStyle w:val="ListParagraph"/>
        <w:spacing w:after="120" w:line="240" w:lineRule="auto"/>
        <w:ind w:left="480"/>
        <w:jc w:val="both"/>
        <w:rPr>
          <w:rFonts w:ascii="Times New Roman" w:hAnsi="Times New Roman" w:cs="Times New Roman"/>
          <w:noProof/>
          <w:sz w:val="24"/>
          <w:szCs w:val="24"/>
        </w:rPr>
      </w:pPr>
    </w:p>
    <w:p w14:paraId="5006AB3B" w14:textId="40020332" w:rsidR="007A5361" w:rsidRPr="007A5361" w:rsidRDefault="007A5361" w:rsidP="007A5361">
      <w:pPr>
        <w:pStyle w:val="ListParagraph"/>
        <w:spacing w:after="120" w:line="240" w:lineRule="auto"/>
        <w:ind w:left="480"/>
        <w:jc w:val="both"/>
        <w:rPr>
          <w:rFonts w:ascii="Times New Roman" w:hAnsi="Times New Roman" w:cs="Times New Roman"/>
          <w:noProof/>
          <w:sz w:val="24"/>
          <w:szCs w:val="24"/>
        </w:rPr>
      </w:pPr>
    </w:p>
    <w:p w14:paraId="2AE3CA81" w14:textId="2841711A" w:rsidR="007A5361" w:rsidRPr="007A5361" w:rsidRDefault="007A5361" w:rsidP="007A5361">
      <w:pPr>
        <w:pStyle w:val="ListParagraph"/>
        <w:spacing w:after="120" w:line="240" w:lineRule="auto"/>
        <w:ind w:left="480"/>
        <w:jc w:val="both"/>
        <w:rPr>
          <w:rFonts w:ascii="Times New Roman" w:hAnsi="Times New Roman" w:cs="Times New Roman"/>
          <w:noProof/>
          <w:sz w:val="24"/>
          <w:szCs w:val="24"/>
        </w:rPr>
      </w:pPr>
    </w:p>
    <w:p w14:paraId="7FDC890E" w14:textId="719CC769" w:rsidR="007A5361" w:rsidRPr="007A5361" w:rsidRDefault="007A5361" w:rsidP="007A5361">
      <w:pPr>
        <w:pStyle w:val="ListParagraph"/>
        <w:spacing w:after="120" w:line="240" w:lineRule="auto"/>
        <w:ind w:left="480"/>
        <w:jc w:val="both"/>
        <w:rPr>
          <w:rFonts w:ascii="Times New Roman" w:hAnsi="Times New Roman" w:cs="Times New Roman"/>
          <w:noProof/>
          <w:sz w:val="24"/>
          <w:szCs w:val="24"/>
        </w:rPr>
      </w:pPr>
    </w:p>
    <w:p w14:paraId="46A85CA1" w14:textId="237BB1A1" w:rsidR="00D20FD1" w:rsidRPr="007A5361" w:rsidRDefault="00D20FD1" w:rsidP="00DC0339">
      <w:pPr>
        <w:spacing w:after="120" w:line="240" w:lineRule="auto"/>
        <w:jc w:val="both"/>
        <w:rPr>
          <w:i/>
          <w:noProof/>
          <w:sz w:val="24"/>
          <w:szCs w:val="24"/>
        </w:rPr>
      </w:pPr>
    </w:p>
    <w:sectPr w:rsidR="00D20FD1" w:rsidRPr="007A5361" w:rsidSect="00A93139">
      <w:headerReference w:type="even" r:id="rId58"/>
      <w:headerReference w:type="default" r:id="rId59"/>
      <w:footerReference w:type="even" r:id="rId60"/>
      <w:footerReference w:type="default" r:id="rId61"/>
      <w:headerReference w:type="first" r:id="rId62"/>
      <w:footerReference w:type="first" r:id="rId63"/>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9B9C87" w14:textId="77777777" w:rsidR="00134BBD" w:rsidRDefault="00134BBD" w:rsidP="006B087E">
      <w:pPr>
        <w:spacing w:after="0" w:line="240" w:lineRule="auto"/>
      </w:pPr>
      <w:r>
        <w:separator/>
      </w:r>
    </w:p>
  </w:endnote>
  <w:endnote w:type="continuationSeparator" w:id="0">
    <w:p w14:paraId="010AB039" w14:textId="77777777" w:rsidR="00134BBD" w:rsidRDefault="00134BBD" w:rsidP="006B087E">
      <w:pPr>
        <w:spacing w:after="0" w:line="240" w:lineRule="auto"/>
      </w:pPr>
      <w:r>
        <w:continuationSeparator/>
      </w:r>
    </w:p>
  </w:endnote>
  <w:endnote w:type="continuationNotice" w:id="1">
    <w:p w14:paraId="202AFD8A" w14:textId="77777777" w:rsidR="00134BBD" w:rsidRDefault="00134B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ndnya">
    <w:panose1 w:val="00000400000000000000"/>
    <w:charset w:val="01"/>
    <w:family w:val="roman"/>
    <w:notTrueType/>
    <w:pitch w:val="variable"/>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1097F" w14:textId="77777777" w:rsidR="00F705E6" w:rsidRPr="00F705E6" w:rsidRDefault="00F705E6" w:rsidP="00F705E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22FB3" w14:textId="77777777" w:rsidR="00134BBD" w:rsidRDefault="00134BB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7161653"/>
      <w:docPartObj>
        <w:docPartGallery w:val="Page Numbers (Bottom of Page)"/>
        <w:docPartUnique/>
      </w:docPartObj>
    </w:sdtPr>
    <w:sdtEndPr>
      <w:rPr>
        <w:noProof/>
      </w:rPr>
    </w:sdtEndPr>
    <w:sdtContent>
      <w:p w14:paraId="10BAA4C6" w14:textId="5EFEBE32" w:rsidR="00134BBD" w:rsidRDefault="00134BBD" w:rsidP="00A07D03">
        <w:pPr>
          <w:pStyle w:val="Footer"/>
          <w:jc w:val="right"/>
        </w:pPr>
        <w:r>
          <w:fldChar w:fldCharType="begin"/>
        </w:r>
        <w:r>
          <w:instrText xml:space="preserve"> PAGE   \* MERGEFORMAT </w:instrText>
        </w:r>
        <w:r>
          <w:fldChar w:fldCharType="separate"/>
        </w:r>
        <w:r w:rsidR="009D6A61">
          <w:rPr>
            <w:noProof/>
          </w:rPr>
          <w:t>105</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331819"/>
      <w:docPartObj>
        <w:docPartGallery w:val="Page Numbers (Bottom of Page)"/>
        <w:docPartUnique/>
      </w:docPartObj>
    </w:sdtPr>
    <w:sdtEndPr>
      <w:rPr>
        <w:noProof/>
      </w:rPr>
    </w:sdtEndPr>
    <w:sdtContent>
      <w:p w14:paraId="1CA7871B" w14:textId="46DF570A" w:rsidR="00134BBD" w:rsidRDefault="00134BBD">
        <w:pPr>
          <w:pStyle w:val="Footer"/>
          <w:jc w:val="right"/>
        </w:pPr>
        <w:r>
          <w:fldChar w:fldCharType="begin"/>
        </w:r>
        <w:r>
          <w:instrText xml:space="preserve"> PAGE   \* MERGEFORMAT </w:instrText>
        </w:r>
        <w:r>
          <w:fldChar w:fldCharType="separate"/>
        </w:r>
        <w:r w:rsidR="009D6A61">
          <w:rPr>
            <w:noProof/>
          </w:rPr>
          <w:t>102</w:t>
        </w:r>
        <w:r>
          <w:rPr>
            <w:noProof/>
          </w:rPr>
          <w:fldChar w:fldCharType="end"/>
        </w:r>
      </w:p>
    </w:sdtContent>
  </w:sdt>
  <w:p w14:paraId="61F6D48C" w14:textId="77777777" w:rsidR="00134BBD" w:rsidRDefault="00134BB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9EB23" w14:textId="77777777" w:rsidR="00134BBD" w:rsidRDefault="00134BB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1669339"/>
      <w:docPartObj>
        <w:docPartGallery w:val="Page Numbers (Bottom of Page)"/>
        <w:docPartUnique/>
      </w:docPartObj>
    </w:sdtPr>
    <w:sdtEndPr>
      <w:rPr>
        <w:noProof/>
      </w:rPr>
    </w:sdtEndPr>
    <w:sdtContent>
      <w:p w14:paraId="1A92A32B" w14:textId="1E8FE291" w:rsidR="00134BBD" w:rsidRDefault="00134BBD" w:rsidP="00A07D03">
        <w:pPr>
          <w:pStyle w:val="Footer"/>
          <w:jc w:val="right"/>
        </w:pPr>
        <w:r>
          <w:fldChar w:fldCharType="begin"/>
        </w:r>
        <w:r>
          <w:instrText xml:space="preserve"> PAGE   \* MERGEFORMAT </w:instrText>
        </w:r>
        <w:r>
          <w:fldChar w:fldCharType="separate"/>
        </w:r>
        <w:r w:rsidR="009D6A61">
          <w:rPr>
            <w:noProof/>
          </w:rPr>
          <w:t>107</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380067"/>
      <w:docPartObj>
        <w:docPartGallery w:val="Page Numbers (Bottom of Page)"/>
        <w:docPartUnique/>
      </w:docPartObj>
    </w:sdtPr>
    <w:sdtEndPr>
      <w:rPr>
        <w:noProof/>
      </w:rPr>
    </w:sdtEndPr>
    <w:sdtContent>
      <w:p w14:paraId="375CDE8E" w14:textId="24D24970" w:rsidR="00134BBD" w:rsidRDefault="00134BBD">
        <w:pPr>
          <w:pStyle w:val="Footer"/>
          <w:jc w:val="right"/>
        </w:pPr>
        <w:r>
          <w:fldChar w:fldCharType="begin"/>
        </w:r>
        <w:r>
          <w:instrText xml:space="preserve"> PAGE   \* MERGEFORMAT </w:instrText>
        </w:r>
        <w:r>
          <w:fldChar w:fldCharType="separate"/>
        </w:r>
        <w:r w:rsidR="009D6A61">
          <w:rPr>
            <w:noProof/>
          </w:rPr>
          <w:t>106</w:t>
        </w:r>
        <w:r>
          <w:rPr>
            <w:noProof/>
          </w:rPr>
          <w:fldChar w:fldCharType="end"/>
        </w:r>
      </w:p>
    </w:sdtContent>
  </w:sdt>
  <w:p w14:paraId="00D2B226" w14:textId="77777777" w:rsidR="00134BBD" w:rsidRDefault="00134BB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6B4FA" w14:textId="77777777" w:rsidR="00134BBD" w:rsidRDefault="00134BB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9927666"/>
      <w:docPartObj>
        <w:docPartGallery w:val="Page Numbers (Bottom of Page)"/>
        <w:docPartUnique/>
      </w:docPartObj>
    </w:sdtPr>
    <w:sdtEndPr>
      <w:rPr>
        <w:noProof/>
      </w:rPr>
    </w:sdtEndPr>
    <w:sdtContent>
      <w:p w14:paraId="7373E36C" w14:textId="3394E3C5" w:rsidR="00134BBD" w:rsidRDefault="00134BBD" w:rsidP="00A07D03">
        <w:pPr>
          <w:pStyle w:val="Footer"/>
          <w:jc w:val="right"/>
        </w:pPr>
        <w:r>
          <w:fldChar w:fldCharType="begin"/>
        </w:r>
        <w:r>
          <w:instrText xml:space="preserve"> PAGE   \* MERGEFORMAT </w:instrText>
        </w:r>
        <w:r>
          <w:fldChar w:fldCharType="separate"/>
        </w:r>
        <w:r w:rsidR="009D6A61">
          <w:rPr>
            <w:noProof/>
          </w:rPr>
          <w:t>119</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068593"/>
      <w:docPartObj>
        <w:docPartGallery w:val="Page Numbers (Bottom of Page)"/>
        <w:docPartUnique/>
      </w:docPartObj>
    </w:sdtPr>
    <w:sdtEndPr>
      <w:rPr>
        <w:noProof/>
      </w:rPr>
    </w:sdtEndPr>
    <w:sdtContent>
      <w:p w14:paraId="5CED3CBB" w14:textId="6DF68A9C" w:rsidR="00134BBD" w:rsidRDefault="00134BBD">
        <w:pPr>
          <w:pStyle w:val="Footer"/>
          <w:jc w:val="right"/>
        </w:pPr>
        <w:r>
          <w:fldChar w:fldCharType="begin"/>
        </w:r>
        <w:r>
          <w:instrText xml:space="preserve"> PAGE   \* MERGEFORMAT </w:instrText>
        </w:r>
        <w:r>
          <w:fldChar w:fldCharType="separate"/>
        </w:r>
        <w:r w:rsidR="009D6A61">
          <w:rPr>
            <w:noProof/>
          </w:rPr>
          <w:t>108</w:t>
        </w:r>
        <w:r>
          <w:rPr>
            <w:noProof/>
          </w:rPr>
          <w:fldChar w:fldCharType="end"/>
        </w:r>
      </w:p>
    </w:sdtContent>
  </w:sdt>
  <w:p w14:paraId="143FA87B" w14:textId="77777777" w:rsidR="00134BBD" w:rsidRDefault="00134B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1912E" w14:textId="21E5B032" w:rsidR="009D4DF3" w:rsidRPr="00F705E6" w:rsidRDefault="00F705E6" w:rsidP="00F705E6">
    <w:pPr>
      <w:pStyle w:val="FooterCoverPage"/>
      <w:rPr>
        <w:rFonts w:ascii="Arial" w:hAnsi="Arial" w:cs="Arial"/>
        <w:b/>
        <w:sz w:val="48"/>
      </w:rPr>
    </w:pPr>
    <w:r w:rsidRPr="00F705E6">
      <w:rPr>
        <w:rFonts w:ascii="Arial" w:hAnsi="Arial" w:cs="Arial"/>
        <w:b/>
        <w:sz w:val="48"/>
      </w:rPr>
      <w:t>EN</w:t>
    </w:r>
    <w:r w:rsidRPr="00F705E6">
      <w:rPr>
        <w:rFonts w:ascii="Arial" w:hAnsi="Arial" w:cs="Arial"/>
        <w:b/>
        <w:sz w:val="48"/>
      </w:rPr>
      <w:tab/>
    </w:r>
    <w:r w:rsidRPr="00F705E6">
      <w:rPr>
        <w:rFonts w:ascii="Arial" w:hAnsi="Arial" w:cs="Arial"/>
        <w:b/>
        <w:sz w:val="48"/>
      </w:rPr>
      <w:tab/>
    </w:r>
    <w:r w:rsidRPr="00F705E6">
      <w:tab/>
    </w:r>
    <w:r w:rsidRPr="00F705E6">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2D82D" w14:textId="77777777" w:rsidR="00F705E6" w:rsidRPr="00F705E6" w:rsidRDefault="00F705E6" w:rsidP="00F705E6">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A0AE1" w14:textId="77777777" w:rsidR="00134BBD" w:rsidRDefault="00134BB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83D0E" w14:textId="6808F703" w:rsidR="00134BBD" w:rsidRDefault="00134BBD">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6510F" w14:textId="77777777" w:rsidR="00134BBD" w:rsidRDefault="00134BB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CD1E1" w14:textId="77777777" w:rsidR="00134BBD" w:rsidRDefault="00134BB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498075"/>
      <w:docPartObj>
        <w:docPartGallery w:val="Page Numbers (Bottom of Page)"/>
        <w:docPartUnique/>
      </w:docPartObj>
    </w:sdtPr>
    <w:sdtEndPr>
      <w:rPr>
        <w:noProof/>
      </w:rPr>
    </w:sdtEndPr>
    <w:sdtContent>
      <w:p w14:paraId="6C8F3FBF" w14:textId="03014484" w:rsidR="00134BBD" w:rsidRDefault="00134BBD" w:rsidP="00A07D03">
        <w:pPr>
          <w:pStyle w:val="Footer"/>
          <w:jc w:val="right"/>
        </w:pPr>
        <w:r>
          <w:fldChar w:fldCharType="begin"/>
        </w:r>
        <w:r>
          <w:instrText xml:space="preserve"> PAGE   \* MERGEFORMAT </w:instrText>
        </w:r>
        <w:r>
          <w:fldChar w:fldCharType="separate"/>
        </w:r>
        <w:r w:rsidR="00F705E6">
          <w:rPr>
            <w:noProof/>
          </w:rPr>
          <w:t>6</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6269561"/>
      <w:docPartObj>
        <w:docPartGallery w:val="Page Numbers (Bottom of Page)"/>
        <w:docPartUnique/>
      </w:docPartObj>
    </w:sdtPr>
    <w:sdtEndPr>
      <w:rPr>
        <w:noProof/>
      </w:rPr>
    </w:sdtEndPr>
    <w:sdtContent>
      <w:p w14:paraId="35897F3F" w14:textId="2E2DF355" w:rsidR="00134BBD" w:rsidRDefault="00134BBD">
        <w:pPr>
          <w:pStyle w:val="Footer"/>
          <w:jc w:val="right"/>
        </w:pPr>
        <w:r>
          <w:fldChar w:fldCharType="begin"/>
        </w:r>
        <w:r>
          <w:instrText xml:space="preserve"> PAGE   \* MERGEFORMAT </w:instrText>
        </w:r>
        <w:r>
          <w:fldChar w:fldCharType="separate"/>
        </w:r>
        <w:r>
          <w:rPr>
            <w:noProof/>
          </w:rPr>
          <w:t>108</w:t>
        </w:r>
        <w:r>
          <w:rPr>
            <w:noProof/>
          </w:rPr>
          <w:fldChar w:fldCharType="end"/>
        </w:r>
      </w:p>
    </w:sdtContent>
  </w:sdt>
  <w:p w14:paraId="47C06E44" w14:textId="77777777" w:rsidR="00134BBD" w:rsidRDefault="00134B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C2FA7" w14:textId="77777777" w:rsidR="00134BBD" w:rsidRDefault="00134BBD" w:rsidP="006B087E">
      <w:pPr>
        <w:spacing w:after="0" w:line="240" w:lineRule="auto"/>
      </w:pPr>
      <w:r>
        <w:separator/>
      </w:r>
    </w:p>
  </w:footnote>
  <w:footnote w:type="continuationSeparator" w:id="0">
    <w:p w14:paraId="6698DC6F" w14:textId="77777777" w:rsidR="00134BBD" w:rsidRDefault="00134BBD" w:rsidP="006B087E">
      <w:pPr>
        <w:spacing w:after="0" w:line="240" w:lineRule="auto"/>
      </w:pPr>
      <w:r>
        <w:continuationSeparator/>
      </w:r>
    </w:p>
  </w:footnote>
  <w:footnote w:type="continuationNotice" w:id="1">
    <w:p w14:paraId="6214DFC1" w14:textId="77777777" w:rsidR="00134BBD" w:rsidRDefault="00134BBD">
      <w:pPr>
        <w:spacing w:after="0" w:line="240" w:lineRule="auto"/>
      </w:pPr>
    </w:p>
  </w:footnote>
  <w:footnote w:id="2">
    <w:p w14:paraId="1FF06D01" w14:textId="1BA8B64C" w:rsidR="00134BBD" w:rsidRPr="002661A8" w:rsidRDefault="00134BBD" w:rsidP="002676D8">
      <w:pPr>
        <w:pStyle w:val="FootnoteText"/>
        <w:spacing w:after="0"/>
        <w:ind w:left="0" w:hanging="284"/>
        <w:rPr>
          <w:lang w:val="pl-PL"/>
        </w:rPr>
      </w:pPr>
      <w:r w:rsidRPr="002661A8">
        <w:rPr>
          <w:rStyle w:val="FootnoteReference"/>
        </w:rPr>
        <w:footnoteRef/>
      </w:r>
      <w:r w:rsidRPr="002661A8">
        <w:rPr>
          <w:lang w:val="pl-PL"/>
        </w:rPr>
        <w:tab/>
      </w:r>
      <w:r w:rsidRPr="002661A8">
        <w:rPr>
          <w:rStyle w:val="FootnoteReference"/>
          <w:vertAlign w:val="baseline"/>
          <w:lang w:val="pl-PL"/>
        </w:rPr>
        <w:t>Regulation (EU) No 648/2012 of the European Parliament and of the Council of 4</w:t>
      </w:r>
      <w:r w:rsidRPr="00D655F9">
        <w:rPr>
          <w:lang w:val="es-ES"/>
        </w:rPr>
        <w:t> </w:t>
      </w:r>
      <w:r w:rsidRPr="002661A8">
        <w:rPr>
          <w:rStyle w:val="FootnoteReference"/>
          <w:vertAlign w:val="baseline"/>
          <w:lang w:val="pl-PL"/>
        </w:rPr>
        <w:t>July</w:t>
      </w:r>
      <w:r w:rsidRPr="00D655F9">
        <w:rPr>
          <w:lang w:val="es-ES"/>
        </w:rPr>
        <w:t> </w:t>
      </w:r>
      <w:r w:rsidRPr="002661A8">
        <w:rPr>
          <w:rStyle w:val="FootnoteReference"/>
          <w:vertAlign w:val="baseline"/>
          <w:lang w:val="pl-PL"/>
        </w:rPr>
        <w:t>2012 on OTC derivatives, central counterparties and trade repositories</w:t>
      </w:r>
      <w:r w:rsidRPr="002661A8">
        <w:rPr>
          <w:lang w:val="pl-PL"/>
        </w:rPr>
        <w:t>, OJ L 201, 27.7.2012, p.</w:t>
      </w:r>
      <w:r w:rsidRPr="00D655F9">
        <w:rPr>
          <w:lang w:val="es-ES"/>
        </w:rPr>
        <w:t> </w:t>
      </w:r>
      <w:r w:rsidRPr="002661A8">
        <w:rPr>
          <w:lang w:val="pl-PL"/>
        </w:rPr>
        <w:t>1.</w:t>
      </w:r>
    </w:p>
  </w:footnote>
  <w:footnote w:id="3">
    <w:p w14:paraId="6592741C" w14:textId="3716580A" w:rsidR="00134BBD" w:rsidRPr="002661A8" w:rsidRDefault="00134BBD" w:rsidP="002676D8">
      <w:pPr>
        <w:pStyle w:val="FootnoteText"/>
        <w:spacing w:after="0"/>
        <w:ind w:left="0" w:hanging="284"/>
        <w:rPr>
          <w:rStyle w:val="FootnoteReference"/>
          <w:vertAlign w:val="baseline"/>
        </w:rPr>
      </w:pPr>
      <w:r w:rsidRPr="002661A8">
        <w:rPr>
          <w:rStyle w:val="FootnoteReference"/>
        </w:rPr>
        <w:footnoteRef/>
      </w:r>
      <w:r w:rsidRPr="002661A8">
        <w:rPr>
          <w:rStyle w:val="FootnoteReference"/>
        </w:rPr>
        <w:tab/>
      </w:r>
      <w:r w:rsidRPr="002661A8">
        <w:rPr>
          <w:rStyle w:val="FootnoteReference"/>
          <w:vertAlign w:val="baseline"/>
        </w:rPr>
        <w:t xml:space="preserve">See </w:t>
      </w:r>
      <w:hyperlink w:anchor="_Annex_7:_Background" w:history="1">
        <w:r w:rsidRPr="00D37C1B">
          <w:rPr>
            <w:rStyle w:val="Hyperlink"/>
          </w:rPr>
          <w:t>Annex 7</w:t>
        </w:r>
      </w:hyperlink>
      <w:r w:rsidRPr="002661A8">
        <w:rPr>
          <w:rStyle w:val="FootnoteReference"/>
          <w:vertAlign w:val="baseline"/>
        </w:rPr>
        <w:t xml:space="preserve"> for a detailed background on </w:t>
      </w:r>
      <w:r w:rsidRPr="002661A8">
        <w:t xml:space="preserve">derivatives and </w:t>
      </w:r>
      <w:r w:rsidRPr="002661A8">
        <w:rPr>
          <w:rStyle w:val="FootnoteReference"/>
          <w:vertAlign w:val="baseline"/>
        </w:rPr>
        <w:t>how CCPs operate within financial markets.</w:t>
      </w:r>
    </w:p>
  </w:footnote>
  <w:footnote w:id="4">
    <w:p w14:paraId="4686CA65" w14:textId="4E28C1BB" w:rsidR="00134BBD" w:rsidRPr="00EC1DE4" w:rsidRDefault="00134BBD" w:rsidP="00DD025D">
      <w:pPr>
        <w:pStyle w:val="FootnoteText"/>
        <w:spacing w:after="0"/>
        <w:ind w:left="0" w:hanging="284"/>
      </w:pPr>
      <w:r>
        <w:rPr>
          <w:rStyle w:val="FootnoteReference"/>
        </w:rPr>
        <w:footnoteRef/>
      </w:r>
      <w:r>
        <w:tab/>
      </w:r>
      <w:r w:rsidRPr="002661A8">
        <w:t>Directive 2009/65/EC of the European Parliament and of the Council of 13</w:t>
      </w:r>
      <w:r w:rsidRPr="000466CC">
        <w:rPr>
          <w:lang w:val="en-IE"/>
        </w:rPr>
        <w:t> </w:t>
      </w:r>
      <w:r w:rsidRPr="002661A8">
        <w:t>July</w:t>
      </w:r>
      <w:r w:rsidRPr="000466CC">
        <w:rPr>
          <w:lang w:val="en-IE"/>
        </w:rPr>
        <w:t> </w:t>
      </w:r>
      <w:r w:rsidRPr="002661A8">
        <w:t>2009 on the coordination of laws, regulations and administrative provisions relating to undertakings for collective investment in transferable securities (UCITS), OJ L 302, 17.11.2009, p.</w:t>
      </w:r>
      <w:r w:rsidRPr="000466CC">
        <w:rPr>
          <w:lang w:val="en-IE"/>
        </w:rPr>
        <w:t> </w:t>
      </w:r>
      <w:r w:rsidRPr="002661A8">
        <w:t>32</w:t>
      </w:r>
      <w:r w:rsidRPr="000466CC">
        <w:rPr>
          <w:lang w:val="en-IE"/>
        </w:rPr>
        <w:t> </w:t>
      </w:r>
      <w:r w:rsidRPr="002661A8">
        <w:t>–</w:t>
      </w:r>
      <w:r w:rsidRPr="000466CC">
        <w:rPr>
          <w:lang w:val="en-IE"/>
        </w:rPr>
        <w:t> </w:t>
      </w:r>
      <w:r w:rsidRPr="002661A8">
        <w:t>96.</w:t>
      </w:r>
    </w:p>
  </w:footnote>
  <w:footnote w:id="5">
    <w:p w14:paraId="7228656D" w14:textId="5AC5F08F" w:rsidR="00134BBD" w:rsidRPr="00846509" w:rsidRDefault="00134BBD" w:rsidP="009209DD">
      <w:pPr>
        <w:pStyle w:val="FootnoteText"/>
        <w:spacing w:after="0"/>
        <w:ind w:left="0" w:hanging="284"/>
        <w:rPr>
          <w:lang w:val="en-IE"/>
        </w:rPr>
      </w:pPr>
      <w:r>
        <w:rPr>
          <w:rStyle w:val="FootnoteReference"/>
        </w:rPr>
        <w:footnoteRef/>
      </w:r>
      <w:r>
        <w:t xml:space="preserve"> </w:t>
      </w:r>
      <w:r>
        <w:tab/>
        <w:t>Commission Delegated Regulation (EU) 2015/35 of 10</w:t>
      </w:r>
      <w:r w:rsidRPr="000466CC">
        <w:rPr>
          <w:lang w:val="en-IE"/>
        </w:rPr>
        <w:t> </w:t>
      </w:r>
      <w:r>
        <w:t>October</w:t>
      </w:r>
      <w:r w:rsidRPr="000466CC">
        <w:rPr>
          <w:lang w:val="en-IE"/>
        </w:rPr>
        <w:t> </w:t>
      </w:r>
      <w:r>
        <w:t xml:space="preserve">2014 supplementing Directive 2009/138/EC of the European Parliament and of the Council on the taking-up and pursuit of the business of Insurance and Reinsurance (Solvency II), </w:t>
      </w:r>
      <w:r w:rsidRPr="002661A8">
        <w:t xml:space="preserve">OJ L </w:t>
      </w:r>
      <w:r>
        <w:t>12</w:t>
      </w:r>
      <w:r w:rsidRPr="002661A8">
        <w:t>, 17.</w:t>
      </w:r>
      <w:r>
        <w:t>1</w:t>
      </w:r>
      <w:r w:rsidRPr="002661A8">
        <w:t>.20</w:t>
      </w:r>
      <w:r>
        <w:t>15.</w:t>
      </w:r>
    </w:p>
  </w:footnote>
  <w:footnote w:id="6">
    <w:p w14:paraId="3E7D5194" w14:textId="75397AE4" w:rsidR="00134BBD" w:rsidRPr="002661A8" w:rsidRDefault="00134BBD" w:rsidP="00FC5A7E">
      <w:pPr>
        <w:pStyle w:val="FootnoteText"/>
        <w:spacing w:after="0"/>
        <w:ind w:left="0" w:hanging="284"/>
        <w:rPr>
          <w:lang w:val="en-IE"/>
        </w:rPr>
      </w:pPr>
      <w:r w:rsidRPr="002661A8">
        <w:rPr>
          <w:rStyle w:val="FootnoteReference"/>
        </w:rPr>
        <w:footnoteRef/>
      </w:r>
      <w:r w:rsidRPr="002661A8">
        <w:t xml:space="preserve"> </w:t>
      </w:r>
      <w:r w:rsidRPr="002661A8">
        <w:tab/>
        <w:t>The Regulation builds on the standards developed by the Financial Stability Board in the</w:t>
      </w:r>
      <w:r w:rsidRPr="002661A8">
        <w:rPr>
          <w:lang w:val="en-IE"/>
        </w:rPr>
        <w:t xml:space="preserve"> aftermath of the financial crisis. See “Key Attributes of Effective Resolution Regimes for Financial Institutions”, Financial Stability Board (November 2011) </w:t>
      </w:r>
      <w:hyperlink r:id="rId1" w:history="1">
        <w:r w:rsidRPr="002661A8">
          <w:rPr>
            <w:rStyle w:val="Hyperlink"/>
            <w:lang w:val="en-IE"/>
          </w:rPr>
          <w:t>http://www.financialstabilityboard.org/publications/r_111104cc.pdf</w:t>
        </w:r>
      </w:hyperlink>
      <w:r w:rsidRPr="002661A8">
        <w:rPr>
          <w:lang w:val="en-IE"/>
        </w:rPr>
        <w:t xml:space="preserve">. Updated in October 2014 with sector-specific annexes </w:t>
      </w:r>
      <w:hyperlink r:id="rId2" w:history="1">
        <w:r w:rsidRPr="002661A8">
          <w:rPr>
            <w:rStyle w:val="Hyperlink"/>
            <w:lang w:val="en-IE"/>
          </w:rPr>
          <w:t>http://www.financialstabilityboard.org/wp-content/uploads/r_141015.pd</w:t>
        </w:r>
      </w:hyperlink>
      <w:r w:rsidRPr="002661A8">
        <w:rPr>
          <w:lang w:val="en-IE"/>
        </w:rPr>
        <w:t xml:space="preserve"> . </w:t>
      </w:r>
    </w:p>
  </w:footnote>
  <w:footnote w:id="7">
    <w:p w14:paraId="68AF7AD2" w14:textId="41B6F1FC" w:rsidR="00134BBD" w:rsidRPr="00BA2048" w:rsidRDefault="00134BBD" w:rsidP="002676D8">
      <w:pPr>
        <w:pStyle w:val="FootnoteText"/>
        <w:spacing w:after="0"/>
        <w:ind w:left="0" w:hanging="284"/>
        <w:rPr>
          <w:rStyle w:val="FootnoteReference"/>
          <w:rFonts w:asciiTheme="minorHAnsi" w:eastAsiaTheme="minorHAnsi" w:hAnsiTheme="minorHAnsi" w:cstheme="minorBidi"/>
          <w:sz w:val="22"/>
          <w:szCs w:val="22"/>
          <w:vertAlign w:val="baseline"/>
        </w:rPr>
      </w:pPr>
      <w:r w:rsidRPr="002661A8">
        <w:rPr>
          <w:rStyle w:val="FootnoteReference"/>
        </w:rPr>
        <w:footnoteRef/>
      </w:r>
      <w:r w:rsidRPr="00BA2048">
        <w:t xml:space="preserve"> </w:t>
      </w:r>
      <w:r w:rsidRPr="00BA2048">
        <w:tab/>
      </w:r>
      <w:r w:rsidRPr="00BA2048">
        <w:rPr>
          <w:rStyle w:val="FootnoteReference"/>
          <w:vertAlign w:val="baseline"/>
        </w:rPr>
        <w:t xml:space="preserve">Regulation (EU) 2021/23 of the European Parliament and of the Council of 16 December 2020 on a framework for the recovery and resolution of central counterparties </w:t>
      </w:r>
      <w:r w:rsidRPr="00BA2048">
        <w:t>and amending Regulations (EU) No 1095/2010, (EU) No 648/2012, (EU) No 600/2014, (EU) No 806/2014 and (EU) 2015/2365 and Directives 2002/47/EC, 2004/25/EC, 2007/36/EC, 2014/59/EU and (EU) 2017/1132</w:t>
      </w:r>
      <w:r w:rsidRPr="00BA2048">
        <w:rPr>
          <w:rStyle w:val="FootnoteReference"/>
          <w:vertAlign w:val="baseline"/>
        </w:rPr>
        <w:t>, OJ L 22, 22.1.2021, p.</w:t>
      </w:r>
      <w:r w:rsidRPr="000466CC">
        <w:rPr>
          <w:lang w:val="en-IE"/>
        </w:rPr>
        <w:t> </w:t>
      </w:r>
      <w:r w:rsidRPr="00BA2048">
        <w:rPr>
          <w:rStyle w:val="FootnoteReference"/>
          <w:vertAlign w:val="baseline"/>
        </w:rPr>
        <w:t>1–102</w:t>
      </w:r>
      <w:r w:rsidRPr="00BA2048">
        <w:t xml:space="preserve">. </w:t>
      </w:r>
    </w:p>
  </w:footnote>
  <w:footnote w:id="8">
    <w:p w14:paraId="285678D0" w14:textId="617CA559" w:rsidR="00134BBD" w:rsidRPr="00DD4FFD" w:rsidRDefault="00134BBD" w:rsidP="00DD4FFD">
      <w:pPr>
        <w:pStyle w:val="FootnoteText"/>
        <w:spacing w:after="0"/>
        <w:ind w:left="0" w:hanging="284"/>
        <w:rPr>
          <w:lang w:val="en-IE"/>
        </w:rPr>
      </w:pPr>
      <w:r>
        <w:rPr>
          <w:rStyle w:val="FootnoteReference"/>
        </w:rPr>
        <w:footnoteRef/>
      </w:r>
      <w:r>
        <w:t xml:space="preserve"> </w:t>
      </w:r>
      <w:r>
        <w:tab/>
        <w:t>E</w:t>
      </w:r>
      <w:r w:rsidRPr="002661A8">
        <w:t>quivalence decisions for UK CCPs (Commission Implementing Decision (EU) 2018/2031 of 19</w:t>
      </w:r>
      <w:r w:rsidRPr="000466CC">
        <w:rPr>
          <w:lang w:val="en-IE"/>
        </w:rPr>
        <w:t> </w:t>
      </w:r>
      <w:r w:rsidRPr="002661A8">
        <w:t>December</w:t>
      </w:r>
      <w:r w:rsidRPr="000466CC">
        <w:rPr>
          <w:lang w:val="en-IE"/>
        </w:rPr>
        <w:t> </w:t>
      </w:r>
      <w:r w:rsidRPr="002661A8">
        <w:t>2018, Commission Implementing Decision (EU) 2019/544 of 3</w:t>
      </w:r>
      <w:r w:rsidRPr="000466CC">
        <w:rPr>
          <w:lang w:val="en-IE"/>
        </w:rPr>
        <w:t> </w:t>
      </w:r>
      <w:r w:rsidRPr="002661A8">
        <w:t>April</w:t>
      </w:r>
      <w:r w:rsidRPr="000466CC">
        <w:rPr>
          <w:lang w:val="en-IE"/>
        </w:rPr>
        <w:t> </w:t>
      </w:r>
      <w:r w:rsidRPr="002661A8">
        <w:t>2019, Commission Implementing Decision (EU) 2019/2211 of 19</w:t>
      </w:r>
      <w:r w:rsidRPr="000466CC">
        <w:rPr>
          <w:lang w:val="en-IE"/>
        </w:rPr>
        <w:t> </w:t>
      </w:r>
      <w:r w:rsidRPr="002661A8">
        <w:t>December</w:t>
      </w:r>
      <w:r w:rsidRPr="000466CC">
        <w:rPr>
          <w:lang w:val="en-IE"/>
        </w:rPr>
        <w:t> </w:t>
      </w:r>
      <w:r w:rsidRPr="002661A8">
        <w:t>2019, Commission Implementing Decision (EU) 2020/1308 of 21</w:t>
      </w:r>
      <w:r w:rsidRPr="000466CC">
        <w:rPr>
          <w:lang w:val="en-IE"/>
        </w:rPr>
        <w:t> </w:t>
      </w:r>
      <w:r w:rsidRPr="002661A8">
        <w:t>September</w:t>
      </w:r>
      <w:r w:rsidRPr="000466CC">
        <w:rPr>
          <w:lang w:val="en-IE"/>
        </w:rPr>
        <w:t> </w:t>
      </w:r>
      <w:r w:rsidRPr="002661A8">
        <w:t>2020 and Commission Implementing Decision (EU) 2022/174 of 8</w:t>
      </w:r>
      <w:r w:rsidRPr="000466CC">
        <w:rPr>
          <w:lang w:val="en-IE"/>
        </w:rPr>
        <w:t> </w:t>
      </w:r>
      <w:r w:rsidRPr="002661A8">
        <w:t>February</w:t>
      </w:r>
      <w:r w:rsidRPr="000466CC">
        <w:rPr>
          <w:lang w:val="en-IE"/>
        </w:rPr>
        <w:t> </w:t>
      </w:r>
      <w:r w:rsidRPr="002661A8">
        <w:t>2022).</w:t>
      </w:r>
    </w:p>
  </w:footnote>
  <w:footnote w:id="9">
    <w:p w14:paraId="2F07C53F" w14:textId="26F4BB6B" w:rsidR="00134BBD" w:rsidRPr="002661A8" w:rsidRDefault="00134BBD" w:rsidP="002676D8">
      <w:pPr>
        <w:pStyle w:val="FootnoteText"/>
        <w:spacing w:after="0"/>
        <w:ind w:left="0" w:hanging="284"/>
        <w:rPr>
          <w:rStyle w:val="FootnoteReference"/>
          <w:rFonts w:eastAsiaTheme="minorHAnsi"/>
          <w:vertAlign w:val="baseline"/>
        </w:rPr>
      </w:pPr>
      <w:r w:rsidRPr="002661A8">
        <w:rPr>
          <w:rStyle w:val="FootnoteReference"/>
        </w:rPr>
        <w:footnoteRef/>
      </w:r>
      <w:r w:rsidRPr="002661A8">
        <w:rPr>
          <w:rStyle w:val="FootnoteReference"/>
          <w:vertAlign w:val="baseline"/>
        </w:rPr>
        <w:t xml:space="preserve"> </w:t>
      </w:r>
      <w:r w:rsidRPr="002661A8">
        <w:rPr>
          <w:rStyle w:val="FootnoteReference"/>
          <w:vertAlign w:val="baseline"/>
        </w:rPr>
        <w:tab/>
      </w:r>
      <w:r w:rsidRPr="002661A8">
        <w:t>Commission Communication ‘The European economic and financial system: fostering openness, strength and resilience’, COM/2021/32 final, 19</w:t>
      </w:r>
      <w:r w:rsidRPr="000466CC">
        <w:rPr>
          <w:lang w:val="en-IE"/>
        </w:rPr>
        <w:t> </w:t>
      </w:r>
      <w:r w:rsidRPr="002661A8">
        <w:t>January</w:t>
      </w:r>
      <w:r w:rsidRPr="000466CC">
        <w:rPr>
          <w:lang w:val="en-IE"/>
        </w:rPr>
        <w:t> </w:t>
      </w:r>
      <w:r w:rsidRPr="002661A8" w:rsidDel="00865CB3">
        <w:t>2021</w:t>
      </w:r>
      <w:r w:rsidRPr="002661A8">
        <w:t xml:space="preserve">. </w:t>
      </w:r>
    </w:p>
  </w:footnote>
  <w:footnote w:id="10">
    <w:p w14:paraId="5826DE7F" w14:textId="524BCD8B" w:rsidR="00134BBD" w:rsidRPr="002661A8" w:rsidRDefault="00134BBD" w:rsidP="002676D8">
      <w:pPr>
        <w:pStyle w:val="FootnoteText"/>
        <w:spacing w:after="0"/>
        <w:ind w:left="0" w:hanging="284"/>
      </w:pPr>
      <w:r w:rsidRPr="002661A8">
        <w:rPr>
          <w:rStyle w:val="FootnoteReference"/>
        </w:rPr>
        <w:footnoteRef/>
      </w:r>
      <w:r w:rsidRPr="002661A8">
        <w:rPr>
          <w:rStyle w:val="FootnoteReference"/>
        </w:rPr>
        <w:t xml:space="preserve"> </w:t>
      </w:r>
      <w:r w:rsidRPr="002661A8">
        <w:tab/>
        <w:t>“</w:t>
      </w:r>
      <w:r w:rsidRPr="002661A8">
        <w:rPr>
          <w:rStyle w:val="FootnoteReference"/>
          <w:vertAlign w:val="baseline"/>
        </w:rPr>
        <w:t>Assessment Report under Article 25(2c) of EMIR”, ESMA, 16</w:t>
      </w:r>
      <w:r w:rsidRPr="000466CC">
        <w:t> </w:t>
      </w:r>
      <w:r w:rsidRPr="002661A8">
        <w:rPr>
          <w:rStyle w:val="FootnoteReference"/>
          <w:vertAlign w:val="baseline"/>
        </w:rPr>
        <w:t>December</w:t>
      </w:r>
      <w:r w:rsidRPr="000466CC">
        <w:t> </w:t>
      </w:r>
      <w:r w:rsidRPr="002661A8">
        <w:rPr>
          <w:rStyle w:val="FootnoteReference"/>
          <w:vertAlign w:val="baseline"/>
        </w:rPr>
        <w:t>2021</w:t>
      </w:r>
      <w:r w:rsidRPr="002661A8">
        <w:t xml:space="preserve">. </w:t>
      </w:r>
      <w:hyperlink r:id="rId3" w:history="1">
        <w:r w:rsidRPr="002661A8">
          <w:rPr>
            <w:rStyle w:val="Hyperlink"/>
          </w:rPr>
          <w:t>https://www.esma.europa.eu/press-news/esma-news/esma-publishes-results-its-assessment-systemically-important-uk-central</w:t>
        </w:r>
      </w:hyperlink>
      <w:r w:rsidRPr="002661A8">
        <w:rPr>
          <w:rStyle w:val="Hyperlink"/>
        </w:rPr>
        <w:t xml:space="preserve"> (later referred to as “2021 ESMA report on UK CCPs</w:t>
      </w:r>
      <w:r w:rsidRPr="002661A8">
        <w:t>”).</w:t>
      </w:r>
      <w:r>
        <w:t xml:space="preserve"> National competent authorities responsible for the supervision of financial market participants and CCP supervisors were involved in the adoption of that report through their participation to ESMA’s Board of Supervisors (ESMA’s decision-making body) and the CCP Supervisory Committee (responsible for preparing the draft report to be adopted by the Board of Supervisors) respectively.</w:t>
      </w:r>
      <w:r w:rsidRPr="00976D62">
        <w:t xml:space="preserve"> ESMA consulted the ESRB, discussed the assessment with the </w:t>
      </w:r>
      <w:r>
        <w:t xml:space="preserve">relevant </w:t>
      </w:r>
      <w:r w:rsidRPr="00976D62">
        <w:t xml:space="preserve">central banks of issue, and reached out to a wide range of market participants. </w:t>
      </w:r>
    </w:p>
  </w:footnote>
  <w:footnote w:id="11">
    <w:p w14:paraId="66329B75" w14:textId="5B68CC68" w:rsidR="00134BBD" w:rsidRPr="002661A8" w:rsidRDefault="00134BBD" w:rsidP="001D7030">
      <w:pPr>
        <w:pStyle w:val="FootnoteText"/>
        <w:spacing w:after="0"/>
        <w:ind w:left="0" w:hanging="284"/>
      </w:pPr>
      <w:r w:rsidRPr="002661A8">
        <w:rPr>
          <w:rStyle w:val="FootnoteReference"/>
        </w:rPr>
        <w:footnoteRef/>
      </w:r>
      <w:r w:rsidRPr="002661A8">
        <w:rPr>
          <w:rStyle w:val="FootnoteReference"/>
        </w:rPr>
        <w:t xml:space="preserve"> </w:t>
      </w:r>
      <w:r w:rsidRPr="002661A8">
        <w:tab/>
      </w:r>
      <w:r>
        <w:t>I</w:t>
      </w:r>
      <w:r w:rsidRPr="002661A8">
        <w:t>bid;</w:t>
      </w:r>
      <w:r w:rsidRPr="002661A8" w:rsidDel="00953060">
        <w:rPr>
          <w:rStyle w:val="FootnoteReference"/>
          <w:vertAlign w:val="baseline"/>
        </w:rPr>
        <w:t xml:space="preserve"> ESMA </w:t>
      </w:r>
      <w:r w:rsidRPr="002661A8">
        <w:rPr>
          <w:rStyle w:val="FootnoteReference"/>
          <w:vertAlign w:val="baseline"/>
        </w:rPr>
        <w:t>determined that some clearing services provided by t</w:t>
      </w:r>
      <w:r w:rsidRPr="002661A8">
        <w:t>hose</w:t>
      </w:r>
      <w:r w:rsidRPr="002661A8">
        <w:rPr>
          <w:rStyle w:val="FootnoteReference"/>
          <w:vertAlign w:val="baseline"/>
        </w:rPr>
        <w:t xml:space="preserve"> CCPs are of substantial systemic importance which “</w:t>
      </w:r>
      <w:r w:rsidRPr="002661A8">
        <w:rPr>
          <w:rStyle w:val="FootnoteReference"/>
          <w:i/>
          <w:vertAlign w:val="baseline"/>
        </w:rPr>
        <w:t>entails that the respective CCP services are assessed to have the potential to negatively impact EU financial stability, even though they are in full compliance with EMIR</w:t>
      </w:r>
      <w:r w:rsidRPr="002661A8">
        <w:rPr>
          <w:rStyle w:val="FootnoteReference"/>
          <w:vertAlign w:val="baseline"/>
        </w:rPr>
        <w:t>”</w:t>
      </w:r>
      <w:r w:rsidRPr="002661A8">
        <w:t>.</w:t>
      </w:r>
      <w:r w:rsidRPr="002661A8" w:rsidDel="00953060">
        <w:t xml:space="preserve"> </w:t>
      </w:r>
    </w:p>
  </w:footnote>
  <w:footnote w:id="12">
    <w:p w14:paraId="46C31EDD" w14:textId="0DE88E2D" w:rsidR="00134BBD" w:rsidRPr="007125D4" w:rsidRDefault="00134BBD" w:rsidP="007125D4">
      <w:pPr>
        <w:pStyle w:val="FootnoteText"/>
        <w:spacing w:after="0"/>
        <w:ind w:left="0" w:hanging="284"/>
        <w:rPr>
          <w:lang w:val="en-IE"/>
        </w:rPr>
      </w:pPr>
      <w:r>
        <w:rPr>
          <w:rStyle w:val="FootnoteReference"/>
        </w:rPr>
        <w:footnoteRef/>
      </w:r>
      <w:r>
        <w:t xml:space="preserve"> </w:t>
      </w:r>
      <w:r>
        <w:tab/>
        <w:t>S</w:t>
      </w:r>
      <w:r w:rsidRPr="0039661C">
        <w:t>ee speech by F. Panetta,</w:t>
      </w:r>
      <w:r>
        <w:t xml:space="preserve"> “Building a robust and diversified clearing ecosystem”,</w:t>
      </w:r>
      <w:r w:rsidRPr="0039661C">
        <w:t xml:space="preserve"> available at </w:t>
      </w:r>
      <w:hyperlink r:id="rId4" w:history="1">
        <w:r w:rsidRPr="0039661C">
          <w:rPr>
            <w:rStyle w:val="Hyperlink"/>
          </w:rPr>
          <w:t>https://www.ecb.europa.eu/press/key/date/2022/html/ecb.sp220322~fb2f159779.en.html</w:t>
        </w:r>
      </w:hyperlink>
      <w:r>
        <w:rPr>
          <w:rStyle w:val="Hyperlink"/>
        </w:rPr>
        <w:t>.</w:t>
      </w:r>
    </w:p>
  </w:footnote>
  <w:footnote w:id="13">
    <w:p w14:paraId="5182F910" w14:textId="67F36500" w:rsidR="00134BBD" w:rsidRPr="004F2951" w:rsidRDefault="00134BBD" w:rsidP="0039661C">
      <w:pPr>
        <w:pStyle w:val="FootnoteText"/>
        <w:spacing w:after="0"/>
        <w:ind w:left="0" w:hanging="284"/>
        <w:rPr>
          <w:lang w:val="en-IE"/>
        </w:rPr>
      </w:pPr>
      <w:r w:rsidRPr="004F2951">
        <w:rPr>
          <w:rStyle w:val="FootnoteReference"/>
        </w:rPr>
        <w:footnoteRef/>
      </w:r>
      <w:r w:rsidRPr="004F2951">
        <w:rPr>
          <w:lang w:val="en-IE"/>
        </w:rPr>
        <w:t xml:space="preserve"> </w:t>
      </w:r>
      <w:r>
        <w:rPr>
          <w:lang w:val="en-IE"/>
        </w:rPr>
        <w:tab/>
      </w:r>
      <w:r w:rsidRPr="004F2951">
        <w:rPr>
          <w:lang w:val="en-IE"/>
        </w:rPr>
        <w:t>Commission Communication ‘The European economic and financial system: fostering openness, strength and resilience’, COM/2021/32 final, 19</w:t>
      </w:r>
      <w:r w:rsidRPr="000466CC">
        <w:rPr>
          <w:lang w:val="en-IE"/>
        </w:rPr>
        <w:t> </w:t>
      </w:r>
      <w:r w:rsidRPr="004F2951">
        <w:rPr>
          <w:lang w:val="en-IE"/>
        </w:rPr>
        <w:t>January</w:t>
      </w:r>
      <w:r w:rsidRPr="000466CC">
        <w:rPr>
          <w:lang w:val="en-IE"/>
        </w:rPr>
        <w:t> </w:t>
      </w:r>
      <w:r w:rsidRPr="004F2951">
        <w:rPr>
          <w:lang w:val="en-IE"/>
        </w:rPr>
        <w:t>2021, p. 12.</w:t>
      </w:r>
    </w:p>
  </w:footnote>
  <w:footnote w:id="14">
    <w:p w14:paraId="2899CBE2" w14:textId="44459039" w:rsidR="00134BBD" w:rsidRPr="004F2951" w:rsidRDefault="00134BBD" w:rsidP="0039661C">
      <w:pPr>
        <w:pStyle w:val="FootnoteText"/>
        <w:spacing w:after="0"/>
        <w:ind w:left="0" w:hanging="284"/>
        <w:rPr>
          <w:lang w:val="en-IE"/>
        </w:rPr>
      </w:pPr>
      <w:r w:rsidRPr="004F2951">
        <w:rPr>
          <w:rStyle w:val="FootnoteReference"/>
        </w:rPr>
        <w:footnoteRef/>
      </w:r>
      <w:r w:rsidRPr="004F2951">
        <w:rPr>
          <w:lang w:val="en-IE"/>
        </w:rPr>
        <w:t xml:space="preserve"> </w:t>
      </w:r>
      <w:r>
        <w:rPr>
          <w:lang w:val="en-IE"/>
        </w:rPr>
        <w:tab/>
      </w:r>
      <w:r w:rsidRPr="00521BED">
        <w:rPr>
          <w:lang w:val="en-IE"/>
        </w:rPr>
        <w:t>See Council conclusions on the EU’s economic and financial strategic autonomy: one year after the Commission’s Communication, paras. 31-32, 5 April 2022.</w:t>
      </w:r>
    </w:p>
  </w:footnote>
  <w:footnote w:id="15">
    <w:p w14:paraId="0276ECAD" w14:textId="77777777" w:rsidR="00134BBD" w:rsidRPr="002661A8" w:rsidRDefault="00134BBD" w:rsidP="00BE6653">
      <w:pPr>
        <w:pStyle w:val="FootnoteText"/>
        <w:spacing w:after="0"/>
        <w:ind w:left="0" w:hanging="284"/>
      </w:pPr>
      <w:r w:rsidRPr="002661A8">
        <w:rPr>
          <w:rStyle w:val="FootnoteReference"/>
        </w:rPr>
        <w:footnoteRef/>
      </w:r>
      <w:r w:rsidRPr="002661A8">
        <w:t xml:space="preserve"> </w:t>
      </w:r>
      <w:r w:rsidRPr="002661A8">
        <w:tab/>
        <w:t>Article 5 of EMIR gives the Commission an ongoing mandate for determining the asset classes subject to the clearing obligation.</w:t>
      </w:r>
    </w:p>
  </w:footnote>
  <w:footnote w:id="16">
    <w:p w14:paraId="425E15DE" w14:textId="7835EA16" w:rsidR="00134BBD" w:rsidRPr="002661A8" w:rsidRDefault="00134BBD" w:rsidP="00321926">
      <w:pPr>
        <w:pStyle w:val="FootnoteText"/>
        <w:spacing w:after="0"/>
        <w:ind w:left="0" w:hanging="284"/>
      </w:pPr>
      <w:r w:rsidRPr="002661A8">
        <w:rPr>
          <w:rStyle w:val="FootnoteReference"/>
        </w:rPr>
        <w:footnoteRef/>
      </w:r>
      <w:r w:rsidRPr="002661A8">
        <w:t xml:space="preserve"> </w:t>
      </w:r>
      <w:r w:rsidRPr="002661A8">
        <w:tab/>
        <w:t xml:space="preserve">BIS, OTC derivatives statistics: </w:t>
      </w:r>
      <w:hyperlink r:id="rId5" w:history="1">
        <w:r w:rsidRPr="002661A8">
          <w:rPr>
            <w:rStyle w:val="Hyperlink"/>
          </w:rPr>
          <w:t>https://www.bis.org/statistics/derstats.htm</w:t>
        </w:r>
      </w:hyperlink>
      <w:r w:rsidRPr="002661A8">
        <w:t>.</w:t>
      </w:r>
    </w:p>
  </w:footnote>
  <w:footnote w:id="17">
    <w:p w14:paraId="34C01D90" w14:textId="0C8BA4CF" w:rsidR="00134BBD" w:rsidRPr="002661A8" w:rsidRDefault="00134BBD" w:rsidP="1AD3F5DB">
      <w:pPr>
        <w:pStyle w:val="FootnoteText"/>
        <w:spacing w:after="0"/>
        <w:ind w:left="0" w:hanging="284"/>
      </w:pPr>
      <w:r w:rsidRPr="002661A8">
        <w:rPr>
          <w:rStyle w:val="FootnoteReference"/>
        </w:rPr>
        <w:footnoteRef/>
      </w:r>
      <w:r w:rsidRPr="002661A8">
        <w:t xml:space="preserve"> </w:t>
      </w:r>
      <w:r w:rsidRPr="002661A8">
        <w:tab/>
        <w:t xml:space="preserve">BIS, OTC derivatives statistics: </w:t>
      </w:r>
      <w:hyperlink r:id="rId6" w:history="1">
        <w:r w:rsidRPr="002661A8">
          <w:rPr>
            <w:rStyle w:val="Hyperlink"/>
          </w:rPr>
          <w:t>https://www.bis.org/statistics/derstats.htm</w:t>
        </w:r>
      </w:hyperlink>
      <w:r w:rsidRPr="002661A8">
        <w:t>.</w:t>
      </w:r>
    </w:p>
  </w:footnote>
  <w:footnote w:id="18">
    <w:p w14:paraId="10628F0F" w14:textId="7D44AB07" w:rsidR="00134BBD" w:rsidRPr="00DD025D" w:rsidRDefault="00134BBD" w:rsidP="00DD025D">
      <w:pPr>
        <w:pStyle w:val="FootnoteText"/>
        <w:spacing w:after="0"/>
        <w:ind w:left="0" w:hanging="284"/>
        <w:rPr>
          <w:lang w:val="en-IE"/>
        </w:rPr>
      </w:pPr>
      <w:r>
        <w:rPr>
          <w:rStyle w:val="FootnoteReference"/>
        </w:rPr>
        <w:footnoteRef/>
      </w:r>
      <w:r>
        <w:t xml:space="preserve"> </w:t>
      </w:r>
      <w:r>
        <w:tab/>
      </w:r>
      <w:r>
        <w:rPr>
          <w:lang w:val="en-IE"/>
        </w:rPr>
        <w:t>LCH Ltd is a CCP established in the UK that has been recognised by ESMA and therefore able to provide services to clearing members and trading venues established in the EU. LCH SA is a CCP established in France and authorised under EMIR. LCH Ltd and LCH SA are subsidiaries of the same group, the London Stock Exchange Group (LSEG).</w:t>
      </w:r>
    </w:p>
  </w:footnote>
  <w:footnote w:id="19">
    <w:p w14:paraId="5AF53041" w14:textId="406C8372" w:rsidR="00134BBD" w:rsidRPr="002661A8" w:rsidRDefault="00134BBD" w:rsidP="0064259B">
      <w:pPr>
        <w:pStyle w:val="FootnoteText"/>
        <w:spacing w:after="0"/>
        <w:ind w:left="0" w:hanging="284"/>
        <w:rPr>
          <w:rStyle w:val="FootnoteReference"/>
          <w:rFonts w:eastAsiaTheme="minorHAnsi"/>
          <w:vertAlign w:val="baseline"/>
        </w:rPr>
      </w:pPr>
      <w:r w:rsidRPr="002661A8">
        <w:rPr>
          <w:rStyle w:val="FootnoteReference"/>
        </w:rPr>
        <w:footnoteRef/>
      </w:r>
      <w:r w:rsidRPr="002661A8">
        <w:rPr>
          <w:rStyle w:val="FootnoteReference"/>
        </w:rPr>
        <w:t xml:space="preserve">   </w:t>
      </w:r>
      <w:r w:rsidRPr="002661A8">
        <w:rPr>
          <w:rStyle w:val="FootnoteReference"/>
        </w:rPr>
        <w:tab/>
      </w:r>
      <w:r w:rsidRPr="002661A8">
        <w:rPr>
          <w:rStyle w:val="None"/>
          <w:rFonts w:eastAsia="Arial Unicode MS" w:cs="Arial Unicode MS"/>
        </w:rPr>
        <w:t>Annex 7 contains information on the role of</w:t>
      </w:r>
      <w:r w:rsidRPr="002661A8">
        <w:rPr>
          <w:rStyle w:val="FootnoteReference"/>
          <w:vertAlign w:val="baseline"/>
        </w:rPr>
        <w:t xml:space="preserve"> CCPs </w:t>
      </w:r>
      <w:r w:rsidRPr="002661A8">
        <w:t xml:space="preserve">and their economic development. </w:t>
      </w:r>
      <w:r w:rsidRPr="002661A8">
        <w:rPr>
          <w:rStyle w:val="FootnoteReference"/>
          <w:vertAlign w:val="baseline"/>
        </w:rPr>
        <w:t xml:space="preserve">See </w:t>
      </w:r>
      <w:r w:rsidRPr="002661A8">
        <w:t xml:space="preserve">also </w:t>
      </w:r>
      <w:r w:rsidRPr="002661A8">
        <w:rPr>
          <w:rStyle w:val="FootnoteReference"/>
          <w:vertAlign w:val="baseline"/>
        </w:rPr>
        <w:t xml:space="preserve">CEPS, 2021, </w:t>
      </w:r>
      <w:r>
        <w:rPr>
          <w:rStyle w:val="FootnoteReference"/>
          <w:vertAlign w:val="baseline"/>
        </w:rPr>
        <w:t>“</w:t>
      </w:r>
      <w:r w:rsidRPr="002661A8">
        <w:rPr>
          <w:rStyle w:val="FootnoteReference"/>
          <w:vertAlign w:val="baseline"/>
        </w:rPr>
        <w:t>Setting EU CCP policy – much more than meets the eye”</w:t>
      </w:r>
      <w:r w:rsidRPr="002661A8">
        <w:t>.</w:t>
      </w:r>
    </w:p>
  </w:footnote>
  <w:footnote w:id="20">
    <w:p w14:paraId="1175FFB3" w14:textId="1544DBE2" w:rsidR="00134BBD" w:rsidRPr="002661A8" w:rsidRDefault="00134BBD" w:rsidP="00C51A8D">
      <w:pPr>
        <w:pStyle w:val="FootnoteText"/>
        <w:spacing w:after="0"/>
        <w:ind w:left="0" w:hanging="284"/>
      </w:pPr>
      <w:r w:rsidRPr="002661A8">
        <w:rPr>
          <w:rStyle w:val="FootnoteReference"/>
        </w:rPr>
        <w:footnoteRef/>
      </w:r>
      <w:r w:rsidRPr="002661A8">
        <w:t xml:space="preserve"> </w:t>
      </w:r>
      <w:r w:rsidRPr="002661A8">
        <w:tab/>
      </w:r>
      <w:r>
        <w:t>In the EU, see CCP Recovery and Resolution Regulation (see footnote 6).</w:t>
      </w:r>
      <w:r w:rsidRPr="002661A8">
        <w:t xml:space="preserve"> See</w:t>
      </w:r>
      <w:r>
        <w:t xml:space="preserve"> also the</w:t>
      </w:r>
      <w:r w:rsidRPr="002661A8">
        <w:t xml:space="preserve"> 2021 ESMA report on UK CCPs (</w:t>
      </w:r>
      <w:r>
        <w:t xml:space="preserve">see </w:t>
      </w:r>
      <w:r w:rsidRPr="002661A8">
        <w:t xml:space="preserve">footnote </w:t>
      </w:r>
      <w:r>
        <w:t>9 above</w:t>
      </w:r>
      <w:r w:rsidRPr="002661A8">
        <w:t>)</w:t>
      </w:r>
      <w:r>
        <w:t>,</w:t>
      </w:r>
      <w:r w:rsidRPr="002661A8">
        <w:t xml:space="preserve"> pp. 6-7. ESMA notes that the UK recovery and resolution framework is still under development.</w:t>
      </w:r>
    </w:p>
  </w:footnote>
  <w:footnote w:id="21">
    <w:p w14:paraId="50113FF6" w14:textId="0D6FA1E3" w:rsidR="00134BBD" w:rsidRPr="002661A8" w:rsidRDefault="00134BBD" w:rsidP="00C51A8D">
      <w:pPr>
        <w:pStyle w:val="FootnoteText"/>
        <w:spacing w:after="0"/>
        <w:ind w:left="0" w:hanging="284"/>
        <w:rPr>
          <w:rStyle w:val="FootnoteReference"/>
          <w:rFonts w:eastAsiaTheme="minorHAnsi"/>
          <w:vertAlign w:val="baseline"/>
        </w:rPr>
      </w:pPr>
      <w:r w:rsidRPr="002661A8">
        <w:rPr>
          <w:rStyle w:val="FootnoteReference"/>
        </w:rPr>
        <w:footnoteRef/>
      </w:r>
      <w:r w:rsidRPr="002661A8">
        <w:rPr>
          <w:rStyle w:val="FootnoteReference"/>
        </w:rPr>
        <w:tab/>
      </w:r>
      <w:r w:rsidRPr="002661A8">
        <w:rPr>
          <w:rStyle w:val="FootnoteReference"/>
          <w:vertAlign w:val="baseline"/>
        </w:rPr>
        <w:t>Regulation (EU) 2019/2099 of 23 October 2019 amending Regulation (EU) No 648/2012 as regards the procedures and authorities involved for the authorisation of CCPs and requirements for the recognition of third-country CCPs, OJ L 322, 12.12.2019, p.</w:t>
      </w:r>
      <w:r w:rsidRPr="000466CC">
        <w:t> </w:t>
      </w:r>
      <w:r w:rsidRPr="002661A8">
        <w:rPr>
          <w:rStyle w:val="FootnoteReference"/>
          <w:vertAlign w:val="baseline"/>
        </w:rPr>
        <w:t>1–44</w:t>
      </w:r>
      <w:r w:rsidRPr="002661A8">
        <w:t>.</w:t>
      </w:r>
    </w:p>
  </w:footnote>
  <w:footnote w:id="22">
    <w:p w14:paraId="18E67C0C" w14:textId="36C005B7" w:rsidR="00134BBD" w:rsidRPr="002661A8" w:rsidRDefault="00134BBD" w:rsidP="006C5E53">
      <w:pPr>
        <w:pStyle w:val="FootnoteText"/>
        <w:spacing w:after="0"/>
        <w:ind w:left="0" w:hanging="284"/>
        <w:rPr>
          <w:lang w:val="en-IE"/>
        </w:rPr>
      </w:pPr>
      <w:r w:rsidRPr="002661A8">
        <w:rPr>
          <w:rStyle w:val="FootnoteReference"/>
        </w:rPr>
        <w:footnoteRef/>
      </w:r>
      <w:r w:rsidRPr="002661A8">
        <w:t xml:space="preserve"> </w:t>
      </w:r>
      <w:r w:rsidRPr="002661A8">
        <w:tab/>
      </w:r>
      <w:r w:rsidRPr="002661A8">
        <w:rPr>
          <w:rStyle w:val="FootnoteReference"/>
          <w:vertAlign w:val="baseline"/>
        </w:rPr>
        <w:t>Including the CCP’s national supervisor, the supervisors of the clearing members which are established in the three Member States with the largest contributions to that CCP’s default fund, supervisors of market infrastructures to which the CCP is linked, central banks of issue of most relevant currencies cleared and members of the ESCB responsible for the oversight of the CCPs</w:t>
      </w:r>
      <w:r w:rsidRPr="002661A8">
        <w:t>.</w:t>
      </w:r>
    </w:p>
  </w:footnote>
  <w:footnote w:id="23">
    <w:p w14:paraId="7539732C" w14:textId="26C5A6E3" w:rsidR="00134BBD" w:rsidRPr="002661A8" w:rsidRDefault="00134BBD" w:rsidP="00C51A8D">
      <w:pPr>
        <w:pStyle w:val="FootnoteText"/>
        <w:spacing w:after="0"/>
        <w:ind w:left="0" w:hanging="284"/>
        <w:rPr>
          <w:rStyle w:val="FootnoteReference"/>
          <w:rFonts w:eastAsiaTheme="minorHAnsi"/>
        </w:rPr>
      </w:pPr>
      <w:r w:rsidRPr="002661A8">
        <w:rPr>
          <w:rStyle w:val="FootnoteReference"/>
        </w:rPr>
        <w:footnoteRef/>
      </w:r>
      <w:r>
        <w:tab/>
        <w:t>N</w:t>
      </w:r>
      <w:r w:rsidRPr="002661A8">
        <w:rPr>
          <w:rStyle w:val="FootnoteReference"/>
          <w:vertAlign w:val="baseline"/>
        </w:rPr>
        <w:t xml:space="preserve">ational supervisors and central banks </w:t>
      </w:r>
      <w:r>
        <w:rPr>
          <w:rStyle w:val="FootnoteReference"/>
          <w:vertAlign w:val="baseline"/>
        </w:rPr>
        <w:t>other than</w:t>
      </w:r>
      <w:r>
        <w:t xml:space="preserve"> those </w:t>
      </w:r>
      <w:r w:rsidRPr="00932AE1">
        <w:t xml:space="preserve">referred to in footnote </w:t>
      </w:r>
      <w:r w:rsidRPr="00932AE1">
        <w:fldChar w:fldCharType="begin"/>
      </w:r>
      <w:r w:rsidRPr="00932AE1">
        <w:instrText xml:space="preserve"> NOTEREF _Ref120267576 \h </w:instrText>
      </w:r>
      <w:r>
        <w:instrText xml:space="preserve"> \* MERGEFORMAT </w:instrText>
      </w:r>
      <w:r w:rsidRPr="00932AE1">
        <w:fldChar w:fldCharType="separate"/>
      </w:r>
      <w:r w:rsidR="009D6A61">
        <w:t>21</w:t>
      </w:r>
      <w:r w:rsidRPr="00932AE1">
        <w:fldChar w:fldCharType="end"/>
      </w:r>
      <w:r w:rsidRPr="00932AE1">
        <w:t xml:space="preserve"> </w:t>
      </w:r>
      <w:r w:rsidRPr="00932AE1">
        <w:rPr>
          <w:rStyle w:val="FootnoteReference"/>
          <w:vertAlign w:val="baseline"/>
        </w:rPr>
        <w:t>may</w:t>
      </w:r>
      <w:r w:rsidRPr="002661A8">
        <w:rPr>
          <w:rStyle w:val="FootnoteReference"/>
          <w:vertAlign w:val="baseline"/>
        </w:rPr>
        <w:t xml:space="preserve"> request participation in the college</w:t>
      </w:r>
      <w:r w:rsidRPr="002661A8">
        <w:t xml:space="preserve"> (</w:t>
      </w:r>
      <w:r w:rsidRPr="002661A8">
        <w:rPr>
          <w:lang w:val="en-IE"/>
        </w:rPr>
        <w:t>Article 18(2) of EMIR).</w:t>
      </w:r>
    </w:p>
  </w:footnote>
  <w:footnote w:id="24">
    <w:p w14:paraId="1F5D201C" w14:textId="5F12110C" w:rsidR="00134BBD" w:rsidRPr="002661A8" w:rsidRDefault="00134BBD" w:rsidP="006C5E53">
      <w:pPr>
        <w:pStyle w:val="FootnoteText"/>
        <w:spacing w:after="0"/>
        <w:ind w:left="0" w:hanging="284"/>
      </w:pPr>
      <w:r w:rsidRPr="002661A8">
        <w:rPr>
          <w:rStyle w:val="FootnoteReference"/>
        </w:rPr>
        <w:footnoteRef/>
      </w:r>
      <w:r w:rsidRPr="002661A8">
        <w:t xml:space="preserve"> </w:t>
      </w:r>
      <w:r w:rsidRPr="002661A8">
        <w:tab/>
        <w:t>Article 87(7) of EMIR.</w:t>
      </w:r>
    </w:p>
  </w:footnote>
  <w:footnote w:id="25">
    <w:p w14:paraId="2D557F0B" w14:textId="61FB63BF" w:rsidR="00134BBD" w:rsidRPr="002661A8" w:rsidRDefault="00134BBD" w:rsidP="00566D0C">
      <w:pPr>
        <w:pStyle w:val="FootnoteText"/>
        <w:spacing w:after="0"/>
        <w:ind w:left="0" w:hanging="284"/>
        <w:rPr>
          <w:lang w:val="en-IE"/>
        </w:rPr>
      </w:pPr>
      <w:r w:rsidRPr="002661A8">
        <w:rPr>
          <w:rStyle w:val="FootnoteReference"/>
        </w:rPr>
        <w:footnoteRef/>
      </w:r>
      <w:r w:rsidRPr="002661A8">
        <w:t xml:space="preserve"> </w:t>
      </w:r>
      <w:r w:rsidRPr="002661A8">
        <w:tab/>
        <w:t xml:space="preserve">See </w:t>
      </w:r>
      <w:hyperlink w:anchor="_The_over-the-counter_(OTC)" w:history="1">
        <w:r w:rsidRPr="002661A8">
          <w:rPr>
            <w:rStyle w:val="Hyperlink"/>
          </w:rPr>
          <w:t>Annex 7</w:t>
        </w:r>
      </w:hyperlink>
      <w:r w:rsidRPr="002661A8">
        <w:t xml:space="preserve"> for further explanation.</w:t>
      </w:r>
    </w:p>
  </w:footnote>
  <w:footnote w:id="26">
    <w:p w14:paraId="3BFE4C83" w14:textId="5FDF9F18" w:rsidR="00134BBD" w:rsidRPr="002661A8" w:rsidRDefault="00134BBD" w:rsidP="00DE26AB">
      <w:pPr>
        <w:pStyle w:val="FootnoteText"/>
        <w:spacing w:after="0"/>
        <w:ind w:left="0" w:hanging="284"/>
      </w:pPr>
      <w:r w:rsidRPr="002661A8">
        <w:rPr>
          <w:rStyle w:val="FootnoteReference"/>
        </w:rPr>
        <w:footnoteRef/>
      </w:r>
      <w:r w:rsidRPr="002661A8">
        <w:rPr>
          <w:rStyle w:val="FootnoteReference"/>
        </w:rPr>
        <w:t xml:space="preserve"> </w:t>
      </w:r>
      <w:r w:rsidRPr="002661A8">
        <w:rPr>
          <w:rStyle w:val="FootnoteReference"/>
        </w:rPr>
        <w:tab/>
      </w:r>
      <w:r w:rsidRPr="002661A8">
        <w:t xml:space="preserve">Commission Communication ‘Action Plan on Building a Capital Markets Union’, COM/2015/0468 final and Commission </w:t>
      </w:r>
      <w:r w:rsidRPr="002661A8" w:rsidDel="001401C4">
        <w:t xml:space="preserve">Communication </w:t>
      </w:r>
      <w:r w:rsidRPr="002661A8">
        <w:t>‘A Capital Markets Union for people and businesses – New Action Plan’, COM/2020/590 final. Commission Communication ‘Capital Markets Union - Delivering one year after the Action Plan’, COM/2021/720 final.</w:t>
      </w:r>
    </w:p>
  </w:footnote>
  <w:footnote w:id="27">
    <w:p w14:paraId="2424C658" w14:textId="2571CDCA" w:rsidR="00134BBD" w:rsidRPr="00162BFB" w:rsidRDefault="00134BBD" w:rsidP="00FD2BC6">
      <w:pPr>
        <w:pStyle w:val="FootnoteText"/>
        <w:spacing w:after="0"/>
        <w:ind w:left="0" w:hanging="284"/>
        <w:rPr>
          <w:rStyle w:val="Hyperlink"/>
          <w:rFonts w:asciiTheme="minorHAnsi" w:eastAsiaTheme="minorHAnsi" w:hAnsiTheme="minorHAnsi" w:cstheme="minorBidi"/>
          <w:color w:val="auto"/>
          <w:sz w:val="22"/>
          <w:szCs w:val="22"/>
        </w:rPr>
      </w:pPr>
      <w:r w:rsidRPr="002661A8">
        <w:rPr>
          <w:rStyle w:val="FootnoteReference"/>
        </w:rPr>
        <w:footnoteRef/>
      </w:r>
      <w:r w:rsidRPr="002661A8">
        <w:t xml:space="preserve"> </w:t>
      </w:r>
      <w:r w:rsidRPr="002661A8">
        <w:tab/>
      </w:r>
      <w:r w:rsidRPr="002661A8">
        <w:rPr>
          <w:rStyle w:val="FootnoteReference"/>
          <w:vertAlign w:val="baseline"/>
        </w:rPr>
        <w:t xml:space="preserve">2020 CMU Action Plan </w:t>
      </w:r>
      <w:r w:rsidRPr="002661A8">
        <w:t>(se</w:t>
      </w:r>
      <w:r w:rsidRPr="00EA461A">
        <w:t xml:space="preserve">e footnote </w:t>
      </w:r>
      <w:r w:rsidRPr="00EA461A">
        <w:fldChar w:fldCharType="begin"/>
      </w:r>
      <w:r w:rsidRPr="00EA461A">
        <w:instrText xml:space="preserve"> NOTEREF _Ref120267698 \h </w:instrText>
      </w:r>
      <w:r>
        <w:instrText xml:space="preserve"> \* MERGEFORMAT </w:instrText>
      </w:r>
      <w:r w:rsidRPr="00EA461A">
        <w:fldChar w:fldCharType="separate"/>
      </w:r>
      <w:r w:rsidR="009D6A61">
        <w:t>25</w:t>
      </w:r>
      <w:r w:rsidRPr="00EA461A">
        <w:fldChar w:fldCharType="end"/>
      </w:r>
      <w:r w:rsidRPr="002661A8">
        <w:t>),</w:t>
      </w:r>
      <w:r w:rsidRPr="002661A8" w:rsidDel="00865CB3">
        <w:rPr>
          <w:rStyle w:val="FootnoteReference"/>
          <w:vertAlign w:val="baseline"/>
        </w:rPr>
        <w:t xml:space="preserve"> </w:t>
      </w:r>
      <w:r w:rsidRPr="002661A8">
        <w:rPr>
          <w:rStyle w:val="FootnoteReference"/>
          <w:vertAlign w:val="baseline"/>
        </w:rPr>
        <w:t>Action 16</w:t>
      </w:r>
      <w:r w:rsidRPr="002661A8">
        <w:t>.</w:t>
      </w:r>
    </w:p>
  </w:footnote>
  <w:footnote w:id="28">
    <w:p w14:paraId="30E5E653" w14:textId="38D6D063" w:rsidR="00134BBD" w:rsidRPr="002661A8" w:rsidRDefault="00134BBD" w:rsidP="00C51A8D">
      <w:pPr>
        <w:pStyle w:val="FootnoteText"/>
        <w:spacing w:after="0"/>
        <w:ind w:left="0" w:hanging="284"/>
      </w:pPr>
      <w:r w:rsidRPr="002661A8">
        <w:rPr>
          <w:rStyle w:val="FootnoteReference"/>
        </w:rPr>
        <w:footnoteRef/>
      </w:r>
      <w:r w:rsidRPr="002661A8">
        <w:t xml:space="preserve"> </w:t>
      </w:r>
      <w:r w:rsidRPr="002661A8">
        <w:tab/>
        <w:t>Commission Communication on open strategic autonomy (</w:t>
      </w:r>
      <w:r w:rsidRPr="00CE24DD">
        <w:t xml:space="preserve">see footnote </w:t>
      </w:r>
      <w:r w:rsidRPr="00CE24DD">
        <w:fldChar w:fldCharType="begin"/>
      </w:r>
      <w:r w:rsidRPr="00CE24DD">
        <w:instrText xml:space="preserve"> NOTEREF _Ref120289567 \h </w:instrText>
      </w:r>
      <w:r>
        <w:instrText xml:space="preserve"> \* MERGEFORMAT </w:instrText>
      </w:r>
      <w:r w:rsidRPr="00CE24DD">
        <w:fldChar w:fldCharType="separate"/>
      </w:r>
      <w:r w:rsidR="009D6A61">
        <w:t>8</w:t>
      </w:r>
      <w:r w:rsidRPr="00CE24DD">
        <w:fldChar w:fldCharType="end"/>
      </w:r>
      <w:r w:rsidRPr="00CE24DD">
        <w:t>).</w:t>
      </w:r>
    </w:p>
  </w:footnote>
  <w:footnote w:id="29">
    <w:p w14:paraId="6D4D743F" w14:textId="4EF73699" w:rsidR="00134BBD" w:rsidRPr="002661A8" w:rsidRDefault="00134BBD" w:rsidP="00C51A8D">
      <w:pPr>
        <w:pStyle w:val="FootnoteText"/>
        <w:spacing w:after="0"/>
        <w:ind w:left="0" w:hanging="284"/>
        <w:rPr>
          <w:rStyle w:val="FootnoteReference"/>
          <w:rFonts w:eastAsiaTheme="minorHAnsi"/>
          <w:lang w:val="en-IE"/>
        </w:rPr>
      </w:pPr>
      <w:r w:rsidRPr="002661A8">
        <w:rPr>
          <w:rStyle w:val="FootnoteReference"/>
        </w:rPr>
        <w:footnoteRef/>
      </w:r>
      <w:r w:rsidRPr="002661A8">
        <w:rPr>
          <w:rStyle w:val="FootnoteReference"/>
          <w:lang w:val="en-IE"/>
        </w:rPr>
        <w:t xml:space="preserve"> </w:t>
      </w:r>
      <w:r w:rsidRPr="002661A8">
        <w:rPr>
          <w:rStyle w:val="FootnoteReference"/>
          <w:lang w:val="en-IE"/>
        </w:rPr>
        <w:tab/>
      </w:r>
      <w:r w:rsidRPr="002661A8">
        <w:rPr>
          <w:rStyle w:val="FootnoteReference"/>
          <w:vertAlign w:val="baseline"/>
          <w:lang w:val="en-IE"/>
        </w:rPr>
        <w:t>See 2021 ESMA report on UK CCPs</w:t>
      </w:r>
      <w:r w:rsidRPr="002661A8">
        <w:rPr>
          <w:lang w:val="en-IE"/>
        </w:rPr>
        <w:t xml:space="preserve"> (see footnote </w:t>
      </w:r>
      <w:r>
        <w:rPr>
          <w:lang w:val="en-IE"/>
        </w:rPr>
        <w:t>9 above</w:t>
      </w:r>
      <w:r w:rsidRPr="002661A8">
        <w:rPr>
          <w:lang w:val="en-IE"/>
        </w:rPr>
        <w:t>).</w:t>
      </w:r>
    </w:p>
  </w:footnote>
  <w:footnote w:id="30">
    <w:p w14:paraId="42055718" w14:textId="5A7340D6" w:rsidR="00134BBD" w:rsidRPr="002661A8" w:rsidRDefault="00134BBD" w:rsidP="00E07688">
      <w:pPr>
        <w:pStyle w:val="FootnoteText"/>
        <w:spacing w:after="0"/>
        <w:ind w:left="0" w:hanging="284"/>
        <w:rPr>
          <w:rStyle w:val="FootnoteReference"/>
          <w:rFonts w:eastAsiaTheme="minorHAnsi"/>
          <w:vertAlign w:val="baseline"/>
        </w:rPr>
      </w:pPr>
      <w:r w:rsidRPr="002661A8">
        <w:rPr>
          <w:rStyle w:val="FootnoteReference"/>
        </w:rPr>
        <w:footnoteRef/>
      </w:r>
      <w:r w:rsidRPr="002661A8">
        <w:rPr>
          <w:rStyle w:val="FootnoteReference"/>
        </w:rPr>
        <w:t xml:space="preserve"> </w:t>
      </w:r>
      <w:r w:rsidRPr="002661A8">
        <w:rPr>
          <w:rStyle w:val="FootnoteReference"/>
        </w:rPr>
        <w:tab/>
      </w:r>
      <w:hyperlink w:history="1"/>
      <w:hyperlink r:id="rId7" w:history="1">
        <w:r w:rsidRPr="002661A8">
          <w:rPr>
            <w:rStyle w:val="Hyperlink"/>
          </w:rPr>
          <w:t>https://ec.europa.eu/commission/presscorner/detail/en/STATEMENT_21_5905</w:t>
        </w:r>
      </w:hyperlink>
      <w:r w:rsidRPr="002661A8">
        <w:rPr>
          <w:rStyle w:val="Hyperlink"/>
        </w:rPr>
        <w:t>.</w:t>
      </w:r>
      <w:r w:rsidRPr="002661A8">
        <w:t xml:space="preserve"> </w:t>
      </w:r>
    </w:p>
  </w:footnote>
  <w:footnote w:id="31">
    <w:p w14:paraId="558E233F" w14:textId="20119812" w:rsidR="00134BBD" w:rsidRPr="002661A8" w:rsidRDefault="00134BBD">
      <w:pPr>
        <w:pStyle w:val="FootnoteText"/>
        <w:spacing w:after="0"/>
        <w:ind w:left="0" w:hanging="284"/>
        <w:rPr>
          <w:rStyle w:val="FootnoteReference"/>
          <w:rFonts w:eastAsiaTheme="minorHAnsi"/>
        </w:rPr>
      </w:pPr>
      <w:r w:rsidRPr="002661A8">
        <w:rPr>
          <w:rStyle w:val="FootnoteReference"/>
        </w:rPr>
        <w:footnoteRef/>
      </w:r>
      <w:r w:rsidRPr="002661A8">
        <w:rPr>
          <w:rStyle w:val="FootnoteReference"/>
        </w:rPr>
        <w:t xml:space="preserve"> </w:t>
      </w:r>
      <w:r w:rsidRPr="002661A8">
        <w:tab/>
        <w:t>EU clearing members would have been off-boarded from UK CCPs with a three-month notice and their remaining positions liquidated in the market.</w:t>
      </w:r>
    </w:p>
  </w:footnote>
  <w:footnote w:id="32">
    <w:p w14:paraId="0C59733C" w14:textId="39063BC7" w:rsidR="00134BBD" w:rsidRPr="002661A8" w:rsidRDefault="00134BBD" w:rsidP="0031583A">
      <w:pPr>
        <w:pStyle w:val="FootnoteText"/>
        <w:spacing w:after="0"/>
        <w:ind w:left="0" w:hanging="284"/>
      </w:pPr>
      <w:r w:rsidRPr="002661A8">
        <w:rPr>
          <w:rStyle w:val="FootnoteReference"/>
        </w:rPr>
        <w:footnoteRef/>
      </w:r>
      <w:r w:rsidRPr="002661A8">
        <w:t xml:space="preserve"> </w:t>
      </w:r>
      <w:r w:rsidRPr="002661A8">
        <w:tab/>
        <w:t xml:space="preserve">See 2021 ESMA report on UK CCPs (see footnote </w:t>
      </w:r>
      <w:r>
        <w:t>9 above</w:t>
      </w:r>
      <w:r w:rsidRPr="002661A8">
        <w:t>).</w:t>
      </w:r>
    </w:p>
  </w:footnote>
  <w:footnote w:id="33">
    <w:p w14:paraId="58B2DB6A" w14:textId="6D492FAC" w:rsidR="00134BBD" w:rsidRPr="002661A8" w:rsidRDefault="00134BBD">
      <w:pPr>
        <w:pStyle w:val="FootnoteText"/>
        <w:spacing w:after="0"/>
        <w:ind w:left="0" w:hanging="284"/>
      </w:pPr>
      <w:r w:rsidRPr="002661A8">
        <w:rPr>
          <w:rStyle w:val="FootnoteReference"/>
        </w:rPr>
        <w:footnoteRef/>
      </w:r>
      <w:r w:rsidRPr="002661A8">
        <w:fldChar w:fldCharType="begin"/>
      </w:r>
      <w:r w:rsidRPr="002661A8">
        <w:fldChar w:fldCharType="separate"/>
      </w:r>
      <w:r w:rsidRPr="002661A8">
        <w:rPr>
          <w:rStyle w:val="Hyperlink"/>
        </w:rPr>
        <w:t>https://www.esrb.europa.eu/pub/pdf/other/esrb.letter220120_on_response_to_esma_consultation~3182592790.en.pdf</w:t>
      </w:r>
      <w:r w:rsidRPr="002661A8">
        <w:fldChar w:fldCharType="end"/>
      </w:r>
      <w:r w:rsidRPr="002661A8">
        <w:t xml:space="preserve">. </w:t>
      </w:r>
      <w:r w:rsidRPr="002661A8">
        <w:tab/>
        <w:t xml:space="preserve">ESRB response to the targeted consultation on the review of the EU central clearing framework, </w:t>
      </w:r>
      <w:r>
        <w:t xml:space="preserve">22 March 2022, </w:t>
      </w:r>
      <w:hyperlink r:id="rId8" w:history="1">
        <w:r w:rsidRPr="00087EA1">
          <w:rPr>
            <w:rStyle w:val="Hyperlink"/>
            <w:sz w:val="18"/>
            <w:szCs w:val="18"/>
          </w:rPr>
          <w:t>https://www.esrb.europa.eu/pub/pdf/other/esrb.letter220323_on_review_central_clearing~c95cf8bae6.en.pdf</w:t>
        </w:r>
      </w:hyperlink>
      <w:r w:rsidRPr="002661A8">
        <w:t xml:space="preserve">. </w:t>
      </w:r>
    </w:p>
  </w:footnote>
  <w:footnote w:id="34">
    <w:p w14:paraId="1BF138FD" w14:textId="436692D2" w:rsidR="00134BBD" w:rsidRPr="004F2951" w:rsidRDefault="00134BBD" w:rsidP="00112955">
      <w:pPr>
        <w:pStyle w:val="FootnoteText"/>
        <w:spacing w:after="0"/>
        <w:ind w:left="0" w:hanging="284"/>
        <w:rPr>
          <w:lang w:val="en-IE"/>
        </w:rPr>
      </w:pPr>
      <w:r w:rsidRPr="004F2951">
        <w:rPr>
          <w:rStyle w:val="FootnoteReference"/>
        </w:rPr>
        <w:footnoteRef/>
      </w:r>
      <w:r w:rsidRPr="004F2951">
        <w:rPr>
          <w:lang w:val="en-IE"/>
        </w:rPr>
        <w:t xml:space="preserve"> </w:t>
      </w:r>
      <w:r>
        <w:rPr>
          <w:lang w:val="en-IE"/>
        </w:rPr>
        <w:tab/>
        <w:t>E.g.</w:t>
      </w:r>
      <w:r w:rsidRPr="004F2951">
        <w:rPr>
          <w:lang w:val="en-IE"/>
        </w:rPr>
        <w:t xml:space="preserve"> the regulatory technical standards (RTS) on the procedures for the approval of an extension of services or the approval of changes to risk models under Articles 15 and 49 of EMIR respectively have not been adopted yet.</w:t>
      </w:r>
    </w:p>
  </w:footnote>
  <w:footnote w:id="35">
    <w:p w14:paraId="59EE6921" w14:textId="7B789362" w:rsidR="00134BBD" w:rsidRPr="002661A8" w:rsidRDefault="00134BBD" w:rsidP="007E0936">
      <w:pPr>
        <w:pStyle w:val="FootnoteText"/>
        <w:spacing w:after="0"/>
        <w:ind w:left="0" w:hanging="284"/>
        <w:rPr>
          <w:lang w:val="en-IE"/>
        </w:rPr>
      </w:pPr>
      <w:r w:rsidRPr="002661A8">
        <w:rPr>
          <w:rStyle w:val="FootnoteReference"/>
        </w:rPr>
        <w:footnoteRef/>
      </w:r>
      <w:r w:rsidRPr="002661A8">
        <w:t xml:space="preserve"> </w:t>
      </w:r>
      <w:r w:rsidRPr="002661A8">
        <w:tab/>
        <w:t xml:space="preserve">See </w:t>
      </w:r>
      <w:hyperlink w:anchor="_Annex_2:_Stakeholder" w:history="1">
        <w:r w:rsidRPr="002661A8">
          <w:rPr>
            <w:rStyle w:val="Hyperlink"/>
          </w:rPr>
          <w:t>Annex 2</w:t>
        </w:r>
      </w:hyperlink>
      <w:r w:rsidRPr="002661A8">
        <w:t xml:space="preserve"> for non-confidential feedback to the targeted consultation and meetings with Member </w:t>
      </w:r>
      <w:r w:rsidRPr="00FD3A63">
        <w:t>States.</w:t>
      </w:r>
    </w:p>
  </w:footnote>
  <w:footnote w:id="36">
    <w:p w14:paraId="1C1429EF" w14:textId="77765EA0" w:rsidR="00134BBD" w:rsidRPr="002D3D14" w:rsidRDefault="00134BBD" w:rsidP="00DB378F">
      <w:pPr>
        <w:pStyle w:val="FootnoteText"/>
        <w:spacing w:after="0"/>
        <w:ind w:left="0" w:hanging="284"/>
      </w:pPr>
      <w:r>
        <w:rPr>
          <w:rStyle w:val="FootnoteReference"/>
        </w:rPr>
        <w:footnoteRef/>
      </w:r>
      <w:r>
        <w:t xml:space="preserve"> </w:t>
      </w:r>
      <w:r>
        <w:tab/>
        <w:t xml:space="preserve">See </w:t>
      </w:r>
      <w:r w:rsidRPr="00521BED">
        <w:rPr>
          <w:lang w:val="en-IE"/>
        </w:rPr>
        <w:t xml:space="preserve">Council Conclusions of 5 April 2022, see footnote </w:t>
      </w:r>
      <w:r w:rsidRPr="00521BED">
        <w:rPr>
          <w:lang w:val="en-IE"/>
        </w:rPr>
        <w:fldChar w:fldCharType="begin"/>
      </w:r>
      <w:r w:rsidRPr="00521BED">
        <w:rPr>
          <w:lang w:val="en-IE"/>
        </w:rPr>
        <w:instrText xml:space="preserve"> NOTEREF _Ref120267037 \h </w:instrText>
      </w:r>
      <w:r>
        <w:rPr>
          <w:lang w:val="en-IE"/>
        </w:rPr>
        <w:instrText xml:space="preserve"> \* MERGEFORMAT </w:instrText>
      </w:r>
      <w:r w:rsidRPr="00521BED">
        <w:rPr>
          <w:lang w:val="en-IE"/>
        </w:rPr>
      </w:r>
      <w:r w:rsidRPr="00521BED">
        <w:rPr>
          <w:lang w:val="en-IE"/>
        </w:rPr>
        <w:fldChar w:fldCharType="separate"/>
      </w:r>
      <w:r w:rsidR="009D6A61">
        <w:rPr>
          <w:lang w:val="en-IE"/>
        </w:rPr>
        <w:t>13</w:t>
      </w:r>
      <w:r w:rsidRPr="00521BED">
        <w:rPr>
          <w:lang w:val="en-IE"/>
        </w:rPr>
        <w:fldChar w:fldCharType="end"/>
      </w:r>
      <w:r>
        <w:t>.</w:t>
      </w:r>
    </w:p>
  </w:footnote>
  <w:footnote w:id="37">
    <w:p w14:paraId="125F3D05" w14:textId="64BEE635" w:rsidR="00134BBD" w:rsidRPr="006C351C" w:rsidRDefault="00134BBD" w:rsidP="00DB378F">
      <w:pPr>
        <w:pStyle w:val="FootnoteText"/>
        <w:spacing w:after="0"/>
        <w:ind w:left="0" w:hanging="284"/>
      </w:pPr>
      <w:r>
        <w:rPr>
          <w:rStyle w:val="FootnoteReference"/>
        </w:rPr>
        <w:footnoteRef/>
      </w:r>
      <w:r>
        <w:t xml:space="preserve"> </w:t>
      </w:r>
      <w:r>
        <w:tab/>
      </w:r>
      <w:r w:rsidRPr="006C351C">
        <w:t xml:space="preserve">See 2021 ESMA report on UK CCPs (see footnote </w:t>
      </w:r>
      <w:r>
        <w:t>9</w:t>
      </w:r>
      <w:r w:rsidRPr="006C351C">
        <w:t xml:space="preserve"> above)</w:t>
      </w:r>
      <w:r>
        <w:t>, p</w:t>
      </w:r>
      <w:r w:rsidRPr="00FD3A63">
        <w:rPr>
          <w:lang w:val="en-IE"/>
        </w:rPr>
        <w:t> </w:t>
      </w:r>
      <w:r>
        <w:t>6. “</w:t>
      </w:r>
      <w:r w:rsidRPr="006C351C">
        <w:t xml:space="preserve">Substantial </w:t>
      </w:r>
      <w:r w:rsidRPr="00CE2DD8">
        <w:t xml:space="preserve">systemic importance entails that the respective CCP services are assessed to have the potential to negatively impact EU financial stability, even though they are in full compliance with EMIR. Based on the characteristics of each clearing service, and an analysis of scenarios of how they may impact EU financial stability even where the Tier </w:t>
      </w:r>
      <w:r w:rsidRPr="006C351C">
        <w:t>2 CCPs are in full compliance with EMIR requirements, the assessment concludes that the following clearing services are of substantial systemic importance for the financial stability of the Union or one or more of its Member States:”</w:t>
      </w:r>
    </w:p>
  </w:footnote>
  <w:footnote w:id="38">
    <w:p w14:paraId="04BE8075" w14:textId="47477943" w:rsidR="00134BBD" w:rsidRPr="00FA77AD" w:rsidRDefault="00134BBD" w:rsidP="00DB378F">
      <w:pPr>
        <w:pStyle w:val="FootnoteText"/>
        <w:spacing w:after="0"/>
        <w:ind w:left="0" w:hanging="284"/>
      </w:pPr>
      <w:r>
        <w:rPr>
          <w:rStyle w:val="FootnoteReference"/>
        </w:rPr>
        <w:footnoteRef/>
      </w:r>
      <w:r>
        <w:t xml:space="preserve"> </w:t>
      </w:r>
      <w:r>
        <w:tab/>
        <w:t xml:space="preserve">See ESRB response to the European Commission targeted consultation on the review of the central clearing framework in the EU, 22 March 2022, see footnote </w:t>
      </w:r>
      <w:r>
        <w:fldChar w:fldCharType="begin"/>
      </w:r>
      <w:r>
        <w:instrText xml:space="preserve"> NOTEREF _Ref120290685 \h </w:instrText>
      </w:r>
      <w:r>
        <w:fldChar w:fldCharType="separate"/>
      </w:r>
      <w:r w:rsidR="009D6A61">
        <w:t>32</w:t>
      </w:r>
      <w:r>
        <w:fldChar w:fldCharType="end"/>
      </w:r>
      <w:r>
        <w:t>.</w:t>
      </w:r>
    </w:p>
  </w:footnote>
  <w:footnote w:id="39">
    <w:p w14:paraId="2B24B82C" w14:textId="3C5BBD07" w:rsidR="00134BBD" w:rsidRPr="00EA38D8" w:rsidRDefault="00134BBD" w:rsidP="00EA38D8">
      <w:pPr>
        <w:pStyle w:val="FootnoteText"/>
        <w:spacing w:after="0"/>
        <w:ind w:left="0" w:hanging="284"/>
        <w:rPr>
          <w:lang w:val="en-IE"/>
        </w:rPr>
      </w:pPr>
      <w:r>
        <w:rPr>
          <w:rStyle w:val="FootnoteReference"/>
        </w:rPr>
        <w:footnoteRef/>
      </w:r>
      <w:r>
        <w:t xml:space="preserve"> </w:t>
      </w:r>
      <w:r>
        <w:tab/>
      </w:r>
      <w:r w:rsidRPr="00FD487B">
        <w:t>See 2021 ESMA report on</w:t>
      </w:r>
      <w:r>
        <w:t xml:space="preserve"> UK CCPs (see footnote 9 above), p</w:t>
      </w:r>
      <w:r w:rsidRPr="00FD3A63">
        <w:rPr>
          <w:lang w:val="en-IE"/>
        </w:rPr>
        <w:t> </w:t>
      </w:r>
      <w:r>
        <w:t>6 and 10.</w:t>
      </w:r>
    </w:p>
  </w:footnote>
  <w:footnote w:id="40">
    <w:p w14:paraId="31A098F7" w14:textId="77777777" w:rsidR="00134BBD" w:rsidRPr="002661A8" w:rsidRDefault="00134BBD" w:rsidP="00A7299B">
      <w:pPr>
        <w:pStyle w:val="FootnoteText"/>
        <w:spacing w:after="0"/>
        <w:ind w:left="0" w:hanging="284"/>
        <w:contextualSpacing/>
      </w:pPr>
      <w:r w:rsidRPr="002661A8">
        <w:rPr>
          <w:rStyle w:val="FootnoteReference"/>
        </w:rPr>
        <w:footnoteRef/>
      </w:r>
      <w:r w:rsidRPr="002661A8">
        <w:t xml:space="preserve"> </w:t>
      </w:r>
      <w:r w:rsidRPr="002661A8">
        <w:tab/>
        <w:t xml:space="preserve">See </w:t>
      </w:r>
      <w:r w:rsidRPr="002661A8">
        <w:rPr>
          <w:lang w:eastAsia="en-GB"/>
        </w:rPr>
        <w:t>European Association of Clearing Houses (EACH) response - ESMA Consultation Paper “Regulatory technical standards on conditions under which additional services or activities to which a CCP wishes to extend its business are not covered by the initial authorisation and conditions under which changes to the</w:t>
      </w:r>
      <w:r w:rsidRPr="002661A8">
        <w:t xml:space="preserve"> </w:t>
      </w:r>
      <w:r w:rsidRPr="002661A8">
        <w:rPr>
          <w:lang w:eastAsia="en-GB"/>
        </w:rPr>
        <w:t>models and parameters are significant under EMIR” – November 2020.</w:t>
      </w:r>
    </w:p>
  </w:footnote>
  <w:footnote w:id="41">
    <w:p w14:paraId="62CD4104" w14:textId="62FC6D05" w:rsidR="00134BBD" w:rsidRPr="002661A8" w:rsidRDefault="00134BBD" w:rsidP="00827631">
      <w:pPr>
        <w:pStyle w:val="FootnoteText"/>
        <w:spacing w:after="0"/>
        <w:ind w:left="0" w:hanging="284"/>
        <w:rPr>
          <w:lang w:val="en-IE"/>
        </w:rPr>
      </w:pPr>
      <w:r w:rsidRPr="002661A8">
        <w:rPr>
          <w:rStyle w:val="FootnoteReference"/>
        </w:rPr>
        <w:footnoteRef/>
      </w:r>
      <w:r w:rsidRPr="002661A8">
        <w:t xml:space="preserve"> </w:t>
      </w:r>
      <w:r w:rsidRPr="002661A8">
        <w:tab/>
      </w:r>
      <w:r w:rsidRPr="002661A8">
        <w:rPr>
          <w:lang w:val="en-IE"/>
        </w:rPr>
        <w:t>Confidential information provided to DG FISMA services.</w:t>
      </w:r>
    </w:p>
  </w:footnote>
  <w:footnote w:id="42">
    <w:p w14:paraId="6E693282" w14:textId="1A84AACF" w:rsidR="00134BBD" w:rsidRPr="002661A8" w:rsidDel="00A7299B" w:rsidRDefault="00134BBD" w:rsidP="001508B7">
      <w:pPr>
        <w:pStyle w:val="FootnoteText"/>
        <w:spacing w:after="0"/>
        <w:ind w:left="0" w:hanging="284"/>
      </w:pPr>
      <w:r w:rsidRPr="002661A8" w:rsidDel="00A7299B">
        <w:rPr>
          <w:rStyle w:val="FootnoteReference"/>
        </w:rPr>
        <w:footnoteRef/>
      </w:r>
      <w:r w:rsidRPr="002661A8" w:rsidDel="00A7299B">
        <w:t xml:space="preserve"> </w:t>
      </w:r>
      <w:r w:rsidRPr="002661A8" w:rsidDel="00A7299B">
        <w:tab/>
        <w:t xml:space="preserve">See ISDA, “CCP Best Practices”, January 2019, </w:t>
      </w:r>
      <w:hyperlink r:id="rId9" w:history="1">
        <w:r w:rsidRPr="002661A8" w:rsidDel="00A7299B">
          <w:rPr>
            <w:rStyle w:val="Hyperlink"/>
          </w:rPr>
          <w:t>https://www.isda.org/a/cigME/CCP-Best-Practice.pdf</w:t>
        </w:r>
      </w:hyperlink>
      <w:r w:rsidRPr="002661A8" w:rsidDel="00A7299B">
        <w:t>.</w:t>
      </w:r>
    </w:p>
  </w:footnote>
  <w:footnote w:id="43">
    <w:p w14:paraId="3E0FEFB3" w14:textId="4C41EC15" w:rsidR="00134BBD" w:rsidRPr="002661A8" w:rsidRDefault="00134BBD" w:rsidP="0040639C">
      <w:pPr>
        <w:pStyle w:val="FootnoteText"/>
        <w:spacing w:after="0"/>
        <w:ind w:left="0" w:hanging="284"/>
      </w:pPr>
      <w:r w:rsidRPr="002661A8">
        <w:rPr>
          <w:rStyle w:val="FootnoteReference"/>
        </w:rPr>
        <w:footnoteRef/>
      </w:r>
      <w:r w:rsidRPr="002661A8">
        <w:t xml:space="preserve"> </w:t>
      </w:r>
      <w:r w:rsidRPr="002661A8">
        <w:tab/>
        <w:t>See</w:t>
      </w:r>
      <w:r w:rsidRPr="002661A8" w:rsidDel="007C4A5C">
        <w:t xml:space="preserve"> </w:t>
      </w:r>
      <w:r w:rsidRPr="002661A8">
        <w:t>Article 41 of EMIR and the corresponding regulatory technical standards.</w:t>
      </w:r>
    </w:p>
  </w:footnote>
  <w:footnote w:id="44">
    <w:p w14:paraId="78E88E86" w14:textId="1E84847A" w:rsidR="00134BBD" w:rsidRPr="002661A8" w:rsidRDefault="00134BBD" w:rsidP="004330A6">
      <w:pPr>
        <w:pStyle w:val="FootnoteText"/>
        <w:spacing w:after="0"/>
        <w:ind w:left="0" w:hanging="284"/>
        <w:rPr>
          <w:lang w:val="en-IE"/>
        </w:rPr>
      </w:pPr>
      <w:r w:rsidRPr="002661A8">
        <w:rPr>
          <w:rStyle w:val="FootnoteReference"/>
        </w:rPr>
        <w:footnoteRef/>
      </w:r>
      <w:r w:rsidRPr="002661A8">
        <w:t xml:space="preserve"> </w:t>
      </w:r>
      <w:r w:rsidRPr="002661A8">
        <w:tab/>
      </w:r>
      <w:r w:rsidRPr="002661A8">
        <w:rPr>
          <w:lang w:val="en-IE"/>
        </w:rPr>
        <w:t>Participants are not all active on the same maturities or in the same direction, some may have shorter needs or some may want to lock an interest rate over a longer period of time.</w:t>
      </w:r>
    </w:p>
  </w:footnote>
  <w:footnote w:id="45">
    <w:p w14:paraId="78D47927" w14:textId="0075708B" w:rsidR="00134BBD" w:rsidRPr="002661A8" w:rsidRDefault="00134BBD" w:rsidP="0040639C">
      <w:pPr>
        <w:pStyle w:val="FootnoteText"/>
        <w:spacing w:after="0"/>
        <w:ind w:left="0" w:hanging="284"/>
        <w:rPr>
          <w:rStyle w:val="FootnoteReference"/>
          <w:rFonts w:eastAsiaTheme="minorHAnsi"/>
        </w:rPr>
      </w:pPr>
      <w:r w:rsidRPr="002661A8">
        <w:rPr>
          <w:rStyle w:val="FootnoteReference"/>
        </w:rPr>
        <w:footnoteRef/>
      </w:r>
      <w:r w:rsidRPr="002661A8">
        <w:rPr>
          <w:rStyle w:val="FootnoteReference"/>
        </w:rPr>
        <w:t xml:space="preserve"> </w:t>
      </w:r>
      <w:r w:rsidRPr="002661A8">
        <w:tab/>
        <w:t>See Commission Staff Working Document, SWD/2017/0246 final – 2017/0136 (COD), p.</w:t>
      </w:r>
      <w:r w:rsidRPr="00FD3A63">
        <w:rPr>
          <w:lang w:val="en-IE"/>
        </w:rPr>
        <w:t> </w:t>
      </w:r>
      <w:r w:rsidRPr="002661A8">
        <w:t>63-65.</w:t>
      </w:r>
    </w:p>
  </w:footnote>
  <w:footnote w:id="46">
    <w:p w14:paraId="388099CD" w14:textId="6298A3EF" w:rsidR="00134BBD" w:rsidRPr="002661A8" w:rsidRDefault="00134BBD" w:rsidP="000F1A36">
      <w:pPr>
        <w:pStyle w:val="FootnoteText"/>
        <w:spacing w:after="0"/>
        <w:ind w:left="0" w:hanging="284"/>
      </w:pPr>
      <w:r w:rsidRPr="002661A8">
        <w:rPr>
          <w:rStyle w:val="FootnoteReference"/>
        </w:rPr>
        <w:footnoteRef/>
      </w:r>
      <w:r w:rsidRPr="002661A8">
        <w:t xml:space="preserve"> </w:t>
      </w:r>
      <w:r w:rsidRPr="002661A8">
        <w:tab/>
        <w:t>Confidential information provided to DG FISMA services.</w:t>
      </w:r>
    </w:p>
  </w:footnote>
  <w:footnote w:id="47">
    <w:p w14:paraId="047E9D4F" w14:textId="7E77042D" w:rsidR="00134BBD" w:rsidRPr="002661A8" w:rsidRDefault="00134BBD" w:rsidP="00FB6AEE">
      <w:pPr>
        <w:pStyle w:val="FootnoteText"/>
        <w:spacing w:after="0"/>
        <w:ind w:left="0" w:hanging="284"/>
        <w:contextualSpacing/>
      </w:pPr>
      <w:r w:rsidRPr="002661A8">
        <w:rPr>
          <w:rStyle w:val="FootnoteReference"/>
        </w:rPr>
        <w:footnoteRef/>
      </w:r>
      <w:r w:rsidRPr="002661A8">
        <w:t xml:space="preserve"> </w:t>
      </w:r>
      <w:r w:rsidRPr="002661A8">
        <w:tab/>
        <w:t>E.g. successful handling of the Lehman Brothers failure at LCH Ltd is often mentioned as a case in point to confirm the soundness and good performance of the CCP.</w:t>
      </w:r>
    </w:p>
  </w:footnote>
  <w:footnote w:id="48">
    <w:p w14:paraId="062B9651" w14:textId="55612469" w:rsidR="00134BBD" w:rsidRPr="002661A8" w:rsidRDefault="00134BBD" w:rsidP="002E7AC5">
      <w:pPr>
        <w:pStyle w:val="FootnoteText"/>
        <w:spacing w:after="0"/>
        <w:ind w:left="0" w:hanging="284"/>
      </w:pPr>
      <w:r w:rsidRPr="002661A8">
        <w:rPr>
          <w:rStyle w:val="FootnoteReference"/>
        </w:rPr>
        <w:footnoteRef/>
      </w:r>
      <w:r w:rsidRPr="002661A8">
        <w:t xml:space="preserve"> </w:t>
      </w:r>
      <w:r w:rsidRPr="002661A8">
        <w:tab/>
        <w:t xml:space="preserve">See 2021 ESMA report on UK CCPs (see footnote </w:t>
      </w:r>
      <w:r>
        <w:t>9 above</w:t>
      </w:r>
      <w:r w:rsidRPr="002661A8">
        <w:t>).</w:t>
      </w:r>
    </w:p>
  </w:footnote>
  <w:footnote w:id="49">
    <w:p w14:paraId="6A8487CB" w14:textId="2EC95A0F" w:rsidR="00134BBD" w:rsidRPr="002661A8" w:rsidRDefault="00134BBD" w:rsidP="005F6F9B">
      <w:pPr>
        <w:pStyle w:val="FootnoteText"/>
        <w:spacing w:after="0"/>
        <w:ind w:left="0" w:hanging="284"/>
      </w:pPr>
      <w:r w:rsidRPr="002661A8">
        <w:rPr>
          <w:rStyle w:val="FootnoteReference"/>
        </w:rPr>
        <w:footnoteRef/>
      </w:r>
      <w:r w:rsidRPr="002661A8">
        <w:t xml:space="preserve"> </w:t>
      </w:r>
      <w:r w:rsidRPr="002661A8">
        <w:tab/>
        <w:t xml:space="preserve">See 2021 ESMA report on UK CCPs (see footnote </w:t>
      </w:r>
      <w:r>
        <w:t>9 above</w:t>
      </w:r>
      <w:r w:rsidRPr="002661A8">
        <w:t>).</w:t>
      </w:r>
    </w:p>
  </w:footnote>
  <w:footnote w:id="50">
    <w:p w14:paraId="4D2F4787" w14:textId="2CF0D1A2" w:rsidR="00134BBD" w:rsidRPr="002661A8" w:rsidRDefault="00134BBD" w:rsidP="00A475C1">
      <w:pPr>
        <w:pStyle w:val="FootnoteText"/>
        <w:spacing w:after="0"/>
        <w:ind w:left="0" w:hanging="284"/>
      </w:pPr>
      <w:r w:rsidRPr="002661A8">
        <w:rPr>
          <w:rStyle w:val="FootnoteReference"/>
        </w:rPr>
        <w:footnoteRef/>
      </w:r>
      <w:r w:rsidRPr="002661A8">
        <w:t xml:space="preserve"> </w:t>
      </w:r>
      <w:r w:rsidRPr="002661A8">
        <w:tab/>
        <w:t xml:space="preserve">See 2021 ESMA report on UK CCPs (see footnote </w:t>
      </w:r>
      <w:r>
        <w:t>9 above</w:t>
      </w:r>
      <w:r w:rsidRPr="002661A8">
        <w:t>).</w:t>
      </w:r>
    </w:p>
  </w:footnote>
  <w:footnote w:id="51">
    <w:p w14:paraId="1AE34561" w14:textId="79F9512C" w:rsidR="00134BBD" w:rsidRPr="002661A8" w:rsidRDefault="00134BBD" w:rsidP="00A475C1">
      <w:pPr>
        <w:pStyle w:val="FootnoteText"/>
        <w:spacing w:after="0"/>
        <w:ind w:left="0" w:hanging="284"/>
      </w:pPr>
      <w:r w:rsidRPr="002661A8">
        <w:rPr>
          <w:rStyle w:val="FootnoteReference"/>
        </w:rPr>
        <w:footnoteRef/>
      </w:r>
      <w:r w:rsidRPr="002661A8">
        <w:t xml:space="preserve"> </w:t>
      </w:r>
      <w:r w:rsidRPr="002661A8">
        <w:tab/>
      </w:r>
      <w:r w:rsidRPr="00DB378F">
        <w:t>ESMA notes in its report that “</w:t>
      </w:r>
      <w:r>
        <w:rPr>
          <w:i/>
        </w:rPr>
        <w:t>T</w:t>
      </w:r>
      <w:r w:rsidRPr="00DB378F">
        <w:rPr>
          <w:i/>
        </w:rPr>
        <w:t xml:space="preserve">o reduce </w:t>
      </w:r>
      <w:r>
        <w:rPr>
          <w:i/>
        </w:rPr>
        <w:t xml:space="preserve">(i) </w:t>
      </w:r>
      <w:r w:rsidRPr="00DB378F">
        <w:rPr>
          <w:i/>
        </w:rPr>
        <w:t>the substantial systemic importance of LCH Ltd SwapClear, ICEU CDS, and ICEU STIR for the financial stability of the EU or one or more of its Member States and (ii) the identified risks and vulnerabilities linked to the recognition of these clearing services, ESMA is of the opinion that the adoption of appropriate measures and safeguards to mitigate risks should be considered. Given the significance of the risks caused by the lack of supervisory and crisis management powers in times of distress and the size of the exposures of EU clearing participants as explained above, ESMA should after an appropriate period review the clearing services that have been assessed in the assessment against whether introduced measures and safeguards have achieved the desired mitigating effect</w:t>
      </w:r>
      <w:r w:rsidRPr="00DB378F">
        <w:t>”.</w:t>
      </w:r>
      <w:r w:rsidRPr="00DB378F">
        <w:rPr>
          <w:rStyle w:val="FootnoteReference"/>
        </w:rPr>
        <w:t xml:space="preserve"> </w:t>
      </w:r>
      <w:r w:rsidRPr="00880422">
        <w:t>See</w:t>
      </w:r>
      <w:r w:rsidRPr="002661A8">
        <w:t xml:space="preserve"> 2021 ESMA report on UK CCPs (see footnote </w:t>
      </w:r>
      <w:r>
        <w:t>9 above</w:t>
      </w:r>
      <w:r w:rsidRPr="002661A8">
        <w:t>).</w:t>
      </w:r>
    </w:p>
  </w:footnote>
  <w:footnote w:id="52">
    <w:p w14:paraId="13EAC227" w14:textId="28133469" w:rsidR="00134BBD" w:rsidRPr="002661A8" w:rsidRDefault="00134BBD" w:rsidP="00C82FAE">
      <w:pPr>
        <w:pStyle w:val="FootnoteText"/>
        <w:spacing w:after="0"/>
        <w:ind w:left="0" w:hanging="284"/>
      </w:pPr>
      <w:r w:rsidRPr="002661A8">
        <w:rPr>
          <w:rStyle w:val="FootnoteReference"/>
        </w:rPr>
        <w:footnoteRef/>
      </w:r>
      <w:r w:rsidRPr="002661A8">
        <w:t xml:space="preserve"> </w:t>
      </w:r>
      <w:r w:rsidRPr="002661A8">
        <w:tab/>
        <w:t>Confidential information provided to FISMA services.</w:t>
      </w:r>
    </w:p>
  </w:footnote>
  <w:footnote w:id="53">
    <w:p w14:paraId="5BAB5C18" w14:textId="3551253C" w:rsidR="00134BBD" w:rsidRPr="002661A8" w:rsidRDefault="00134BBD" w:rsidP="00995364">
      <w:pPr>
        <w:pStyle w:val="FootnoteText"/>
        <w:spacing w:after="0"/>
        <w:ind w:left="0" w:hanging="284"/>
      </w:pPr>
      <w:r w:rsidRPr="002661A8">
        <w:rPr>
          <w:rStyle w:val="FootnoteReference"/>
        </w:rPr>
        <w:footnoteRef/>
      </w:r>
      <w:r w:rsidRPr="002661A8">
        <w:t xml:space="preserve"> </w:t>
      </w:r>
      <w:r w:rsidRPr="002661A8">
        <w:tab/>
        <w:t xml:space="preserve">The volume of these additional flows will depend on a range of different factors including the policy options chosen, their ultimate calibration, as well as other economic and political developments across the globe. See </w:t>
      </w:r>
      <w:hyperlink w:anchor="_Objectives:_What_is" w:history="1">
        <w:r w:rsidRPr="002661A8">
          <w:rPr>
            <w:rStyle w:val="Hyperlink"/>
          </w:rPr>
          <w:t>Section 5</w:t>
        </w:r>
      </w:hyperlink>
      <w:r w:rsidRPr="002661A8">
        <w:t xml:space="preserve"> for further information on the objectives of this initiative.</w:t>
      </w:r>
    </w:p>
  </w:footnote>
  <w:footnote w:id="54">
    <w:p w14:paraId="1EA107A9" w14:textId="77777777" w:rsidR="00134BBD" w:rsidRPr="002661A8" w:rsidRDefault="00134BBD" w:rsidP="006A74C1">
      <w:pPr>
        <w:pStyle w:val="FootnoteText"/>
        <w:spacing w:after="0"/>
        <w:ind w:left="0" w:hanging="284"/>
        <w:rPr>
          <w:lang w:val="en-IE"/>
        </w:rPr>
      </w:pPr>
      <w:r w:rsidRPr="002661A8">
        <w:rPr>
          <w:rStyle w:val="FootnoteReference"/>
        </w:rPr>
        <w:footnoteRef/>
      </w:r>
      <w:r w:rsidRPr="002661A8">
        <w:t xml:space="preserve"> </w:t>
      </w:r>
      <w:r w:rsidRPr="002661A8">
        <w:tab/>
      </w:r>
      <w:r w:rsidRPr="002661A8">
        <w:rPr>
          <w:lang w:val="en-IE"/>
        </w:rPr>
        <w:t>Confidential information provided to DG FISMA services stated that there is a risk that, following authorisation, CCP colleges have become a mechanism for the exchange of information, rather than an effective supervisory tool.</w:t>
      </w:r>
    </w:p>
  </w:footnote>
  <w:footnote w:id="55">
    <w:p w14:paraId="54EFE601" w14:textId="6CABFB12" w:rsidR="00134BBD" w:rsidRPr="002661A8" w:rsidRDefault="00134BBD" w:rsidP="00D17B66">
      <w:pPr>
        <w:pStyle w:val="FootnoteText"/>
        <w:spacing w:after="0"/>
        <w:ind w:left="0" w:hanging="284"/>
      </w:pPr>
      <w:r w:rsidRPr="002661A8">
        <w:rPr>
          <w:rStyle w:val="FootnoteReference"/>
        </w:rPr>
        <w:footnoteRef/>
      </w:r>
      <w:r w:rsidRPr="002661A8">
        <w:t xml:space="preserve"> </w:t>
      </w:r>
      <w:r w:rsidRPr="002661A8">
        <w:tab/>
        <w:t>E.g. according to confidential information provided to DG FISMA, one national supervisor gave, prior to the entry into force of EMIR 2.2, a “blanket” authorisation to a CCP so no extension of activities under Article 15 of EMIR would be needed. In another case, ESMA and a national supervisor did not agree on whether the change in models proposed by a CCP was significant (and deserved an Article</w:t>
      </w:r>
      <w:r w:rsidRPr="00F514FE">
        <w:rPr>
          <w:lang w:val="en-IE"/>
        </w:rPr>
        <w:t> </w:t>
      </w:r>
      <w:r w:rsidRPr="002661A8">
        <w:t>49 of EMIR validation); the college agreed with the national supervisor.</w:t>
      </w:r>
    </w:p>
  </w:footnote>
  <w:footnote w:id="56">
    <w:p w14:paraId="4661B3D4" w14:textId="17228AC8" w:rsidR="00134BBD" w:rsidRPr="002661A8" w:rsidRDefault="00134BBD" w:rsidP="0033469D">
      <w:pPr>
        <w:pStyle w:val="FootnoteText"/>
        <w:spacing w:after="0"/>
        <w:ind w:left="0" w:hanging="284"/>
      </w:pPr>
      <w:r w:rsidRPr="002661A8">
        <w:rPr>
          <w:rStyle w:val="FootnoteReference"/>
        </w:rPr>
        <w:footnoteRef/>
      </w:r>
      <w:r w:rsidRPr="002661A8">
        <w:t xml:space="preserve"> </w:t>
      </w:r>
      <w:r w:rsidRPr="002661A8">
        <w:tab/>
        <w:t>E.g. in areas not required under EMIR. ESMA Confidential Report, EMIR 2.2 staffing and resources, para.</w:t>
      </w:r>
      <w:r w:rsidRPr="00711FD5">
        <w:rPr>
          <w:lang w:val="en-IE"/>
        </w:rPr>
        <w:t> </w:t>
      </w:r>
      <w:r w:rsidRPr="002661A8">
        <w:t>30.</w:t>
      </w:r>
      <w:r>
        <w:t xml:space="preserve"> </w:t>
      </w:r>
    </w:p>
  </w:footnote>
  <w:footnote w:id="57">
    <w:p w14:paraId="13A4FC5E" w14:textId="4F0CB4D5" w:rsidR="00134BBD" w:rsidRPr="002661A8" w:rsidRDefault="00134BBD" w:rsidP="00D17B66">
      <w:pPr>
        <w:pStyle w:val="FootnoteText"/>
        <w:spacing w:after="0"/>
        <w:ind w:left="0" w:hanging="284"/>
        <w:rPr>
          <w:lang w:val="en-IE"/>
        </w:rPr>
      </w:pPr>
      <w:r w:rsidRPr="002661A8">
        <w:rPr>
          <w:rStyle w:val="FootnoteReference"/>
        </w:rPr>
        <w:footnoteRef/>
      </w:r>
      <w:r w:rsidRPr="002661A8">
        <w:t xml:space="preserve"> </w:t>
      </w:r>
      <w:r w:rsidRPr="002661A8">
        <w:tab/>
      </w:r>
      <w:r w:rsidRPr="002661A8">
        <w:rPr>
          <w:lang w:val="en-IE"/>
        </w:rPr>
        <w:t>Based on confidential information provided to DG FISMA services, in two cases, for example, national supervisors did not take into account the ESMA recommendations.</w:t>
      </w:r>
    </w:p>
  </w:footnote>
  <w:footnote w:id="58">
    <w:p w14:paraId="13FFB52C" w14:textId="77777777" w:rsidR="00134BBD" w:rsidRPr="002661A8" w:rsidRDefault="00134BBD" w:rsidP="00A34A37">
      <w:pPr>
        <w:pStyle w:val="FootnoteText"/>
        <w:spacing w:after="0"/>
        <w:ind w:left="0" w:hanging="284"/>
        <w:rPr>
          <w:rStyle w:val="FootnoteReference"/>
          <w:rFonts w:eastAsiaTheme="minorHAnsi"/>
        </w:rPr>
      </w:pPr>
      <w:r w:rsidRPr="002661A8">
        <w:rPr>
          <w:rStyle w:val="FootnoteReference"/>
        </w:rPr>
        <w:footnoteRef/>
      </w:r>
      <w:r w:rsidRPr="002661A8">
        <w:rPr>
          <w:rStyle w:val="FootnoteReference"/>
        </w:rPr>
        <w:t xml:space="preserve"> </w:t>
      </w:r>
      <w:r w:rsidRPr="002661A8">
        <w:tab/>
        <w:t xml:space="preserve">Confidential information provided to DG FISMA services. </w:t>
      </w:r>
    </w:p>
  </w:footnote>
  <w:footnote w:id="59">
    <w:p w14:paraId="2D3C9F7D" w14:textId="77777777" w:rsidR="00134BBD" w:rsidRPr="002661A8" w:rsidRDefault="00134BBD" w:rsidP="006A74C1">
      <w:pPr>
        <w:pStyle w:val="FootnoteText"/>
        <w:spacing w:after="0"/>
        <w:ind w:left="0" w:hanging="284"/>
      </w:pPr>
      <w:r w:rsidRPr="002661A8">
        <w:rPr>
          <w:rStyle w:val="FootnoteReference"/>
        </w:rPr>
        <w:footnoteRef/>
      </w:r>
      <w:r w:rsidRPr="002661A8">
        <w:rPr>
          <w:rStyle w:val="FootnoteReference"/>
        </w:rPr>
        <w:t xml:space="preserve"> </w:t>
      </w:r>
      <w:r w:rsidRPr="002661A8">
        <w:rPr>
          <w:rStyle w:val="FootnoteReference"/>
        </w:rPr>
        <w:tab/>
      </w:r>
      <w:r w:rsidRPr="002661A8">
        <w:t>Confidential information provided to DG FISMA services.</w:t>
      </w:r>
    </w:p>
  </w:footnote>
  <w:footnote w:id="60">
    <w:p w14:paraId="08E94C1F" w14:textId="4AC01E3E" w:rsidR="00134BBD" w:rsidRPr="002661A8" w:rsidRDefault="00134BBD" w:rsidP="006A74C1">
      <w:pPr>
        <w:pStyle w:val="FootnoteText"/>
        <w:spacing w:after="0"/>
        <w:ind w:left="0" w:hanging="284"/>
      </w:pPr>
      <w:r w:rsidRPr="002661A8">
        <w:rPr>
          <w:rStyle w:val="FootnoteReference"/>
        </w:rPr>
        <w:footnoteRef/>
      </w:r>
      <w:r w:rsidRPr="002661A8">
        <w:t xml:space="preserve"> </w:t>
      </w:r>
      <w:r w:rsidRPr="002661A8">
        <w:tab/>
        <w:t xml:space="preserve">ESMA review of CCP colleges under EMIR (2015/20), </w:t>
      </w:r>
      <w:hyperlink r:id="rId10" w:history="1">
        <w:r w:rsidRPr="002661A8">
          <w:rPr>
            <w:rStyle w:val="Hyperlink"/>
          </w:rPr>
          <w:t>https://www.esma.europa.eu/document/esma-review-ccp-colleges-under-emir</w:t>
        </w:r>
      </w:hyperlink>
      <w:r w:rsidRPr="002661A8">
        <w:t>, para. 32.</w:t>
      </w:r>
    </w:p>
  </w:footnote>
  <w:footnote w:id="61">
    <w:p w14:paraId="203A9729" w14:textId="29C2AA7C" w:rsidR="00134BBD" w:rsidRPr="002661A8" w:rsidRDefault="00134BBD" w:rsidP="002E7AC5">
      <w:pPr>
        <w:pStyle w:val="FootnoteText"/>
        <w:spacing w:after="0"/>
        <w:ind w:left="0" w:hanging="284"/>
        <w:rPr>
          <w:lang w:val="en-IE"/>
        </w:rPr>
      </w:pPr>
      <w:r w:rsidRPr="002661A8">
        <w:rPr>
          <w:rStyle w:val="FootnoteReference"/>
        </w:rPr>
        <w:footnoteRef/>
      </w:r>
      <w:r w:rsidRPr="002661A8">
        <w:t xml:space="preserve"> </w:t>
      </w:r>
      <w:r w:rsidRPr="002661A8">
        <w:tab/>
      </w:r>
      <w:r w:rsidRPr="002661A8">
        <w:rPr>
          <w:lang w:val="en-IE"/>
        </w:rPr>
        <w:t>Confidential information provided to DG FISMA services.</w:t>
      </w:r>
    </w:p>
  </w:footnote>
  <w:footnote w:id="62">
    <w:p w14:paraId="53AA98DF" w14:textId="0EFE293B" w:rsidR="00134BBD" w:rsidRPr="002661A8" w:rsidRDefault="00134BBD" w:rsidP="001172E2">
      <w:pPr>
        <w:pStyle w:val="FootnoteText"/>
        <w:spacing w:after="0"/>
        <w:ind w:left="0" w:hanging="284"/>
        <w:rPr>
          <w:lang w:val="en-IE"/>
        </w:rPr>
      </w:pPr>
      <w:r w:rsidRPr="002661A8">
        <w:rPr>
          <w:rStyle w:val="FootnoteReference"/>
        </w:rPr>
        <w:footnoteRef/>
      </w:r>
      <w:r w:rsidRPr="002661A8">
        <w:t xml:space="preserve"> </w:t>
      </w:r>
      <w:r w:rsidRPr="002661A8">
        <w:tab/>
        <w:t>Article 15 EMIR sets out the procedure under which an EU CCP can extend its services or activities. An extension of the authorisation follows the same procedure as that for authorising a CCP (Article 17).</w:t>
      </w:r>
    </w:p>
  </w:footnote>
  <w:footnote w:id="63">
    <w:p w14:paraId="15F90C65" w14:textId="0B8C825B" w:rsidR="00134BBD" w:rsidRPr="00F4160A" w:rsidRDefault="00134BBD" w:rsidP="00F4160A">
      <w:pPr>
        <w:pStyle w:val="FootnoteText"/>
        <w:spacing w:after="0"/>
        <w:ind w:left="0" w:hanging="284"/>
      </w:pPr>
      <w:r w:rsidRPr="001C4637">
        <w:rPr>
          <w:rStyle w:val="FootnoteReference"/>
        </w:rPr>
        <w:footnoteRef/>
      </w:r>
      <w:r>
        <w:t xml:space="preserve"> </w:t>
      </w:r>
      <w:r>
        <w:tab/>
      </w:r>
      <w:r w:rsidRPr="00F4160A">
        <w:t xml:space="preserve">See </w:t>
      </w:r>
      <w:r>
        <w:t xml:space="preserve">section 3.4.1. of the </w:t>
      </w:r>
      <w:r w:rsidRPr="00F4160A">
        <w:t>Summary Report of the Targeted Consultation on the Review of the Central Clearing Framework in the European Union (“EMIR”), hereinafter “Summary Report of 2022 EMIR Targeted Consultation”.</w:t>
      </w:r>
    </w:p>
  </w:footnote>
  <w:footnote w:id="64">
    <w:p w14:paraId="05BD2B4F" w14:textId="3C4FB1F6" w:rsidR="00134BBD" w:rsidRPr="002661A8" w:rsidRDefault="00134BBD" w:rsidP="005F1598">
      <w:pPr>
        <w:pStyle w:val="FootnoteText"/>
        <w:spacing w:after="0"/>
        <w:ind w:left="0" w:hanging="284"/>
      </w:pPr>
      <w:r w:rsidRPr="002661A8">
        <w:rPr>
          <w:rStyle w:val="FootnoteReference"/>
        </w:rPr>
        <w:footnoteRef/>
      </w:r>
      <w:r w:rsidRPr="002661A8">
        <w:t xml:space="preserve"> </w:t>
      </w:r>
      <w:r w:rsidRPr="002661A8">
        <w:tab/>
        <w:t>ESMA response to the European Commission’s targeted consultation on the review of the EU central clearing framework, ESMA91-372-21251, April</w:t>
      </w:r>
      <w:r w:rsidRPr="00711FD5">
        <w:rPr>
          <w:lang w:val="en-IE"/>
        </w:rPr>
        <w:t> </w:t>
      </w:r>
      <w:r w:rsidRPr="002661A8">
        <w:t xml:space="preserve">2022, </w:t>
      </w:r>
      <w:hyperlink r:id="rId11" w:history="1">
        <w:r w:rsidRPr="002661A8">
          <w:rPr>
            <w:rStyle w:val="Hyperlink"/>
          </w:rPr>
          <w:t>https://www.esma.europa.eu/sites/default/files/library/esma91-372-2125_letter_chair_esma_response_to_ec_consultation_on_targeted_emir_review.pdf</w:t>
        </w:r>
      </w:hyperlink>
      <w:r w:rsidRPr="002661A8">
        <w:t>, paras.</w:t>
      </w:r>
      <w:r w:rsidRPr="00F61A4C">
        <w:rPr>
          <w:lang w:val="en-IE"/>
        </w:rPr>
        <w:t xml:space="preserve">  </w:t>
      </w:r>
      <w:r w:rsidRPr="002661A8">
        <w:t>94 ff.</w:t>
      </w:r>
    </w:p>
  </w:footnote>
  <w:footnote w:id="65">
    <w:p w14:paraId="4FC364A7" w14:textId="6341C417" w:rsidR="00134BBD" w:rsidRPr="00167AC4" w:rsidRDefault="00134BBD" w:rsidP="00167AC4">
      <w:pPr>
        <w:pStyle w:val="FootnoteText"/>
        <w:spacing w:after="0"/>
        <w:ind w:left="0" w:hanging="284"/>
        <w:rPr>
          <w:lang w:val="en-IE"/>
        </w:rPr>
      </w:pPr>
      <w:r w:rsidRPr="00325494">
        <w:rPr>
          <w:rStyle w:val="FootnoteReference"/>
        </w:rPr>
        <w:footnoteRef/>
      </w:r>
      <w:r w:rsidRPr="00325494">
        <w:rPr>
          <w:rStyle w:val="FootnoteReference"/>
        </w:rPr>
        <w:t xml:space="preserve"> </w:t>
      </w:r>
      <w:r>
        <w:tab/>
      </w:r>
      <w:r w:rsidRPr="00167AC4">
        <w:t>See</w:t>
      </w:r>
      <w:r w:rsidRPr="00167AC4">
        <w:rPr>
          <w:lang w:val="en-IE"/>
        </w:rPr>
        <w:t xml:space="preserve"> Annex </w:t>
      </w:r>
      <w:r>
        <w:rPr>
          <w:lang w:val="en-IE"/>
        </w:rPr>
        <w:t>2</w:t>
      </w:r>
      <w:r w:rsidRPr="00167AC4">
        <w:rPr>
          <w:lang w:val="en-IE"/>
        </w:rPr>
        <w:t>, Minutes Meeting with Member States on 16 J</w:t>
      </w:r>
      <w:r>
        <w:rPr>
          <w:lang w:val="en-IE"/>
        </w:rPr>
        <w:t>une 2022.</w:t>
      </w:r>
    </w:p>
  </w:footnote>
  <w:footnote w:id="66">
    <w:p w14:paraId="4CFB88FD" w14:textId="793143D9" w:rsidR="00134BBD" w:rsidRPr="002661A8" w:rsidRDefault="00134BBD" w:rsidP="00FD2BC6">
      <w:pPr>
        <w:pStyle w:val="FootnoteText"/>
        <w:spacing w:after="0"/>
        <w:ind w:left="0" w:hanging="284"/>
        <w:rPr>
          <w:rStyle w:val="FootnoteReference"/>
          <w:rFonts w:asciiTheme="minorHAnsi" w:eastAsiaTheme="minorEastAsia" w:hAnsiTheme="minorHAnsi" w:cstheme="minorBidi"/>
          <w:vertAlign w:val="baseline"/>
        </w:rPr>
      </w:pPr>
      <w:r w:rsidRPr="002661A8">
        <w:rPr>
          <w:rStyle w:val="FootnoteReference"/>
        </w:rPr>
        <w:footnoteRef/>
      </w:r>
      <w:r w:rsidRPr="002661A8">
        <w:rPr>
          <w:rStyle w:val="FootnoteReference"/>
        </w:rPr>
        <w:t xml:space="preserve"> </w:t>
      </w:r>
      <w:r w:rsidRPr="002661A8">
        <w:rPr>
          <w:rStyle w:val="FootnoteReference"/>
        </w:rPr>
        <w:tab/>
      </w:r>
      <w:r w:rsidRPr="002661A8">
        <w:rPr>
          <w:rStyle w:val="FootnoteReference"/>
          <w:vertAlign w:val="baseline"/>
        </w:rPr>
        <w:t>Confidential information provided to FISMA services.</w:t>
      </w:r>
    </w:p>
  </w:footnote>
  <w:footnote w:id="67">
    <w:p w14:paraId="68C324A1" w14:textId="633CD4BA" w:rsidR="00134BBD" w:rsidRPr="002661A8" w:rsidRDefault="00134BBD">
      <w:pPr>
        <w:pStyle w:val="FootnoteText"/>
        <w:spacing w:after="0"/>
        <w:ind w:left="0" w:hanging="284"/>
        <w:rPr>
          <w:lang w:val="en-IE"/>
        </w:rPr>
      </w:pPr>
      <w:r w:rsidRPr="002661A8">
        <w:rPr>
          <w:rStyle w:val="FootnoteReference"/>
        </w:rPr>
        <w:footnoteRef/>
      </w:r>
      <w:r w:rsidRPr="002661A8">
        <w:t xml:space="preserve"> </w:t>
      </w:r>
      <w:r w:rsidRPr="002661A8">
        <w:tab/>
      </w:r>
      <w:r w:rsidRPr="002661A8">
        <w:rPr>
          <w:lang w:val="en-IE"/>
        </w:rPr>
        <w:t>According to confidential information provided to FISMA services.</w:t>
      </w:r>
    </w:p>
  </w:footnote>
  <w:footnote w:id="68">
    <w:p w14:paraId="1D047F41" w14:textId="51457A33" w:rsidR="00134BBD" w:rsidRPr="002661A8" w:rsidRDefault="00134BBD" w:rsidP="00926AB1">
      <w:pPr>
        <w:pStyle w:val="FootnoteText"/>
        <w:spacing w:after="0"/>
        <w:ind w:left="0" w:hanging="284"/>
      </w:pPr>
      <w:r w:rsidRPr="002661A8">
        <w:rPr>
          <w:rStyle w:val="FootnoteReference"/>
        </w:rPr>
        <w:footnoteRef/>
      </w:r>
      <w:r w:rsidRPr="002661A8">
        <w:t xml:space="preserve"> </w:t>
      </w:r>
      <w:r w:rsidRPr="002661A8">
        <w:tab/>
        <w:t>Confidential information provided to DG FISMA services.</w:t>
      </w:r>
    </w:p>
  </w:footnote>
  <w:footnote w:id="69">
    <w:p w14:paraId="216122B6" w14:textId="79EB53A9" w:rsidR="00134BBD" w:rsidRPr="002661A8" w:rsidRDefault="00134BBD" w:rsidP="00FD2BC6">
      <w:pPr>
        <w:pStyle w:val="FootnoteText"/>
        <w:spacing w:after="0"/>
        <w:ind w:left="0" w:hanging="284"/>
        <w:rPr>
          <w:rFonts w:eastAsiaTheme="minorEastAsia"/>
        </w:rPr>
      </w:pPr>
      <w:r w:rsidRPr="002661A8">
        <w:rPr>
          <w:rStyle w:val="FootnoteReference"/>
        </w:rPr>
        <w:footnoteRef/>
      </w:r>
      <w:r w:rsidRPr="002661A8">
        <w:rPr>
          <w:rStyle w:val="FootnoteReference"/>
        </w:rPr>
        <w:t xml:space="preserve"> </w:t>
      </w:r>
      <w:r w:rsidRPr="002661A8">
        <w:tab/>
      </w:r>
      <w:r w:rsidRPr="002661A8">
        <w:rPr>
          <w:rStyle w:val="FootnoteReference"/>
          <w:vertAlign w:val="baseline"/>
        </w:rPr>
        <w:t>According to confidential information provided to FISMA services, interactions with a NCA in the initial phase to launch a new initiative needs the CCP to assess the initiative against all EMIR articles, with multiple questions and answers sessions with the NCA, leading to a self-assessment of more than 60 A3 pages and evidence amounting to more than 130 documents.</w:t>
      </w:r>
    </w:p>
  </w:footnote>
  <w:footnote w:id="70">
    <w:p w14:paraId="267D5B03" w14:textId="7BC8A256" w:rsidR="00134BBD" w:rsidRPr="002661A8" w:rsidRDefault="00134BBD">
      <w:pPr>
        <w:pStyle w:val="FootnoteText"/>
        <w:spacing w:after="0"/>
        <w:ind w:left="0" w:hanging="284"/>
      </w:pPr>
      <w:r w:rsidRPr="002661A8">
        <w:rPr>
          <w:rStyle w:val="FootnoteReference"/>
        </w:rPr>
        <w:footnoteRef/>
      </w:r>
      <w:r w:rsidRPr="002661A8">
        <w:t xml:space="preserve"> </w:t>
      </w:r>
      <w:r w:rsidRPr="002661A8">
        <w:tab/>
      </w:r>
      <w:r w:rsidRPr="002661A8">
        <w:rPr>
          <w:lang w:eastAsia="en-GB"/>
        </w:rPr>
        <w:t>EACH response - ESMA Consultation Paper “Regulatory technical standards on conditions under which additional services or activities to which a CCP wishes to extend its business are not covered by the initial authorisation and conditions under which changes to the</w:t>
      </w:r>
      <w:r w:rsidRPr="002661A8">
        <w:t xml:space="preserve"> </w:t>
      </w:r>
      <w:r w:rsidRPr="002661A8">
        <w:rPr>
          <w:lang w:eastAsia="en-GB"/>
        </w:rPr>
        <w:t>models and parameters are significant under EMIR”,</w:t>
      </w:r>
      <w:r w:rsidRPr="002661A8" w:rsidDel="005F791D">
        <w:rPr>
          <w:lang w:eastAsia="en-GB"/>
        </w:rPr>
        <w:t xml:space="preserve"> </w:t>
      </w:r>
      <w:r w:rsidRPr="002661A8">
        <w:rPr>
          <w:lang w:eastAsia="en-GB"/>
        </w:rPr>
        <w:t xml:space="preserve">November 2020. </w:t>
      </w:r>
    </w:p>
  </w:footnote>
  <w:footnote w:id="71">
    <w:p w14:paraId="41C53DBE" w14:textId="05D8498D" w:rsidR="00134BBD" w:rsidRPr="002661A8" w:rsidRDefault="00134BBD" w:rsidP="00926AB1">
      <w:pPr>
        <w:pStyle w:val="FootnoteText"/>
        <w:spacing w:after="0"/>
        <w:ind w:left="0" w:hanging="284"/>
        <w:rPr>
          <w:lang w:val="en-IE"/>
        </w:rPr>
      </w:pPr>
      <w:r w:rsidRPr="002661A8">
        <w:rPr>
          <w:rStyle w:val="FootnoteReference"/>
        </w:rPr>
        <w:footnoteRef/>
      </w:r>
      <w:r w:rsidRPr="002661A8">
        <w:t xml:space="preserve"> </w:t>
      </w:r>
      <w:r w:rsidRPr="002661A8">
        <w:tab/>
      </w:r>
      <w:r w:rsidRPr="002661A8">
        <w:rPr>
          <w:lang w:val="en-IE"/>
        </w:rPr>
        <w:t>Confidential information provided to DG FISMA services.</w:t>
      </w:r>
    </w:p>
  </w:footnote>
  <w:footnote w:id="72">
    <w:p w14:paraId="539081DB" w14:textId="558A58E0" w:rsidR="00134BBD" w:rsidRPr="002661A8" w:rsidRDefault="00134BBD" w:rsidP="001F3FA6">
      <w:pPr>
        <w:pStyle w:val="FootnoteText"/>
        <w:spacing w:after="0"/>
        <w:ind w:left="0" w:hanging="284"/>
      </w:pPr>
      <w:r w:rsidRPr="002661A8">
        <w:rPr>
          <w:rStyle w:val="FootnoteReference"/>
        </w:rPr>
        <w:footnoteRef/>
      </w:r>
      <w:r w:rsidRPr="002661A8">
        <w:t xml:space="preserve"> </w:t>
      </w:r>
      <w:r w:rsidRPr="002661A8">
        <w:tab/>
      </w:r>
      <w:r w:rsidRPr="002661A8">
        <w:rPr>
          <w:lang w:val="en-IE"/>
        </w:rPr>
        <w:t>Confidential information provided to DG FISMA services.</w:t>
      </w:r>
    </w:p>
  </w:footnote>
  <w:footnote w:id="73">
    <w:p w14:paraId="1AB20018" w14:textId="45BC4C89" w:rsidR="00134BBD" w:rsidRPr="002661A8" w:rsidRDefault="00134BBD" w:rsidP="00926AB1">
      <w:pPr>
        <w:pStyle w:val="FootnoteText"/>
        <w:spacing w:after="0"/>
        <w:ind w:left="0" w:hanging="284"/>
        <w:rPr>
          <w:lang w:val="en-IE"/>
        </w:rPr>
      </w:pPr>
      <w:r w:rsidRPr="002661A8">
        <w:rPr>
          <w:rStyle w:val="FootnoteReference"/>
        </w:rPr>
        <w:footnoteRef/>
      </w:r>
      <w:r w:rsidRPr="002661A8">
        <w:rPr>
          <w:lang w:val="en-IE"/>
        </w:rPr>
        <w:t xml:space="preserve"> </w:t>
      </w:r>
      <w:r w:rsidRPr="002661A8">
        <w:tab/>
      </w:r>
      <w:r w:rsidRPr="002661A8">
        <w:rPr>
          <w:lang w:val="en-IE"/>
        </w:rPr>
        <w:t>Confidential information provided to DG FISMA services.</w:t>
      </w:r>
    </w:p>
  </w:footnote>
  <w:footnote w:id="74">
    <w:p w14:paraId="792C6C71" w14:textId="5234949E" w:rsidR="00134BBD" w:rsidRPr="002661A8" w:rsidRDefault="00134BBD" w:rsidP="008824E6">
      <w:pPr>
        <w:pStyle w:val="FootnoteText"/>
        <w:spacing w:after="0"/>
        <w:ind w:left="0" w:hanging="284"/>
      </w:pPr>
      <w:r w:rsidRPr="002661A8">
        <w:rPr>
          <w:rStyle w:val="FootnoteReference"/>
        </w:rPr>
        <w:footnoteRef/>
      </w:r>
      <w:r w:rsidRPr="002661A8">
        <w:t xml:space="preserve"> </w:t>
      </w:r>
      <w:r w:rsidRPr="002661A8">
        <w:tab/>
      </w:r>
      <w:r w:rsidRPr="002661A8">
        <w:rPr>
          <w:lang w:val="en-IE"/>
        </w:rPr>
        <w:t>Confidential information provided to DG FISMA services.</w:t>
      </w:r>
    </w:p>
  </w:footnote>
  <w:footnote w:id="75">
    <w:p w14:paraId="10955A65" w14:textId="2333D608" w:rsidR="00134BBD" w:rsidRPr="002661A8" w:rsidRDefault="00134BBD">
      <w:pPr>
        <w:pStyle w:val="FootnoteText"/>
        <w:spacing w:after="0"/>
        <w:ind w:left="0" w:hanging="284"/>
      </w:pPr>
      <w:r w:rsidRPr="002661A8">
        <w:rPr>
          <w:rStyle w:val="FootnoteReference"/>
        </w:rPr>
        <w:footnoteRef/>
      </w:r>
      <w:r w:rsidRPr="002661A8">
        <w:t xml:space="preserve"> </w:t>
      </w:r>
      <w:r w:rsidRPr="002661A8">
        <w:tab/>
        <w:t>Significant changes to a CCP’s models and parameters need to be validated by the CCP’s NCA and ESMA, after validation by an independent party (Article 49 of EMIR); they are also subject to a college opinion, to which the NCA and ESMA submit a report based on a risk assessment. EMIR 2.2 required ESMA to develop draft technical standards specifying the conditions under which changes to a CCP’s models and parameters are “significant”; under these draft standards</w:t>
      </w:r>
      <w:r w:rsidRPr="002661A8" w:rsidDel="0065491D">
        <w:t xml:space="preserve"> (</w:t>
      </w:r>
      <w:r w:rsidRPr="002661A8">
        <w:t>published in March 2021) the college is also required to issue an opinion as to whether a change should be considered “significant”.</w:t>
      </w:r>
    </w:p>
  </w:footnote>
  <w:footnote w:id="76">
    <w:p w14:paraId="74B78EC0" w14:textId="1CD3AC16" w:rsidR="00134BBD" w:rsidRPr="002661A8" w:rsidRDefault="00134BBD" w:rsidP="00622288">
      <w:pPr>
        <w:pStyle w:val="FootnoteText"/>
        <w:spacing w:after="0"/>
        <w:ind w:left="0" w:hanging="284"/>
      </w:pPr>
      <w:r w:rsidRPr="002661A8">
        <w:rPr>
          <w:rStyle w:val="FootnoteReference"/>
        </w:rPr>
        <w:footnoteRef/>
      </w:r>
      <w:r w:rsidRPr="002661A8">
        <w:t xml:space="preserve"> </w:t>
      </w:r>
      <w:r w:rsidRPr="002661A8">
        <w:tab/>
        <w:t>Confidential information provided to DG FISMA services.</w:t>
      </w:r>
    </w:p>
  </w:footnote>
  <w:footnote w:id="77">
    <w:p w14:paraId="78C9DF71" w14:textId="050E51A2" w:rsidR="00134BBD" w:rsidRPr="002661A8" w:rsidRDefault="00134BBD" w:rsidP="00FD2BC6">
      <w:pPr>
        <w:pStyle w:val="FootnoteText"/>
        <w:spacing w:after="0"/>
        <w:ind w:left="0" w:hanging="284"/>
        <w:rPr>
          <w:rStyle w:val="FootnoteReference"/>
          <w:rFonts w:asciiTheme="minorHAnsi" w:eastAsiaTheme="minorEastAsia" w:hAnsiTheme="minorHAnsi" w:cstheme="minorBidi"/>
          <w:vertAlign w:val="baseline"/>
        </w:rPr>
      </w:pPr>
      <w:r w:rsidRPr="002661A8">
        <w:rPr>
          <w:rStyle w:val="FootnoteReference"/>
        </w:rPr>
        <w:footnoteRef/>
      </w:r>
      <w:r w:rsidRPr="002661A8">
        <w:rPr>
          <w:rStyle w:val="FootnoteReference"/>
          <w:vertAlign w:val="baseline"/>
        </w:rPr>
        <w:t xml:space="preserve"> </w:t>
      </w:r>
      <w:r w:rsidRPr="002661A8">
        <w:tab/>
      </w:r>
      <w:r w:rsidRPr="002661A8">
        <w:rPr>
          <w:rStyle w:val="FootnoteReference"/>
          <w:vertAlign w:val="baseline"/>
        </w:rPr>
        <w:t>S</w:t>
      </w:r>
      <w:r w:rsidRPr="002661A8">
        <w:t>ee Summary Report 2022 EMIR Targeted Consultation</w:t>
      </w:r>
      <w:r w:rsidRPr="002661A8" w:rsidDel="007C3B2C">
        <w:t xml:space="preserve"> </w:t>
      </w:r>
      <w:r w:rsidRPr="002661A8">
        <w:t>(see footnote 48).</w:t>
      </w:r>
    </w:p>
  </w:footnote>
  <w:footnote w:id="78">
    <w:p w14:paraId="738DF672" w14:textId="5CAD623D" w:rsidR="00134BBD" w:rsidRPr="002661A8" w:rsidRDefault="00134BBD">
      <w:pPr>
        <w:pStyle w:val="FootnoteText"/>
        <w:spacing w:after="0"/>
        <w:ind w:left="0" w:hanging="284"/>
        <w:rPr>
          <w:lang w:val="en-IE"/>
        </w:rPr>
      </w:pPr>
      <w:r w:rsidRPr="002661A8">
        <w:rPr>
          <w:rStyle w:val="FootnoteReference"/>
        </w:rPr>
        <w:footnoteRef/>
      </w:r>
      <w:r w:rsidRPr="002661A8">
        <w:t xml:space="preserve"> </w:t>
      </w:r>
      <w:r w:rsidRPr="002661A8">
        <w:tab/>
      </w:r>
      <w:r w:rsidRPr="002661A8">
        <w:rPr>
          <w:lang w:val="en-IE"/>
        </w:rPr>
        <w:t>Confidential information provided to DG FISMA services.</w:t>
      </w:r>
    </w:p>
  </w:footnote>
  <w:footnote w:id="79">
    <w:p w14:paraId="087AFF53" w14:textId="09522E4D" w:rsidR="00134BBD" w:rsidRPr="002661A8" w:rsidRDefault="00134BBD">
      <w:pPr>
        <w:pStyle w:val="FootnoteText"/>
        <w:spacing w:after="0"/>
        <w:ind w:left="0" w:hanging="284"/>
      </w:pPr>
      <w:r w:rsidRPr="002661A8">
        <w:rPr>
          <w:rStyle w:val="FootnoteReference"/>
        </w:rPr>
        <w:footnoteRef/>
      </w:r>
      <w:r w:rsidRPr="002661A8">
        <w:t xml:space="preserve"> </w:t>
      </w:r>
      <w:r w:rsidRPr="002661A8">
        <w:tab/>
        <w:t xml:space="preserve">See responses to ESMA’s Consultation Paper </w:t>
      </w:r>
      <w:r w:rsidRPr="002661A8">
        <w:rPr>
          <w:lang w:eastAsia="en-GB"/>
        </w:rPr>
        <w:t>“Regulatory technical standards on conditions under which additional services or activities to which a CCP wishes to extend its business are not covered by the initial authorisation and conditions under which changes to the</w:t>
      </w:r>
      <w:r w:rsidRPr="002661A8">
        <w:t xml:space="preserve"> </w:t>
      </w:r>
      <w:r w:rsidRPr="002661A8">
        <w:rPr>
          <w:lang w:eastAsia="en-GB"/>
        </w:rPr>
        <w:t xml:space="preserve">models and parameters are significant under EMIR”, </w:t>
      </w:r>
      <w:hyperlink r:id="rId12" w:history="1">
        <w:r w:rsidRPr="002661A8">
          <w:rPr>
            <w:rStyle w:val="Hyperlink"/>
            <w:lang w:eastAsia="en-GB"/>
          </w:rPr>
          <w:t>https://www.esma.europa.eu/press-news/consultations/public-consultation-article-15-and-49-emir</w:t>
        </w:r>
      </w:hyperlink>
      <w:r w:rsidRPr="002661A8">
        <w:rPr>
          <w:lang w:eastAsia="en-GB"/>
        </w:rPr>
        <w:t>.</w:t>
      </w:r>
    </w:p>
  </w:footnote>
  <w:footnote w:id="80">
    <w:p w14:paraId="27AB822E" w14:textId="1AB82FBB" w:rsidR="00134BBD" w:rsidRPr="002661A8" w:rsidRDefault="00134BBD" w:rsidP="00771E01">
      <w:pPr>
        <w:pStyle w:val="FootnoteText"/>
        <w:spacing w:after="0"/>
        <w:ind w:left="0" w:hanging="284"/>
        <w:rPr>
          <w:lang w:val="en-IE"/>
        </w:rPr>
      </w:pPr>
      <w:r w:rsidRPr="002661A8">
        <w:rPr>
          <w:rStyle w:val="FootnoteReference"/>
        </w:rPr>
        <w:footnoteRef/>
      </w:r>
      <w:r w:rsidRPr="002661A8">
        <w:t xml:space="preserve"> </w:t>
      </w:r>
      <w:r w:rsidRPr="002661A8">
        <w:tab/>
      </w:r>
      <w:r w:rsidRPr="002661A8">
        <w:rPr>
          <w:lang w:val="en-IE"/>
        </w:rPr>
        <w:t>Confidential information provided to DG FISMA services.</w:t>
      </w:r>
    </w:p>
  </w:footnote>
  <w:footnote w:id="81">
    <w:p w14:paraId="68FA0161" w14:textId="70E051B9" w:rsidR="00134BBD" w:rsidRPr="002661A8" w:rsidRDefault="00134BBD" w:rsidP="001175DB">
      <w:pPr>
        <w:pStyle w:val="FootnoteText"/>
        <w:spacing w:after="0"/>
        <w:ind w:left="0" w:hanging="284"/>
        <w:rPr>
          <w:lang w:val="en-IE"/>
        </w:rPr>
      </w:pPr>
      <w:r w:rsidRPr="002661A8">
        <w:rPr>
          <w:rStyle w:val="FootnoteReference"/>
        </w:rPr>
        <w:footnoteRef/>
      </w:r>
      <w:r w:rsidRPr="002661A8">
        <w:t xml:space="preserve"> </w:t>
      </w:r>
      <w:r w:rsidRPr="002661A8">
        <w:tab/>
      </w:r>
      <w:r w:rsidRPr="002661A8">
        <w:rPr>
          <w:lang w:val="en-IE"/>
        </w:rPr>
        <w:t>Confidential information provided to DG FISMA services</w:t>
      </w:r>
    </w:p>
  </w:footnote>
  <w:footnote w:id="82">
    <w:p w14:paraId="146F7E0A" w14:textId="463661DE" w:rsidR="00134BBD" w:rsidRPr="002661A8" w:rsidRDefault="00134BBD" w:rsidP="0026314D">
      <w:pPr>
        <w:pStyle w:val="FootnoteText"/>
        <w:spacing w:after="0"/>
        <w:ind w:left="0" w:hanging="284"/>
      </w:pPr>
      <w:r w:rsidRPr="002661A8">
        <w:rPr>
          <w:rStyle w:val="FootnoteReference"/>
        </w:rPr>
        <w:footnoteRef/>
      </w:r>
      <w:r w:rsidRPr="002661A8">
        <w:t xml:space="preserve"> </w:t>
      </w:r>
      <w:r w:rsidRPr="002661A8">
        <w:tab/>
      </w:r>
      <w:r w:rsidRPr="002661A8">
        <w:rPr>
          <w:lang w:val="en-IE"/>
        </w:rPr>
        <w:t>Confidential information provided to DG FISMA services.</w:t>
      </w:r>
    </w:p>
  </w:footnote>
  <w:footnote w:id="83">
    <w:p w14:paraId="63467ABE" w14:textId="3F28B109" w:rsidR="00134BBD" w:rsidRPr="002661A8" w:rsidRDefault="00134BBD" w:rsidP="001175DB">
      <w:pPr>
        <w:pStyle w:val="FootnoteText"/>
        <w:spacing w:after="0"/>
        <w:ind w:left="0" w:hanging="284"/>
      </w:pPr>
      <w:r w:rsidRPr="002661A8">
        <w:rPr>
          <w:rStyle w:val="FootnoteReference"/>
        </w:rPr>
        <w:footnoteRef/>
      </w:r>
      <w:r w:rsidRPr="002661A8">
        <w:t xml:space="preserve"> </w:t>
      </w:r>
      <w:r w:rsidRPr="002661A8">
        <w:tab/>
        <w:t>All figures, except for point (d) are based on confidential information provided to DG FISMA services.</w:t>
      </w:r>
    </w:p>
  </w:footnote>
  <w:footnote w:id="84">
    <w:p w14:paraId="7D650909" w14:textId="77777777" w:rsidR="00134BBD" w:rsidRPr="002661A8" w:rsidRDefault="00134BBD">
      <w:pPr>
        <w:pStyle w:val="FootnoteText"/>
        <w:spacing w:after="0"/>
        <w:ind w:left="-284" w:firstLine="0"/>
        <w:rPr>
          <w:lang w:val="en-IE"/>
        </w:rPr>
      </w:pPr>
      <w:r w:rsidRPr="002661A8">
        <w:rPr>
          <w:rStyle w:val="FootnoteReference"/>
        </w:rPr>
        <w:footnoteRef/>
      </w:r>
      <w:r w:rsidRPr="002661A8">
        <w:t xml:space="preserve"> </w:t>
      </w:r>
      <w:r w:rsidRPr="002661A8">
        <w:tab/>
        <w:t>Confidential information provided to DG FISMA services.</w:t>
      </w:r>
    </w:p>
  </w:footnote>
  <w:footnote w:id="85">
    <w:p w14:paraId="47F56D3B" w14:textId="77777777" w:rsidR="00134BBD" w:rsidRPr="002661A8" w:rsidRDefault="00134BBD" w:rsidP="000173E9">
      <w:pPr>
        <w:pStyle w:val="FootnoteText"/>
        <w:spacing w:after="0"/>
        <w:ind w:left="0" w:hanging="284"/>
      </w:pPr>
      <w:r w:rsidRPr="002661A8">
        <w:rPr>
          <w:rStyle w:val="FootnoteReference"/>
        </w:rPr>
        <w:footnoteRef/>
      </w:r>
      <w:r w:rsidRPr="002661A8">
        <w:t xml:space="preserve"> </w:t>
      </w:r>
      <w:r w:rsidRPr="002661A8">
        <w:tab/>
        <w:t xml:space="preserve">Confidential information provided to DG FISMA services. </w:t>
      </w:r>
    </w:p>
  </w:footnote>
  <w:footnote w:id="86">
    <w:p w14:paraId="570EC48A" w14:textId="586B0A46" w:rsidR="00134BBD" w:rsidRPr="002661A8" w:rsidRDefault="00134BBD" w:rsidP="000173E9">
      <w:pPr>
        <w:pStyle w:val="FootnoteText"/>
        <w:spacing w:after="0"/>
        <w:ind w:left="0" w:hanging="284"/>
      </w:pPr>
      <w:r w:rsidRPr="002661A8">
        <w:rPr>
          <w:rStyle w:val="FootnoteReference"/>
        </w:rPr>
        <w:footnoteRef/>
      </w:r>
      <w:r w:rsidRPr="002661A8">
        <w:t xml:space="preserve"> </w:t>
      </w:r>
      <w:r w:rsidRPr="002661A8">
        <w:tab/>
        <w:t>See ESMA’s Final Report “Technical advice on third country regulatory equivalence under EMIR – US”, 1</w:t>
      </w:r>
      <w:r w:rsidRPr="00F61A4C">
        <w:rPr>
          <w:lang w:val="en-IE"/>
        </w:rPr>
        <w:t> </w:t>
      </w:r>
      <w:r w:rsidRPr="002661A8">
        <w:t>September</w:t>
      </w:r>
      <w:r w:rsidRPr="00F61A4C">
        <w:rPr>
          <w:lang w:val="en-IE"/>
        </w:rPr>
        <w:t> </w:t>
      </w:r>
      <w:r w:rsidRPr="002661A8">
        <w:t>2013,</w:t>
      </w:r>
      <w:r w:rsidRPr="00F61A4C">
        <w:rPr>
          <w:lang w:val="en-IE"/>
        </w:rPr>
        <w:t xml:space="preserve">  </w:t>
      </w:r>
      <w:hyperlink r:id="rId13" w:history="1">
        <w:r w:rsidRPr="002661A8">
          <w:rPr>
            <w:rStyle w:val="Hyperlink"/>
          </w:rPr>
          <w:t>https://www.esma.europa.eu/sites/default/files/library/2015/11/2013-1157_technical_advice_on_third_country_regulatory_equivalence_under_emir_us.pdf</w:t>
        </w:r>
      </w:hyperlink>
      <w:r w:rsidRPr="002661A8">
        <w:t xml:space="preserve"> , p.</w:t>
      </w:r>
      <w:r w:rsidRPr="00F61A4C">
        <w:rPr>
          <w:lang w:val="en-IE"/>
        </w:rPr>
        <w:t xml:space="preserve">  </w:t>
      </w:r>
      <w:r w:rsidRPr="002661A8">
        <w:t>9 - 11.</w:t>
      </w:r>
    </w:p>
  </w:footnote>
  <w:footnote w:id="87">
    <w:p w14:paraId="0375961B" w14:textId="77777777" w:rsidR="00134BBD" w:rsidRPr="002661A8" w:rsidRDefault="00134BBD" w:rsidP="00863A41">
      <w:pPr>
        <w:pStyle w:val="FootnoteText"/>
        <w:spacing w:after="0"/>
        <w:ind w:left="0" w:hanging="284"/>
        <w:rPr>
          <w:rStyle w:val="FootnoteReference"/>
          <w:rFonts w:eastAsiaTheme="minorHAnsi"/>
          <w:vertAlign w:val="baseline"/>
        </w:rPr>
      </w:pPr>
      <w:r w:rsidRPr="002661A8">
        <w:rPr>
          <w:rStyle w:val="FootnoteReference"/>
        </w:rPr>
        <w:footnoteRef/>
      </w:r>
      <w:r w:rsidRPr="002661A8">
        <w:rPr>
          <w:rStyle w:val="FootnoteReference"/>
        </w:rPr>
        <w:t xml:space="preserve"> </w:t>
      </w:r>
      <w:r w:rsidRPr="002661A8">
        <w:rPr>
          <w:rStyle w:val="FootnoteReference"/>
        </w:rPr>
        <w:tab/>
      </w:r>
      <w:r w:rsidRPr="002661A8">
        <w:rPr>
          <w:rStyle w:val="FootnoteReference"/>
          <w:vertAlign w:val="baseline"/>
        </w:rPr>
        <w:t>Confidential information provided to DG FISMA services.</w:t>
      </w:r>
    </w:p>
  </w:footnote>
  <w:footnote w:id="88">
    <w:p w14:paraId="30CB95B0" w14:textId="77777777" w:rsidR="00134BBD" w:rsidRPr="002661A8" w:rsidRDefault="00134BBD" w:rsidP="000173E9">
      <w:pPr>
        <w:pStyle w:val="FootnoteText"/>
        <w:spacing w:after="0"/>
        <w:ind w:left="0" w:hanging="284"/>
      </w:pPr>
      <w:r w:rsidRPr="002661A8">
        <w:rPr>
          <w:rStyle w:val="FootnoteReference"/>
        </w:rPr>
        <w:footnoteRef/>
      </w:r>
      <w:r w:rsidRPr="002661A8">
        <w:t xml:space="preserve"> </w:t>
      </w:r>
      <w:r w:rsidRPr="002661A8">
        <w:tab/>
        <w:t>Confidential information provided to DG FISMA services.</w:t>
      </w:r>
    </w:p>
  </w:footnote>
  <w:footnote w:id="89">
    <w:p w14:paraId="77D095F8" w14:textId="4A9E2FB0" w:rsidR="00134BBD" w:rsidRPr="002661A8" w:rsidRDefault="00134BBD" w:rsidP="00F03620">
      <w:pPr>
        <w:pStyle w:val="FootnoteText"/>
        <w:spacing w:after="0"/>
        <w:ind w:left="0" w:hanging="284"/>
        <w:rPr>
          <w:rStyle w:val="FootnoteReference"/>
          <w:vertAlign w:val="baseline"/>
        </w:rPr>
      </w:pPr>
      <w:r w:rsidRPr="002661A8">
        <w:rPr>
          <w:rStyle w:val="FootnoteReference"/>
        </w:rPr>
        <w:footnoteRef/>
      </w:r>
      <w:r w:rsidRPr="002661A8">
        <w:rPr>
          <w:rStyle w:val="FootnoteReference"/>
        </w:rPr>
        <w:t xml:space="preserve"> </w:t>
      </w:r>
      <w:r w:rsidRPr="002661A8">
        <w:tab/>
      </w:r>
      <w:r w:rsidRPr="002661A8">
        <w:rPr>
          <w:rStyle w:val="FootnoteReference"/>
          <w:vertAlign w:val="baseline"/>
        </w:rPr>
        <w:t xml:space="preserve">See </w:t>
      </w:r>
      <w:hyperlink r:id="rId14" w:history="1">
        <w:r w:rsidRPr="002661A8">
          <w:rPr>
            <w:rStyle w:val="Hyperlink"/>
          </w:rPr>
          <w:t>https://www.fca.org.uk/markets/uk-emir/library</w:t>
        </w:r>
      </w:hyperlink>
      <w:r w:rsidRPr="002661A8">
        <w:rPr>
          <w:rStyle w:val="Hyperlink"/>
        </w:rPr>
        <w:t>.</w:t>
      </w:r>
      <w:r w:rsidRPr="002661A8">
        <w:rPr>
          <w:rStyle w:val="FootnoteReference"/>
          <w:vertAlign w:val="baseline"/>
        </w:rPr>
        <w:t xml:space="preserve"> </w:t>
      </w:r>
    </w:p>
  </w:footnote>
  <w:footnote w:id="90">
    <w:p w14:paraId="3298FA17" w14:textId="115E575F" w:rsidR="00134BBD" w:rsidRPr="002661A8" w:rsidRDefault="00134BBD" w:rsidP="00FE7AF3">
      <w:pPr>
        <w:pStyle w:val="FootnoteText"/>
        <w:spacing w:after="0"/>
        <w:ind w:left="0" w:hanging="284"/>
        <w:rPr>
          <w:lang w:val="en-IE"/>
        </w:rPr>
      </w:pPr>
      <w:r w:rsidRPr="002661A8">
        <w:rPr>
          <w:rStyle w:val="FootnoteReference"/>
        </w:rPr>
        <w:footnoteRef/>
      </w:r>
      <w:r w:rsidRPr="002661A8">
        <w:t xml:space="preserve"> </w:t>
      </w:r>
      <w:r w:rsidRPr="002661A8">
        <w:tab/>
      </w:r>
      <w:r w:rsidRPr="002661A8">
        <w:rPr>
          <w:lang w:val="en-IE"/>
        </w:rPr>
        <w:t>As advocated in the responses to the targeted consultation, see e.g. ABN AMRO Clearing.</w:t>
      </w:r>
    </w:p>
  </w:footnote>
  <w:footnote w:id="91">
    <w:p w14:paraId="6663DED2" w14:textId="1D760C74" w:rsidR="00134BBD" w:rsidRPr="002661A8" w:rsidRDefault="00134BBD" w:rsidP="0053793F">
      <w:pPr>
        <w:pStyle w:val="FootnoteText"/>
        <w:spacing w:after="0"/>
        <w:ind w:left="0" w:hanging="284"/>
        <w:rPr>
          <w:rStyle w:val="FootnoteReference"/>
          <w:rFonts w:asciiTheme="minorHAnsi" w:eastAsiaTheme="minorEastAsia" w:hAnsiTheme="minorHAnsi" w:cstheme="minorBidi"/>
          <w:vertAlign w:val="baseline"/>
        </w:rPr>
      </w:pPr>
      <w:r w:rsidRPr="002661A8">
        <w:rPr>
          <w:rStyle w:val="FootnoteReference"/>
        </w:rPr>
        <w:footnoteRef/>
      </w:r>
      <w:r w:rsidRPr="002661A8">
        <w:rPr>
          <w:rStyle w:val="FootnoteReference"/>
        </w:rPr>
        <w:t xml:space="preserve"> </w:t>
      </w:r>
      <w:r w:rsidRPr="002661A8">
        <w:rPr>
          <w:rStyle w:val="FootnoteReference"/>
        </w:rPr>
        <w:tab/>
      </w:r>
      <w:r w:rsidRPr="002661A8">
        <w:rPr>
          <w:rStyle w:val="FootnoteReference"/>
          <w:vertAlign w:val="baseline"/>
        </w:rPr>
        <w:t>See Commission Staff Working Document, SWD/2017/0246 final – 2017/0136 (COD), p</w:t>
      </w:r>
      <w:r w:rsidRPr="002661A8">
        <w:t>.</w:t>
      </w:r>
      <w:r w:rsidRPr="00711FD5">
        <w:rPr>
          <w:lang w:val="en-IE"/>
        </w:rPr>
        <w:t xml:space="preserve">  </w:t>
      </w:r>
      <w:r w:rsidRPr="002661A8">
        <w:rPr>
          <w:rStyle w:val="FootnoteReference"/>
          <w:vertAlign w:val="baseline"/>
        </w:rPr>
        <w:t>63-65</w:t>
      </w:r>
      <w:r w:rsidRPr="002661A8">
        <w:t>.</w:t>
      </w:r>
    </w:p>
  </w:footnote>
  <w:footnote w:id="92">
    <w:p w14:paraId="0FC0AE2A" w14:textId="3AB57CB0" w:rsidR="00134BBD" w:rsidRPr="002661A8" w:rsidRDefault="00134BBD" w:rsidP="005F33DB">
      <w:pPr>
        <w:pStyle w:val="FootnoteText"/>
        <w:spacing w:after="0"/>
        <w:ind w:left="0" w:hanging="284"/>
        <w:rPr>
          <w:lang w:val="en-IE"/>
        </w:rPr>
      </w:pPr>
      <w:r w:rsidRPr="002661A8">
        <w:rPr>
          <w:rStyle w:val="FootnoteReference"/>
        </w:rPr>
        <w:footnoteRef/>
      </w:r>
      <w:r w:rsidRPr="002661A8">
        <w:t xml:space="preserve"> </w:t>
      </w:r>
      <w:r w:rsidRPr="002661A8">
        <w:tab/>
      </w:r>
      <w:r w:rsidRPr="002661A8">
        <w:rPr>
          <w:lang w:val="en-IE"/>
        </w:rPr>
        <w:t xml:space="preserve">See </w:t>
      </w:r>
      <w:hyperlink w:anchor="_Annex_2:_Stakeholder" w:history="1">
        <w:r w:rsidRPr="002661A8">
          <w:rPr>
            <w:rStyle w:val="Hyperlink"/>
            <w:lang w:val="en-IE"/>
          </w:rPr>
          <w:t>Annex 2</w:t>
        </w:r>
      </w:hyperlink>
      <w:r w:rsidRPr="002661A8">
        <w:rPr>
          <w:lang w:val="en-IE"/>
        </w:rPr>
        <w:t>.</w:t>
      </w:r>
    </w:p>
  </w:footnote>
  <w:footnote w:id="93">
    <w:p w14:paraId="7B05837D" w14:textId="34A7D408" w:rsidR="00134BBD" w:rsidRPr="002661A8" w:rsidRDefault="00134BBD" w:rsidP="005A3374">
      <w:pPr>
        <w:pStyle w:val="FootnoteText"/>
        <w:spacing w:after="0"/>
        <w:ind w:left="0" w:hanging="284"/>
        <w:contextualSpacing/>
      </w:pPr>
      <w:r w:rsidRPr="002661A8">
        <w:rPr>
          <w:rStyle w:val="FootnoteReference"/>
        </w:rPr>
        <w:footnoteRef/>
      </w:r>
      <w:r w:rsidRPr="002661A8">
        <w:t xml:space="preserve"> </w:t>
      </w:r>
      <w:r w:rsidRPr="002661A8">
        <w:tab/>
        <w:t>E.g. successful handling of the Lehman Brothers failure at LCH Ltd is often mentioned as a case in point to confirm the soundness and good performance of the CCP.</w:t>
      </w:r>
    </w:p>
  </w:footnote>
  <w:footnote w:id="94">
    <w:p w14:paraId="2A5AAE97" w14:textId="04228B6D" w:rsidR="00134BBD" w:rsidRPr="002661A8" w:rsidRDefault="00134BBD" w:rsidP="0066272A">
      <w:pPr>
        <w:pStyle w:val="FootnoteText"/>
        <w:spacing w:after="0"/>
        <w:ind w:left="0" w:hanging="284"/>
      </w:pPr>
      <w:r w:rsidRPr="002661A8">
        <w:rPr>
          <w:rStyle w:val="FootnoteReference"/>
        </w:rPr>
        <w:footnoteRef/>
      </w:r>
      <w:r w:rsidRPr="002661A8">
        <w:t xml:space="preserve"> </w:t>
      </w:r>
      <w:r w:rsidRPr="002661A8">
        <w:tab/>
      </w:r>
      <w:hyperlink r:id="rId15" w:history="1">
        <w:r w:rsidRPr="002661A8">
          <w:rPr>
            <w:rStyle w:val="Hyperlink"/>
          </w:rPr>
          <w:t>https://www.esrb.europa.eu/pub/pdf/occasional/20160922_occasional_paper_11.en.pdf</w:t>
        </w:r>
      </w:hyperlink>
      <w:r w:rsidRPr="002661A8">
        <w:t xml:space="preserve"> .</w:t>
      </w:r>
    </w:p>
  </w:footnote>
  <w:footnote w:id="95">
    <w:p w14:paraId="698F264D" w14:textId="77777777" w:rsidR="00134BBD" w:rsidRPr="002661A8" w:rsidRDefault="00134BBD" w:rsidP="0066272A">
      <w:pPr>
        <w:pStyle w:val="FootnoteText"/>
        <w:spacing w:after="0"/>
        <w:ind w:left="0" w:hanging="284"/>
      </w:pPr>
      <w:r w:rsidRPr="002661A8">
        <w:rPr>
          <w:rStyle w:val="FootnoteReference"/>
        </w:rPr>
        <w:footnoteRef/>
      </w:r>
      <w:r w:rsidRPr="002661A8">
        <w:t xml:space="preserve"> </w:t>
      </w:r>
      <w:r w:rsidRPr="002661A8">
        <w:tab/>
        <w:t>The group of G16 dealers includes Bank of America, Barclays, BNP Paribas, Citigroup, Crédit Agricole, Credit Suisse, Deutsche Bank, Goldman Sachs, HSBC, JPMorgan Chase, Morgan Stanley, Nomura, Royal Bank of Scotland, Société Générale, UBS, and Wells Fargo.</w:t>
      </w:r>
    </w:p>
  </w:footnote>
  <w:footnote w:id="96">
    <w:p w14:paraId="33BD5A33" w14:textId="106835DC" w:rsidR="00134BBD" w:rsidRPr="002661A8" w:rsidRDefault="00134BBD" w:rsidP="0066272A">
      <w:pPr>
        <w:pStyle w:val="FootnoteText"/>
        <w:spacing w:after="0"/>
        <w:ind w:left="0" w:hanging="284"/>
      </w:pPr>
      <w:r w:rsidRPr="002661A8">
        <w:rPr>
          <w:rStyle w:val="FootnoteReference"/>
        </w:rPr>
        <w:footnoteRef/>
      </w:r>
      <w:r w:rsidRPr="002661A8">
        <w:t xml:space="preserve"> </w:t>
      </w:r>
      <w:r w:rsidRPr="002661A8">
        <w:tab/>
        <w:t>BIS Bulletin No 13, 11</w:t>
      </w:r>
      <w:r w:rsidRPr="00711FD5">
        <w:rPr>
          <w:lang w:val="en-IE"/>
        </w:rPr>
        <w:t> </w:t>
      </w:r>
      <w:r w:rsidRPr="002661A8">
        <w:t>May</w:t>
      </w:r>
      <w:r w:rsidRPr="00711FD5">
        <w:rPr>
          <w:lang w:val="en-IE"/>
        </w:rPr>
        <w:t> </w:t>
      </w:r>
      <w:r w:rsidRPr="002661A8">
        <w:t>2020.</w:t>
      </w:r>
    </w:p>
  </w:footnote>
  <w:footnote w:id="97">
    <w:p w14:paraId="023A2488" w14:textId="78799786" w:rsidR="00134BBD" w:rsidRPr="002661A8" w:rsidRDefault="00134BBD" w:rsidP="0066272A">
      <w:pPr>
        <w:pStyle w:val="FootnoteText"/>
        <w:spacing w:after="0"/>
        <w:ind w:left="0" w:hanging="284"/>
      </w:pPr>
      <w:r w:rsidRPr="002661A8">
        <w:rPr>
          <w:rStyle w:val="FootnoteReference"/>
        </w:rPr>
        <w:footnoteRef/>
      </w:r>
      <w:r w:rsidRPr="002661A8">
        <w:t xml:space="preserve"> </w:t>
      </w:r>
      <w:r w:rsidRPr="002661A8">
        <w:tab/>
        <w:t xml:space="preserve">A description of the interoperability arrangements existing in the EU and their functioning is available at the ESRB Report, “CCP interoperability arrangements”, January 2019, </w:t>
      </w:r>
      <w:hyperlink r:id="rId16" w:history="1">
        <w:r w:rsidRPr="002661A8">
          <w:rPr>
            <w:rStyle w:val="Hyperlink"/>
          </w:rPr>
          <w:t>https://www.esrb.europa.eu/pub/pdf/reports/esrb.report190131_CCP_interoperability_arrangements~99908a78e7.en.pdf</w:t>
        </w:r>
      </w:hyperlink>
      <w:r w:rsidRPr="002661A8">
        <w:t xml:space="preserve"> </w:t>
      </w:r>
      <w:r w:rsidRPr="002661A8" w:rsidDel="007C3B2C">
        <w:t xml:space="preserve">. </w:t>
      </w:r>
      <w:r w:rsidRPr="002661A8">
        <w:t>See also ESMA, Final report, Possible systemic risk and cost implications of interoperability arrangements, 1</w:t>
      </w:r>
      <w:r w:rsidRPr="00711FD5">
        <w:rPr>
          <w:lang w:val="en-IE"/>
        </w:rPr>
        <w:t> </w:t>
      </w:r>
      <w:r w:rsidRPr="002661A8">
        <w:t>March</w:t>
      </w:r>
      <w:r w:rsidRPr="00711FD5">
        <w:rPr>
          <w:lang w:val="en-IE"/>
        </w:rPr>
        <w:t> </w:t>
      </w:r>
      <w:r w:rsidRPr="002661A8">
        <w:t xml:space="preserve">2016, ESMA/2016/328, </w:t>
      </w:r>
      <w:hyperlink r:id="rId17" w:history="1">
        <w:r w:rsidRPr="002661A8">
          <w:rPr>
            <w:rStyle w:val="Hyperlink2"/>
          </w:rPr>
          <w:t>https://www.esma.europa.eu/sites/default/files/library/2016-328.pdf</w:t>
        </w:r>
      </w:hyperlink>
      <w:r w:rsidRPr="002661A8">
        <w:t>. A table of</w:t>
      </w:r>
      <w:r w:rsidRPr="002661A8" w:rsidDel="00E939E1">
        <w:t xml:space="preserve"> </w:t>
      </w:r>
      <w:r w:rsidRPr="002661A8">
        <w:t>EU interoperability arrangements and the products, trading venues and Central Securities Depositories and Security Settlement Systems affected can be found in the annex (p.</w:t>
      </w:r>
      <w:r w:rsidRPr="00711FD5">
        <w:rPr>
          <w:lang w:val="en-IE"/>
        </w:rPr>
        <w:t xml:space="preserve">  </w:t>
      </w:r>
      <w:r w:rsidRPr="002661A8">
        <w:t>30 to 33).</w:t>
      </w:r>
    </w:p>
  </w:footnote>
  <w:footnote w:id="98">
    <w:p w14:paraId="67E691F4" w14:textId="3309E899" w:rsidR="00134BBD" w:rsidRPr="002661A8" w:rsidRDefault="00134BBD" w:rsidP="0066272A">
      <w:pPr>
        <w:pStyle w:val="FootnoteText"/>
        <w:spacing w:after="0"/>
        <w:ind w:left="0" w:hanging="284"/>
      </w:pPr>
      <w:r w:rsidRPr="002661A8">
        <w:rPr>
          <w:rStyle w:val="FootnoteReference"/>
        </w:rPr>
        <w:footnoteRef/>
      </w:r>
      <w:r w:rsidRPr="002661A8">
        <w:t xml:space="preserve"> </w:t>
      </w:r>
      <w:r w:rsidRPr="002661A8">
        <w:tab/>
      </w:r>
      <w:hyperlink r:id="rId18" w:history="1">
        <w:r w:rsidRPr="002661A8">
          <w:rPr>
            <w:rStyle w:val="Hyperlink"/>
          </w:rPr>
          <w:t>https://www.esma.europa.eu/press-news/esma-news/esma%E2%80%99s-third-eu-wide-ccp-stress-test-finds-system-resilient-shocks</w:t>
        </w:r>
      </w:hyperlink>
      <w:r w:rsidRPr="002661A8">
        <w:t xml:space="preserve"> .</w:t>
      </w:r>
    </w:p>
  </w:footnote>
  <w:footnote w:id="99">
    <w:p w14:paraId="137A3465" w14:textId="60718D10" w:rsidR="00134BBD" w:rsidRPr="002661A8" w:rsidRDefault="00134BBD" w:rsidP="0066272A">
      <w:pPr>
        <w:pStyle w:val="FootnoteText"/>
        <w:spacing w:after="0"/>
        <w:ind w:left="0" w:hanging="284"/>
      </w:pPr>
      <w:r w:rsidRPr="002661A8">
        <w:rPr>
          <w:rStyle w:val="FootnoteReference"/>
        </w:rPr>
        <w:footnoteRef/>
      </w:r>
      <w:r w:rsidRPr="002661A8">
        <w:t xml:space="preserve"> </w:t>
      </w:r>
      <w:r w:rsidRPr="002661A8">
        <w:tab/>
        <w:t>See right-hand panel of Figure 4, i.e. end-2019 ICE Group had around US</w:t>
      </w:r>
      <w:r>
        <w:t>D</w:t>
      </w:r>
      <w:r w:rsidRPr="00F61A4C">
        <w:rPr>
          <w:lang w:val="en-IE"/>
        </w:rPr>
        <w:t> </w:t>
      </w:r>
      <w:r w:rsidRPr="002661A8">
        <w:t>12.5</w:t>
      </w:r>
      <w:r w:rsidRPr="00711FD5">
        <w:rPr>
          <w:lang w:val="en-IE"/>
        </w:rPr>
        <w:t> </w:t>
      </w:r>
      <w:r w:rsidRPr="002661A8">
        <w:t>billion in secured cash deposited at commercial banks, mostly reverse repos.</w:t>
      </w:r>
    </w:p>
  </w:footnote>
  <w:footnote w:id="100">
    <w:p w14:paraId="5238CD6C" w14:textId="0024BF67" w:rsidR="00134BBD" w:rsidRPr="002661A8" w:rsidRDefault="00134BBD" w:rsidP="0066272A">
      <w:pPr>
        <w:pStyle w:val="FootnoteText"/>
        <w:spacing w:after="0"/>
        <w:ind w:left="0" w:hanging="284"/>
      </w:pPr>
      <w:r w:rsidRPr="002661A8">
        <w:rPr>
          <w:rStyle w:val="FootnoteReference"/>
        </w:rPr>
        <w:footnoteRef/>
      </w:r>
      <w:r w:rsidRPr="002661A8">
        <w:t xml:space="preserve"> </w:t>
      </w:r>
      <w:r w:rsidRPr="002661A8">
        <w:tab/>
        <w:t>Most jurisdictions, including the EU, do not require CCPs to have committed liquidity arrangements only that they establish a robust liquidity risk management framework.</w:t>
      </w:r>
    </w:p>
  </w:footnote>
  <w:footnote w:id="101">
    <w:p w14:paraId="71E8E5F0" w14:textId="04F38ED8" w:rsidR="00134BBD" w:rsidRPr="002661A8" w:rsidRDefault="00134BBD" w:rsidP="00981EB7">
      <w:pPr>
        <w:pStyle w:val="FootnoteText"/>
        <w:spacing w:after="0"/>
        <w:ind w:left="0" w:hanging="284"/>
      </w:pPr>
      <w:r w:rsidRPr="002661A8">
        <w:rPr>
          <w:rStyle w:val="FootnoteReference"/>
        </w:rPr>
        <w:footnoteRef/>
      </w:r>
      <w:r w:rsidRPr="002661A8">
        <w:t xml:space="preserve"> </w:t>
      </w:r>
      <w:r w:rsidRPr="002661A8">
        <w:tab/>
        <w:t>ESMA response to the Commission targeted consultation, para. 100</w:t>
      </w:r>
      <w:r>
        <w:t xml:space="preserve">, 1 April 2022, </w:t>
      </w:r>
      <w:r w:rsidRPr="00DB0F41">
        <w:t>https://www.esma.europa.eu/sites/default/files/library/esma91-372-2125_letter_chair_esma_response_to_ec_consultation_on_targeted_emir_review.pdf</w:t>
      </w:r>
    </w:p>
  </w:footnote>
  <w:footnote w:id="102">
    <w:p w14:paraId="299AE901" w14:textId="64309AD8" w:rsidR="00134BBD" w:rsidRPr="002661A8" w:rsidRDefault="00134BBD" w:rsidP="002A41AA">
      <w:pPr>
        <w:pStyle w:val="FootnoteText"/>
        <w:spacing w:after="0"/>
        <w:ind w:left="0" w:hanging="284"/>
      </w:pPr>
      <w:r w:rsidRPr="002661A8">
        <w:rPr>
          <w:rStyle w:val="FootnoteReference"/>
        </w:rPr>
        <w:footnoteRef/>
      </w:r>
      <w:r w:rsidRPr="002661A8">
        <w:t xml:space="preserve"> </w:t>
      </w:r>
      <w:r w:rsidRPr="002661A8">
        <w:tab/>
        <w:t>See Communication</w:t>
      </w:r>
      <w:r w:rsidRPr="002661A8" w:rsidDel="00B1757E">
        <w:t xml:space="preserve"> </w:t>
      </w:r>
      <w:r w:rsidRPr="002661A8">
        <w:t xml:space="preserve">on open strategic autonomy (see footnote </w:t>
      </w:r>
      <w:r>
        <w:t>8</w:t>
      </w:r>
      <w:r w:rsidRPr="002661A8">
        <w:t>), equivalence decisions for UK CCPs (</w:t>
      </w:r>
      <w:r>
        <w:t>see footnote 7</w:t>
      </w:r>
      <w:r w:rsidRPr="002661A8">
        <w:t>).</w:t>
      </w:r>
    </w:p>
  </w:footnote>
  <w:footnote w:id="103">
    <w:p w14:paraId="440BA04D" w14:textId="2D346D5F" w:rsidR="00134BBD" w:rsidRPr="002661A8" w:rsidRDefault="00134BBD" w:rsidP="002A41AA">
      <w:pPr>
        <w:pStyle w:val="FootnoteText"/>
        <w:spacing w:after="0"/>
        <w:ind w:left="0" w:hanging="284"/>
        <w:rPr>
          <w:lang w:val="en-IE"/>
        </w:rPr>
      </w:pPr>
      <w:r w:rsidRPr="002661A8">
        <w:rPr>
          <w:rStyle w:val="FootnoteReference"/>
        </w:rPr>
        <w:footnoteRef/>
      </w:r>
      <w:r w:rsidRPr="002661A8">
        <w:t xml:space="preserve"> </w:t>
      </w:r>
      <w:r w:rsidRPr="002661A8">
        <w:tab/>
      </w:r>
      <w:r w:rsidRPr="002661A8">
        <w:rPr>
          <w:lang w:val="en-IE"/>
        </w:rPr>
        <w:t>A rebalancing of positions between LCH Ltd and Eurex has been observed over recent years, but they mostly concern short dated, low risk interest rate derivatives e.g. Forward Rates Agreements, and not riskier long-dated interest rate swaps (or at least to a much lesser extent).</w:t>
      </w:r>
    </w:p>
  </w:footnote>
  <w:footnote w:id="104">
    <w:p w14:paraId="6A91E3BF" w14:textId="38FFC7EC" w:rsidR="00134BBD" w:rsidRPr="002661A8" w:rsidRDefault="00134BBD" w:rsidP="00963F80">
      <w:pPr>
        <w:pStyle w:val="FootnoteText"/>
        <w:spacing w:after="0"/>
        <w:ind w:left="0" w:hanging="284"/>
        <w:rPr>
          <w:lang w:val="en-IE"/>
        </w:rPr>
      </w:pPr>
      <w:r w:rsidRPr="002661A8">
        <w:rPr>
          <w:rStyle w:val="FootnoteReference"/>
        </w:rPr>
        <w:footnoteRef/>
      </w:r>
      <w:r w:rsidRPr="002661A8">
        <w:t xml:space="preserve"> </w:t>
      </w:r>
      <w:r w:rsidRPr="002661A8">
        <w:tab/>
        <w:t>According to Articles 89(1) and 85(2) of EMIR.</w:t>
      </w:r>
    </w:p>
  </w:footnote>
  <w:footnote w:id="105">
    <w:p w14:paraId="0EB618FF" w14:textId="2338044B" w:rsidR="00134BBD" w:rsidRPr="002661A8" w:rsidRDefault="00134BBD" w:rsidP="002A41AA">
      <w:pPr>
        <w:pStyle w:val="FootnoteText"/>
        <w:spacing w:after="0"/>
        <w:ind w:left="0" w:hanging="284"/>
      </w:pPr>
      <w:r w:rsidRPr="002661A8">
        <w:rPr>
          <w:rStyle w:val="FootnoteReference"/>
        </w:rPr>
        <w:footnoteRef/>
      </w:r>
      <w:r w:rsidRPr="002661A8">
        <w:t xml:space="preserve"> </w:t>
      </w:r>
      <w:r w:rsidRPr="002661A8">
        <w:tab/>
        <w:t>See ESMA Letter to the Commission on “Clearing obligation for pension scheme arrangements”, 25</w:t>
      </w:r>
      <w:r w:rsidRPr="00711FD5">
        <w:rPr>
          <w:lang w:val="en-IE"/>
        </w:rPr>
        <w:t> </w:t>
      </w:r>
      <w:r w:rsidRPr="002661A8">
        <w:t>January</w:t>
      </w:r>
      <w:r w:rsidRPr="00711FD5">
        <w:rPr>
          <w:lang w:val="en-IE"/>
        </w:rPr>
        <w:t> </w:t>
      </w:r>
      <w:r w:rsidRPr="002661A8">
        <w:t>2022.</w:t>
      </w:r>
    </w:p>
  </w:footnote>
  <w:footnote w:id="106">
    <w:p w14:paraId="1BF02C0D" w14:textId="77777777" w:rsidR="00134BBD" w:rsidRPr="002661A8" w:rsidRDefault="00134BBD" w:rsidP="00AD0418">
      <w:pPr>
        <w:pStyle w:val="FootnoteText"/>
        <w:spacing w:after="0"/>
        <w:ind w:left="0" w:hanging="284"/>
        <w:rPr>
          <w:rStyle w:val="FootnoteReference"/>
        </w:rPr>
      </w:pPr>
      <w:r w:rsidRPr="002661A8">
        <w:rPr>
          <w:rStyle w:val="FootnoteReference"/>
        </w:rPr>
        <w:footnoteRef/>
      </w:r>
      <w:r w:rsidRPr="002661A8">
        <w:rPr>
          <w:rStyle w:val="FootnoteReference"/>
        </w:rPr>
        <w:t xml:space="preserve"> </w:t>
      </w:r>
      <w:r w:rsidRPr="002661A8">
        <w:tab/>
      </w:r>
      <w:r w:rsidRPr="002661A8">
        <w:rPr>
          <w:rStyle w:val="FootnoteReference"/>
          <w:vertAlign w:val="baseline"/>
        </w:rPr>
        <w:t>CEPS mentions 16 episodes of clearing member</w:t>
      </w:r>
      <w:r w:rsidRPr="002661A8">
        <w:t xml:space="preserve"> defaults between 1985 and 2018 in various countries around the world. See </w:t>
      </w:r>
      <w:hyperlink r:id="rId19" w:history="1">
        <w:r w:rsidRPr="002661A8">
          <w:rPr>
            <w:rStyle w:val="Hyperlink"/>
          </w:rPr>
          <w:t>https://www.ceps.eu/ceps-publications/setting-eu-ccp-policy-much-more-than-meets-the-eye/</w:t>
        </w:r>
      </w:hyperlink>
      <w:r w:rsidRPr="002661A8">
        <w:t>.</w:t>
      </w:r>
    </w:p>
  </w:footnote>
  <w:footnote w:id="107">
    <w:p w14:paraId="55F3B38D" w14:textId="03D080AD" w:rsidR="00134BBD" w:rsidRPr="002661A8" w:rsidRDefault="00134BBD" w:rsidP="00063DF6">
      <w:pPr>
        <w:pStyle w:val="FootnoteText"/>
        <w:spacing w:after="0"/>
        <w:ind w:left="0" w:hanging="284"/>
        <w:rPr>
          <w:lang w:val="en-IE"/>
        </w:rPr>
      </w:pPr>
      <w:r w:rsidRPr="002661A8">
        <w:rPr>
          <w:rStyle w:val="FootnoteReference"/>
        </w:rPr>
        <w:footnoteRef/>
      </w:r>
      <w:r w:rsidRPr="002661A8">
        <w:rPr>
          <w:lang w:val="en-IE"/>
        </w:rPr>
        <w:t xml:space="preserve"> </w:t>
      </w:r>
      <w:r w:rsidRPr="002661A8">
        <w:rPr>
          <w:lang w:val="en-IE"/>
        </w:rPr>
        <w:tab/>
      </w:r>
      <w:r w:rsidRPr="002661A8">
        <w:rPr>
          <w:rStyle w:val="FootnoteReference"/>
          <w:vertAlign w:val="baseline"/>
          <w:lang w:val="en-IE"/>
        </w:rPr>
        <w:t>See 2021 ESMA report on UK CCPs</w:t>
      </w:r>
      <w:r w:rsidRPr="002661A8">
        <w:rPr>
          <w:lang w:val="en-IE"/>
        </w:rPr>
        <w:t xml:space="preserve"> (see footnote </w:t>
      </w:r>
      <w:r>
        <w:rPr>
          <w:lang w:val="en-IE"/>
        </w:rPr>
        <w:t>9 above</w:t>
      </w:r>
      <w:r w:rsidRPr="002661A8">
        <w:rPr>
          <w:lang w:val="en-IE"/>
        </w:rPr>
        <w:t>)</w:t>
      </w:r>
      <w:r>
        <w:rPr>
          <w:lang w:val="en-IE"/>
        </w:rPr>
        <w:t>, p.</w:t>
      </w:r>
      <w:r w:rsidRPr="00F61A4C">
        <w:rPr>
          <w:lang w:val="en-IE"/>
        </w:rPr>
        <w:t xml:space="preserve">  </w:t>
      </w:r>
      <w:r>
        <w:rPr>
          <w:lang w:val="en-IE"/>
        </w:rPr>
        <w:t>6</w:t>
      </w:r>
      <w:r w:rsidRPr="002661A8">
        <w:rPr>
          <w:lang w:val="en-IE"/>
        </w:rPr>
        <w:t>.</w:t>
      </w:r>
    </w:p>
  </w:footnote>
  <w:footnote w:id="108">
    <w:p w14:paraId="6B7367C5" w14:textId="485F7E8D" w:rsidR="00134BBD" w:rsidRPr="002661A8" w:rsidRDefault="00134BBD" w:rsidP="00C352B5">
      <w:pPr>
        <w:pStyle w:val="FootnoteText"/>
        <w:spacing w:after="0"/>
        <w:ind w:left="0" w:hanging="284"/>
      </w:pPr>
      <w:r w:rsidRPr="002661A8">
        <w:rPr>
          <w:rStyle w:val="FootnoteReference"/>
        </w:rPr>
        <w:footnoteRef/>
      </w:r>
      <w:r w:rsidRPr="002661A8">
        <w:t xml:space="preserve"> </w:t>
      </w:r>
      <w:r w:rsidRPr="002661A8">
        <w:tab/>
        <w:t>See ESRB response to the targeted consultation on the review of the EU central clearing framework (see footnote 25): "</w:t>
      </w:r>
      <w:r w:rsidRPr="002661A8">
        <w:rPr>
          <w:i/>
        </w:rPr>
        <w:t>the main risks to financial stability associated with continued recognition of these clearing services relate to a situation where a UK CCP offering the service(s) (i) takes procyclical measures during a period of market strain or (ii) enters into a recovery phase or, ultimately, into resolution. The ESRB therefore proposed in its response to ESMA that any extension of the recognition of the two UK Tier 2 CCPs should be temporary and should go hand in hand with measures designed to reduce risks to financial stability. These measures would, for example, be designed to increase the offer of clearing solutions from EU CCPs, thus enabling EU authorities to achieve a gradual reduction in exposures of EU clearing members to Tier 2 CCPs</w:t>
      </w:r>
      <w:r w:rsidRPr="002661A8">
        <w:t>”.</w:t>
      </w:r>
    </w:p>
  </w:footnote>
  <w:footnote w:id="109">
    <w:p w14:paraId="0865BFD3" w14:textId="59033EA7" w:rsidR="00134BBD" w:rsidRPr="00D5249A" w:rsidRDefault="00134BBD" w:rsidP="00B453D3">
      <w:pPr>
        <w:pStyle w:val="FootnoteText"/>
        <w:spacing w:after="0"/>
      </w:pPr>
      <w:r>
        <w:rPr>
          <w:rStyle w:val="FootnoteReference"/>
        </w:rPr>
        <w:footnoteRef/>
      </w:r>
      <w:r>
        <w:t xml:space="preserve"> </w:t>
      </w:r>
      <w:r w:rsidRPr="002661A8">
        <w:rPr>
          <w:rStyle w:val="FootnoteReference"/>
          <w:vertAlign w:val="baseline"/>
        </w:rPr>
        <w:t>See 2021 ESMA report on UK CCPs</w:t>
      </w:r>
      <w:r w:rsidRPr="002661A8">
        <w:t xml:space="preserve"> (see footnote </w:t>
      </w:r>
      <w:r>
        <w:fldChar w:fldCharType="begin"/>
      </w:r>
      <w:r>
        <w:instrText xml:space="preserve"> NOTEREF _Ref120290389 \h </w:instrText>
      </w:r>
      <w:r>
        <w:fldChar w:fldCharType="separate"/>
      </w:r>
      <w:r w:rsidR="009D6A61">
        <w:t>9</w:t>
      </w:r>
      <w:r>
        <w:fldChar w:fldCharType="end"/>
      </w:r>
      <w:r>
        <w:t xml:space="preserve"> above</w:t>
      </w:r>
      <w:r w:rsidRPr="002661A8">
        <w:t>), p. 35.</w:t>
      </w:r>
    </w:p>
  </w:footnote>
  <w:footnote w:id="110">
    <w:p w14:paraId="1CD58FF5" w14:textId="216BBB4A" w:rsidR="00134BBD" w:rsidRPr="002661A8" w:rsidRDefault="00134BBD" w:rsidP="00300E7C">
      <w:pPr>
        <w:pStyle w:val="FootnoteText"/>
        <w:spacing w:after="0"/>
        <w:ind w:left="0" w:hanging="284"/>
      </w:pPr>
      <w:r w:rsidRPr="002661A8">
        <w:rPr>
          <w:rStyle w:val="FootnoteReference"/>
        </w:rPr>
        <w:footnoteRef/>
      </w:r>
      <w:r w:rsidRPr="002661A8">
        <w:t xml:space="preserve"> </w:t>
      </w:r>
      <w:r w:rsidRPr="002661A8">
        <w:tab/>
        <w:t xml:space="preserve">See 2021 ESMA report on UK CCPs (see footnote </w:t>
      </w:r>
      <w:r>
        <w:fldChar w:fldCharType="begin"/>
      </w:r>
      <w:r>
        <w:instrText xml:space="preserve"> NOTEREF _Ref120290389 \h </w:instrText>
      </w:r>
      <w:r>
        <w:fldChar w:fldCharType="separate"/>
      </w:r>
      <w:r w:rsidR="009D6A61">
        <w:t>9</w:t>
      </w:r>
      <w:r>
        <w:fldChar w:fldCharType="end"/>
      </w:r>
      <w:r>
        <w:t xml:space="preserve"> above</w:t>
      </w:r>
      <w:r w:rsidRPr="002661A8">
        <w:t>).</w:t>
      </w:r>
    </w:p>
  </w:footnote>
  <w:footnote w:id="111">
    <w:p w14:paraId="7780E1F6" w14:textId="482BBB67" w:rsidR="00134BBD" w:rsidRPr="002661A8" w:rsidRDefault="00134BBD" w:rsidP="00F15AA1">
      <w:pPr>
        <w:pStyle w:val="FootnoteText"/>
        <w:spacing w:after="0"/>
        <w:ind w:left="0" w:hanging="284"/>
      </w:pPr>
      <w:r w:rsidRPr="002661A8">
        <w:rPr>
          <w:rStyle w:val="FootnoteReference"/>
        </w:rPr>
        <w:footnoteRef/>
      </w:r>
      <w:r w:rsidRPr="002661A8">
        <w:t xml:space="preserve"> </w:t>
      </w:r>
      <w:r w:rsidRPr="002661A8">
        <w:tab/>
      </w:r>
      <w:r w:rsidRPr="002661A8">
        <w:rPr>
          <w:rStyle w:val="FootnoteReference"/>
          <w:vertAlign w:val="baseline"/>
        </w:rPr>
        <w:t>See 2021 ESMA report on UK CCPs</w:t>
      </w:r>
      <w:r w:rsidRPr="002661A8">
        <w:t xml:space="preserve"> (see footnote </w:t>
      </w:r>
      <w:r>
        <w:fldChar w:fldCharType="begin"/>
      </w:r>
      <w:r>
        <w:instrText xml:space="preserve"> NOTEREF _Ref120290389 \h </w:instrText>
      </w:r>
      <w:r>
        <w:fldChar w:fldCharType="separate"/>
      </w:r>
      <w:r w:rsidR="009D6A61">
        <w:t>9</w:t>
      </w:r>
      <w:r>
        <w:fldChar w:fldCharType="end"/>
      </w:r>
      <w:r>
        <w:t xml:space="preserve"> above</w:t>
      </w:r>
      <w:r w:rsidRPr="002661A8">
        <w:t>)</w:t>
      </w:r>
      <w:r w:rsidRPr="002661A8">
        <w:rPr>
          <w:rStyle w:val="Hyperlink"/>
        </w:rPr>
        <w:t xml:space="preserve">, </w:t>
      </w:r>
      <w:r w:rsidRPr="002661A8">
        <w:rPr>
          <w:rStyle w:val="Hyperlink"/>
          <w:color w:val="auto"/>
          <w:u w:val="none"/>
        </w:rPr>
        <w:t>p.6.</w:t>
      </w:r>
    </w:p>
  </w:footnote>
  <w:footnote w:id="112">
    <w:p w14:paraId="26699E52" w14:textId="1E72DAD8" w:rsidR="00134BBD" w:rsidRPr="002661A8" w:rsidRDefault="00134BBD" w:rsidP="00F15AA1">
      <w:pPr>
        <w:pStyle w:val="FootnoteText"/>
        <w:spacing w:after="0"/>
        <w:ind w:left="0" w:hanging="284"/>
      </w:pPr>
      <w:r w:rsidRPr="002661A8">
        <w:rPr>
          <w:rStyle w:val="FootnoteReference"/>
        </w:rPr>
        <w:footnoteRef/>
      </w:r>
      <w:r w:rsidRPr="002661A8">
        <w:t xml:space="preserve"> </w:t>
      </w:r>
      <w:r w:rsidRPr="002661A8">
        <w:tab/>
      </w:r>
      <w:r w:rsidRPr="002661A8">
        <w:rPr>
          <w:rStyle w:val="FootnoteReference"/>
          <w:vertAlign w:val="baseline"/>
        </w:rPr>
        <w:t xml:space="preserve">See 2021 ESMA report on UK CCPs </w:t>
      </w:r>
      <w:r w:rsidRPr="002661A8">
        <w:t xml:space="preserve">(see footnote </w:t>
      </w:r>
      <w:r>
        <w:fldChar w:fldCharType="begin"/>
      </w:r>
      <w:r>
        <w:instrText xml:space="preserve"> NOTEREF _Ref120290389 \h </w:instrText>
      </w:r>
      <w:r>
        <w:fldChar w:fldCharType="separate"/>
      </w:r>
      <w:r w:rsidR="009D6A61">
        <w:t>9</w:t>
      </w:r>
      <w:r>
        <w:fldChar w:fldCharType="end"/>
      </w:r>
      <w:r>
        <w:t xml:space="preserve"> above</w:t>
      </w:r>
      <w:r w:rsidRPr="002661A8">
        <w:t>), p. 46.</w:t>
      </w:r>
    </w:p>
  </w:footnote>
  <w:footnote w:id="113">
    <w:p w14:paraId="6B81B1FA" w14:textId="3A42554E" w:rsidR="00134BBD" w:rsidRPr="004F2951" w:rsidRDefault="00134BBD" w:rsidP="008A1ACF">
      <w:pPr>
        <w:pStyle w:val="FootnoteText"/>
        <w:spacing w:after="0"/>
        <w:ind w:left="0" w:hanging="284"/>
      </w:pPr>
      <w:r w:rsidRPr="004F2951">
        <w:rPr>
          <w:rStyle w:val="FootnoteReference"/>
        </w:rPr>
        <w:footnoteRef/>
      </w:r>
      <w:r w:rsidRPr="004F2951">
        <w:t xml:space="preserve"> </w:t>
      </w:r>
      <w:r>
        <w:tab/>
      </w:r>
      <w:r w:rsidRPr="004F2951">
        <w:t xml:space="preserve">For example, </w:t>
      </w:r>
      <w:r>
        <w:t>in terms of clearing of USD interest rate swaps, the balance between LCH Ltd in the UK and CME in the US stood at a</w:t>
      </w:r>
      <w:r w:rsidRPr="004F2951">
        <w:t>ro</w:t>
      </w:r>
      <w:r>
        <w:t>und 5</w:t>
      </w:r>
      <w:r w:rsidRPr="004F2951">
        <w:t xml:space="preserve">5% </w:t>
      </w:r>
      <w:r>
        <w:t xml:space="preserve">vs 45% over the period 2014-2016. See BIS Working Paper No. 826, “The cost of clearing fragmentation”, 2019. </w:t>
      </w:r>
    </w:p>
  </w:footnote>
  <w:footnote w:id="114">
    <w:p w14:paraId="35DDE932" w14:textId="624C59B7" w:rsidR="00134BBD" w:rsidRPr="0060251B" w:rsidRDefault="00134BBD" w:rsidP="0060251B">
      <w:pPr>
        <w:pStyle w:val="FootnoteText"/>
        <w:spacing w:after="0"/>
        <w:ind w:left="0" w:hanging="284"/>
      </w:pPr>
      <w:r>
        <w:rPr>
          <w:rStyle w:val="FootnoteReference"/>
        </w:rPr>
        <w:footnoteRef/>
      </w:r>
      <w:r>
        <w:t xml:space="preserve"> Confidential information provided to DG FISMA services.</w:t>
      </w:r>
    </w:p>
  </w:footnote>
  <w:footnote w:id="115">
    <w:p w14:paraId="5F49BC5C" w14:textId="6666B5E2" w:rsidR="00134BBD" w:rsidRPr="00E37B85" w:rsidRDefault="00134BBD" w:rsidP="00800A3A">
      <w:pPr>
        <w:pStyle w:val="FootnoteText"/>
        <w:spacing w:after="0"/>
        <w:ind w:left="0" w:hanging="284"/>
      </w:pPr>
      <w:r>
        <w:rPr>
          <w:rStyle w:val="FootnoteReference"/>
        </w:rPr>
        <w:footnoteRef/>
      </w:r>
      <w:r>
        <w:t xml:space="preserve"> </w:t>
      </w:r>
      <w:r>
        <w:tab/>
        <w:t>According to CEPS, t</w:t>
      </w:r>
      <w:r w:rsidRPr="00800A3A">
        <w:t>he majority of JPY IRS (63%</w:t>
      </w:r>
      <w:r>
        <w:t>, in terms of notional traded</w:t>
      </w:r>
      <w:r w:rsidRPr="00800A3A">
        <w:t xml:space="preserve">) </w:t>
      </w:r>
      <w:r>
        <w:t>are</w:t>
      </w:r>
      <w:r w:rsidRPr="00800A3A">
        <w:t xml:space="preserve"> cleared by CCPs located</w:t>
      </w:r>
      <w:r>
        <w:t xml:space="preserve"> </w:t>
      </w:r>
      <w:r w:rsidRPr="00800A3A">
        <w:t xml:space="preserve">in the Asia-Pacific region (mainly </w:t>
      </w:r>
      <w:r>
        <w:t>the Japanese CCP</w:t>
      </w:r>
      <w:r w:rsidRPr="00800A3A">
        <w:t>), with only 20% cleared in UK CCPs, particularly LCH’s SwapClear.</w:t>
      </w:r>
      <w:r>
        <w:t xml:space="preserve"> See </w:t>
      </w:r>
      <w:r w:rsidRPr="002661A8">
        <w:rPr>
          <w:rStyle w:val="FootnoteReference"/>
          <w:vertAlign w:val="baseline"/>
        </w:rPr>
        <w:t>CEPS, 2021, ”Setting EU CCP policy – much more than meets the eye”</w:t>
      </w:r>
      <w:r>
        <w:t>.</w:t>
      </w:r>
    </w:p>
  </w:footnote>
  <w:footnote w:id="116">
    <w:p w14:paraId="7D968E75" w14:textId="5F6B26F3" w:rsidR="00134BBD" w:rsidRPr="002661A8" w:rsidRDefault="00134BBD">
      <w:pPr>
        <w:pStyle w:val="FootnoteText"/>
        <w:spacing w:after="0"/>
        <w:ind w:left="0" w:hanging="284"/>
      </w:pPr>
      <w:r w:rsidRPr="002661A8">
        <w:rPr>
          <w:rStyle w:val="FootnoteReference"/>
        </w:rPr>
        <w:footnoteRef/>
      </w:r>
      <w:r w:rsidRPr="002661A8">
        <w:t xml:space="preserve"> </w:t>
      </w:r>
      <w:r w:rsidRPr="002661A8">
        <w:tab/>
        <w:t>ESMA concluded that while substantial risks for the EU and its Member States exist for certain products and services offered in UK CCPs, at this point in time, the costs of a de-recognition outweighed the benefits.</w:t>
      </w:r>
      <w:r w:rsidRPr="002661A8">
        <w:rPr>
          <w:rStyle w:val="FootnoteReference"/>
          <w:vertAlign w:val="baseline"/>
        </w:rPr>
        <w:t xml:space="preserve"> See </w:t>
      </w:r>
      <w:r>
        <w:t>footnote 9 above</w:t>
      </w:r>
      <w:r w:rsidRPr="002661A8">
        <w:t>.</w:t>
      </w:r>
    </w:p>
  </w:footnote>
  <w:footnote w:id="117">
    <w:p w14:paraId="197DFEE4" w14:textId="56C6A74A" w:rsidR="00134BBD" w:rsidRPr="002661A8" w:rsidRDefault="00134BBD" w:rsidP="00E96087">
      <w:pPr>
        <w:pStyle w:val="FootnoteText"/>
        <w:spacing w:after="0"/>
        <w:ind w:left="0" w:hanging="284"/>
      </w:pPr>
      <w:r w:rsidRPr="002661A8">
        <w:rPr>
          <w:rStyle w:val="FootnoteReference"/>
        </w:rPr>
        <w:footnoteRef/>
      </w:r>
      <w:r w:rsidRPr="002661A8" w:rsidDel="00B1757E">
        <w:t xml:space="preserve"> </w:t>
      </w:r>
      <w:r w:rsidRPr="002661A8">
        <w:tab/>
        <w:t>PSAs will be subject to the clearing obligation from June 2023 at the latest.</w:t>
      </w:r>
    </w:p>
  </w:footnote>
  <w:footnote w:id="118">
    <w:p w14:paraId="7F20750B" w14:textId="1DF4A280" w:rsidR="00134BBD" w:rsidRPr="002661A8" w:rsidRDefault="00134BBD" w:rsidP="001A58B2">
      <w:pPr>
        <w:pStyle w:val="FootnoteText"/>
        <w:spacing w:after="0"/>
        <w:ind w:left="0" w:hanging="284"/>
        <w:rPr>
          <w:lang w:val="en-IE"/>
        </w:rPr>
      </w:pPr>
      <w:r w:rsidRPr="002661A8">
        <w:rPr>
          <w:rStyle w:val="FootnoteReference"/>
        </w:rPr>
        <w:footnoteRef/>
      </w:r>
      <w:r w:rsidRPr="002661A8">
        <w:t xml:space="preserve"> Regulation (EU) 2017/1131 of the European Parliament and of the Council of 14 June 2017 on money market funds, OJ L 169, 30.6.2017, p.</w:t>
      </w:r>
      <w:r w:rsidRPr="00711FD5">
        <w:rPr>
          <w:lang w:val="en-IE"/>
        </w:rPr>
        <w:t xml:space="preserve">  </w:t>
      </w:r>
      <w:r w:rsidRPr="002661A8">
        <w:t>8 – 45 (MMFR).</w:t>
      </w:r>
    </w:p>
  </w:footnote>
  <w:footnote w:id="119">
    <w:p w14:paraId="567BC964" w14:textId="306CD0E6" w:rsidR="00134BBD" w:rsidRPr="002661A8" w:rsidRDefault="00134BBD" w:rsidP="00E96087">
      <w:pPr>
        <w:pStyle w:val="FootnoteText"/>
        <w:spacing w:after="0"/>
        <w:ind w:left="0" w:hanging="284"/>
      </w:pPr>
      <w:r w:rsidRPr="002661A8">
        <w:rPr>
          <w:rStyle w:val="FootnoteReference"/>
        </w:rPr>
        <w:footnoteRef/>
      </w:r>
      <w:r w:rsidRPr="002661A8">
        <w:tab/>
        <w:t>The changes to support central clearing by clients in the Solvency II delegated act (</w:t>
      </w:r>
      <w:r>
        <w:t>see footnote 4</w:t>
      </w:r>
      <w:r w:rsidRPr="002661A8">
        <w:t>) could be made together with changes announced in the context of the Solvency II Review (see COM(2021)580).</w:t>
      </w:r>
    </w:p>
  </w:footnote>
  <w:footnote w:id="120">
    <w:p w14:paraId="41BFECE9" w14:textId="7E5E8186" w:rsidR="00134BBD" w:rsidRPr="008E0113" w:rsidRDefault="00134BBD" w:rsidP="00F61A4C">
      <w:pPr>
        <w:pStyle w:val="FootnoteText"/>
        <w:spacing w:after="0"/>
        <w:ind w:left="0" w:hanging="284"/>
      </w:pPr>
      <w:r>
        <w:rPr>
          <w:rStyle w:val="FootnoteReference"/>
        </w:rPr>
        <w:footnoteRef/>
      </w:r>
      <w:r>
        <w:t xml:space="preserve"> </w:t>
      </w:r>
      <w:r>
        <w:tab/>
        <w:t>See Annex 2, section on Supervision of CCPs.</w:t>
      </w:r>
    </w:p>
  </w:footnote>
  <w:footnote w:id="121">
    <w:p w14:paraId="7CE90E71" w14:textId="1604439F" w:rsidR="00134BBD" w:rsidRPr="000A6C1F" w:rsidRDefault="00134BBD" w:rsidP="00F61A4C">
      <w:pPr>
        <w:pStyle w:val="FootnoteText"/>
        <w:spacing w:after="0"/>
        <w:ind w:left="0" w:hanging="284"/>
      </w:pPr>
      <w:r>
        <w:rPr>
          <w:rStyle w:val="FootnoteReference"/>
        </w:rPr>
        <w:footnoteRef/>
      </w:r>
      <w:r>
        <w:t xml:space="preserve"> </w:t>
      </w:r>
      <w:r>
        <w:tab/>
        <w:t>See Annex 4.2, in particular section 2.1 and section 3.2.1 for more details.</w:t>
      </w:r>
    </w:p>
  </w:footnote>
  <w:footnote w:id="122">
    <w:p w14:paraId="722A292D" w14:textId="72980920" w:rsidR="00134BBD" w:rsidRPr="002661A8" w:rsidRDefault="00134BBD" w:rsidP="00A16EAC">
      <w:pPr>
        <w:pStyle w:val="FootnoteText"/>
        <w:spacing w:after="0"/>
        <w:ind w:left="0" w:hanging="284"/>
      </w:pPr>
      <w:r w:rsidRPr="002661A8">
        <w:rPr>
          <w:rStyle w:val="FootnoteReference"/>
        </w:rPr>
        <w:footnoteRef/>
      </w:r>
      <w:r w:rsidRPr="002661A8">
        <w:t xml:space="preserve"> Some stakeholders (i.e. CCPs, ESMA) mentioned that a fast-track procedure for certain changes could be designed, while maintaining the full authorisation for more complex cases.</w:t>
      </w:r>
    </w:p>
  </w:footnote>
  <w:footnote w:id="123">
    <w:p w14:paraId="571D008D" w14:textId="55B5C795" w:rsidR="00134BBD" w:rsidRPr="002661A8" w:rsidRDefault="00134BBD" w:rsidP="00A16EAC">
      <w:pPr>
        <w:pStyle w:val="FootnoteText"/>
        <w:spacing w:after="0"/>
        <w:ind w:left="0" w:hanging="284"/>
      </w:pPr>
      <w:r w:rsidRPr="002661A8">
        <w:rPr>
          <w:rStyle w:val="FootnoteReference"/>
        </w:rPr>
        <w:footnoteRef/>
      </w:r>
      <w:r w:rsidRPr="002661A8">
        <w:t xml:space="preserve"> </w:t>
      </w:r>
      <w:r w:rsidRPr="002661A8">
        <w:tab/>
        <w:t xml:space="preserve">See </w:t>
      </w:r>
      <w:hyperlink w:anchor="_Annex_2:_Stakeholder" w:history="1">
        <w:r w:rsidRPr="002661A8">
          <w:rPr>
            <w:rStyle w:val="Hyperlink"/>
          </w:rPr>
          <w:t>Annex 2</w:t>
        </w:r>
      </w:hyperlink>
      <w:r w:rsidRPr="002661A8">
        <w:t>.</w:t>
      </w:r>
    </w:p>
  </w:footnote>
  <w:footnote w:id="124">
    <w:p w14:paraId="1FDFD090" w14:textId="3CA2E7AE" w:rsidR="00134BBD" w:rsidRPr="002661A8" w:rsidRDefault="00134BBD" w:rsidP="009559B3">
      <w:pPr>
        <w:pStyle w:val="FootnoteText"/>
        <w:spacing w:after="0"/>
        <w:ind w:left="0" w:hanging="284"/>
      </w:pPr>
      <w:r w:rsidRPr="002661A8">
        <w:rPr>
          <w:rStyle w:val="FootnoteReference"/>
        </w:rPr>
        <w:footnoteRef/>
      </w:r>
      <w:r w:rsidRPr="002661A8">
        <w:t xml:space="preserve"> </w:t>
      </w:r>
      <w:r w:rsidRPr="002661A8">
        <w:tab/>
        <w:t>E.g. this could be the addition of a new currency by an already multi-currency CCP. Specific cases could be identified in the level 1 text, while ESMA could be mandated to report and identify additional cases.</w:t>
      </w:r>
    </w:p>
  </w:footnote>
  <w:footnote w:id="125">
    <w:p w14:paraId="3F1727BA" w14:textId="2963D5EA" w:rsidR="00134BBD" w:rsidRPr="002661A8" w:rsidRDefault="00134BBD" w:rsidP="00773B80">
      <w:pPr>
        <w:pStyle w:val="FootnoteText"/>
        <w:spacing w:after="0"/>
        <w:ind w:left="0" w:hanging="284"/>
      </w:pPr>
      <w:r w:rsidRPr="002661A8">
        <w:rPr>
          <w:rStyle w:val="FootnoteReference"/>
        </w:rPr>
        <w:footnoteRef/>
      </w:r>
      <w:r w:rsidRPr="002661A8">
        <w:t xml:space="preserve"> </w:t>
      </w:r>
      <w:r w:rsidRPr="002661A8">
        <w:tab/>
        <w:t xml:space="preserve">According to confidential information provided to DG FISMA services.  </w:t>
      </w:r>
    </w:p>
  </w:footnote>
  <w:footnote w:id="126">
    <w:p w14:paraId="646D4905" w14:textId="3E27B28B" w:rsidR="00134BBD" w:rsidRPr="0018675E" w:rsidRDefault="00134BBD" w:rsidP="00674FDE">
      <w:pPr>
        <w:pStyle w:val="FootnoteText"/>
        <w:spacing w:after="0"/>
        <w:ind w:left="0" w:hanging="284"/>
      </w:pPr>
      <w:r>
        <w:rPr>
          <w:rStyle w:val="FootnoteReference"/>
        </w:rPr>
        <w:footnoteRef/>
      </w:r>
      <w:r>
        <w:t xml:space="preserve"> </w:t>
      </w:r>
      <w:r>
        <w:tab/>
        <w:t>While this section focuses on possible modifications to the CRR/CRD, similar changes could apply to the IFD in the context of investment firms.</w:t>
      </w:r>
    </w:p>
  </w:footnote>
  <w:footnote w:id="127">
    <w:p w14:paraId="07C8442E" w14:textId="537178C7" w:rsidR="00134BBD" w:rsidRPr="002661A8" w:rsidRDefault="00134BBD" w:rsidP="00AB3486">
      <w:pPr>
        <w:pStyle w:val="FootnoteText"/>
        <w:spacing w:after="0"/>
        <w:ind w:left="0" w:hanging="284"/>
      </w:pPr>
      <w:r w:rsidRPr="002661A8">
        <w:rPr>
          <w:rStyle w:val="FootnoteReference"/>
        </w:rPr>
        <w:footnoteRef/>
      </w:r>
      <w:r w:rsidRPr="002661A8">
        <w:t xml:space="preserve"> </w:t>
      </w:r>
      <w:r w:rsidRPr="002661A8">
        <w:tab/>
        <w:t xml:space="preserve">Exposures to CCPs are excluded from the large exposures limit under CRR. </w:t>
      </w:r>
    </w:p>
  </w:footnote>
  <w:footnote w:id="128">
    <w:p w14:paraId="079EF45E" w14:textId="66217ADE" w:rsidR="00134BBD" w:rsidRPr="002661A8" w:rsidRDefault="00134BBD" w:rsidP="000C0242">
      <w:pPr>
        <w:pStyle w:val="FootnoteText"/>
        <w:spacing w:after="0"/>
        <w:ind w:left="0" w:hanging="284"/>
      </w:pPr>
      <w:r w:rsidRPr="002661A8">
        <w:rPr>
          <w:rStyle w:val="FootnoteReference"/>
        </w:rPr>
        <w:footnoteRef/>
      </w:r>
      <w:r w:rsidRPr="002661A8">
        <w:t xml:space="preserve"> </w:t>
      </w:r>
      <w:r w:rsidRPr="002661A8">
        <w:tab/>
        <w:t xml:space="preserve">The Basel Capital Accord is based on 3 Pillars: “Pillar 1”, setting minimum capital requirements banks have to meet; “Pillar 2”, establishing a supervisory review of banks’ capital adequacy and allowing supervisors to impose additional measures, including capital add-ons, if risks banks incur are not fully or adequately addressed under the “Pillar 1”; and “Pillar 3” establishing disclosure rules to foster market discipline. The Basel framework was introduced in the EU through the Capital Requirements Directive (CRD) and the Capital Requirements Regulation (CRR). See Bank for International Settlements, the Basel Framework, https://www.bis.org/basel_framework/. </w:t>
      </w:r>
    </w:p>
  </w:footnote>
  <w:footnote w:id="129">
    <w:p w14:paraId="43781D9D" w14:textId="5903F36C" w:rsidR="00134BBD" w:rsidRPr="00674FDE" w:rsidRDefault="00134BBD" w:rsidP="00674FDE">
      <w:pPr>
        <w:pStyle w:val="FootnoteText"/>
        <w:spacing w:after="0"/>
        <w:ind w:left="0" w:hanging="284"/>
        <w:rPr>
          <w:lang w:val="en-IE"/>
        </w:rPr>
      </w:pPr>
      <w:r>
        <w:rPr>
          <w:rStyle w:val="FootnoteReference"/>
        </w:rPr>
        <w:footnoteRef/>
      </w:r>
      <w:r>
        <w:t xml:space="preserve"> </w:t>
      </w:r>
      <w:r>
        <w:tab/>
        <w:t>Similar to what is currently foreseen under Article 397 of the CRR for trading book exposures.</w:t>
      </w:r>
    </w:p>
  </w:footnote>
  <w:footnote w:id="130">
    <w:p w14:paraId="519B8C51" w14:textId="6282A0CE" w:rsidR="00134BBD" w:rsidRPr="002661A8" w:rsidRDefault="00134BBD" w:rsidP="000C0242">
      <w:pPr>
        <w:pStyle w:val="FootnoteText"/>
        <w:spacing w:after="0"/>
        <w:ind w:left="0" w:hanging="284"/>
      </w:pPr>
      <w:r w:rsidRPr="002661A8">
        <w:rPr>
          <w:rStyle w:val="FootnoteReference"/>
        </w:rPr>
        <w:footnoteRef/>
      </w:r>
      <w:r w:rsidRPr="002661A8">
        <w:t xml:space="preserve"> </w:t>
      </w:r>
      <w:r>
        <w:tab/>
      </w:r>
      <w:r w:rsidRPr="002661A8">
        <w:t xml:space="preserve">See </w:t>
      </w:r>
      <w:hyperlink w:anchor="_Annex_2:_Stakeholder" w:history="1">
        <w:r w:rsidRPr="002661A8">
          <w:rPr>
            <w:rStyle w:val="Hyperlink"/>
          </w:rPr>
          <w:t>Annex 2</w:t>
        </w:r>
      </w:hyperlink>
      <w:r w:rsidRPr="002661A8">
        <w:t>. Not many replied to this specific question, but among those replying there were major banking groups, some authorities and trading associations.</w:t>
      </w:r>
    </w:p>
  </w:footnote>
  <w:footnote w:id="131">
    <w:p w14:paraId="316DFBE6" w14:textId="7188A51A" w:rsidR="00134BBD" w:rsidRPr="002661A8" w:rsidRDefault="00134BBD" w:rsidP="00157DF3">
      <w:pPr>
        <w:pStyle w:val="FootnoteText"/>
        <w:spacing w:after="0"/>
        <w:ind w:left="0" w:hanging="284"/>
      </w:pPr>
      <w:r w:rsidRPr="002661A8">
        <w:rPr>
          <w:rStyle w:val="FootnoteReference"/>
        </w:rPr>
        <w:footnoteRef/>
      </w:r>
      <w:r w:rsidRPr="002661A8">
        <w:t xml:space="preserve"> This may be tempered by ECB powers under Article 5 of the SSM Regulation (Council Regulation (EU) No 1024/2013 of 15 October 2013 conferring specific tasks on the European Central Bank concerning policies relating to the prudential supervision of credit institutions, OJ L 287, 29.10.2013, p. 63–89) to top-up capital based measures of Member States participating in the Banking Union. However, besides being politically controversial, this would only allow tightening existing measures. </w:t>
      </w:r>
    </w:p>
  </w:footnote>
  <w:footnote w:id="132">
    <w:p w14:paraId="76F331FD" w14:textId="53BF7E46" w:rsidR="00134BBD" w:rsidRPr="00F61A4C" w:rsidRDefault="00134BBD" w:rsidP="00EC6147">
      <w:pPr>
        <w:pStyle w:val="FootnoteText"/>
        <w:spacing w:after="0"/>
        <w:ind w:left="0" w:hanging="284"/>
      </w:pPr>
      <w:r>
        <w:rPr>
          <w:rStyle w:val="FootnoteReference"/>
        </w:rPr>
        <w:footnoteRef/>
      </w:r>
      <w:r>
        <w:t xml:space="preserve"> </w:t>
      </w:r>
      <w:r w:rsidRPr="00400DB4">
        <w:t>i.e. 15 out of 19 respondents</w:t>
      </w:r>
      <w:r>
        <w:t>.</w:t>
      </w:r>
    </w:p>
  </w:footnote>
  <w:footnote w:id="133">
    <w:p w14:paraId="39A44509" w14:textId="1BE3625D" w:rsidR="00134BBD" w:rsidRPr="002661A8" w:rsidRDefault="00134BBD" w:rsidP="00612754">
      <w:pPr>
        <w:pStyle w:val="FootnoteText"/>
        <w:spacing w:after="0"/>
        <w:ind w:left="0" w:hanging="284"/>
        <w:rPr>
          <w:lang w:val="en-IE"/>
        </w:rPr>
      </w:pPr>
      <w:r w:rsidRPr="002661A8">
        <w:rPr>
          <w:rStyle w:val="FootnoteReference"/>
        </w:rPr>
        <w:footnoteRef/>
      </w:r>
      <w:r w:rsidRPr="002661A8">
        <w:t xml:space="preserve"> </w:t>
      </w:r>
      <w:r w:rsidRPr="002661A8">
        <w:tab/>
      </w:r>
      <w:r w:rsidRPr="002661A8">
        <w:rPr>
          <w:lang w:val="en-IE"/>
        </w:rPr>
        <w:t>Insofar exposures are concentrated towards third-country CCPs and assuming that there would be sufficient substitutability ensured by EU CCPs to allow for the transfer of excess exposures.</w:t>
      </w:r>
    </w:p>
  </w:footnote>
  <w:footnote w:id="134">
    <w:p w14:paraId="46CBB881" w14:textId="03099978" w:rsidR="00134BBD" w:rsidRPr="002661A8" w:rsidRDefault="00134BBD" w:rsidP="001C206A">
      <w:pPr>
        <w:pStyle w:val="FootnoteText"/>
        <w:spacing w:after="0"/>
        <w:ind w:left="0" w:hanging="284"/>
      </w:pPr>
      <w:r w:rsidRPr="002661A8">
        <w:rPr>
          <w:rStyle w:val="FootnoteReference"/>
        </w:rPr>
        <w:footnoteRef/>
      </w:r>
      <w:r w:rsidRPr="002661A8">
        <w:t xml:space="preserve"> </w:t>
      </w:r>
      <w:r w:rsidRPr="002661A8">
        <w:tab/>
      </w:r>
      <w:r w:rsidRPr="002661A8">
        <w:rPr>
          <w:lang w:val="en-IE"/>
        </w:rPr>
        <w:t>According to confidential information submitted to DG FISMA, clearing by some EU clearing members with non-EU clients brings significant revenues, e.g. revenues from non-EEA clients in the interest rate swaps segment can account for almost 50% of client clearing-related revenues.</w:t>
      </w:r>
    </w:p>
  </w:footnote>
  <w:footnote w:id="135">
    <w:p w14:paraId="107214DE" w14:textId="28C7AFFC" w:rsidR="00134BBD" w:rsidRPr="002661A8" w:rsidRDefault="00134BBD" w:rsidP="001C206A">
      <w:pPr>
        <w:pStyle w:val="FootnoteText"/>
        <w:spacing w:after="0"/>
        <w:ind w:left="0" w:hanging="284"/>
      </w:pPr>
      <w:r w:rsidRPr="002661A8">
        <w:rPr>
          <w:rStyle w:val="FootnoteReference"/>
        </w:rPr>
        <w:footnoteRef/>
      </w:r>
      <w:r w:rsidRPr="002661A8">
        <w:t xml:space="preserve"> </w:t>
      </w:r>
      <w:r w:rsidRPr="002661A8">
        <w:tab/>
      </w:r>
      <w:r w:rsidRPr="002661A8">
        <w:rPr>
          <w:lang w:val="en-IE"/>
        </w:rPr>
        <w:t>According to confidential information submitted to DG FISMA, measures restricting the ability of EU clearing members to choose the clearing location and introducing some fragmentation can contribute to a price differential between CCPs, or increase the volatility of such a differential, with negative cost repercussions on EU clearing members.</w:t>
      </w:r>
    </w:p>
  </w:footnote>
  <w:footnote w:id="136">
    <w:p w14:paraId="03AD2BC7" w14:textId="6C465071" w:rsidR="00134BBD" w:rsidRPr="002661A8" w:rsidRDefault="00134BBD" w:rsidP="005D2EED">
      <w:pPr>
        <w:pStyle w:val="FootnoteText"/>
        <w:spacing w:after="0"/>
        <w:ind w:left="0" w:hanging="284"/>
      </w:pPr>
      <w:r w:rsidRPr="002661A8">
        <w:rPr>
          <w:rStyle w:val="FootnoteReference"/>
        </w:rPr>
        <w:footnoteRef/>
      </w:r>
      <w:r w:rsidRPr="002661A8">
        <w:t xml:space="preserve"> </w:t>
      </w:r>
      <w:r w:rsidRPr="002661A8">
        <w:tab/>
        <w:t xml:space="preserve">2021 ESMA report on UK CCPs (see footnote </w:t>
      </w:r>
      <w:r>
        <w:t>9 above</w:t>
      </w:r>
      <w:r w:rsidRPr="002661A8">
        <w:t>).</w:t>
      </w:r>
    </w:p>
  </w:footnote>
  <w:footnote w:id="137">
    <w:p w14:paraId="58E96B17" w14:textId="61CFDDAE" w:rsidR="00134BBD" w:rsidRPr="002661A8" w:rsidRDefault="00134BBD" w:rsidP="00CF0977">
      <w:pPr>
        <w:pStyle w:val="FootnoteText"/>
        <w:spacing w:after="0"/>
        <w:ind w:left="0" w:hanging="284"/>
      </w:pPr>
      <w:r w:rsidRPr="002661A8">
        <w:rPr>
          <w:rStyle w:val="FootnoteReference"/>
        </w:rPr>
        <w:footnoteRef/>
      </w:r>
      <w:r w:rsidRPr="002661A8">
        <w:t xml:space="preserve"> </w:t>
      </w:r>
      <w:r w:rsidRPr="002661A8">
        <w:tab/>
        <w:t xml:space="preserve">See </w:t>
      </w:r>
      <w:hyperlink w:anchor="_Annex_2:_Stakeholder" w:history="1">
        <w:r w:rsidRPr="002661A8">
          <w:rPr>
            <w:rStyle w:val="Hyperlink"/>
          </w:rPr>
          <w:t>Annex 2</w:t>
        </w:r>
      </w:hyperlink>
      <w:r w:rsidRPr="002661A8">
        <w:t>.</w:t>
      </w:r>
    </w:p>
  </w:footnote>
  <w:footnote w:id="138">
    <w:p w14:paraId="68D329F8" w14:textId="61827A4A" w:rsidR="00134BBD" w:rsidRPr="00E2151E" w:rsidRDefault="00134BBD" w:rsidP="00B368F1">
      <w:pPr>
        <w:pStyle w:val="FootnoteText"/>
        <w:spacing w:after="0"/>
        <w:ind w:left="0" w:hanging="284"/>
      </w:pPr>
      <w:r>
        <w:rPr>
          <w:rStyle w:val="FootnoteReference"/>
        </w:rPr>
        <w:footnoteRef/>
      </w:r>
      <w:r>
        <w:t xml:space="preserve"> </w:t>
      </w:r>
      <w:r>
        <w:tab/>
        <w:t xml:space="preserve">See </w:t>
      </w:r>
      <w:hyperlink w:anchor="_Annex_2:_Stakeholder" w:history="1">
        <w:r w:rsidRPr="002661A8">
          <w:rPr>
            <w:rStyle w:val="Hyperlink"/>
          </w:rPr>
          <w:t>Annex 2</w:t>
        </w:r>
      </w:hyperlink>
      <w:r>
        <w:t>, section on Active account.</w:t>
      </w:r>
    </w:p>
  </w:footnote>
  <w:footnote w:id="139">
    <w:p w14:paraId="6F2E39DE" w14:textId="01AE629D" w:rsidR="00134BBD" w:rsidRPr="00E2151E" w:rsidRDefault="00134BBD" w:rsidP="00B368F1">
      <w:pPr>
        <w:pStyle w:val="FootnoteText"/>
        <w:spacing w:after="0"/>
        <w:ind w:left="0" w:hanging="284"/>
      </w:pPr>
      <w:r>
        <w:rPr>
          <w:rStyle w:val="FootnoteReference"/>
        </w:rPr>
        <w:footnoteRef/>
      </w:r>
      <w:r>
        <w:t xml:space="preserve"> </w:t>
      </w:r>
      <w:r>
        <w:tab/>
        <w:t>For Member States views see Annex 4.2 on Active accounts.</w:t>
      </w:r>
    </w:p>
  </w:footnote>
  <w:footnote w:id="140">
    <w:p w14:paraId="5B9CECC7" w14:textId="6AB25DB5" w:rsidR="00134BBD" w:rsidRPr="002661A8" w:rsidRDefault="00134BBD" w:rsidP="00387954">
      <w:pPr>
        <w:pStyle w:val="FootnoteText"/>
        <w:spacing w:after="0"/>
        <w:ind w:left="0" w:hanging="284"/>
      </w:pPr>
      <w:r w:rsidRPr="002661A8">
        <w:rPr>
          <w:rStyle w:val="FootnoteReference"/>
        </w:rPr>
        <w:footnoteRef/>
      </w:r>
      <w:r w:rsidRPr="002661A8">
        <w:t xml:space="preserve"> </w:t>
      </w:r>
      <w:r w:rsidRPr="002661A8">
        <w:tab/>
        <w:t>DG FISMA services estimates based on confidential information provided to DG FISMA.</w:t>
      </w:r>
    </w:p>
  </w:footnote>
  <w:footnote w:id="141">
    <w:p w14:paraId="2458B7BA" w14:textId="33249F13" w:rsidR="00134BBD" w:rsidRPr="00982A71" w:rsidRDefault="00134BBD" w:rsidP="000D032C">
      <w:pPr>
        <w:pStyle w:val="FootnoteText"/>
        <w:spacing w:after="0"/>
        <w:ind w:left="0" w:hanging="284"/>
      </w:pPr>
      <w:r>
        <w:rPr>
          <w:rStyle w:val="FootnoteReference"/>
        </w:rPr>
        <w:footnoteRef/>
      </w:r>
      <w:r>
        <w:t xml:space="preserve"> </w:t>
      </w:r>
      <w:r>
        <w:tab/>
        <w:t>Article 10(1) of the ESMA Regulation, and in particular the third subparagraph thereof.</w:t>
      </w:r>
    </w:p>
  </w:footnote>
  <w:footnote w:id="142">
    <w:p w14:paraId="4133FFE2" w14:textId="383A3A7C" w:rsidR="00134BBD" w:rsidRPr="002661A8" w:rsidRDefault="00134BBD" w:rsidP="007646EF">
      <w:pPr>
        <w:pStyle w:val="FootnoteText"/>
        <w:spacing w:after="0"/>
        <w:ind w:left="0" w:hanging="284"/>
      </w:pPr>
      <w:r w:rsidRPr="002661A8">
        <w:rPr>
          <w:rStyle w:val="FootnoteReference"/>
        </w:rPr>
        <w:footnoteRef/>
      </w:r>
      <w:r w:rsidRPr="002661A8">
        <w:t xml:space="preserve"> </w:t>
      </w:r>
      <w:r>
        <w:tab/>
      </w:r>
      <w:r w:rsidRPr="002661A8">
        <w:t>According to DG FISMA services’ estimates based on confidential information.</w:t>
      </w:r>
    </w:p>
  </w:footnote>
  <w:footnote w:id="143">
    <w:p w14:paraId="4E404BD5" w14:textId="621771A5" w:rsidR="00134BBD" w:rsidRPr="002661A8" w:rsidRDefault="00134BBD" w:rsidP="00387954">
      <w:pPr>
        <w:pStyle w:val="FootnoteText"/>
        <w:spacing w:after="0"/>
        <w:ind w:left="0" w:hanging="284"/>
      </w:pPr>
      <w:r w:rsidRPr="002661A8">
        <w:rPr>
          <w:rStyle w:val="FootnoteReference"/>
        </w:rPr>
        <w:footnoteRef/>
      </w:r>
      <w:r w:rsidRPr="002661A8">
        <w:t xml:space="preserve"> </w:t>
      </w:r>
      <w:r w:rsidRPr="002661A8">
        <w:tab/>
        <w:t>According to confidential information provided to DG FISMA services.</w:t>
      </w:r>
    </w:p>
  </w:footnote>
  <w:footnote w:id="144">
    <w:p w14:paraId="160B3611" w14:textId="56D4D2CF" w:rsidR="00134BBD" w:rsidRPr="002661A8" w:rsidRDefault="00134BBD" w:rsidP="00B647A6">
      <w:pPr>
        <w:pStyle w:val="FootnoteText"/>
        <w:spacing w:after="0"/>
        <w:ind w:left="0" w:hanging="284"/>
        <w:rPr>
          <w:lang w:val="en-IE"/>
        </w:rPr>
      </w:pPr>
      <w:r w:rsidRPr="002661A8">
        <w:rPr>
          <w:rStyle w:val="FootnoteReference"/>
        </w:rPr>
        <w:footnoteRef/>
      </w:r>
      <w:r w:rsidRPr="002661A8">
        <w:rPr>
          <w:lang w:val="en-IE"/>
        </w:rPr>
        <w:t xml:space="preserve"> </w:t>
      </w:r>
      <w:r>
        <w:rPr>
          <w:lang w:val="en-IE"/>
        </w:rPr>
        <w:tab/>
      </w:r>
      <w:r w:rsidRPr="002661A8">
        <w:rPr>
          <w:lang w:val="en-IE"/>
        </w:rPr>
        <w:t>5 out of 7 respondents to the targeted consultation.</w:t>
      </w:r>
      <w:r>
        <w:rPr>
          <w:lang w:val="en-IE"/>
        </w:rPr>
        <w:t xml:space="preserve"> </w:t>
      </w:r>
      <w:r w:rsidRPr="002661A8">
        <w:t xml:space="preserve">See </w:t>
      </w:r>
      <w:hyperlink w:anchor="_Annex_2:_Stakeholder" w:history="1">
        <w:r w:rsidRPr="002661A8">
          <w:rPr>
            <w:rStyle w:val="Hyperlink"/>
          </w:rPr>
          <w:t>Annex 2</w:t>
        </w:r>
      </w:hyperlink>
      <w:r w:rsidRPr="002661A8">
        <w:t>.</w:t>
      </w:r>
    </w:p>
  </w:footnote>
  <w:footnote w:id="145">
    <w:p w14:paraId="4725DB67" w14:textId="5332DD48" w:rsidR="00134BBD" w:rsidRPr="002661A8" w:rsidRDefault="00134BBD" w:rsidP="00B647A6">
      <w:pPr>
        <w:pStyle w:val="FootnoteText"/>
        <w:spacing w:after="0"/>
        <w:ind w:left="0" w:hanging="284"/>
        <w:rPr>
          <w:lang w:val="en-IE"/>
        </w:rPr>
      </w:pPr>
      <w:r w:rsidRPr="002661A8">
        <w:rPr>
          <w:rStyle w:val="FootnoteReference"/>
        </w:rPr>
        <w:footnoteRef/>
      </w:r>
      <w:r w:rsidRPr="002661A8">
        <w:rPr>
          <w:lang w:val="en-IE"/>
        </w:rPr>
        <w:t xml:space="preserve"> </w:t>
      </w:r>
      <w:r w:rsidRPr="002661A8">
        <w:rPr>
          <w:lang w:val="en-IE"/>
        </w:rPr>
        <w:tab/>
        <w:t>In the targeted consultation, 2 highlighted diversification and 2 harmonisation as a benefit.</w:t>
      </w:r>
    </w:p>
  </w:footnote>
  <w:footnote w:id="146">
    <w:p w14:paraId="125EE539" w14:textId="4FB2B9C1" w:rsidR="00134BBD" w:rsidRPr="002661A8" w:rsidRDefault="00134BBD" w:rsidP="00B647A6">
      <w:pPr>
        <w:pStyle w:val="FootnoteText"/>
        <w:spacing w:after="0"/>
        <w:ind w:left="0" w:hanging="284"/>
      </w:pPr>
      <w:r w:rsidRPr="002661A8">
        <w:rPr>
          <w:rStyle w:val="FootnoteReference"/>
        </w:rPr>
        <w:footnoteRef/>
      </w:r>
      <w:r w:rsidRPr="002661A8">
        <w:t xml:space="preserve"> </w:t>
      </w:r>
      <w:r w:rsidRPr="002661A8">
        <w:tab/>
        <w:t xml:space="preserve">See </w:t>
      </w:r>
      <w:hyperlink w:anchor="_Annex_2:_Stakeholder" w:history="1">
        <w:r w:rsidRPr="002661A8">
          <w:rPr>
            <w:rStyle w:val="Hyperlink"/>
          </w:rPr>
          <w:t>Annex 2</w:t>
        </w:r>
      </w:hyperlink>
      <w:r w:rsidRPr="002661A8">
        <w:t>.</w:t>
      </w:r>
    </w:p>
  </w:footnote>
  <w:footnote w:id="147">
    <w:p w14:paraId="5D8C7746" w14:textId="7451524F" w:rsidR="00134BBD" w:rsidRPr="002661A8" w:rsidRDefault="00134BBD" w:rsidP="00B647A6">
      <w:pPr>
        <w:pStyle w:val="FootnoteText"/>
        <w:spacing w:after="0"/>
        <w:ind w:left="0" w:hanging="284"/>
      </w:pPr>
      <w:r w:rsidRPr="002661A8">
        <w:rPr>
          <w:rStyle w:val="FootnoteReference"/>
        </w:rPr>
        <w:footnoteRef/>
      </w:r>
      <w:r w:rsidRPr="002661A8">
        <w:t xml:space="preserve">  See </w:t>
      </w:r>
      <w:hyperlink w:anchor="_Annex_2:_Stakeholder" w:history="1">
        <w:r w:rsidRPr="002661A8">
          <w:rPr>
            <w:rStyle w:val="Hyperlink"/>
          </w:rPr>
          <w:t>Annex 2</w:t>
        </w:r>
      </w:hyperlink>
      <w:r w:rsidRPr="002661A8">
        <w:t>.</w:t>
      </w:r>
    </w:p>
  </w:footnote>
  <w:footnote w:id="148">
    <w:p w14:paraId="4E423AA8" w14:textId="595C7A6D" w:rsidR="00134BBD" w:rsidRPr="00352FBB" w:rsidRDefault="00134BBD" w:rsidP="00711FD5">
      <w:pPr>
        <w:pStyle w:val="FootnoteText"/>
        <w:spacing w:after="0"/>
        <w:ind w:left="0" w:hanging="284"/>
        <w:rPr>
          <w:lang w:val="en-IE"/>
        </w:rPr>
      </w:pPr>
      <w:r>
        <w:rPr>
          <w:rStyle w:val="FootnoteReference"/>
        </w:rPr>
        <w:footnoteRef/>
      </w:r>
      <w:r w:rsidRPr="00352FBB">
        <w:rPr>
          <w:lang w:val="en-IE"/>
        </w:rPr>
        <w:t xml:space="preserve"> </w:t>
      </w:r>
      <w:r>
        <w:rPr>
          <w:lang w:val="en-IE"/>
        </w:rPr>
        <w:tab/>
      </w:r>
      <w:r w:rsidRPr="00352FBB">
        <w:rPr>
          <w:lang w:val="en-IE"/>
        </w:rPr>
        <w:t>5 public auth</w:t>
      </w:r>
      <w:r>
        <w:rPr>
          <w:lang w:val="en-IE"/>
        </w:rPr>
        <w:t>orities replied of which 3 mentioned explicitly that it should remain voluntary while one said that the impact would probably be limited and one argued that it would add to the attractiveness but that first the conditions would need to be assessed properly.</w:t>
      </w:r>
    </w:p>
  </w:footnote>
  <w:footnote w:id="149">
    <w:p w14:paraId="5DD127B4" w14:textId="4DD8B1A2" w:rsidR="00134BBD" w:rsidRPr="00CC3F2F" w:rsidRDefault="00134BBD" w:rsidP="00711FD5">
      <w:pPr>
        <w:pStyle w:val="FootnoteText"/>
        <w:spacing w:after="0"/>
        <w:ind w:left="0" w:hanging="284"/>
        <w:rPr>
          <w:lang w:val="en-IE"/>
        </w:rPr>
      </w:pPr>
      <w:r>
        <w:rPr>
          <w:rStyle w:val="FootnoteReference"/>
        </w:rPr>
        <w:footnoteRef/>
      </w:r>
      <w:r w:rsidRPr="00CC3F2F">
        <w:rPr>
          <w:lang w:val="en-IE"/>
        </w:rPr>
        <w:t xml:space="preserve"> </w:t>
      </w:r>
      <w:r>
        <w:rPr>
          <w:lang w:val="en-IE"/>
        </w:rPr>
        <w:tab/>
      </w:r>
      <w:r w:rsidRPr="00CC3F2F">
        <w:rPr>
          <w:lang w:val="en-IE"/>
        </w:rPr>
        <w:t>5 rep</w:t>
      </w:r>
      <w:r>
        <w:rPr>
          <w:lang w:val="en-IE"/>
        </w:rPr>
        <w:t xml:space="preserve">lied to the first question of the public entity section of which 4 expressed explicitly being in favour of central clearing to remain voluntary. </w:t>
      </w:r>
    </w:p>
  </w:footnote>
  <w:footnote w:id="150">
    <w:p w14:paraId="3BED1B14" w14:textId="3857ECA3" w:rsidR="00134BBD" w:rsidRPr="0089333E" w:rsidRDefault="00134BBD" w:rsidP="00711FD5">
      <w:pPr>
        <w:pStyle w:val="FootnoteText"/>
        <w:spacing w:after="0"/>
        <w:ind w:left="0" w:hanging="284"/>
        <w:rPr>
          <w:lang w:val="en-IE"/>
        </w:rPr>
      </w:pPr>
      <w:r>
        <w:rPr>
          <w:rStyle w:val="FootnoteReference"/>
        </w:rPr>
        <w:footnoteRef/>
      </w:r>
      <w:r w:rsidRPr="0089333E">
        <w:rPr>
          <w:lang w:val="en-IE"/>
        </w:rPr>
        <w:t xml:space="preserve"> </w:t>
      </w:r>
      <w:r>
        <w:rPr>
          <w:lang w:val="en-IE"/>
        </w:rPr>
        <w:tab/>
      </w:r>
      <w:r w:rsidRPr="0089333E">
        <w:rPr>
          <w:lang w:val="en-IE"/>
        </w:rPr>
        <w:t>2 high</w:t>
      </w:r>
      <w:r>
        <w:rPr>
          <w:lang w:val="en-IE"/>
        </w:rPr>
        <w:t>lighted diversification and 2 harmonisation as a benefit.</w:t>
      </w:r>
    </w:p>
  </w:footnote>
  <w:footnote w:id="151">
    <w:p w14:paraId="5756EC65" w14:textId="001D2737" w:rsidR="00134BBD" w:rsidRPr="002661A8" w:rsidRDefault="00134BBD" w:rsidP="00D528FD">
      <w:pPr>
        <w:pStyle w:val="FootnoteText"/>
        <w:spacing w:after="0"/>
        <w:ind w:left="0" w:hanging="284"/>
      </w:pPr>
      <w:r w:rsidRPr="002661A8">
        <w:rPr>
          <w:rStyle w:val="FootnoteReference"/>
        </w:rPr>
        <w:footnoteRef/>
      </w:r>
      <w:r w:rsidRPr="002661A8">
        <w:t xml:space="preserve"> </w:t>
      </w:r>
      <w:r w:rsidRPr="002661A8">
        <w:tab/>
        <w:t>According to confidential information provided to DG FISMA services.</w:t>
      </w:r>
    </w:p>
  </w:footnote>
  <w:footnote w:id="152">
    <w:p w14:paraId="491826DC" w14:textId="009BAA79" w:rsidR="00134BBD" w:rsidRPr="002661A8" w:rsidRDefault="00134BBD" w:rsidP="008579FD">
      <w:pPr>
        <w:pStyle w:val="FootnoteText"/>
        <w:spacing w:after="0"/>
        <w:ind w:left="0" w:hanging="284"/>
      </w:pPr>
      <w:r w:rsidRPr="002661A8">
        <w:rPr>
          <w:rStyle w:val="FootnoteReference"/>
        </w:rPr>
        <w:footnoteRef/>
      </w:r>
      <w:r w:rsidRPr="002661A8">
        <w:tab/>
      </w:r>
      <w:r>
        <w:t>See footnote 4.</w:t>
      </w:r>
    </w:p>
  </w:footnote>
  <w:footnote w:id="153">
    <w:p w14:paraId="3AABAFC3" w14:textId="3AE4FE8A" w:rsidR="00134BBD" w:rsidRPr="002661A8" w:rsidRDefault="00134BBD" w:rsidP="008C1402">
      <w:pPr>
        <w:pStyle w:val="FootnoteText"/>
        <w:spacing w:after="0"/>
        <w:ind w:left="0" w:hanging="284"/>
      </w:pPr>
      <w:r w:rsidRPr="002661A8">
        <w:rPr>
          <w:rStyle w:val="FootnoteReference"/>
        </w:rPr>
        <w:footnoteRef/>
      </w:r>
      <w:r w:rsidRPr="002661A8">
        <w:t xml:space="preserve"> </w:t>
      </w:r>
      <w:r>
        <w:tab/>
      </w:r>
      <w:r w:rsidRPr="002661A8">
        <w:t>Under Article 52 of the UCITS Directive,</w:t>
      </w:r>
      <w:r w:rsidRPr="002661A8" w:rsidDel="00607565">
        <w:t xml:space="preserve"> </w:t>
      </w:r>
      <w:r w:rsidRPr="002661A8">
        <w:t>exposures to a counterparty in an OTC derivative shall not exceed 5% of the assets of a UCITS, or 10% if the counterparty is a credit institution. Under Article 17(4) of the MMFR, the counterparty risk stemming from OTC derivatives shall not exceed a limit of 5%. N</w:t>
      </w:r>
      <w:r w:rsidRPr="002661A8">
        <w:rPr>
          <w:rFonts w:eastAsia="Arial Unicode MS"/>
          <w:color w:val="333333"/>
          <w:shd w:val="clear" w:color="auto" w:fill="FFFFFF"/>
        </w:rPr>
        <w:t xml:space="preserve">otwithstanding these limits, the maximum exposure to the same entity acting as an issuer or a counterparty shall not exceed 20% pursuant to UCITS (Article 52(2) of UCITS </w:t>
      </w:r>
      <w:r w:rsidRPr="002661A8">
        <w:t>Directive</w:t>
      </w:r>
      <w:r w:rsidRPr="002661A8">
        <w:rPr>
          <w:rFonts w:eastAsia="Arial Unicode MS"/>
          <w:color w:val="333333"/>
          <w:shd w:val="clear" w:color="auto" w:fill="FFFFFF"/>
        </w:rPr>
        <w:t>) and 15% for MMFs (this can be extended to 20% at Member States’ discretion pursuant to Article 17(6) of MMFR).</w:t>
      </w:r>
    </w:p>
  </w:footnote>
  <w:footnote w:id="154">
    <w:p w14:paraId="717B0622" w14:textId="2F95824A" w:rsidR="00134BBD" w:rsidRPr="002661A8" w:rsidRDefault="00134BBD" w:rsidP="00300E7C">
      <w:pPr>
        <w:pStyle w:val="FootnoteText"/>
        <w:spacing w:after="0"/>
        <w:ind w:left="0" w:hanging="284"/>
      </w:pPr>
      <w:r w:rsidRPr="002661A8">
        <w:rPr>
          <w:rStyle w:val="FootnoteReference"/>
        </w:rPr>
        <w:footnoteRef/>
      </w:r>
      <w:r w:rsidRPr="002661A8">
        <w:t xml:space="preserve"> </w:t>
      </w:r>
      <w:r>
        <w:tab/>
      </w:r>
      <w:r w:rsidRPr="002661A8">
        <w:t>According to DG FISMA services’ estimates based on confidential data provided to DG FISMA services.</w:t>
      </w:r>
    </w:p>
  </w:footnote>
  <w:footnote w:id="155">
    <w:p w14:paraId="353C75C9" w14:textId="47B074F3" w:rsidR="00134BBD" w:rsidRPr="002661A8" w:rsidRDefault="00134BBD" w:rsidP="006922A1">
      <w:pPr>
        <w:pStyle w:val="FootnoteText"/>
        <w:spacing w:after="0"/>
        <w:ind w:left="0" w:hanging="284"/>
      </w:pPr>
      <w:r w:rsidRPr="002661A8">
        <w:rPr>
          <w:rStyle w:val="FootnoteReference"/>
        </w:rPr>
        <w:footnoteRef/>
      </w:r>
      <w:r w:rsidRPr="002661A8">
        <w:t xml:space="preserve"> </w:t>
      </w:r>
      <w:r w:rsidRPr="002661A8">
        <w:tab/>
        <w:t>According to confidential information provided to DG FISMA services.</w:t>
      </w:r>
    </w:p>
  </w:footnote>
  <w:footnote w:id="156">
    <w:p w14:paraId="28D4E45C" w14:textId="42959927" w:rsidR="00134BBD" w:rsidRPr="00711FD5" w:rsidRDefault="00134BBD" w:rsidP="00790710">
      <w:pPr>
        <w:pStyle w:val="FootnoteText"/>
        <w:spacing w:after="0"/>
        <w:ind w:left="0" w:hanging="284"/>
        <w:rPr>
          <w:lang w:val="en-IE"/>
        </w:rPr>
      </w:pPr>
      <w:r>
        <w:rPr>
          <w:rStyle w:val="FootnoteReference"/>
        </w:rPr>
        <w:footnoteRef/>
      </w:r>
      <w:r>
        <w:t xml:space="preserve"> </w:t>
      </w:r>
      <w:r>
        <w:tab/>
        <w:t xml:space="preserve">See </w:t>
      </w:r>
      <w:hyperlink w:anchor="_Annex_2:_Stakeholder" w:history="1">
        <w:r w:rsidRPr="002661A8">
          <w:rPr>
            <w:rStyle w:val="Hyperlink"/>
          </w:rPr>
          <w:t>Annex 2</w:t>
        </w:r>
      </w:hyperlink>
      <w:r>
        <w:t>.</w:t>
      </w:r>
    </w:p>
  </w:footnote>
  <w:footnote w:id="157">
    <w:p w14:paraId="4A7E766E" w14:textId="1C8DAF2E" w:rsidR="00134BBD" w:rsidRPr="006E4257" w:rsidRDefault="00134BBD" w:rsidP="00790710">
      <w:pPr>
        <w:pStyle w:val="FootnoteText"/>
        <w:spacing w:after="0"/>
        <w:ind w:left="0" w:hanging="284"/>
        <w:rPr>
          <w:lang w:val="en-IE"/>
        </w:rPr>
      </w:pPr>
      <w:r>
        <w:rPr>
          <w:rStyle w:val="FootnoteReference"/>
        </w:rPr>
        <w:footnoteRef/>
      </w:r>
      <w:r>
        <w:t xml:space="preserve"> </w:t>
      </w:r>
      <w:r>
        <w:tab/>
        <w:t xml:space="preserve">See </w:t>
      </w:r>
      <w:hyperlink w:anchor="_Annex_2:_Stakeholder" w:history="1">
        <w:r w:rsidRPr="002661A8">
          <w:rPr>
            <w:rStyle w:val="Hyperlink"/>
          </w:rPr>
          <w:t>Annex 2</w:t>
        </w:r>
      </w:hyperlink>
      <w:r>
        <w:t>.</w:t>
      </w:r>
    </w:p>
  </w:footnote>
  <w:footnote w:id="158">
    <w:p w14:paraId="222C13B4" w14:textId="51E30B8D" w:rsidR="00134BBD" w:rsidRPr="002661A8" w:rsidRDefault="00134BBD" w:rsidP="00711FD5">
      <w:pPr>
        <w:pStyle w:val="FootnoteText"/>
        <w:spacing w:after="0"/>
        <w:ind w:left="0" w:hanging="284"/>
      </w:pPr>
      <w:r w:rsidRPr="002661A8">
        <w:rPr>
          <w:rStyle w:val="FootnoteReference"/>
        </w:rPr>
        <w:footnoteRef/>
      </w:r>
      <w:r w:rsidRPr="002661A8">
        <w:t xml:space="preserve"> </w:t>
      </w:r>
      <w:r>
        <w:tab/>
        <w:t>See footnote 55.</w:t>
      </w:r>
    </w:p>
  </w:footnote>
  <w:footnote w:id="159">
    <w:p w14:paraId="2FBC80D8" w14:textId="547822A2" w:rsidR="00134BBD" w:rsidRPr="002661A8" w:rsidRDefault="00134BBD" w:rsidP="002E650C">
      <w:pPr>
        <w:pStyle w:val="FootnoteText"/>
        <w:spacing w:after="0"/>
        <w:ind w:left="0" w:hanging="284"/>
      </w:pPr>
      <w:r w:rsidRPr="002661A8">
        <w:rPr>
          <w:rStyle w:val="FootnoteReference"/>
        </w:rPr>
        <w:footnoteRef/>
      </w:r>
      <w:r w:rsidRPr="002661A8">
        <w:t xml:space="preserve"> </w:t>
      </w:r>
      <w:r w:rsidRPr="002661A8">
        <w:tab/>
        <w:t>FISMA estimates based on confidential information provided to DG FISMA services.</w:t>
      </w:r>
    </w:p>
  </w:footnote>
  <w:footnote w:id="160">
    <w:p w14:paraId="1A2D8AE9" w14:textId="331D7B89" w:rsidR="00134BBD" w:rsidRPr="002661A8" w:rsidRDefault="00134BBD" w:rsidP="00B132AB">
      <w:pPr>
        <w:pStyle w:val="FootnoteText"/>
        <w:spacing w:after="0"/>
        <w:ind w:left="0" w:hanging="284"/>
      </w:pPr>
      <w:r w:rsidRPr="002661A8">
        <w:rPr>
          <w:rStyle w:val="FootnoteReference"/>
        </w:rPr>
        <w:footnoteRef/>
      </w:r>
      <w:r w:rsidRPr="002661A8">
        <w:t xml:space="preserve"> </w:t>
      </w:r>
      <w:r w:rsidRPr="002661A8">
        <w:tab/>
        <w:t>Confidential data provided to DG FISMA services.</w:t>
      </w:r>
    </w:p>
  </w:footnote>
  <w:footnote w:id="161">
    <w:p w14:paraId="4940408D" w14:textId="51D11079" w:rsidR="00134BBD" w:rsidRPr="002661A8" w:rsidRDefault="00134BBD" w:rsidP="006922A1">
      <w:pPr>
        <w:pStyle w:val="FootnoteText"/>
        <w:spacing w:after="0"/>
        <w:ind w:left="0" w:hanging="284"/>
      </w:pPr>
      <w:r w:rsidRPr="002661A8">
        <w:rPr>
          <w:rStyle w:val="FootnoteReference"/>
        </w:rPr>
        <w:footnoteRef/>
      </w:r>
      <w:r w:rsidRPr="002661A8">
        <w:t xml:space="preserve"> </w:t>
      </w:r>
      <w:r w:rsidRPr="002661A8">
        <w:tab/>
        <w:t>Confidential information provided to DG FISMA services.</w:t>
      </w:r>
    </w:p>
  </w:footnote>
  <w:footnote w:id="162">
    <w:p w14:paraId="509EBA48" w14:textId="4C4BD080" w:rsidR="00134BBD" w:rsidRPr="002661A8" w:rsidRDefault="00134BBD" w:rsidP="00110784">
      <w:pPr>
        <w:pStyle w:val="FootnoteText"/>
        <w:spacing w:after="0"/>
        <w:ind w:left="0" w:hanging="284"/>
      </w:pPr>
      <w:r w:rsidRPr="002661A8">
        <w:rPr>
          <w:rStyle w:val="FootnoteReference"/>
        </w:rPr>
        <w:footnoteRef/>
      </w:r>
      <w:r w:rsidRPr="002661A8">
        <w:t xml:space="preserve"> </w:t>
      </w:r>
      <w:r w:rsidRPr="002661A8">
        <w:tab/>
        <w:t xml:space="preserve">It is assumed that there will be 10 relevant procedures for all EU CCPs per year. Since there are 14 EU CCPs, this implies 1.4 procedures per CCP per year, which seems rather conservative. </w:t>
      </w:r>
    </w:p>
  </w:footnote>
  <w:footnote w:id="163">
    <w:p w14:paraId="34C6354E" w14:textId="7ECC7CB2" w:rsidR="00134BBD" w:rsidRPr="00741667" w:rsidRDefault="00134BBD" w:rsidP="00CB3975">
      <w:pPr>
        <w:pStyle w:val="FootnoteText"/>
        <w:spacing w:after="0"/>
        <w:ind w:left="0" w:hanging="284"/>
        <w:rPr>
          <w:sz w:val="16"/>
          <w:szCs w:val="16"/>
        </w:rPr>
      </w:pPr>
      <w:r w:rsidRPr="002661A8">
        <w:rPr>
          <w:rStyle w:val="FootnoteReference"/>
        </w:rPr>
        <w:footnoteRef/>
      </w:r>
      <w:r w:rsidRPr="002661A8">
        <w:t xml:space="preserve"> </w:t>
      </w:r>
      <w:r w:rsidRPr="002661A8">
        <w:tab/>
      </w:r>
      <w:r w:rsidRPr="00A235B4">
        <w:t>ESMA report on UK CCPs, 2021 (see footnote 9</w:t>
      </w:r>
      <w:r>
        <w:t xml:space="preserve"> above</w:t>
      </w:r>
      <w:r w:rsidRPr="00A235B4">
        <w:t>).</w:t>
      </w:r>
    </w:p>
  </w:footnote>
  <w:footnote w:id="164">
    <w:p w14:paraId="32F7D212" w14:textId="708875BB" w:rsidR="00134BBD" w:rsidRPr="00BB4BE1" w:rsidRDefault="00134BBD" w:rsidP="00CB3975">
      <w:pPr>
        <w:pStyle w:val="FootnoteText"/>
        <w:spacing w:after="0"/>
        <w:ind w:left="0" w:hanging="284"/>
        <w:rPr>
          <w:rStyle w:val="Hyperlink"/>
          <w:rFonts w:eastAsiaTheme="minorHAnsi"/>
          <w:color w:val="auto"/>
        </w:rPr>
      </w:pPr>
      <w:r w:rsidRPr="002661A8">
        <w:rPr>
          <w:rStyle w:val="FootnoteReference"/>
        </w:rPr>
        <w:footnoteRef/>
      </w:r>
      <w:r w:rsidRPr="002661A8">
        <w:t xml:space="preserve"> </w:t>
      </w:r>
      <w:r w:rsidRPr="002661A8">
        <w:rPr>
          <w:sz w:val="16"/>
          <w:szCs w:val="16"/>
        </w:rPr>
        <w:tab/>
      </w:r>
      <w:r w:rsidRPr="00A235B4">
        <w:t>See ESRB response to the European Commission targeted consultation on the review of the central clearing framework in the EU, 22 March 2022, see footnote 32.</w:t>
      </w:r>
    </w:p>
  </w:footnote>
  <w:footnote w:id="165">
    <w:p w14:paraId="710722D2" w14:textId="6D72C574" w:rsidR="00134BBD" w:rsidRPr="002661A8" w:rsidRDefault="00134BBD" w:rsidP="002B514F">
      <w:pPr>
        <w:pStyle w:val="FootnoteText"/>
        <w:spacing w:after="0"/>
        <w:ind w:left="0" w:hanging="284"/>
      </w:pPr>
      <w:r w:rsidRPr="002661A8">
        <w:rPr>
          <w:rStyle w:val="FootnoteReference"/>
        </w:rPr>
        <w:footnoteRef/>
      </w:r>
      <w:r w:rsidRPr="002661A8">
        <w:t xml:space="preserve"> </w:t>
      </w:r>
      <w:r w:rsidRPr="002661A8">
        <w:tab/>
      </w:r>
      <w:hyperlink r:id="rId20" w:history="1">
        <w:r>
          <w:rPr>
            <w:rStyle w:val="Hyperlink"/>
          </w:rPr>
          <w:t>finance-consultations-2022-central-clearing-review (europa.eu)</w:t>
        </w:r>
      </w:hyperlink>
      <w:r w:rsidRPr="002661A8">
        <w:t xml:space="preserve"> </w:t>
      </w:r>
    </w:p>
  </w:footnote>
  <w:footnote w:id="166">
    <w:p w14:paraId="39CFC7C7" w14:textId="77777777" w:rsidR="00134BBD" w:rsidRPr="002661A8" w:rsidRDefault="00134BBD" w:rsidP="002B514F">
      <w:pPr>
        <w:pStyle w:val="FootnoteText"/>
        <w:spacing w:after="0"/>
        <w:ind w:left="0" w:hanging="284"/>
      </w:pPr>
      <w:r w:rsidRPr="002661A8">
        <w:rPr>
          <w:rStyle w:val="FootnoteReference"/>
        </w:rPr>
        <w:footnoteRef/>
      </w:r>
      <w:r w:rsidRPr="002661A8">
        <w:t xml:space="preserve"> </w:t>
      </w:r>
      <w:r w:rsidRPr="002661A8">
        <w:tab/>
      </w:r>
      <w:hyperlink r:id="rId21" w:history="1">
        <w:r w:rsidRPr="002661A8">
          <w:rPr>
            <w:rStyle w:val="Hyperlink"/>
          </w:rPr>
          <w:t>https://ec.europa.eu/info/law/better-regulation/have-your-say/initiatives/13378-Derivatives-clearing-Review-of-the-European-Market-Infrastructure-Regulation_en</w:t>
        </w:r>
      </w:hyperlink>
      <w:r w:rsidRPr="002661A8">
        <w:t xml:space="preserve"> </w:t>
      </w:r>
    </w:p>
  </w:footnote>
  <w:footnote w:id="167">
    <w:p w14:paraId="20F7B9F3" w14:textId="1720D235" w:rsidR="00134BBD" w:rsidRPr="00B24C84" w:rsidRDefault="00134BBD" w:rsidP="00B24C84">
      <w:pPr>
        <w:pStyle w:val="FootnoteText"/>
        <w:spacing w:after="0"/>
        <w:ind w:left="0" w:hanging="284"/>
      </w:pPr>
      <w:r>
        <w:rPr>
          <w:rStyle w:val="FootnoteReference"/>
        </w:rPr>
        <w:footnoteRef/>
      </w:r>
      <w:r>
        <w:t xml:space="preserve"> </w:t>
      </w:r>
      <w:r>
        <w:tab/>
        <w:t xml:space="preserve">See minutes at: </w:t>
      </w:r>
      <w:r w:rsidRPr="00A70FC8">
        <w:t>https://ec.europa.eu/transparency/expert-groups-register/screen/meetings/consult?lang=en&amp;meetingId=45435&amp;fromExpertGroups=false</w:t>
      </w:r>
      <w:r>
        <w:t xml:space="preserve"> </w:t>
      </w:r>
    </w:p>
  </w:footnote>
  <w:footnote w:id="168">
    <w:p w14:paraId="6BF6FAD6" w14:textId="2FE46282" w:rsidR="00134BBD" w:rsidRPr="00B24C84" w:rsidRDefault="00134BBD" w:rsidP="00B24C84">
      <w:pPr>
        <w:pStyle w:val="FootnoteText"/>
        <w:spacing w:after="0"/>
        <w:ind w:left="0" w:hanging="284"/>
      </w:pPr>
      <w:r>
        <w:rPr>
          <w:rStyle w:val="FootnoteReference"/>
        </w:rPr>
        <w:footnoteRef/>
      </w:r>
      <w:r>
        <w:t xml:space="preserve"> </w:t>
      </w:r>
      <w:r>
        <w:tab/>
        <w:t xml:space="preserve">See minutes at: </w:t>
      </w:r>
      <w:r w:rsidRPr="00A70FC8">
        <w:t>https://ec.europa.eu/transparency/expert-groups-register/screen/meetings/consult?lang=en&amp;meetingId=45836&amp;fromExpertGroups=false</w:t>
      </w:r>
    </w:p>
  </w:footnote>
  <w:footnote w:id="169">
    <w:p w14:paraId="61E7FB37" w14:textId="3C8199F2" w:rsidR="00134BBD" w:rsidRPr="002661A8" w:rsidRDefault="00134BBD" w:rsidP="002B514F">
      <w:pPr>
        <w:pStyle w:val="FootnoteText"/>
        <w:spacing w:after="0"/>
        <w:ind w:left="0" w:hanging="284"/>
        <w:rPr>
          <w:lang w:val="en-IE"/>
        </w:rPr>
      </w:pPr>
      <w:r w:rsidRPr="002661A8">
        <w:rPr>
          <w:rStyle w:val="FootnoteReference"/>
        </w:rPr>
        <w:footnoteRef/>
      </w:r>
      <w:r w:rsidRPr="002661A8">
        <w:t xml:space="preserve"> </w:t>
      </w:r>
      <w:r w:rsidRPr="002661A8">
        <w:tab/>
        <w:t>Rather no/limited support regarding higher capital requirements in the CRR for exposures to Tier 2 non- EU CCPs, exposure reduction targets toward specific Tier 2 non- EU CCPs, an obligation to clear in the EU and macroprudential tools.</w:t>
      </w:r>
    </w:p>
  </w:footnote>
  <w:footnote w:id="170">
    <w:p w14:paraId="66A15CB6" w14:textId="205CA260" w:rsidR="00134BBD" w:rsidRPr="001F0DF2" w:rsidRDefault="00134BBD" w:rsidP="001F0DF2">
      <w:pPr>
        <w:pStyle w:val="FootnoteText"/>
        <w:spacing w:after="0"/>
        <w:ind w:left="0" w:hanging="284"/>
      </w:pPr>
      <w:r w:rsidRPr="00F13CE7">
        <w:rPr>
          <w:rStyle w:val="FootnoteReference"/>
        </w:rPr>
        <w:footnoteRef/>
      </w:r>
      <w:r w:rsidRPr="001F0DF2">
        <w:t xml:space="preserve"> </w:t>
      </w:r>
      <w:r>
        <w:tab/>
      </w:r>
      <w:r w:rsidRPr="001F0DF2">
        <w:t>Multiple answers to field of activity were possible. Therefore, no percentages are indicated.</w:t>
      </w:r>
    </w:p>
  </w:footnote>
  <w:footnote w:id="171">
    <w:p w14:paraId="576E8FB4" w14:textId="3A075FA7" w:rsidR="00134BBD" w:rsidRPr="001F0DF2" w:rsidRDefault="00134BBD" w:rsidP="00CB3975">
      <w:pPr>
        <w:pStyle w:val="FootnoteText"/>
        <w:spacing w:after="0"/>
        <w:ind w:left="0" w:hanging="284"/>
      </w:pPr>
      <w:r w:rsidRPr="00F13CE7">
        <w:rPr>
          <w:rStyle w:val="FootnoteReference"/>
        </w:rPr>
        <w:footnoteRef/>
      </w:r>
      <w:r w:rsidRPr="001F0DF2">
        <w:t xml:space="preserve"> </w:t>
      </w:r>
      <w:r>
        <w:tab/>
      </w:r>
      <w:r w:rsidRPr="001F0DF2">
        <w:t>For the ease of reference, this summary refers to public authorities, also when governments and central banks provided replies.</w:t>
      </w:r>
    </w:p>
  </w:footnote>
  <w:footnote w:id="172">
    <w:p w14:paraId="478BC136" w14:textId="34B66A6D" w:rsidR="00134BBD" w:rsidRPr="002661A8" w:rsidRDefault="00134BBD" w:rsidP="00CB3975">
      <w:pPr>
        <w:pStyle w:val="FootnoteText"/>
        <w:spacing w:after="0"/>
        <w:ind w:left="0" w:hanging="284"/>
        <w:rPr>
          <w:lang w:val="en-IE"/>
        </w:rPr>
      </w:pPr>
      <w:r w:rsidRPr="00F13CE7">
        <w:rPr>
          <w:rStyle w:val="FootnoteReference"/>
        </w:rPr>
        <w:footnoteRef/>
      </w:r>
      <w:r w:rsidRPr="001F0DF2">
        <w:t xml:space="preserve"> </w:t>
      </w:r>
      <w:r>
        <w:tab/>
      </w:r>
      <w:r w:rsidRPr="001F0DF2">
        <w:t>Of which two French authorities provided a joint reply as well as two Dutch authorities. For the consistency with the published excel overview of responses, they are counted as one public authority each.</w:t>
      </w:r>
    </w:p>
  </w:footnote>
  <w:footnote w:id="173">
    <w:p w14:paraId="577FFFC5" w14:textId="1D4CFD8B" w:rsidR="00134BBD" w:rsidRPr="00792F08" w:rsidRDefault="00134BBD" w:rsidP="00CB3975">
      <w:pPr>
        <w:pStyle w:val="FootnoteText"/>
        <w:spacing w:after="0"/>
        <w:ind w:left="0" w:hanging="284"/>
      </w:pPr>
      <w:r w:rsidRPr="00F13CE7">
        <w:rPr>
          <w:rStyle w:val="FootnoteReference"/>
        </w:rPr>
        <w:footnoteRef/>
      </w:r>
      <w:r w:rsidRPr="00F13CE7">
        <w:rPr>
          <w:rStyle w:val="FootnoteReference"/>
        </w:rPr>
        <w:t xml:space="preserve"> </w:t>
      </w:r>
      <w:r>
        <w:tab/>
      </w:r>
      <w:r w:rsidRPr="00792F08">
        <w:t>Under EMIR, non-EU CCPs are tiered depending on their systemic importance to the financial stability of the EU and its Member States. It differentiates between non-systemic CCPs (Tier 1 non- EU CCPs) and systemically important CCPs (Tier 2 non-EU CCPs).</w:t>
      </w:r>
    </w:p>
  </w:footnote>
  <w:footnote w:id="174">
    <w:p w14:paraId="64840986" w14:textId="4394EFC4" w:rsidR="00134BBD" w:rsidRPr="002661A8" w:rsidRDefault="00134BBD" w:rsidP="00CB3975">
      <w:pPr>
        <w:pStyle w:val="FootnoteText"/>
        <w:spacing w:after="0"/>
        <w:ind w:left="0" w:hanging="284"/>
        <w:rPr>
          <w:lang w:val="en-IE"/>
        </w:rPr>
      </w:pPr>
      <w:r w:rsidRPr="00F13CE7">
        <w:rPr>
          <w:rStyle w:val="FootnoteReference"/>
        </w:rPr>
        <w:footnoteRef/>
      </w:r>
      <w:r w:rsidRPr="00792F08">
        <w:t xml:space="preserve"> </w:t>
      </w:r>
      <w:r>
        <w:tab/>
      </w:r>
      <w:r w:rsidRPr="00792F08">
        <w:t>On the effectiveness of some measures, views were split, notably the ‘use of post-trade risk reduction services’, ‘fair, reasonable, non-discriminatory and transparent (FRANDT) commercial terms for clearing services’, ‘segregated default funds’, ‘interoperability’ and ‘broadening the scope of products cleared’.</w:t>
      </w:r>
    </w:p>
  </w:footnote>
  <w:footnote w:id="175">
    <w:p w14:paraId="386E352B" w14:textId="3C8A13F9" w:rsidR="00134BBD" w:rsidRPr="00792F08" w:rsidRDefault="00134BBD" w:rsidP="00CB3975">
      <w:pPr>
        <w:pStyle w:val="FootnoteText"/>
        <w:spacing w:after="0"/>
        <w:ind w:left="0" w:hanging="284"/>
      </w:pPr>
      <w:r w:rsidRPr="0039514E">
        <w:rPr>
          <w:rStyle w:val="FootnoteReference"/>
        </w:rPr>
        <w:footnoteRef/>
      </w:r>
      <w:r w:rsidRPr="00792F08">
        <w:t xml:space="preserve"> </w:t>
      </w:r>
      <w:r>
        <w:tab/>
      </w:r>
      <w:r w:rsidRPr="00792F08">
        <w:t>Among the few respondents, 8 out of 11 indicated to clear derivatives as clients of clearing members.</w:t>
      </w:r>
    </w:p>
  </w:footnote>
  <w:footnote w:id="176">
    <w:p w14:paraId="76FA8424" w14:textId="6171A33C" w:rsidR="00134BBD" w:rsidRPr="00792F08" w:rsidRDefault="00134BBD" w:rsidP="00CB3975">
      <w:pPr>
        <w:pStyle w:val="FootnoteText"/>
        <w:spacing w:after="0"/>
        <w:ind w:left="0" w:hanging="284"/>
      </w:pPr>
      <w:r w:rsidRPr="0039514E">
        <w:rPr>
          <w:rStyle w:val="FootnoteReference"/>
        </w:rPr>
        <w:footnoteRef/>
      </w:r>
      <w:r w:rsidRPr="00792F08">
        <w:t xml:space="preserve"> </w:t>
      </w:r>
      <w:r>
        <w:tab/>
      </w:r>
      <w:r w:rsidRPr="00792F08">
        <w:t>5 public authorities replied of which 3 mentioned explicitly that it should remain voluntary while one said that the impact would probably be limited and one argued that it would add to the attractiveness but that first the conditions would need to be assessed properly.</w:t>
      </w:r>
    </w:p>
  </w:footnote>
  <w:footnote w:id="177">
    <w:p w14:paraId="03AC4AE6" w14:textId="1369A40B" w:rsidR="00134BBD" w:rsidRPr="00792F08" w:rsidRDefault="00134BBD" w:rsidP="00CB3975">
      <w:pPr>
        <w:pStyle w:val="FootnoteText"/>
        <w:spacing w:after="0"/>
        <w:ind w:left="0" w:hanging="284"/>
      </w:pPr>
      <w:r w:rsidRPr="0039514E">
        <w:rPr>
          <w:rStyle w:val="FootnoteReference"/>
        </w:rPr>
        <w:footnoteRef/>
      </w:r>
      <w:r w:rsidRPr="0039514E">
        <w:rPr>
          <w:rStyle w:val="FootnoteReference"/>
        </w:rPr>
        <w:t xml:space="preserve"> </w:t>
      </w:r>
      <w:r>
        <w:rPr>
          <w:rStyle w:val="FootnoteReference"/>
        </w:rPr>
        <w:tab/>
      </w:r>
      <w:r w:rsidRPr="00792F08">
        <w:t xml:space="preserve">5 replied to the first question of the public entity section of which 4 expressed explicitly being in favour of central clearing to remain voluntary. </w:t>
      </w:r>
    </w:p>
  </w:footnote>
  <w:footnote w:id="178">
    <w:p w14:paraId="03C209BD" w14:textId="241FF428" w:rsidR="00134BBD" w:rsidRPr="002661A8" w:rsidRDefault="00134BBD" w:rsidP="00CB3975">
      <w:pPr>
        <w:pStyle w:val="FootnoteText"/>
        <w:spacing w:after="0"/>
        <w:ind w:left="0" w:hanging="284"/>
        <w:rPr>
          <w:lang w:val="en-IE"/>
        </w:rPr>
      </w:pPr>
      <w:r w:rsidRPr="00400DB4">
        <w:rPr>
          <w:rStyle w:val="FootnoteReference"/>
        </w:rPr>
        <w:footnoteRef/>
      </w:r>
      <w:r w:rsidRPr="00400DB4">
        <w:rPr>
          <w:rStyle w:val="FootnoteReference"/>
        </w:rPr>
        <w:t xml:space="preserve"> </w:t>
      </w:r>
      <w:r>
        <w:tab/>
      </w:r>
      <w:r w:rsidRPr="00792F08">
        <w:t>2 highlighted diversification and 2 harmonisation as a benefit.</w:t>
      </w:r>
    </w:p>
  </w:footnote>
  <w:footnote w:id="179">
    <w:p w14:paraId="45FC4345" w14:textId="03E4F036" w:rsidR="00134BBD" w:rsidRPr="00135326" w:rsidRDefault="00134BBD" w:rsidP="00792F08">
      <w:pPr>
        <w:pStyle w:val="FootnoteText"/>
        <w:spacing w:after="0"/>
        <w:ind w:left="0" w:hanging="284"/>
        <w:rPr>
          <w:lang w:val="en-IE"/>
        </w:rPr>
      </w:pPr>
      <w:r w:rsidRPr="00400DB4">
        <w:rPr>
          <w:rStyle w:val="FootnoteReference"/>
        </w:rPr>
        <w:footnoteRef/>
      </w:r>
      <w:r w:rsidRPr="00792F08">
        <w:t xml:space="preserve"> </w:t>
      </w:r>
      <w:r>
        <w:tab/>
      </w:r>
      <w:r w:rsidRPr="0003294A">
        <w:t xml:space="preserve">Footnote </w:t>
      </w:r>
      <w:r w:rsidRPr="0003294A">
        <w:fldChar w:fldCharType="begin"/>
      </w:r>
      <w:r w:rsidRPr="0003294A">
        <w:instrText xml:space="preserve"> NOTEREF _Ref120290951 \h </w:instrText>
      </w:r>
      <w:r>
        <w:instrText xml:space="preserve"> \* MERGEFORMAT </w:instrText>
      </w:r>
      <w:r w:rsidRPr="0003294A">
        <w:fldChar w:fldCharType="separate"/>
      </w:r>
      <w:r w:rsidR="009D6A61">
        <w:t>172</w:t>
      </w:r>
      <w:r w:rsidRPr="0003294A">
        <w:fldChar w:fldCharType="end"/>
      </w:r>
      <w:r w:rsidRPr="00792F08">
        <w:t xml:space="preserve"> provides an explanation of Tier 1 and Tier 2 non-EU CCPs.</w:t>
      </w:r>
    </w:p>
  </w:footnote>
  <w:footnote w:id="180">
    <w:p w14:paraId="79AD7CF6" w14:textId="19EB3C84" w:rsidR="00134BBD" w:rsidRPr="00792F08" w:rsidRDefault="00134BBD" w:rsidP="00CB3975">
      <w:pPr>
        <w:pStyle w:val="FootnoteText"/>
        <w:spacing w:after="0"/>
        <w:ind w:left="0" w:hanging="284"/>
      </w:pPr>
      <w:r w:rsidRPr="0039514E">
        <w:rPr>
          <w:rStyle w:val="FootnoteReference"/>
        </w:rPr>
        <w:footnoteRef/>
      </w:r>
      <w:r>
        <w:t xml:space="preserve"> </w:t>
      </w:r>
      <w:r w:rsidRPr="00792F08">
        <w:t>16 respondents expressed a view.</w:t>
      </w:r>
    </w:p>
  </w:footnote>
  <w:footnote w:id="181">
    <w:p w14:paraId="0F9FF3D7" w14:textId="77777777" w:rsidR="00134BBD" w:rsidRPr="00ED610E" w:rsidRDefault="00134BBD" w:rsidP="00792F08">
      <w:pPr>
        <w:pStyle w:val="FootnoteText"/>
        <w:spacing w:after="0"/>
        <w:ind w:left="0" w:hanging="284"/>
        <w:rPr>
          <w:lang w:val="en-IE"/>
        </w:rPr>
      </w:pPr>
      <w:r w:rsidRPr="0039514E">
        <w:rPr>
          <w:rStyle w:val="FootnoteReference"/>
        </w:rPr>
        <w:footnoteRef/>
      </w:r>
      <w:r w:rsidRPr="00792F08">
        <w:t xml:space="preserve"> Contrary to this specific section, views regarding FRANDT were split in the introductory question. This is due to the fact that fewer respondents replied to the specific FRANDT section than to the introductory question and those responding were rather the ones that considered it an inefficient measure.</w:t>
      </w:r>
    </w:p>
  </w:footnote>
  <w:footnote w:id="182">
    <w:p w14:paraId="065A25FF" w14:textId="1A228B28" w:rsidR="00134BBD" w:rsidRPr="002661A8" w:rsidRDefault="00134BBD" w:rsidP="00CB3975">
      <w:pPr>
        <w:pStyle w:val="FootnoteText"/>
        <w:spacing w:after="0"/>
        <w:ind w:left="0" w:hanging="284"/>
        <w:rPr>
          <w:lang w:val="en-IE"/>
        </w:rPr>
      </w:pPr>
      <w:r w:rsidRPr="002661A8">
        <w:rPr>
          <w:rStyle w:val="FootnoteReference"/>
        </w:rPr>
        <w:footnoteRef/>
      </w:r>
      <w:r>
        <w:rPr>
          <w:lang w:val="en-IE"/>
        </w:rPr>
        <w:t xml:space="preserve"> </w:t>
      </w:r>
      <w:r w:rsidRPr="00A700F9">
        <w:rPr>
          <w:lang w:val="en-IE"/>
        </w:rPr>
        <w:t>TARGET2 is the real-time gross settlement system owned and operated by the Eurosystem</w:t>
      </w:r>
      <w:r>
        <w:rPr>
          <w:lang w:val="en-IE"/>
        </w:rPr>
        <w:t>.</w:t>
      </w:r>
    </w:p>
  </w:footnote>
  <w:footnote w:id="183">
    <w:p w14:paraId="77932202" w14:textId="181C4B4E" w:rsidR="00134BBD" w:rsidRPr="00ED780B" w:rsidRDefault="00134BBD" w:rsidP="00BB1874">
      <w:pPr>
        <w:pStyle w:val="FootnoteText"/>
        <w:spacing w:after="0"/>
        <w:ind w:left="0" w:hanging="284"/>
      </w:pPr>
      <w:r>
        <w:rPr>
          <w:rStyle w:val="FootnoteReference"/>
        </w:rPr>
        <w:footnoteRef/>
      </w:r>
      <w:r>
        <w:t xml:space="preserve"> </w:t>
      </w:r>
      <w:r>
        <w:tab/>
      </w:r>
      <w:r w:rsidRPr="00ED780B">
        <w:t xml:space="preserve">See 2021 ESMA report on UK CCPs (see footnote </w:t>
      </w:r>
      <w:r>
        <w:t>9</w:t>
      </w:r>
      <w:r w:rsidRPr="00ED780B">
        <w:t xml:space="preserve"> above).</w:t>
      </w:r>
    </w:p>
  </w:footnote>
  <w:footnote w:id="184">
    <w:p w14:paraId="417EB0CE" w14:textId="739D1585" w:rsidR="00134BBD" w:rsidRDefault="00134BBD" w:rsidP="008824E6">
      <w:pPr>
        <w:pStyle w:val="FootnoteText"/>
        <w:spacing w:after="0"/>
        <w:ind w:left="0" w:hanging="284"/>
      </w:pPr>
      <w:r w:rsidRPr="002661A8">
        <w:rPr>
          <w:rStyle w:val="FootnoteReference"/>
        </w:rPr>
        <w:footnoteRef/>
      </w:r>
      <w:r w:rsidRPr="002661A8">
        <w:t xml:space="preserve"> </w:t>
      </w:r>
      <w:r>
        <w:tab/>
        <w:t>S</w:t>
      </w:r>
      <w:r w:rsidRPr="00874DBA">
        <w:t>ee</w:t>
      </w:r>
      <w:r w:rsidRPr="00874DBA" w:rsidDel="0010721E">
        <w:t xml:space="preserve"> </w:t>
      </w:r>
      <w:r w:rsidRPr="00874DBA">
        <w:t xml:space="preserve">the minutes of the meeting with Member States on 30 March 2022: https://ec.europa.eu/transparency/expert-groups-register/screen/meetings/consult?lang=en&amp;meetingId=45435&amp;fromExpertGroups=false </w:t>
      </w:r>
    </w:p>
    <w:p w14:paraId="1D8DA885" w14:textId="7825140A" w:rsidR="00134BBD" w:rsidRPr="002661A8" w:rsidRDefault="00134BBD" w:rsidP="00B24C84">
      <w:pPr>
        <w:pStyle w:val="FootnoteText"/>
        <w:spacing w:after="0"/>
        <w:ind w:left="0" w:firstLine="0"/>
      </w:pPr>
      <w:r w:rsidRPr="00874DBA">
        <w:t>and the following link for the minutes of the meeting with Member States on 16 June 2022: https://ec.europa.eu/transparency/expert-groups-register/screen/meetings/consult?lang=en&amp;meetingId=45836&amp;fromExpertGroups=false)</w:t>
      </w:r>
    </w:p>
  </w:footnote>
  <w:footnote w:id="185">
    <w:p w14:paraId="4DF9C547" w14:textId="25FFD633" w:rsidR="00134BBD" w:rsidRPr="006808B4" w:rsidRDefault="00134BBD" w:rsidP="00325494">
      <w:pPr>
        <w:pStyle w:val="FootnoteText"/>
        <w:spacing w:after="0"/>
        <w:ind w:left="0" w:hanging="284"/>
      </w:pPr>
      <w:r>
        <w:rPr>
          <w:rStyle w:val="FootnoteReference"/>
        </w:rPr>
        <w:footnoteRef/>
      </w:r>
      <w:r>
        <w:t xml:space="preserve"> </w:t>
      </w:r>
      <w:r>
        <w:tab/>
      </w:r>
      <w:r w:rsidRPr="006808B4">
        <w:t>Regulation (EU) 2019/2099 of the European Parliament and of the Council of 23 October 2019 amending Regulation (EU) No 648/2012 as regards the procedures and authorities involved for the authorisation of CCPs and requirements for the recognition of third-country CCPs</w:t>
      </w:r>
      <w:r>
        <w:t xml:space="preserve"> (</w:t>
      </w:r>
      <w:r w:rsidRPr="006808B4">
        <w:t>OJ L 322, 12.12.2019, p. 1</w:t>
      </w:r>
      <w:r>
        <w:t>),</w:t>
      </w:r>
    </w:p>
  </w:footnote>
  <w:footnote w:id="186">
    <w:p w14:paraId="69855F62" w14:textId="0C2230E4" w:rsidR="00134BBD" w:rsidRPr="00A2531B" w:rsidRDefault="00134BBD" w:rsidP="0039514E">
      <w:pPr>
        <w:pStyle w:val="FootnoteText"/>
        <w:spacing w:after="0"/>
        <w:ind w:left="0" w:hanging="284"/>
        <w:rPr>
          <w:lang w:val="en-IE"/>
        </w:rPr>
      </w:pPr>
      <w:r w:rsidRPr="00A2531B">
        <w:rPr>
          <w:rStyle w:val="FootnoteReference"/>
        </w:rPr>
        <w:footnoteRef/>
      </w:r>
      <w:r w:rsidRPr="00A2531B">
        <w:rPr>
          <w:lang w:val="en-IE"/>
        </w:rPr>
        <w:t xml:space="preserve"> </w:t>
      </w:r>
      <w:r>
        <w:rPr>
          <w:lang w:val="en-IE"/>
        </w:rPr>
        <w:tab/>
      </w:r>
      <w:r w:rsidRPr="00A2531B">
        <w:rPr>
          <w:lang w:val="en-IE"/>
        </w:rPr>
        <w:t>Qualifying CCPS (‘QCCPs’) are CCPs authorised in the EU or recognised by ESMA; they benefit from a preferential capital treatment under the CRR.</w:t>
      </w:r>
    </w:p>
  </w:footnote>
  <w:footnote w:id="187">
    <w:p w14:paraId="3CA9205F" w14:textId="34CC9F27" w:rsidR="00134BBD" w:rsidRPr="00D2339E" w:rsidRDefault="00134BBD" w:rsidP="0039514E">
      <w:pPr>
        <w:pStyle w:val="FootnoteText"/>
        <w:spacing w:after="0"/>
        <w:ind w:left="0" w:hanging="284"/>
        <w:rPr>
          <w:lang w:val="en-IE"/>
        </w:rPr>
      </w:pPr>
      <w:r w:rsidRPr="00A2531B">
        <w:rPr>
          <w:rStyle w:val="FootnoteReference"/>
        </w:rPr>
        <w:footnoteRef/>
      </w:r>
      <w:r w:rsidRPr="00A2531B">
        <w:rPr>
          <w:lang w:val="en-IE"/>
        </w:rPr>
        <w:t xml:space="preserve"> </w:t>
      </w:r>
      <w:r>
        <w:rPr>
          <w:lang w:val="en-IE"/>
        </w:rPr>
        <w:tab/>
      </w:r>
      <w:r w:rsidRPr="00A2531B">
        <w:rPr>
          <w:lang w:val="en-IE"/>
        </w:rPr>
        <w:t>The large exposures framework aims to limit the overall exposure that a bank has with a single client or a group of connected clients, therefore limiting the potential loss if that client or group of connected clients do not meet their financial commitments. This framework requires banks to measure their exposures to a single client or a group of connected clients and limit the size of these exposures to a fixed pre-defined percentage of their available Tier 1 capital (i.e. 25%).</w:t>
      </w:r>
    </w:p>
  </w:footnote>
  <w:footnote w:id="188">
    <w:p w14:paraId="3F4BBA53" w14:textId="3A281584" w:rsidR="00134BBD" w:rsidRPr="00A2531B" w:rsidRDefault="00134BBD" w:rsidP="0039514E">
      <w:pPr>
        <w:pStyle w:val="FootnoteText"/>
        <w:spacing w:after="0"/>
        <w:ind w:left="0" w:hanging="284"/>
        <w:rPr>
          <w:lang w:val="en-IE"/>
        </w:rPr>
      </w:pPr>
      <w:r w:rsidRPr="00A2531B">
        <w:rPr>
          <w:rStyle w:val="FootnoteReference"/>
        </w:rPr>
        <w:footnoteRef/>
      </w:r>
      <w:r w:rsidRPr="00A2531B">
        <w:rPr>
          <w:lang w:val="en-IE"/>
        </w:rPr>
        <w:t xml:space="preserve"> </w:t>
      </w:r>
      <w:r>
        <w:rPr>
          <w:lang w:val="en-IE"/>
        </w:rPr>
        <w:tab/>
      </w:r>
      <w:r w:rsidRPr="00A2531B">
        <w:rPr>
          <w:lang w:val="en-IE"/>
        </w:rPr>
        <w:t>Some public entities (e.g. multilateral development banks, the ESM) are subject to the reporting obligation under EMIR, others (</w:t>
      </w:r>
      <w:r>
        <w:rPr>
          <w:lang w:val="en-IE"/>
        </w:rPr>
        <w:t>e.g.</w:t>
      </w:r>
      <w:r w:rsidRPr="00A2531B">
        <w:rPr>
          <w:lang w:val="en-IE"/>
        </w:rPr>
        <w:t xml:space="preserve"> the Eurosystem and debt management offices) </w:t>
      </w:r>
      <w:r>
        <w:rPr>
          <w:lang w:val="en-IE"/>
        </w:rPr>
        <w:t>are exempt</w:t>
      </w:r>
      <w:r w:rsidRPr="00A2531B">
        <w:rPr>
          <w:lang w:val="en-IE"/>
        </w:rPr>
        <w:t xml:space="preserve"> from EMIR.</w:t>
      </w:r>
    </w:p>
  </w:footnote>
  <w:footnote w:id="189">
    <w:p w14:paraId="5737C583" w14:textId="31C49FD1" w:rsidR="00134BBD" w:rsidRPr="002267C8" w:rsidRDefault="00134BBD" w:rsidP="0039514E">
      <w:pPr>
        <w:pStyle w:val="FootnoteText"/>
        <w:spacing w:after="0"/>
        <w:ind w:left="0" w:hanging="284"/>
        <w:rPr>
          <w:lang w:val="en-IE"/>
        </w:rPr>
      </w:pPr>
      <w:r w:rsidRPr="002267C8">
        <w:rPr>
          <w:rStyle w:val="FootnoteReference"/>
        </w:rPr>
        <w:footnoteRef/>
      </w:r>
      <w:r w:rsidRPr="002267C8">
        <w:rPr>
          <w:lang w:val="en-IE"/>
        </w:rPr>
        <w:t xml:space="preserve"> </w:t>
      </w:r>
      <w:r>
        <w:rPr>
          <w:lang w:val="en-IE"/>
        </w:rPr>
        <w:tab/>
      </w:r>
      <w:r w:rsidRPr="002267C8">
        <w:rPr>
          <w:lang w:val="en-IE"/>
        </w:rPr>
        <w:t>Under the CRR, banks and investment firms’</w:t>
      </w:r>
      <w:r>
        <w:rPr>
          <w:lang w:val="en-IE"/>
        </w:rPr>
        <w:t xml:space="preserve"> </w:t>
      </w:r>
      <w:r w:rsidRPr="002267C8">
        <w:rPr>
          <w:lang w:val="en-IE"/>
        </w:rPr>
        <w:t>exposures to qualifying CCPs benefit from a preferential capital treatment (a risk weight of only 2% applies to trade exposures of clearing members to such CCPs; also banks clearing as clients can enjoy a preferential capital treatments under certain conditions).</w:t>
      </w:r>
    </w:p>
  </w:footnote>
  <w:footnote w:id="190">
    <w:p w14:paraId="11A117BF" w14:textId="5481410C" w:rsidR="00134BBD" w:rsidRPr="002267C8" w:rsidRDefault="00134BBD" w:rsidP="0039514E">
      <w:pPr>
        <w:pStyle w:val="FootnoteText"/>
        <w:spacing w:after="0"/>
        <w:ind w:left="0" w:hanging="284"/>
        <w:rPr>
          <w:lang w:val="en-IE"/>
        </w:rPr>
      </w:pPr>
      <w:r w:rsidRPr="002267C8">
        <w:rPr>
          <w:rStyle w:val="FootnoteReference"/>
        </w:rPr>
        <w:footnoteRef/>
      </w:r>
      <w:r w:rsidRPr="002267C8">
        <w:rPr>
          <w:lang w:val="en-IE"/>
        </w:rPr>
        <w:t xml:space="preserve"> </w:t>
      </w:r>
      <w:r>
        <w:rPr>
          <w:lang w:val="en-IE"/>
        </w:rPr>
        <w:tab/>
        <w:t>U</w:t>
      </w:r>
      <w:r w:rsidRPr="002267C8">
        <w:rPr>
          <w:lang w:val="en-IE"/>
        </w:rPr>
        <w:t>ndertakings for collective investment in transferable securities (UCITS)</w:t>
      </w:r>
      <w:r>
        <w:rPr>
          <w:lang w:val="en-IE"/>
        </w:rPr>
        <w:t>.</w:t>
      </w:r>
    </w:p>
  </w:footnote>
  <w:footnote w:id="191">
    <w:p w14:paraId="6C18B61A" w14:textId="1291BBDF" w:rsidR="00134BBD" w:rsidRPr="00726E04" w:rsidRDefault="00134BBD" w:rsidP="0039514E">
      <w:pPr>
        <w:pStyle w:val="FootnoteText"/>
        <w:spacing w:after="0"/>
        <w:ind w:left="0" w:hanging="284"/>
        <w:rPr>
          <w:lang w:val="en-IE"/>
        </w:rPr>
      </w:pPr>
      <w:r w:rsidRPr="002267C8">
        <w:rPr>
          <w:rStyle w:val="FootnoteReference"/>
        </w:rPr>
        <w:footnoteRef/>
      </w:r>
      <w:r w:rsidRPr="002267C8">
        <w:rPr>
          <w:lang w:val="en-IE"/>
        </w:rPr>
        <w:t xml:space="preserve"> </w:t>
      </w:r>
      <w:r>
        <w:rPr>
          <w:lang w:val="en-IE"/>
        </w:rPr>
        <w:tab/>
      </w:r>
      <w:r w:rsidRPr="002267C8">
        <w:rPr>
          <w:lang w:val="en-IE"/>
        </w:rPr>
        <w:t>Through the release of other-comprehensive-income cash-flow hedge accounting reserves.</w:t>
      </w:r>
    </w:p>
  </w:footnote>
  <w:footnote w:id="192">
    <w:p w14:paraId="498F2114" w14:textId="3815A62B" w:rsidR="00134BBD" w:rsidRPr="00091F9B" w:rsidRDefault="00134BBD">
      <w:pPr>
        <w:pStyle w:val="FootnoteText"/>
        <w:rPr>
          <w:lang w:val="en-IE"/>
        </w:rPr>
      </w:pPr>
      <w:r>
        <w:rPr>
          <w:rStyle w:val="FootnoteReference"/>
        </w:rPr>
        <w:footnoteRef/>
      </w:r>
      <w:r>
        <w:t xml:space="preserve"> </w:t>
      </w:r>
      <w:r w:rsidRPr="008D496F">
        <w:t>Regulation (EU) 2021/23 of the European Parliament and of the Council of 16 December 2020 on a framework for the recovery and resolution of central counterparties and amending Regulations (EU) No 1095/2010, (EU) No 648/2012, (EU) No 600/2014, (EU) No 806/2014 and (EU) 2015/2365 and Directives 2002/47/EC, 2004/25/EC, 2007/36/EC, 2014/59/EU and (EU) 2017/1132 (Text with EEA relevance)</w:t>
      </w:r>
      <w:r>
        <w:t xml:space="preserve">; </w:t>
      </w:r>
      <w:r w:rsidRPr="008D496F">
        <w:t>OJ L 22, 22.1.2021, p. 1–102</w:t>
      </w:r>
      <w:r>
        <w:t>.</w:t>
      </w:r>
    </w:p>
  </w:footnote>
  <w:footnote w:id="193">
    <w:p w14:paraId="68F7D9CB" w14:textId="41E9CAD0" w:rsidR="00134BBD" w:rsidRPr="001F49F8" w:rsidRDefault="00134BBD" w:rsidP="00D64C17">
      <w:pPr>
        <w:pStyle w:val="FootnoteText"/>
        <w:spacing w:after="0"/>
        <w:ind w:left="0" w:hanging="284"/>
      </w:pPr>
      <w:r w:rsidRPr="001F49F8">
        <w:rPr>
          <w:rStyle w:val="FootnoteReference"/>
        </w:rPr>
        <w:footnoteRef/>
      </w:r>
      <w:r>
        <w:rPr>
          <w:lang w:val="en-IE"/>
        </w:rPr>
        <w:t xml:space="preserve"> </w:t>
      </w:r>
      <w:r w:rsidRPr="001F49F8">
        <w:rPr>
          <w:lang w:val="en-IE"/>
        </w:rPr>
        <w:t>For EU CCPs see ccps_authorised_under_emir.pdf (europa.eu). For third-country CCPs see thirdcountry_ccps_recognised_under_emir.pdf (europa.eu)</w:t>
      </w:r>
    </w:p>
  </w:footnote>
  <w:footnote w:id="194">
    <w:p w14:paraId="4E6EBF38" w14:textId="457DC0B7" w:rsidR="00134BBD" w:rsidRPr="00C740D7" w:rsidRDefault="00134BBD" w:rsidP="00D64C17">
      <w:pPr>
        <w:pStyle w:val="FootnoteText"/>
        <w:spacing w:after="0"/>
        <w:ind w:left="0" w:hanging="284"/>
        <w:rPr>
          <w:lang w:val="en-IE"/>
        </w:rPr>
      </w:pPr>
      <w:r w:rsidRPr="007556D8">
        <w:rPr>
          <w:rStyle w:val="FootnoteReference"/>
        </w:rPr>
        <w:footnoteRef/>
      </w:r>
      <w:r w:rsidRPr="007556D8">
        <w:rPr>
          <w:lang w:val="en-IE"/>
        </w:rPr>
        <w:t xml:space="preserve"> </w:t>
      </w:r>
      <w:r>
        <w:rPr>
          <w:lang w:val="en-IE"/>
        </w:rPr>
        <w:tab/>
      </w:r>
      <w:r w:rsidRPr="007556D8">
        <w:rPr>
          <w:lang w:val="en-IE"/>
        </w:rPr>
        <w:t>Directive 98/26/EC of 19 May 1998 on settlement finality in payment and securities settlement systems (OJ L 166, 11.6.1998, p. 45–50).</w:t>
      </w:r>
    </w:p>
  </w:footnote>
  <w:footnote w:id="195">
    <w:p w14:paraId="4EFEC642" w14:textId="6287A345" w:rsidR="00134BBD" w:rsidRPr="002661A8" w:rsidRDefault="00134BBD" w:rsidP="00091092">
      <w:pPr>
        <w:pStyle w:val="FootnoteText"/>
        <w:spacing w:after="0"/>
        <w:ind w:left="0" w:hanging="284"/>
      </w:pPr>
      <w:r w:rsidRPr="002661A8">
        <w:rPr>
          <w:rStyle w:val="FootnoteReference"/>
        </w:rPr>
        <w:footnoteRef/>
      </w:r>
      <w:r w:rsidRPr="002661A8">
        <w:t xml:space="preserve"> </w:t>
      </w:r>
      <w:r w:rsidRPr="002661A8">
        <w:tab/>
      </w:r>
      <w:r w:rsidRPr="002661A8">
        <w:rPr>
          <w:color w:val="000000"/>
        </w:rPr>
        <w:t>But potential savings from streamlined cooperation would have an opposite effect which would (partially or even fully) mitigate this.</w:t>
      </w:r>
    </w:p>
  </w:footnote>
  <w:footnote w:id="196">
    <w:p w14:paraId="702BB777" w14:textId="088F79F8" w:rsidR="00134BBD" w:rsidRPr="002661A8" w:rsidRDefault="00134BBD" w:rsidP="001175DB">
      <w:pPr>
        <w:pStyle w:val="FootnoteText"/>
        <w:spacing w:after="0"/>
        <w:ind w:left="0" w:hanging="284"/>
      </w:pPr>
      <w:r w:rsidRPr="002661A8">
        <w:rPr>
          <w:rStyle w:val="FootnoteReference"/>
        </w:rPr>
        <w:footnoteRef/>
      </w:r>
      <w:r w:rsidRPr="002661A8">
        <w:t xml:space="preserve"> </w:t>
      </w:r>
      <w:r w:rsidRPr="002661A8">
        <w:tab/>
        <w:t xml:space="preserve">Magnitude of these costs cannot be reliably assessed as they depend on the precise calibration of the measures which will be established through delegated/implementing acts (which will consider cost implications to the degree possible) and on choices of companies. Hence it cannot be determined upfront and is likely to vary by company depending on its specific situation. </w:t>
      </w:r>
    </w:p>
  </w:footnote>
  <w:footnote w:id="197">
    <w:p w14:paraId="58CC9C43" w14:textId="39F99F94" w:rsidR="00134BBD" w:rsidRPr="002661A8" w:rsidRDefault="00134BBD" w:rsidP="001175DB">
      <w:pPr>
        <w:pStyle w:val="FootnoteText"/>
        <w:spacing w:after="0"/>
        <w:ind w:left="0" w:hanging="284"/>
        <w:rPr>
          <w:lang w:val="en-IE"/>
        </w:rPr>
      </w:pPr>
      <w:r w:rsidRPr="002661A8">
        <w:rPr>
          <w:rStyle w:val="FootnoteReference"/>
        </w:rPr>
        <w:footnoteRef/>
      </w:r>
      <w:r w:rsidRPr="002661A8">
        <w:t xml:space="preserve"> </w:t>
      </w:r>
      <w:r w:rsidRPr="002661A8">
        <w:tab/>
        <w:t>Magnitude of these costs cannot be reliably assessed as they depend on the precise calibration of the measures which will be established through delegated/implementing acts (which will consider cost implications to the degree possible) and on choices of companies. Hence it cannot be determined upfront and is likely to vary by company depending on its specific situation.</w:t>
      </w:r>
      <w:r>
        <w:t xml:space="preserve"> At the same time, this cost is expected to be potentially significant in size. </w:t>
      </w:r>
    </w:p>
  </w:footnote>
  <w:footnote w:id="198">
    <w:p w14:paraId="7B56152A" w14:textId="4C8519AE" w:rsidR="00134BBD" w:rsidRPr="002661A8" w:rsidRDefault="00134BBD" w:rsidP="001175DB">
      <w:pPr>
        <w:pStyle w:val="FootnoteText"/>
        <w:spacing w:after="0"/>
        <w:ind w:left="0" w:hanging="284"/>
      </w:pPr>
      <w:r w:rsidRPr="002661A8">
        <w:rPr>
          <w:rStyle w:val="FootnoteReference"/>
        </w:rPr>
        <w:footnoteRef/>
      </w:r>
      <w:r w:rsidRPr="002661A8">
        <w:t xml:space="preserve"> </w:t>
      </w:r>
      <w:r w:rsidRPr="002661A8">
        <w:tab/>
      </w:r>
      <w:r w:rsidRPr="002661A8">
        <w:rPr>
          <w:color w:val="000000"/>
        </w:rPr>
        <w:t>Expected to be partially mitigated over the medium to long term by market adaptation</w:t>
      </w:r>
    </w:p>
  </w:footnote>
  <w:footnote w:id="199">
    <w:p w14:paraId="0F272EF1" w14:textId="46FB41C7" w:rsidR="00134BBD" w:rsidRPr="002661A8" w:rsidRDefault="00134BBD" w:rsidP="001175DB">
      <w:pPr>
        <w:pStyle w:val="FootnoteText"/>
        <w:spacing w:after="0"/>
        <w:ind w:left="0" w:hanging="284"/>
        <w:rPr>
          <w:lang w:val="en-IE"/>
        </w:rPr>
      </w:pPr>
      <w:r w:rsidRPr="002661A8">
        <w:rPr>
          <w:rStyle w:val="FootnoteReference"/>
        </w:rPr>
        <w:footnoteRef/>
      </w:r>
      <w:r w:rsidRPr="002661A8">
        <w:t xml:space="preserve"> </w:t>
      </w:r>
      <w:r w:rsidRPr="002661A8">
        <w:tab/>
      </w:r>
      <w:r w:rsidRPr="002661A8">
        <w:rPr>
          <w:lang w:val="en-IE"/>
        </w:rPr>
        <w:t xml:space="preserve">As </w:t>
      </w:r>
      <w:r w:rsidRPr="002661A8">
        <w:t>some clearing participants (e.g. clients) that do not already have an account at an EU CCP will have to open one.</w:t>
      </w:r>
    </w:p>
  </w:footnote>
  <w:footnote w:id="200">
    <w:p w14:paraId="5CFB6667" w14:textId="47334E9E" w:rsidR="00134BBD" w:rsidRPr="002661A8" w:rsidRDefault="00134BBD" w:rsidP="00091092">
      <w:pPr>
        <w:pStyle w:val="FootnoteText"/>
        <w:spacing w:after="0"/>
        <w:ind w:left="0" w:hanging="284"/>
      </w:pPr>
      <w:r w:rsidRPr="002661A8">
        <w:rPr>
          <w:rStyle w:val="FootnoteReference"/>
        </w:rPr>
        <w:footnoteRef/>
      </w:r>
      <w:r w:rsidRPr="002661A8">
        <w:t xml:space="preserve"> </w:t>
      </w:r>
      <w:r w:rsidRPr="002661A8">
        <w:tab/>
        <w:t xml:space="preserve">These costs are expected to decrease over time as the market adapts to the new situation by moving positions. </w:t>
      </w:r>
    </w:p>
  </w:footnote>
  <w:footnote w:id="201">
    <w:p w14:paraId="62D4DAE3" w14:textId="6AE9017D" w:rsidR="00134BBD" w:rsidRPr="002661A8" w:rsidRDefault="00134BBD" w:rsidP="00B12282">
      <w:pPr>
        <w:pStyle w:val="FootnoteText"/>
        <w:spacing w:after="0"/>
        <w:ind w:left="0" w:hanging="284"/>
      </w:pPr>
      <w:r w:rsidRPr="002661A8">
        <w:rPr>
          <w:rStyle w:val="FootnoteReference"/>
        </w:rPr>
        <w:footnoteRef/>
      </w:r>
      <w:r w:rsidRPr="002661A8">
        <w:t xml:space="preserve"> </w:t>
      </w:r>
      <w:r w:rsidRPr="002661A8">
        <w:tab/>
        <w:t xml:space="preserve">These costs are expected to decrease over time as the market adapts to the new situation by moving positions. </w:t>
      </w:r>
    </w:p>
  </w:footnote>
  <w:footnote w:id="202">
    <w:p w14:paraId="45FE9A1B" w14:textId="638FABDF" w:rsidR="00134BBD" w:rsidRPr="002661A8" w:rsidRDefault="00134BBD" w:rsidP="001F319E">
      <w:pPr>
        <w:pStyle w:val="FootnoteText"/>
        <w:spacing w:after="0"/>
        <w:ind w:left="0" w:hanging="284"/>
        <w:rPr>
          <w:lang w:val="en-IE"/>
        </w:rPr>
      </w:pPr>
      <w:r w:rsidRPr="002661A8">
        <w:rPr>
          <w:rStyle w:val="FootnoteReference"/>
        </w:rPr>
        <w:footnoteRef/>
      </w:r>
      <w:r w:rsidRPr="002661A8">
        <w:t xml:space="preserve"> </w:t>
      </w:r>
      <w:r w:rsidRPr="002661A8">
        <w:tab/>
      </w:r>
      <w:r w:rsidRPr="002661A8">
        <w:rPr>
          <w:lang w:val="en-IE"/>
        </w:rPr>
        <w:t xml:space="preserve">As </w:t>
      </w:r>
      <w:r w:rsidRPr="002661A8">
        <w:t>some clearing participants (e.g. clients) that do not already have an account at an EU CCP will have to open one.</w:t>
      </w:r>
      <w:r>
        <w:t xml:space="preserve"> This is a simple process consisting of filling out several documents. Even if the number of new clients was high, this cost would be relatively small overall. Hence it was not considered proportional to attempt more precise costing.  </w:t>
      </w:r>
    </w:p>
  </w:footnote>
  <w:footnote w:id="203">
    <w:p w14:paraId="0C64AE42" w14:textId="05208E3C" w:rsidR="00134BBD" w:rsidRPr="00D655F9" w:rsidRDefault="00134BBD">
      <w:pPr>
        <w:pStyle w:val="FootnoteText"/>
        <w:rPr>
          <w:lang w:val="es-ES"/>
        </w:rPr>
      </w:pPr>
      <w:r>
        <w:rPr>
          <w:rStyle w:val="FootnoteReference"/>
        </w:rPr>
        <w:footnoteRef/>
      </w:r>
      <w:r w:rsidRPr="00D655F9">
        <w:rPr>
          <w:lang w:val="es-ES"/>
        </w:rPr>
        <w:t xml:space="preserve"> ESMA Regulation EU (No) 1095/2010, Article8(3).  </w:t>
      </w:r>
    </w:p>
  </w:footnote>
  <w:footnote w:id="204">
    <w:p w14:paraId="50E085B3" w14:textId="553079C0" w:rsidR="00134BBD" w:rsidRPr="00D655F9" w:rsidRDefault="00134BBD" w:rsidP="00173E58">
      <w:pPr>
        <w:pStyle w:val="FootnoteText"/>
        <w:spacing w:after="0"/>
        <w:ind w:left="0" w:hanging="284"/>
        <w:rPr>
          <w:lang w:val="es-ES"/>
        </w:rPr>
      </w:pPr>
      <w:r w:rsidRPr="002661A8">
        <w:rPr>
          <w:rStyle w:val="FootnoteReference"/>
        </w:rPr>
        <w:footnoteRef/>
      </w:r>
      <w:r w:rsidRPr="00D655F9">
        <w:rPr>
          <w:lang w:val="es-ES"/>
        </w:rPr>
        <w:t xml:space="preserve"> </w:t>
      </w:r>
      <w:hyperlink r:id="rId22" w:history="1">
        <w:r w:rsidRPr="00D655F9">
          <w:rPr>
            <w:rStyle w:val="Hyperlink"/>
            <w:lang w:val="es-ES"/>
          </w:rPr>
          <w:t>https://www.esma.europa.eu/sites/default/files/library/ccps_authorised_under_emir.pdf</w:t>
        </w:r>
      </w:hyperlink>
      <w:r w:rsidRPr="00D655F9">
        <w:rPr>
          <w:lang w:val="es-ES"/>
        </w:rPr>
        <w:t xml:space="preserve">. </w:t>
      </w:r>
    </w:p>
  </w:footnote>
  <w:footnote w:id="205">
    <w:p w14:paraId="6DF8842A" w14:textId="79FD4692" w:rsidR="00134BBD" w:rsidRPr="002661A8" w:rsidRDefault="00134BBD" w:rsidP="00173E58">
      <w:pPr>
        <w:pStyle w:val="FootnoteText"/>
        <w:spacing w:after="0"/>
        <w:ind w:left="0" w:hanging="284"/>
        <w:rPr>
          <w:lang w:val="en-IE"/>
        </w:rPr>
      </w:pPr>
      <w:r w:rsidRPr="002661A8">
        <w:rPr>
          <w:rStyle w:val="FootnoteReference"/>
        </w:rPr>
        <w:footnoteRef/>
      </w:r>
      <w:r w:rsidRPr="002661A8">
        <w:t xml:space="preserve"> Previously named Holland Clearing House B.V</w:t>
      </w:r>
    </w:p>
  </w:footnote>
  <w:footnote w:id="206">
    <w:p w14:paraId="44126A53" w14:textId="23E5C4FA" w:rsidR="00134BBD" w:rsidRPr="002661A8" w:rsidRDefault="00134BBD" w:rsidP="00173E58">
      <w:pPr>
        <w:pStyle w:val="FootnoteText"/>
        <w:spacing w:after="0"/>
        <w:ind w:left="0" w:hanging="284"/>
        <w:rPr>
          <w:lang w:val="en-IE"/>
        </w:rPr>
      </w:pPr>
      <w:r w:rsidRPr="002661A8">
        <w:rPr>
          <w:rStyle w:val="FootnoteReference"/>
        </w:rPr>
        <w:footnoteRef/>
      </w:r>
      <w:r w:rsidRPr="002661A8">
        <w:t xml:space="preserve"> </w:t>
      </w:r>
      <w:hyperlink r:id="rId23" w:history="1">
        <w:r w:rsidRPr="002661A8">
          <w:rPr>
            <w:rStyle w:val="Hyperlink"/>
          </w:rPr>
          <w:t>https://www.esma.europa.eu/sites/default/files/library/third-country_ccps_recognised_under_emir.pdf</w:t>
        </w:r>
      </w:hyperlink>
      <w:r w:rsidRPr="002661A8">
        <w:t xml:space="preserve"> </w:t>
      </w:r>
    </w:p>
  </w:footnote>
  <w:footnote w:id="207">
    <w:p w14:paraId="126CDA3C" w14:textId="77777777" w:rsidR="00134BBD" w:rsidRPr="002661A8" w:rsidRDefault="00134BBD" w:rsidP="00CB3975">
      <w:pPr>
        <w:pStyle w:val="FootnoteText"/>
        <w:spacing w:after="0"/>
        <w:ind w:left="0" w:hanging="284"/>
        <w:rPr>
          <w:lang w:val="en-IE"/>
        </w:rPr>
      </w:pPr>
      <w:r w:rsidRPr="002661A8">
        <w:rPr>
          <w:rStyle w:val="FootnoteReference"/>
        </w:rPr>
        <w:footnoteRef/>
      </w:r>
      <w:r w:rsidRPr="002661A8">
        <w:t xml:space="preserve"> </w:t>
      </w:r>
      <w:r w:rsidRPr="002661A8">
        <w:tab/>
        <w:t>Articles 18 and 19 of EMIR.</w:t>
      </w:r>
    </w:p>
  </w:footnote>
  <w:footnote w:id="208">
    <w:p w14:paraId="4BF54919" w14:textId="77777777" w:rsidR="00134BBD" w:rsidRPr="002661A8" w:rsidRDefault="00134BBD" w:rsidP="00A317E4">
      <w:pPr>
        <w:pStyle w:val="FootnoteText"/>
        <w:spacing w:after="0"/>
        <w:ind w:left="0" w:hanging="284"/>
      </w:pPr>
      <w:r w:rsidRPr="002661A8">
        <w:rPr>
          <w:rStyle w:val="FootnoteReference"/>
        </w:rPr>
        <w:footnoteRef/>
      </w:r>
      <w:r w:rsidRPr="002661A8">
        <w:t xml:space="preserve"> </w:t>
      </w:r>
      <w:r w:rsidRPr="002661A8">
        <w:tab/>
        <w:t>Article 23a of EMIR.</w:t>
      </w:r>
    </w:p>
  </w:footnote>
  <w:footnote w:id="209">
    <w:p w14:paraId="427C7D05" w14:textId="77777777" w:rsidR="00134BBD" w:rsidRPr="002661A8" w:rsidRDefault="00134BBD">
      <w:pPr>
        <w:spacing w:after="0" w:line="240" w:lineRule="auto"/>
        <w:ind w:hanging="284"/>
        <w:jc w:val="both"/>
        <w:rPr>
          <w:sz w:val="20"/>
          <w:szCs w:val="20"/>
        </w:rPr>
      </w:pPr>
      <w:r w:rsidRPr="002661A8">
        <w:rPr>
          <w:rStyle w:val="FootnoteReference"/>
          <w:rFonts w:ascii="Times New Roman" w:eastAsia="Times New Roman" w:hAnsi="Times New Roman" w:cs="Times New Roman"/>
          <w:sz w:val="20"/>
          <w:szCs w:val="20"/>
        </w:rPr>
        <w:footnoteRef/>
      </w:r>
      <w:r w:rsidRPr="002661A8">
        <w:rPr>
          <w:sz w:val="20"/>
          <w:szCs w:val="20"/>
        </w:rPr>
        <w:t xml:space="preserve"> </w:t>
      </w:r>
      <w:r w:rsidRPr="002661A8">
        <w:rPr>
          <w:rFonts w:ascii="Times New Roman" w:eastAsia="Times New Roman" w:hAnsi="Times New Roman" w:cs="Times New Roman"/>
          <w:sz w:val="20"/>
          <w:szCs w:val="20"/>
        </w:rPr>
        <w:tab/>
      </w:r>
      <w:r w:rsidRPr="002661A8">
        <w:rPr>
          <w:rFonts w:ascii="Times New Roman" w:hAnsi="Times New Roman" w:cs="Times New Roman"/>
          <w:sz w:val="20"/>
          <w:szCs w:val="20"/>
        </w:rPr>
        <w:t>Derivatives and Market Infrastructures Member States Working Group on 30 March 2022 and on 16 June 2022.</w:t>
      </w:r>
    </w:p>
  </w:footnote>
  <w:footnote w:id="210">
    <w:p w14:paraId="3CD4F32F" w14:textId="2BAAD9A7" w:rsidR="00134BBD" w:rsidRPr="002661A8" w:rsidRDefault="00134BBD" w:rsidP="00BC7533">
      <w:pPr>
        <w:pStyle w:val="FootnoteText"/>
        <w:tabs>
          <w:tab w:val="left" w:pos="5561"/>
        </w:tabs>
        <w:spacing w:after="0"/>
        <w:ind w:left="0" w:hanging="284"/>
        <w:rPr>
          <w:lang w:val="en-IE"/>
        </w:rPr>
      </w:pPr>
      <w:r w:rsidRPr="002661A8">
        <w:rPr>
          <w:rStyle w:val="FootnoteReference"/>
        </w:rPr>
        <w:footnoteRef/>
      </w:r>
      <w:r w:rsidRPr="002661A8">
        <w:t xml:space="preserve"> </w:t>
      </w:r>
      <w:r w:rsidRPr="002661A8">
        <w:tab/>
        <w:t xml:space="preserve">See ESMA’s reply to the targeted consultation on clearing, 1 April 2022, </w:t>
      </w:r>
      <w:r>
        <w:t xml:space="preserve">see footnote </w:t>
      </w:r>
      <w:r>
        <w:rPr>
          <w:highlight w:val="yellow"/>
        </w:rPr>
        <w:fldChar w:fldCharType="begin"/>
      </w:r>
      <w:r>
        <w:instrText xml:space="preserve"> NOTEREF _Ref120290257 \h </w:instrText>
      </w:r>
      <w:r>
        <w:rPr>
          <w:highlight w:val="yellow"/>
        </w:rPr>
      </w:r>
      <w:r>
        <w:rPr>
          <w:highlight w:val="yellow"/>
        </w:rPr>
        <w:fldChar w:fldCharType="separate"/>
      </w:r>
      <w:r w:rsidR="009D6A61">
        <w:t>100</w:t>
      </w:r>
      <w:r>
        <w:rPr>
          <w:highlight w:val="yellow"/>
        </w:rPr>
        <w:fldChar w:fldCharType="end"/>
      </w:r>
      <w:r>
        <w:t>.</w:t>
      </w:r>
    </w:p>
  </w:footnote>
  <w:footnote w:id="211">
    <w:p w14:paraId="26DB5DB9" w14:textId="1EE621DE" w:rsidR="00134BBD" w:rsidRPr="002661A8" w:rsidRDefault="00134BBD" w:rsidP="00610D81">
      <w:pPr>
        <w:pStyle w:val="FootnoteText"/>
        <w:tabs>
          <w:tab w:val="left" w:pos="5561"/>
        </w:tabs>
        <w:spacing w:after="0"/>
        <w:ind w:left="0" w:hanging="284"/>
      </w:pPr>
      <w:r w:rsidRPr="002661A8">
        <w:rPr>
          <w:rStyle w:val="FootnoteReference"/>
        </w:rPr>
        <w:footnoteRef/>
      </w:r>
      <w:r w:rsidRPr="002661A8">
        <w:t xml:space="preserve"> </w:t>
      </w:r>
      <w:r w:rsidRPr="002661A8">
        <w:tab/>
        <w:t>Ancillary services are available after Target 2 closes.</w:t>
      </w:r>
    </w:p>
  </w:footnote>
  <w:footnote w:id="212">
    <w:p w14:paraId="50822372" w14:textId="77777777" w:rsidR="00134BBD" w:rsidRPr="002661A8" w:rsidRDefault="00134BBD" w:rsidP="00BC7533">
      <w:pPr>
        <w:pStyle w:val="FootnoteText"/>
        <w:spacing w:after="0"/>
        <w:ind w:left="0" w:hanging="284"/>
      </w:pPr>
      <w:r w:rsidRPr="002661A8">
        <w:rPr>
          <w:rStyle w:val="FootnoteReference"/>
        </w:rPr>
        <w:footnoteRef/>
      </w:r>
      <w:r w:rsidRPr="002661A8">
        <w:t xml:space="preserve"> </w:t>
      </w:r>
      <w:r w:rsidRPr="002661A8">
        <w:tab/>
        <w:t xml:space="preserve">Derivatives and Market Infrastructures Member States Working Group on 30 March 2022. </w:t>
      </w:r>
    </w:p>
  </w:footnote>
  <w:footnote w:id="213">
    <w:p w14:paraId="7988858E" w14:textId="0EE6CD12" w:rsidR="00134BBD" w:rsidRPr="003544AF" w:rsidRDefault="00134BBD" w:rsidP="003544AF">
      <w:pPr>
        <w:pStyle w:val="FootnoteText"/>
        <w:spacing w:after="0"/>
        <w:ind w:left="0" w:hanging="284"/>
        <w:rPr>
          <w:lang w:val="en-IE"/>
        </w:rPr>
      </w:pPr>
      <w:r>
        <w:rPr>
          <w:rStyle w:val="FootnoteReference"/>
        </w:rPr>
        <w:footnoteRef/>
      </w:r>
      <w:r>
        <w:t xml:space="preserve"> </w:t>
      </w:r>
      <w:r>
        <w:tab/>
      </w:r>
      <w:hyperlink r:id="rId24" w:history="1">
        <w:r w:rsidRPr="00660738">
          <w:rPr>
            <w:rStyle w:val="Hyperlink"/>
          </w:rPr>
          <w:t>https://www.bis.org/cpmi/info_pfmi.htm</w:t>
        </w:r>
      </w:hyperlink>
      <w:r>
        <w:t xml:space="preserve"> </w:t>
      </w:r>
    </w:p>
  </w:footnote>
  <w:footnote w:id="214">
    <w:p w14:paraId="082B417C" w14:textId="346039AF" w:rsidR="00134BBD" w:rsidRPr="00360E6B" w:rsidRDefault="00134BBD" w:rsidP="003544AF">
      <w:pPr>
        <w:pStyle w:val="FootnoteText"/>
        <w:spacing w:after="0"/>
        <w:ind w:left="0" w:hanging="284"/>
      </w:pPr>
      <w:r>
        <w:rPr>
          <w:rStyle w:val="FootnoteReference"/>
        </w:rPr>
        <w:footnoteRef/>
      </w:r>
      <w:r>
        <w:t xml:space="preserve"> </w:t>
      </w:r>
      <w:r>
        <w:tab/>
        <w:t>E.g. in some instances EMIR</w:t>
      </w:r>
      <w:r w:rsidDel="00660738">
        <w:t xml:space="preserve"> </w:t>
      </w:r>
      <w:r>
        <w:t>has more prescriptive requirements than those set out in the PFMIs, in particular in relation to financial risks. For example, EMIR requires all CCPs to maintain, ex ante, resources to cover the credit risk generated by the default of at least the two clearing members to which it has the largest exposures (the PFMIs require CCPs that either have a more complex risk profile or are systemically important in multiple jurisdictions to maintain this level of resources). Similarly EMIR requires all CCPs to maintain, ex ante, resources to cover the liquidity shortfalls generated by the default of at least the two clearing members to which it has the largest exposures (PFMIs require CCPs that either have a more complex risk profile or are systemically important in multiple jurisdictions to consider maintain this level of resources).</w:t>
      </w:r>
    </w:p>
  </w:footnote>
  <w:footnote w:id="215">
    <w:p w14:paraId="30C8C5D3" w14:textId="595D38FE" w:rsidR="00134BBD" w:rsidRDefault="00134BBD" w:rsidP="003A3AFA">
      <w:pPr>
        <w:pStyle w:val="FootnoteText"/>
        <w:spacing w:after="0"/>
        <w:ind w:left="0" w:hanging="284"/>
      </w:pPr>
      <w:r>
        <w:rPr>
          <w:rStyle w:val="FootnoteReference"/>
        </w:rPr>
        <w:footnoteRef/>
      </w:r>
      <w:r>
        <w:t xml:space="preserve"> </w:t>
      </w:r>
      <w:r>
        <w:tab/>
        <w:t>See</w:t>
      </w:r>
      <w:r w:rsidRPr="00C97CB6">
        <w:t xml:space="preserve"> CEPS, 2021, ”Setting EU CCP policy </w:t>
      </w:r>
      <w:r>
        <w:t>– much more than meets the eye”.</w:t>
      </w:r>
    </w:p>
    <w:p w14:paraId="2EFE6B69" w14:textId="611730B3" w:rsidR="00134BBD" w:rsidRPr="00BC008A" w:rsidRDefault="00134BBD">
      <w:pPr>
        <w:pStyle w:val="FootnoteText"/>
      </w:pPr>
    </w:p>
  </w:footnote>
  <w:footnote w:id="216">
    <w:p w14:paraId="0C7EB734" w14:textId="77777777" w:rsidR="00134BBD" w:rsidRPr="002661A8" w:rsidRDefault="00134BBD" w:rsidP="00F831E7">
      <w:pPr>
        <w:pStyle w:val="FootnoteText"/>
        <w:spacing w:after="0"/>
        <w:ind w:left="0" w:hanging="284"/>
      </w:pPr>
      <w:r w:rsidRPr="002661A8">
        <w:rPr>
          <w:rStyle w:val="FootnoteReference"/>
        </w:rPr>
        <w:footnoteRef/>
      </w:r>
      <w:r w:rsidRPr="002661A8">
        <w:t xml:space="preserve"> </w:t>
      </w:r>
      <w:r w:rsidRPr="002661A8">
        <w:tab/>
        <w:t>E.g. an airline company will want to “lock” the price of fuel over a period of time or an insurance company will want to make sure it is protected from the risk of rising interest rates that would lower the present value of the securities it has invested in.</w:t>
      </w:r>
    </w:p>
  </w:footnote>
  <w:footnote w:id="217">
    <w:p w14:paraId="7446F89D" w14:textId="77777777" w:rsidR="00134BBD" w:rsidRPr="002661A8" w:rsidRDefault="00134BBD" w:rsidP="00F831E7">
      <w:pPr>
        <w:pStyle w:val="FootnoteText"/>
        <w:spacing w:after="0"/>
        <w:ind w:left="0" w:hanging="284"/>
      </w:pPr>
      <w:r w:rsidRPr="002661A8">
        <w:rPr>
          <w:rStyle w:val="FootnoteReference"/>
        </w:rPr>
        <w:footnoteRef/>
      </w:r>
      <w:r w:rsidRPr="002661A8">
        <w:t xml:space="preserve"> </w:t>
      </w:r>
      <w:r w:rsidRPr="002661A8">
        <w:tab/>
        <w:t>This is particularly true as the outstanding notional of derivatives is not limited to the outstanding notional of the underlying they refer to. E.g. more call options on a stock can be written than there are stocks in circulation, if all those options are exercised at the same time the price of the stock will naturally go up.</w:t>
      </w:r>
    </w:p>
  </w:footnote>
  <w:footnote w:id="218">
    <w:p w14:paraId="61BC9E1D" w14:textId="77777777" w:rsidR="00134BBD" w:rsidRPr="002661A8" w:rsidRDefault="00134BBD" w:rsidP="00F831E7">
      <w:pPr>
        <w:pStyle w:val="FootnoteText"/>
        <w:spacing w:after="0"/>
        <w:ind w:left="0" w:hanging="284"/>
      </w:pPr>
      <w:r w:rsidRPr="002661A8">
        <w:rPr>
          <w:rStyle w:val="FootnoteReference"/>
        </w:rPr>
        <w:footnoteRef/>
      </w:r>
      <w:r w:rsidRPr="002661A8">
        <w:t xml:space="preserve"> </w:t>
      </w:r>
      <w:r w:rsidRPr="002661A8">
        <w:tab/>
        <w:t>The key advantage</w:t>
      </w:r>
      <w:r w:rsidRPr="002661A8" w:rsidDel="006311BB">
        <w:t>s</w:t>
      </w:r>
      <w:r w:rsidRPr="002661A8">
        <w:t xml:space="preserve"> of ETDs over OTC Derivatives are their standardisation, liquidity and</w:t>
      </w:r>
      <w:r w:rsidRPr="002661A8" w:rsidDel="006311BB">
        <w:t xml:space="preserve"> </w:t>
      </w:r>
      <w:r w:rsidRPr="002661A8">
        <w:t>the fact that there is no default risk attached to them as the obligations are guaranteed by the exchange.</w:t>
      </w:r>
    </w:p>
  </w:footnote>
  <w:footnote w:id="219">
    <w:p w14:paraId="1C0A9AC6" w14:textId="12A4FB5F" w:rsidR="00134BBD" w:rsidRPr="002661A8" w:rsidRDefault="00134BBD" w:rsidP="00F831E7">
      <w:pPr>
        <w:pStyle w:val="FootnoteText"/>
        <w:spacing w:after="0"/>
        <w:ind w:left="0" w:hanging="284"/>
      </w:pPr>
      <w:r w:rsidRPr="002661A8">
        <w:rPr>
          <w:rStyle w:val="FootnoteReference"/>
        </w:rPr>
        <w:footnoteRef/>
      </w:r>
      <w:r w:rsidRPr="002661A8">
        <w:t xml:space="preserve"> </w:t>
      </w:r>
      <w:r w:rsidRPr="002661A8">
        <w:tab/>
        <w:t xml:space="preserve">BIS, OTC derivatives statistics: </w:t>
      </w:r>
      <w:hyperlink r:id="rId25" w:history="1">
        <w:r w:rsidRPr="002661A8">
          <w:rPr>
            <w:rStyle w:val="Hyperlink"/>
          </w:rPr>
          <w:t>https://www.bis.org/statistics/derstats.htm</w:t>
        </w:r>
      </w:hyperlink>
      <w:r w:rsidRPr="002661A8">
        <w:t xml:space="preserve"> </w:t>
      </w:r>
    </w:p>
  </w:footnote>
  <w:footnote w:id="220">
    <w:p w14:paraId="5DE06868" w14:textId="77777777" w:rsidR="00134BBD" w:rsidRPr="002661A8" w:rsidRDefault="00134BBD" w:rsidP="00F831E7">
      <w:pPr>
        <w:pStyle w:val="FootnoteText"/>
        <w:spacing w:after="0"/>
        <w:ind w:left="0" w:hanging="284"/>
      </w:pPr>
      <w:r w:rsidRPr="002661A8">
        <w:rPr>
          <w:rStyle w:val="FootnoteReference"/>
        </w:rPr>
        <w:footnoteRef/>
      </w:r>
      <w:r w:rsidRPr="002661A8">
        <w:t xml:space="preserve"> </w:t>
      </w:r>
      <w:r w:rsidRPr="002661A8">
        <w:tab/>
        <w:t>Leverage results from using borrowed capital as a funding source when investing in an asset. Just as they can refer to more stocks than have been issued, through leverage, derivatives can offer an exposure to x times the performance of a given stock, benchmark or index.</w:t>
      </w:r>
    </w:p>
  </w:footnote>
  <w:footnote w:id="221">
    <w:p w14:paraId="05124CC1" w14:textId="51DA7A61" w:rsidR="00134BBD" w:rsidRPr="002661A8" w:rsidRDefault="00134BBD" w:rsidP="00F831E7">
      <w:pPr>
        <w:pStyle w:val="FootnoteText"/>
        <w:spacing w:after="0"/>
        <w:ind w:left="0" w:hanging="284"/>
        <w:rPr>
          <w:lang w:val="en-IE"/>
        </w:rPr>
      </w:pPr>
      <w:r w:rsidRPr="002661A8">
        <w:rPr>
          <w:rStyle w:val="FootnoteReference"/>
        </w:rPr>
        <w:footnoteRef/>
      </w:r>
      <w:r w:rsidRPr="002661A8">
        <w:t xml:space="preserve"> </w:t>
      </w:r>
      <w:r w:rsidRPr="002661A8">
        <w:rPr>
          <w:lang w:val="en-IE"/>
        </w:rPr>
        <w:tab/>
        <w:t>See EMIR, Article 2(2).</w:t>
      </w:r>
    </w:p>
  </w:footnote>
  <w:footnote w:id="222">
    <w:p w14:paraId="2A173BF7" w14:textId="77777777" w:rsidR="00134BBD" w:rsidRPr="002661A8" w:rsidRDefault="00134BBD" w:rsidP="00F831E7">
      <w:pPr>
        <w:pStyle w:val="FootnoteText"/>
        <w:spacing w:after="0"/>
        <w:ind w:left="0" w:hanging="284"/>
      </w:pPr>
      <w:r w:rsidRPr="002661A8">
        <w:rPr>
          <w:rStyle w:val="FootnoteReference"/>
        </w:rPr>
        <w:footnoteRef/>
      </w:r>
      <w:r w:rsidRPr="002661A8">
        <w:tab/>
        <w:t>Systemic risk refers to the risk that the inability of one participant to meet its obligations in a system will cause other participants to be unable to meet their obligations when they become due, potentially with spill over effects (e.g. significant liquidity or credit problems) threatening the stability of or confidence in the financial system. That inability to meet obligations can be caused by operational or financial problems.</w:t>
      </w:r>
    </w:p>
  </w:footnote>
  <w:footnote w:id="223">
    <w:p w14:paraId="586440E1" w14:textId="77777777" w:rsidR="00134BBD" w:rsidRPr="002661A8" w:rsidRDefault="00134BBD" w:rsidP="00F831E7">
      <w:pPr>
        <w:pStyle w:val="FootnoteText"/>
        <w:spacing w:after="0"/>
        <w:ind w:left="0" w:hanging="284"/>
      </w:pPr>
      <w:r w:rsidRPr="002661A8">
        <w:rPr>
          <w:rStyle w:val="FootnoteReference"/>
        </w:rPr>
        <w:footnoteRef/>
      </w:r>
      <w:r w:rsidRPr="002661A8">
        <w:tab/>
        <w:t>The risk that a counterparty will not settle an obligation for full value, when due or at any time thereafter. Credit risk includes pre-settlement risk (replacement cost risk) and settlement risk (principal risk).</w:t>
      </w:r>
    </w:p>
  </w:footnote>
  <w:footnote w:id="224">
    <w:p w14:paraId="1919E2E3" w14:textId="77777777" w:rsidR="00134BBD" w:rsidRPr="002661A8" w:rsidRDefault="00134BBD" w:rsidP="00F831E7">
      <w:pPr>
        <w:pStyle w:val="FootnoteText"/>
        <w:spacing w:after="0"/>
        <w:ind w:left="0" w:hanging="284"/>
      </w:pPr>
      <w:r w:rsidRPr="002661A8">
        <w:rPr>
          <w:rStyle w:val="None"/>
          <w:vertAlign w:val="superscript"/>
        </w:rPr>
        <w:footnoteRef/>
      </w:r>
      <w:r w:rsidRPr="002661A8">
        <w:tab/>
        <w:t xml:space="preserve">"Central clearing: trends and current issues", December 2015, available at </w:t>
      </w:r>
      <w:hyperlink r:id="rId26" w:history="1">
        <w:r w:rsidRPr="002661A8">
          <w:rPr>
            <w:rStyle w:val="Hyperlink2"/>
          </w:rPr>
          <w:t>http://www.bis.org/publ/qtrpdf/r_qt1512g.htm</w:t>
        </w:r>
      </w:hyperlink>
      <w:r w:rsidRPr="002661A8">
        <w:t xml:space="preserve"> </w:t>
      </w:r>
    </w:p>
  </w:footnote>
  <w:footnote w:id="225">
    <w:p w14:paraId="1121EE91" w14:textId="77777777" w:rsidR="00134BBD" w:rsidRPr="002661A8" w:rsidRDefault="00134BBD" w:rsidP="00D6052F">
      <w:pPr>
        <w:pStyle w:val="FootnoteText"/>
        <w:spacing w:after="0"/>
        <w:ind w:left="0" w:hanging="284"/>
        <w:rPr>
          <w:rStyle w:val="None"/>
          <w:rFonts w:asciiTheme="minorHAnsi" w:eastAsiaTheme="minorEastAsia" w:hAnsiTheme="minorHAnsi" w:cstheme="minorBidi"/>
          <w:vertAlign w:val="superscript"/>
        </w:rPr>
      </w:pPr>
      <w:r w:rsidRPr="002661A8">
        <w:rPr>
          <w:rStyle w:val="None"/>
          <w:vertAlign w:val="superscript"/>
        </w:rPr>
        <w:footnoteRef/>
      </w:r>
      <w:r w:rsidRPr="002661A8">
        <w:rPr>
          <w:rStyle w:val="None"/>
        </w:rPr>
        <w:tab/>
        <w:t>EMIR</w:t>
      </w:r>
      <w:r w:rsidRPr="002661A8" w:rsidDel="006311BB">
        <w:rPr>
          <w:rStyle w:val="None"/>
        </w:rPr>
        <w:t xml:space="preserve"> </w:t>
      </w:r>
      <w:r w:rsidRPr="002661A8">
        <w:rPr>
          <w:rStyle w:val="None"/>
        </w:rPr>
        <w:t>imposes non-discriminatory, transparent, objective criteria to ensure fair and open access.</w:t>
      </w:r>
    </w:p>
  </w:footnote>
  <w:footnote w:id="226">
    <w:p w14:paraId="5DC9EAD2" w14:textId="77777777" w:rsidR="00134BBD" w:rsidRPr="002661A8" w:rsidRDefault="00134BBD" w:rsidP="00F831E7">
      <w:pPr>
        <w:pStyle w:val="FootnoteText"/>
        <w:spacing w:after="0"/>
        <w:ind w:left="0" w:hanging="284"/>
      </w:pPr>
      <w:r w:rsidRPr="002661A8">
        <w:rPr>
          <w:rStyle w:val="FootnoteReference"/>
        </w:rPr>
        <w:footnoteRef/>
      </w:r>
      <w:r w:rsidRPr="002661A8">
        <w:t xml:space="preserve"> </w:t>
      </w:r>
      <w:r w:rsidRPr="002661A8">
        <w:tab/>
        <w:t>Regulation (EU) No 575/2013 of the European Parliament and of the Council of 26 June 2013 on prudential requirements for credit institutions and amending Regulation (EU) No 648/2012, OJ L 176, 27.6.2013.</w:t>
      </w:r>
    </w:p>
  </w:footnote>
  <w:footnote w:id="227">
    <w:p w14:paraId="26425255" w14:textId="77777777" w:rsidR="00134BBD" w:rsidRPr="002661A8" w:rsidRDefault="00134BBD" w:rsidP="00D6052F">
      <w:pPr>
        <w:pStyle w:val="FootnoteText"/>
        <w:spacing w:after="0"/>
        <w:ind w:left="0" w:hanging="284"/>
        <w:rPr>
          <w:rStyle w:val="Hyperlink2"/>
          <w:rFonts w:asciiTheme="minorHAnsi" w:eastAsiaTheme="minorEastAsia" w:hAnsiTheme="minorHAnsi" w:cstheme="minorBidi"/>
        </w:rPr>
      </w:pPr>
      <w:r w:rsidRPr="002661A8">
        <w:rPr>
          <w:rStyle w:val="FootnoteReference"/>
        </w:rPr>
        <w:footnoteRef/>
      </w:r>
      <w:r w:rsidRPr="002661A8">
        <w:t xml:space="preserve"> </w:t>
      </w:r>
      <w:r w:rsidRPr="002661A8">
        <w:tab/>
        <w:t>See, e.g.</w:t>
      </w:r>
      <w:r w:rsidRPr="002661A8" w:rsidDel="00202FC5">
        <w:t xml:space="preserve"> </w:t>
      </w:r>
      <w:r w:rsidRPr="002661A8">
        <w:t xml:space="preserve">the list of active clearing members at Eurex Clearing AG: </w:t>
      </w:r>
      <w:hyperlink r:id="rId27" w:history="1">
        <w:r w:rsidRPr="002661A8">
          <w:rPr>
            <w:rStyle w:val="Hyperlink2"/>
          </w:rPr>
          <w:t>https://www.eurex.com/ec-en/join/clearing-contacts</w:t>
        </w:r>
      </w:hyperlink>
      <w:r w:rsidRPr="002661A8">
        <w:rPr>
          <w:rStyle w:val="Hyperlink2"/>
        </w:rPr>
        <w:t xml:space="preserve"> </w:t>
      </w:r>
    </w:p>
  </w:footnote>
  <w:footnote w:id="228">
    <w:p w14:paraId="595D4AC3" w14:textId="7407674F" w:rsidR="00134BBD" w:rsidRPr="002661A8" w:rsidRDefault="00134BBD" w:rsidP="00F831E7">
      <w:pPr>
        <w:pStyle w:val="FootnoteText"/>
        <w:spacing w:after="0"/>
        <w:ind w:left="0" w:hanging="284"/>
      </w:pPr>
      <w:r w:rsidRPr="002661A8">
        <w:rPr>
          <w:rStyle w:val="FootnoteReference"/>
        </w:rPr>
        <w:footnoteRef/>
      </w:r>
      <w:r w:rsidRPr="002661A8">
        <w:t xml:space="preserve"> </w:t>
      </w:r>
      <w:r w:rsidRPr="002661A8">
        <w:tab/>
        <w:t>Securities financing transactions (SFTs) allow the use of assets, e.g. shares or bonds, to secure funding for their activities. A securities financing transaction can be: a repurchase transaction - selling a security and agreeing to repurchase it in the future for the original sum of money plus a return for the use of that money; lending a security for a fee in return for a guarantee in the form of financial instruments or cash given by the borrower; a buy-sell back transaction or sell-buy back transaction; a margin lending transaction.</w:t>
      </w:r>
    </w:p>
  </w:footnote>
  <w:footnote w:id="229">
    <w:p w14:paraId="6B0A0A68" w14:textId="4CCCD989" w:rsidR="00134BBD" w:rsidRPr="002661A8" w:rsidRDefault="00134BBD" w:rsidP="00F831E7">
      <w:pPr>
        <w:pStyle w:val="FootnoteText"/>
        <w:spacing w:after="0"/>
        <w:ind w:left="0" w:hanging="284"/>
      </w:pPr>
      <w:r w:rsidRPr="002661A8">
        <w:rPr>
          <w:rStyle w:val="FootnoteReference"/>
        </w:rPr>
        <w:footnoteRef/>
      </w:r>
      <w:r w:rsidRPr="002661A8">
        <w:t xml:space="preserve"> </w:t>
      </w:r>
      <w:r w:rsidRPr="002661A8">
        <w:tab/>
        <w:t xml:space="preserve">“List of Central Counterparties authorised to offer services and activities in the Union”, ESMA, November 2021: </w:t>
      </w:r>
      <w:hyperlink r:id="rId28" w:history="1">
        <w:r w:rsidRPr="002661A8">
          <w:rPr>
            <w:rStyle w:val="Hyperlink"/>
          </w:rPr>
          <w:t>https://www.esma.europa.eu/sites/default/files/library/ccps_authorised_under_emir.pdf</w:t>
        </w:r>
      </w:hyperlink>
      <w:r w:rsidRPr="002661A8">
        <w:t xml:space="preserve"> </w:t>
      </w:r>
    </w:p>
  </w:footnote>
  <w:footnote w:id="230">
    <w:p w14:paraId="7B3E2360" w14:textId="42E9CF61" w:rsidR="00134BBD" w:rsidRPr="002661A8" w:rsidRDefault="00134BBD" w:rsidP="00F831E7">
      <w:pPr>
        <w:pStyle w:val="FootnoteText"/>
        <w:spacing w:after="0"/>
        <w:ind w:left="0" w:hanging="284"/>
      </w:pPr>
      <w:r w:rsidRPr="002661A8">
        <w:rPr>
          <w:rStyle w:val="FootnoteReference"/>
        </w:rPr>
        <w:footnoteRef/>
      </w:r>
      <w:r w:rsidRPr="002661A8">
        <w:t xml:space="preserve"> </w:t>
      </w:r>
      <w:r w:rsidRPr="002661A8">
        <w:tab/>
        <w:t xml:space="preserve">“List of third-country central counterparties recognised to offer services and activities in the Union”, ESMA, August 2021: </w:t>
      </w:r>
      <w:hyperlink r:id="rId29" w:history="1">
        <w:r w:rsidRPr="002661A8">
          <w:rPr>
            <w:rStyle w:val="Hyperlink"/>
          </w:rPr>
          <w:t>https://www.esma.europa.eu/sites/default/files/library/third-country_ccps_recognised_under_emir.pdf</w:t>
        </w:r>
      </w:hyperlink>
      <w:r w:rsidRPr="002661A8">
        <w:t xml:space="preserve"> </w:t>
      </w:r>
    </w:p>
  </w:footnote>
  <w:footnote w:id="231">
    <w:p w14:paraId="19E013C9" w14:textId="72C386F5" w:rsidR="00134BBD" w:rsidRPr="002661A8" w:rsidRDefault="00134BBD" w:rsidP="00F831E7">
      <w:pPr>
        <w:pStyle w:val="FootnoteText"/>
        <w:spacing w:after="0"/>
        <w:ind w:left="0" w:hanging="284"/>
      </w:pPr>
      <w:r w:rsidRPr="002661A8">
        <w:rPr>
          <w:rStyle w:val="FootnoteReference"/>
        </w:rPr>
        <w:footnoteRef/>
      </w:r>
      <w:r w:rsidRPr="002661A8">
        <w:t xml:space="preserve"> </w:t>
      </w:r>
      <w:r w:rsidRPr="002661A8">
        <w:tab/>
        <w:t xml:space="preserve">Statistical release: OTC derivatives statistics at end June 2021, November 2021, </w:t>
      </w:r>
      <w:hyperlink r:id="rId30" w:history="1">
        <w:r w:rsidRPr="002661A8">
          <w:rPr>
            <w:rStyle w:val="Hyperlink"/>
          </w:rPr>
          <w:t>https://www.bis.org/publ/otc_hy2111.pdf</w:t>
        </w:r>
      </w:hyperlink>
      <w:r w:rsidRPr="002661A8">
        <w:t xml:space="preserve">  </w:t>
      </w:r>
    </w:p>
  </w:footnote>
  <w:footnote w:id="232">
    <w:p w14:paraId="4463CDE0" w14:textId="77777777" w:rsidR="00134BBD" w:rsidRPr="002661A8" w:rsidRDefault="00134BBD" w:rsidP="00F831E7">
      <w:pPr>
        <w:pStyle w:val="FootnoteText"/>
        <w:spacing w:after="0"/>
        <w:ind w:left="0" w:hanging="284"/>
      </w:pPr>
      <w:r w:rsidRPr="002661A8">
        <w:rPr>
          <w:rStyle w:val="FootnoteReference"/>
        </w:rPr>
        <w:footnoteRef/>
      </w:r>
      <w:r w:rsidRPr="002661A8">
        <w:tab/>
        <w:t>There is little benefit to centrally clear FX derivatives as the main risk they pose is settlement risk, a risk better mitigated through payment and settlement systems. Equity derivatives represent a very small portion of the derivatives market and have the characteristic of not being highly standardised as interest rates and credit derivatives can be.</w:t>
      </w:r>
    </w:p>
  </w:footnote>
  <w:footnote w:id="233">
    <w:p w14:paraId="43DDEBA2" w14:textId="532AAAF0" w:rsidR="00134BBD" w:rsidRPr="002661A8" w:rsidRDefault="00134BBD" w:rsidP="00F831E7">
      <w:pPr>
        <w:pStyle w:val="FootnoteText"/>
        <w:spacing w:after="0"/>
        <w:ind w:left="0" w:hanging="284"/>
      </w:pPr>
      <w:r w:rsidRPr="002661A8">
        <w:rPr>
          <w:rStyle w:val="None"/>
          <w:vertAlign w:val="superscript"/>
        </w:rPr>
        <w:footnoteRef/>
      </w:r>
      <w:r w:rsidRPr="002661A8">
        <w:t xml:space="preserve"> </w:t>
      </w:r>
      <w:r w:rsidRPr="002661A8">
        <w:tab/>
        <w:t xml:space="preserve">Statistical release: OTC derivatives statistics at end June 2021, November 2021, </w:t>
      </w:r>
      <w:hyperlink r:id="rId31" w:history="1">
        <w:r w:rsidRPr="002661A8">
          <w:rPr>
            <w:rStyle w:val="Hyperlink"/>
          </w:rPr>
          <w:t>https://www.bis.org/publ/otc_hy2111.pdf</w:t>
        </w:r>
      </w:hyperlink>
      <w:r w:rsidRPr="002661A8">
        <w:t xml:space="preserve">  </w:t>
      </w:r>
    </w:p>
  </w:footnote>
  <w:footnote w:id="234">
    <w:p w14:paraId="33A576DA" w14:textId="3CB9D1B9" w:rsidR="00134BBD" w:rsidRPr="002661A8" w:rsidRDefault="00134BBD" w:rsidP="00F831E7">
      <w:pPr>
        <w:pStyle w:val="FootnoteText"/>
        <w:spacing w:after="0"/>
        <w:ind w:left="0" w:hanging="284"/>
      </w:pPr>
      <w:r w:rsidRPr="002661A8">
        <w:rPr>
          <w:rStyle w:val="FootnoteReference"/>
        </w:rPr>
        <w:footnoteRef/>
      </w:r>
      <w:r w:rsidRPr="002661A8">
        <w:rPr>
          <w:rStyle w:val="FootnoteReference"/>
          <w:vertAlign w:val="baseline"/>
        </w:rPr>
        <w:tab/>
        <w:t>A</w:t>
      </w:r>
      <w:r w:rsidRPr="002661A8">
        <w:t>s of end 2020. See EU Derivatives Markets, ESMA Annual Statistical Report, 2021.</w:t>
      </w:r>
    </w:p>
    <w:p w14:paraId="6DCD4A3B" w14:textId="77777777" w:rsidR="00134BBD" w:rsidRPr="002661A8" w:rsidRDefault="00134BBD" w:rsidP="00F831E7">
      <w:pPr>
        <w:pStyle w:val="FootnoteText"/>
        <w:spacing w:after="0"/>
        <w:ind w:left="0" w:hanging="284"/>
        <w:rPr>
          <w:rStyle w:val="FootnoteReference"/>
          <w:vertAlign w:val="baseline"/>
        </w:rPr>
      </w:pPr>
      <w:r w:rsidRPr="002661A8">
        <w:tab/>
      </w:r>
      <w:hyperlink r:id="rId32" w:history="1">
        <w:r w:rsidRPr="002661A8">
          <w:rPr>
            <w:rStyle w:val="Hyperlink"/>
          </w:rPr>
          <w:t>https://www.esma.europa.eu/sites/default/files/library/esma50-165-2001_emir_asr_derivatives_2021.pdf</w:t>
        </w:r>
      </w:hyperlink>
      <w:r w:rsidRPr="002661A8">
        <w:t xml:space="preserve"> </w:t>
      </w:r>
    </w:p>
  </w:footnote>
  <w:footnote w:id="235">
    <w:p w14:paraId="77A5ACBF" w14:textId="05E5BF7D" w:rsidR="00134BBD" w:rsidRPr="002661A8" w:rsidRDefault="00134BBD" w:rsidP="00F831E7">
      <w:pPr>
        <w:pStyle w:val="FootnoteText"/>
        <w:spacing w:after="0"/>
        <w:ind w:left="0" w:hanging="284"/>
      </w:pPr>
      <w:r w:rsidRPr="002661A8">
        <w:rPr>
          <w:rStyle w:val="FootnoteReference"/>
        </w:rPr>
        <w:footnoteRef/>
      </w:r>
      <w:r w:rsidRPr="002661A8">
        <w:t xml:space="preserve"> </w:t>
      </w:r>
      <w:r w:rsidRPr="002661A8">
        <w:tab/>
      </w:r>
      <w:r w:rsidRPr="002661A8">
        <w:rPr>
          <w:rFonts w:eastAsia="Arial Unicode MS" w:cs="Arial Unicode MS"/>
        </w:rPr>
        <w:t>As a continued part of the single market during the transition period, the UK remained central to EU derivative markets in 2020, about half of contracts by notional amount have a UK counterparty, and a quarter in contracts are held between two EEA30 counterparties.</w:t>
      </w:r>
    </w:p>
  </w:footnote>
  <w:footnote w:id="236">
    <w:p w14:paraId="29E10A35" w14:textId="77777777" w:rsidR="00134BBD" w:rsidRPr="002661A8" w:rsidRDefault="00134BBD" w:rsidP="00F831E7">
      <w:pPr>
        <w:pStyle w:val="FootnoteText"/>
        <w:spacing w:after="0"/>
        <w:ind w:left="0" w:hanging="284"/>
      </w:pPr>
      <w:r w:rsidRPr="002661A8">
        <w:rPr>
          <w:rStyle w:val="FootnoteReference"/>
        </w:rPr>
        <w:footnoteRef/>
      </w:r>
      <w:r w:rsidRPr="002661A8">
        <w:t xml:space="preserve"> </w:t>
      </w:r>
      <w:r w:rsidRPr="002661A8">
        <w:tab/>
        <w:t>The central clearing determinations covering OTC interest rate swaps (IRS) related to the Euro, the USD, the Yen, the British Pound, the Norwegian Krone, Polish Zloty, and Swedish Krona as well as Credit Default Swaps (CDS) apply to all counterparties above the clearing thresholds. See Commission Delegated Regulation (EU) 2015/2205, Commission Delegated Regulation (EU) 2016/1178 and Commission Delegated Regulation (EU) 2016/592.</w:t>
      </w:r>
    </w:p>
  </w:footnote>
  <w:footnote w:id="237">
    <w:p w14:paraId="39515F9B" w14:textId="77777777" w:rsidR="00134BBD" w:rsidRPr="002661A8" w:rsidRDefault="00134BBD" w:rsidP="00F831E7">
      <w:pPr>
        <w:pStyle w:val="FootnoteText"/>
        <w:spacing w:after="0"/>
        <w:ind w:left="0" w:hanging="284"/>
      </w:pPr>
      <w:r w:rsidRPr="002661A8">
        <w:rPr>
          <w:rStyle w:val="FootnoteReference"/>
        </w:rPr>
        <w:footnoteRef/>
      </w:r>
      <w:r w:rsidRPr="002661A8">
        <w:rPr>
          <w:rStyle w:val="FootnoteReference"/>
        </w:rPr>
        <w:t xml:space="preserve"> </w:t>
      </w:r>
      <w:r w:rsidRPr="002661A8">
        <w:rPr>
          <w:rStyle w:val="FootnoteReference"/>
        </w:rPr>
        <w:tab/>
      </w:r>
      <w:r w:rsidRPr="002661A8">
        <w:rPr>
          <w:rStyle w:val="FootnoteReference"/>
          <w:vertAlign w:val="baseline"/>
        </w:rPr>
        <w:t>The detailed compliance deadlines for the central clearing determination applying to various asset classes and to different types of counterparties are available here:</w:t>
      </w:r>
    </w:p>
    <w:p w14:paraId="01CD9AAC" w14:textId="77777777" w:rsidR="00134BBD" w:rsidRPr="002661A8" w:rsidRDefault="00F705E6" w:rsidP="00D84AAE">
      <w:pPr>
        <w:pStyle w:val="FootnoteText"/>
        <w:spacing w:after="0"/>
        <w:ind w:left="0" w:firstLine="0"/>
      </w:pPr>
      <w:hyperlink r:id="rId33" w:history="1">
        <w:r w:rsidR="00134BBD" w:rsidRPr="002661A8">
          <w:rPr>
            <w:rStyle w:val="Hyperlink2"/>
          </w:rPr>
          <w:t>https://www.esma.europa.eu/sites/default/files/library/public_register_for_the_clearing_obligation_under_emir.pdf</w:t>
        </w:r>
      </w:hyperlink>
      <w:r w:rsidR="00134BBD" w:rsidRPr="002661A8">
        <w:t xml:space="preserve"> </w:t>
      </w:r>
    </w:p>
  </w:footnote>
  <w:footnote w:id="238">
    <w:p w14:paraId="47B37866" w14:textId="77777777" w:rsidR="00134BBD" w:rsidRPr="002661A8" w:rsidRDefault="00134BBD" w:rsidP="00F831E7">
      <w:pPr>
        <w:pStyle w:val="FootnoteText"/>
        <w:spacing w:after="0"/>
        <w:ind w:left="0" w:hanging="284"/>
        <w:rPr>
          <w:rFonts w:eastAsia="Arial Unicode MS" w:cs="Arial Unicode MS"/>
        </w:rPr>
      </w:pPr>
      <w:r w:rsidRPr="002661A8">
        <w:rPr>
          <w:rStyle w:val="FootnoteReference"/>
        </w:rPr>
        <w:footnoteRef/>
      </w:r>
      <w:r w:rsidRPr="002661A8">
        <w:rPr>
          <w:rStyle w:val="FootnoteReference"/>
        </w:rPr>
        <w:t xml:space="preserve"> </w:t>
      </w:r>
      <w:r w:rsidRPr="002661A8">
        <w:rPr>
          <w:rStyle w:val="FootnoteReference"/>
        </w:rPr>
        <w:tab/>
      </w:r>
      <w:r w:rsidRPr="002661A8">
        <w:rPr>
          <w:rFonts w:eastAsia="Arial Unicode MS" w:cs="Arial Unicode MS"/>
        </w:rPr>
        <w:t>Commission Delegated Regulation (EU) 2016/2251 of 4 October 2016 supplementing Regulation (EU) No 648/2012 of the European Parliament and of the Council on OTC derivatives, central counterparties and trade repositories with regard to regulatory technical standards for risk-mitigation techniques for OTC derivative contracts not cleared by a central counterparty, OJ L 340, 15.12.2016, p. 9–46.</w:t>
      </w:r>
    </w:p>
  </w:footnote>
  <w:footnote w:id="239">
    <w:p w14:paraId="4B1EB893" w14:textId="77777777" w:rsidR="00134BBD" w:rsidRPr="002661A8" w:rsidRDefault="00134BBD" w:rsidP="00F831E7">
      <w:pPr>
        <w:pStyle w:val="FootnoteText"/>
        <w:spacing w:after="0"/>
        <w:ind w:left="0" w:hanging="284"/>
      </w:pPr>
      <w:r w:rsidRPr="002661A8">
        <w:rPr>
          <w:rStyle w:val="FootnoteReference"/>
        </w:rPr>
        <w:footnoteRef/>
      </w:r>
      <w:r w:rsidRPr="002661A8">
        <w:t xml:space="preserve"> </w:t>
      </w:r>
      <w:r w:rsidRPr="002661A8">
        <w:tab/>
        <w:t xml:space="preserve">These requirements follow international standards developed by the BCBS and IOSCO. For further information, see </w:t>
      </w:r>
      <w:hyperlink r:id="rId34" w:history="1">
        <w:r w:rsidRPr="002661A8">
          <w:rPr>
            <w:rStyle w:val="Hyperlink2"/>
          </w:rPr>
          <w:t>http://www.bis.org/bcbs/publ/d317.htm</w:t>
        </w:r>
      </w:hyperlink>
      <w:r w:rsidRPr="002661A8">
        <w:t xml:space="preserve"> </w:t>
      </w:r>
    </w:p>
  </w:footnote>
  <w:footnote w:id="240">
    <w:p w14:paraId="749BAFDF" w14:textId="77777777" w:rsidR="00134BBD" w:rsidRPr="002661A8" w:rsidRDefault="00134BBD" w:rsidP="00F831E7">
      <w:pPr>
        <w:pStyle w:val="FootnoteText"/>
        <w:spacing w:after="0"/>
        <w:ind w:left="0" w:hanging="284"/>
      </w:pPr>
      <w:r w:rsidRPr="002661A8">
        <w:rPr>
          <w:rStyle w:val="FootnoteReference"/>
        </w:rPr>
        <w:footnoteRef/>
      </w:r>
      <w:r w:rsidRPr="002661A8">
        <w:t xml:space="preserve"> </w:t>
      </w:r>
      <w:r w:rsidRPr="002661A8">
        <w:tab/>
        <w:t>From 1 September 2022, counterparties having, or belonging to a group having an aggregate average notional amount of non-centrally cleared derivatives that is above EUR 8 billion will have to start exchanging initial margin. See Commission Delegated Regulation (EU) 2016/2251.</w:t>
      </w:r>
    </w:p>
  </w:footnote>
  <w:footnote w:id="241">
    <w:p w14:paraId="13B7015D" w14:textId="77777777" w:rsidR="00134BBD" w:rsidRPr="002661A8" w:rsidRDefault="00134BBD" w:rsidP="00F831E7">
      <w:pPr>
        <w:pStyle w:val="FootnoteText"/>
        <w:spacing w:after="0"/>
        <w:ind w:left="0" w:hanging="284"/>
      </w:pPr>
      <w:r w:rsidRPr="002661A8">
        <w:rPr>
          <w:rStyle w:val="FootnoteReference"/>
        </w:rPr>
        <w:footnoteRef/>
      </w:r>
      <w:r w:rsidRPr="002661A8">
        <w:t xml:space="preserve"> </w:t>
      </w:r>
      <w:r w:rsidRPr="002661A8">
        <w:tab/>
        <w:t xml:space="preserve">A list of those CCPs and the classes of financial instruments covered by their authorisations can be found here: </w:t>
      </w:r>
      <w:hyperlink r:id="rId35" w:history="1">
        <w:r w:rsidRPr="002661A8">
          <w:rPr>
            <w:rStyle w:val="Hyperlink2"/>
          </w:rPr>
          <w:t>https://www.esma.europa.eu/sites/default/files/library/ccps_authorised_under_emir.pdf</w:t>
        </w:r>
      </w:hyperlink>
      <w:r w:rsidRPr="002661A8">
        <w:t xml:space="preserve">. </w:t>
      </w:r>
    </w:p>
  </w:footnote>
  <w:footnote w:id="242">
    <w:p w14:paraId="6EBC104B" w14:textId="379E363B" w:rsidR="00134BBD" w:rsidRPr="002661A8" w:rsidRDefault="00134BBD" w:rsidP="00F831E7">
      <w:pPr>
        <w:pStyle w:val="FootnoteText"/>
        <w:spacing w:after="0"/>
        <w:ind w:left="0" w:hanging="284"/>
      </w:pPr>
      <w:r w:rsidRPr="002661A8">
        <w:rPr>
          <w:rStyle w:val="FootnoteReference"/>
        </w:rPr>
        <w:footnoteRef/>
      </w:r>
      <w:r w:rsidRPr="002661A8">
        <w:t xml:space="preserve"> </w:t>
      </w:r>
      <w:r w:rsidRPr="002661A8">
        <w:tab/>
        <w:t xml:space="preserve">ESMA provides </w:t>
      </w:r>
      <w:hyperlink r:id="rId36" w:history="1">
        <w:r w:rsidRPr="002661A8">
          <w:rPr>
            <w:rStyle w:val="Hyperlink2"/>
          </w:rPr>
          <w:t>a list of the third-country CCPs recognised to offer services and activities in the Union</w:t>
        </w:r>
      </w:hyperlink>
      <w:r w:rsidRPr="002661A8">
        <w:t xml:space="preserve">, including the classes of financial instruments covered by the recognition. See </w:t>
      </w:r>
      <w:hyperlink w:anchor="_Annex_5:_Tables" w:history="1">
        <w:r w:rsidRPr="002661A8">
          <w:rPr>
            <w:rStyle w:val="Hyperlink"/>
          </w:rPr>
          <w:t>Annex 5</w:t>
        </w:r>
      </w:hyperlink>
      <w:r w:rsidRPr="002661A8">
        <w:t xml:space="preserve">. </w:t>
      </w:r>
    </w:p>
  </w:footnote>
  <w:footnote w:id="243">
    <w:p w14:paraId="3FCA0056" w14:textId="4B6A4312" w:rsidR="00134BBD" w:rsidRPr="002661A8" w:rsidRDefault="00134BBD" w:rsidP="00F831E7">
      <w:pPr>
        <w:pStyle w:val="FootnoteText"/>
        <w:spacing w:after="0"/>
        <w:ind w:left="0" w:hanging="284"/>
      </w:pPr>
      <w:r w:rsidRPr="002661A8">
        <w:rPr>
          <w:rStyle w:val="FootnoteReference"/>
        </w:rPr>
        <w:footnoteRef/>
      </w:r>
      <w:r w:rsidRPr="002661A8">
        <w:t xml:space="preserve"> </w:t>
      </w:r>
      <w:r w:rsidRPr="002661A8">
        <w:tab/>
        <w:t>See G20 Leaders' St Petersburg Declaration of September 2013 (paragraph 71): “</w:t>
      </w:r>
      <w:r w:rsidRPr="002661A8">
        <w:rPr>
          <w:i/>
        </w:rPr>
        <w:t>We agree that jurisdictions and regulators should be able to defer to each other when it is justified by the quality of their respective regulatory and enforcement regimes, based on similar outcomes, in a non-discriminatory way, paying due respect to home country regulatory regimes</w:t>
      </w:r>
      <w:r w:rsidRPr="002661A8">
        <w:t>.”, as well as the G20 Leaders' Brisbane declaration of November 2014 (paragraph 12): “</w:t>
      </w:r>
      <w:r w:rsidRPr="002661A8">
        <w:rPr>
          <w:i/>
        </w:rPr>
        <w:t>We call on regulatory authorities to make further concrete progress in swiftly implementing the agreed G20 derivatives reforms. We encourage jurisdictions to defer to each other when it is justified, in line with the St Petersburg Declaration</w:t>
      </w:r>
      <w:r w:rsidRPr="002661A8">
        <w:t>".</w:t>
      </w:r>
    </w:p>
  </w:footnote>
  <w:footnote w:id="244">
    <w:p w14:paraId="437BBD15" w14:textId="77777777" w:rsidR="00134BBD" w:rsidRPr="002661A8" w:rsidRDefault="00134BBD" w:rsidP="00F831E7">
      <w:pPr>
        <w:pStyle w:val="FootnoteText"/>
        <w:spacing w:after="0"/>
        <w:ind w:left="0" w:hanging="284"/>
        <w:rPr>
          <w:lang w:val="en-IE"/>
        </w:rPr>
      </w:pPr>
      <w:r w:rsidRPr="002661A8">
        <w:rPr>
          <w:rStyle w:val="FootnoteReference"/>
        </w:rPr>
        <w:footnoteRef/>
      </w:r>
      <w:r w:rsidRPr="002661A8">
        <w:t xml:space="preserve"> </w:t>
      </w:r>
      <w:r w:rsidRPr="002661A8">
        <w:tab/>
        <w:t>Under the CRR, exposures to ‘qualifying’ CCPs (QCCPs) are treated as less risky than exposures to ‘non-qualifying’ CCPs (non-QCCPs) and are subject to lower capital requirements. A</w:t>
      </w:r>
      <w:r w:rsidRPr="002661A8" w:rsidDel="00202FC5">
        <w:t xml:space="preserve"> </w:t>
      </w:r>
      <w:r w:rsidRPr="002661A8">
        <w:t xml:space="preserve">QCCP is defined as a central counterparty that has been authorised or recognised in accordance with EMIR; </w:t>
      </w:r>
      <w:r w:rsidRPr="002661A8">
        <w:rPr>
          <w:lang w:val="en-IE"/>
        </w:rPr>
        <w:t>see point (88) of Article 4(1) of Regulation (EU) No 575/2033.</w:t>
      </w:r>
    </w:p>
  </w:footnote>
  <w:footnote w:id="245">
    <w:p w14:paraId="7D11A04C" w14:textId="77777777" w:rsidR="00134BBD" w:rsidRPr="002661A8" w:rsidRDefault="00134BBD" w:rsidP="00F831E7">
      <w:pPr>
        <w:pStyle w:val="FootnoteText"/>
        <w:spacing w:after="0"/>
        <w:ind w:left="0" w:hanging="284"/>
      </w:pPr>
      <w:r w:rsidRPr="002661A8">
        <w:rPr>
          <w:rStyle w:val="FootnoteReference"/>
        </w:rPr>
        <w:footnoteRef/>
      </w:r>
      <w:r w:rsidRPr="002661A8">
        <w:rPr>
          <w:rStyle w:val="FootnoteReference"/>
        </w:rPr>
        <w:t xml:space="preserve"> </w:t>
      </w:r>
      <w:r w:rsidRPr="002661A8">
        <w:rPr>
          <w:rStyle w:val="FootnoteReference"/>
        </w:rPr>
        <w:tab/>
      </w:r>
      <w:r w:rsidRPr="002661A8">
        <w:t xml:space="preserve">See ESMA’s statement on its assessment of systemically important UK CCPs; </w:t>
      </w:r>
      <w:hyperlink r:id="rId37" w:history="1">
        <w:r w:rsidRPr="002661A8">
          <w:rPr>
            <w:rStyle w:val="Hyperlink"/>
          </w:rPr>
          <w:t>https://www.esma.europa.eu/press-news/esma-news/esma-publishes-results-its-assessment-systemically-important-uk-central</w:t>
        </w:r>
      </w:hyperlink>
      <w:r w:rsidRPr="002661A8">
        <w:t xml:space="preserve"> </w:t>
      </w:r>
    </w:p>
  </w:footnote>
  <w:footnote w:id="246">
    <w:p w14:paraId="283F835D" w14:textId="77777777" w:rsidR="00134BBD" w:rsidRPr="002661A8" w:rsidRDefault="00134BBD" w:rsidP="00F831E7">
      <w:pPr>
        <w:pStyle w:val="FootnoteText"/>
        <w:spacing w:after="0"/>
        <w:ind w:left="0" w:hanging="284"/>
      </w:pPr>
      <w:r w:rsidRPr="002661A8">
        <w:rPr>
          <w:rStyle w:val="FootnoteReference"/>
        </w:rPr>
        <w:footnoteRef/>
      </w:r>
      <w:r w:rsidRPr="002661A8">
        <w:t xml:space="preserve"> </w:t>
      </w:r>
      <w:r w:rsidRPr="002661A8">
        <w:tab/>
      </w:r>
      <w:r w:rsidRPr="002661A8">
        <w:rPr>
          <w:rFonts w:eastAsia="Arial Unicode MS" w:cs="Arial Unicode MS"/>
        </w:rPr>
        <w:t xml:space="preserve">According to sources available to the Commission. </w:t>
      </w:r>
    </w:p>
  </w:footnote>
  <w:footnote w:id="247">
    <w:p w14:paraId="69AA7D49" w14:textId="5D952925" w:rsidR="00134BBD" w:rsidRPr="002661A8" w:rsidRDefault="00134BBD" w:rsidP="00CB60F4">
      <w:pPr>
        <w:pStyle w:val="FootnoteText"/>
        <w:spacing w:after="0"/>
        <w:ind w:left="0" w:hanging="284"/>
      </w:pPr>
      <w:r w:rsidRPr="002661A8">
        <w:rPr>
          <w:rStyle w:val="FootnoteReference"/>
        </w:rPr>
        <w:footnoteRef/>
      </w:r>
      <w:r w:rsidRPr="002661A8">
        <w:t xml:space="preserve"> </w:t>
      </w:r>
      <w:r w:rsidRPr="002661A8">
        <w:tab/>
        <w:t>See 2021 ESMA report on UK CCPs</w:t>
      </w:r>
      <w:r>
        <w:t xml:space="preserve"> (see footnote 9 above).</w:t>
      </w:r>
    </w:p>
  </w:footnote>
  <w:footnote w:id="248">
    <w:p w14:paraId="4C9557EC" w14:textId="706B0335" w:rsidR="00134BBD" w:rsidRPr="002661A8" w:rsidRDefault="00134BBD" w:rsidP="00CB60F4">
      <w:pPr>
        <w:pStyle w:val="FootnoteText"/>
        <w:spacing w:after="0"/>
        <w:ind w:left="0" w:hanging="284"/>
      </w:pPr>
      <w:r w:rsidRPr="002661A8">
        <w:rPr>
          <w:rStyle w:val="FootnoteReference"/>
        </w:rPr>
        <w:footnoteRef/>
      </w:r>
      <w:r w:rsidRPr="002661A8">
        <w:t xml:space="preserve"> </w:t>
      </w:r>
      <w:r w:rsidRPr="002661A8">
        <w:tab/>
        <w:t>See 2021 ESMA report on UK CCPs</w:t>
      </w:r>
      <w:r>
        <w:t xml:space="preserve"> (see footnote 9 above).</w:t>
      </w:r>
    </w:p>
  </w:footnote>
  <w:footnote w:id="249">
    <w:p w14:paraId="185AE2FC" w14:textId="6F0E7554" w:rsidR="00134BBD" w:rsidRPr="002661A8" w:rsidRDefault="00134BBD" w:rsidP="00CB60F4">
      <w:pPr>
        <w:pStyle w:val="FootnoteText"/>
        <w:spacing w:after="0"/>
        <w:ind w:left="0" w:hanging="284"/>
      </w:pPr>
      <w:r w:rsidRPr="002661A8">
        <w:rPr>
          <w:rStyle w:val="FootnoteReference"/>
        </w:rPr>
        <w:footnoteRef/>
      </w:r>
      <w:r w:rsidRPr="002661A8">
        <w:rPr>
          <w:lang w:val="en-IE"/>
        </w:rPr>
        <w:t xml:space="preserve"> </w:t>
      </w:r>
      <w:r w:rsidRPr="002661A8">
        <w:rPr>
          <w:lang w:val="en-IE"/>
        </w:rPr>
        <w:tab/>
        <w:t>See 2021 ESMA report on UK CCPs</w:t>
      </w:r>
      <w:r>
        <w:rPr>
          <w:lang w:val="en-IE"/>
        </w:rPr>
        <w:t xml:space="preserve"> </w:t>
      </w:r>
      <w:r>
        <w:t>(see footnote 9 above).</w:t>
      </w:r>
      <w:r w:rsidRPr="002661A8">
        <w:rPr>
          <w:lang w:val="en-IE"/>
        </w:rPr>
        <w:t>.</w:t>
      </w:r>
    </w:p>
  </w:footnote>
  <w:footnote w:id="250">
    <w:p w14:paraId="71C2A6C0" w14:textId="77777777" w:rsidR="00134BBD" w:rsidRPr="002661A8" w:rsidRDefault="00134BBD" w:rsidP="00CB60F4">
      <w:pPr>
        <w:pStyle w:val="FootnoteText"/>
        <w:spacing w:after="0"/>
        <w:ind w:left="0" w:hanging="284"/>
        <w:rPr>
          <w:lang w:val="en-IE"/>
        </w:rPr>
      </w:pPr>
      <w:r w:rsidRPr="002661A8">
        <w:rPr>
          <w:rStyle w:val="FootnoteReference"/>
        </w:rPr>
        <w:footnoteRef/>
      </w:r>
      <w:r w:rsidRPr="002661A8">
        <w:t xml:space="preserve"> </w:t>
      </w:r>
      <w:r w:rsidRPr="002661A8">
        <w:tab/>
        <w:t>In addition, one Norwegian entity is a clearing member of SwapClear.</w:t>
      </w:r>
    </w:p>
  </w:footnote>
  <w:footnote w:id="251">
    <w:p w14:paraId="5383FF59" w14:textId="77777777" w:rsidR="00134BBD" w:rsidRPr="002661A8" w:rsidRDefault="00134BBD" w:rsidP="00CB60F4">
      <w:pPr>
        <w:pStyle w:val="FootnoteText"/>
        <w:spacing w:after="0"/>
        <w:ind w:left="0" w:hanging="284"/>
        <w:rPr>
          <w:lang w:val="en-IE"/>
        </w:rPr>
      </w:pPr>
      <w:r w:rsidRPr="002661A8">
        <w:rPr>
          <w:rStyle w:val="FootnoteReference"/>
        </w:rPr>
        <w:footnoteRef/>
      </w:r>
      <w:r w:rsidRPr="002661A8">
        <w:t xml:space="preserve"> </w:t>
      </w:r>
      <w:r w:rsidRPr="002661A8">
        <w:tab/>
        <w:t>EU credit institutions, pension funds, insurance companies, other funds and corporates. See Glossary.</w:t>
      </w:r>
    </w:p>
  </w:footnote>
  <w:footnote w:id="252">
    <w:p w14:paraId="09E7CCE1" w14:textId="687982CC" w:rsidR="00134BBD" w:rsidRPr="002661A8" w:rsidRDefault="00134BBD" w:rsidP="00CB60F4">
      <w:pPr>
        <w:pStyle w:val="FootnoteText"/>
        <w:spacing w:after="0"/>
        <w:ind w:left="0" w:hanging="284"/>
        <w:rPr>
          <w:rStyle w:val="FootnoteReference"/>
          <w:rFonts w:eastAsiaTheme="minorHAnsi"/>
        </w:rPr>
      </w:pPr>
      <w:r w:rsidRPr="002661A8">
        <w:rPr>
          <w:rStyle w:val="FootnoteReference"/>
        </w:rPr>
        <w:footnoteRef/>
      </w:r>
      <w:r w:rsidRPr="002661A8">
        <w:rPr>
          <w:rStyle w:val="FootnoteReference"/>
        </w:rPr>
        <w:t xml:space="preserve"> </w:t>
      </w:r>
      <w:r w:rsidRPr="002661A8">
        <w:tab/>
      </w:r>
      <w:r w:rsidRPr="002661A8">
        <w:rPr>
          <w:rStyle w:val="FootnoteReference"/>
          <w:vertAlign w:val="baseline"/>
        </w:rPr>
        <w:t>See 2021 ESMA report on UK CCPs</w:t>
      </w:r>
      <w:r>
        <w:t xml:space="preserve"> (see footnote 9 above).</w:t>
      </w:r>
    </w:p>
  </w:footnote>
  <w:footnote w:id="253">
    <w:p w14:paraId="1CAB9B86" w14:textId="15A6BABC" w:rsidR="00134BBD" w:rsidRPr="002661A8" w:rsidRDefault="00134BBD" w:rsidP="00CB60F4">
      <w:pPr>
        <w:pStyle w:val="FootnoteText"/>
        <w:spacing w:after="0"/>
        <w:ind w:left="0" w:hanging="284"/>
      </w:pPr>
      <w:r w:rsidRPr="002661A8">
        <w:rPr>
          <w:rStyle w:val="FootnoteReference"/>
        </w:rPr>
        <w:footnoteRef/>
      </w:r>
      <w:r w:rsidRPr="002661A8">
        <w:rPr>
          <w:rStyle w:val="FootnoteReference"/>
        </w:rPr>
        <w:t xml:space="preserve"> </w:t>
      </w:r>
      <w:r w:rsidRPr="002661A8">
        <w:tab/>
      </w:r>
      <w:r w:rsidRPr="002661A8">
        <w:rPr>
          <w:rStyle w:val="FootnoteReference"/>
          <w:vertAlign w:val="baseline"/>
        </w:rPr>
        <w:t xml:space="preserve">ESMA Letter to the European Commission, 1 February 2022, </w:t>
      </w:r>
      <w:hyperlink r:id="rId38" w:history="1">
        <w:r w:rsidRPr="002661A8">
          <w:rPr>
            <w:rStyle w:val="Hyperlink"/>
          </w:rPr>
          <w:t>https://www.esma.europa.eu/press-news/esma-news/esma-recommends-clearing-obligation-pension-funds-start-in-june-2023</w:t>
        </w:r>
      </w:hyperlink>
      <w:r w:rsidRPr="002661A8">
        <w:t xml:space="preserve"> </w:t>
      </w:r>
    </w:p>
  </w:footnote>
  <w:footnote w:id="254">
    <w:p w14:paraId="7E7A179A" w14:textId="6D85C357" w:rsidR="00134BBD" w:rsidRPr="002661A8" w:rsidRDefault="00134BBD" w:rsidP="00CB60F4">
      <w:pPr>
        <w:pStyle w:val="FootnoteText"/>
        <w:spacing w:after="0"/>
        <w:ind w:left="0" w:hanging="284"/>
        <w:rPr>
          <w:rStyle w:val="FootnoteReference"/>
          <w:rFonts w:eastAsiaTheme="minorHAnsi"/>
          <w:vertAlign w:val="baseline"/>
        </w:rPr>
      </w:pPr>
      <w:r w:rsidRPr="002661A8">
        <w:rPr>
          <w:rStyle w:val="FootnoteReference"/>
        </w:rPr>
        <w:footnoteRef/>
      </w:r>
      <w:r w:rsidRPr="002661A8">
        <w:rPr>
          <w:rStyle w:val="FootnoteReference"/>
        </w:rPr>
        <w:t xml:space="preserve"> </w:t>
      </w:r>
      <w:r w:rsidRPr="002661A8">
        <w:tab/>
      </w:r>
      <w:r w:rsidRPr="002661A8">
        <w:rPr>
          <w:rStyle w:val="FootnoteReference"/>
          <w:vertAlign w:val="baseline"/>
        </w:rPr>
        <w:t>See 2021 ESMA report on UK CCPs</w:t>
      </w:r>
      <w:r>
        <w:t xml:space="preserve"> (see footnote 9 above).</w:t>
      </w:r>
    </w:p>
  </w:footnote>
  <w:footnote w:id="255">
    <w:p w14:paraId="79E80723" w14:textId="77777777" w:rsidR="00134BBD" w:rsidRPr="002661A8" w:rsidRDefault="00134BBD" w:rsidP="00D6052F">
      <w:pPr>
        <w:pStyle w:val="FootnoteText"/>
        <w:spacing w:after="0"/>
        <w:ind w:left="0" w:hanging="284"/>
        <w:rPr>
          <w:rStyle w:val="FootnoteReference"/>
          <w:rFonts w:asciiTheme="minorHAnsi" w:eastAsiaTheme="minorEastAsia" w:hAnsiTheme="minorHAnsi" w:cstheme="minorBidi"/>
          <w:vertAlign w:val="baseline"/>
        </w:rPr>
      </w:pPr>
      <w:r w:rsidRPr="002661A8">
        <w:rPr>
          <w:rStyle w:val="FootnoteReference"/>
        </w:rPr>
        <w:footnoteRef/>
      </w:r>
      <w:r w:rsidRPr="002661A8">
        <w:rPr>
          <w:rStyle w:val="FootnoteReference"/>
        </w:rPr>
        <w:t xml:space="preserve"> </w:t>
      </w:r>
      <w:r w:rsidRPr="002661A8">
        <w:rPr>
          <w:rStyle w:val="FootnoteReference"/>
        </w:rPr>
        <w:tab/>
      </w:r>
      <w:r w:rsidRPr="002661A8">
        <w:rPr>
          <w:rStyle w:val="FootnoteReference"/>
          <w:vertAlign w:val="baseline"/>
        </w:rPr>
        <w:t>ESMA Assessment Report under Art. 25(2c) of EMIR, 16 December 2021.</w:t>
      </w:r>
    </w:p>
  </w:footnote>
  <w:footnote w:id="256">
    <w:p w14:paraId="5566C1C0" w14:textId="77777777" w:rsidR="00134BBD" w:rsidRPr="002661A8" w:rsidRDefault="00134BBD" w:rsidP="007A5361">
      <w:pPr>
        <w:pStyle w:val="FootnoteText"/>
        <w:spacing w:after="0"/>
        <w:ind w:left="0" w:hanging="284"/>
      </w:pPr>
      <w:r w:rsidRPr="002661A8">
        <w:rPr>
          <w:rStyle w:val="FootnoteReference"/>
        </w:rPr>
        <w:footnoteRef/>
      </w:r>
      <w:r w:rsidRPr="002661A8">
        <w:rPr>
          <w:rStyle w:val="FootnoteReference"/>
        </w:rPr>
        <w:t xml:space="preserve"> </w:t>
      </w:r>
      <w:r w:rsidRPr="002661A8">
        <w:rPr>
          <w:rStyle w:val="FootnoteReference"/>
        </w:rPr>
        <w:tab/>
      </w:r>
      <w:r w:rsidRPr="002661A8">
        <w:rPr>
          <w:rStyle w:val="FootnoteReference"/>
          <w:vertAlign w:val="baseline"/>
        </w:rPr>
        <w:t>LCH Ltd offer includes all OTC Interest Rate Derivatives subject to the clearing obligation, which are EUR/GBP/USD/JPY/NOK/PLN/SEK-denominated Basis Swaps, interest rate swaps, forward rate agreements and overnight index swaps. These contracts are subject to the clearing obligation pursuant to Commission Delegated Regulation (EU) 2015/2205 and the Commission Delegated Regulation (EU) 2016/592.</w:t>
      </w:r>
    </w:p>
  </w:footnote>
  <w:footnote w:id="257">
    <w:p w14:paraId="6223BC4A" w14:textId="77777777" w:rsidR="00134BBD" w:rsidRPr="002661A8" w:rsidRDefault="00134BBD" w:rsidP="007A5361">
      <w:pPr>
        <w:pStyle w:val="FootnoteText"/>
        <w:spacing w:after="0"/>
        <w:ind w:left="0" w:hanging="284"/>
        <w:rPr>
          <w:lang w:val="en-IE"/>
        </w:rPr>
      </w:pPr>
      <w:r w:rsidRPr="002661A8">
        <w:rPr>
          <w:rStyle w:val="FootnoteReference"/>
        </w:rPr>
        <w:footnoteRef/>
      </w:r>
      <w:r w:rsidRPr="002661A8">
        <w:t xml:space="preserve"> </w:t>
      </w:r>
      <w:r w:rsidRPr="002661A8">
        <w:tab/>
      </w:r>
      <w:r w:rsidRPr="002661A8">
        <w:rPr>
          <w:lang w:val="en-IE"/>
        </w:rPr>
        <w:t>According to confidential information provided to DG FISMA services.</w:t>
      </w:r>
    </w:p>
  </w:footnote>
  <w:footnote w:id="258">
    <w:p w14:paraId="0FFB3F0C" w14:textId="77777777" w:rsidR="00134BBD" w:rsidRPr="002661A8" w:rsidRDefault="00134BBD" w:rsidP="00D6052F">
      <w:pPr>
        <w:pStyle w:val="FootnoteText"/>
        <w:spacing w:after="0"/>
        <w:ind w:left="0" w:hanging="284"/>
        <w:rPr>
          <w:rStyle w:val="FootnoteReference"/>
          <w:rFonts w:asciiTheme="minorHAnsi" w:eastAsiaTheme="minorEastAsia" w:hAnsiTheme="minorHAnsi" w:cstheme="minorBidi"/>
          <w:vertAlign w:val="baseline"/>
        </w:rPr>
      </w:pPr>
      <w:r w:rsidRPr="002661A8">
        <w:rPr>
          <w:rStyle w:val="FootnoteReference"/>
        </w:rPr>
        <w:footnoteRef/>
      </w:r>
      <w:r w:rsidRPr="002661A8">
        <w:rPr>
          <w:rStyle w:val="FootnoteReference"/>
        </w:rPr>
        <w:t xml:space="preserve"> </w:t>
      </w:r>
      <w:r w:rsidRPr="002661A8">
        <w:rPr>
          <w:rStyle w:val="FootnoteReference"/>
        </w:rPr>
        <w:tab/>
      </w:r>
      <w:r w:rsidRPr="002661A8">
        <w:rPr>
          <w:rStyle w:val="FootnoteReference"/>
          <w:vertAlign w:val="baseline"/>
        </w:rPr>
        <w:t>Interest rate derivatives subject to a clearing obligation at the time of writing.</w:t>
      </w:r>
    </w:p>
  </w:footnote>
  <w:footnote w:id="259">
    <w:p w14:paraId="34AE72DF" w14:textId="77777777" w:rsidR="00134BBD" w:rsidRPr="002661A8" w:rsidRDefault="00134BBD" w:rsidP="007A5361">
      <w:pPr>
        <w:pStyle w:val="FootnoteText"/>
        <w:spacing w:after="0"/>
        <w:ind w:left="0" w:hanging="284"/>
      </w:pPr>
      <w:r w:rsidRPr="002661A8">
        <w:rPr>
          <w:rStyle w:val="FootnoteReference"/>
        </w:rPr>
        <w:footnoteRef/>
      </w:r>
      <w:r w:rsidRPr="002661A8">
        <w:rPr>
          <w:rStyle w:val="FootnoteReference"/>
        </w:rPr>
        <w:t xml:space="preserve"> </w:t>
      </w:r>
      <w:r w:rsidRPr="002661A8">
        <w:rPr>
          <w:rStyle w:val="FootnoteReference"/>
        </w:rPr>
        <w:tab/>
      </w:r>
      <w:r w:rsidRPr="002661A8">
        <w:rPr>
          <w:rStyle w:val="FootnoteReference"/>
          <w:vertAlign w:val="baseline"/>
        </w:rPr>
        <w:t>Portfolio margining is groups transactions w</w:t>
      </w:r>
      <w:r w:rsidRPr="002661A8">
        <w:t>here</w:t>
      </w:r>
      <w:r w:rsidRPr="002661A8">
        <w:rPr>
          <w:rStyle w:val="FootnoteReference"/>
          <w:vertAlign w:val="baseline"/>
        </w:rPr>
        <w:t xml:space="preserve"> risk factors are correlated to one another, the amount of collateral required by the CCP can be reduced while achieving the same level of risk mitigation.</w:t>
      </w:r>
    </w:p>
  </w:footnote>
  <w:footnote w:id="260">
    <w:p w14:paraId="2379A1BE" w14:textId="2F2531D5" w:rsidR="00134BBD" w:rsidRPr="002661A8" w:rsidRDefault="00134BBD" w:rsidP="007A5361">
      <w:pPr>
        <w:pStyle w:val="FootnoteText"/>
        <w:spacing w:after="0"/>
        <w:ind w:left="0" w:hanging="284"/>
      </w:pPr>
      <w:r w:rsidRPr="002661A8">
        <w:rPr>
          <w:rStyle w:val="FootnoteReference"/>
        </w:rPr>
        <w:footnoteRef/>
      </w:r>
      <w:r w:rsidRPr="002661A8">
        <w:rPr>
          <w:rStyle w:val="FootnoteReference"/>
        </w:rPr>
        <w:t xml:space="preserve"> </w:t>
      </w:r>
      <w:r w:rsidRPr="002661A8">
        <w:rPr>
          <w:rStyle w:val="FootnoteReference"/>
        </w:rPr>
        <w:tab/>
      </w:r>
      <w:r w:rsidRPr="002661A8">
        <w:rPr>
          <w:rStyle w:val="FootnoteReference"/>
          <w:vertAlign w:val="baseline"/>
        </w:rPr>
        <w:t>R</w:t>
      </w:r>
      <w:r w:rsidRPr="002661A8">
        <w:t>esponses to the targeted consultation and confidential contributions to DG FISMA services as part of the work of the Commission Working Group in 2021.</w:t>
      </w:r>
    </w:p>
  </w:footnote>
  <w:footnote w:id="261">
    <w:p w14:paraId="0C3EA981" w14:textId="57A92A3C" w:rsidR="00134BBD" w:rsidRPr="002661A8" w:rsidRDefault="00134BBD" w:rsidP="00D6052F">
      <w:pPr>
        <w:pStyle w:val="FootnoteText"/>
        <w:spacing w:after="0"/>
        <w:ind w:left="0" w:hanging="284"/>
        <w:rPr>
          <w:rStyle w:val="FootnoteReference"/>
          <w:rFonts w:asciiTheme="minorHAnsi" w:eastAsiaTheme="minorEastAsia" w:hAnsiTheme="minorHAnsi" w:cstheme="minorBidi"/>
          <w:vertAlign w:val="baseline"/>
        </w:rPr>
      </w:pPr>
      <w:r w:rsidRPr="002661A8">
        <w:rPr>
          <w:rStyle w:val="FootnoteReference"/>
        </w:rPr>
        <w:footnoteRef/>
      </w:r>
      <w:r w:rsidRPr="002661A8">
        <w:rPr>
          <w:rStyle w:val="FootnoteReference"/>
        </w:rPr>
        <w:t xml:space="preserve"> </w:t>
      </w:r>
      <w:r w:rsidRPr="002661A8">
        <w:rPr>
          <w:rStyle w:val="FootnoteReference"/>
        </w:rPr>
        <w:tab/>
      </w:r>
      <w:r w:rsidRPr="002661A8">
        <w:rPr>
          <w:rStyle w:val="FootnoteReference"/>
          <w:vertAlign w:val="baseline"/>
        </w:rPr>
        <w:t>See 2021 ESMA report on UK CCPs</w:t>
      </w:r>
      <w:r>
        <w:t xml:space="preserve"> (see footnote 9 above).</w:t>
      </w:r>
    </w:p>
  </w:footnote>
  <w:footnote w:id="262">
    <w:p w14:paraId="5AF9652C" w14:textId="77777777" w:rsidR="00134BBD" w:rsidRPr="002661A8" w:rsidRDefault="00134BBD" w:rsidP="007A5361">
      <w:pPr>
        <w:pStyle w:val="FootnoteText"/>
        <w:spacing w:after="0"/>
        <w:ind w:left="0" w:hanging="284"/>
        <w:rPr>
          <w:rStyle w:val="FootnoteReference"/>
          <w:rFonts w:asciiTheme="minorHAnsi" w:eastAsiaTheme="minorHAnsi" w:hAnsiTheme="minorHAnsi" w:cstheme="minorBidi"/>
          <w:vertAlign w:val="baseline"/>
        </w:rPr>
      </w:pPr>
      <w:r w:rsidRPr="002661A8">
        <w:rPr>
          <w:rStyle w:val="FootnoteReference"/>
        </w:rPr>
        <w:footnoteRef/>
      </w:r>
      <w:r w:rsidRPr="002661A8">
        <w:rPr>
          <w:rStyle w:val="FootnoteReference"/>
        </w:rPr>
        <w:t xml:space="preserve"> </w:t>
      </w:r>
      <w:r w:rsidRPr="002661A8">
        <w:rPr>
          <w:rStyle w:val="FootnoteReference"/>
        </w:rPr>
        <w:tab/>
      </w:r>
      <w:hyperlink r:id="rId39" w:history="1">
        <w:r w:rsidRPr="002661A8">
          <w:rPr>
            <w:rStyle w:val="Hyperlink"/>
          </w:rPr>
          <w:t>https://secure-area.lchclearnet.com/media_centre/press_releases/2010-10-05_2.asp</w:t>
        </w:r>
      </w:hyperlink>
      <w:r w:rsidRPr="002661A8">
        <w:rPr>
          <w:rStyle w:val="FootnoteReference"/>
          <w:vertAlign w:val="baseline"/>
        </w:rPr>
        <w:t xml:space="preserve"> </w:t>
      </w:r>
    </w:p>
  </w:footnote>
  <w:footnote w:id="263">
    <w:p w14:paraId="2CAB2260" w14:textId="0FC630AE" w:rsidR="00134BBD" w:rsidRPr="002661A8" w:rsidRDefault="00134BBD" w:rsidP="007A5361">
      <w:pPr>
        <w:pStyle w:val="FootnoteText"/>
        <w:spacing w:after="0"/>
        <w:ind w:left="0" w:hanging="284"/>
      </w:pPr>
      <w:r w:rsidRPr="002661A8">
        <w:rPr>
          <w:rStyle w:val="FootnoteReference"/>
        </w:rPr>
        <w:footnoteRef/>
      </w:r>
      <w:r w:rsidRPr="002661A8">
        <w:t xml:space="preserve"> </w:t>
      </w:r>
      <w:r w:rsidRPr="002661A8">
        <w:tab/>
        <w:t xml:space="preserve">The Futures and Options service of ICE EU clears energy and commodity derivatives; listed interest rate derivatives, including short-term European interest rate futures contracts (STIR); listed equity derivatives. </w:t>
      </w:r>
      <w:r w:rsidRPr="002661A8">
        <w:rPr>
          <w:rStyle w:val="FootnoteReference"/>
          <w:vertAlign w:val="baseline"/>
        </w:rPr>
        <w:t>See 2021 ESMA report on UK CCPs</w:t>
      </w:r>
      <w:r>
        <w:t xml:space="preserve"> (see footnote 9 above).</w:t>
      </w:r>
    </w:p>
  </w:footnote>
  <w:footnote w:id="264">
    <w:p w14:paraId="3C528B1A" w14:textId="41463C28" w:rsidR="00134BBD" w:rsidRPr="002661A8" w:rsidRDefault="00134BBD" w:rsidP="007A5361">
      <w:pPr>
        <w:pStyle w:val="FootnoteText"/>
        <w:spacing w:after="0"/>
        <w:ind w:left="0" w:hanging="284"/>
      </w:pPr>
      <w:r w:rsidRPr="002661A8">
        <w:rPr>
          <w:rStyle w:val="FootnoteReference"/>
        </w:rPr>
        <w:footnoteRef/>
      </w:r>
      <w:r w:rsidRPr="002661A8">
        <w:t xml:space="preserve"> </w:t>
      </w:r>
      <w:r w:rsidRPr="002661A8">
        <w:tab/>
      </w:r>
      <w:r w:rsidRPr="002661A8">
        <w:rPr>
          <w:rStyle w:val="FootnoteReference"/>
          <w:vertAlign w:val="baseline"/>
        </w:rPr>
        <w:t>See 2021 ESMA report on UK CCPs</w:t>
      </w:r>
      <w:r>
        <w:t xml:space="preserve"> (see footnote 9 above).</w:t>
      </w:r>
    </w:p>
  </w:footnote>
  <w:footnote w:id="265">
    <w:p w14:paraId="45AF3033" w14:textId="77777777" w:rsidR="00134BBD" w:rsidRPr="002661A8" w:rsidRDefault="00134BBD" w:rsidP="007A5361">
      <w:pPr>
        <w:pStyle w:val="FootnoteText"/>
        <w:spacing w:after="0"/>
        <w:ind w:left="0" w:hanging="284"/>
      </w:pPr>
      <w:r w:rsidRPr="002661A8">
        <w:rPr>
          <w:rStyle w:val="FootnoteReference"/>
        </w:rPr>
        <w:footnoteRef/>
      </w:r>
      <w:r w:rsidRPr="002661A8">
        <w:t xml:space="preserve"> </w:t>
      </w:r>
      <w:r w:rsidRPr="002661A8">
        <w:tab/>
      </w:r>
      <w:hyperlink r:id="rId40" w:history="1">
        <w:r w:rsidRPr="002661A8">
          <w:rPr>
            <w:rStyle w:val="Hyperlink"/>
          </w:rPr>
          <w:t>https://www.risk.net/comment/6726646/swaps-data-a-new-era-of-competition-in-interest-rate-futures</w:t>
        </w:r>
      </w:hyperlink>
    </w:p>
  </w:footnote>
  <w:footnote w:id="266">
    <w:p w14:paraId="48626825" w14:textId="1BB99F15" w:rsidR="00134BBD" w:rsidRPr="002661A8" w:rsidRDefault="00134BBD" w:rsidP="007A5361">
      <w:pPr>
        <w:pStyle w:val="FootnoteText"/>
        <w:spacing w:after="0"/>
        <w:ind w:left="0" w:hanging="284"/>
        <w:contextualSpacing/>
      </w:pPr>
      <w:r w:rsidRPr="002661A8">
        <w:rPr>
          <w:rStyle w:val="FootnoteReference"/>
        </w:rPr>
        <w:footnoteRef/>
      </w:r>
      <w:r w:rsidRPr="002661A8">
        <w:t xml:space="preserve"> </w:t>
      </w:r>
      <w:r w:rsidRPr="002661A8">
        <w:tab/>
      </w:r>
      <w:r w:rsidRPr="002661A8">
        <w:rPr>
          <w:rStyle w:val="FootnoteReference"/>
          <w:vertAlign w:val="baseline"/>
        </w:rPr>
        <w:t>See 2021 ESMA report on UK CCPs</w:t>
      </w:r>
      <w:r>
        <w:t xml:space="preserve"> (see footnote 9 above).</w:t>
      </w:r>
    </w:p>
  </w:footnote>
  <w:footnote w:id="267">
    <w:p w14:paraId="024225F1" w14:textId="5C4EEA1C" w:rsidR="00134BBD" w:rsidRPr="00531B15" w:rsidRDefault="00134BBD" w:rsidP="007A5361">
      <w:pPr>
        <w:pStyle w:val="FootnoteText"/>
        <w:spacing w:after="0"/>
        <w:ind w:left="0" w:hanging="284"/>
        <w:contextualSpacing/>
      </w:pPr>
      <w:r w:rsidRPr="002661A8">
        <w:rPr>
          <w:rStyle w:val="FootnoteReference"/>
        </w:rPr>
        <w:footnoteRef/>
      </w:r>
      <w:r w:rsidRPr="002661A8">
        <w:t xml:space="preserve"> </w:t>
      </w:r>
      <w:r w:rsidRPr="002661A8">
        <w:tab/>
      </w:r>
      <w:r w:rsidRPr="002661A8">
        <w:rPr>
          <w:rStyle w:val="FootnoteReference"/>
          <w:vertAlign w:val="baseline"/>
        </w:rPr>
        <w:t>See 2021 ESMA report on UK CCPs</w:t>
      </w:r>
      <w:r>
        <w:t xml:space="preserve"> (see footnote 9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44970" w14:textId="77777777" w:rsidR="00F705E6" w:rsidRPr="00F705E6" w:rsidRDefault="00F705E6" w:rsidP="00F705E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EF8A5" w14:textId="77777777" w:rsidR="00134BBD" w:rsidRDefault="00134BB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DD54A" w14:textId="77777777" w:rsidR="00134BBD" w:rsidRDefault="00134BB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518FA" w14:textId="77777777" w:rsidR="00134BBD" w:rsidRDefault="00134BB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62284" w14:textId="77777777" w:rsidR="00134BBD" w:rsidRDefault="00134BB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AE45F" w14:textId="77777777" w:rsidR="00134BBD" w:rsidRDefault="00134BB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1D834" w14:textId="77777777" w:rsidR="00134BBD" w:rsidRDefault="00134BB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6EA53" w14:textId="77777777" w:rsidR="00134BBD" w:rsidRDefault="00134BB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70C33" w14:textId="77777777" w:rsidR="00134BBD" w:rsidRDefault="00134BB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2816F" w14:textId="77777777" w:rsidR="00134BBD" w:rsidRDefault="00134B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F58F0" w14:textId="77777777" w:rsidR="00F705E6" w:rsidRPr="00F705E6" w:rsidRDefault="00F705E6" w:rsidP="00F705E6">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5E4B9" w14:textId="77777777" w:rsidR="00F705E6" w:rsidRPr="00F705E6" w:rsidRDefault="00F705E6" w:rsidP="00F705E6">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AF3B7" w14:textId="77777777" w:rsidR="00134BBD" w:rsidRDefault="00134B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3FF66" w14:textId="77777777" w:rsidR="00134BBD" w:rsidRDefault="00134BB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11A6C" w14:textId="77777777" w:rsidR="00134BBD" w:rsidRDefault="00134BB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0A59E" w14:textId="77777777" w:rsidR="00134BBD" w:rsidRDefault="00134BB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28062" w14:textId="77777777" w:rsidR="00134BBD" w:rsidRDefault="00134BB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91D7D" w14:textId="77777777" w:rsidR="00134BBD" w:rsidRDefault="00134B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24CA5"/>
    <w:multiLevelType w:val="multilevel"/>
    <w:tmpl w:val="E41A68D0"/>
    <w:styleLink w:val="ImportedStyle9"/>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CE30685"/>
    <w:multiLevelType w:val="multilevel"/>
    <w:tmpl w:val="13588F9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FCC2611"/>
    <w:multiLevelType w:val="hybridMultilevel"/>
    <w:tmpl w:val="26C497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FD45E82"/>
    <w:multiLevelType w:val="hybridMultilevel"/>
    <w:tmpl w:val="39E0D4C2"/>
    <w:lvl w:ilvl="0" w:tplc="4BEE7754">
      <w:numFmt w:val="bullet"/>
      <w:lvlText w:val="-"/>
      <w:lvlJc w:val="left"/>
      <w:pPr>
        <w:ind w:left="720" w:hanging="360"/>
      </w:pPr>
      <w:rPr>
        <w:rFonts w:ascii="Times New Roman" w:eastAsiaTheme="minorHAnsi" w:hAnsi="Times New Roman" w:cs="Times New Roman" w:hint="default"/>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8EF4DAD"/>
    <w:multiLevelType w:val="hybridMultilevel"/>
    <w:tmpl w:val="6B8C5B6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F734306"/>
    <w:multiLevelType w:val="multilevel"/>
    <w:tmpl w:val="13588F9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8C302A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396443"/>
    <w:multiLevelType w:val="hybridMultilevel"/>
    <w:tmpl w:val="86D41B26"/>
    <w:lvl w:ilvl="0" w:tplc="E552F786">
      <w:start w:val="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5042084"/>
    <w:multiLevelType w:val="multilevel"/>
    <w:tmpl w:val="A74465A8"/>
    <w:lvl w:ilvl="0">
      <w:start w:val="1"/>
      <w:numFmt w:val="decimal"/>
      <w:lvlText w:val="%1."/>
      <w:lvlJc w:val="left"/>
      <w:pPr>
        <w:tabs>
          <w:tab w:val="num" w:pos="480"/>
        </w:tabs>
        <w:ind w:left="480" w:hanging="48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rPr>
        <w:b w:val="0"/>
        <w:i/>
      </w:r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388342DC"/>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1" w15:restartNumberingAfterBreak="0">
    <w:nsid w:val="3F1A023B"/>
    <w:multiLevelType w:val="hybridMultilevel"/>
    <w:tmpl w:val="A5449BB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3FDF192B"/>
    <w:multiLevelType w:val="hybridMultilevel"/>
    <w:tmpl w:val="5470B08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40AE1E98"/>
    <w:multiLevelType w:val="multilevel"/>
    <w:tmpl w:val="BC0A76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96E4B54"/>
    <w:multiLevelType w:val="hybridMultilevel"/>
    <w:tmpl w:val="5270FF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02852FF"/>
    <w:multiLevelType w:val="hybridMultilevel"/>
    <w:tmpl w:val="ABCC633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58865388"/>
    <w:multiLevelType w:val="hybridMultilevel"/>
    <w:tmpl w:val="D218774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5C8D4771"/>
    <w:multiLevelType w:val="hybridMultilevel"/>
    <w:tmpl w:val="EFDC6EAC"/>
    <w:lvl w:ilvl="0" w:tplc="919C72E4">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8"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9" w15:restartNumberingAfterBreak="0">
    <w:nsid w:val="6A7E3225"/>
    <w:multiLevelType w:val="hybridMultilevel"/>
    <w:tmpl w:val="7AC08F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735B2D4D"/>
    <w:multiLevelType w:val="hybridMultilevel"/>
    <w:tmpl w:val="5484B0A0"/>
    <w:lvl w:ilvl="0" w:tplc="080C0001">
      <w:start w:val="1"/>
      <w:numFmt w:val="bullet"/>
      <w:lvlText w:val=""/>
      <w:lvlJc w:val="left"/>
      <w:pPr>
        <w:ind w:left="-700" w:hanging="360"/>
      </w:pPr>
      <w:rPr>
        <w:rFonts w:ascii="Symbol" w:hAnsi="Symbol" w:hint="default"/>
      </w:rPr>
    </w:lvl>
    <w:lvl w:ilvl="1" w:tplc="080C0003" w:tentative="1">
      <w:start w:val="1"/>
      <w:numFmt w:val="bullet"/>
      <w:lvlText w:val="o"/>
      <w:lvlJc w:val="left"/>
      <w:pPr>
        <w:ind w:left="20" w:hanging="360"/>
      </w:pPr>
      <w:rPr>
        <w:rFonts w:ascii="Courier New" w:hAnsi="Courier New" w:cs="Courier New" w:hint="default"/>
      </w:rPr>
    </w:lvl>
    <w:lvl w:ilvl="2" w:tplc="080C0005" w:tentative="1">
      <w:start w:val="1"/>
      <w:numFmt w:val="bullet"/>
      <w:lvlText w:val=""/>
      <w:lvlJc w:val="left"/>
      <w:pPr>
        <w:ind w:left="740" w:hanging="360"/>
      </w:pPr>
      <w:rPr>
        <w:rFonts w:ascii="Wingdings" w:hAnsi="Wingdings" w:hint="default"/>
      </w:rPr>
    </w:lvl>
    <w:lvl w:ilvl="3" w:tplc="080C0001" w:tentative="1">
      <w:start w:val="1"/>
      <w:numFmt w:val="bullet"/>
      <w:lvlText w:val=""/>
      <w:lvlJc w:val="left"/>
      <w:pPr>
        <w:ind w:left="1460" w:hanging="360"/>
      </w:pPr>
      <w:rPr>
        <w:rFonts w:ascii="Symbol" w:hAnsi="Symbol" w:hint="default"/>
      </w:rPr>
    </w:lvl>
    <w:lvl w:ilvl="4" w:tplc="080C0003" w:tentative="1">
      <w:start w:val="1"/>
      <w:numFmt w:val="bullet"/>
      <w:lvlText w:val="o"/>
      <w:lvlJc w:val="left"/>
      <w:pPr>
        <w:ind w:left="2180" w:hanging="360"/>
      </w:pPr>
      <w:rPr>
        <w:rFonts w:ascii="Courier New" w:hAnsi="Courier New" w:cs="Courier New" w:hint="default"/>
      </w:rPr>
    </w:lvl>
    <w:lvl w:ilvl="5" w:tplc="080C0005" w:tentative="1">
      <w:start w:val="1"/>
      <w:numFmt w:val="bullet"/>
      <w:lvlText w:val=""/>
      <w:lvlJc w:val="left"/>
      <w:pPr>
        <w:ind w:left="2900" w:hanging="360"/>
      </w:pPr>
      <w:rPr>
        <w:rFonts w:ascii="Wingdings" w:hAnsi="Wingdings" w:hint="default"/>
      </w:rPr>
    </w:lvl>
    <w:lvl w:ilvl="6" w:tplc="080C0001" w:tentative="1">
      <w:start w:val="1"/>
      <w:numFmt w:val="bullet"/>
      <w:lvlText w:val=""/>
      <w:lvlJc w:val="left"/>
      <w:pPr>
        <w:ind w:left="3620" w:hanging="360"/>
      </w:pPr>
      <w:rPr>
        <w:rFonts w:ascii="Symbol" w:hAnsi="Symbol" w:hint="default"/>
      </w:rPr>
    </w:lvl>
    <w:lvl w:ilvl="7" w:tplc="080C0003" w:tentative="1">
      <w:start w:val="1"/>
      <w:numFmt w:val="bullet"/>
      <w:lvlText w:val="o"/>
      <w:lvlJc w:val="left"/>
      <w:pPr>
        <w:ind w:left="4340" w:hanging="360"/>
      </w:pPr>
      <w:rPr>
        <w:rFonts w:ascii="Courier New" w:hAnsi="Courier New" w:cs="Courier New" w:hint="default"/>
      </w:rPr>
    </w:lvl>
    <w:lvl w:ilvl="8" w:tplc="080C0005" w:tentative="1">
      <w:start w:val="1"/>
      <w:numFmt w:val="bullet"/>
      <w:lvlText w:val=""/>
      <w:lvlJc w:val="left"/>
      <w:pPr>
        <w:ind w:left="5060" w:hanging="360"/>
      </w:pPr>
      <w:rPr>
        <w:rFonts w:ascii="Wingdings" w:hAnsi="Wingdings" w:hint="default"/>
      </w:rPr>
    </w:lvl>
  </w:abstractNum>
  <w:abstractNum w:abstractNumId="21" w15:restartNumberingAfterBreak="0">
    <w:nsid w:val="73D626BE"/>
    <w:multiLevelType w:val="hybridMultilevel"/>
    <w:tmpl w:val="FF4CA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5"/>
  </w:num>
  <w:num w:numId="4">
    <w:abstractNumId w:val="21"/>
  </w:num>
  <w:num w:numId="5">
    <w:abstractNumId w:val="17"/>
  </w:num>
  <w:num w:numId="6">
    <w:abstractNumId w:val="8"/>
  </w:num>
  <w:num w:numId="7">
    <w:abstractNumId w:val="12"/>
  </w:num>
  <w:num w:numId="8">
    <w:abstractNumId w:val="0"/>
  </w:num>
  <w:num w:numId="9">
    <w:abstractNumId w:val="13"/>
  </w:num>
  <w:num w:numId="10">
    <w:abstractNumId w:val="1"/>
  </w:num>
  <w:num w:numId="11">
    <w:abstractNumId w:val="15"/>
  </w:num>
  <w:num w:numId="12">
    <w:abstractNumId w:val="20"/>
  </w:num>
  <w:num w:numId="13">
    <w:abstractNumId w:val="4"/>
  </w:num>
  <w:num w:numId="14">
    <w:abstractNumId w:val="7"/>
  </w:num>
  <w:num w:numId="15">
    <w:abstractNumId w:val="19"/>
  </w:num>
  <w:num w:numId="16">
    <w:abstractNumId w:val="3"/>
  </w:num>
  <w:num w:numId="17">
    <w:abstractNumId w:val="2"/>
  </w:num>
  <w:num w:numId="18">
    <w:abstractNumId w:val="16"/>
  </w:num>
  <w:num w:numId="19">
    <w:abstractNumId w:val="14"/>
  </w:num>
  <w:num w:numId="20">
    <w:abstractNumId w:val="6"/>
  </w:num>
  <w:num w:numId="21">
    <w:abstractNumId w:val="9"/>
  </w:num>
  <w:num w:numId="22">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fr-BE" w:vendorID="64" w:dllVersion="6" w:nlCheck="1" w:checkStyle="0"/>
  <w:activeWritingStyle w:appName="MSWord" w:lang="en-IE"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s-ES" w:vendorID="64" w:dllVersion="6" w:nlCheck="1" w:checkStyle="0"/>
  <w:activeWritingStyle w:appName="MSWord" w:lang="de-CH" w:vendorID="64" w:dllVersion="6" w:nlCheck="1" w:checkStyle="0"/>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fr-BE" w:vendorID="64" w:dllVersion="0" w:nlCheck="1" w:checkStyle="0"/>
  <w:activeWritingStyle w:appName="MSWord" w:lang="fr-FR" w:vendorID="64" w:dllVersion="0" w:nlCheck="1" w:checkStyle="0"/>
  <w:activeWritingStyle w:appName="MSWord" w:lang="nl-NL" w:vendorID="64" w:dllVersion="0" w:nlCheck="1" w:checkStyle="0"/>
  <w:activeWritingStyle w:appName="MSWord" w:lang="nl-NL" w:vendorID="64" w:dllVersion="6" w:nlCheck="1" w:checkStyle="0"/>
  <w:activeWritingStyle w:appName="MSWord" w:lang="nl-BE" w:vendorID="64" w:dllVersion="6" w:nlCheck="1" w:checkStyle="0"/>
  <w:activeWritingStyle w:appName="MSWord" w:lang="nl-BE" w:vendorID="64" w:dllVersion="0" w:nlCheck="1" w:checkStyle="0"/>
  <w:activeWritingStyle w:appName="MSWord" w:lang="da-DK" w:vendorID="64" w:dllVersion="6" w:nlCheck="1" w:checkStyle="0"/>
  <w:activeWritingStyle w:appName="MSWord" w:lang="da-DK" w:vendorID="64" w:dllVersion="0" w:nlCheck="1" w:checkStyle="0"/>
  <w:activeWritingStyle w:appName="MSWord" w:lang="es-ES" w:vendorID="64" w:dllVersion="0" w:nlCheck="1" w:checkStyle="0"/>
  <w:activeWritingStyle w:appName="MSWord" w:lang="pl-PL" w:vendorID="64" w:dllVersion="0" w:nlCheck="1" w:checkStyle="0"/>
  <w:activeWritingStyle w:appName="MSWord" w:lang="de-DE" w:vendorID="64" w:dllVersion="6" w:nlCheck="1" w:checkStyle="0"/>
  <w:activeWritingStyle w:appName="MSWord" w:lang="de-DE" w:vendorID="64" w:dllVersion="0" w:nlCheck="1" w:checkStyle="0"/>
  <w:activeWritingStyle w:appName="MSWord" w:lang="it-IT" w:vendorID="64" w:dllVersion="0" w:nlCheck="1" w:checkStyle="0"/>
  <w:activeWritingStyle w:appName="MSWord" w:lang="pt-PT" w:vendorID="64" w:dllVersion="0" w:nlCheck="1" w:checkStyle="0"/>
  <w:activeWritingStyle w:appName="MSWord" w:lang="it-IT" w:vendorID="64" w:dllVersion="6" w:nlCheck="1" w:checkStyle="0"/>
  <w:activeWritingStyle w:appName="MSWord" w:lang="pt-PT" w:vendorID="64" w:dllVersion="6" w:nlCheck="1" w:checkStyle="0"/>
  <w:revisionView w:markup="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s"/>
    <w:docVar w:name="LW_CORRIGENDUM" w:val="&lt;UNUSED&gt;"/>
    <w:docVar w:name="LW_COVERPAGE_EXISTS" w:val="True"/>
    <w:docVar w:name="LW_COVERPAGE_GUID" w:val="23FA91CA-D1C9-45AF-85E4-64E3DBDC2C28"/>
    <w:docVar w:name="LW_COVERPAGE_TYPE" w:val="1"/>
    <w:docVar w:name="LW_CROSSREFERENCE" w:val="{COM(2022) 697 final} - {SEC(2022) 697 final} - {SWD(2022) 698 final}"/>
    <w:docVar w:name="LW_DocType" w:val="NORMAL"/>
    <w:docVar w:name="LW_EMISSION" w:val="7.12.2022"/>
    <w:docVar w:name="LW_EMISSION_ISODATE" w:val="2022-12-07"/>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Proposal for a_x000b_REGULATION OF THE EUROPEAN PARLIAMENT AND OF THE COUNCIL_x000b_amending Regulations (EU) No 648/2012, (EU) No 575/2013 and (EU) 2017/1131 as regards measures to mitigate excessive exposures to third-country central counterparties and improve the efficiency of Union clearing markets_x000b__x000b_and_x000b__x000b_Proposal for a_x000b_DIRECTIVE OF THE EUROPEAN PARLIAMENT AND OF THE COUNCIL_x000b_amending Directives 2009/65/EU, 2013/36/EU and (EU) 2019/2034 as regards the treatment of concentration risk towards central counterparties and the counterparty risk on centrally cleared derivative transactions"/>
    <w:docVar w:name="LW_PART_NBR" w:val="1"/>
    <w:docVar w:name="LW_PART_NBR_TOTAL" w:val="1"/>
    <w:docVar w:name="LW_REF.INST.NEW" w:val="SWD"/>
    <w:docVar w:name="LW_REF.INST.NEW_ADOPTED" w:val="final"/>
    <w:docVar w:name="LW_REF.INST.NEW_TEXT" w:val="(2022) 69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 "/>
    <w:docVar w:name="LW_TYPE.DOC.CP" w:val="COMMISSION STAFF WORKING DOCUMENT_x000b__x000b_IMPACT ASSESSMENT REPORT_x000b_"/>
    <w:docVar w:name="LW_TYPEACTEPRINCIPAL.CP" w:val=" "/>
    <w:docVar w:name="LwApiVersions" w:val="LW4CoDe 1.23.2.0; LW 8.0, Build 20211117"/>
  </w:docVars>
  <w:rsids>
    <w:rsidRoot w:val="006B087E"/>
    <w:rsid w:val="000005C7"/>
    <w:rsid w:val="0000078F"/>
    <w:rsid w:val="00000A9F"/>
    <w:rsid w:val="00000AE9"/>
    <w:rsid w:val="00000D6B"/>
    <w:rsid w:val="00001242"/>
    <w:rsid w:val="000026CE"/>
    <w:rsid w:val="000028D1"/>
    <w:rsid w:val="00002CED"/>
    <w:rsid w:val="00002EBC"/>
    <w:rsid w:val="000031BD"/>
    <w:rsid w:val="000032B2"/>
    <w:rsid w:val="000033F7"/>
    <w:rsid w:val="0000371C"/>
    <w:rsid w:val="0000394E"/>
    <w:rsid w:val="00003CC1"/>
    <w:rsid w:val="00003E45"/>
    <w:rsid w:val="0000418A"/>
    <w:rsid w:val="000041C5"/>
    <w:rsid w:val="00004B76"/>
    <w:rsid w:val="00004D4E"/>
    <w:rsid w:val="00004F72"/>
    <w:rsid w:val="00005070"/>
    <w:rsid w:val="0000507F"/>
    <w:rsid w:val="00005127"/>
    <w:rsid w:val="00005549"/>
    <w:rsid w:val="00005591"/>
    <w:rsid w:val="000057F1"/>
    <w:rsid w:val="00005A90"/>
    <w:rsid w:val="00006156"/>
    <w:rsid w:val="00006260"/>
    <w:rsid w:val="00006F9F"/>
    <w:rsid w:val="0000717D"/>
    <w:rsid w:val="000071EC"/>
    <w:rsid w:val="00007298"/>
    <w:rsid w:val="00007C18"/>
    <w:rsid w:val="00007CA3"/>
    <w:rsid w:val="00007E77"/>
    <w:rsid w:val="00010410"/>
    <w:rsid w:val="00010536"/>
    <w:rsid w:val="0001061D"/>
    <w:rsid w:val="00010716"/>
    <w:rsid w:val="00011114"/>
    <w:rsid w:val="00011207"/>
    <w:rsid w:val="000119AD"/>
    <w:rsid w:val="00011DF0"/>
    <w:rsid w:val="000121CD"/>
    <w:rsid w:val="000121F0"/>
    <w:rsid w:val="00012428"/>
    <w:rsid w:val="00012523"/>
    <w:rsid w:val="00012964"/>
    <w:rsid w:val="000130A4"/>
    <w:rsid w:val="000132FC"/>
    <w:rsid w:val="00013769"/>
    <w:rsid w:val="000138E7"/>
    <w:rsid w:val="00013AC4"/>
    <w:rsid w:val="00013D08"/>
    <w:rsid w:val="00013F6B"/>
    <w:rsid w:val="000142B0"/>
    <w:rsid w:val="00014D57"/>
    <w:rsid w:val="00015019"/>
    <w:rsid w:val="00015103"/>
    <w:rsid w:val="00015265"/>
    <w:rsid w:val="00015287"/>
    <w:rsid w:val="00015C32"/>
    <w:rsid w:val="00015C4B"/>
    <w:rsid w:val="0001606C"/>
    <w:rsid w:val="0001636C"/>
    <w:rsid w:val="00016C47"/>
    <w:rsid w:val="00017203"/>
    <w:rsid w:val="000173E9"/>
    <w:rsid w:val="0001767D"/>
    <w:rsid w:val="000176EC"/>
    <w:rsid w:val="00017B47"/>
    <w:rsid w:val="00020251"/>
    <w:rsid w:val="000202F2"/>
    <w:rsid w:val="00020452"/>
    <w:rsid w:val="00020671"/>
    <w:rsid w:val="00021177"/>
    <w:rsid w:val="000212C3"/>
    <w:rsid w:val="000216D5"/>
    <w:rsid w:val="00021738"/>
    <w:rsid w:val="00021BC5"/>
    <w:rsid w:val="00021D45"/>
    <w:rsid w:val="00022324"/>
    <w:rsid w:val="00022366"/>
    <w:rsid w:val="00022531"/>
    <w:rsid w:val="00022572"/>
    <w:rsid w:val="0002289A"/>
    <w:rsid w:val="00022C08"/>
    <w:rsid w:val="00022D30"/>
    <w:rsid w:val="00022D82"/>
    <w:rsid w:val="000239F2"/>
    <w:rsid w:val="00023BBE"/>
    <w:rsid w:val="00023BE1"/>
    <w:rsid w:val="00023F32"/>
    <w:rsid w:val="00024288"/>
    <w:rsid w:val="00025135"/>
    <w:rsid w:val="0002553E"/>
    <w:rsid w:val="0002588D"/>
    <w:rsid w:val="000259EF"/>
    <w:rsid w:val="00025A02"/>
    <w:rsid w:val="00026397"/>
    <w:rsid w:val="00026E51"/>
    <w:rsid w:val="0002708C"/>
    <w:rsid w:val="00027167"/>
    <w:rsid w:val="00027196"/>
    <w:rsid w:val="000277D8"/>
    <w:rsid w:val="00027BE3"/>
    <w:rsid w:val="00027DDE"/>
    <w:rsid w:val="000304E1"/>
    <w:rsid w:val="000308CD"/>
    <w:rsid w:val="00030F40"/>
    <w:rsid w:val="0003140A"/>
    <w:rsid w:val="0003167E"/>
    <w:rsid w:val="000325F8"/>
    <w:rsid w:val="000327D0"/>
    <w:rsid w:val="000327EC"/>
    <w:rsid w:val="0003294A"/>
    <w:rsid w:val="0003301F"/>
    <w:rsid w:val="0003326A"/>
    <w:rsid w:val="000333FC"/>
    <w:rsid w:val="00033431"/>
    <w:rsid w:val="00033733"/>
    <w:rsid w:val="00033CC4"/>
    <w:rsid w:val="00033EDF"/>
    <w:rsid w:val="000343C7"/>
    <w:rsid w:val="00034667"/>
    <w:rsid w:val="000346E6"/>
    <w:rsid w:val="00034878"/>
    <w:rsid w:val="00034884"/>
    <w:rsid w:val="0003492A"/>
    <w:rsid w:val="00034C27"/>
    <w:rsid w:val="00035044"/>
    <w:rsid w:val="00035163"/>
    <w:rsid w:val="0003602D"/>
    <w:rsid w:val="000361DA"/>
    <w:rsid w:val="00036353"/>
    <w:rsid w:val="0003636D"/>
    <w:rsid w:val="0003648C"/>
    <w:rsid w:val="00036C07"/>
    <w:rsid w:val="00036C0A"/>
    <w:rsid w:val="00036FC5"/>
    <w:rsid w:val="00037175"/>
    <w:rsid w:val="00037292"/>
    <w:rsid w:val="000377AC"/>
    <w:rsid w:val="0003785D"/>
    <w:rsid w:val="00037D23"/>
    <w:rsid w:val="0004026E"/>
    <w:rsid w:val="00040391"/>
    <w:rsid w:val="0004053C"/>
    <w:rsid w:val="00040A7E"/>
    <w:rsid w:val="00040B53"/>
    <w:rsid w:val="00040CCA"/>
    <w:rsid w:val="00040E99"/>
    <w:rsid w:val="00041125"/>
    <w:rsid w:val="00041353"/>
    <w:rsid w:val="000413EC"/>
    <w:rsid w:val="000416F2"/>
    <w:rsid w:val="00041712"/>
    <w:rsid w:val="00041BAF"/>
    <w:rsid w:val="00041D6F"/>
    <w:rsid w:val="00042166"/>
    <w:rsid w:val="0004251E"/>
    <w:rsid w:val="0004255E"/>
    <w:rsid w:val="0004265E"/>
    <w:rsid w:val="00042707"/>
    <w:rsid w:val="000428F8"/>
    <w:rsid w:val="00042EF2"/>
    <w:rsid w:val="00043220"/>
    <w:rsid w:val="0004350E"/>
    <w:rsid w:val="0004365B"/>
    <w:rsid w:val="0004377B"/>
    <w:rsid w:val="00044633"/>
    <w:rsid w:val="00044823"/>
    <w:rsid w:val="000449C2"/>
    <w:rsid w:val="000449E6"/>
    <w:rsid w:val="00045187"/>
    <w:rsid w:val="00045BCF"/>
    <w:rsid w:val="000465BD"/>
    <w:rsid w:val="000466CC"/>
    <w:rsid w:val="00046716"/>
    <w:rsid w:val="00046A6B"/>
    <w:rsid w:val="00046AE4"/>
    <w:rsid w:val="00046E0C"/>
    <w:rsid w:val="000470D4"/>
    <w:rsid w:val="00047491"/>
    <w:rsid w:val="000476AA"/>
    <w:rsid w:val="00047833"/>
    <w:rsid w:val="0004799E"/>
    <w:rsid w:val="00047AAD"/>
    <w:rsid w:val="00047ACC"/>
    <w:rsid w:val="00047C75"/>
    <w:rsid w:val="00047CBA"/>
    <w:rsid w:val="00047E65"/>
    <w:rsid w:val="0005017D"/>
    <w:rsid w:val="00050535"/>
    <w:rsid w:val="000505DC"/>
    <w:rsid w:val="00050EAB"/>
    <w:rsid w:val="000516B4"/>
    <w:rsid w:val="00051FAE"/>
    <w:rsid w:val="00052824"/>
    <w:rsid w:val="0005284A"/>
    <w:rsid w:val="00052D62"/>
    <w:rsid w:val="00052D9B"/>
    <w:rsid w:val="00052DB7"/>
    <w:rsid w:val="0005327C"/>
    <w:rsid w:val="000535BF"/>
    <w:rsid w:val="000536FC"/>
    <w:rsid w:val="000538EB"/>
    <w:rsid w:val="00054649"/>
    <w:rsid w:val="00054969"/>
    <w:rsid w:val="00054BE0"/>
    <w:rsid w:val="000559C3"/>
    <w:rsid w:val="00055C17"/>
    <w:rsid w:val="00055D51"/>
    <w:rsid w:val="00055DDE"/>
    <w:rsid w:val="00055F36"/>
    <w:rsid w:val="00056715"/>
    <w:rsid w:val="00056928"/>
    <w:rsid w:val="00056EE2"/>
    <w:rsid w:val="00056FC1"/>
    <w:rsid w:val="000573D6"/>
    <w:rsid w:val="000574E7"/>
    <w:rsid w:val="000574EB"/>
    <w:rsid w:val="00057664"/>
    <w:rsid w:val="000577C3"/>
    <w:rsid w:val="00057A72"/>
    <w:rsid w:val="00057B8D"/>
    <w:rsid w:val="00060525"/>
    <w:rsid w:val="000608FF"/>
    <w:rsid w:val="00060A31"/>
    <w:rsid w:val="000610A1"/>
    <w:rsid w:val="000612C1"/>
    <w:rsid w:val="00061786"/>
    <w:rsid w:val="00062251"/>
    <w:rsid w:val="000628CA"/>
    <w:rsid w:val="00062EE3"/>
    <w:rsid w:val="000632DB"/>
    <w:rsid w:val="000633D5"/>
    <w:rsid w:val="0006359B"/>
    <w:rsid w:val="00063613"/>
    <w:rsid w:val="0006368F"/>
    <w:rsid w:val="000639DC"/>
    <w:rsid w:val="00063BCB"/>
    <w:rsid w:val="00063DF6"/>
    <w:rsid w:val="00063EB4"/>
    <w:rsid w:val="00063ED5"/>
    <w:rsid w:val="0006526D"/>
    <w:rsid w:val="00065406"/>
    <w:rsid w:val="000658C2"/>
    <w:rsid w:val="0006591C"/>
    <w:rsid w:val="0006599E"/>
    <w:rsid w:val="00066223"/>
    <w:rsid w:val="000662EC"/>
    <w:rsid w:val="00066747"/>
    <w:rsid w:val="0006693B"/>
    <w:rsid w:val="00067263"/>
    <w:rsid w:val="00067386"/>
    <w:rsid w:val="00067C8D"/>
    <w:rsid w:val="00067DC0"/>
    <w:rsid w:val="00067EF9"/>
    <w:rsid w:val="000704C7"/>
    <w:rsid w:val="00070907"/>
    <w:rsid w:val="000709EE"/>
    <w:rsid w:val="00070FDF"/>
    <w:rsid w:val="000715F7"/>
    <w:rsid w:val="00071F77"/>
    <w:rsid w:val="000722BE"/>
    <w:rsid w:val="0007250D"/>
    <w:rsid w:val="00072579"/>
    <w:rsid w:val="000726FE"/>
    <w:rsid w:val="0007273A"/>
    <w:rsid w:val="00072747"/>
    <w:rsid w:val="00072B05"/>
    <w:rsid w:val="00072D1B"/>
    <w:rsid w:val="00072D24"/>
    <w:rsid w:val="00072DA6"/>
    <w:rsid w:val="00072F33"/>
    <w:rsid w:val="00072F65"/>
    <w:rsid w:val="000735A6"/>
    <w:rsid w:val="000736EE"/>
    <w:rsid w:val="00073931"/>
    <w:rsid w:val="00073BEA"/>
    <w:rsid w:val="00074ADE"/>
    <w:rsid w:val="00074B11"/>
    <w:rsid w:val="00074D6B"/>
    <w:rsid w:val="00074FB1"/>
    <w:rsid w:val="00074FEE"/>
    <w:rsid w:val="000750C4"/>
    <w:rsid w:val="000756DC"/>
    <w:rsid w:val="00075B67"/>
    <w:rsid w:val="00075CBA"/>
    <w:rsid w:val="00076272"/>
    <w:rsid w:val="000766D9"/>
    <w:rsid w:val="00076940"/>
    <w:rsid w:val="00076A1B"/>
    <w:rsid w:val="00076DB5"/>
    <w:rsid w:val="000771E8"/>
    <w:rsid w:val="00077809"/>
    <w:rsid w:val="00077C66"/>
    <w:rsid w:val="00077CE2"/>
    <w:rsid w:val="00080A0C"/>
    <w:rsid w:val="00080B76"/>
    <w:rsid w:val="00080CA6"/>
    <w:rsid w:val="00081895"/>
    <w:rsid w:val="000818CF"/>
    <w:rsid w:val="00081AF8"/>
    <w:rsid w:val="00081C9F"/>
    <w:rsid w:val="00081D60"/>
    <w:rsid w:val="000824D8"/>
    <w:rsid w:val="00082666"/>
    <w:rsid w:val="0008298D"/>
    <w:rsid w:val="000829FA"/>
    <w:rsid w:val="00082D06"/>
    <w:rsid w:val="00082DD9"/>
    <w:rsid w:val="000830FA"/>
    <w:rsid w:val="00083359"/>
    <w:rsid w:val="00083712"/>
    <w:rsid w:val="00083A6F"/>
    <w:rsid w:val="00083C47"/>
    <w:rsid w:val="00083D7E"/>
    <w:rsid w:val="00083FDF"/>
    <w:rsid w:val="00084144"/>
    <w:rsid w:val="00084263"/>
    <w:rsid w:val="000843DE"/>
    <w:rsid w:val="00084859"/>
    <w:rsid w:val="00084C70"/>
    <w:rsid w:val="00084CC6"/>
    <w:rsid w:val="00084CD8"/>
    <w:rsid w:val="00084FB0"/>
    <w:rsid w:val="00085D9E"/>
    <w:rsid w:val="00085F22"/>
    <w:rsid w:val="00086854"/>
    <w:rsid w:val="00086BB5"/>
    <w:rsid w:val="00086BF7"/>
    <w:rsid w:val="00086C00"/>
    <w:rsid w:val="00087301"/>
    <w:rsid w:val="00087316"/>
    <w:rsid w:val="000874EC"/>
    <w:rsid w:val="000878D1"/>
    <w:rsid w:val="00087EC6"/>
    <w:rsid w:val="000906D3"/>
    <w:rsid w:val="00090AEA"/>
    <w:rsid w:val="00091092"/>
    <w:rsid w:val="000914E4"/>
    <w:rsid w:val="00091519"/>
    <w:rsid w:val="00091526"/>
    <w:rsid w:val="00091B64"/>
    <w:rsid w:val="00091BD0"/>
    <w:rsid w:val="000923BE"/>
    <w:rsid w:val="00092B5A"/>
    <w:rsid w:val="00092C03"/>
    <w:rsid w:val="00093280"/>
    <w:rsid w:val="00093517"/>
    <w:rsid w:val="000935CA"/>
    <w:rsid w:val="00093F81"/>
    <w:rsid w:val="00093F95"/>
    <w:rsid w:val="00094281"/>
    <w:rsid w:val="000946E3"/>
    <w:rsid w:val="00094860"/>
    <w:rsid w:val="00094F43"/>
    <w:rsid w:val="000951E3"/>
    <w:rsid w:val="00095320"/>
    <w:rsid w:val="0009593D"/>
    <w:rsid w:val="00095C1E"/>
    <w:rsid w:val="00095CF9"/>
    <w:rsid w:val="00095FD9"/>
    <w:rsid w:val="0009620A"/>
    <w:rsid w:val="00096217"/>
    <w:rsid w:val="00096896"/>
    <w:rsid w:val="00096A6D"/>
    <w:rsid w:val="00096B86"/>
    <w:rsid w:val="00096C70"/>
    <w:rsid w:val="00097647"/>
    <w:rsid w:val="00097650"/>
    <w:rsid w:val="00097AA2"/>
    <w:rsid w:val="00097AA9"/>
    <w:rsid w:val="00097BB6"/>
    <w:rsid w:val="00097EA6"/>
    <w:rsid w:val="000A02A2"/>
    <w:rsid w:val="000A0671"/>
    <w:rsid w:val="000A1308"/>
    <w:rsid w:val="000A140B"/>
    <w:rsid w:val="000A1774"/>
    <w:rsid w:val="000A19A4"/>
    <w:rsid w:val="000A1B48"/>
    <w:rsid w:val="000A2730"/>
    <w:rsid w:val="000A2B61"/>
    <w:rsid w:val="000A2E3F"/>
    <w:rsid w:val="000A31AB"/>
    <w:rsid w:val="000A3623"/>
    <w:rsid w:val="000A36AE"/>
    <w:rsid w:val="000A3A00"/>
    <w:rsid w:val="000A3ACE"/>
    <w:rsid w:val="000A43BD"/>
    <w:rsid w:val="000A4B21"/>
    <w:rsid w:val="000A5274"/>
    <w:rsid w:val="000A54DE"/>
    <w:rsid w:val="000A57AC"/>
    <w:rsid w:val="000A5EA6"/>
    <w:rsid w:val="000A6155"/>
    <w:rsid w:val="000A68AF"/>
    <w:rsid w:val="000A6A5E"/>
    <w:rsid w:val="000A6BFD"/>
    <w:rsid w:val="000A6C1F"/>
    <w:rsid w:val="000A6E41"/>
    <w:rsid w:val="000A6ED2"/>
    <w:rsid w:val="000A6FC0"/>
    <w:rsid w:val="000A77C3"/>
    <w:rsid w:val="000B0F6D"/>
    <w:rsid w:val="000B123D"/>
    <w:rsid w:val="000B187C"/>
    <w:rsid w:val="000B1C6D"/>
    <w:rsid w:val="000B1C90"/>
    <w:rsid w:val="000B2771"/>
    <w:rsid w:val="000B2B1C"/>
    <w:rsid w:val="000B2D1C"/>
    <w:rsid w:val="000B2D1D"/>
    <w:rsid w:val="000B2D51"/>
    <w:rsid w:val="000B2E28"/>
    <w:rsid w:val="000B31C3"/>
    <w:rsid w:val="000B36BA"/>
    <w:rsid w:val="000B36DB"/>
    <w:rsid w:val="000B386F"/>
    <w:rsid w:val="000B4BE7"/>
    <w:rsid w:val="000B4C25"/>
    <w:rsid w:val="000B4E1E"/>
    <w:rsid w:val="000B50BC"/>
    <w:rsid w:val="000B50DD"/>
    <w:rsid w:val="000B5141"/>
    <w:rsid w:val="000B54B5"/>
    <w:rsid w:val="000B578B"/>
    <w:rsid w:val="000B5910"/>
    <w:rsid w:val="000B5979"/>
    <w:rsid w:val="000B67B0"/>
    <w:rsid w:val="000B6AB3"/>
    <w:rsid w:val="000B6F4C"/>
    <w:rsid w:val="000B7018"/>
    <w:rsid w:val="000B7C13"/>
    <w:rsid w:val="000B7CB8"/>
    <w:rsid w:val="000B7F3A"/>
    <w:rsid w:val="000C0213"/>
    <w:rsid w:val="000C0242"/>
    <w:rsid w:val="000C066A"/>
    <w:rsid w:val="000C06CD"/>
    <w:rsid w:val="000C0B22"/>
    <w:rsid w:val="000C0D3C"/>
    <w:rsid w:val="000C0D4D"/>
    <w:rsid w:val="000C0D7C"/>
    <w:rsid w:val="000C154E"/>
    <w:rsid w:val="000C16EB"/>
    <w:rsid w:val="000C180C"/>
    <w:rsid w:val="000C1C5E"/>
    <w:rsid w:val="000C1C64"/>
    <w:rsid w:val="000C1E45"/>
    <w:rsid w:val="000C1F35"/>
    <w:rsid w:val="000C228C"/>
    <w:rsid w:val="000C2638"/>
    <w:rsid w:val="000C2682"/>
    <w:rsid w:val="000C2B04"/>
    <w:rsid w:val="000C2CDD"/>
    <w:rsid w:val="000C2FA0"/>
    <w:rsid w:val="000C340E"/>
    <w:rsid w:val="000C393E"/>
    <w:rsid w:val="000C3A49"/>
    <w:rsid w:val="000C3D62"/>
    <w:rsid w:val="000C3E8A"/>
    <w:rsid w:val="000C43C5"/>
    <w:rsid w:val="000C4BEF"/>
    <w:rsid w:val="000C4E2D"/>
    <w:rsid w:val="000C51B2"/>
    <w:rsid w:val="000C59CC"/>
    <w:rsid w:val="000C5DCC"/>
    <w:rsid w:val="000C5DFA"/>
    <w:rsid w:val="000C5E98"/>
    <w:rsid w:val="000C612F"/>
    <w:rsid w:val="000C6303"/>
    <w:rsid w:val="000C6330"/>
    <w:rsid w:val="000C6675"/>
    <w:rsid w:val="000C6901"/>
    <w:rsid w:val="000C6B2B"/>
    <w:rsid w:val="000C6F39"/>
    <w:rsid w:val="000C73FD"/>
    <w:rsid w:val="000C7BB6"/>
    <w:rsid w:val="000C7D24"/>
    <w:rsid w:val="000D032C"/>
    <w:rsid w:val="000D06CB"/>
    <w:rsid w:val="000D0967"/>
    <w:rsid w:val="000D0F0C"/>
    <w:rsid w:val="000D1410"/>
    <w:rsid w:val="000D1524"/>
    <w:rsid w:val="000D161F"/>
    <w:rsid w:val="000D186C"/>
    <w:rsid w:val="000D234D"/>
    <w:rsid w:val="000D25C1"/>
    <w:rsid w:val="000D29C8"/>
    <w:rsid w:val="000D2C0A"/>
    <w:rsid w:val="000D2FEC"/>
    <w:rsid w:val="000D3227"/>
    <w:rsid w:val="000D344E"/>
    <w:rsid w:val="000D3490"/>
    <w:rsid w:val="000D36F7"/>
    <w:rsid w:val="000D3789"/>
    <w:rsid w:val="000D3A1B"/>
    <w:rsid w:val="000D3A65"/>
    <w:rsid w:val="000D3DD4"/>
    <w:rsid w:val="000D3FAE"/>
    <w:rsid w:val="000D433F"/>
    <w:rsid w:val="000D4745"/>
    <w:rsid w:val="000D49F9"/>
    <w:rsid w:val="000D4B58"/>
    <w:rsid w:val="000D5521"/>
    <w:rsid w:val="000D5526"/>
    <w:rsid w:val="000D57EF"/>
    <w:rsid w:val="000D5D06"/>
    <w:rsid w:val="000D5DA2"/>
    <w:rsid w:val="000D5F22"/>
    <w:rsid w:val="000D5FC2"/>
    <w:rsid w:val="000D60C1"/>
    <w:rsid w:val="000D618C"/>
    <w:rsid w:val="000D6821"/>
    <w:rsid w:val="000D6895"/>
    <w:rsid w:val="000D6BBC"/>
    <w:rsid w:val="000D6D99"/>
    <w:rsid w:val="000D6E59"/>
    <w:rsid w:val="000D6EB0"/>
    <w:rsid w:val="000D7AC1"/>
    <w:rsid w:val="000D7D10"/>
    <w:rsid w:val="000E004F"/>
    <w:rsid w:val="000E0065"/>
    <w:rsid w:val="000E0274"/>
    <w:rsid w:val="000E033F"/>
    <w:rsid w:val="000E0642"/>
    <w:rsid w:val="000E0B02"/>
    <w:rsid w:val="000E1783"/>
    <w:rsid w:val="000E2972"/>
    <w:rsid w:val="000E2B65"/>
    <w:rsid w:val="000E2E06"/>
    <w:rsid w:val="000E2EC7"/>
    <w:rsid w:val="000E2F08"/>
    <w:rsid w:val="000E3608"/>
    <w:rsid w:val="000E3776"/>
    <w:rsid w:val="000E383B"/>
    <w:rsid w:val="000E38C1"/>
    <w:rsid w:val="000E3C9D"/>
    <w:rsid w:val="000E3DC4"/>
    <w:rsid w:val="000E3F57"/>
    <w:rsid w:val="000E3FB2"/>
    <w:rsid w:val="000E42AF"/>
    <w:rsid w:val="000E490B"/>
    <w:rsid w:val="000E4C87"/>
    <w:rsid w:val="000E58B6"/>
    <w:rsid w:val="000E5A00"/>
    <w:rsid w:val="000E5EBB"/>
    <w:rsid w:val="000E5EEC"/>
    <w:rsid w:val="000E628F"/>
    <w:rsid w:val="000E63E7"/>
    <w:rsid w:val="000E6719"/>
    <w:rsid w:val="000E6894"/>
    <w:rsid w:val="000E69C1"/>
    <w:rsid w:val="000E73A6"/>
    <w:rsid w:val="000E7544"/>
    <w:rsid w:val="000E775F"/>
    <w:rsid w:val="000E7F9F"/>
    <w:rsid w:val="000F0A14"/>
    <w:rsid w:val="000F0F48"/>
    <w:rsid w:val="000F10CB"/>
    <w:rsid w:val="000F1113"/>
    <w:rsid w:val="000F113B"/>
    <w:rsid w:val="000F1644"/>
    <w:rsid w:val="000F1A36"/>
    <w:rsid w:val="000F1B00"/>
    <w:rsid w:val="000F1CF0"/>
    <w:rsid w:val="000F2310"/>
    <w:rsid w:val="000F2C0E"/>
    <w:rsid w:val="000F2D20"/>
    <w:rsid w:val="000F41B5"/>
    <w:rsid w:val="000F44E9"/>
    <w:rsid w:val="000F4576"/>
    <w:rsid w:val="000F4790"/>
    <w:rsid w:val="000F49AA"/>
    <w:rsid w:val="000F4CFF"/>
    <w:rsid w:val="000F4FBA"/>
    <w:rsid w:val="000F5043"/>
    <w:rsid w:val="000F5064"/>
    <w:rsid w:val="000F5320"/>
    <w:rsid w:val="000F56CB"/>
    <w:rsid w:val="000F5DFA"/>
    <w:rsid w:val="000F6651"/>
    <w:rsid w:val="000F666D"/>
    <w:rsid w:val="000F67D2"/>
    <w:rsid w:val="000F69A3"/>
    <w:rsid w:val="000F6D26"/>
    <w:rsid w:val="000F6E67"/>
    <w:rsid w:val="000F7001"/>
    <w:rsid w:val="000F70A3"/>
    <w:rsid w:val="000F7125"/>
    <w:rsid w:val="000F733C"/>
    <w:rsid w:val="000F79A6"/>
    <w:rsid w:val="000F79D1"/>
    <w:rsid w:val="000F7A39"/>
    <w:rsid w:val="000F7C8A"/>
    <w:rsid w:val="000F7C93"/>
    <w:rsid w:val="000F7D53"/>
    <w:rsid w:val="00100080"/>
    <w:rsid w:val="00100423"/>
    <w:rsid w:val="00100AA1"/>
    <w:rsid w:val="00100EDF"/>
    <w:rsid w:val="0010100F"/>
    <w:rsid w:val="00101403"/>
    <w:rsid w:val="00101BD2"/>
    <w:rsid w:val="00101E81"/>
    <w:rsid w:val="00101E85"/>
    <w:rsid w:val="00102074"/>
    <w:rsid w:val="001020B3"/>
    <w:rsid w:val="001020C7"/>
    <w:rsid w:val="00102127"/>
    <w:rsid w:val="0010296E"/>
    <w:rsid w:val="00102F0A"/>
    <w:rsid w:val="0010327E"/>
    <w:rsid w:val="00103546"/>
    <w:rsid w:val="00103AE2"/>
    <w:rsid w:val="00103B26"/>
    <w:rsid w:val="00103B2A"/>
    <w:rsid w:val="00103F50"/>
    <w:rsid w:val="00103FEC"/>
    <w:rsid w:val="00104267"/>
    <w:rsid w:val="001043FD"/>
    <w:rsid w:val="001046B0"/>
    <w:rsid w:val="00104F79"/>
    <w:rsid w:val="0010506B"/>
    <w:rsid w:val="0010507D"/>
    <w:rsid w:val="00105143"/>
    <w:rsid w:val="001052DE"/>
    <w:rsid w:val="00105922"/>
    <w:rsid w:val="00105C22"/>
    <w:rsid w:val="00105E76"/>
    <w:rsid w:val="00105F38"/>
    <w:rsid w:val="0010695A"/>
    <w:rsid w:val="00106DC4"/>
    <w:rsid w:val="0010721E"/>
    <w:rsid w:val="0010795F"/>
    <w:rsid w:val="00107A4C"/>
    <w:rsid w:val="00107B2C"/>
    <w:rsid w:val="00107D69"/>
    <w:rsid w:val="00110367"/>
    <w:rsid w:val="00110378"/>
    <w:rsid w:val="00110559"/>
    <w:rsid w:val="00110784"/>
    <w:rsid w:val="00110F4C"/>
    <w:rsid w:val="00110F53"/>
    <w:rsid w:val="00111233"/>
    <w:rsid w:val="001113CA"/>
    <w:rsid w:val="00111447"/>
    <w:rsid w:val="00111F71"/>
    <w:rsid w:val="00112084"/>
    <w:rsid w:val="001121A7"/>
    <w:rsid w:val="00112955"/>
    <w:rsid w:val="00112CEB"/>
    <w:rsid w:val="00113181"/>
    <w:rsid w:val="001131FC"/>
    <w:rsid w:val="00113223"/>
    <w:rsid w:val="0011353A"/>
    <w:rsid w:val="00113544"/>
    <w:rsid w:val="001136EC"/>
    <w:rsid w:val="00113B90"/>
    <w:rsid w:val="00113DC6"/>
    <w:rsid w:val="001143F8"/>
    <w:rsid w:val="00114506"/>
    <w:rsid w:val="00114F68"/>
    <w:rsid w:val="001152AE"/>
    <w:rsid w:val="001152B3"/>
    <w:rsid w:val="00115D93"/>
    <w:rsid w:val="00115DE8"/>
    <w:rsid w:val="001169F8"/>
    <w:rsid w:val="00116AA3"/>
    <w:rsid w:val="001172E2"/>
    <w:rsid w:val="001175DB"/>
    <w:rsid w:val="001178B7"/>
    <w:rsid w:val="00117923"/>
    <w:rsid w:val="001179DA"/>
    <w:rsid w:val="001179E8"/>
    <w:rsid w:val="00117F23"/>
    <w:rsid w:val="00121571"/>
    <w:rsid w:val="00122348"/>
    <w:rsid w:val="001224B8"/>
    <w:rsid w:val="00122555"/>
    <w:rsid w:val="00122721"/>
    <w:rsid w:val="001228B7"/>
    <w:rsid w:val="00122B55"/>
    <w:rsid w:val="00122E23"/>
    <w:rsid w:val="001231AC"/>
    <w:rsid w:val="00123298"/>
    <w:rsid w:val="001239CD"/>
    <w:rsid w:val="00123BE5"/>
    <w:rsid w:val="00124160"/>
    <w:rsid w:val="001241D1"/>
    <w:rsid w:val="0012438B"/>
    <w:rsid w:val="00124648"/>
    <w:rsid w:val="0012487F"/>
    <w:rsid w:val="001248A3"/>
    <w:rsid w:val="001248BF"/>
    <w:rsid w:val="00124A20"/>
    <w:rsid w:val="00124AA7"/>
    <w:rsid w:val="00124AB9"/>
    <w:rsid w:val="00124BD7"/>
    <w:rsid w:val="00124BEE"/>
    <w:rsid w:val="00125572"/>
    <w:rsid w:val="00125591"/>
    <w:rsid w:val="00125762"/>
    <w:rsid w:val="00125826"/>
    <w:rsid w:val="001259D8"/>
    <w:rsid w:val="00125B40"/>
    <w:rsid w:val="00125D5B"/>
    <w:rsid w:val="00126407"/>
    <w:rsid w:val="001265BE"/>
    <w:rsid w:val="0012662B"/>
    <w:rsid w:val="00126693"/>
    <w:rsid w:val="001269A6"/>
    <w:rsid w:val="00126FFE"/>
    <w:rsid w:val="00127B99"/>
    <w:rsid w:val="00127D92"/>
    <w:rsid w:val="00127F17"/>
    <w:rsid w:val="0013035C"/>
    <w:rsid w:val="00130CDE"/>
    <w:rsid w:val="001311CD"/>
    <w:rsid w:val="001312D9"/>
    <w:rsid w:val="00131861"/>
    <w:rsid w:val="00131C06"/>
    <w:rsid w:val="00131F36"/>
    <w:rsid w:val="00132917"/>
    <w:rsid w:val="00132A2D"/>
    <w:rsid w:val="00132B26"/>
    <w:rsid w:val="00132D5F"/>
    <w:rsid w:val="00132E0B"/>
    <w:rsid w:val="0013315E"/>
    <w:rsid w:val="001337D7"/>
    <w:rsid w:val="001339A7"/>
    <w:rsid w:val="001339CD"/>
    <w:rsid w:val="00133A18"/>
    <w:rsid w:val="00133ACF"/>
    <w:rsid w:val="00133E1F"/>
    <w:rsid w:val="00134588"/>
    <w:rsid w:val="00134BBD"/>
    <w:rsid w:val="0013533B"/>
    <w:rsid w:val="00135376"/>
    <w:rsid w:val="001355BF"/>
    <w:rsid w:val="001355C6"/>
    <w:rsid w:val="00135947"/>
    <w:rsid w:val="00135B2A"/>
    <w:rsid w:val="00135E59"/>
    <w:rsid w:val="00135E91"/>
    <w:rsid w:val="00135EEE"/>
    <w:rsid w:val="0013662D"/>
    <w:rsid w:val="00136F62"/>
    <w:rsid w:val="00137003"/>
    <w:rsid w:val="00137C79"/>
    <w:rsid w:val="00137DAC"/>
    <w:rsid w:val="00140C0B"/>
    <w:rsid w:val="00141092"/>
    <w:rsid w:val="001411D7"/>
    <w:rsid w:val="00141308"/>
    <w:rsid w:val="00141548"/>
    <w:rsid w:val="00141D4B"/>
    <w:rsid w:val="00141E38"/>
    <w:rsid w:val="00142496"/>
    <w:rsid w:val="0014283D"/>
    <w:rsid w:val="00142CFD"/>
    <w:rsid w:val="0014323C"/>
    <w:rsid w:val="00143482"/>
    <w:rsid w:val="00143689"/>
    <w:rsid w:val="00143CF6"/>
    <w:rsid w:val="00144084"/>
    <w:rsid w:val="001448AD"/>
    <w:rsid w:val="00144928"/>
    <w:rsid w:val="00144941"/>
    <w:rsid w:val="00144C4C"/>
    <w:rsid w:val="00144CE1"/>
    <w:rsid w:val="00145C98"/>
    <w:rsid w:val="00146315"/>
    <w:rsid w:val="00146567"/>
    <w:rsid w:val="0014690C"/>
    <w:rsid w:val="0014700F"/>
    <w:rsid w:val="00147288"/>
    <w:rsid w:val="00147BF8"/>
    <w:rsid w:val="00147FBC"/>
    <w:rsid w:val="001500FD"/>
    <w:rsid w:val="0015048A"/>
    <w:rsid w:val="00150633"/>
    <w:rsid w:val="001508B7"/>
    <w:rsid w:val="00150B09"/>
    <w:rsid w:val="00150F5C"/>
    <w:rsid w:val="00151147"/>
    <w:rsid w:val="001513AE"/>
    <w:rsid w:val="00151883"/>
    <w:rsid w:val="00151B6C"/>
    <w:rsid w:val="0015211A"/>
    <w:rsid w:val="00152171"/>
    <w:rsid w:val="00152791"/>
    <w:rsid w:val="00153A50"/>
    <w:rsid w:val="00153C60"/>
    <w:rsid w:val="001540A4"/>
    <w:rsid w:val="00154DF0"/>
    <w:rsid w:val="00154F23"/>
    <w:rsid w:val="0015527F"/>
    <w:rsid w:val="00155726"/>
    <w:rsid w:val="0015595C"/>
    <w:rsid w:val="00155BD4"/>
    <w:rsid w:val="00155F19"/>
    <w:rsid w:val="001560BF"/>
    <w:rsid w:val="001561A1"/>
    <w:rsid w:val="0015647E"/>
    <w:rsid w:val="00156A6B"/>
    <w:rsid w:val="00156B1E"/>
    <w:rsid w:val="00157DF3"/>
    <w:rsid w:val="00157E9B"/>
    <w:rsid w:val="00157EF8"/>
    <w:rsid w:val="00157F7E"/>
    <w:rsid w:val="00160665"/>
    <w:rsid w:val="00160932"/>
    <w:rsid w:val="001611AA"/>
    <w:rsid w:val="001615FF"/>
    <w:rsid w:val="0016192D"/>
    <w:rsid w:val="00161A47"/>
    <w:rsid w:val="00161A66"/>
    <w:rsid w:val="00161BD4"/>
    <w:rsid w:val="00162314"/>
    <w:rsid w:val="001624FB"/>
    <w:rsid w:val="00162804"/>
    <w:rsid w:val="00162BFB"/>
    <w:rsid w:val="00162C84"/>
    <w:rsid w:val="00162DD6"/>
    <w:rsid w:val="00163176"/>
    <w:rsid w:val="0016359F"/>
    <w:rsid w:val="0016365F"/>
    <w:rsid w:val="0016380F"/>
    <w:rsid w:val="00163974"/>
    <w:rsid w:val="00163BAD"/>
    <w:rsid w:val="00163F4E"/>
    <w:rsid w:val="001640C5"/>
    <w:rsid w:val="001641BE"/>
    <w:rsid w:val="00164643"/>
    <w:rsid w:val="00164A2C"/>
    <w:rsid w:val="00164CBF"/>
    <w:rsid w:val="00165194"/>
    <w:rsid w:val="0016560D"/>
    <w:rsid w:val="001656C8"/>
    <w:rsid w:val="0016589B"/>
    <w:rsid w:val="00165C32"/>
    <w:rsid w:val="00166158"/>
    <w:rsid w:val="00166610"/>
    <w:rsid w:val="001667E1"/>
    <w:rsid w:val="0016690C"/>
    <w:rsid w:val="0016696D"/>
    <w:rsid w:val="00166C5A"/>
    <w:rsid w:val="00166D15"/>
    <w:rsid w:val="00166F32"/>
    <w:rsid w:val="00167157"/>
    <w:rsid w:val="00167207"/>
    <w:rsid w:val="00167359"/>
    <w:rsid w:val="0016739E"/>
    <w:rsid w:val="001674A6"/>
    <w:rsid w:val="001674F2"/>
    <w:rsid w:val="001677E5"/>
    <w:rsid w:val="00167AC4"/>
    <w:rsid w:val="00167AFB"/>
    <w:rsid w:val="0017015C"/>
    <w:rsid w:val="00170207"/>
    <w:rsid w:val="001703FD"/>
    <w:rsid w:val="0017061D"/>
    <w:rsid w:val="00170791"/>
    <w:rsid w:val="00170A60"/>
    <w:rsid w:val="00170A7E"/>
    <w:rsid w:val="00170E24"/>
    <w:rsid w:val="00170FC9"/>
    <w:rsid w:val="00171307"/>
    <w:rsid w:val="00171B30"/>
    <w:rsid w:val="00171B92"/>
    <w:rsid w:val="00172443"/>
    <w:rsid w:val="0017285E"/>
    <w:rsid w:val="00172975"/>
    <w:rsid w:val="00172F44"/>
    <w:rsid w:val="001730EE"/>
    <w:rsid w:val="001737E8"/>
    <w:rsid w:val="00173AAA"/>
    <w:rsid w:val="00173E58"/>
    <w:rsid w:val="00174074"/>
    <w:rsid w:val="0017431A"/>
    <w:rsid w:val="00174399"/>
    <w:rsid w:val="00174480"/>
    <w:rsid w:val="001744FF"/>
    <w:rsid w:val="00175516"/>
    <w:rsid w:val="001755F0"/>
    <w:rsid w:val="00175772"/>
    <w:rsid w:val="001759C9"/>
    <w:rsid w:val="00175A52"/>
    <w:rsid w:val="00175CBE"/>
    <w:rsid w:val="00175F66"/>
    <w:rsid w:val="0017609F"/>
    <w:rsid w:val="001761DD"/>
    <w:rsid w:val="001763C9"/>
    <w:rsid w:val="0017651E"/>
    <w:rsid w:val="00176766"/>
    <w:rsid w:val="00176823"/>
    <w:rsid w:val="00176AFD"/>
    <w:rsid w:val="00176BE2"/>
    <w:rsid w:val="00177182"/>
    <w:rsid w:val="00177319"/>
    <w:rsid w:val="001774D9"/>
    <w:rsid w:val="00177EBE"/>
    <w:rsid w:val="00177F96"/>
    <w:rsid w:val="0018006C"/>
    <w:rsid w:val="001808E4"/>
    <w:rsid w:val="00181D22"/>
    <w:rsid w:val="00181E76"/>
    <w:rsid w:val="00182918"/>
    <w:rsid w:val="00182ACD"/>
    <w:rsid w:val="00183401"/>
    <w:rsid w:val="00183433"/>
    <w:rsid w:val="00183A86"/>
    <w:rsid w:val="00183E10"/>
    <w:rsid w:val="00183E33"/>
    <w:rsid w:val="00184015"/>
    <w:rsid w:val="0018404A"/>
    <w:rsid w:val="0018422B"/>
    <w:rsid w:val="00184469"/>
    <w:rsid w:val="00184737"/>
    <w:rsid w:val="00184789"/>
    <w:rsid w:val="00184849"/>
    <w:rsid w:val="00184D03"/>
    <w:rsid w:val="00184D1B"/>
    <w:rsid w:val="00184E19"/>
    <w:rsid w:val="001850EF"/>
    <w:rsid w:val="0018586A"/>
    <w:rsid w:val="00185C8E"/>
    <w:rsid w:val="001861F0"/>
    <w:rsid w:val="001862CA"/>
    <w:rsid w:val="0018675E"/>
    <w:rsid w:val="00187000"/>
    <w:rsid w:val="0018765D"/>
    <w:rsid w:val="001904C3"/>
    <w:rsid w:val="00190B20"/>
    <w:rsid w:val="00190BB2"/>
    <w:rsid w:val="00190D9B"/>
    <w:rsid w:val="00190DE9"/>
    <w:rsid w:val="001911AD"/>
    <w:rsid w:val="00191545"/>
    <w:rsid w:val="0019167E"/>
    <w:rsid w:val="001916A6"/>
    <w:rsid w:val="00191B42"/>
    <w:rsid w:val="00191C21"/>
    <w:rsid w:val="00191E43"/>
    <w:rsid w:val="00191ED1"/>
    <w:rsid w:val="001922DA"/>
    <w:rsid w:val="00192346"/>
    <w:rsid w:val="001926C1"/>
    <w:rsid w:val="001926D7"/>
    <w:rsid w:val="001929BF"/>
    <w:rsid w:val="001929ED"/>
    <w:rsid w:val="00193045"/>
    <w:rsid w:val="001938D8"/>
    <w:rsid w:val="00193EF3"/>
    <w:rsid w:val="00194236"/>
    <w:rsid w:val="001942CB"/>
    <w:rsid w:val="0019463F"/>
    <w:rsid w:val="00194C43"/>
    <w:rsid w:val="00195029"/>
    <w:rsid w:val="001951D0"/>
    <w:rsid w:val="00195989"/>
    <w:rsid w:val="00196273"/>
    <w:rsid w:val="001962B1"/>
    <w:rsid w:val="0019642D"/>
    <w:rsid w:val="001964AB"/>
    <w:rsid w:val="00196552"/>
    <w:rsid w:val="001966A8"/>
    <w:rsid w:val="00196712"/>
    <w:rsid w:val="00196A07"/>
    <w:rsid w:val="00196C3D"/>
    <w:rsid w:val="00196EB1"/>
    <w:rsid w:val="00196EB2"/>
    <w:rsid w:val="00196FAB"/>
    <w:rsid w:val="0019713D"/>
    <w:rsid w:val="001971F1"/>
    <w:rsid w:val="00197BA9"/>
    <w:rsid w:val="00197F6D"/>
    <w:rsid w:val="001A00AE"/>
    <w:rsid w:val="001A0274"/>
    <w:rsid w:val="001A04D5"/>
    <w:rsid w:val="001A066E"/>
    <w:rsid w:val="001A06CE"/>
    <w:rsid w:val="001A0758"/>
    <w:rsid w:val="001A0A04"/>
    <w:rsid w:val="001A0E02"/>
    <w:rsid w:val="001A1544"/>
    <w:rsid w:val="001A16D7"/>
    <w:rsid w:val="001A1717"/>
    <w:rsid w:val="001A25C6"/>
    <w:rsid w:val="001A278A"/>
    <w:rsid w:val="001A2B85"/>
    <w:rsid w:val="001A3966"/>
    <w:rsid w:val="001A4390"/>
    <w:rsid w:val="001A4939"/>
    <w:rsid w:val="001A4BD5"/>
    <w:rsid w:val="001A4BF9"/>
    <w:rsid w:val="001A4C84"/>
    <w:rsid w:val="001A4DBF"/>
    <w:rsid w:val="001A5450"/>
    <w:rsid w:val="001A5501"/>
    <w:rsid w:val="001A58B2"/>
    <w:rsid w:val="001A6307"/>
    <w:rsid w:val="001A6569"/>
    <w:rsid w:val="001A6579"/>
    <w:rsid w:val="001A6988"/>
    <w:rsid w:val="001A69D0"/>
    <w:rsid w:val="001A6B3C"/>
    <w:rsid w:val="001A6D1C"/>
    <w:rsid w:val="001A6F7C"/>
    <w:rsid w:val="001A7395"/>
    <w:rsid w:val="001B0489"/>
    <w:rsid w:val="001B04CE"/>
    <w:rsid w:val="001B04D4"/>
    <w:rsid w:val="001B0654"/>
    <w:rsid w:val="001B0740"/>
    <w:rsid w:val="001B0B76"/>
    <w:rsid w:val="001B11EC"/>
    <w:rsid w:val="001B17F3"/>
    <w:rsid w:val="001B1F33"/>
    <w:rsid w:val="001B23F6"/>
    <w:rsid w:val="001B298E"/>
    <w:rsid w:val="001B2BA9"/>
    <w:rsid w:val="001B2D98"/>
    <w:rsid w:val="001B3214"/>
    <w:rsid w:val="001B36C6"/>
    <w:rsid w:val="001B3918"/>
    <w:rsid w:val="001B3D45"/>
    <w:rsid w:val="001B409E"/>
    <w:rsid w:val="001B41EC"/>
    <w:rsid w:val="001B4DD6"/>
    <w:rsid w:val="001B4ED0"/>
    <w:rsid w:val="001B52F3"/>
    <w:rsid w:val="001B54DF"/>
    <w:rsid w:val="001B5FAA"/>
    <w:rsid w:val="001B62B1"/>
    <w:rsid w:val="001B65B8"/>
    <w:rsid w:val="001B76C4"/>
    <w:rsid w:val="001B7962"/>
    <w:rsid w:val="001B7CC7"/>
    <w:rsid w:val="001C045B"/>
    <w:rsid w:val="001C0607"/>
    <w:rsid w:val="001C08F6"/>
    <w:rsid w:val="001C12FE"/>
    <w:rsid w:val="001C177C"/>
    <w:rsid w:val="001C1C31"/>
    <w:rsid w:val="001C1D0E"/>
    <w:rsid w:val="001C1D28"/>
    <w:rsid w:val="001C1E8F"/>
    <w:rsid w:val="001C206A"/>
    <w:rsid w:val="001C28F4"/>
    <w:rsid w:val="001C2C84"/>
    <w:rsid w:val="001C2F9C"/>
    <w:rsid w:val="001C312C"/>
    <w:rsid w:val="001C32A0"/>
    <w:rsid w:val="001C3555"/>
    <w:rsid w:val="001C35F8"/>
    <w:rsid w:val="001C36FC"/>
    <w:rsid w:val="001C3955"/>
    <w:rsid w:val="001C3EF2"/>
    <w:rsid w:val="001C3F4A"/>
    <w:rsid w:val="001C437C"/>
    <w:rsid w:val="001C4637"/>
    <w:rsid w:val="001C4A58"/>
    <w:rsid w:val="001C4EE9"/>
    <w:rsid w:val="001C5087"/>
    <w:rsid w:val="001C52D8"/>
    <w:rsid w:val="001C53E6"/>
    <w:rsid w:val="001C57A7"/>
    <w:rsid w:val="001C59D3"/>
    <w:rsid w:val="001C5A69"/>
    <w:rsid w:val="001C5B12"/>
    <w:rsid w:val="001C60DA"/>
    <w:rsid w:val="001C67C5"/>
    <w:rsid w:val="001C694F"/>
    <w:rsid w:val="001C6DA6"/>
    <w:rsid w:val="001C73CE"/>
    <w:rsid w:val="001C746B"/>
    <w:rsid w:val="001C77E8"/>
    <w:rsid w:val="001D0387"/>
    <w:rsid w:val="001D067F"/>
    <w:rsid w:val="001D0878"/>
    <w:rsid w:val="001D0B65"/>
    <w:rsid w:val="001D0C7F"/>
    <w:rsid w:val="001D0F11"/>
    <w:rsid w:val="001D115A"/>
    <w:rsid w:val="001D116F"/>
    <w:rsid w:val="001D124B"/>
    <w:rsid w:val="001D166C"/>
    <w:rsid w:val="001D1F5F"/>
    <w:rsid w:val="001D1FE4"/>
    <w:rsid w:val="001D2354"/>
    <w:rsid w:val="001D23E3"/>
    <w:rsid w:val="001D289B"/>
    <w:rsid w:val="001D2C55"/>
    <w:rsid w:val="001D2E9F"/>
    <w:rsid w:val="001D386E"/>
    <w:rsid w:val="001D3A86"/>
    <w:rsid w:val="001D3D3A"/>
    <w:rsid w:val="001D3D6D"/>
    <w:rsid w:val="001D3E81"/>
    <w:rsid w:val="001D43CF"/>
    <w:rsid w:val="001D43DC"/>
    <w:rsid w:val="001D44C8"/>
    <w:rsid w:val="001D45BF"/>
    <w:rsid w:val="001D49D1"/>
    <w:rsid w:val="001D4DCE"/>
    <w:rsid w:val="001D4FF4"/>
    <w:rsid w:val="001D5235"/>
    <w:rsid w:val="001D57E9"/>
    <w:rsid w:val="001D5F33"/>
    <w:rsid w:val="001D5FC7"/>
    <w:rsid w:val="001D605D"/>
    <w:rsid w:val="001D6981"/>
    <w:rsid w:val="001D6B07"/>
    <w:rsid w:val="001D6EEE"/>
    <w:rsid w:val="001D6F7B"/>
    <w:rsid w:val="001D7030"/>
    <w:rsid w:val="001D77CF"/>
    <w:rsid w:val="001D79CF"/>
    <w:rsid w:val="001D7B2A"/>
    <w:rsid w:val="001D7CBA"/>
    <w:rsid w:val="001D7DBB"/>
    <w:rsid w:val="001D7E53"/>
    <w:rsid w:val="001E00A9"/>
    <w:rsid w:val="001E0635"/>
    <w:rsid w:val="001E0796"/>
    <w:rsid w:val="001E07A0"/>
    <w:rsid w:val="001E08C6"/>
    <w:rsid w:val="001E0CE1"/>
    <w:rsid w:val="001E0EAF"/>
    <w:rsid w:val="001E1151"/>
    <w:rsid w:val="001E123D"/>
    <w:rsid w:val="001E1243"/>
    <w:rsid w:val="001E1628"/>
    <w:rsid w:val="001E181C"/>
    <w:rsid w:val="001E1CDD"/>
    <w:rsid w:val="001E1D06"/>
    <w:rsid w:val="001E1F2A"/>
    <w:rsid w:val="001E2286"/>
    <w:rsid w:val="001E22FE"/>
    <w:rsid w:val="001E29BB"/>
    <w:rsid w:val="001E2AD2"/>
    <w:rsid w:val="001E2E5D"/>
    <w:rsid w:val="001E343E"/>
    <w:rsid w:val="001E3B84"/>
    <w:rsid w:val="001E3F90"/>
    <w:rsid w:val="001E414F"/>
    <w:rsid w:val="001E4286"/>
    <w:rsid w:val="001E428B"/>
    <w:rsid w:val="001E49F9"/>
    <w:rsid w:val="001E4D08"/>
    <w:rsid w:val="001E5195"/>
    <w:rsid w:val="001E54C2"/>
    <w:rsid w:val="001E55A5"/>
    <w:rsid w:val="001E581F"/>
    <w:rsid w:val="001E5D4F"/>
    <w:rsid w:val="001E6378"/>
    <w:rsid w:val="001E66C4"/>
    <w:rsid w:val="001E6D78"/>
    <w:rsid w:val="001E6F30"/>
    <w:rsid w:val="001E7500"/>
    <w:rsid w:val="001E76CF"/>
    <w:rsid w:val="001E7AD7"/>
    <w:rsid w:val="001E7D10"/>
    <w:rsid w:val="001E7EBE"/>
    <w:rsid w:val="001F0546"/>
    <w:rsid w:val="001F06EA"/>
    <w:rsid w:val="001F0A03"/>
    <w:rsid w:val="001F0B05"/>
    <w:rsid w:val="001F0BE5"/>
    <w:rsid w:val="001F0C74"/>
    <w:rsid w:val="001F0C80"/>
    <w:rsid w:val="001F0DF2"/>
    <w:rsid w:val="001F11AE"/>
    <w:rsid w:val="001F1357"/>
    <w:rsid w:val="001F16AF"/>
    <w:rsid w:val="001F1778"/>
    <w:rsid w:val="001F181A"/>
    <w:rsid w:val="001F1F04"/>
    <w:rsid w:val="001F20FB"/>
    <w:rsid w:val="001F2C2C"/>
    <w:rsid w:val="001F2FD4"/>
    <w:rsid w:val="001F3072"/>
    <w:rsid w:val="001F3106"/>
    <w:rsid w:val="001F319E"/>
    <w:rsid w:val="001F3340"/>
    <w:rsid w:val="001F338C"/>
    <w:rsid w:val="001F350C"/>
    <w:rsid w:val="001F3773"/>
    <w:rsid w:val="001F3791"/>
    <w:rsid w:val="001F3C8F"/>
    <w:rsid w:val="001F3EE4"/>
    <w:rsid w:val="001F3FA6"/>
    <w:rsid w:val="001F49F8"/>
    <w:rsid w:val="001F4A1E"/>
    <w:rsid w:val="001F4E07"/>
    <w:rsid w:val="001F5247"/>
    <w:rsid w:val="001F54B6"/>
    <w:rsid w:val="001F5F1B"/>
    <w:rsid w:val="001F68A0"/>
    <w:rsid w:val="001F734E"/>
    <w:rsid w:val="001F746F"/>
    <w:rsid w:val="001F7722"/>
    <w:rsid w:val="001F778D"/>
    <w:rsid w:val="001F7849"/>
    <w:rsid w:val="001F7CCA"/>
    <w:rsid w:val="00200361"/>
    <w:rsid w:val="002003A9"/>
    <w:rsid w:val="00200487"/>
    <w:rsid w:val="00200793"/>
    <w:rsid w:val="00200B06"/>
    <w:rsid w:val="00200E53"/>
    <w:rsid w:val="002018B2"/>
    <w:rsid w:val="00201C1C"/>
    <w:rsid w:val="00201E79"/>
    <w:rsid w:val="00202433"/>
    <w:rsid w:val="0020260E"/>
    <w:rsid w:val="002027B9"/>
    <w:rsid w:val="002029AB"/>
    <w:rsid w:val="00202AC6"/>
    <w:rsid w:val="00202FC5"/>
    <w:rsid w:val="00202FC6"/>
    <w:rsid w:val="00203A20"/>
    <w:rsid w:val="00203B47"/>
    <w:rsid w:val="00203B7D"/>
    <w:rsid w:val="00204CD8"/>
    <w:rsid w:val="00204DB0"/>
    <w:rsid w:val="00204E04"/>
    <w:rsid w:val="00204F61"/>
    <w:rsid w:val="00205567"/>
    <w:rsid w:val="00205677"/>
    <w:rsid w:val="00205C37"/>
    <w:rsid w:val="00205D29"/>
    <w:rsid w:val="0020650A"/>
    <w:rsid w:val="00206512"/>
    <w:rsid w:val="00206681"/>
    <w:rsid w:val="002066D5"/>
    <w:rsid w:val="002067E6"/>
    <w:rsid w:val="00206F1A"/>
    <w:rsid w:val="002070DD"/>
    <w:rsid w:val="00207419"/>
    <w:rsid w:val="002100B6"/>
    <w:rsid w:val="00210197"/>
    <w:rsid w:val="00210737"/>
    <w:rsid w:val="00210988"/>
    <w:rsid w:val="0021099C"/>
    <w:rsid w:val="002111D2"/>
    <w:rsid w:val="0021218E"/>
    <w:rsid w:val="0021247F"/>
    <w:rsid w:val="00212523"/>
    <w:rsid w:val="002127B3"/>
    <w:rsid w:val="00212AA3"/>
    <w:rsid w:val="00212D64"/>
    <w:rsid w:val="00212F18"/>
    <w:rsid w:val="0021322B"/>
    <w:rsid w:val="002134DB"/>
    <w:rsid w:val="002136E7"/>
    <w:rsid w:val="00213CF4"/>
    <w:rsid w:val="0021415C"/>
    <w:rsid w:val="0021432B"/>
    <w:rsid w:val="002144E6"/>
    <w:rsid w:val="0021454E"/>
    <w:rsid w:val="002146A2"/>
    <w:rsid w:val="002150BB"/>
    <w:rsid w:val="00215476"/>
    <w:rsid w:val="002155DE"/>
    <w:rsid w:val="002157EA"/>
    <w:rsid w:val="00215A4D"/>
    <w:rsid w:val="00215D4C"/>
    <w:rsid w:val="00215D62"/>
    <w:rsid w:val="00215DA3"/>
    <w:rsid w:val="00215E83"/>
    <w:rsid w:val="002160FB"/>
    <w:rsid w:val="002165D0"/>
    <w:rsid w:val="00216676"/>
    <w:rsid w:val="00216797"/>
    <w:rsid w:val="00216A10"/>
    <w:rsid w:val="00217231"/>
    <w:rsid w:val="00217695"/>
    <w:rsid w:val="00217BBE"/>
    <w:rsid w:val="00217BDD"/>
    <w:rsid w:val="00217F57"/>
    <w:rsid w:val="00220304"/>
    <w:rsid w:val="00220430"/>
    <w:rsid w:val="002204E9"/>
    <w:rsid w:val="002206B8"/>
    <w:rsid w:val="00220B4C"/>
    <w:rsid w:val="00220C6B"/>
    <w:rsid w:val="002213FC"/>
    <w:rsid w:val="00221422"/>
    <w:rsid w:val="0022164F"/>
    <w:rsid w:val="00221727"/>
    <w:rsid w:val="00221A91"/>
    <w:rsid w:val="002223EF"/>
    <w:rsid w:val="002228EA"/>
    <w:rsid w:val="00222AB0"/>
    <w:rsid w:val="00222B98"/>
    <w:rsid w:val="00222D8F"/>
    <w:rsid w:val="00223092"/>
    <w:rsid w:val="002230FB"/>
    <w:rsid w:val="00223734"/>
    <w:rsid w:val="00223CD0"/>
    <w:rsid w:val="00223E38"/>
    <w:rsid w:val="00223EDF"/>
    <w:rsid w:val="002241F7"/>
    <w:rsid w:val="0022474A"/>
    <w:rsid w:val="00224775"/>
    <w:rsid w:val="00224A39"/>
    <w:rsid w:val="00225DE8"/>
    <w:rsid w:val="002261D1"/>
    <w:rsid w:val="00226200"/>
    <w:rsid w:val="0022652F"/>
    <w:rsid w:val="002268D1"/>
    <w:rsid w:val="00226A52"/>
    <w:rsid w:val="00226AD5"/>
    <w:rsid w:val="00226D17"/>
    <w:rsid w:val="00226EC1"/>
    <w:rsid w:val="002271E6"/>
    <w:rsid w:val="0022721F"/>
    <w:rsid w:val="0022751A"/>
    <w:rsid w:val="00227A34"/>
    <w:rsid w:val="002300EE"/>
    <w:rsid w:val="002304DF"/>
    <w:rsid w:val="00230CD7"/>
    <w:rsid w:val="00230E3A"/>
    <w:rsid w:val="00230E4B"/>
    <w:rsid w:val="002316B6"/>
    <w:rsid w:val="002316E0"/>
    <w:rsid w:val="002318B7"/>
    <w:rsid w:val="002319D4"/>
    <w:rsid w:val="00231A71"/>
    <w:rsid w:val="00232234"/>
    <w:rsid w:val="00232329"/>
    <w:rsid w:val="00232641"/>
    <w:rsid w:val="002326DD"/>
    <w:rsid w:val="0023285C"/>
    <w:rsid w:val="002328F3"/>
    <w:rsid w:val="0023298F"/>
    <w:rsid w:val="00232B49"/>
    <w:rsid w:val="00233624"/>
    <w:rsid w:val="00233B4E"/>
    <w:rsid w:val="00233BE9"/>
    <w:rsid w:val="0023404C"/>
    <w:rsid w:val="00234185"/>
    <w:rsid w:val="00234448"/>
    <w:rsid w:val="00234B4C"/>
    <w:rsid w:val="00234FC1"/>
    <w:rsid w:val="002351AE"/>
    <w:rsid w:val="00235300"/>
    <w:rsid w:val="00235451"/>
    <w:rsid w:val="0023567F"/>
    <w:rsid w:val="00235717"/>
    <w:rsid w:val="00235A3A"/>
    <w:rsid w:val="00235C10"/>
    <w:rsid w:val="00235C1C"/>
    <w:rsid w:val="0023654A"/>
    <w:rsid w:val="00236B86"/>
    <w:rsid w:val="00236D38"/>
    <w:rsid w:val="00237193"/>
    <w:rsid w:val="00237791"/>
    <w:rsid w:val="00237CC6"/>
    <w:rsid w:val="00237D22"/>
    <w:rsid w:val="00237F8A"/>
    <w:rsid w:val="002402D3"/>
    <w:rsid w:val="00240397"/>
    <w:rsid w:val="0024055C"/>
    <w:rsid w:val="0024083E"/>
    <w:rsid w:val="00240D84"/>
    <w:rsid w:val="00240D9A"/>
    <w:rsid w:val="00240DCD"/>
    <w:rsid w:val="00240EE7"/>
    <w:rsid w:val="00241A03"/>
    <w:rsid w:val="00241A2D"/>
    <w:rsid w:val="00241B6A"/>
    <w:rsid w:val="00241C08"/>
    <w:rsid w:val="0024202F"/>
    <w:rsid w:val="00242076"/>
    <w:rsid w:val="00242A5D"/>
    <w:rsid w:val="00242BD1"/>
    <w:rsid w:val="00242DBC"/>
    <w:rsid w:val="00242ECC"/>
    <w:rsid w:val="00243032"/>
    <w:rsid w:val="00243111"/>
    <w:rsid w:val="00243193"/>
    <w:rsid w:val="00243A22"/>
    <w:rsid w:val="00243A42"/>
    <w:rsid w:val="00243B81"/>
    <w:rsid w:val="00243EC5"/>
    <w:rsid w:val="00244071"/>
    <w:rsid w:val="002443AD"/>
    <w:rsid w:val="0024507F"/>
    <w:rsid w:val="0024520E"/>
    <w:rsid w:val="002452EA"/>
    <w:rsid w:val="002453A3"/>
    <w:rsid w:val="0024590D"/>
    <w:rsid w:val="00245943"/>
    <w:rsid w:val="00245A44"/>
    <w:rsid w:val="00245EE6"/>
    <w:rsid w:val="0024678B"/>
    <w:rsid w:val="00246881"/>
    <w:rsid w:val="00246BE5"/>
    <w:rsid w:val="00246BF2"/>
    <w:rsid w:val="00246DB9"/>
    <w:rsid w:val="00246FA1"/>
    <w:rsid w:val="00246FD7"/>
    <w:rsid w:val="00247123"/>
    <w:rsid w:val="00247273"/>
    <w:rsid w:val="002473C6"/>
    <w:rsid w:val="002475F0"/>
    <w:rsid w:val="00250047"/>
    <w:rsid w:val="002500B2"/>
    <w:rsid w:val="002504D9"/>
    <w:rsid w:val="00250777"/>
    <w:rsid w:val="00251176"/>
    <w:rsid w:val="002518C5"/>
    <w:rsid w:val="002519D4"/>
    <w:rsid w:val="00251CCA"/>
    <w:rsid w:val="00251D35"/>
    <w:rsid w:val="00251DCA"/>
    <w:rsid w:val="00251FB8"/>
    <w:rsid w:val="002522D3"/>
    <w:rsid w:val="00252EBE"/>
    <w:rsid w:val="00253718"/>
    <w:rsid w:val="00254211"/>
    <w:rsid w:val="0025438A"/>
    <w:rsid w:val="002548DE"/>
    <w:rsid w:val="00254D63"/>
    <w:rsid w:val="00255A73"/>
    <w:rsid w:val="00255B5C"/>
    <w:rsid w:val="002560A3"/>
    <w:rsid w:val="0025671E"/>
    <w:rsid w:val="00256819"/>
    <w:rsid w:val="00256F1C"/>
    <w:rsid w:val="002570C2"/>
    <w:rsid w:val="0025728E"/>
    <w:rsid w:val="0025744F"/>
    <w:rsid w:val="002574C4"/>
    <w:rsid w:val="00257595"/>
    <w:rsid w:val="00257690"/>
    <w:rsid w:val="00257ABB"/>
    <w:rsid w:val="00257AFD"/>
    <w:rsid w:val="00257F72"/>
    <w:rsid w:val="002601DA"/>
    <w:rsid w:val="002604D3"/>
    <w:rsid w:val="00260745"/>
    <w:rsid w:val="002611BF"/>
    <w:rsid w:val="002612E3"/>
    <w:rsid w:val="00261C76"/>
    <w:rsid w:val="00261D71"/>
    <w:rsid w:val="00261D88"/>
    <w:rsid w:val="002620BC"/>
    <w:rsid w:val="002623D6"/>
    <w:rsid w:val="0026265A"/>
    <w:rsid w:val="00262CE1"/>
    <w:rsid w:val="0026314D"/>
    <w:rsid w:val="002631C6"/>
    <w:rsid w:val="0026321E"/>
    <w:rsid w:val="00263243"/>
    <w:rsid w:val="002634C5"/>
    <w:rsid w:val="002636AD"/>
    <w:rsid w:val="00263C0A"/>
    <w:rsid w:val="00263E2F"/>
    <w:rsid w:val="00264172"/>
    <w:rsid w:val="0026453B"/>
    <w:rsid w:val="00264B80"/>
    <w:rsid w:val="00264C64"/>
    <w:rsid w:val="002659C4"/>
    <w:rsid w:val="00265D3D"/>
    <w:rsid w:val="00265EE5"/>
    <w:rsid w:val="00265FBD"/>
    <w:rsid w:val="002661A8"/>
    <w:rsid w:val="002663D0"/>
    <w:rsid w:val="002665A0"/>
    <w:rsid w:val="0026698C"/>
    <w:rsid w:val="00266FF2"/>
    <w:rsid w:val="0026706D"/>
    <w:rsid w:val="002671DF"/>
    <w:rsid w:val="002676D8"/>
    <w:rsid w:val="00267A5E"/>
    <w:rsid w:val="002701BD"/>
    <w:rsid w:val="00270361"/>
    <w:rsid w:val="002706F6"/>
    <w:rsid w:val="00270D18"/>
    <w:rsid w:val="002716AE"/>
    <w:rsid w:val="00271832"/>
    <w:rsid w:val="00271A53"/>
    <w:rsid w:val="00271E97"/>
    <w:rsid w:val="00272142"/>
    <w:rsid w:val="002723D5"/>
    <w:rsid w:val="0027268C"/>
    <w:rsid w:val="00272718"/>
    <w:rsid w:val="0027295C"/>
    <w:rsid w:val="00272F1D"/>
    <w:rsid w:val="00273595"/>
    <w:rsid w:val="002735B5"/>
    <w:rsid w:val="002736D1"/>
    <w:rsid w:val="002736FA"/>
    <w:rsid w:val="00273E02"/>
    <w:rsid w:val="00273F19"/>
    <w:rsid w:val="00273F44"/>
    <w:rsid w:val="00274340"/>
    <w:rsid w:val="0027457E"/>
    <w:rsid w:val="002748D5"/>
    <w:rsid w:val="00274F1C"/>
    <w:rsid w:val="00274FF9"/>
    <w:rsid w:val="0027503E"/>
    <w:rsid w:val="0027566B"/>
    <w:rsid w:val="002757AF"/>
    <w:rsid w:val="002757B1"/>
    <w:rsid w:val="00275DDC"/>
    <w:rsid w:val="0027607B"/>
    <w:rsid w:val="002760C9"/>
    <w:rsid w:val="0027616E"/>
    <w:rsid w:val="002762A4"/>
    <w:rsid w:val="002763BF"/>
    <w:rsid w:val="00276AF1"/>
    <w:rsid w:val="00276D14"/>
    <w:rsid w:val="00276DA4"/>
    <w:rsid w:val="00277249"/>
    <w:rsid w:val="00277327"/>
    <w:rsid w:val="00277346"/>
    <w:rsid w:val="002774A2"/>
    <w:rsid w:val="0027760B"/>
    <w:rsid w:val="00277710"/>
    <w:rsid w:val="00277EA5"/>
    <w:rsid w:val="0028006E"/>
    <w:rsid w:val="002808A1"/>
    <w:rsid w:val="00280A9E"/>
    <w:rsid w:val="00280F9C"/>
    <w:rsid w:val="002812A1"/>
    <w:rsid w:val="002816F7"/>
    <w:rsid w:val="00282493"/>
    <w:rsid w:val="002824C9"/>
    <w:rsid w:val="002824CB"/>
    <w:rsid w:val="002825BA"/>
    <w:rsid w:val="00282801"/>
    <w:rsid w:val="00282CA0"/>
    <w:rsid w:val="00282DF3"/>
    <w:rsid w:val="002833D6"/>
    <w:rsid w:val="00283986"/>
    <w:rsid w:val="00283BFA"/>
    <w:rsid w:val="0028406B"/>
    <w:rsid w:val="00284127"/>
    <w:rsid w:val="0028415E"/>
    <w:rsid w:val="002854FA"/>
    <w:rsid w:val="00285870"/>
    <w:rsid w:val="00285905"/>
    <w:rsid w:val="00285CE0"/>
    <w:rsid w:val="00285F72"/>
    <w:rsid w:val="00286281"/>
    <w:rsid w:val="00286817"/>
    <w:rsid w:val="002868D9"/>
    <w:rsid w:val="00286A24"/>
    <w:rsid w:val="00286D4F"/>
    <w:rsid w:val="0028714C"/>
    <w:rsid w:val="00287387"/>
    <w:rsid w:val="002873AF"/>
    <w:rsid w:val="002879C6"/>
    <w:rsid w:val="00287F34"/>
    <w:rsid w:val="00287F75"/>
    <w:rsid w:val="00290B5D"/>
    <w:rsid w:val="00290B7A"/>
    <w:rsid w:val="00290F88"/>
    <w:rsid w:val="00291240"/>
    <w:rsid w:val="002913DF"/>
    <w:rsid w:val="002916B8"/>
    <w:rsid w:val="00291BC3"/>
    <w:rsid w:val="00291D40"/>
    <w:rsid w:val="00291DA4"/>
    <w:rsid w:val="002924E3"/>
    <w:rsid w:val="002924E7"/>
    <w:rsid w:val="0029283A"/>
    <w:rsid w:val="00292875"/>
    <w:rsid w:val="00292B79"/>
    <w:rsid w:val="00293276"/>
    <w:rsid w:val="002938CF"/>
    <w:rsid w:val="00293C2E"/>
    <w:rsid w:val="00294A2C"/>
    <w:rsid w:val="00294E60"/>
    <w:rsid w:val="00294E62"/>
    <w:rsid w:val="002950B9"/>
    <w:rsid w:val="002950C2"/>
    <w:rsid w:val="00295915"/>
    <w:rsid w:val="00295C8A"/>
    <w:rsid w:val="00295E7E"/>
    <w:rsid w:val="00296227"/>
    <w:rsid w:val="00296389"/>
    <w:rsid w:val="002966E7"/>
    <w:rsid w:val="00296735"/>
    <w:rsid w:val="00296A76"/>
    <w:rsid w:val="00296DD4"/>
    <w:rsid w:val="00297016"/>
    <w:rsid w:val="00297619"/>
    <w:rsid w:val="002977AC"/>
    <w:rsid w:val="002979DD"/>
    <w:rsid w:val="00297CDA"/>
    <w:rsid w:val="00297E23"/>
    <w:rsid w:val="002A0245"/>
    <w:rsid w:val="002A03B2"/>
    <w:rsid w:val="002A03E8"/>
    <w:rsid w:val="002A0750"/>
    <w:rsid w:val="002A09FB"/>
    <w:rsid w:val="002A0A92"/>
    <w:rsid w:val="002A0C97"/>
    <w:rsid w:val="002A0CCB"/>
    <w:rsid w:val="002A0FD7"/>
    <w:rsid w:val="002A1094"/>
    <w:rsid w:val="002A1182"/>
    <w:rsid w:val="002A2220"/>
    <w:rsid w:val="002A232A"/>
    <w:rsid w:val="002A27F7"/>
    <w:rsid w:val="002A2C83"/>
    <w:rsid w:val="002A34CA"/>
    <w:rsid w:val="002A3719"/>
    <w:rsid w:val="002A3EF8"/>
    <w:rsid w:val="002A40E2"/>
    <w:rsid w:val="002A41AA"/>
    <w:rsid w:val="002A431D"/>
    <w:rsid w:val="002A45D8"/>
    <w:rsid w:val="002A4608"/>
    <w:rsid w:val="002A464E"/>
    <w:rsid w:val="002A46BF"/>
    <w:rsid w:val="002A4ABC"/>
    <w:rsid w:val="002A52CF"/>
    <w:rsid w:val="002A551D"/>
    <w:rsid w:val="002A5697"/>
    <w:rsid w:val="002A5EAE"/>
    <w:rsid w:val="002A5EE0"/>
    <w:rsid w:val="002A6051"/>
    <w:rsid w:val="002A605C"/>
    <w:rsid w:val="002A6156"/>
    <w:rsid w:val="002A61D5"/>
    <w:rsid w:val="002A62CC"/>
    <w:rsid w:val="002A6698"/>
    <w:rsid w:val="002A6C37"/>
    <w:rsid w:val="002A6ECF"/>
    <w:rsid w:val="002A75E7"/>
    <w:rsid w:val="002A7A96"/>
    <w:rsid w:val="002A7ED7"/>
    <w:rsid w:val="002B0493"/>
    <w:rsid w:val="002B10D1"/>
    <w:rsid w:val="002B12F3"/>
    <w:rsid w:val="002B1B8F"/>
    <w:rsid w:val="002B20E3"/>
    <w:rsid w:val="002B2A52"/>
    <w:rsid w:val="002B2A9E"/>
    <w:rsid w:val="002B2D16"/>
    <w:rsid w:val="002B2F6F"/>
    <w:rsid w:val="002B3381"/>
    <w:rsid w:val="002B353E"/>
    <w:rsid w:val="002B36DF"/>
    <w:rsid w:val="002B3BB0"/>
    <w:rsid w:val="002B3D31"/>
    <w:rsid w:val="002B3D99"/>
    <w:rsid w:val="002B3F3B"/>
    <w:rsid w:val="002B43CF"/>
    <w:rsid w:val="002B44DB"/>
    <w:rsid w:val="002B44E8"/>
    <w:rsid w:val="002B4A2A"/>
    <w:rsid w:val="002B4B8A"/>
    <w:rsid w:val="002B4C41"/>
    <w:rsid w:val="002B5021"/>
    <w:rsid w:val="002B50BF"/>
    <w:rsid w:val="002B514F"/>
    <w:rsid w:val="002B546E"/>
    <w:rsid w:val="002B598A"/>
    <w:rsid w:val="002B5BA9"/>
    <w:rsid w:val="002B5BC2"/>
    <w:rsid w:val="002B6043"/>
    <w:rsid w:val="002B613D"/>
    <w:rsid w:val="002B61EB"/>
    <w:rsid w:val="002B6596"/>
    <w:rsid w:val="002B669D"/>
    <w:rsid w:val="002B67C7"/>
    <w:rsid w:val="002B694F"/>
    <w:rsid w:val="002B696D"/>
    <w:rsid w:val="002B6A1B"/>
    <w:rsid w:val="002B71FC"/>
    <w:rsid w:val="002B72E5"/>
    <w:rsid w:val="002B7D40"/>
    <w:rsid w:val="002C0249"/>
    <w:rsid w:val="002C060F"/>
    <w:rsid w:val="002C079A"/>
    <w:rsid w:val="002C0806"/>
    <w:rsid w:val="002C146C"/>
    <w:rsid w:val="002C176E"/>
    <w:rsid w:val="002C1D60"/>
    <w:rsid w:val="002C1EC8"/>
    <w:rsid w:val="002C22DE"/>
    <w:rsid w:val="002C230A"/>
    <w:rsid w:val="002C235E"/>
    <w:rsid w:val="002C3469"/>
    <w:rsid w:val="002C3A96"/>
    <w:rsid w:val="002C3AD0"/>
    <w:rsid w:val="002C3C3C"/>
    <w:rsid w:val="002C3F56"/>
    <w:rsid w:val="002C400F"/>
    <w:rsid w:val="002C40D5"/>
    <w:rsid w:val="002C42D7"/>
    <w:rsid w:val="002C47A5"/>
    <w:rsid w:val="002C4BB6"/>
    <w:rsid w:val="002C54EE"/>
    <w:rsid w:val="002C5556"/>
    <w:rsid w:val="002C5AF0"/>
    <w:rsid w:val="002C5C4D"/>
    <w:rsid w:val="002C603E"/>
    <w:rsid w:val="002C63E1"/>
    <w:rsid w:val="002C66E4"/>
    <w:rsid w:val="002C67A5"/>
    <w:rsid w:val="002C67E4"/>
    <w:rsid w:val="002C6C31"/>
    <w:rsid w:val="002C6C86"/>
    <w:rsid w:val="002C6D34"/>
    <w:rsid w:val="002C7425"/>
    <w:rsid w:val="002C7CB3"/>
    <w:rsid w:val="002C7DC8"/>
    <w:rsid w:val="002C7ECA"/>
    <w:rsid w:val="002D04FD"/>
    <w:rsid w:val="002D06D4"/>
    <w:rsid w:val="002D0BC9"/>
    <w:rsid w:val="002D0FFD"/>
    <w:rsid w:val="002D13FF"/>
    <w:rsid w:val="002D15E7"/>
    <w:rsid w:val="002D254A"/>
    <w:rsid w:val="002D271E"/>
    <w:rsid w:val="002D2813"/>
    <w:rsid w:val="002D28FF"/>
    <w:rsid w:val="002D2BF7"/>
    <w:rsid w:val="002D2C6A"/>
    <w:rsid w:val="002D2D3F"/>
    <w:rsid w:val="002D32F8"/>
    <w:rsid w:val="002D34B1"/>
    <w:rsid w:val="002D359A"/>
    <w:rsid w:val="002D3C98"/>
    <w:rsid w:val="002D3D14"/>
    <w:rsid w:val="002D4120"/>
    <w:rsid w:val="002D4673"/>
    <w:rsid w:val="002D488F"/>
    <w:rsid w:val="002D4B0E"/>
    <w:rsid w:val="002D51B6"/>
    <w:rsid w:val="002D560E"/>
    <w:rsid w:val="002D587A"/>
    <w:rsid w:val="002D5EA3"/>
    <w:rsid w:val="002D6629"/>
    <w:rsid w:val="002D6962"/>
    <w:rsid w:val="002D6CB1"/>
    <w:rsid w:val="002D6F21"/>
    <w:rsid w:val="002D6FF4"/>
    <w:rsid w:val="002D7239"/>
    <w:rsid w:val="002D7D03"/>
    <w:rsid w:val="002D7FA4"/>
    <w:rsid w:val="002E0309"/>
    <w:rsid w:val="002E047A"/>
    <w:rsid w:val="002E05E4"/>
    <w:rsid w:val="002E0765"/>
    <w:rsid w:val="002E094A"/>
    <w:rsid w:val="002E0C4B"/>
    <w:rsid w:val="002E0D07"/>
    <w:rsid w:val="002E0F5E"/>
    <w:rsid w:val="002E149C"/>
    <w:rsid w:val="002E20B4"/>
    <w:rsid w:val="002E21D4"/>
    <w:rsid w:val="002E225A"/>
    <w:rsid w:val="002E2335"/>
    <w:rsid w:val="002E2B26"/>
    <w:rsid w:val="002E2CF9"/>
    <w:rsid w:val="002E2EEC"/>
    <w:rsid w:val="002E2FF4"/>
    <w:rsid w:val="002E3B4A"/>
    <w:rsid w:val="002E3E2A"/>
    <w:rsid w:val="002E3E9F"/>
    <w:rsid w:val="002E3F20"/>
    <w:rsid w:val="002E435C"/>
    <w:rsid w:val="002E47F7"/>
    <w:rsid w:val="002E4929"/>
    <w:rsid w:val="002E53B2"/>
    <w:rsid w:val="002E5514"/>
    <w:rsid w:val="002E5525"/>
    <w:rsid w:val="002E5871"/>
    <w:rsid w:val="002E5883"/>
    <w:rsid w:val="002E59C0"/>
    <w:rsid w:val="002E613C"/>
    <w:rsid w:val="002E650C"/>
    <w:rsid w:val="002E6618"/>
    <w:rsid w:val="002E66F2"/>
    <w:rsid w:val="002E682D"/>
    <w:rsid w:val="002E6842"/>
    <w:rsid w:val="002E6B1D"/>
    <w:rsid w:val="002E6E83"/>
    <w:rsid w:val="002E6E85"/>
    <w:rsid w:val="002E6E9B"/>
    <w:rsid w:val="002E6FDA"/>
    <w:rsid w:val="002E6FF7"/>
    <w:rsid w:val="002E7030"/>
    <w:rsid w:val="002E73E0"/>
    <w:rsid w:val="002E7730"/>
    <w:rsid w:val="002E78D9"/>
    <w:rsid w:val="002E7A1A"/>
    <w:rsid w:val="002E7AC5"/>
    <w:rsid w:val="002F0664"/>
    <w:rsid w:val="002F0688"/>
    <w:rsid w:val="002F06B9"/>
    <w:rsid w:val="002F08F9"/>
    <w:rsid w:val="002F1840"/>
    <w:rsid w:val="002F1A0D"/>
    <w:rsid w:val="002F1DAF"/>
    <w:rsid w:val="002F2210"/>
    <w:rsid w:val="002F23DA"/>
    <w:rsid w:val="002F2C00"/>
    <w:rsid w:val="002F2F1A"/>
    <w:rsid w:val="002F2F85"/>
    <w:rsid w:val="002F3820"/>
    <w:rsid w:val="002F3877"/>
    <w:rsid w:val="002F4739"/>
    <w:rsid w:val="002F4969"/>
    <w:rsid w:val="002F4F92"/>
    <w:rsid w:val="002F52D2"/>
    <w:rsid w:val="002F54FE"/>
    <w:rsid w:val="002F5525"/>
    <w:rsid w:val="002F5899"/>
    <w:rsid w:val="002F5A42"/>
    <w:rsid w:val="002F5B55"/>
    <w:rsid w:val="002F6D89"/>
    <w:rsid w:val="002F7259"/>
    <w:rsid w:val="002F726C"/>
    <w:rsid w:val="002F7965"/>
    <w:rsid w:val="002F7AE6"/>
    <w:rsid w:val="002F7D66"/>
    <w:rsid w:val="003000EF"/>
    <w:rsid w:val="003005B1"/>
    <w:rsid w:val="00300A63"/>
    <w:rsid w:val="00300A93"/>
    <w:rsid w:val="00300BCD"/>
    <w:rsid w:val="00300C06"/>
    <w:rsid w:val="00300E7C"/>
    <w:rsid w:val="00301425"/>
    <w:rsid w:val="00301820"/>
    <w:rsid w:val="00301874"/>
    <w:rsid w:val="003026F8"/>
    <w:rsid w:val="00302BC2"/>
    <w:rsid w:val="00303A35"/>
    <w:rsid w:val="00303B49"/>
    <w:rsid w:val="00303EB7"/>
    <w:rsid w:val="00304473"/>
    <w:rsid w:val="003050B3"/>
    <w:rsid w:val="00305398"/>
    <w:rsid w:val="00305630"/>
    <w:rsid w:val="00305A0F"/>
    <w:rsid w:val="00305DBE"/>
    <w:rsid w:val="00305DC2"/>
    <w:rsid w:val="003062B7"/>
    <w:rsid w:val="00306506"/>
    <w:rsid w:val="00306BE2"/>
    <w:rsid w:val="00306F77"/>
    <w:rsid w:val="003071DB"/>
    <w:rsid w:val="00307364"/>
    <w:rsid w:val="00307B0C"/>
    <w:rsid w:val="00307F37"/>
    <w:rsid w:val="00310147"/>
    <w:rsid w:val="003105BF"/>
    <w:rsid w:val="003105C0"/>
    <w:rsid w:val="003105D0"/>
    <w:rsid w:val="003105EC"/>
    <w:rsid w:val="00310636"/>
    <w:rsid w:val="00310954"/>
    <w:rsid w:val="0031107D"/>
    <w:rsid w:val="00311A2C"/>
    <w:rsid w:val="00311B6C"/>
    <w:rsid w:val="00311E8A"/>
    <w:rsid w:val="003127D2"/>
    <w:rsid w:val="00312873"/>
    <w:rsid w:val="003129CF"/>
    <w:rsid w:val="00312A9F"/>
    <w:rsid w:val="00312B7E"/>
    <w:rsid w:val="0031308B"/>
    <w:rsid w:val="003136F2"/>
    <w:rsid w:val="00313889"/>
    <w:rsid w:val="00314342"/>
    <w:rsid w:val="003143CB"/>
    <w:rsid w:val="00314522"/>
    <w:rsid w:val="00314812"/>
    <w:rsid w:val="00314EAF"/>
    <w:rsid w:val="003151E1"/>
    <w:rsid w:val="0031583A"/>
    <w:rsid w:val="00315E27"/>
    <w:rsid w:val="00315EED"/>
    <w:rsid w:val="00316692"/>
    <w:rsid w:val="00316A2C"/>
    <w:rsid w:val="00316DA3"/>
    <w:rsid w:val="0031726A"/>
    <w:rsid w:val="0031728E"/>
    <w:rsid w:val="00317B11"/>
    <w:rsid w:val="00317CBC"/>
    <w:rsid w:val="003202DD"/>
    <w:rsid w:val="00320320"/>
    <w:rsid w:val="0032036A"/>
    <w:rsid w:val="003206E9"/>
    <w:rsid w:val="003208B8"/>
    <w:rsid w:val="003208D8"/>
    <w:rsid w:val="0032095B"/>
    <w:rsid w:val="0032097B"/>
    <w:rsid w:val="00320F10"/>
    <w:rsid w:val="0032113B"/>
    <w:rsid w:val="003215BE"/>
    <w:rsid w:val="003216C5"/>
    <w:rsid w:val="00321926"/>
    <w:rsid w:val="003219A9"/>
    <w:rsid w:val="00321A40"/>
    <w:rsid w:val="00321AFC"/>
    <w:rsid w:val="00321C2D"/>
    <w:rsid w:val="003223AB"/>
    <w:rsid w:val="003225BB"/>
    <w:rsid w:val="00322637"/>
    <w:rsid w:val="00322910"/>
    <w:rsid w:val="003229A4"/>
    <w:rsid w:val="00322AD2"/>
    <w:rsid w:val="00322E11"/>
    <w:rsid w:val="00323420"/>
    <w:rsid w:val="0032342A"/>
    <w:rsid w:val="00323917"/>
    <w:rsid w:val="00323E3A"/>
    <w:rsid w:val="00324045"/>
    <w:rsid w:val="003243C6"/>
    <w:rsid w:val="00324578"/>
    <w:rsid w:val="00324A6E"/>
    <w:rsid w:val="00324B55"/>
    <w:rsid w:val="00324F39"/>
    <w:rsid w:val="003250C7"/>
    <w:rsid w:val="0032514F"/>
    <w:rsid w:val="00325494"/>
    <w:rsid w:val="00325925"/>
    <w:rsid w:val="00325B4D"/>
    <w:rsid w:val="00325B79"/>
    <w:rsid w:val="00325C5A"/>
    <w:rsid w:val="00326377"/>
    <w:rsid w:val="00326772"/>
    <w:rsid w:val="00327002"/>
    <w:rsid w:val="0032705A"/>
    <w:rsid w:val="0032711C"/>
    <w:rsid w:val="0032711D"/>
    <w:rsid w:val="0032748F"/>
    <w:rsid w:val="00327A01"/>
    <w:rsid w:val="00327EDB"/>
    <w:rsid w:val="003301C0"/>
    <w:rsid w:val="00330201"/>
    <w:rsid w:val="0033033E"/>
    <w:rsid w:val="00330754"/>
    <w:rsid w:val="003307A9"/>
    <w:rsid w:val="00330D3D"/>
    <w:rsid w:val="00330DA6"/>
    <w:rsid w:val="00330E10"/>
    <w:rsid w:val="0033118E"/>
    <w:rsid w:val="00331395"/>
    <w:rsid w:val="003313DA"/>
    <w:rsid w:val="00331A24"/>
    <w:rsid w:val="00332817"/>
    <w:rsid w:val="0033293A"/>
    <w:rsid w:val="00332976"/>
    <w:rsid w:val="00332B57"/>
    <w:rsid w:val="00332E8E"/>
    <w:rsid w:val="00333592"/>
    <w:rsid w:val="00333597"/>
    <w:rsid w:val="0033373A"/>
    <w:rsid w:val="0033375B"/>
    <w:rsid w:val="00333B75"/>
    <w:rsid w:val="00333D26"/>
    <w:rsid w:val="00333D8E"/>
    <w:rsid w:val="0033469D"/>
    <w:rsid w:val="003348E8"/>
    <w:rsid w:val="00334A87"/>
    <w:rsid w:val="00334AA5"/>
    <w:rsid w:val="00334B24"/>
    <w:rsid w:val="003350A5"/>
    <w:rsid w:val="00335116"/>
    <w:rsid w:val="003352CE"/>
    <w:rsid w:val="00336170"/>
    <w:rsid w:val="00336233"/>
    <w:rsid w:val="003362B6"/>
    <w:rsid w:val="0033659C"/>
    <w:rsid w:val="00336BF6"/>
    <w:rsid w:val="00336CAF"/>
    <w:rsid w:val="00336CC6"/>
    <w:rsid w:val="00336F02"/>
    <w:rsid w:val="00337153"/>
    <w:rsid w:val="00337840"/>
    <w:rsid w:val="003378AC"/>
    <w:rsid w:val="00337A07"/>
    <w:rsid w:val="00337C16"/>
    <w:rsid w:val="00337C1D"/>
    <w:rsid w:val="00337E45"/>
    <w:rsid w:val="00337F12"/>
    <w:rsid w:val="00340668"/>
    <w:rsid w:val="003406CF"/>
    <w:rsid w:val="003407B6"/>
    <w:rsid w:val="00340920"/>
    <w:rsid w:val="00340AE4"/>
    <w:rsid w:val="00341A65"/>
    <w:rsid w:val="00341C59"/>
    <w:rsid w:val="00341F81"/>
    <w:rsid w:val="003421B3"/>
    <w:rsid w:val="00342210"/>
    <w:rsid w:val="0034243E"/>
    <w:rsid w:val="00342537"/>
    <w:rsid w:val="003427A3"/>
    <w:rsid w:val="00342856"/>
    <w:rsid w:val="00342926"/>
    <w:rsid w:val="00342C61"/>
    <w:rsid w:val="00342DBE"/>
    <w:rsid w:val="00343470"/>
    <w:rsid w:val="003437ED"/>
    <w:rsid w:val="0034388A"/>
    <w:rsid w:val="003438FC"/>
    <w:rsid w:val="00343CAC"/>
    <w:rsid w:val="00343D00"/>
    <w:rsid w:val="00343D42"/>
    <w:rsid w:val="00343DF1"/>
    <w:rsid w:val="00343FB5"/>
    <w:rsid w:val="00344102"/>
    <w:rsid w:val="0034415A"/>
    <w:rsid w:val="00344542"/>
    <w:rsid w:val="00344645"/>
    <w:rsid w:val="00344DD6"/>
    <w:rsid w:val="00344FBE"/>
    <w:rsid w:val="0034513F"/>
    <w:rsid w:val="0034585D"/>
    <w:rsid w:val="0034643B"/>
    <w:rsid w:val="003465F3"/>
    <w:rsid w:val="00347640"/>
    <w:rsid w:val="00347E4D"/>
    <w:rsid w:val="00347E74"/>
    <w:rsid w:val="0035013A"/>
    <w:rsid w:val="00350214"/>
    <w:rsid w:val="003504B0"/>
    <w:rsid w:val="0035075D"/>
    <w:rsid w:val="00350858"/>
    <w:rsid w:val="00350FA9"/>
    <w:rsid w:val="003510C2"/>
    <w:rsid w:val="003511FE"/>
    <w:rsid w:val="003515A1"/>
    <w:rsid w:val="00351A2B"/>
    <w:rsid w:val="00351C82"/>
    <w:rsid w:val="00351D20"/>
    <w:rsid w:val="00351E64"/>
    <w:rsid w:val="0035206A"/>
    <w:rsid w:val="00352407"/>
    <w:rsid w:val="00352710"/>
    <w:rsid w:val="00352D1F"/>
    <w:rsid w:val="00352DB0"/>
    <w:rsid w:val="00353109"/>
    <w:rsid w:val="003535C6"/>
    <w:rsid w:val="00353709"/>
    <w:rsid w:val="0035375B"/>
    <w:rsid w:val="00353948"/>
    <w:rsid w:val="00354035"/>
    <w:rsid w:val="00354313"/>
    <w:rsid w:val="003544AF"/>
    <w:rsid w:val="003546E2"/>
    <w:rsid w:val="003548F8"/>
    <w:rsid w:val="00354A5C"/>
    <w:rsid w:val="00354ABA"/>
    <w:rsid w:val="00354AE0"/>
    <w:rsid w:val="00355691"/>
    <w:rsid w:val="0035589A"/>
    <w:rsid w:val="00356045"/>
    <w:rsid w:val="0035689A"/>
    <w:rsid w:val="00356B87"/>
    <w:rsid w:val="00356BAF"/>
    <w:rsid w:val="00356E22"/>
    <w:rsid w:val="00357001"/>
    <w:rsid w:val="00357330"/>
    <w:rsid w:val="003577FA"/>
    <w:rsid w:val="00357C83"/>
    <w:rsid w:val="00357F4F"/>
    <w:rsid w:val="0036005C"/>
    <w:rsid w:val="00360117"/>
    <w:rsid w:val="003605C6"/>
    <w:rsid w:val="0036081D"/>
    <w:rsid w:val="0036086F"/>
    <w:rsid w:val="00360B23"/>
    <w:rsid w:val="00360B36"/>
    <w:rsid w:val="00360E6B"/>
    <w:rsid w:val="00361C10"/>
    <w:rsid w:val="00361C9C"/>
    <w:rsid w:val="00361DE4"/>
    <w:rsid w:val="00361E61"/>
    <w:rsid w:val="00361ECB"/>
    <w:rsid w:val="0036208B"/>
    <w:rsid w:val="00362158"/>
    <w:rsid w:val="00362276"/>
    <w:rsid w:val="0036265D"/>
    <w:rsid w:val="00362A0C"/>
    <w:rsid w:val="00362B10"/>
    <w:rsid w:val="00362D6F"/>
    <w:rsid w:val="00362E73"/>
    <w:rsid w:val="003637AC"/>
    <w:rsid w:val="0036382F"/>
    <w:rsid w:val="00363882"/>
    <w:rsid w:val="0036412B"/>
    <w:rsid w:val="0036435E"/>
    <w:rsid w:val="00364B7B"/>
    <w:rsid w:val="00364CB1"/>
    <w:rsid w:val="00364E32"/>
    <w:rsid w:val="0036525F"/>
    <w:rsid w:val="00365545"/>
    <w:rsid w:val="00365582"/>
    <w:rsid w:val="00365C29"/>
    <w:rsid w:val="00366222"/>
    <w:rsid w:val="00366284"/>
    <w:rsid w:val="003662AC"/>
    <w:rsid w:val="00366BAE"/>
    <w:rsid w:val="00366C3E"/>
    <w:rsid w:val="00366CF1"/>
    <w:rsid w:val="00366FE4"/>
    <w:rsid w:val="0036732C"/>
    <w:rsid w:val="00367F8C"/>
    <w:rsid w:val="00367FF2"/>
    <w:rsid w:val="0037004E"/>
    <w:rsid w:val="003700E5"/>
    <w:rsid w:val="003711AA"/>
    <w:rsid w:val="0037162B"/>
    <w:rsid w:val="00371A54"/>
    <w:rsid w:val="00371FC8"/>
    <w:rsid w:val="0037248F"/>
    <w:rsid w:val="003726B5"/>
    <w:rsid w:val="00372E33"/>
    <w:rsid w:val="00372E3C"/>
    <w:rsid w:val="00372F4F"/>
    <w:rsid w:val="00373173"/>
    <w:rsid w:val="003732D1"/>
    <w:rsid w:val="0037377C"/>
    <w:rsid w:val="0037414D"/>
    <w:rsid w:val="00374931"/>
    <w:rsid w:val="00374E76"/>
    <w:rsid w:val="0037526A"/>
    <w:rsid w:val="00376189"/>
    <w:rsid w:val="00376722"/>
    <w:rsid w:val="00376860"/>
    <w:rsid w:val="003776A4"/>
    <w:rsid w:val="00377A56"/>
    <w:rsid w:val="00377AB4"/>
    <w:rsid w:val="0038029C"/>
    <w:rsid w:val="003803BB"/>
    <w:rsid w:val="0038086C"/>
    <w:rsid w:val="00380898"/>
    <w:rsid w:val="00380995"/>
    <w:rsid w:val="00381118"/>
    <w:rsid w:val="0038175B"/>
    <w:rsid w:val="003818DB"/>
    <w:rsid w:val="00381F33"/>
    <w:rsid w:val="0038267C"/>
    <w:rsid w:val="00382B75"/>
    <w:rsid w:val="00382FAC"/>
    <w:rsid w:val="003831A4"/>
    <w:rsid w:val="0038377A"/>
    <w:rsid w:val="00383E4E"/>
    <w:rsid w:val="00383E58"/>
    <w:rsid w:val="00383E82"/>
    <w:rsid w:val="00383F1F"/>
    <w:rsid w:val="00383F29"/>
    <w:rsid w:val="003841EB"/>
    <w:rsid w:val="00384900"/>
    <w:rsid w:val="0038507A"/>
    <w:rsid w:val="00385159"/>
    <w:rsid w:val="0038518A"/>
    <w:rsid w:val="0038543C"/>
    <w:rsid w:val="003854EB"/>
    <w:rsid w:val="00385698"/>
    <w:rsid w:val="003856AD"/>
    <w:rsid w:val="0038663D"/>
    <w:rsid w:val="00386A3D"/>
    <w:rsid w:val="00386ADB"/>
    <w:rsid w:val="00386B14"/>
    <w:rsid w:val="00386DB6"/>
    <w:rsid w:val="00387175"/>
    <w:rsid w:val="003872AA"/>
    <w:rsid w:val="0038731E"/>
    <w:rsid w:val="003877A7"/>
    <w:rsid w:val="00387954"/>
    <w:rsid w:val="00387BC9"/>
    <w:rsid w:val="003908DE"/>
    <w:rsid w:val="00390E23"/>
    <w:rsid w:val="00391188"/>
    <w:rsid w:val="0039140F"/>
    <w:rsid w:val="00391490"/>
    <w:rsid w:val="0039172D"/>
    <w:rsid w:val="003918A7"/>
    <w:rsid w:val="0039275C"/>
    <w:rsid w:val="00392890"/>
    <w:rsid w:val="00392CAA"/>
    <w:rsid w:val="003933A8"/>
    <w:rsid w:val="0039432D"/>
    <w:rsid w:val="0039448A"/>
    <w:rsid w:val="0039488F"/>
    <w:rsid w:val="00394BC6"/>
    <w:rsid w:val="00394F92"/>
    <w:rsid w:val="0039507A"/>
    <w:rsid w:val="0039514E"/>
    <w:rsid w:val="0039584B"/>
    <w:rsid w:val="00395B33"/>
    <w:rsid w:val="00395E73"/>
    <w:rsid w:val="00396550"/>
    <w:rsid w:val="0039661C"/>
    <w:rsid w:val="003966D8"/>
    <w:rsid w:val="00396D64"/>
    <w:rsid w:val="003975DC"/>
    <w:rsid w:val="0039762F"/>
    <w:rsid w:val="00397750"/>
    <w:rsid w:val="0039795B"/>
    <w:rsid w:val="00397D01"/>
    <w:rsid w:val="003A0419"/>
    <w:rsid w:val="003A066B"/>
    <w:rsid w:val="003A069F"/>
    <w:rsid w:val="003A07BE"/>
    <w:rsid w:val="003A09A7"/>
    <w:rsid w:val="003A09D4"/>
    <w:rsid w:val="003A0C62"/>
    <w:rsid w:val="003A12EB"/>
    <w:rsid w:val="003A1831"/>
    <w:rsid w:val="003A187D"/>
    <w:rsid w:val="003A203A"/>
    <w:rsid w:val="003A26A0"/>
    <w:rsid w:val="003A29CB"/>
    <w:rsid w:val="003A2C63"/>
    <w:rsid w:val="003A2E60"/>
    <w:rsid w:val="003A303B"/>
    <w:rsid w:val="003A34EB"/>
    <w:rsid w:val="003A36F2"/>
    <w:rsid w:val="003A36F7"/>
    <w:rsid w:val="003A37BD"/>
    <w:rsid w:val="003A3847"/>
    <w:rsid w:val="003A38C0"/>
    <w:rsid w:val="003A3AFA"/>
    <w:rsid w:val="003A3BBF"/>
    <w:rsid w:val="003A3E22"/>
    <w:rsid w:val="003A4160"/>
    <w:rsid w:val="003A45C9"/>
    <w:rsid w:val="003A4D22"/>
    <w:rsid w:val="003A4DCA"/>
    <w:rsid w:val="003A4F49"/>
    <w:rsid w:val="003A4FA5"/>
    <w:rsid w:val="003A53F5"/>
    <w:rsid w:val="003A5A58"/>
    <w:rsid w:val="003A5D8E"/>
    <w:rsid w:val="003A5F1E"/>
    <w:rsid w:val="003A6784"/>
    <w:rsid w:val="003A67C3"/>
    <w:rsid w:val="003A67F2"/>
    <w:rsid w:val="003A6953"/>
    <w:rsid w:val="003A6CAB"/>
    <w:rsid w:val="003A78C2"/>
    <w:rsid w:val="003A7D38"/>
    <w:rsid w:val="003A7E4B"/>
    <w:rsid w:val="003B0325"/>
    <w:rsid w:val="003B0701"/>
    <w:rsid w:val="003B07D9"/>
    <w:rsid w:val="003B1458"/>
    <w:rsid w:val="003B16C2"/>
    <w:rsid w:val="003B1CE2"/>
    <w:rsid w:val="003B20AA"/>
    <w:rsid w:val="003B25DF"/>
    <w:rsid w:val="003B2839"/>
    <w:rsid w:val="003B315B"/>
    <w:rsid w:val="003B336D"/>
    <w:rsid w:val="003B3866"/>
    <w:rsid w:val="003B3B03"/>
    <w:rsid w:val="003B3E92"/>
    <w:rsid w:val="003B3F3B"/>
    <w:rsid w:val="003B4239"/>
    <w:rsid w:val="003B4452"/>
    <w:rsid w:val="003B45DE"/>
    <w:rsid w:val="003B467F"/>
    <w:rsid w:val="003B5000"/>
    <w:rsid w:val="003B5179"/>
    <w:rsid w:val="003B51C6"/>
    <w:rsid w:val="003B5263"/>
    <w:rsid w:val="003B52C2"/>
    <w:rsid w:val="003B532E"/>
    <w:rsid w:val="003B5859"/>
    <w:rsid w:val="003B5B6C"/>
    <w:rsid w:val="003B608A"/>
    <w:rsid w:val="003B6261"/>
    <w:rsid w:val="003B632F"/>
    <w:rsid w:val="003B639F"/>
    <w:rsid w:val="003B64A6"/>
    <w:rsid w:val="003B68F3"/>
    <w:rsid w:val="003B6B2A"/>
    <w:rsid w:val="003B6D87"/>
    <w:rsid w:val="003B71F0"/>
    <w:rsid w:val="003B76F4"/>
    <w:rsid w:val="003C0598"/>
    <w:rsid w:val="003C05CD"/>
    <w:rsid w:val="003C0858"/>
    <w:rsid w:val="003C0BDD"/>
    <w:rsid w:val="003C0C8E"/>
    <w:rsid w:val="003C0DA1"/>
    <w:rsid w:val="003C0DFA"/>
    <w:rsid w:val="003C1129"/>
    <w:rsid w:val="003C120E"/>
    <w:rsid w:val="003C1419"/>
    <w:rsid w:val="003C1586"/>
    <w:rsid w:val="003C1CED"/>
    <w:rsid w:val="003C1E42"/>
    <w:rsid w:val="003C2527"/>
    <w:rsid w:val="003C2609"/>
    <w:rsid w:val="003C2777"/>
    <w:rsid w:val="003C29BF"/>
    <w:rsid w:val="003C2CCA"/>
    <w:rsid w:val="003C2E49"/>
    <w:rsid w:val="003C2FCD"/>
    <w:rsid w:val="003C3031"/>
    <w:rsid w:val="003C3291"/>
    <w:rsid w:val="003C386F"/>
    <w:rsid w:val="003C3B7C"/>
    <w:rsid w:val="003C4C6E"/>
    <w:rsid w:val="003C5DD4"/>
    <w:rsid w:val="003C6173"/>
    <w:rsid w:val="003C64C3"/>
    <w:rsid w:val="003C67D3"/>
    <w:rsid w:val="003C69B3"/>
    <w:rsid w:val="003C6B77"/>
    <w:rsid w:val="003C6DC9"/>
    <w:rsid w:val="003C6F66"/>
    <w:rsid w:val="003C747E"/>
    <w:rsid w:val="003C7B13"/>
    <w:rsid w:val="003C7B2F"/>
    <w:rsid w:val="003D00A0"/>
    <w:rsid w:val="003D00E6"/>
    <w:rsid w:val="003D0111"/>
    <w:rsid w:val="003D03BA"/>
    <w:rsid w:val="003D0902"/>
    <w:rsid w:val="003D0BB1"/>
    <w:rsid w:val="003D0D75"/>
    <w:rsid w:val="003D0FF5"/>
    <w:rsid w:val="003D1056"/>
    <w:rsid w:val="003D137D"/>
    <w:rsid w:val="003D17BA"/>
    <w:rsid w:val="003D1CFA"/>
    <w:rsid w:val="003D1DCE"/>
    <w:rsid w:val="003D1E4F"/>
    <w:rsid w:val="003D25A1"/>
    <w:rsid w:val="003D26DB"/>
    <w:rsid w:val="003D2802"/>
    <w:rsid w:val="003D2974"/>
    <w:rsid w:val="003D2B46"/>
    <w:rsid w:val="003D3283"/>
    <w:rsid w:val="003D35B3"/>
    <w:rsid w:val="003D3676"/>
    <w:rsid w:val="003D38CC"/>
    <w:rsid w:val="003D3929"/>
    <w:rsid w:val="003D3BE2"/>
    <w:rsid w:val="003D3C85"/>
    <w:rsid w:val="003D4458"/>
    <w:rsid w:val="003D4578"/>
    <w:rsid w:val="003D47E5"/>
    <w:rsid w:val="003D5027"/>
    <w:rsid w:val="003D557A"/>
    <w:rsid w:val="003D5C8B"/>
    <w:rsid w:val="003D5FF8"/>
    <w:rsid w:val="003D606C"/>
    <w:rsid w:val="003D6713"/>
    <w:rsid w:val="003D6BB6"/>
    <w:rsid w:val="003D6C03"/>
    <w:rsid w:val="003D7036"/>
    <w:rsid w:val="003D73A9"/>
    <w:rsid w:val="003D73CA"/>
    <w:rsid w:val="003D78C9"/>
    <w:rsid w:val="003E0760"/>
    <w:rsid w:val="003E0EB0"/>
    <w:rsid w:val="003E1039"/>
    <w:rsid w:val="003E1311"/>
    <w:rsid w:val="003E157E"/>
    <w:rsid w:val="003E163D"/>
    <w:rsid w:val="003E17C2"/>
    <w:rsid w:val="003E1C61"/>
    <w:rsid w:val="003E1EE3"/>
    <w:rsid w:val="003E223E"/>
    <w:rsid w:val="003E2346"/>
    <w:rsid w:val="003E23E4"/>
    <w:rsid w:val="003E2545"/>
    <w:rsid w:val="003E28BB"/>
    <w:rsid w:val="003E2DB0"/>
    <w:rsid w:val="003E2F0A"/>
    <w:rsid w:val="003E3AF1"/>
    <w:rsid w:val="003E3DF0"/>
    <w:rsid w:val="003E402D"/>
    <w:rsid w:val="003E40EB"/>
    <w:rsid w:val="003E44E2"/>
    <w:rsid w:val="003E4912"/>
    <w:rsid w:val="003E49E4"/>
    <w:rsid w:val="003E4A87"/>
    <w:rsid w:val="003E4B7D"/>
    <w:rsid w:val="003E4B81"/>
    <w:rsid w:val="003E4C97"/>
    <w:rsid w:val="003E4D28"/>
    <w:rsid w:val="003E4EC9"/>
    <w:rsid w:val="003E5503"/>
    <w:rsid w:val="003E58F2"/>
    <w:rsid w:val="003E65E0"/>
    <w:rsid w:val="003E6A3A"/>
    <w:rsid w:val="003E7038"/>
    <w:rsid w:val="003E77E1"/>
    <w:rsid w:val="003E7B8B"/>
    <w:rsid w:val="003F003C"/>
    <w:rsid w:val="003F00CB"/>
    <w:rsid w:val="003F0875"/>
    <w:rsid w:val="003F0C8A"/>
    <w:rsid w:val="003F0F96"/>
    <w:rsid w:val="003F148B"/>
    <w:rsid w:val="003F165C"/>
    <w:rsid w:val="003F18ED"/>
    <w:rsid w:val="003F1910"/>
    <w:rsid w:val="003F1B2C"/>
    <w:rsid w:val="003F1DE2"/>
    <w:rsid w:val="003F1E64"/>
    <w:rsid w:val="003F20FE"/>
    <w:rsid w:val="003F21F2"/>
    <w:rsid w:val="003F22D5"/>
    <w:rsid w:val="003F2414"/>
    <w:rsid w:val="003F27DA"/>
    <w:rsid w:val="003F28A8"/>
    <w:rsid w:val="003F2CD6"/>
    <w:rsid w:val="003F2DE6"/>
    <w:rsid w:val="003F3165"/>
    <w:rsid w:val="003F449D"/>
    <w:rsid w:val="003F49FC"/>
    <w:rsid w:val="003F51C8"/>
    <w:rsid w:val="003F58F9"/>
    <w:rsid w:val="003F5D68"/>
    <w:rsid w:val="003F5D79"/>
    <w:rsid w:val="003F5DF0"/>
    <w:rsid w:val="003F6861"/>
    <w:rsid w:val="003F68B4"/>
    <w:rsid w:val="003F68C0"/>
    <w:rsid w:val="003F6BCB"/>
    <w:rsid w:val="003F6F6F"/>
    <w:rsid w:val="003F70D7"/>
    <w:rsid w:val="003F756F"/>
    <w:rsid w:val="003F76EF"/>
    <w:rsid w:val="003F7D82"/>
    <w:rsid w:val="003F7E65"/>
    <w:rsid w:val="003F7F0A"/>
    <w:rsid w:val="004007BA"/>
    <w:rsid w:val="00400A9B"/>
    <w:rsid w:val="00400B44"/>
    <w:rsid w:val="00400D49"/>
    <w:rsid w:val="00400DB4"/>
    <w:rsid w:val="00400ECF"/>
    <w:rsid w:val="00401528"/>
    <w:rsid w:val="00401619"/>
    <w:rsid w:val="00401677"/>
    <w:rsid w:val="004019ED"/>
    <w:rsid w:val="00402053"/>
    <w:rsid w:val="00402176"/>
    <w:rsid w:val="0040290F"/>
    <w:rsid w:val="00403157"/>
    <w:rsid w:val="004031C7"/>
    <w:rsid w:val="004032AF"/>
    <w:rsid w:val="00403705"/>
    <w:rsid w:val="00405237"/>
    <w:rsid w:val="004054B5"/>
    <w:rsid w:val="0040562D"/>
    <w:rsid w:val="0040587D"/>
    <w:rsid w:val="00405C65"/>
    <w:rsid w:val="0040639C"/>
    <w:rsid w:val="004068FE"/>
    <w:rsid w:val="00406B74"/>
    <w:rsid w:val="00407088"/>
    <w:rsid w:val="004072DF"/>
    <w:rsid w:val="00407416"/>
    <w:rsid w:val="00407490"/>
    <w:rsid w:val="00407851"/>
    <w:rsid w:val="00407D0C"/>
    <w:rsid w:val="00407DED"/>
    <w:rsid w:val="004100F8"/>
    <w:rsid w:val="004100FA"/>
    <w:rsid w:val="004108C0"/>
    <w:rsid w:val="004109DC"/>
    <w:rsid w:val="004109E8"/>
    <w:rsid w:val="00410A7B"/>
    <w:rsid w:val="00410CB6"/>
    <w:rsid w:val="00410E12"/>
    <w:rsid w:val="00411045"/>
    <w:rsid w:val="00411565"/>
    <w:rsid w:val="00411843"/>
    <w:rsid w:val="00412149"/>
    <w:rsid w:val="004126BA"/>
    <w:rsid w:val="0041296B"/>
    <w:rsid w:val="00412A6B"/>
    <w:rsid w:val="00412C20"/>
    <w:rsid w:val="00412FE7"/>
    <w:rsid w:val="00413165"/>
    <w:rsid w:val="00413398"/>
    <w:rsid w:val="00413758"/>
    <w:rsid w:val="00413968"/>
    <w:rsid w:val="00413989"/>
    <w:rsid w:val="00413ACB"/>
    <w:rsid w:val="004141C3"/>
    <w:rsid w:val="00414274"/>
    <w:rsid w:val="004142CC"/>
    <w:rsid w:val="0041446F"/>
    <w:rsid w:val="004146C8"/>
    <w:rsid w:val="00414907"/>
    <w:rsid w:val="00414E61"/>
    <w:rsid w:val="004158E9"/>
    <w:rsid w:val="00415AC3"/>
    <w:rsid w:val="00415E8A"/>
    <w:rsid w:val="004160AD"/>
    <w:rsid w:val="004162C6"/>
    <w:rsid w:val="004163C4"/>
    <w:rsid w:val="00416472"/>
    <w:rsid w:val="0041661B"/>
    <w:rsid w:val="0041674A"/>
    <w:rsid w:val="00416EC9"/>
    <w:rsid w:val="00416FD0"/>
    <w:rsid w:val="00417A4F"/>
    <w:rsid w:val="00417CF6"/>
    <w:rsid w:val="004200CE"/>
    <w:rsid w:val="004202CF"/>
    <w:rsid w:val="00420304"/>
    <w:rsid w:val="004209F6"/>
    <w:rsid w:val="00420B5E"/>
    <w:rsid w:val="00420D00"/>
    <w:rsid w:val="00420D09"/>
    <w:rsid w:val="00420F30"/>
    <w:rsid w:val="00421105"/>
    <w:rsid w:val="0042158A"/>
    <w:rsid w:val="004215D8"/>
    <w:rsid w:val="00421A49"/>
    <w:rsid w:val="00421BF1"/>
    <w:rsid w:val="00421C61"/>
    <w:rsid w:val="00421C7B"/>
    <w:rsid w:val="00421D45"/>
    <w:rsid w:val="00421DB9"/>
    <w:rsid w:val="00422226"/>
    <w:rsid w:val="00422387"/>
    <w:rsid w:val="0042291F"/>
    <w:rsid w:val="00422A4E"/>
    <w:rsid w:val="00422C84"/>
    <w:rsid w:val="004233B2"/>
    <w:rsid w:val="0042345F"/>
    <w:rsid w:val="00423545"/>
    <w:rsid w:val="00423780"/>
    <w:rsid w:val="0042396B"/>
    <w:rsid w:val="00423985"/>
    <w:rsid w:val="004241FD"/>
    <w:rsid w:val="004259E9"/>
    <w:rsid w:val="00425C97"/>
    <w:rsid w:val="00426297"/>
    <w:rsid w:val="00426355"/>
    <w:rsid w:val="00426691"/>
    <w:rsid w:val="00426931"/>
    <w:rsid w:val="00426AFA"/>
    <w:rsid w:val="00426C87"/>
    <w:rsid w:val="004273FC"/>
    <w:rsid w:val="004277D6"/>
    <w:rsid w:val="0043016D"/>
    <w:rsid w:val="00430444"/>
    <w:rsid w:val="00430679"/>
    <w:rsid w:val="0043069D"/>
    <w:rsid w:val="00430A0E"/>
    <w:rsid w:val="00430A7C"/>
    <w:rsid w:val="00431006"/>
    <w:rsid w:val="004310CD"/>
    <w:rsid w:val="00431397"/>
    <w:rsid w:val="00431C74"/>
    <w:rsid w:val="00431CD2"/>
    <w:rsid w:val="00431D1F"/>
    <w:rsid w:val="004320AE"/>
    <w:rsid w:val="0043254F"/>
    <w:rsid w:val="0043255F"/>
    <w:rsid w:val="0043269C"/>
    <w:rsid w:val="00432A8D"/>
    <w:rsid w:val="004330A6"/>
    <w:rsid w:val="004336FA"/>
    <w:rsid w:val="004339BE"/>
    <w:rsid w:val="00433A54"/>
    <w:rsid w:val="00433C75"/>
    <w:rsid w:val="00433EDF"/>
    <w:rsid w:val="00434085"/>
    <w:rsid w:val="00434389"/>
    <w:rsid w:val="00435B69"/>
    <w:rsid w:val="00435E0A"/>
    <w:rsid w:val="00436363"/>
    <w:rsid w:val="0043676B"/>
    <w:rsid w:val="00436D9B"/>
    <w:rsid w:val="00437290"/>
    <w:rsid w:val="00437810"/>
    <w:rsid w:val="00437B51"/>
    <w:rsid w:val="00437C22"/>
    <w:rsid w:val="004403CB"/>
    <w:rsid w:val="00440A2A"/>
    <w:rsid w:val="00440A8C"/>
    <w:rsid w:val="00440BBD"/>
    <w:rsid w:val="00440D41"/>
    <w:rsid w:val="00440E01"/>
    <w:rsid w:val="00440F03"/>
    <w:rsid w:val="00440F0B"/>
    <w:rsid w:val="0044114C"/>
    <w:rsid w:val="004413BC"/>
    <w:rsid w:val="00442174"/>
    <w:rsid w:val="0044288C"/>
    <w:rsid w:val="004429C9"/>
    <w:rsid w:val="00442C53"/>
    <w:rsid w:val="004432F2"/>
    <w:rsid w:val="0044338A"/>
    <w:rsid w:val="004433B3"/>
    <w:rsid w:val="004435E1"/>
    <w:rsid w:val="0044392F"/>
    <w:rsid w:val="004440BD"/>
    <w:rsid w:val="004441A1"/>
    <w:rsid w:val="0044488D"/>
    <w:rsid w:val="00444B4D"/>
    <w:rsid w:val="00444C78"/>
    <w:rsid w:val="00444D64"/>
    <w:rsid w:val="004452CE"/>
    <w:rsid w:val="00445A5D"/>
    <w:rsid w:val="00446011"/>
    <w:rsid w:val="004468D7"/>
    <w:rsid w:val="00446BF1"/>
    <w:rsid w:val="004473C5"/>
    <w:rsid w:val="00447480"/>
    <w:rsid w:val="0044774F"/>
    <w:rsid w:val="00447C3E"/>
    <w:rsid w:val="00447F80"/>
    <w:rsid w:val="004500B5"/>
    <w:rsid w:val="0045029A"/>
    <w:rsid w:val="0045041D"/>
    <w:rsid w:val="00450C0C"/>
    <w:rsid w:val="00450D9C"/>
    <w:rsid w:val="00450E8D"/>
    <w:rsid w:val="00451660"/>
    <w:rsid w:val="0045183A"/>
    <w:rsid w:val="0045259A"/>
    <w:rsid w:val="004529BE"/>
    <w:rsid w:val="004531B0"/>
    <w:rsid w:val="0045361A"/>
    <w:rsid w:val="00453FB5"/>
    <w:rsid w:val="00454123"/>
    <w:rsid w:val="004541E6"/>
    <w:rsid w:val="0045499C"/>
    <w:rsid w:val="00454F5C"/>
    <w:rsid w:val="004551A3"/>
    <w:rsid w:val="0045553F"/>
    <w:rsid w:val="0045556A"/>
    <w:rsid w:val="00455B65"/>
    <w:rsid w:val="00455E97"/>
    <w:rsid w:val="00456177"/>
    <w:rsid w:val="00456347"/>
    <w:rsid w:val="00456A41"/>
    <w:rsid w:val="00456DEF"/>
    <w:rsid w:val="004576DA"/>
    <w:rsid w:val="00460398"/>
    <w:rsid w:val="004608C1"/>
    <w:rsid w:val="00461469"/>
    <w:rsid w:val="00461516"/>
    <w:rsid w:val="00461547"/>
    <w:rsid w:val="004615C8"/>
    <w:rsid w:val="00461650"/>
    <w:rsid w:val="00461729"/>
    <w:rsid w:val="00461DA0"/>
    <w:rsid w:val="00462661"/>
    <w:rsid w:val="004626A0"/>
    <w:rsid w:val="004628E7"/>
    <w:rsid w:val="0046290F"/>
    <w:rsid w:val="00462B52"/>
    <w:rsid w:val="004630B1"/>
    <w:rsid w:val="004635A3"/>
    <w:rsid w:val="00463772"/>
    <w:rsid w:val="0046388C"/>
    <w:rsid w:val="00464098"/>
    <w:rsid w:val="004642DC"/>
    <w:rsid w:val="004644BA"/>
    <w:rsid w:val="004646DD"/>
    <w:rsid w:val="004647AD"/>
    <w:rsid w:val="00464839"/>
    <w:rsid w:val="0046493F"/>
    <w:rsid w:val="00464F2A"/>
    <w:rsid w:val="00465690"/>
    <w:rsid w:val="00466F00"/>
    <w:rsid w:val="00467776"/>
    <w:rsid w:val="0046796A"/>
    <w:rsid w:val="004679B5"/>
    <w:rsid w:val="00467E9F"/>
    <w:rsid w:val="00467EE5"/>
    <w:rsid w:val="00467F2D"/>
    <w:rsid w:val="00470195"/>
    <w:rsid w:val="00470357"/>
    <w:rsid w:val="0047066F"/>
    <w:rsid w:val="00470DF6"/>
    <w:rsid w:val="0047133D"/>
    <w:rsid w:val="004716CE"/>
    <w:rsid w:val="004716DD"/>
    <w:rsid w:val="00471904"/>
    <w:rsid w:val="00471968"/>
    <w:rsid w:val="00471E64"/>
    <w:rsid w:val="00471E82"/>
    <w:rsid w:val="00472063"/>
    <w:rsid w:val="00472185"/>
    <w:rsid w:val="004722D5"/>
    <w:rsid w:val="0047283F"/>
    <w:rsid w:val="00472A26"/>
    <w:rsid w:val="00472C79"/>
    <w:rsid w:val="00472ED1"/>
    <w:rsid w:val="00473838"/>
    <w:rsid w:val="00473846"/>
    <w:rsid w:val="0047393E"/>
    <w:rsid w:val="00473D9C"/>
    <w:rsid w:val="00474102"/>
    <w:rsid w:val="004741B2"/>
    <w:rsid w:val="00474386"/>
    <w:rsid w:val="0047454D"/>
    <w:rsid w:val="0047474E"/>
    <w:rsid w:val="0047485E"/>
    <w:rsid w:val="0047505E"/>
    <w:rsid w:val="00475504"/>
    <w:rsid w:val="00475C3B"/>
    <w:rsid w:val="00475CA1"/>
    <w:rsid w:val="00475CC5"/>
    <w:rsid w:val="00476014"/>
    <w:rsid w:val="004770EF"/>
    <w:rsid w:val="004778CC"/>
    <w:rsid w:val="004800C0"/>
    <w:rsid w:val="00480A38"/>
    <w:rsid w:val="00480A50"/>
    <w:rsid w:val="00480E7C"/>
    <w:rsid w:val="00481601"/>
    <w:rsid w:val="0048190B"/>
    <w:rsid w:val="00481EBB"/>
    <w:rsid w:val="00481F9B"/>
    <w:rsid w:val="00482014"/>
    <w:rsid w:val="00482149"/>
    <w:rsid w:val="004827FB"/>
    <w:rsid w:val="00482D11"/>
    <w:rsid w:val="0048301A"/>
    <w:rsid w:val="00483F1B"/>
    <w:rsid w:val="00484357"/>
    <w:rsid w:val="0048497D"/>
    <w:rsid w:val="00484F5F"/>
    <w:rsid w:val="004858AA"/>
    <w:rsid w:val="00485A8A"/>
    <w:rsid w:val="00485B45"/>
    <w:rsid w:val="00485C29"/>
    <w:rsid w:val="00485E22"/>
    <w:rsid w:val="00485FE9"/>
    <w:rsid w:val="00486315"/>
    <w:rsid w:val="00486402"/>
    <w:rsid w:val="004864D0"/>
    <w:rsid w:val="004869BE"/>
    <w:rsid w:val="0048711B"/>
    <w:rsid w:val="004873EE"/>
    <w:rsid w:val="00487679"/>
    <w:rsid w:val="0048770D"/>
    <w:rsid w:val="00487A5F"/>
    <w:rsid w:val="00487DD6"/>
    <w:rsid w:val="00490234"/>
    <w:rsid w:val="00490490"/>
    <w:rsid w:val="004906A9"/>
    <w:rsid w:val="00490DBC"/>
    <w:rsid w:val="00490DE2"/>
    <w:rsid w:val="00491019"/>
    <w:rsid w:val="004911A3"/>
    <w:rsid w:val="00491373"/>
    <w:rsid w:val="0049166E"/>
    <w:rsid w:val="004917AF"/>
    <w:rsid w:val="004918BE"/>
    <w:rsid w:val="00491C35"/>
    <w:rsid w:val="0049210C"/>
    <w:rsid w:val="004921C3"/>
    <w:rsid w:val="004929C3"/>
    <w:rsid w:val="0049300D"/>
    <w:rsid w:val="00493077"/>
    <w:rsid w:val="004930D4"/>
    <w:rsid w:val="0049340A"/>
    <w:rsid w:val="00493886"/>
    <w:rsid w:val="00493D86"/>
    <w:rsid w:val="004940A3"/>
    <w:rsid w:val="00494463"/>
    <w:rsid w:val="0049524F"/>
    <w:rsid w:val="0049526E"/>
    <w:rsid w:val="004956CC"/>
    <w:rsid w:val="0049585B"/>
    <w:rsid w:val="00495C56"/>
    <w:rsid w:val="004960F8"/>
    <w:rsid w:val="004963F2"/>
    <w:rsid w:val="00496B75"/>
    <w:rsid w:val="00496C5B"/>
    <w:rsid w:val="0049704E"/>
    <w:rsid w:val="004971FD"/>
    <w:rsid w:val="00497542"/>
    <w:rsid w:val="004977B2"/>
    <w:rsid w:val="00497D59"/>
    <w:rsid w:val="00497F65"/>
    <w:rsid w:val="004A00C9"/>
    <w:rsid w:val="004A0172"/>
    <w:rsid w:val="004A038C"/>
    <w:rsid w:val="004A042C"/>
    <w:rsid w:val="004A0713"/>
    <w:rsid w:val="004A0E6C"/>
    <w:rsid w:val="004A0FF2"/>
    <w:rsid w:val="004A11B5"/>
    <w:rsid w:val="004A183F"/>
    <w:rsid w:val="004A1960"/>
    <w:rsid w:val="004A1AF1"/>
    <w:rsid w:val="004A2300"/>
    <w:rsid w:val="004A23B9"/>
    <w:rsid w:val="004A297B"/>
    <w:rsid w:val="004A308D"/>
    <w:rsid w:val="004A328A"/>
    <w:rsid w:val="004A36A7"/>
    <w:rsid w:val="004A36BB"/>
    <w:rsid w:val="004A386A"/>
    <w:rsid w:val="004A3999"/>
    <w:rsid w:val="004A39E7"/>
    <w:rsid w:val="004A3CAF"/>
    <w:rsid w:val="004A3EDA"/>
    <w:rsid w:val="004A3F59"/>
    <w:rsid w:val="004A42E8"/>
    <w:rsid w:val="004A4386"/>
    <w:rsid w:val="004A43F4"/>
    <w:rsid w:val="004A4836"/>
    <w:rsid w:val="004A4992"/>
    <w:rsid w:val="004A4B0D"/>
    <w:rsid w:val="004A4D4B"/>
    <w:rsid w:val="004A52B7"/>
    <w:rsid w:val="004A55B6"/>
    <w:rsid w:val="004A5960"/>
    <w:rsid w:val="004A5AAB"/>
    <w:rsid w:val="004A6169"/>
    <w:rsid w:val="004A62A2"/>
    <w:rsid w:val="004A6A87"/>
    <w:rsid w:val="004A6AC4"/>
    <w:rsid w:val="004A6CCC"/>
    <w:rsid w:val="004A722A"/>
    <w:rsid w:val="004A72AF"/>
    <w:rsid w:val="004A7877"/>
    <w:rsid w:val="004A7E57"/>
    <w:rsid w:val="004B05A4"/>
    <w:rsid w:val="004B06AD"/>
    <w:rsid w:val="004B08AE"/>
    <w:rsid w:val="004B0901"/>
    <w:rsid w:val="004B1536"/>
    <w:rsid w:val="004B1626"/>
    <w:rsid w:val="004B1BAE"/>
    <w:rsid w:val="004B1DEB"/>
    <w:rsid w:val="004B1F3F"/>
    <w:rsid w:val="004B1FBA"/>
    <w:rsid w:val="004B235F"/>
    <w:rsid w:val="004B23BE"/>
    <w:rsid w:val="004B2A46"/>
    <w:rsid w:val="004B3572"/>
    <w:rsid w:val="004B47D7"/>
    <w:rsid w:val="004B4FF7"/>
    <w:rsid w:val="004B5504"/>
    <w:rsid w:val="004B605F"/>
    <w:rsid w:val="004B63B0"/>
    <w:rsid w:val="004B6C1C"/>
    <w:rsid w:val="004B6E37"/>
    <w:rsid w:val="004B71F0"/>
    <w:rsid w:val="004B7905"/>
    <w:rsid w:val="004C0184"/>
    <w:rsid w:val="004C043C"/>
    <w:rsid w:val="004C08D5"/>
    <w:rsid w:val="004C0A2C"/>
    <w:rsid w:val="004C0BED"/>
    <w:rsid w:val="004C0C76"/>
    <w:rsid w:val="004C0EB3"/>
    <w:rsid w:val="004C1254"/>
    <w:rsid w:val="004C126D"/>
    <w:rsid w:val="004C13B4"/>
    <w:rsid w:val="004C1FD0"/>
    <w:rsid w:val="004C2001"/>
    <w:rsid w:val="004C29AA"/>
    <w:rsid w:val="004C2A74"/>
    <w:rsid w:val="004C2B97"/>
    <w:rsid w:val="004C2CA1"/>
    <w:rsid w:val="004C309E"/>
    <w:rsid w:val="004C3351"/>
    <w:rsid w:val="004C342D"/>
    <w:rsid w:val="004C36AE"/>
    <w:rsid w:val="004C38D8"/>
    <w:rsid w:val="004C3D0B"/>
    <w:rsid w:val="004C4043"/>
    <w:rsid w:val="004C44C7"/>
    <w:rsid w:val="004C45F3"/>
    <w:rsid w:val="004C462F"/>
    <w:rsid w:val="004C492F"/>
    <w:rsid w:val="004C4BA1"/>
    <w:rsid w:val="004C4D0A"/>
    <w:rsid w:val="004C5255"/>
    <w:rsid w:val="004C52EC"/>
    <w:rsid w:val="004C54F1"/>
    <w:rsid w:val="004C6241"/>
    <w:rsid w:val="004C6376"/>
    <w:rsid w:val="004C66DA"/>
    <w:rsid w:val="004C66FB"/>
    <w:rsid w:val="004C6D24"/>
    <w:rsid w:val="004C6EFE"/>
    <w:rsid w:val="004C6FE1"/>
    <w:rsid w:val="004C74F7"/>
    <w:rsid w:val="004C7A92"/>
    <w:rsid w:val="004C7B3E"/>
    <w:rsid w:val="004C7D8D"/>
    <w:rsid w:val="004C7E35"/>
    <w:rsid w:val="004D0306"/>
    <w:rsid w:val="004D0313"/>
    <w:rsid w:val="004D06B6"/>
    <w:rsid w:val="004D07F7"/>
    <w:rsid w:val="004D0A2A"/>
    <w:rsid w:val="004D0B6C"/>
    <w:rsid w:val="004D0C9E"/>
    <w:rsid w:val="004D0CD5"/>
    <w:rsid w:val="004D0E79"/>
    <w:rsid w:val="004D2A53"/>
    <w:rsid w:val="004D2EEA"/>
    <w:rsid w:val="004D3037"/>
    <w:rsid w:val="004D313F"/>
    <w:rsid w:val="004D317C"/>
    <w:rsid w:val="004D33F0"/>
    <w:rsid w:val="004D34D8"/>
    <w:rsid w:val="004D35D8"/>
    <w:rsid w:val="004D3936"/>
    <w:rsid w:val="004D3CC5"/>
    <w:rsid w:val="004D4008"/>
    <w:rsid w:val="004D40A7"/>
    <w:rsid w:val="004D4129"/>
    <w:rsid w:val="004D46E6"/>
    <w:rsid w:val="004D47ED"/>
    <w:rsid w:val="004D50CC"/>
    <w:rsid w:val="004D577B"/>
    <w:rsid w:val="004D5960"/>
    <w:rsid w:val="004D59A2"/>
    <w:rsid w:val="004D5B64"/>
    <w:rsid w:val="004D603E"/>
    <w:rsid w:val="004D67A3"/>
    <w:rsid w:val="004D682B"/>
    <w:rsid w:val="004D6961"/>
    <w:rsid w:val="004D6A84"/>
    <w:rsid w:val="004D6F32"/>
    <w:rsid w:val="004D6FD8"/>
    <w:rsid w:val="004D70E0"/>
    <w:rsid w:val="004D73D2"/>
    <w:rsid w:val="004D7F65"/>
    <w:rsid w:val="004E0098"/>
    <w:rsid w:val="004E0111"/>
    <w:rsid w:val="004E078F"/>
    <w:rsid w:val="004E0895"/>
    <w:rsid w:val="004E0E04"/>
    <w:rsid w:val="004E0E48"/>
    <w:rsid w:val="004E0EC6"/>
    <w:rsid w:val="004E10F0"/>
    <w:rsid w:val="004E14D7"/>
    <w:rsid w:val="004E19CA"/>
    <w:rsid w:val="004E1EB0"/>
    <w:rsid w:val="004E1F65"/>
    <w:rsid w:val="004E25DA"/>
    <w:rsid w:val="004E25E6"/>
    <w:rsid w:val="004E2605"/>
    <w:rsid w:val="004E279B"/>
    <w:rsid w:val="004E2DD9"/>
    <w:rsid w:val="004E2E98"/>
    <w:rsid w:val="004E2EC9"/>
    <w:rsid w:val="004E2F19"/>
    <w:rsid w:val="004E316B"/>
    <w:rsid w:val="004E347D"/>
    <w:rsid w:val="004E34B5"/>
    <w:rsid w:val="004E34D5"/>
    <w:rsid w:val="004E353D"/>
    <w:rsid w:val="004E409E"/>
    <w:rsid w:val="004E4208"/>
    <w:rsid w:val="004E442B"/>
    <w:rsid w:val="004E4549"/>
    <w:rsid w:val="004E45C8"/>
    <w:rsid w:val="004E48D4"/>
    <w:rsid w:val="004E4BB0"/>
    <w:rsid w:val="004E4C26"/>
    <w:rsid w:val="004E4CE4"/>
    <w:rsid w:val="004E5035"/>
    <w:rsid w:val="004E53B1"/>
    <w:rsid w:val="004E5590"/>
    <w:rsid w:val="004E5777"/>
    <w:rsid w:val="004E58E2"/>
    <w:rsid w:val="004E599D"/>
    <w:rsid w:val="004E5A4D"/>
    <w:rsid w:val="004E62B7"/>
    <w:rsid w:val="004E6538"/>
    <w:rsid w:val="004E6DC7"/>
    <w:rsid w:val="004E72E4"/>
    <w:rsid w:val="004E7E44"/>
    <w:rsid w:val="004F03E7"/>
    <w:rsid w:val="004F045F"/>
    <w:rsid w:val="004F06CE"/>
    <w:rsid w:val="004F09BC"/>
    <w:rsid w:val="004F0E21"/>
    <w:rsid w:val="004F1494"/>
    <w:rsid w:val="004F2613"/>
    <w:rsid w:val="004F2949"/>
    <w:rsid w:val="004F3048"/>
    <w:rsid w:val="004F311E"/>
    <w:rsid w:val="004F35CB"/>
    <w:rsid w:val="004F3605"/>
    <w:rsid w:val="004F36A7"/>
    <w:rsid w:val="004F3920"/>
    <w:rsid w:val="004F3BAA"/>
    <w:rsid w:val="004F3C28"/>
    <w:rsid w:val="004F533D"/>
    <w:rsid w:val="004F57F3"/>
    <w:rsid w:val="004F5B73"/>
    <w:rsid w:val="004F66B8"/>
    <w:rsid w:val="004F6893"/>
    <w:rsid w:val="004F68E2"/>
    <w:rsid w:val="004F6A4C"/>
    <w:rsid w:val="004F6CA1"/>
    <w:rsid w:val="004F7663"/>
    <w:rsid w:val="004F7FF3"/>
    <w:rsid w:val="005005CD"/>
    <w:rsid w:val="0050061B"/>
    <w:rsid w:val="005008EC"/>
    <w:rsid w:val="005011EF"/>
    <w:rsid w:val="005014E5"/>
    <w:rsid w:val="0050208A"/>
    <w:rsid w:val="005022F7"/>
    <w:rsid w:val="0050274F"/>
    <w:rsid w:val="00502763"/>
    <w:rsid w:val="00502B38"/>
    <w:rsid w:val="00502CB3"/>
    <w:rsid w:val="00503078"/>
    <w:rsid w:val="00503CA5"/>
    <w:rsid w:val="005041B6"/>
    <w:rsid w:val="0050426A"/>
    <w:rsid w:val="00504800"/>
    <w:rsid w:val="00504CF3"/>
    <w:rsid w:val="00504DD5"/>
    <w:rsid w:val="00505448"/>
    <w:rsid w:val="00506680"/>
    <w:rsid w:val="00506957"/>
    <w:rsid w:val="00506D01"/>
    <w:rsid w:val="005070E5"/>
    <w:rsid w:val="005075F8"/>
    <w:rsid w:val="005077BE"/>
    <w:rsid w:val="005077E3"/>
    <w:rsid w:val="00507846"/>
    <w:rsid w:val="00507A99"/>
    <w:rsid w:val="00507C7F"/>
    <w:rsid w:val="005103EB"/>
    <w:rsid w:val="005107F0"/>
    <w:rsid w:val="00510C11"/>
    <w:rsid w:val="005118CB"/>
    <w:rsid w:val="00511AE0"/>
    <w:rsid w:val="00512768"/>
    <w:rsid w:val="0051279A"/>
    <w:rsid w:val="00512B94"/>
    <w:rsid w:val="00513079"/>
    <w:rsid w:val="0051312C"/>
    <w:rsid w:val="00513549"/>
    <w:rsid w:val="00513633"/>
    <w:rsid w:val="0051363D"/>
    <w:rsid w:val="00513CC9"/>
    <w:rsid w:val="0051443A"/>
    <w:rsid w:val="00514531"/>
    <w:rsid w:val="0051454A"/>
    <w:rsid w:val="00514E13"/>
    <w:rsid w:val="00514EF0"/>
    <w:rsid w:val="00515924"/>
    <w:rsid w:val="0051595D"/>
    <w:rsid w:val="00515A3E"/>
    <w:rsid w:val="00515D2C"/>
    <w:rsid w:val="00515ECF"/>
    <w:rsid w:val="00516EEB"/>
    <w:rsid w:val="00516F8E"/>
    <w:rsid w:val="00517194"/>
    <w:rsid w:val="005174D4"/>
    <w:rsid w:val="005175B1"/>
    <w:rsid w:val="005175CD"/>
    <w:rsid w:val="005176B8"/>
    <w:rsid w:val="005177A7"/>
    <w:rsid w:val="00517AAA"/>
    <w:rsid w:val="005200A6"/>
    <w:rsid w:val="0052010D"/>
    <w:rsid w:val="00520131"/>
    <w:rsid w:val="00520516"/>
    <w:rsid w:val="00521872"/>
    <w:rsid w:val="00521BED"/>
    <w:rsid w:val="00521D06"/>
    <w:rsid w:val="0052208C"/>
    <w:rsid w:val="00522157"/>
    <w:rsid w:val="00522351"/>
    <w:rsid w:val="0052265F"/>
    <w:rsid w:val="005226CB"/>
    <w:rsid w:val="00522C17"/>
    <w:rsid w:val="00522C65"/>
    <w:rsid w:val="005234B4"/>
    <w:rsid w:val="00523A35"/>
    <w:rsid w:val="00523B4B"/>
    <w:rsid w:val="00523BF7"/>
    <w:rsid w:val="00523C1E"/>
    <w:rsid w:val="00524030"/>
    <w:rsid w:val="0052474D"/>
    <w:rsid w:val="0052478D"/>
    <w:rsid w:val="00524BC9"/>
    <w:rsid w:val="00524D81"/>
    <w:rsid w:val="00524F23"/>
    <w:rsid w:val="00524F4B"/>
    <w:rsid w:val="005251AA"/>
    <w:rsid w:val="005252AC"/>
    <w:rsid w:val="005253F6"/>
    <w:rsid w:val="00525531"/>
    <w:rsid w:val="005256A5"/>
    <w:rsid w:val="00525F4B"/>
    <w:rsid w:val="00526081"/>
    <w:rsid w:val="0052676E"/>
    <w:rsid w:val="00526870"/>
    <w:rsid w:val="00526E6C"/>
    <w:rsid w:val="005271E6"/>
    <w:rsid w:val="00527BD1"/>
    <w:rsid w:val="00527E95"/>
    <w:rsid w:val="00530B31"/>
    <w:rsid w:val="005314FE"/>
    <w:rsid w:val="005319D3"/>
    <w:rsid w:val="00531F0B"/>
    <w:rsid w:val="00532145"/>
    <w:rsid w:val="00532B88"/>
    <w:rsid w:val="00532CF7"/>
    <w:rsid w:val="00532E47"/>
    <w:rsid w:val="005332B7"/>
    <w:rsid w:val="00533790"/>
    <w:rsid w:val="00533A83"/>
    <w:rsid w:val="00533D04"/>
    <w:rsid w:val="00533E6A"/>
    <w:rsid w:val="00533E71"/>
    <w:rsid w:val="00533E78"/>
    <w:rsid w:val="005342D2"/>
    <w:rsid w:val="0053445E"/>
    <w:rsid w:val="0053471B"/>
    <w:rsid w:val="005348BF"/>
    <w:rsid w:val="00534A58"/>
    <w:rsid w:val="00534AE3"/>
    <w:rsid w:val="00534B39"/>
    <w:rsid w:val="00534BF2"/>
    <w:rsid w:val="00534E02"/>
    <w:rsid w:val="005353A1"/>
    <w:rsid w:val="0053567D"/>
    <w:rsid w:val="005358FF"/>
    <w:rsid w:val="00535E5C"/>
    <w:rsid w:val="00535E87"/>
    <w:rsid w:val="00535E89"/>
    <w:rsid w:val="0053606F"/>
    <w:rsid w:val="00536A11"/>
    <w:rsid w:val="00536BA1"/>
    <w:rsid w:val="00536C37"/>
    <w:rsid w:val="00536CF8"/>
    <w:rsid w:val="00536E18"/>
    <w:rsid w:val="00536FB9"/>
    <w:rsid w:val="0053793F"/>
    <w:rsid w:val="00537B0C"/>
    <w:rsid w:val="00537F67"/>
    <w:rsid w:val="0054018F"/>
    <w:rsid w:val="00540202"/>
    <w:rsid w:val="005404AF"/>
    <w:rsid w:val="0054067B"/>
    <w:rsid w:val="0054146F"/>
    <w:rsid w:val="00541658"/>
    <w:rsid w:val="00541832"/>
    <w:rsid w:val="005419C0"/>
    <w:rsid w:val="00541BD6"/>
    <w:rsid w:val="00542936"/>
    <w:rsid w:val="00542C09"/>
    <w:rsid w:val="00542F96"/>
    <w:rsid w:val="0054349B"/>
    <w:rsid w:val="005438DA"/>
    <w:rsid w:val="005440AA"/>
    <w:rsid w:val="00544128"/>
    <w:rsid w:val="00544276"/>
    <w:rsid w:val="005448A2"/>
    <w:rsid w:val="00544A33"/>
    <w:rsid w:val="00544EAC"/>
    <w:rsid w:val="00544FF1"/>
    <w:rsid w:val="005451AB"/>
    <w:rsid w:val="0054524B"/>
    <w:rsid w:val="005454A2"/>
    <w:rsid w:val="00545860"/>
    <w:rsid w:val="00545939"/>
    <w:rsid w:val="00547274"/>
    <w:rsid w:val="0054743E"/>
    <w:rsid w:val="00547C28"/>
    <w:rsid w:val="005504AB"/>
    <w:rsid w:val="00550A0B"/>
    <w:rsid w:val="005511CF"/>
    <w:rsid w:val="00551712"/>
    <w:rsid w:val="00551B85"/>
    <w:rsid w:val="005521FE"/>
    <w:rsid w:val="00552273"/>
    <w:rsid w:val="005524F4"/>
    <w:rsid w:val="00552855"/>
    <w:rsid w:val="00552B66"/>
    <w:rsid w:val="00552C8D"/>
    <w:rsid w:val="00552E0F"/>
    <w:rsid w:val="00552E1C"/>
    <w:rsid w:val="00552FA4"/>
    <w:rsid w:val="0055327D"/>
    <w:rsid w:val="0055329C"/>
    <w:rsid w:val="0055357C"/>
    <w:rsid w:val="00553792"/>
    <w:rsid w:val="00553817"/>
    <w:rsid w:val="00553C14"/>
    <w:rsid w:val="00553F2D"/>
    <w:rsid w:val="00553F93"/>
    <w:rsid w:val="005540D9"/>
    <w:rsid w:val="0055434B"/>
    <w:rsid w:val="0055489E"/>
    <w:rsid w:val="005549BA"/>
    <w:rsid w:val="00554D0A"/>
    <w:rsid w:val="00555295"/>
    <w:rsid w:val="00555CD2"/>
    <w:rsid w:val="0055632B"/>
    <w:rsid w:val="00556648"/>
    <w:rsid w:val="00556DAA"/>
    <w:rsid w:val="00556F58"/>
    <w:rsid w:val="0055703B"/>
    <w:rsid w:val="00557C0E"/>
    <w:rsid w:val="00557D91"/>
    <w:rsid w:val="00557D9C"/>
    <w:rsid w:val="005606D7"/>
    <w:rsid w:val="00560A9E"/>
    <w:rsid w:val="005619D2"/>
    <w:rsid w:val="00561B92"/>
    <w:rsid w:val="00562286"/>
    <w:rsid w:val="00562375"/>
    <w:rsid w:val="005627F0"/>
    <w:rsid w:val="0056347A"/>
    <w:rsid w:val="0056358D"/>
    <w:rsid w:val="005639B8"/>
    <w:rsid w:val="00563D52"/>
    <w:rsid w:val="005641E7"/>
    <w:rsid w:val="005642FF"/>
    <w:rsid w:val="00564655"/>
    <w:rsid w:val="00564AB1"/>
    <w:rsid w:val="00565271"/>
    <w:rsid w:val="0056545C"/>
    <w:rsid w:val="005659A5"/>
    <w:rsid w:val="0056614B"/>
    <w:rsid w:val="00566827"/>
    <w:rsid w:val="00566BB0"/>
    <w:rsid w:val="00566D0C"/>
    <w:rsid w:val="00567369"/>
    <w:rsid w:val="0056746B"/>
    <w:rsid w:val="005674BE"/>
    <w:rsid w:val="00567696"/>
    <w:rsid w:val="00567C06"/>
    <w:rsid w:val="00567D20"/>
    <w:rsid w:val="00567DCF"/>
    <w:rsid w:val="00567E7D"/>
    <w:rsid w:val="00567FDF"/>
    <w:rsid w:val="005700E2"/>
    <w:rsid w:val="00570177"/>
    <w:rsid w:val="00570A2C"/>
    <w:rsid w:val="0057184B"/>
    <w:rsid w:val="00571D26"/>
    <w:rsid w:val="0057249E"/>
    <w:rsid w:val="005724AB"/>
    <w:rsid w:val="00572B82"/>
    <w:rsid w:val="00572BF7"/>
    <w:rsid w:val="0057328A"/>
    <w:rsid w:val="00573378"/>
    <w:rsid w:val="00573606"/>
    <w:rsid w:val="0057390D"/>
    <w:rsid w:val="00574019"/>
    <w:rsid w:val="00574526"/>
    <w:rsid w:val="005746A9"/>
    <w:rsid w:val="0057479C"/>
    <w:rsid w:val="00574A7A"/>
    <w:rsid w:val="00574D64"/>
    <w:rsid w:val="00574FA8"/>
    <w:rsid w:val="005751A3"/>
    <w:rsid w:val="005752DA"/>
    <w:rsid w:val="0057559D"/>
    <w:rsid w:val="005763C8"/>
    <w:rsid w:val="00576633"/>
    <w:rsid w:val="005772A7"/>
    <w:rsid w:val="0057756B"/>
    <w:rsid w:val="005777E9"/>
    <w:rsid w:val="00577E65"/>
    <w:rsid w:val="00577F2E"/>
    <w:rsid w:val="00580267"/>
    <w:rsid w:val="00580422"/>
    <w:rsid w:val="00581638"/>
    <w:rsid w:val="00581687"/>
    <w:rsid w:val="005823E9"/>
    <w:rsid w:val="005824B0"/>
    <w:rsid w:val="0058253E"/>
    <w:rsid w:val="005826E0"/>
    <w:rsid w:val="00582E4C"/>
    <w:rsid w:val="00583630"/>
    <w:rsid w:val="005837B8"/>
    <w:rsid w:val="00583AB5"/>
    <w:rsid w:val="00583CC3"/>
    <w:rsid w:val="00583CFF"/>
    <w:rsid w:val="005840C5"/>
    <w:rsid w:val="005841F1"/>
    <w:rsid w:val="00584215"/>
    <w:rsid w:val="00584585"/>
    <w:rsid w:val="00584685"/>
    <w:rsid w:val="0058487F"/>
    <w:rsid w:val="00584D41"/>
    <w:rsid w:val="00585545"/>
    <w:rsid w:val="00585C0C"/>
    <w:rsid w:val="00585D33"/>
    <w:rsid w:val="00585DBD"/>
    <w:rsid w:val="00586138"/>
    <w:rsid w:val="00586142"/>
    <w:rsid w:val="0058617E"/>
    <w:rsid w:val="005862CE"/>
    <w:rsid w:val="00586323"/>
    <w:rsid w:val="005863A0"/>
    <w:rsid w:val="005863F4"/>
    <w:rsid w:val="00586A63"/>
    <w:rsid w:val="0058733E"/>
    <w:rsid w:val="0058771B"/>
    <w:rsid w:val="00587B49"/>
    <w:rsid w:val="00587D39"/>
    <w:rsid w:val="00587D84"/>
    <w:rsid w:val="005901CB"/>
    <w:rsid w:val="00590313"/>
    <w:rsid w:val="00590933"/>
    <w:rsid w:val="00590E0D"/>
    <w:rsid w:val="00590FBF"/>
    <w:rsid w:val="0059117C"/>
    <w:rsid w:val="00591273"/>
    <w:rsid w:val="005914FD"/>
    <w:rsid w:val="00591AF7"/>
    <w:rsid w:val="00591AFB"/>
    <w:rsid w:val="005925A2"/>
    <w:rsid w:val="00592933"/>
    <w:rsid w:val="00592BF2"/>
    <w:rsid w:val="0059315A"/>
    <w:rsid w:val="005936DD"/>
    <w:rsid w:val="005939D7"/>
    <w:rsid w:val="00593E20"/>
    <w:rsid w:val="005942B6"/>
    <w:rsid w:val="00594A9A"/>
    <w:rsid w:val="00594D09"/>
    <w:rsid w:val="005953AD"/>
    <w:rsid w:val="00595B1D"/>
    <w:rsid w:val="00595E5A"/>
    <w:rsid w:val="0059610E"/>
    <w:rsid w:val="0059698E"/>
    <w:rsid w:val="0059701D"/>
    <w:rsid w:val="005970FC"/>
    <w:rsid w:val="00597338"/>
    <w:rsid w:val="00597A78"/>
    <w:rsid w:val="00597FFE"/>
    <w:rsid w:val="005A0151"/>
    <w:rsid w:val="005A0250"/>
    <w:rsid w:val="005A02F8"/>
    <w:rsid w:val="005A0AB2"/>
    <w:rsid w:val="005A0C7B"/>
    <w:rsid w:val="005A0E2B"/>
    <w:rsid w:val="005A151D"/>
    <w:rsid w:val="005A17A8"/>
    <w:rsid w:val="005A1932"/>
    <w:rsid w:val="005A1ADF"/>
    <w:rsid w:val="005A1CD5"/>
    <w:rsid w:val="005A1DEC"/>
    <w:rsid w:val="005A1E44"/>
    <w:rsid w:val="005A2776"/>
    <w:rsid w:val="005A2B32"/>
    <w:rsid w:val="005A2F32"/>
    <w:rsid w:val="005A3226"/>
    <w:rsid w:val="005A32CD"/>
    <w:rsid w:val="005A32FF"/>
    <w:rsid w:val="005A3374"/>
    <w:rsid w:val="005A389D"/>
    <w:rsid w:val="005A3AF0"/>
    <w:rsid w:val="005A3E87"/>
    <w:rsid w:val="005A3EF4"/>
    <w:rsid w:val="005A3F48"/>
    <w:rsid w:val="005A41F5"/>
    <w:rsid w:val="005A4CE0"/>
    <w:rsid w:val="005A4CF0"/>
    <w:rsid w:val="005A5F2F"/>
    <w:rsid w:val="005A61D0"/>
    <w:rsid w:val="005A63CC"/>
    <w:rsid w:val="005A63E0"/>
    <w:rsid w:val="005A673C"/>
    <w:rsid w:val="005A7888"/>
    <w:rsid w:val="005A796A"/>
    <w:rsid w:val="005B00F9"/>
    <w:rsid w:val="005B0707"/>
    <w:rsid w:val="005B0EC5"/>
    <w:rsid w:val="005B0FFD"/>
    <w:rsid w:val="005B110E"/>
    <w:rsid w:val="005B1A12"/>
    <w:rsid w:val="005B2030"/>
    <w:rsid w:val="005B259E"/>
    <w:rsid w:val="005B2991"/>
    <w:rsid w:val="005B3342"/>
    <w:rsid w:val="005B3714"/>
    <w:rsid w:val="005B38A2"/>
    <w:rsid w:val="005B38D9"/>
    <w:rsid w:val="005B4317"/>
    <w:rsid w:val="005B4946"/>
    <w:rsid w:val="005B49D5"/>
    <w:rsid w:val="005B4D6F"/>
    <w:rsid w:val="005B51A4"/>
    <w:rsid w:val="005B53E2"/>
    <w:rsid w:val="005B5449"/>
    <w:rsid w:val="005B54BB"/>
    <w:rsid w:val="005B5AFA"/>
    <w:rsid w:val="005B6467"/>
    <w:rsid w:val="005B663B"/>
    <w:rsid w:val="005B69DF"/>
    <w:rsid w:val="005B69E2"/>
    <w:rsid w:val="005B6C91"/>
    <w:rsid w:val="005B72CD"/>
    <w:rsid w:val="005B77C3"/>
    <w:rsid w:val="005C0399"/>
    <w:rsid w:val="005C0A61"/>
    <w:rsid w:val="005C0DEA"/>
    <w:rsid w:val="005C0E88"/>
    <w:rsid w:val="005C1421"/>
    <w:rsid w:val="005C15F3"/>
    <w:rsid w:val="005C16E6"/>
    <w:rsid w:val="005C172F"/>
    <w:rsid w:val="005C17F9"/>
    <w:rsid w:val="005C1921"/>
    <w:rsid w:val="005C1C41"/>
    <w:rsid w:val="005C1EA9"/>
    <w:rsid w:val="005C241A"/>
    <w:rsid w:val="005C24F7"/>
    <w:rsid w:val="005C2F86"/>
    <w:rsid w:val="005C3317"/>
    <w:rsid w:val="005C3476"/>
    <w:rsid w:val="005C3987"/>
    <w:rsid w:val="005C4122"/>
    <w:rsid w:val="005C4216"/>
    <w:rsid w:val="005C44EF"/>
    <w:rsid w:val="005C45A7"/>
    <w:rsid w:val="005C48E8"/>
    <w:rsid w:val="005C4AD4"/>
    <w:rsid w:val="005C4E18"/>
    <w:rsid w:val="005C571C"/>
    <w:rsid w:val="005C61AA"/>
    <w:rsid w:val="005C6433"/>
    <w:rsid w:val="005C7567"/>
    <w:rsid w:val="005C763D"/>
    <w:rsid w:val="005C76C6"/>
    <w:rsid w:val="005C7E0A"/>
    <w:rsid w:val="005C7EF5"/>
    <w:rsid w:val="005D02C3"/>
    <w:rsid w:val="005D03D0"/>
    <w:rsid w:val="005D0C1A"/>
    <w:rsid w:val="005D0DD6"/>
    <w:rsid w:val="005D0E88"/>
    <w:rsid w:val="005D0FD8"/>
    <w:rsid w:val="005D1012"/>
    <w:rsid w:val="005D1393"/>
    <w:rsid w:val="005D15E3"/>
    <w:rsid w:val="005D1A57"/>
    <w:rsid w:val="005D1B95"/>
    <w:rsid w:val="005D1BD1"/>
    <w:rsid w:val="005D1E2C"/>
    <w:rsid w:val="005D1FC6"/>
    <w:rsid w:val="005D2170"/>
    <w:rsid w:val="005D25A9"/>
    <w:rsid w:val="005D2985"/>
    <w:rsid w:val="005D2AF8"/>
    <w:rsid w:val="005D2B83"/>
    <w:rsid w:val="005D2BFA"/>
    <w:rsid w:val="005D2C57"/>
    <w:rsid w:val="005D2EED"/>
    <w:rsid w:val="005D2F86"/>
    <w:rsid w:val="005D311B"/>
    <w:rsid w:val="005D320B"/>
    <w:rsid w:val="005D360D"/>
    <w:rsid w:val="005D39DF"/>
    <w:rsid w:val="005D3A5C"/>
    <w:rsid w:val="005D3CBD"/>
    <w:rsid w:val="005D3CF6"/>
    <w:rsid w:val="005D3D36"/>
    <w:rsid w:val="005D42E8"/>
    <w:rsid w:val="005D45E1"/>
    <w:rsid w:val="005D4DC9"/>
    <w:rsid w:val="005D4F4A"/>
    <w:rsid w:val="005D518F"/>
    <w:rsid w:val="005D569E"/>
    <w:rsid w:val="005D5A0D"/>
    <w:rsid w:val="005D60DE"/>
    <w:rsid w:val="005D6B54"/>
    <w:rsid w:val="005D6BBF"/>
    <w:rsid w:val="005D6CD9"/>
    <w:rsid w:val="005D6D2A"/>
    <w:rsid w:val="005D71CE"/>
    <w:rsid w:val="005D74F3"/>
    <w:rsid w:val="005D7516"/>
    <w:rsid w:val="005D76EA"/>
    <w:rsid w:val="005D799C"/>
    <w:rsid w:val="005D7B77"/>
    <w:rsid w:val="005E05F7"/>
    <w:rsid w:val="005E069A"/>
    <w:rsid w:val="005E1013"/>
    <w:rsid w:val="005E1143"/>
    <w:rsid w:val="005E116A"/>
    <w:rsid w:val="005E13C9"/>
    <w:rsid w:val="005E1498"/>
    <w:rsid w:val="005E177A"/>
    <w:rsid w:val="005E20A6"/>
    <w:rsid w:val="005E29FC"/>
    <w:rsid w:val="005E2BDB"/>
    <w:rsid w:val="005E2F69"/>
    <w:rsid w:val="005E2FE5"/>
    <w:rsid w:val="005E3264"/>
    <w:rsid w:val="005E384F"/>
    <w:rsid w:val="005E3871"/>
    <w:rsid w:val="005E38B8"/>
    <w:rsid w:val="005E42A9"/>
    <w:rsid w:val="005E43D3"/>
    <w:rsid w:val="005E4554"/>
    <w:rsid w:val="005E4861"/>
    <w:rsid w:val="005E4982"/>
    <w:rsid w:val="005E52DA"/>
    <w:rsid w:val="005E564A"/>
    <w:rsid w:val="005E5B58"/>
    <w:rsid w:val="005E5CC5"/>
    <w:rsid w:val="005E6196"/>
    <w:rsid w:val="005E64D0"/>
    <w:rsid w:val="005E6514"/>
    <w:rsid w:val="005E6675"/>
    <w:rsid w:val="005E6981"/>
    <w:rsid w:val="005E6A4C"/>
    <w:rsid w:val="005E6B5B"/>
    <w:rsid w:val="005E6D76"/>
    <w:rsid w:val="005E7E98"/>
    <w:rsid w:val="005E7F21"/>
    <w:rsid w:val="005F00C1"/>
    <w:rsid w:val="005F06D7"/>
    <w:rsid w:val="005F0A82"/>
    <w:rsid w:val="005F0BB0"/>
    <w:rsid w:val="005F0BF9"/>
    <w:rsid w:val="005F1104"/>
    <w:rsid w:val="005F11AA"/>
    <w:rsid w:val="005F12EC"/>
    <w:rsid w:val="005F152D"/>
    <w:rsid w:val="005F1594"/>
    <w:rsid w:val="005F1598"/>
    <w:rsid w:val="005F15C1"/>
    <w:rsid w:val="005F183D"/>
    <w:rsid w:val="005F1B3D"/>
    <w:rsid w:val="005F1F49"/>
    <w:rsid w:val="005F1F91"/>
    <w:rsid w:val="005F2B06"/>
    <w:rsid w:val="005F2F10"/>
    <w:rsid w:val="005F33DB"/>
    <w:rsid w:val="005F35F1"/>
    <w:rsid w:val="005F3B80"/>
    <w:rsid w:val="005F3C5F"/>
    <w:rsid w:val="005F3D46"/>
    <w:rsid w:val="005F3DFE"/>
    <w:rsid w:val="005F3F27"/>
    <w:rsid w:val="005F4017"/>
    <w:rsid w:val="005F427B"/>
    <w:rsid w:val="005F42C7"/>
    <w:rsid w:val="005F46EE"/>
    <w:rsid w:val="005F4741"/>
    <w:rsid w:val="005F4827"/>
    <w:rsid w:val="005F4BA9"/>
    <w:rsid w:val="005F568B"/>
    <w:rsid w:val="005F5ACA"/>
    <w:rsid w:val="005F5BBF"/>
    <w:rsid w:val="005F5C8C"/>
    <w:rsid w:val="005F60E8"/>
    <w:rsid w:val="005F6174"/>
    <w:rsid w:val="005F6322"/>
    <w:rsid w:val="005F6378"/>
    <w:rsid w:val="005F64F1"/>
    <w:rsid w:val="005F687C"/>
    <w:rsid w:val="005F6A59"/>
    <w:rsid w:val="005F6B1F"/>
    <w:rsid w:val="005F6E82"/>
    <w:rsid w:val="005F6F9B"/>
    <w:rsid w:val="005F70EC"/>
    <w:rsid w:val="005F7416"/>
    <w:rsid w:val="005F7803"/>
    <w:rsid w:val="005F791D"/>
    <w:rsid w:val="005F7999"/>
    <w:rsid w:val="005F7A00"/>
    <w:rsid w:val="005F7A12"/>
    <w:rsid w:val="006001C3"/>
    <w:rsid w:val="006002BD"/>
    <w:rsid w:val="006003BB"/>
    <w:rsid w:val="00600AB3"/>
    <w:rsid w:val="00600B7A"/>
    <w:rsid w:val="00600BB2"/>
    <w:rsid w:val="00600FC9"/>
    <w:rsid w:val="006012B2"/>
    <w:rsid w:val="006016D4"/>
    <w:rsid w:val="00601F0B"/>
    <w:rsid w:val="00601F85"/>
    <w:rsid w:val="006021A2"/>
    <w:rsid w:val="0060251B"/>
    <w:rsid w:val="00602872"/>
    <w:rsid w:val="00602A75"/>
    <w:rsid w:val="00602E8A"/>
    <w:rsid w:val="006030F7"/>
    <w:rsid w:val="00603611"/>
    <w:rsid w:val="00603672"/>
    <w:rsid w:val="006042B5"/>
    <w:rsid w:val="00604948"/>
    <w:rsid w:val="00604B92"/>
    <w:rsid w:val="00604D54"/>
    <w:rsid w:val="00604EFF"/>
    <w:rsid w:val="00604F9A"/>
    <w:rsid w:val="0060515F"/>
    <w:rsid w:val="0060567B"/>
    <w:rsid w:val="00605BBF"/>
    <w:rsid w:val="00605D07"/>
    <w:rsid w:val="0060622B"/>
    <w:rsid w:val="00606279"/>
    <w:rsid w:val="00606437"/>
    <w:rsid w:val="006066EA"/>
    <w:rsid w:val="00606C56"/>
    <w:rsid w:val="00606F2A"/>
    <w:rsid w:val="00606FB7"/>
    <w:rsid w:val="00607565"/>
    <w:rsid w:val="00607573"/>
    <w:rsid w:val="00607D4D"/>
    <w:rsid w:val="00607FE5"/>
    <w:rsid w:val="00610187"/>
    <w:rsid w:val="0061034B"/>
    <w:rsid w:val="00610445"/>
    <w:rsid w:val="00610778"/>
    <w:rsid w:val="00610838"/>
    <w:rsid w:val="00610D7D"/>
    <w:rsid w:val="00610D81"/>
    <w:rsid w:val="00611207"/>
    <w:rsid w:val="006121FF"/>
    <w:rsid w:val="006125AA"/>
    <w:rsid w:val="006125F0"/>
    <w:rsid w:val="00612754"/>
    <w:rsid w:val="00612A2E"/>
    <w:rsid w:val="00612D64"/>
    <w:rsid w:val="00612DA9"/>
    <w:rsid w:val="00612E0C"/>
    <w:rsid w:val="00612F5D"/>
    <w:rsid w:val="006133BE"/>
    <w:rsid w:val="006134CC"/>
    <w:rsid w:val="0061387E"/>
    <w:rsid w:val="00613AA7"/>
    <w:rsid w:val="00613AB1"/>
    <w:rsid w:val="00614449"/>
    <w:rsid w:val="006145FA"/>
    <w:rsid w:val="00614AA6"/>
    <w:rsid w:val="00614B29"/>
    <w:rsid w:val="00614C36"/>
    <w:rsid w:val="00615D5C"/>
    <w:rsid w:val="00616C41"/>
    <w:rsid w:val="00616C52"/>
    <w:rsid w:val="00616D81"/>
    <w:rsid w:val="00616DC2"/>
    <w:rsid w:val="00616E6B"/>
    <w:rsid w:val="00616F56"/>
    <w:rsid w:val="006173EC"/>
    <w:rsid w:val="00617B66"/>
    <w:rsid w:val="00617E3A"/>
    <w:rsid w:val="00617F7D"/>
    <w:rsid w:val="006200DE"/>
    <w:rsid w:val="00620317"/>
    <w:rsid w:val="00620352"/>
    <w:rsid w:val="00620394"/>
    <w:rsid w:val="00620A2A"/>
    <w:rsid w:val="0062106D"/>
    <w:rsid w:val="006211AD"/>
    <w:rsid w:val="0062145F"/>
    <w:rsid w:val="0062147B"/>
    <w:rsid w:val="00621984"/>
    <w:rsid w:val="0062201B"/>
    <w:rsid w:val="0062221B"/>
    <w:rsid w:val="00622288"/>
    <w:rsid w:val="006226C1"/>
    <w:rsid w:val="00622977"/>
    <w:rsid w:val="00622A85"/>
    <w:rsid w:val="00622AB7"/>
    <w:rsid w:val="00622BE1"/>
    <w:rsid w:val="00622D3F"/>
    <w:rsid w:val="00622FC4"/>
    <w:rsid w:val="00622FED"/>
    <w:rsid w:val="00623675"/>
    <w:rsid w:val="006236E6"/>
    <w:rsid w:val="006236E8"/>
    <w:rsid w:val="00623901"/>
    <w:rsid w:val="00623F74"/>
    <w:rsid w:val="0062432A"/>
    <w:rsid w:val="006243AD"/>
    <w:rsid w:val="00624B0C"/>
    <w:rsid w:val="00624C41"/>
    <w:rsid w:val="00624E0A"/>
    <w:rsid w:val="00625796"/>
    <w:rsid w:val="00625AE9"/>
    <w:rsid w:val="00625B8F"/>
    <w:rsid w:val="00625DD0"/>
    <w:rsid w:val="00625F90"/>
    <w:rsid w:val="006260F8"/>
    <w:rsid w:val="00626102"/>
    <w:rsid w:val="00626170"/>
    <w:rsid w:val="006263CC"/>
    <w:rsid w:val="006269D6"/>
    <w:rsid w:val="00626A45"/>
    <w:rsid w:val="00626B9D"/>
    <w:rsid w:val="00627899"/>
    <w:rsid w:val="00630AEC"/>
    <w:rsid w:val="00630B4E"/>
    <w:rsid w:val="00630F21"/>
    <w:rsid w:val="006311BB"/>
    <w:rsid w:val="00631747"/>
    <w:rsid w:val="00631795"/>
    <w:rsid w:val="006319BB"/>
    <w:rsid w:val="00631D6F"/>
    <w:rsid w:val="00632588"/>
    <w:rsid w:val="006326CD"/>
    <w:rsid w:val="0063278C"/>
    <w:rsid w:val="006328F3"/>
    <w:rsid w:val="00632A76"/>
    <w:rsid w:val="00633786"/>
    <w:rsid w:val="00633EEC"/>
    <w:rsid w:val="00634439"/>
    <w:rsid w:val="006344D8"/>
    <w:rsid w:val="00634FB9"/>
    <w:rsid w:val="006354DE"/>
    <w:rsid w:val="006355BF"/>
    <w:rsid w:val="006358F4"/>
    <w:rsid w:val="0063658A"/>
    <w:rsid w:val="0063664C"/>
    <w:rsid w:val="0063696B"/>
    <w:rsid w:val="00636B2E"/>
    <w:rsid w:val="00636C86"/>
    <w:rsid w:val="00636D4D"/>
    <w:rsid w:val="00636DD8"/>
    <w:rsid w:val="006375B7"/>
    <w:rsid w:val="00637827"/>
    <w:rsid w:val="00637B4A"/>
    <w:rsid w:val="00637D5E"/>
    <w:rsid w:val="00637DD9"/>
    <w:rsid w:val="00637F57"/>
    <w:rsid w:val="006403A1"/>
    <w:rsid w:val="006408C2"/>
    <w:rsid w:val="0064096B"/>
    <w:rsid w:val="00640E03"/>
    <w:rsid w:val="00640FFC"/>
    <w:rsid w:val="00641198"/>
    <w:rsid w:val="0064144B"/>
    <w:rsid w:val="0064159B"/>
    <w:rsid w:val="006417F1"/>
    <w:rsid w:val="0064187B"/>
    <w:rsid w:val="00641DA4"/>
    <w:rsid w:val="00641F62"/>
    <w:rsid w:val="0064235F"/>
    <w:rsid w:val="0064259B"/>
    <w:rsid w:val="00642A97"/>
    <w:rsid w:val="0064380B"/>
    <w:rsid w:val="006442ED"/>
    <w:rsid w:val="0064440E"/>
    <w:rsid w:val="00644771"/>
    <w:rsid w:val="006447A9"/>
    <w:rsid w:val="006448D4"/>
    <w:rsid w:val="00644A84"/>
    <w:rsid w:val="00644B2D"/>
    <w:rsid w:val="00644C42"/>
    <w:rsid w:val="00644C9B"/>
    <w:rsid w:val="00644CA7"/>
    <w:rsid w:val="00644E0E"/>
    <w:rsid w:val="00644F4A"/>
    <w:rsid w:val="00645027"/>
    <w:rsid w:val="00645655"/>
    <w:rsid w:val="00645EEB"/>
    <w:rsid w:val="006461A3"/>
    <w:rsid w:val="006462F0"/>
    <w:rsid w:val="0064631A"/>
    <w:rsid w:val="006464DB"/>
    <w:rsid w:val="006467A1"/>
    <w:rsid w:val="006469F7"/>
    <w:rsid w:val="00646A26"/>
    <w:rsid w:val="00646B18"/>
    <w:rsid w:val="00646DE7"/>
    <w:rsid w:val="00646EAE"/>
    <w:rsid w:val="0064723E"/>
    <w:rsid w:val="0064755C"/>
    <w:rsid w:val="00647A3F"/>
    <w:rsid w:val="00647B43"/>
    <w:rsid w:val="00647D2B"/>
    <w:rsid w:val="00647E38"/>
    <w:rsid w:val="00650284"/>
    <w:rsid w:val="00650415"/>
    <w:rsid w:val="0065064E"/>
    <w:rsid w:val="00650763"/>
    <w:rsid w:val="00650B08"/>
    <w:rsid w:val="00650E0C"/>
    <w:rsid w:val="00650F97"/>
    <w:rsid w:val="00651259"/>
    <w:rsid w:val="006516A2"/>
    <w:rsid w:val="00651A9B"/>
    <w:rsid w:val="00651C61"/>
    <w:rsid w:val="00651DEF"/>
    <w:rsid w:val="00651FCA"/>
    <w:rsid w:val="0065205C"/>
    <w:rsid w:val="00652957"/>
    <w:rsid w:val="006532A2"/>
    <w:rsid w:val="006532AD"/>
    <w:rsid w:val="006533CB"/>
    <w:rsid w:val="006533D2"/>
    <w:rsid w:val="00653802"/>
    <w:rsid w:val="006545BC"/>
    <w:rsid w:val="0065491D"/>
    <w:rsid w:val="00654D88"/>
    <w:rsid w:val="00654D9A"/>
    <w:rsid w:val="00654ECE"/>
    <w:rsid w:val="006554EB"/>
    <w:rsid w:val="006557B7"/>
    <w:rsid w:val="006557BB"/>
    <w:rsid w:val="00655962"/>
    <w:rsid w:val="00655A66"/>
    <w:rsid w:val="00655A7A"/>
    <w:rsid w:val="0065602B"/>
    <w:rsid w:val="006560E6"/>
    <w:rsid w:val="00656708"/>
    <w:rsid w:val="00656758"/>
    <w:rsid w:val="006572D9"/>
    <w:rsid w:val="00657A74"/>
    <w:rsid w:val="006601DB"/>
    <w:rsid w:val="006601DC"/>
    <w:rsid w:val="00660738"/>
    <w:rsid w:val="00660767"/>
    <w:rsid w:val="006608D8"/>
    <w:rsid w:val="00660FD1"/>
    <w:rsid w:val="006619CD"/>
    <w:rsid w:val="00661AB1"/>
    <w:rsid w:val="00661B47"/>
    <w:rsid w:val="00661F9B"/>
    <w:rsid w:val="006621E8"/>
    <w:rsid w:val="00662404"/>
    <w:rsid w:val="006624BB"/>
    <w:rsid w:val="0066250B"/>
    <w:rsid w:val="0066272A"/>
    <w:rsid w:val="006628F2"/>
    <w:rsid w:val="00662E5E"/>
    <w:rsid w:val="00662F0B"/>
    <w:rsid w:val="0066314B"/>
    <w:rsid w:val="00663570"/>
    <w:rsid w:val="00663E0D"/>
    <w:rsid w:val="00664264"/>
    <w:rsid w:val="006643C5"/>
    <w:rsid w:val="00664CD4"/>
    <w:rsid w:val="0066509C"/>
    <w:rsid w:val="00665EA6"/>
    <w:rsid w:val="006660A3"/>
    <w:rsid w:val="006663C1"/>
    <w:rsid w:val="0066697A"/>
    <w:rsid w:val="006669B5"/>
    <w:rsid w:val="00666DF4"/>
    <w:rsid w:val="00667149"/>
    <w:rsid w:val="00667270"/>
    <w:rsid w:val="0066760D"/>
    <w:rsid w:val="006679CB"/>
    <w:rsid w:val="00667F35"/>
    <w:rsid w:val="00670256"/>
    <w:rsid w:val="00670458"/>
    <w:rsid w:val="00670B4C"/>
    <w:rsid w:val="00671085"/>
    <w:rsid w:val="006715EA"/>
    <w:rsid w:val="0067163A"/>
    <w:rsid w:val="0067166C"/>
    <w:rsid w:val="00671FB9"/>
    <w:rsid w:val="00671FEC"/>
    <w:rsid w:val="006723AA"/>
    <w:rsid w:val="00672568"/>
    <w:rsid w:val="00672956"/>
    <w:rsid w:val="00672FC6"/>
    <w:rsid w:val="00673418"/>
    <w:rsid w:val="0067389F"/>
    <w:rsid w:val="006745C9"/>
    <w:rsid w:val="00674FA9"/>
    <w:rsid w:val="00674FDE"/>
    <w:rsid w:val="0067556C"/>
    <w:rsid w:val="00675ABC"/>
    <w:rsid w:val="00675D4A"/>
    <w:rsid w:val="00675D99"/>
    <w:rsid w:val="006768C9"/>
    <w:rsid w:val="00676CA3"/>
    <w:rsid w:val="00677382"/>
    <w:rsid w:val="006775EB"/>
    <w:rsid w:val="00677AFB"/>
    <w:rsid w:val="00677EBE"/>
    <w:rsid w:val="0068064A"/>
    <w:rsid w:val="00680ABC"/>
    <w:rsid w:val="00680D7F"/>
    <w:rsid w:val="00680E94"/>
    <w:rsid w:val="00681282"/>
    <w:rsid w:val="0068134B"/>
    <w:rsid w:val="00681535"/>
    <w:rsid w:val="00681D65"/>
    <w:rsid w:val="00681E3B"/>
    <w:rsid w:val="0068228C"/>
    <w:rsid w:val="006824A9"/>
    <w:rsid w:val="00682F40"/>
    <w:rsid w:val="006833A7"/>
    <w:rsid w:val="0068357A"/>
    <w:rsid w:val="0068359D"/>
    <w:rsid w:val="00683B5B"/>
    <w:rsid w:val="00683C25"/>
    <w:rsid w:val="00683C5E"/>
    <w:rsid w:val="00683E16"/>
    <w:rsid w:val="00683F63"/>
    <w:rsid w:val="00683F83"/>
    <w:rsid w:val="006844CB"/>
    <w:rsid w:val="00684605"/>
    <w:rsid w:val="0068469C"/>
    <w:rsid w:val="00684708"/>
    <w:rsid w:val="00685627"/>
    <w:rsid w:val="00685855"/>
    <w:rsid w:val="00685CCD"/>
    <w:rsid w:val="0068611F"/>
    <w:rsid w:val="00686317"/>
    <w:rsid w:val="006863EC"/>
    <w:rsid w:val="00686450"/>
    <w:rsid w:val="00686590"/>
    <w:rsid w:val="00686E84"/>
    <w:rsid w:val="00686F6F"/>
    <w:rsid w:val="00687050"/>
    <w:rsid w:val="00687730"/>
    <w:rsid w:val="00687B76"/>
    <w:rsid w:val="00687E0C"/>
    <w:rsid w:val="0069036D"/>
    <w:rsid w:val="0069089B"/>
    <w:rsid w:val="006909FA"/>
    <w:rsid w:val="00690AAF"/>
    <w:rsid w:val="00690D5C"/>
    <w:rsid w:val="006914E5"/>
    <w:rsid w:val="0069157E"/>
    <w:rsid w:val="00691B27"/>
    <w:rsid w:val="00691BF3"/>
    <w:rsid w:val="00691C6A"/>
    <w:rsid w:val="006921C5"/>
    <w:rsid w:val="006922A1"/>
    <w:rsid w:val="0069283D"/>
    <w:rsid w:val="006934DB"/>
    <w:rsid w:val="00693B68"/>
    <w:rsid w:val="00693E64"/>
    <w:rsid w:val="006940B4"/>
    <w:rsid w:val="00694157"/>
    <w:rsid w:val="006942DF"/>
    <w:rsid w:val="00694397"/>
    <w:rsid w:val="006943A3"/>
    <w:rsid w:val="0069486D"/>
    <w:rsid w:val="00694A55"/>
    <w:rsid w:val="00694B92"/>
    <w:rsid w:val="00694C3C"/>
    <w:rsid w:val="006954BE"/>
    <w:rsid w:val="006955A6"/>
    <w:rsid w:val="006956FB"/>
    <w:rsid w:val="0069575F"/>
    <w:rsid w:val="006958FB"/>
    <w:rsid w:val="00695C32"/>
    <w:rsid w:val="00696049"/>
    <w:rsid w:val="0069637F"/>
    <w:rsid w:val="00696663"/>
    <w:rsid w:val="00696A0A"/>
    <w:rsid w:val="00696F53"/>
    <w:rsid w:val="00697611"/>
    <w:rsid w:val="00697616"/>
    <w:rsid w:val="0069785E"/>
    <w:rsid w:val="00697A5F"/>
    <w:rsid w:val="00697E12"/>
    <w:rsid w:val="006A03E9"/>
    <w:rsid w:val="006A05FA"/>
    <w:rsid w:val="006A12BC"/>
    <w:rsid w:val="006A131A"/>
    <w:rsid w:val="006A19A5"/>
    <w:rsid w:val="006A1BA1"/>
    <w:rsid w:val="006A2018"/>
    <w:rsid w:val="006A2252"/>
    <w:rsid w:val="006A22C1"/>
    <w:rsid w:val="006A2811"/>
    <w:rsid w:val="006A2FA3"/>
    <w:rsid w:val="006A3CDD"/>
    <w:rsid w:val="006A40F6"/>
    <w:rsid w:val="006A4218"/>
    <w:rsid w:val="006A4509"/>
    <w:rsid w:val="006A474A"/>
    <w:rsid w:val="006A4B78"/>
    <w:rsid w:val="006A4E43"/>
    <w:rsid w:val="006A5BED"/>
    <w:rsid w:val="006A5D55"/>
    <w:rsid w:val="006A6036"/>
    <w:rsid w:val="006A6549"/>
    <w:rsid w:val="006A67E5"/>
    <w:rsid w:val="006A6D50"/>
    <w:rsid w:val="006A7469"/>
    <w:rsid w:val="006A74C1"/>
    <w:rsid w:val="006A7A9C"/>
    <w:rsid w:val="006B04D8"/>
    <w:rsid w:val="006B087E"/>
    <w:rsid w:val="006B09D4"/>
    <w:rsid w:val="006B0E23"/>
    <w:rsid w:val="006B11E2"/>
    <w:rsid w:val="006B15AD"/>
    <w:rsid w:val="006B1602"/>
    <w:rsid w:val="006B16EE"/>
    <w:rsid w:val="006B1965"/>
    <w:rsid w:val="006B1F3D"/>
    <w:rsid w:val="006B31CF"/>
    <w:rsid w:val="006B349A"/>
    <w:rsid w:val="006B36A0"/>
    <w:rsid w:val="006B36E4"/>
    <w:rsid w:val="006B376E"/>
    <w:rsid w:val="006B3A22"/>
    <w:rsid w:val="006B3A71"/>
    <w:rsid w:val="006B4094"/>
    <w:rsid w:val="006B428E"/>
    <w:rsid w:val="006B4411"/>
    <w:rsid w:val="006B4A21"/>
    <w:rsid w:val="006B4E08"/>
    <w:rsid w:val="006B5121"/>
    <w:rsid w:val="006B59EA"/>
    <w:rsid w:val="006B6222"/>
    <w:rsid w:val="006B62FF"/>
    <w:rsid w:val="006B67ED"/>
    <w:rsid w:val="006B6A6B"/>
    <w:rsid w:val="006B6B16"/>
    <w:rsid w:val="006B6B23"/>
    <w:rsid w:val="006B6F44"/>
    <w:rsid w:val="006B7138"/>
    <w:rsid w:val="006B73F1"/>
    <w:rsid w:val="006B760E"/>
    <w:rsid w:val="006B7D06"/>
    <w:rsid w:val="006B7D66"/>
    <w:rsid w:val="006C00DE"/>
    <w:rsid w:val="006C0185"/>
    <w:rsid w:val="006C0837"/>
    <w:rsid w:val="006C0930"/>
    <w:rsid w:val="006C09E6"/>
    <w:rsid w:val="006C0F16"/>
    <w:rsid w:val="006C111C"/>
    <w:rsid w:val="006C117D"/>
    <w:rsid w:val="006C1325"/>
    <w:rsid w:val="006C16A2"/>
    <w:rsid w:val="006C19B3"/>
    <w:rsid w:val="006C1CAB"/>
    <w:rsid w:val="006C20BA"/>
    <w:rsid w:val="006C2697"/>
    <w:rsid w:val="006C2CAC"/>
    <w:rsid w:val="006C2E00"/>
    <w:rsid w:val="006C2FAB"/>
    <w:rsid w:val="006C2FF9"/>
    <w:rsid w:val="006C30AA"/>
    <w:rsid w:val="006C30C0"/>
    <w:rsid w:val="006C351C"/>
    <w:rsid w:val="006C3726"/>
    <w:rsid w:val="006C3B10"/>
    <w:rsid w:val="006C3CA8"/>
    <w:rsid w:val="006C4194"/>
    <w:rsid w:val="006C4583"/>
    <w:rsid w:val="006C4949"/>
    <w:rsid w:val="006C4D07"/>
    <w:rsid w:val="006C4F0A"/>
    <w:rsid w:val="006C5E53"/>
    <w:rsid w:val="006C6121"/>
    <w:rsid w:val="006C67DA"/>
    <w:rsid w:val="006C6967"/>
    <w:rsid w:val="006C6BEA"/>
    <w:rsid w:val="006C6C9A"/>
    <w:rsid w:val="006C6DC4"/>
    <w:rsid w:val="006C719D"/>
    <w:rsid w:val="006C7259"/>
    <w:rsid w:val="006C7B21"/>
    <w:rsid w:val="006C7C96"/>
    <w:rsid w:val="006C7FBB"/>
    <w:rsid w:val="006D02BB"/>
    <w:rsid w:val="006D02C0"/>
    <w:rsid w:val="006D07AB"/>
    <w:rsid w:val="006D1250"/>
    <w:rsid w:val="006D19DA"/>
    <w:rsid w:val="006D1CE7"/>
    <w:rsid w:val="006D1D48"/>
    <w:rsid w:val="006D1DBA"/>
    <w:rsid w:val="006D2271"/>
    <w:rsid w:val="006D283E"/>
    <w:rsid w:val="006D362E"/>
    <w:rsid w:val="006D3D9A"/>
    <w:rsid w:val="006D4293"/>
    <w:rsid w:val="006D43DE"/>
    <w:rsid w:val="006D5552"/>
    <w:rsid w:val="006D55E7"/>
    <w:rsid w:val="006D651C"/>
    <w:rsid w:val="006D698C"/>
    <w:rsid w:val="006D6AF8"/>
    <w:rsid w:val="006D6FE8"/>
    <w:rsid w:val="006D70D9"/>
    <w:rsid w:val="006D70EE"/>
    <w:rsid w:val="006D7880"/>
    <w:rsid w:val="006D7899"/>
    <w:rsid w:val="006D78A1"/>
    <w:rsid w:val="006D78BE"/>
    <w:rsid w:val="006E0414"/>
    <w:rsid w:val="006E0A92"/>
    <w:rsid w:val="006E0E27"/>
    <w:rsid w:val="006E0F74"/>
    <w:rsid w:val="006E10E4"/>
    <w:rsid w:val="006E16B6"/>
    <w:rsid w:val="006E16FA"/>
    <w:rsid w:val="006E172B"/>
    <w:rsid w:val="006E1B18"/>
    <w:rsid w:val="006E22D1"/>
    <w:rsid w:val="006E27A7"/>
    <w:rsid w:val="006E2D4F"/>
    <w:rsid w:val="006E324D"/>
    <w:rsid w:val="006E3521"/>
    <w:rsid w:val="006E3B28"/>
    <w:rsid w:val="006E4815"/>
    <w:rsid w:val="006E4882"/>
    <w:rsid w:val="006E4992"/>
    <w:rsid w:val="006E4CBB"/>
    <w:rsid w:val="006E4F43"/>
    <w:rsid w:val="006E4FA6"/>
    <w:rsid w:val="006E4FE5"/>
    <w:rsid w:val="006E5124"/>
    <w:rsid w:val="006E526B"/>
    <w:rsid w:val="006E5960"/>
    <w:rsid w:val="006E5A9F"/>
    <w:rsid w:val="006E5E88"/>
    <w:rsid w:val="006E6053"/>
    <w:rsid w:val="006E664D"/>
    <w:rsid w:val="006E6E07"/>
    <w:rsid w:val="006E7538"/>
    <w:rsid w:val="006E78DC"/>
    <w:rsid w:val="006E7A91"/>
    <w:rsid w:val="006E7DA7"/>
    <w:rsid w:val="006E7E6B"/>
    <w:rsid w:val="006E7F37"/>
    <w:rsid w:val="006F0986"/>
    <w:rsid w:val="006F0BB1"/>
    <w:rsid w:val="006F0CE4"/>
    <w:rsid w:val="006F0E75"/>
    <w:rsid w:val="006F1325"/>
    <w:rsid w:val="006F18D2"/>
    <w:rsid w:val="006F1C52"/>
    <w:rsid w:val="006F22D0"/>
    <w:rsid w:val="006F2490"/>
    <w:rsid w:val="006F24A8"/>
    <w:rsid w:val="006F2545"/>
    <w:rsid w:val="006F27B9"/>
    <w:rsid w:val="006F28D5"/>
    <w:rsid w:val="006F2A77"/>
    <w:rsid w:val="006F2C52"/>
    <w:rsid w:val="006F2E64"/>
    <w:rsid w:val="006F32AF"/>
    <w:rsid w:val="006F3D3B"/>
    <w:rsid w:val="006F3DD8"/>
    <w:rsid w:val="006F4087"/>
    <w:rsid w:val="006F44F9"/>
    <w:rsid w:val="006F4543"/>
    <w:rsid w:val="006F45C5"/>
    <w:rsid w:val="006F486A"/>
    <w:rsid w:val="006F4AEC"/>
    <w:rsid w:val="006F534E"/>
    <w:rsid w:val="006F5B4A"/>
    <w:rsid w:val="006F5D16"/>
    <w:rsid w:val="006F6150"/>
    <w:rsid w:val="006F61F1"/>
    <w:rsid w:val="006F681D"/>
    <w:rsid w:val="006F6A3C"/>
    <w:rsid w:val="006F7134"/>
    <w:rsid w:val="006F715F"/>
    <w:rsid w:val="006F72F2"/>
    <w:rsid w:val="006F7B25"/>
    <w:rsid w:val="00700333"/>
    <w:rsid w:val="007003EF"/>
    <w:rsid w:val="0070051F"/>
    <w:rsid w:val="00700657"/>
    <w:rsid w:val="007008D4"/>
    <w:rsid w:val="00700A31"/>
    <w:rsid w:val="00700EAC"/>
    <w:rsid w:val="00700ED9"/>
    <w:rsid w:val="00701435"/>
    <w:rsid w:val="007017FA"/>
    <w:rsid w:val="0070190D"/>
    <w:rsid w:val="00701965"/>
    <w:rsid w:val="00701ABD"/>
    <w:rsid w:val="00702485"/>
    <w:rsid w:val="0070276F"/>
    <w:rsid w:val="00702B3D"/>
    <w:rsid w:val="007046EE"/>
    <w:rsid w:val="00704864"/>
    <w:rsid w:val="007049E3"/>
    <w:rsid w:val="00704A0A"/>
    <w:rsid w:val="00704ABE"/>
    <w:rsid w:val="00704C28"/>
    <w:rsid w:val="00704C6F"/>
    <w:rsid w:val="00704FF5"/>
    <w:rsid w:val="00705A61"/>
    <w:rsid w:val="00705ED9"/>
    <w:rsid w:val="00706027"/>
    <w:rsid w:val="007062DD"/>
    <w:rsid w:val="007063C4"/>
    <w:rsid w:val="00706929"/>
    <w:rsid w:val="00706B22"/>
    <w:rsid w:val="0070739C"/>
    <w:rsid w:val="00707985"/>
    <w:rsid w:val="00710207"/>
    <w:rsid w:val="007102A7"/>
    <w:rsid w:val="0071045D"/>
    <w:rsid w:val="007105E8"/>
    <w:rsid w:val="00710985"/>
    <w:rsid w:val="00711507"/>
    <w:rsid w:val="007115E7"/>
    <w:rsid w:val="0071173C"/>
    <w:rsid w:val="00711B1A"/>
    <w:rsid w:val="00711B4B"/>
    <w:rsid w:val="00711E15"/>
    <w:rsid w:val="00711FD5"/>
    <w:rsid w:val="007125D4"/>
    <w:rsid w:val="00712DC0"/>
    <w:rsid w:val="0071303A"/>
    <w:rsid w:val="00713212"/>
    <w:rsid w:val="0071325B"/>
    <w:rsid w:val="0071352B"/>
    <w:rsid w:val="00713625"/>
    <w:rsid w:val="0071402F"/>
    <w:rsid w:val="0071424A"/>
    <w:rsid w:val="00714662"/>
    <w:rsid w:val="007148D0"/>
    <w:rsid w:val="00714D24"/>
    <w:rsid w:val="0071561A"/>
    <w:rsid w:val="00715642"/>
    <w:rsid w:val="007156B1"/>
    <w:rsid w:val="007157C8"/>
    <w:rsid w:val="00715A26"/>
    <w:rsid w:val="0071627D"/>
    <w:rsid w:val="0071645C"/>
    <w:rsid w:val="00716777"/>
    <w:rsid w:val="00716B7E"/>
    <w:rsid w:val="00717019"/>
    <w:rsid w:val="0071734F"/>
    <w:rsid w:val="00717396"/>
    <w:rsid w:val="0071771F"/>
    <w:rsid w:val="00717DCB"/>
    <w:rsid w:val="00720261"/>
    <w:rsid w:val="0072071A"/>
    <w:rsid w:val="00720D0F"/>
    <w:rsid w:val="00720F4A"/>
    <w:rsid w:val="00721E19"/>
    <w:rsid w:val="00721E68"/>
    <w:rsid w:val="0072215B"/>
    <w:rsid w:val="0072224D"/>
    <w:rsid w:val="007222E8"/>
    <w:rsid w:val="007223A1"/>
    <w:rsid w:val="00722527"/>
    <w:rsid w:val="0072253D"/>
    <w:rsid w:val="00722581"/>
    <w:rsid w:val="007228B0"/>
    <w:rsid w:val="007229F5"/>
    <w:rsid w:val="00722D22"/>
    <w:rsid w:val="0072351A"/>
    <w:rsid w:val="007235EF"/>
    <w:rsid w:val="007237B8"/>
    <w:rsid w:val="007238A3"/>
    <w:rsid w:val="00723A8B"/>
    <w:rsid w:val="00723A91"/>
    <w:rsid w:val="00723D6B"/>
    <w:rsid w:val="00723EE4"/>
    <w:rsid w:val="00724009"/>
    <w:rsid w:val="00724804"/>
    <w:rsid w:val="007249CE"/>
    <w:rsid w:val="00724B5C"/>
    <w:rsid w:val="00724DE7"/>
    <w:rsid w:val="00725138"/>
    <w:rsid w:val="0072522C"/>
    <w:rsid w:val="007252A8"/>
    <w:rsid w:val="007252B3"/>
    <w:rsid w:val="007252C7"/>
    <w:rsid w:val="007253A2"/>
    <w:rsid w:val="007255C7"/>
    <w:rsid w:val="00725803"/>
    <w:rsid w:val="00725A3A"/>
    <w:rsid w:val="00725E49"/>
    <w:rsid w:val="00725EE7"/>
    <w:rsid w:val="007261E7"/>
    <w:rsid w:val="0072633D"/>
    <w:rsid w:val="007263E9"/>
    <w:rsid w:val="00726A12"/>
    <w:rsid w:val="00726D8E"/>
    <w:rsid w:val="00726E9B"/>
    <w:rsid w:val="00727339"/>
    <w:rsid w:val="007276EB"/>
    <w:rsid w:val="00727CF3"/>
    <w:rsid w:val="00727F55"/>
    <w:rsid w:val="0073006F"/>
    <w:rsid w:val="007302D6"/>
    <w:rsid w:val="007304EA"/>
    <w:rsid w:val="0073093D"/>
    <w:rsid w:val="00730E7C"/>
    <w:rsid w:val="007313DD"/>
    <w:rsid w:val="00731466"/>
    <w:rsid w:val="007314E8"/>
    <w:rsid w:val="00731BB6"/>
    <w:rsid w:val="00731F80"/>
    <w:rsid w:val="00732A45"/>
    <w:rsid w:val="00732D69"/>
    <w:rsid w:val="00733099"/>
    <w:rsid w:val="007330C2"/>
    <w:rsid w:val="00733A6F"/>
    <w:rsid w:val="00733B17"/>
    <w:rsid w:val="00733C15"/>
    <w:rsid w:val="00733EF9"/>
    <w:rsid w:val="0073400A"/>
    <w:rsid w:val="007345E7"/>
    <w:rsid w:val="007347CC"/>
    <w:rsid w:val="00734852"/>
    <w:rsid w:val="0073518A"/>
    <w:rsid w:val="007351A5"/>
    <w:rsid w:val="0073538D"/>
    <w:rsid w:val="00735452"/>
    <w:rsid w:val="007358C1"/>
    <w:rsid w:val="00735C54"/>
    <w:rsid w:val="00735C7C"/>
    <w:rsid w:val="00735FFE"/>
    <w:rsid w:val="00736125"/>
    <w:rsid w:val="007366BC"/>
    <w:rsid w:val="00736728"/>
    <w:rsid w:val="00736B11"/>
    <w:rsid w:val="00736E19"/>
    <w:rsid w:val="0073727E"/>
    <w:rsid w:val="00737516"/>
    <w:rsid w:val="00737ABC"/>
    <w:rsid w:val="007402F2"/>
    <w:rsid w:val="00740705"/>
    <w:rsid w:val="007407AE"/>
    <w:rsid w:val="00740A7C"/>
    <w:rsid w:val="00740CCC"/>
    <w:rsid w:val="00741146"/>
    <w:rsid w:val="00741551"/>
    <w:rsid w:val="00741667"/>
    <w:rsid w:val="0074197C"/>
    <w:rsid w:val="007419C7"/>
    <w:rsid w:val="00741EB6"/>
    <w:rsid w:val="00741FE0"/>
    <w:rsid w:val="00742746"/>
    <w:rsid w:val="0074279A"/>
    <w:rsid w:val="00742C86"/>
    <w:rsid w:val="00742D6C"/>
    <w:rsid w:val="0074393E"/>
    <w:rsid w:val="00743956"/>
    <w:rsid w:val="00743C45"/>
    <w:rsid w:val="00743FB5"/>
    <w:rsid w:val="00744099"/>
    <w:rsid w:val="0074444A"/>
    <w:rsid w:val="00744565"/>
    <w:rsid w:val="007447A2"/>
    <w:rsid w:val="00744978"/>
    <w:rsid w:val="00745869"/>
    <w:rsid w:val="007458BA"/>
    <w:rsid w:val="00745BD7"/>
    <w:rsid w:val="00745F7E"/>
    <w:rsid w:val="00745FBF"/>
    <w:rsid w:val="0074612C"/>
    <w:rsid w:val="007462F1"/>
    <w:rsid w:val="00746952"/>
    <w:rsid w:val="00746C05"/>
    <w:rsid w:val="00746CC5"/>
    <w:rsid w:val="00746DC9"/>
    <w:rsid w:val="00746DE8"/>
    <w:rsid w:val="00746F74"/>
    <w:rsid w:val="00747068"/>
    <w:rsid w:val="007472AE"/>
    <w:rsid w:val="0074780F"/>
    <w:rsid w:val="007479E3"/>
    <w:rsid w:val="00747D6C"/>
    <w:rsid w:val="0075025C"/>
    <w:rsid w:val="00750B7F"/>
    <w:rsid w:val="00750D83"/>
    <w:rsid w:val="00750F15"/>
    <w:rsid w:val="007510AE"/>
    <w:rsid w:val="00751248"/>
    <w:rsid w:val="00751473"/>
    <w:rsid w:val="00751D29"/>
    <w:rsid w:val="007524D2"/>
    <w:rsid w:val="007527A1"/>
    <w:rsid w:val="007528C2"/>
    <w:rsid w:val="00752BDC"/>
    <w:rsid w:val="0075304E"/>
    <w:rsid w:val="00753432"/>
    <w:rsid w:val="007534DB"/>
    <w:rsid w:val="0075373B"/>
    <w:rsid w:val="00753B49"/>
    <w:rsid w:val="00753BAB"/>
    <w:rsid w:val="00753EB0"/>
    <w:rsid w:val="00754435"/>
    <w:rsid w:val="007548ED"/>
    <w:rsid w:val="00754F90"/>
    <w:rsid w:val="007550FF"/>
    <w:rsid w:val="00755690"/>
    <w:rsid w:val="00755A7D"/>
    <w:rsid w:val="00755AAF"/>
    <w:rsid w:val="00756472"/>
    <w:rsid w:val="00756717"/>
    <w:rsid w:val="00756953"/>
    <w:rsid w:val="007569A0"/>
    <w:rsid w:val="00757318"/>
    <w:rsid w:val="007579A4"/>
    <w:rsid w:val="00757B32"/>
    <w:rsid w:val="00757D80"/>
    <w:rsid w:val="00760057"/>
    <w:rsid w:val="00760E4E"/>
    <w:rsid w:val="00760E5C"/>
    <w:rsid w:val="007616A0"/>
    <w:rsid w:val="00761B44"/>
    <w:rsid w:val="0076213E"/>
    <w:rsid w:val="0076233C"/>
    <w:rsid w:val="0076251E"/>
    <w:rsid w:val="0076260B"/>
    <w:rsid w:val="00762724"/>
    <w:rsid w:val="007628A9"/>
    <w:rsid w:val="00762A90"/>
    <w:rsid w:val="00763355"/>
    <w:rsid w:val="00763382"/>
    <w:rsid w:val="0076383E"/>
    <w:rsid w:val="0076393B"/>
    <w:rsid w:val="007639A4"/>
    <w:rsid w:val="00764142"/>
    <w:rsid w:val="007646EF"/>
    <w:rsid w:val="00764836"/>
    <w:rsid w:val="00765099"/>
    <w:rsid w:val="007652F0"/>
    <w:rsid w:val="007658AC"/>
    <w:rsid w:val="0076590A"/>
    <w:rsid w:val="00765A4B"/>
    <w:rsid w:val="007663D5"/>
    <w:rsid w:val="00766A88"/>
    <w:rsid w:val="00766DBE"/>
    <w:rsid w:val="00766E56"/>
    <w:rsid w:val="00766EE4"/>
    <w:rsid w:val="00767376"/>
    <w:rsid w:val="007676D5"/>
    <w:rsid w:val="0076787A"/>
    <w:rsid w:val="007678C6"/>
    <w:rsid w:val="00767AAB"/>
    <w:rsid w:val="00767D3C"/>
    <w:rsid w:val="007700C8"/>
    <w:rsid w:val="007701AC"/>
    <w:rsid w:val="007701AE"/>
    <w:rsid w:val="0077055B"/>
    <w:rsid w:val="00771B0F"/>
    <w:rsid w:val="00771B85"/>
    <w:rsid w:val="00771E01"/>
    <w:rsid w:val="00771F3D"/>
    <w:rsid w:val="00772281"/>
    <w:rsid w:val="00772356"/>
    <w:rsid w:val="0077243C"/>
    <w:rsid w:val="0077297E"/>
    <w:rsid w:val="007729AA"/>
    <w:rsid w:val="007729ED"/>
    <w:rsid w:val="00772AF4"/>
    <w:rsid w:val="00772B1C"/>
    <w:rsid w:val="00772D02"/>
    <w:rsid w:val="00772FAD"/>
    <w:rsid w:val="00773494"/>
    <w:rsid w:val="00773636"/>
    <w:rsid w:val="0077393C"/>
    <w:rsid w:val="00773A47"/>
    <w:rsid w:val="00773B80"/>
    <w:rsid w:val="0077422F"/>
    <w:rsid w:val="007745D2"/>
    <w:rsid w:val="007745DE"/>
    <w:rsid w:val="007748BD"/>
    <w:rsid w:val="007749B5"/>
    <w:rsid w:val="00774B56"/>
    <w:rsid w:val="00774C11"/>
    <w:rsid w:val="00775365"/>
    <w:rsid w:val="00775847"/>
    <w:rsid w:val="007761F2"/>
    <w:rsid w:val="007764B7"/>
    <w:rsid w:val="00776895"/>
    <w:rsid w:val="00776C0F"/>
    <w:rsid w:val="00776EF1"/>
    <w:rsid w:val="00776FD2"/>
    <w:rsid w:val="00777018"/>
    <w:rsid w:val="007770B9"/>
    <w:rsid w:val="007775E8"/>
    <w:rsid w:val="00777868"/>
    <w:rsid w:val="00777D7D"/>
    <w:rsid w:val="00777E3A"/>
    <w:rsid w:val="00780076"/>
    <w:rsid w:val="007802EE"/>
    <w:rsid w:val="0078054C"/>
    <w:rsid w:val="007806E2"/>
    <w:rsid w:val="00780828"/>
    <w:rsid w:val="00780841"/>
    <w:rsid w:val="0078087F"/>
    <w:rsid w:val="00780B18"/>
    <w:rsid w:val="007811E8"/>
    <w:rsid w:val="0078184A"/>
    <w:rsid w:val="00781EB2"/>
    <w:rsid w:val="0078218D"/>
    <w:rsid w:val="0078221E"/>
    <w:rsid w:val="007823B1"/>
    <w:rsid w:val="00782715"/>
    <w:rsid w:val="00782B02"/>
    <w:rsid w:val="007833D0"/>
    <w:rsid w:val="00783F9E"/>
    <w:rsid w:val="0078406E"/>
    <w:rsid w:val="00784397"/>
    <w:rsid w:val="00784609"/>
    <w:rsid w:val="00784741"/>
    <w:rsid w:val="0078492B"/>
    <w:rsid w:val="00784DC0"/>
    <w:rsid w:val="007851B6"/>
    <w:rsid w:val="007853C4"/>
    <w:rsid w:val="00785526"/>
    <w:rsid w:val="007857BF"/>
    <w:rsid w:val="0078584C"/>
    <w:rsid w:val="00785AE0"/>
    <w:rsid w:val="007863AE"/>
    <w:rsid w:val="0078643C"/>
    <w:rsid w:val="007864B4"/>
    <w:rsid w:val="00786A84"/>
    <w:rsid w:val="00786E35"/>
    <w:rsid w:val="00786F91"/>
    <w:rsid w:val="00786FA7"/>
    <w:rsid w:val="007870B5"/>
    <w:rsid w:val="00787133"/>
    <w:rsid w:val="007874B0"/>
    <w:rsid w:val="00787C96"/>
    <w:rsid w:val="007904CA"/>
    <w:rsid w:val="00790710"/>
    <w:rsid w:val="0079083C"/>
    <w:rsid w:val="007911E6"/>
    <w:rsid w:val="0079147E"/>
    <w:rsid w:val="0079153E"/>
    <w:rsid w:val="0079192E"/>
    <w:rsid w:val="007919C7"/>
    <w:rsid w:val="00791E0D"/>
    <w:rsid w:val="00792074"/>
    <w:rsid w:val="00792210"/>
    <w:rsid w:val="007924BF"/>
    <w:rsid w:val="00792727"/>
    <w:rsid w:val="007927A1"/>
    <w:rsid w:val="007927CC"/>
    <w:rsid w:val="00792829"/>
    <w:rsid w:val="00792AC6"/>
    <w:rsid w:val="00792E0B"/>
    <w:rsid w:val="00792F08"/>
    <w:rsid w:val="0079321C"/>
    <w:rsid w:val="007932E2"/>
    <w:rsid w:val="00794098"/>
    <w:rsid w:val="00794540"/>
    <w:rsid w:val="007945AD"/>
    <w:rsid w:val="00794768"/>
    <w:rsid w:val="0079477F"/>
    <w:rsid w:val="007948A1"/>
    <w:rsid w:val="0079498D"/>
    <w:rsid w:val="00794B0D"/>
    <w:rsid w:val="00795143"/>
    <w:rsid w:val="0079529C"/>
    <w:rsid w:val="00795373"/>
    <w:rsid w:val="0079546D"/>
    <w:rsid w:val="00795528"/>
    <w:rsid w:val="007955E6"/>
    <w:rsid w:val="0079606B"/>
    <w:rsid w:val="00796B8E"/>
    <w:rsid w:val="00796BFC"/>
    <w:rsid w:val="00796FCD"/>
    <w:rsid w:val="0079700E"/>
    <w:rsid w:val="00797011"/>
    <w:rsid w:val="0079720A"/>
    <w:rsid w:val="00797262"/>
    <w:rsid w:val="007972C5"/>
    <w:rsid w:val="007976EA"/>
    <w:rsid w:val="0079788F"/>
    <w:rsid w:val="00797FF3"/>
    <w:rsid w:val="007A0107"/>
    <w:rsid w:val="007A01B2"/>
    <w:rsid w:val="007A08E6"/>
    <w:rsid w:val="007A0DF6"/>
    <w:rsid w:val="007A1867"/>
    <w:rsid w:val="007A2484"/>
    <w:rsid w:val="007A25C7"/>
    <w:rsid w:val="007A28CE"/>
    <w:rsid w:val="007A290E"/>
    <w:rsid w:val="007A29AB"/>
    <w:rsid w:val="007A2CBD"/>
    <w:rsid w:val="007A2D60"/>
    <w:rsid w:val="007A3444"/>
    <w:rsid w:val="007A3632"/>
    <w:rsid w:val="007A3A09"/>
    <w:rsid w:val="007A3C65"/>
    <w:rsid w:val="007A3EBA"/>
    <w:rsid w:val="007A4A74"/>
    <w:rsid w:val="007A4AF3"/>
    <w:rsid w:val="007A4B04"/>
    <w:rsid w:val="007A4C00"/>
    <w:rsid w:val="007A4DC9"/>
    <w:rsid w:val="007A5266"/>
    <w:rsid w:val="007A5361"/>
    <w:rsid w:val="007A546F"/>
    <w:rsid w:val="007A54E0"/>
    <w:rsid w:val="007A568E"/>
    <w:rsid w:val="007A587A"/>
    <w:rsid w:val="007A5C67"/>
    <w:rsid w:val="007A5DE0"/>
    <w:rsid w:val="007A6481"/>
    <w:rsid w:val="007A66E1"/>
    <w:rsid w:val="007A68D5"/>
    <w:rsid w:val="007A6C22"/>
    <w:rsid w:val="007A6D90"/>
    <w:rsid w:val="007A707C"/>
    <w:rsid w:val="007A7458"/>
    <w:rsid w:val="007A7897"/>
    <w:rsid w:val="007A7FBB"/>
    <w:rsid w:val="007B0039"/>
    <w:rsid w:val="007B015F"/>
    <w:rsid w:val="007B0363"/>
    <w:rsid w:val="007B03F6"/>
    <w:rsid w:val="007B0A23"/>
    <w:rsid w:val="007B0F7B"/>
    <w:rsid w:val="007B1281"/>
    <w:rsid w:val="007B1968"/>
    <w:rsid w:val="007B1BE5"/>
    <w:rsid w:val="007B2021"/>
    <w:rsid w:val="007B2E8F"/>
    <w:rsid w:val="007B34CD"/>
    <w:rsid w:val="007B366D"/>
    <w:rsid w:val="007B378E"/>
    <w:rsid w:val="007B3E55"/>
    <w:rsid w:val="007B3F3A"/>
    <w:rsid w:val="007B4AC2"/>
    <w:rsid w:val="007B4C17"/>
    <w:rsid w:val="007B4F3F"/>
    <w:rsid w:val="007B4F62"/>
    <w:rsid w:val="007B53B6"/>
    <w:rsid w:val="007B53C6"/>
    <w:rsid w:val="007B5704"/>
    <w:rsid w:val="007B58D3"/>
    <w:rsid w:val="007B5DB1"/>
    <w:rsid w:val="007B5DBE"/>
    <w:rsid w:val="007B6163"/>
    <w:rsid w:val="007B6315"/>
    <w:rsid w:val="007B6667"/>
    <w:rsid w:val="007B6860"/>
    <w:rsid w:val="007B6A52"/>
    <w:rsid w:val="007B6A5A"/>
    <w:rsid w:val="007B6F82"/>
    <w:rsid w:val="007B736D"/>
    <w:rsid w:val="007B7485"/>
    <w:rsid w:val="007B74B7"/>
    <w:rsid w:val="007C0183"/>
    <w:rsid w:val="007C0470"/>
    <w:rsid w:val="007C067C"/>
    <w:rsid w:val="007C0689"/>
    <w:rsid w:val="007C073C"/>
    <w:rsid w:val="007C0760"/>
    <w:rsid w:val="007C0B2A"/>
    <w:rsid w:val="007C0D80"/>
    <w:rsid w:val="007C13BF"/>
    <w:rsid w:val="007C1480"/>
    <w:rsid w:val="007C1599"/>
    <w:rsid w:val="007C168D"/>
    <w:rsid w:val="007C1AF3"/>
    <w:rsid w:val="007C1D51"/>
    <w:rsid w:val="007C1FD6"/>
    <w:rsid w:val="007C268E"/>
    <w:rsid w:val="007C2883"/>
    <w:rsid w:val="007C2C6C"/>
    <w:rsid w:val="007C3374"/>
    <w:rsid w:val="007C3536"/>
    <w:rsid w:val="007C3A38"/>
    <w:rsid w:val="007C3A41"/>
    <w:rsid w:val="007C3B2C"/>
    <w:rsid w:val="007C3E7C"/>
    <w:rsid w:val="007C3F1D"/>
    <w:rsid w:val="007C413B"/>
    <w:rsid w:val="007C41A1"/>
    <w:rsid w:val="007C42CB"/>
    <w:rsid w:val="007C4A5C"/>
    <w:rsid w:val="007C4B9F"/>
    <w:rsid w:val="007C4BE0"/>
    <w:rsid w:val="007C5066"/>
    <w:rsid w:val="007C5090"/>
    <w:rsid w:val="007C50FA"/>
    <w:rsid w:val="007C53A0"/>
    <w:rsid w:val="007C56D9"/>
    <w:rsid w:val="007C5FB2"/>
    <w:rsid w:val="007C60CE"/>
    <w:rsid w:val="007C6323"/>
    <w:rsid w:val="007C6D03"/>
    <w:rsid w:val="007C6D30"/>
    <w:rsid w:val="007C75B9"/>
    <w:rsid w:val="007C76A7"/>
    <w:rsid w:val="007C772C"/>
    <w:rsid w:val="007C7DDE"/>
    <w:rsid w:val="007D05C7"/>
    <w:rsid w:val="007D06B5"/>
    <w:rsid w:val="007D06D1"/>
    <w:rsid w:val="007D0844"/>
    <w:rsid w:val="007D0B26"/>
    <w:rsid w:val="007D0D2E"/>
    <w:rsid w:val="007D1246"/>
    <w:rsid w:val="007D14AE"/>
    <w:rsid w:val="007D14F1"/>
    <w:rsid w:val="007D15AB"/>
    <w:rsid w:val="007D1D01"/>
    <w:rsid w:val="007D1DDD"/>
    <w:rsid w:val="007D269B"/>
    <w:rsid w:val="007D281C"/>
    <w:rsid w:val="007D29EE"/>
    <w:rsid w:val="007D2E42"/>
    <w:rsid w:val="007D2EEF"/>
    <w:rsid w:val="007D2FC1"/>
    <w:rsid w:val="007D30FB"/>
    <w:rsid w:val="007D3146"/>
    <w:rsid w:val="007D3BED"/>
    <w:rsid w:val="007D3CBA"/>
    <w:rsid w:val="007D3D19"/>
    <w:rsid w:val="007D488B"/>
    <w:rsid w:val="007D5010"/>
    <w:rsid w:val="007D50E8"/>
    <w:rsid w:val="007D5249"/>
    <w:rsid w:val="007D556D"/>
    <w:rsid w:val="007D58A3"/>
    <w:rsid w:val="007D59D5"/>
    <w:rsid w:val="007D5BA4"/>
    <w:rsid w:val="007D5D8D"/>
    <w:rsid w:val="007D5E0D"/>
    <w:rsid w:val="007D5E24"/>
    <w:rsid w:val="007D5E5D"/>
    <w:rsid w:val="007D67F5"/>
    <w:rsid w:val="007D6BAA"/>
    <w:rsid w:val="007D70B4"/>
    <w:rsid w:val="007D75F7"/>
    <w:rsid w:val="007D78D0"/>
    <w:rsid w:val="007E00ED"/>
    <w:rsid w:val="007E05B1"/>
    <w:rsid w:val="007E0936"/>
    <w:rsid w:val="007E1275"/>
    <w:rsid w:val="007E1460"/>
    <w:rsid w:val="007E16B5"/>
    <w:rsid w:val="007E185A"/>
    <w:rsid w:val="007E2573"/>
    <w:rsid w:val="007E25CA"/>
    <w:rsid w:val="007E265E"/>
    <w:rsid w:val="007E27D8"/>
    <w:rsid w:val="007E28D7"/>
    <w:rsid w:val="007E2998"/>
    <w:rsid w:val="007E2DA8"/>
    <w:rsid w:val="007E2EF7"/>
    <w:rsid w:val="007E31C7"/>
    <w:rsid w:val="007E3481"/>
    <w:rsid w:val="007E3889"/>
    <w:rsid w:val="007E3EB9"/>
    <w:rsid w:val="007E3F0E"/>
    <w:rsid w:val="007E414A"/>
    <w:rsid w:val="007E43E7"/>
    <w:rsid w:val="007E450C"/>
    <w:rsid w:val="007E47BE"/>
    <w:rsid w:val="007E49F7"/>
    <w:rsid w:val="007E4E71"/>
    <w:rsid w:val="007E500D"/>
    <w:rsid w:val="007E515F"/>
    <w:rsid w:val="007E55F0"/>
    <w:rsid w:val="007E5AAE"/>
    <w:rsid w:val="007E5B48"/>
    <w:rsid w:val="007E60B6"/>
    <w:rsid w:val="007E6259"/>
    <w:rsid w:val="007E64E1"/>
    <w:rsid w:val="007E663C"/>
    <w:rsid w:val="007E6B18"/>
    <w:rsid w:val="007E6F21"/>
    <w:rsid w:val="007E6FC8"/>
    <w:rsid w:val="007E72EE"/>
    <w:rsid w:val="007E75DE"/>
    <w:rsid w:val="007E7793"/>
    <w:rsid w:val="007E77C2"/>
    <w:rsid w:val="007E7803"/>
    <w:rsid w:val="007E7C5D"/>
    <w:rsid w:val="007E7D60"/>
    <w:rsid w:val="007F0B3A"/>
    <w:rsid w:val="007F0B62"/>
    <w:rsid w:val="007F0F31"/>
    <w:rsid w:val="007F1049"/>
    <w:rsid w:val="007F174A"/>
    <w:rsid w:val="007F2355"/>
    <w:rsid w:val="007F25C2"/>
    <w:rsid w:val="007F261D"/>
    <w:rsid w:val="007F2870"/>
    <w:rsid w:val="007F2975"/>
    <w:rsid w:val="007F2BC9"/>
    <w:rsid w:val="007F2BF6"/>
    <w:rsid w:val="007F2C3F"/>
    <w:rsid w:val="007F2C66"/>
    <w:rsid w:val="007F3829"/>
    <w:rsid w:val="007F4372"/>
    <w:rsid w:val="007F4497"/>
    <w:rsid w:val="007F481C"/>
    <w:rsid w:val="007F4B95"/>
    <w:rsid w:val="007F4D43"/>
    <w:rsid w:val="007F4ECE"/>
    <w:rsid w:val="007F52AB"/>
    <w:rsid w:val="007F5481"/>
    <w:rsid w:val="007F5975"/>
    <w:rsid w:val="007F5D09"/>
    <w:rsid w:val="007F5DF2"/>
    <w:rsid w:val="007F6011"/>
    <w:rsid w:val="007F60BD"/>
    <w:rsid w:val="007F6610"/>
    <w:rsid w:val="007F665E"/>
    <w:rsid w:val="007F67F0"/>
    <w:rsid w:val="007F6BB2"/>
    <w:rsid w:val="007F6D7B"/>
    <w:rsid w:val="007F7298"/>
    <w:rsid w:val="007F7390"/>
    <w:rsid w:val="007F7715"/>
    <w:rsid w:val="007F7B4D"/>
    <w:rsid w:val="00800829"/>
    <w:rsid w:val="0080089E"/>
    <w:rsid w:val="00800A3A"/>
    <w:rsid w:val="00800B53"/>
    <w:rsid w:val="00800DF9"/>
    <w:rsid w:val="00800F15"/>
    <w:rsid w:val="00801334"/>
    <w:rsid w:val="008013A6"/>
    <w:rsid w:val="008013EB"/>
    <w:rsid w:val="008014D0"/>
    <w:rsid w:val="008017EA"/>
    <w:rsid w:val="008019B6"/>
    <w:rsid w:val="00801F29"/>
    <w:rsid w:val="0080273A"/>
    <w:rsid w:val="00802922"/>
    <w:rsid w:val="00802B21"/>
    <w:rsid w:val="00802B69"/>
    <w:rsid w:val="0080302E"/>
    <w:rsid w:val="008030D0"/>
    <w:rsid w:val="008031DE"/>
    <w:rsid w:val="0080325A"/>
    <w:rsid w:val="00804132"/>
    <w:rsid w:val="008041CC"/>
    <w:rsid w:val="008044F9"/>
    <w:rsid w:val="00804517"/>
    <w:rsid w:val="00804624"/>
    <w:rsid w:val="0080468D"/>
    <w:rsid w:val="00804A11"/>
    <w:rsid w:val="00804A9E"/>
    <w:rsid w:val="00804DEF"/>
    <w:rsid w:val="0080527A"/>
    <w:rsid w:val="0080539F"/>
    <w:rsid w:val="008054C5"/>
    <w:rsid w:val="008057C5"/>
    <w:rsid w:val="00806047"/>
    <w:rsid w:val="008067BB"/>
    <w:rsid w:val="00806ACA"/>
    <w:rsid w:val="00806C92"/>
    <w:rsid w:val="00807D67"/>
    <w:rsid w:val="00807FD2"/>
    <w:rsid w:val="00810874"/>
    <w:rsid w:val="0081087D"/>
    <w:rsid w:val="00810AD2"/>
    <w:rsid w:val="00810BFD"/>
    <w:rsid w:val="0081121D"/>
    <w:rsid w:val="0081128A"/>
    <w:rsid w:val="00811A6C"/>
    <w:rsid w:val="00811BE6"/>
    <w:rsid w:val="00812564"/>
    <w:rsid w:val="008126A6"/>
    <w:rsid w:val="00812F89"/>
    <w:rsid w:val="00813553"/>
    <w:rsid w:val="008138A5"/>
    <w:rsid w:val="00813B9B"/>
    <w:rsid w:val="008140F0"/>
    <w:rsid w:val="0081468D"/>
    <w:rsid w:val="008147F3"/>
    <w:rsid w:val="00814D69"/>
    <w:rsid w:val="00814F27"/>
    <w:rsid w:val="00815066"/>
    <w:rsid w:val="008150BA"/>
    <w:rsid w:val="008150D0"/>
    <w:rsid w:val="00815586"/>
    <w:rsid w:val="0081568E"/>
    <w:rsid w:val="008158E8"/>
    <w:rsid w:val="00816206"/>
    <w:rsid w:val="00816525"/>
    <w:rsid w:val="00816720"/>
    <w:rsid w:val="00816773"/>
    <w:rsid w:val="00816A92"/>
    <w:rsid w:val="00816D29"/>
    <w:rsid w:val="00816DEE"/>
    <w:rsid w:val="00816FA6"/>
    <w:rsid w:val="0081733A"/>
    <w:rsid w:val="008173F3"/>
    <w:rsid w:val="00817765"/>
    <w:rsid w:val="00817F44"/>
    <w:rsid w:val="008203D4"/>
    <w:rsid w:val="00820481"/>
    <w:rsid w:val="00820A1D"/>
    <w:rsid w:val="00820E28"/>
    <w:rsid w:val="00820F2C"/>
    <w:rsid w:val="00821140"/>
    <w:rsid w:val="008216BE"/>
    <w:rsid w:val="00821888"/>
    <w:rsid w:val="00821B56"/>
    <w:rsid w:val="00821D1D"/>
    <w:rsid w:val="00821F1B"/>
    <w:rsid w:val="00822341"/>
    <w:rsid w:val="00822393"/>
    <w:rsid w:val="008224AA"/>
    <w:rsid w:val="008225CF"/>
    <w:rsid w:val="008227B8"/>
    <w:rsid w:val="00822861"/>
    <w:rsid w:val="00822FD4"/>
    <w:rsid w:val="00823180"/>
    <w:rsid w:val="00823447"/>
    <w:rsid w:val="00823A84"/>
    <w:rsid w:val="00823BD5"/>
    <w:rsid w:val="008241A8"/>
    <w:rsid w:val="00824234"/>
    <w:rsid w:val="0082458C"/>
    <w:rsid w:val="008247B1"/>
    <w:rsid w:val="00824E66"/>
    <w:rsid w:val="0082514B"/>
    <w:rsid w:val="008252CF"/>
    <w:rsid w:val="00825435"/>
    <w:rsid w:val="008254A8"/>
    <w:rsid w:val="008255B1"/>
    <w:rsid w:val="00825A82"/>
    <w:rsid w:val="00825D9A"/>
    <w:rsid w:val="00826216"/>
    <w:rsid w:val="00826781"/>
    <w:rsid w:val="00827631"/>
    <w:rsid w:val="008277E9"/>
    <w:rsid w:val="00827F56"/>
    <w:rsid w:val="008304B4"/>
    <w:rsid w:val="00830B20"/>
    <w:rsid w:val="00831163"/>
    <w:rsid w:val="00831F30"/>
    <w:rsid w:val="008322C7"/>
    <w:rsid w:val="0083266C"/>
    <w:rsid w:val="0083277A"/>
    <w:rsid w:val="00832C3D"/>
    <w:rsid w:val="00832CDC"/>
    <w:rsid w:val="00832E4D"/>
    <w:rsid w:val="00832E5C"/>
    <w:rsid w:val="008331A8"/>
    <w:rsid w:val="008335D4"/>
    <w:rsid w:val="0083374B"/>
    <w:rsid w:val="0083377E"/>
    <w:rsid w:val="008337F6"/>
    <w:rsid w:val="00833BEC"/>
    <w:rsid w:val="00833C4F"/>
    <w:rsid w:val="00834106"/>
    <w:rsid w:val="0083435A"/>
    <w:rsid w:val="00834810"/>
    <w:rsid w:val="00834EFF"/>
    <w:rsid w:val="00834F5C"/>
    <w:rsid w:val="0083512A"/>
    <w:rsid w:val="00835D5B"/>
    <w:rsid w:val="00836650"/>
    <w:rsid w:val="00836942"/>
    <w:rsid w:val="00836959"/>
    <w:rsid w:val="00836A5E"/>
    <w:rsid w:val="00836CD2"/>
    <w:rsid w:val="00836F0E"/>
    <w:rsid w:val="008371EF"/>
    <w:rsid w:val="00837219"/>
    <w:rsid w:val="00837433"/>
    <w:rsid w:val="00837C26"/>
    <w:rsid w:val="0084008D"/>
    <w:rsid w:val="0084048E"/>
    <w:rsid w:val="008405DA"/>
    <w:rsid w:val="0084087D"/>
    <w:rsid w:val="00840A9F"/>
    <w:rsid w:val="008413DE"/>
    <w:rsid w:val="00841562"/>
    <w:rsid w:val="00841822"/>
    <w:rsid w:val="008425A9"/>
    <w:rsid w:val="00842D98"/>
    <w:rsid w:val="00842F32"/>
    <w:rsid w:val="00843940"/>
    <w:rsid w:val="00843A89"/>
    <w:rsid w:val="00843B3A"/>
    <w:rsid w:val="00844101"/>
    <w:rsid w:val="00844454"/>
    <w:rsid w:val="008445B1"/>
    <w:rsid w:val="008446D6"/>
    <w:rsid w:val="008447B3"/>
    <w:rsid w:val="00844983"/>
    <w:rsid w:val="00844BA1"/>
    <w:rsid w:val="00844D89"/>
    <w:rsid w:val="00844F0D"/>
    <w:rsid w:val="008450DA"/>
    <w:rsid w:val="0084521F"/>
    <w:rsid w:val="008453AE"/>
    <w:rsid w:val="00845712"/>
    <w:rsid w:val="00845CBE"/>
    <w:rsid w:val="00845CCB"/>
    <w:rsid w:val="00845DFA"/>
    <w:rsid w:val="00846170"/>
    <w:rsid w:val="00846509"/>
    <w:rsid w:val="008466E3"/>
    <w:rsid w:val="00846B27"/>
    <w:rsid w:val="00846CAA"/>
    <w:rsid w:val="00847558"/>
    <w:rsid w:val="00847760"/>
    <w:rsid w:val="00847A15"/>
    <w:rsid w:val="00847DFE"/>
    <w:rsid w:val="00850316"/>
    <w:rsid w:val="00850358"/>
    <w:rsid w:val="008503E0"/>
    <w:rsid w:val="00850767"/>
    <w:rsid w:val="00850814"/>
    <w:rsid w:val="00850A89"/>
    <w:rsid w:val="00850F2B"/>
    <w:rsid w:val="00851822"/>
    <w:rsid w:val="00851B94"/>
    <w:rsid w:val="00851BEB"/>
    <w:rsid w:val="00851CA4"/>
    <w:rsid w:val="008521C7"/>
    <w:rsid w:val="0085254D"/>
    <w:rsid w:val="00852C93"/>
    <w:rsid w:val="00852FD3"/>
    <w:rsid w:val="00853B6E"/>
    <w:rsid w:val="00853D56"/>
    <w:rsid w:val="00853DCF"/>
    <w:rsid w:val="00853F46"/>
    <w:rsid w:val="00853F6B"/>
    <w:rsid w:val="008541B8"/>
    <w:rsid w:val="00854414"/>
    <w:rsid w:val="00854627"/>
    <w:rsid w:val="00854B29"/>
    <w:rsid w:val="0085508D"/>
    <w:rsid w:val="0085544F"/>
    <w:rsid w:val="00855FDA"/>
    <w:rsid w:val="008560BB"/>
    <w:rsid w:val="00856622"/>
    <w:rsid w:val="00856AD0"/>
    <w:rsid w:val="00856B54"/>
    <w:rsid w:val="00856BBD"/>
    <w:rsid w:val="00856DDF"/>
    <w:rsid w:val="00856FBE"/>
    <w:rsid w:val="00857156"/>
    <w:rsid w:val="0085729D"/>
    <w:rsid w:val="008572FF"/>
    <w:rsid w:val="00857509"/>
    <w:rsid w:val="008579FA"/>
    <w:rsid w:val="008579FD"/>
    <w:rsid w:val="00857E90"/>
    <w:rsid w:val="0086041D"/>
    <w:rsid w:val="00860684"/>
    <w:rsid w:val="008606C6"/>
    <w:rsid w:val="00860771"/>
    <w:rsid w:val="00860AEF"/>
    <w:rsid w:val="00860CC1"/>
    <w:rsid w:val="00860EC1"/>
    <w:rsid w:val="008616D6"/>
    <w:rsid w:val="00861860"/>
    <w:rsid w:val="00861954"/>
    <w:rsid w:val="00861B98"/>
    <w:rsid w:val="008620F6"/>
    <w:rsid w:val="00862D12"/>
    <w:rsid w:val="00863646"/>
    <w:rsid w:val="00863782"/>
    <w:rsid w:val="00863A41"/>
    <w:rsid w:val="00864008"/>
    <w:rsid w:val="00864305"/>
    <w:rsid w:val="00864586"/>
    <w:rsid w:val="00864E6F"/>
    <w:rsid w:val="00865109"/>
    <w:rsid w:val="00865793"/>
    <w:rsid w:val="00865A6C"/>
    <w:rsid w:val="00865CB3"/>
    <w:rsid w:val="00866359"/>
    <w:rsid w:val="00866444"/>
    <w:rsid w:val="00866827"/>
    <w:rsid w:val="00866DC4"/>
    <w:rsid w:val="008670D1"/>
    <w:rsid w:val="008673B9"/>
    <w:rsid w:val="00867C9D"/>
    <w:rsid w:val="00867DA0"/>
    <w:rsid w:val="00870ECC"/>
    <w:rsid w:val="00871285"/>
    <w:rsid w:val="008718F0"/>
    <w:rsid w:val="00871918"/>
    <w:rsid w:val="00871986"/>
    <w:rsid w:val="00872B99"/>
    <w:rsid w:val="00873181"/>
    <w:rsid w:val="008740DC"/>
    <w:rsid w:val="00874134"/>
    <w:rsid w:val="008744EC"/>
    <w:rsid w:val="00874693"/>
    <w:rsid w:val="008746AF"/>
    <w:rsid w:val="00874BBE"/>
    <w:rsid w:val="00874C04"/>
    <w:rsid w:val="00874DBA"/>
    <w:rsid w:val="00874E33"/>
    <w:rsid w:val="00874FEE"/>
    <w:rsid w:val="0087505F"/>
    <w:rsid w:val="00875288"/>
    <w:rsid w:val="0087532E"/>
    <w:rsid w:val="0087586A"/>
    <w:rsid w:val="008762B6"/>
    <w:rsid w:val="008763F5"/>
    <w:rsid w:val="00876795"/>
    <w:rsid w:val="008768EF"/>
    <w:rsid w:val="00876945"/>
    <w:rsid w:val="00876C8B"/>
    <w:rsid w:val="00876E3A"/>
    <w:rsid w:val="00876EF2"/>
    <w:rsid w:val="00876EF3"/>
    <w:rsid w:val="00877281"/>
    <w:rsid w:val="00877790"/>
    <w:rsid w:val="00877AC7"/>
    <w:rsid w:val="00877AF2"/>
    <w:rsid w:val="00880422"/>
    <w:rsid w:val="0088084E"/>
    <w:rsid w:val="00880CA1"/>
    <w:rsid w:val="00881DB1"/>
    <w:rsid w:val="00881F3A"/>
    <w:rsid w:val="008820A2"/>
    <w:rsid w:val="008824E6"/>
    <w:rsid w:val="0088294E"/>
    <w:rsid w:val="008829C9"/>
    <w:rsid w:val="00882B2A"/>
    <w:rsid w:val="00882C0A"/>
    <w:rsid w:val="00882DE3"/>
    <w:rsid w:val="00882FAD"/>
    <w:rsid w:val="00883496"/>
    <w:rsid w:val="0088370F"/>
    <w:rsid w:val="00883966"/>
    <w:rsid w:val="008839A1"/>
    <w:rsid w:val="00884412"/>
    <w:rsid w:val="00884665"/>
    <w:rsid w:val="00884A14"/>
    <w:rsid w:val="00884A81"/>
    <w:rsid w:val="00884F87"/>
    <w:rsid w:val="0088508B"/>
    <w:rsid w:val="00885451"/>
    <w:rsid w:val="00885F39"/>
    <w:rsid w:val="00886EBF"/>
    <w:rsid w:val="00887302"/>
    <w:rsid w:val="00887925"/>
    <w:rsid w:val="00887B7C"/>
    <w:rsid w:val="00887BBF"/>
    <w:rsid w:val="00887BE1"/>
    <w:rsid w:val="0089020D"/>
    <w:rsid w:val="0089023F"/>
    <w:rsid w:val="00890838"/>
    <w:rsid w:val="008908C9"/>
    <w:rsid w:val="00890A5B"/>
    <w:rsid w:val="00890A68"/>
    <w:rsid w:val="00890C2D"/>
    <w:rsid w:val="00890D9B"/>
    <w:rsid w:val="00891046"/>
    <w:rsid w:val="00891112"/>
    <w:rsid w:val="00891652"/>
    <w:rsid w:val="00891A74"/>
    <w:rsid w:val="00891C24"/>
    <w:rsid w:val="00891CB3"/>
    <w:rsid w:val="00891D6B"/>
    <w:rsid w:val="00891E4F"/>
    <w:rsid w:val="00891F79"/>
    <w:rsid w:val="00891FFF"/>
    <w:rsid w:val="0089210D"/>
    <w:rsid w:val="0089232E"/>
    <w:rsid w:val="00892415"/>
    <w:rsid w:val="008924C7"/>
    <w:rsid w:val="00892678"/>
    <w:rsid w:val="008928D6"/>
    <w:rsid w:val="00892911"/>
    <w:rsid w:val="00892A89"/>
    <w:rsid w:val="00892C8D"/>
    <w:rsid w:val="00892D05"/>
    <w:rsid w:val="00893357"/>
    <w:rsid w:val="008937B3"/>
    <w:rsid w:val="00893D7E"/>
    <w:rsid w:val="00893E23"/>
    <w:rsid w:val="0089430D"/>
    <w:rsid w:val="00894675"/>
    <w:rsid w:val="00894999"/>
    <w:rsid w:val="008951B5"/>
    <w:rsid w:val="0089527A"/>
    <w:rsid w:val="008956D3"/>
    <w:rsid w:val="00895F02"/>
    <w:rsid w:val="0089604E"/>
    <w:rsid w:val="008963E5"/>
    <w:rsid w:val="0089663A"/>
    <w:rsid w:val="00896EBB"/>
    <w:rsid w:val="00897094"/>
    <w:rsid w:val="0089713D"/>
    <w:rsid w:val="008971A1"/>
    <w:rsid w:val="00897286"/>
    <w:rsid w:val="00897490"/>
    <w:rsid w:val="008976FD"/>
    <w:rsid w:val="00897888"/>
    <w:rsid w:val="00897B12"/>
    <w:rsid w:val="008A096D"/>
    <w:rsid w:val="008A0BB7"/>
    <w:rsid w:val="008A0DA6"/>
    <w:rsid w:val="008A10BC"/>
    <w:rsid w:val="008A128D"/>
    <w:rsid w:val="008A15D3"/>
    <w:rsid w:val="008A1A61"/>
    <w:rsid w:val="008A1AA8"/>
    <w:rsid w:val="008A1ACF"/>
    <w:rsid w:val="008A1B5B"/>
    <w:rsid w:val="008A1C4E"/>
    <w:rsid w:val="008A1F84"/>
    <w:rsid w:val="008A2075"/>
    <w:rsid w:val="008A2175"/>
    <w:rsid w:val="008A2381"/>
    <w:rsid w:val="008A2821"/>
    <w:rsid w:val="008A2A2E"/>
    <w:rsid w:val="008A2A86"/>
    <w:rsid w:val="008A2C1E"/>
    <w:rsid w:val="008A3456"/>
    <w:rsid w:val="008A37AF"/>
    <w:rsid w:val="008A3D0D"/>
    <w:rsid w:val="008A3D45"/>
    <w:rsid w:val="008A3DCE"/>
    <w:rsid w:val="008A406C"/>
    <w:rsid w:val="008A48A9"/>
    <w:rsid w:val="008A49B3"/>
    <w:rsid w:val="008A4DF7"/>
    <w:rsid w:val="008A514D"/>
    <w:rsid w:val="008A5293"/>
    <w:rsid w:val="008A5366"/>
    <w:rsid w:val="008A563E"/>
    <w:rsid w:val="008A5885"/>
    <w:rsid w:val="008A5CFC"/>
    <w:rsid w:val="008A5DA9"/>
    <w:rsid w:val="008A5F26"/>
    <w:rsid w:val="008A60F0"/>
    <w:rsid w:val="008A6130"/>
    <w:rsid w:val="008A6173"/>
    <w:rsid w:val="008A63DC"/>
    <w:rsid w:val="008A67A5"/>
    <w:rsid w:val="008A6E18"/>
    <w:rsid w:val="008A6EE2"/>
    <w:rsid w:val="008A73FA"/>
    <w:rsid w:val="008A78BB"/>
    <w:rsid w:val="008A79AE"/>
    <w:rsid w:val="008A79D2"/>
    <w:rsid w:val="008B0165"/>
    <w:rsid w:val="008B0E1C"/>
    <w:rsid w:val="008B1710"/>
    <w:rsid w:val="008B1A75"/>
    <w:rsid w:val="008B1DBD"/>
    <w:rsid w:val="008B2547"/>
    <w:rsid w:val="008B2978"/>
    <w:rsid w:val="008B2C13"/>
    <w:rsid w:val="008B3382"/>
    <w:rsid w:val="008B39BA"/>
    <w:rsid w:val="008B3B7A"/>
    <w:rsid w:val="008B421A"/>
    <w:rsid w:val="008B4567"/>
    <w:rsid w:val="008B4657"/>
    <w:rsid w:val="008B4FDF"/>
    <w:rsid w:val="008B5BEF"/>
    <w:rsid w:val="008B5D7B"/>
    <w:rsid w:val="008B6271"/>
    <w:rsid w:val="008B63FA"/>
    <w:rsid w:val="008B6472"/>
    <w:rsid w:val="008B6548"/>
    <w:rsid w:val="008B6747"/>
    <w:rsid w:val="008B721C"/>
    <w:rsid w:val="008B7579"/>
    <w:rsid w:val="008B7698"/>
    <w:rsid w:val="008B77D5"/>
    <w:rsid w:val="008B77F2"/>
    <w:rsid w:val="008B7CB4"/>
    <w:rsid w:val="008C0971"/>
    <w:rsid w:val="008C0B09"/>
    <w:rsid w:val="008C0B32"/>
    <w:rsid w:val="008C1402"/>
    <w:rsid w:val="008C1809"/>
    <w:rsid w:val="008C1873"/>
    <w:rsid w:val="008C1C32"/>
    <w:rsid w:val="008C2624"/>
    <w:rsid w:val="008C27DE"/>
    <w:rsid w:val="008C2948"/>
    <w:rsid w:val="008C2B70"/>
    <w:rsid w:val="008C2D74"/>
    <w:rsid w:val="008C2E2B"/>
    <w:rsid w:val="008C2F33"/>
    <w:rsid w:val="008C2F63"/>
    <w:rsid w:val="008C33E0"/>
    <w:rsid w:val="008C3400"/>
    <w:rsid w:val="008C344D"/>
    <w:rsid w:val="008C357F"/>
    <w:rsid w:val="008C397D"/>
    <w:rsid w:val="008C3FAD"/>
    <w:rsid w:val="008C43B7"/>
    <w:rsid w:val="008C4613"/>
    <w:rsid w:val="008C4835"/>
    <w:rsid w:val="008C490F"/>
    <w:rsid w:val="008C4BBA"/>
    <w:rsid w:val="008C53C4"/>
    <w:rsid w:val="008C57ED"/>
    <w:rsid w:val="008C5E07"/>
    <w:rsid w:val="008C5F53"/>
    <w:rsid w:val="008C60AA"/>
    <w:rsid w:val="008C620E"/>
    <w:rsid w:val="008C647B"/>
    <w:rsid w:val="008C6664"/>
    <w:rsid w:val="008C6790"/>
    <w:rsid w:val="008C6A36"/>
    <w:rsid w:val="008C6ADB"/>
    <w:rsid w:val="008C7042"/>
    <w:rsid w:val="008C7446"/>
    <w:rsid w:val="008C7759"/>
    <w:rsid w:val="008C7876"/>
    <w:rsid w:val="008D019F"/>
    <w:rsid w:val="008D047C"/>
    <w:rsid w:val="008D066C"/>
    <w:rsid w:val="008D07FB"/>
    <w:rsid w:val="008D0E09"/>
    <w:rsid w:val="008D0E4F"/>
    <w:rsid w:val="008D0E6F"/>
    <w:rsid w:val="008D1019"/>
    <w:rsid w:val="008D14AC"/>
    <w:rsid w:val="008D1505"/>
    <w:rsid w:val="008D19A1"/>
    <w:rsid w:val="008D1CE9"/>
    <w:rsid w:val="008D1EDC"/>
    <w:rsid w:val="008D1FC4"/>
    <w:rsid w:val="008D21FC"/>
    <w:rsid w:val="008D2535"/>
    <w:rsid w:val="008D263F"/>
    <w:rsid w:val="008D35BD"/>
    <w:rsid w:val="008D36CC"/>
    <w:rsid w:val="008D3714"/>
    <w:rsid w:val="008D388F"/>
    <w:rsid w:val="008D421B"/>
    <w:rsid w:val="008D4636"/>
    <w:rsid w:val="008D4648"/>
    <w:rsid w:val="008D467A"/>
    <w:rsid w:val="008D4684"/>
    <w:rsid w:val="008D4906"/>
    <w:rsid w:val="008D491F"/>
    <w:rsid w:val="008D496F"/>
    <w:rsid w:val="008D4A9B"/>
    <w:rsid w:val="008D4AB1"/>
    <w:rsid w:val="008D4BAF"/>
    <w:rsid w:val="008D4C8C"/>
    <w:rsid w:val="008D4E6E"/>
    <w:rsid w:val="008D512A"/>
    <w:rsid w:val="008D5377"/>
    <w:rsid w:val="008D5407"/>
    <w:rsid w:val="008D564C"/>
    <w:rsid w:val="008D5AE6"/>
    <w:rsid w:val="008D5D86"/>
    <w:rsid w:val="008D5E58"/>
    <w:rsid w:val="008D653D"/>
    <w:rsid w:val="008D6709"/>
    <w:rsid w:val="008D6715"/>
    <w:rsid w:val="008D6F31"/>
    <w:rsid w:val="008D6FE9"/>
    <w:rsid w:val="008D7141"/>
    <w:rsid w:val="008D76D5"/>
    <w:rsid w:val="008D7AD2"/>
    <w:rsid w:val="008E0113"/>
    <w:rsid w:val="008E023A"/>
    <w:rsid w:val="008E0B92"/>
    <w:rsid w:val="008E0BAF"/>
    <w:rsid w:val="008E0BB6"/>
    <w:rsid w:val="008E0E78"/>
    <w:rsid w:val="008E11DF"/>
    <w:rsid w:val="008E11E5"/>
    <w:rsid w:val="008E11FF"/>
    <w:rsid w:val="008E138D"/>
    <w:rsid w:val="008E1476"/>
    <w:rsid w:val="008E16A4"/>
    <w:rsid w:val="008E17CE"/>
    <w:rsid w:val="008E1AC1"/>
    <w:rsid w:val="008E1AC2"/>
    <w:rsid w:val="008E1ADE"/>
    <w:rsid w:val="008E1B9A"/>
    <w:rsid w:val="008E264E"/>
    <w:rsid w:val="008E28B6"/>
    <w:rsid w:val="008E2BAE"/>
    <w:rsid w:val="008E38BD"/>
    <w:rsid w:val="008E396E"/>
    <w:rsid w:val="008E3A0C"/>
    <w:rsid w:val="008E43E1"/>
    <w:rsid w:val="008E442B"/>
    <w:rsid w:val="008E4830"/>
    <w:rsid w:val="008E49D2"/>
    <w:rsid w:val="008E4AE5"/>
    <w:rsid w:val="008E54E4"/>
    <w:rsid w:val="008E5517"/>
    <w:rsid w:val="008E5522"/>
    <w:rsid w:val="008E5D64"/>
    <w:rsid w:val="008E6104"/>
    <w:rsid w:val="008E6327"/>
    <w:rsid w:val="008E6CC0"/>
    <w:rsid w:val="008E6CDA"/>
    <w:rsid w:val="008E6D8B"/>
    <w:rsid w:val="008E6E1F"/>
    <w:rsid w:val="008E6FBD"/>
    <w:rsid w:val="008E700A"/>
    <w:rsid w:val="008E7231"/>
    <w:rsid w:val="008E796E"/>
    <w:rsid w:val="008E7BF5"/>
    <w:rsid w:val="008F0B7E"/>
    <w:rsid w:val="008F14BF"/>
    <w:rsid w:val="008F16C8"/>
    <w:rsid w:val="008F17B1"/>
    <w:rsid w:val="008F1976"/>
    <w:rsid w:val="008F1F15"/>
    <w:rsid w:val="008F2252"/>
    <w:rsid w:val="008F245F"/>
    <w:rsid w:val="008F24D9"/>
    <w:rsid w:val="008F2537"/>
    <w:rsid w:val="008F253A"/>
    <w:rsid w:val="008F2690"/>
    <w:rsid w:val="008F2AE0"/>
    <w:rsid w:val="008F2BC2"/>
    <w:rsid w:val="008F2BF2"/>
    <w:rsid w:val="008F2D69"/>
    <w:rsid w:val="008F3031"/>
    <w:rsid w:val="008F3ED2"/>
    <w:rsid w:val="008F4457"/>
    <w:rsid w:val="008F4889"/>
    <w:rsid w:val="008F4F14"/>
    <w:rsid w:val="008F4F7E"/>
    <w:rsid w:val="008F523E"/>
    <w:rsid w:val="008F539E"/>
    <w:rsid w:val="008F5710"/>
    <w:rsid w:val="008F575A"/>
    <w:rsid w:val="008F5B29"/>
    <w:rsid w:val="008F5C97"/>
    <w:rsid w:val="008F5DF5"/>
    <w:rsid w:val="008F644C"/>
    <w:rsid w:val="008F654F"/>
    <w:rsid w:val="008F6554"/>
    <w:rsid w:val="008F6AB6"/>
    <w:rsid w:val="008F6E8A"/>
    <w:rsid w:val="008F6ED5"/>
    <w:rsid w:val="00900031"/>
    <w:rsid w:val="0090064F"/>
    <w:rsid w:val="009007F0"/>
    <w:rsid w:val="00900E5D"/>
    <w:rsid w:val="00901372"/>
    <w:rsid w:val="009013E0"/>
    <w:rsid w:val="009015C1"/>
    <w:rsid w:val="00901791"/>
    <w:rsid w:val="009018FA"/>
    <w:rsid w:val="00901C09"/>
    <w:rsid w:val="00901CCF"/>
    <w:rsid w:val="00902208"/>
    <w:rsid w:val="009027CF"/>
    <w:rsid w:val="009029F2"/>
    <w:rsid w:val="00903008"/>
    <w:rsid w:val="00903829"/>
    <w:rsid w:val="0090393A"/>
    <w:rsid w:val="00903B0B"/>
    <w:rsid w:val="00903D0F"/>
    <w:rsid w:val="009046D7"/>
    <w:rsid w:val="009048D1"/>
    <w:rsid w:val="00904F57"/>
    <w:rsid w:val="00905406"/>
    <w:rsid w:val="00905543"/>
    <w:rsid w:val="00905584"/>
    <w:rsid w:val="00905F40"/>
    <w:rsid w:val="00906281"/>
    <w:rsid w:val="00906358"/>
    <w:rsid w:val="009063AB"/>
    <w:rsid w:val="0090653E"/>
    <w:rsid w:val="00907002"/>
    <w:rsid w:val="00907168"/>
    <w:rsid w:val="009075AC"/>
    <w:rsid w:val="00907809"/>
    <w:rsid w:val="00907BAF"/>
    <w:rsid w:val="00907BD5"/>
    <w:rsid w:val="00907C8E"/>
    <w:rsid w:val="00907DC4"/>
    <w:rsid w:val="00907ED0"/>
    <w:rsid w:val="00910AB4"/>
    <w:rsid w:val="00910D2C"/>
    <w:rsid w:val="00910E44"/>
    <w:rsid w:val="00910F51"/>
    <w:rsid w:val="0091105B"/>
    <w:rsid w:val="009112FF"/>
    <w:rsid w:val="00911CF6"/>
    <w:rsid w:val="00911D3E"/>
    <w:rsid w:val="00912009"/>
    <w:rsid w:val="009120A8"/>
    <w:rsid w:val="009122B7"/>
    <w:rsid w:val="00912350"/>
    <w:rsid w:val="00912934"/>
    <w:rsid w:val="00912982"/>
    <w:rsid w:val="00912CE1"/>
    <w:rsid w:val="00912D5F"/>
    <w:rsid w:val="00912EC0"/>
    <w:rsid w:val="0091300F"/>
    <w:rsid w:val="009130CE"/>
    <w:rsid w:val="0091362E"/>
    <w:rsid w:val="00913682"/>
    <w:rsid w:val="009136DD"/>
    <w:rsid w:val="00913776"/>
    <w:rsid w:val="009137C3"/>
    <w:rsid w:val="00913D9E"/>
    <w:rsid w:val="00913FFB"/>
    <w:rsid w:val="00914231"/>
    <w:rsid w:val="00914444"/>
    <w:rsid w:val="00914B88"/>
    <w:rsid w:val="00914E0D"/>
    <w:rsid w:val="0091503A"/>
    <w:rsid w:val="0091525D"/>
    <w:rsid w:val="00915536"/>
    <w:rsid w:val="00915AB0"/>
    <w:rsid w:val="00915FBF"/>
    <w:rsid w:val="00916DE1"/>
    <w:rsid w:val="00916F6C"/>
    <w:rsid w:val="009175DD"/>
    <w:rsid w:val="00917692"/>
    <w:rsid w:val="009176FA"/>
    <w:rsid w:val="00917AA8"/>
    <w:rsid w:val="00917D47"/>
    <w:rsid w:val="00917DEA"/>
    <w:rsid w:val="00917FA5"/>
    <w:rsid w:val="009204AD"/>
    <w:rsid w:val="0092087D"/>
    <w:rsid w:val="009209DD"/>
    <w:rsid w:val="00921038"/>
    <w:rsid w:val="0092116E"/>
    <w:rsid w:val="009211F6"/>
    <w:rsid w:val="0092176D"/>
    <w:rsid w:val="009223A2"/>
    <w:rsid w:val="00923B9D"/>
    <w:rsid w:val="0092432D"/>
    <w:rsid w:val="00924660"/>
    <w:rsid w:val="009246DF"/>
    <w:rsid w:val="00924824"/>
    <w:rsid w:val="00924834"/>
    <w:rsid w:val="009252B8"/>
    <w:rsid w:val="00926372"/>
    <w:rsid w:val="00926586"/>
    <w:rsid w:val="0092666C"/>
    <w:rsid w:val="009268E1"/>
    <w:rsid w:val="00926A8C"/>
    <w:rsid w:val="00926AB1"/>
    <w:rsid w:val="00926ADB"/>
    <w:rsid w:val="00926D57"/>
    <w:rsid w:val="00927363"/>
    <w:rsid w:val="009273B4"/>
    <w:rsid w:val="0092744E"/>
    <w:rsid w:val="0092761D"/>
    <w:rsid w:val="00927899"/>
    <w:rsid w:val="00927ABE"/>
    <w:rsid w:val="00927B0D"/>
    <w:rsid w:val="00927F6B"/>
    <w:rsid w:val="00927FE0"/>
    <w:rsid w:val="0093015E"/>
    <w:rsid w:val="00930546"/>
    <w:rsid w:val="00930FC0"/>
    <w:rsid w:val="009310B6"/>
    <w:rsid w:val="0093114C"/>
    <w:rsid w:val="0093188C"/>
    <w:rsid w:val="00931B5F"/>
    <w:rsid w:val="00931F32"/>
    <w:rsid w:val="009322C0"/>
    <w:rsid w:val="00932801"/>
    <w:rsid w:val="009328FF"/>
    <w:rsid w:val="00932AE1"/>
    <w:rsid w:val="00933AE0"/>
    <w:rsid w:val="00933F18"/>
    <w:rsid w:val="00934309"/>
    <w:rsid w:val="00934732"/>
    <w:rsid w:val="009347B6"/>
    <w:rsid w:val="009348F1"/>
    <w:rsid w:val="009355C2"/>
    <w:rsid w:val="00935BE6"/>
    <w:rsid w:val="00935F21"/>
    <w:rsid w:val="00936621"/>
    <w:rsid w:val="00936650"/>
    <w:rsid w:val="00936774"/>
    <w:rsid w:val="009367D4"/>
    <w:rsid w:val="0093680D"/>
    <w:rsid w:val="00936935"/>
    <w:rsid w:val="00936B7A"/>
    <w:rsid w:val="00937428"/>
    <w:rsid w:val="009406E6"/>
    <w:rsid w:val="00940E47"/>
    <w:rsid w:val="00940E79"/>
    <w:rsid w:val="00940F22"/>
    <w:rsid w:val="00940FB0"/>
    <w:rsid w:val="00941717"/>
    <w:rsid w:val="00941C0E"/>
    <w:rsid w:val="00941E10"/>
    <w:rsid w:val="00941FB0"/>
    <w:rsid w:val="00942928"/>
    <w:rsid w:val="00942A37"/>
    <w:rsid w:val="00942CFA"/>
    <w:rsid w:val="00942DA1"/>
    <w:rsid w:val="00942EB8"/>
    <w:rsid w:val="009434FB"/>
    <w:rsid w:val="00943970"/>
    <w:rsid w:val="00943D15"/>
    <w:rsid w:val="0094407B"/>
    <w:rsid w:val="00944765"/>
    <w:rsid w:val="00944E71"/>
    <w:rsid w:val="00945197"/>
    <w:rsid w:val="009451C8"/>
    <w:rsid w:val="0094531C"/>
    <w:rsid w:val="009458F5"/>
    <w:rsid w:val="0094614E"/>
    <w:rsid w:val="009464B4"/>
    <w:rsid w:val="00946757"/>
    <w:rsid w:val="00946888"/>
    <w:rsid w:val="00946DB1"/>
    <w:rsid w:val="00946F24"/>
    <w:rsid w:val="00946FBF"/>
    <w:rsid w:val="009473F7"/>
    <w:rsid w:val="00947480"/>
    <w:rsid w:val="00947F08"/>
    <w:rsid w:val="00950180"/>
    <w:rsid w:val="00950211"/>
    <w:rsid w:val="00950931"/>
    <w:rsid w:val="00950AE1"/>
    <w:rsid w:val="00950E28"/>
    <w:rsid w:val="00951F61"/>
    <w:rsid w:val="00951FF5"/>
    <w:rsid w:val="00952399"/>
    <w:rsid w:val="009525D6"/>
    <w:rsid w:val="00952699"/>
    <w:rsid w:val="00953060"/>
    <w:rsid w:val="00953129"/>
    <w:rsid w:val="009532E8"/>
    <w:rsid w:val="00953EAE"/>
    <w:rsid w:val="00954687"/>
    <w:rsid w:val="00954971"/>
    <w:rsid w:val="00954DAE"/>
    <w:rsid w:val="00955207"/>
    <w:rsid w:val="0095568E"/>
    <w:rsid w:val="00955806"/>
    <w:rsid w:val="0095596C"/>
    <w:rsid w:val="009559B3"/>
    <w:rsid w:val="00955E51"/>
    <w:rsid w:val="00955EEF"/>
    <w:rsid w:val="00956054"/>
    <w:rsid w:val="009561F6"/>
    <w:rsid w:val="0095657B"/>
    <w:rsid w:val="00956AAD"/>
    <w:rsid w:val="00956AB9"/>
    <w:rsid w:val="00956C4F"/>
    <w:rsid w:val="00956D4B"/>
    <w:rsid w:val="0095731C"/>
    <w:rsid w:val="00957663"/>
    <w:rsid w:val="009576BC"/>
    <w:rsid w:val="00957A27"/>
    <w:rsid w:val="00957B1F"/>
    <w:rsid w:val="00957C66"/>
    <w:rsid w:val="009602AE"/>
    <w:rsid w:val="009606E7"/>
    <w:rsid w:val="00960D42"/>
    <w:rsid w:val="00960DA1"/>
    <w:rsid w:val="00961020"/>
    <w:rsid w:val="00961C1E"/>
    <w:rsid w:val="00962000"/>
    <w:rsid w:val="00962305"/>
    <w:rsid w:val="00962DC7"/>
    <w:rsid w:val="0096331E"/>
    <w:rsid w:val="009635A1"/>
    <w:rsid w:val="00963B2E"/>
    <w:rsid w:val="00963CF8"/>
    <w:rsid w:val="00963F80"/>
    <w:rsid w:val="00964281"/>
    <w:rsid w:val="00964D83"/>
    <w:rsid w:val="00964DF7"/>
    <w:rsid w:val="00965196"/>
    <w:rsid w:val="00965753"/>
    <w:rsid w:val="009658DE"/>
    <w:rsid w:val="00965ACB"/>
    <w:rsid w:val="00965D60"/>
    <w:rsid w:val="00965FBA"/>
    <w:rsid w:val="00966452"/>
    <w:rsid w:val="00966915"/>
    <w:rsid w:val="009669A5"/>
    <w:rsid w:val="00966A3E"/>
    <w:rsid w:val="00966D0F"/>
    <w:rsid w:val="00966E5E"/>
    <w:rsid w:val="0096781E"/>
    <w:rsid w:val="00967FC9"/>
    <w:rsid w:val="00970060"/>
    <w:rsid w:val="00970076"/>
    <w:rsid w:val="0097007E"/>
    <w:rsid w:val="00970152"/>
    <w:rsid w:val="00970588"/>
    <w:rsid w:val="00970E92"/>
    <w:rsid w:val="009711C1"/>
    <w:rsid w:val="009716C9"/>
    <w:rsid w:val="00971FBD"/>
    <w:rsid w:val="0097215C"/>
    <w:rsid w:val="00972B88"/>
    <w:rsid w:val="00972BEA"/>
    <w:rsid w:val="00972C24"/>
    <w:rsid w:val="00972EF7"/>
    <w:rsid w:val="00973121"/>
    <w:rsid w:val="0097312A"/>
    <w:rsid w:val="0097319B"/>
    <w:rsid w:val="009733C6"/>
    <w:rsid w:val="0097368E"/>
    <w:rsid w:val="009737E1"/>
    <w:rsid w:val="009737F5"/>
    <w:rsid w:val="00974429"/>
    <w:rsid w:val="00974481"/>
    <w:rsid w:val="0097476D"/>
    <w:rsid w:val="00974DBD"/>
    <w:rsid w:val="00974F73"/>
    <w:rsid w:val="00975464"/>
    <w:rsid w:val="0097624B"/>
    <w:rsid w:val="00976841"/>
    <w:rsid w:val="00976CE1"/>
    <w:rsid w:val="00976D62"/>
    <w:rsid w:val="00976E67"/>
    <w:rsid w:val="00977361"/>
    <w:rsid w:val="009777DA"/>
    <w:rsid w:val="0097796B"/>
    <w:rsid w:val="00977D64"/>
    <w:rsid w:val="0098094A"/>
    <w:rsid w:val="009819A5"/>
    <w:rsid w:val="00981EB7"/>
    <w:rsid w:val="009823FB"/>
    <w:rsid w:val="009826FB"/>
    <w:rsid w:val="00982A71"/>
    <w:rsid w:val="00982AA1"/>
    <w:rsid w:val="00982B9C"/>
    <w:rsid w:val="00982EF9"/>
    <w:rsid w:val="00984868"/>
    <w:rsid w:val="00984C97"/>
    <w:rsid w:val="00984E43"/>
    <w:rsid w:val="00985B2E"/>
    <w:rsid w:val="00986042"/>
    <w:rsid w:val="00986169"/>
    <w:rsid w:val="00986205"/>
    <w:rsid w:val="009863CC"/>
    <w:rsid w:val="0098651C"/>
    <w:rsid w:val="0098658D"/>
    <w:rsid w:val="00986C22"/>
    <w:rsid w:val="00987009"/>
    <w:rsid w:val="0098712A"/>
    <w:rsid w:val="009872D7"/>
    <w:rsid w:val="00987DB4"/>
    <w:rsid w:val="009907D9"/>
    <w:rsid w:val="00990A27"/>
    <w:rsid w:val="0099105D"/>
    <w:rsid w:val="00991392"/>
    <w:rsid w:val="009919A0"/>
    <w:rsid w:val="009919D4"/>
    <w:rsid w:val="00991DF1"/>
    <w:rsid w:val="00991EE7"/>
    <w:rsid w:val="00991FBC"/>
    <w:rsid w:val="00992017"/>
    <w:rsid w:val="00992464"/>
    <w:rsid w:val="009924E8"/>
    <w:rsid w:val="00992982"/>
    <w:rsid w:val="00992FFE"/>
    <w:rsid w:val="009932F8"/>
    <w:rsid w:val="00993D99"/>
    <w:rsid w:val="00993E47"/>
    <w:rsid w:val="00993E84"/>
    <w:rsid w:val="00994050"/>
    <w:rsid w:val="00994807"/>
    <w:rsid w:val="00994903"/>
    <w:rsid w:val="00995364"/>
    <w:rsid w:val="00995726"/>
    <w:rsid w:val="0099589E"/>
    <w:rsid w:val="00995AAD"/>
    <w:rsid w:val="0099600C"/>
    <w:rsid w:val="00996172"/>
    <w:rsid w:val="00996531"/>
    <w:rsid w:val="00996696"/>
    <w:rsid w:val="009967DB"/>
    <w:rsid w:val="00996B36"/>
    <w:rsid w:val="00996B98"/>
    <w:rsid w:val="00997162"/>
    <w:rsid w:val="009972DD"/>
    <w:rsid w:val="00997845"/>
    <w:rsid w:val="00997986"/>
    <w:rsid w:val="009979AF"/>
    <w:rsid w:val="00997E56"/>
    <w:rsid w:val="009A016C"/>
    <w:rsid w:val="009A0573"/>
    <w:rsid w:val="009A0A5C"/>
    <w:rsid w:val="009A0F0E"/>
    <w:rsid w:val="009A11D0"/>
    <w:rsid w:val="009A1201"/>
    <w:rsid w:val="009A1331"/>
    <w:rsid w:val="009A15CE"/>
    <w:rsid w:val="009A18EE"/>
    <w:rsid w:val="009A197A"/>
    <w:rsid w:val="009A1C93"/>
    <w:rsid w:val="009A21F3"/>
    <w:rsid w:val="009A2209"/>
    <w:rsid w:val="009A22D7"/>
    <w:rsid w:val="009A2385"/>
    <w:rsid w:val="009A24CB"/>
    <w:rsid w:val="009A25E2"/>
    <w:rsid w:val="009A2805"/>
    <w:rsid w:val="009A299D"/>
    <w:rsid w:val="009A304B"/>
    <w:rsid w:val="009A3521"/>
    <w:rsid w:val="009A36A7"/>
    <w:rsid w:val="009A3F8C"/>
    <w:rsid w:val="009A40D6"/>
    <w:rsid w:val="009A475C"/>
    <w:rsid w:val="009A47A9"/>
    <w:rsid w:val="009A483C"/>
    <w:rsid w:val="009A48AC"/>
    <w:rsid w:val="009A4ABB"/>
    <w:rsid w:val="009A4CA2"/>
    <w:rsid w:val="009A4F54"/>
    <w:rsid w:val="009A5364"/>
    <w:rsid w:val="009A5820"/>
    <w:rsid w:val="009A58C0"/>
    <w:rsid w:val="009A5CF2"/>
    <w:rsid w:val="009A6103"/>
    <w:rsid w:val="009A64D8"/>
    <w:rsid w:val="009A681E"/>
    <w:rsid w:val="009A6EC2"/>
    <w:rsid w:val="009A7188"/>
    <w:rsid w:val="009A722F"/>
    <w:rsid w:val="009A79AE"/>
    <w:rsid w:val="009A7C6A"/>
    <w:rsid w:val="009A7C94"/>
    <w:rsid w:val="009B035C"/>
    <w:rsid w:val="009B07F8"/>
    <w:rsid w:val="009B0E64"/>
    <w:rsid w:val="009B1630"/>
    <w:rsid w:val="009B1B02"/>
    <w:rsid w:val="009B1D88"/>
    <w:rsid w:val="009B2181"/>
    <w:rsid w:val="009B2CA4"/>
    <w:rsid w:val="009B2E0E"/>
    <w:rsid w:val="009B2F18"/>
    <w:rsid w:val="009B30BA"/>
    <w:rsid w:val="009B377A"/>
    <w:rsid w:val="009B391D"/>
    <w:rsid w:val="009B392A"/>
    <w:rsid w:val="009B39B0"/>
    <w:rsid w:val="009B39D3"/>
    <w:rsid w:val="009B3ADD"/>
    <w:rsid w:val="009B3D33"/>
    <w:rsid w:val="009B41B3"/>
    <w:rsid w:val="009B4406"/>
    <w:rsid w:val="009B449A"/>
    <w:rsid w:val="009B470D"/>
    <w:rsid w:val="009B4CBC"/>
    <w:rsid w:val="009B5114"/>
    <w:rsid w:val="009B51DC"/>
    <w:rsid w:val="009B599B"/>
    <w:rsid w:val="009B6B3F"/>
    <w:rsid w:val="009B75D7"/>
    <w:rsid w:val="009B7944"/>
    <w:rsid w:val="009B7969"/>
    <w:rsid w:val="009B7B96"/>
    <w:rsid w:val="009B7EDD"/>
    <w:rsid w:val="009B7F9E"/>
    <w:rsid w:val="009C0363"/>
    <w:rsid w:val="009C03C4"/>
    <w:rsid w:val="009C0904"/>
    <w:rsid w:val="009C0F87"/>
    <w:rsid w:val="009C2AED"/>
    <w:rsid w:val="009C2EB3"/>
    <w:rsid w:val="009C3AF3"/>
    <w:rsid w:val="009C3C59"/>
    <w:rsid w:val="009C3D26"/>
    <w:rsid w:val="009C40FB"/>
    <w:rsid w:val="009C41D5"/>
    <w:rsid w:val="009C4360"/>
    <w:rsid w:val="009C44A7"/>
    <w:rsid w:val="009C491E"/>
    <w:rsid w:val="009C4A09"/>
    <w:rsid w:val="009C4FBC"/>
    <w:rsid w:val="009C50BB"/>
    <w:rsid w:val="009C5510"/>
    <w:rsid w:val="009C59F0"/>
    <w:rsid w:val="009C5AE0"/>
    <w:rsid w:val="009C5D9B"/>
    <w:rsid w:val="009C5E4D"/>
    <w:rsid w:val="009C614D"/>
    <w:rsid w:val="009C6418"/>
    <w:rsid w:val="009C69FE"/>
    <w:rsid w:val="009C6D0C"/>
    <w:rsid w:val="009C7490"/>
    <w:rsid w:val="009C7B19"/>
    <w:rsid w:val="009C7EAD"/>
    <w:rsid w:val="009D00FF"/>
    <w:rsid w:val="009D0531"/>
    <w:rsid w:val="009D07D9"/>
    <w:rsid w:val="009D07E1"/>
    <w:rsid w:val="009D09CF"/>
    <w:rsid w:val="009D0FC1"/>
    <w:rsid w:val="009D1102"/>
    <w:rsid w:val="009D12D1"/>
    <w:rsid w:val="009D12F4"/>
    <w:rsid w:val="009D1494"/>
    <w:rsid w:val="009D1886"/>
    <w:rsid w:val="009D195A"/>
    <w:rsid w:val="009D1AE9"/>
    <w:rsid w:val="009D1B6C"/>
    <w:rsid w:val="009D217A"/>
    <w:rsid w:val="009D21A0"/>
    <w:rsid w:val="009D24AD"/>
    <w:rsid w:val="009D293F"/>
    <w:rsid w:val="009D2946"/>
    <w:rsid w:val="009D2C26"/>
    <w:rsid w:val="009D3671"/>
    <w:rsid w:val="009D3A3F"/>
    <w:rsid w:val="009D46BE"/>
    <w:rsid w:val="009D4DF3"/>
    <w:rsid w:val="009D50C4"/>
    <w:rsid w:val="009D51D1"/>
    <w:rsid w:val="009D5282"/>
    <w:rsid w:val="009D52A3"/>
    <w:rsid w:val="009D55DC"/>
    <w:rsid w:val="009D5868"/>
    <w:rsid w:val="009D5886"/>
    <w:rsid w:val="009D5C7B"/>
    <w:rsid w:val="009D5F60"/>
    <w:rsid w:val="009D5FE6"/>
    <w:rsid w:val="009D6406"/>
    <w:rsid w:val="009D6A2B"/>
    <w:rsid w:val="009D6A61"/>
    <w:rsid w:val="009D6C7C"/>
    <w:rsid w:val="009D6CF3"/>
    <w:rsid w:val="009D7018"/>
    <w:rsid w:val="009D7756"/>
    <w:rsid w:val="009D7843"/>
    <w:rsid w:val="009D7E55"/>
    <w:rsid w:val="009D7E70"/>
    <w:rsid w:val="009E001C"/>
    <w:rsid w:val="009E0B10"/>
    <w:rsid w:val="009E0CF4"/>
    <w:rsid w:val="009E0DBD"/>
    <w:rsid w:val="009E14C7"/>
    <w:rsid w:val="009E176E"/>
    <w:rsid w:val="009E1886"/>
    <w:rsid w:val="009E20EC"/>
    <w:rsid w:val="009E2146"/>
    <w:rsid w:val="009E2476"/>
    <w:rsid w:val="009E2508"/>
    <w:rsid w:val="009E29F0"/>
    <w:rsid w:val="009E3144"/>
    <w:rsid w:val="009E3AA5"/>
    <w:rsid w:val="009E3B1E"/>
    <w:rsid w:val="009E464B"/>
    <w:rsid w:val="009E464E"/>
    <w:rsid w:val="009E4E12"/>
    <w:rsid w:val="009E50FA"/>
    <w:rsid w:val="009E5244"/>
    <w:rsid w:val="009E5261"/>
    <w:rsid w:val="009E5917"/>
    <w:rsid w:val="009E5B45"/>
    <w:rsid w:val="009E5F2D"/>
    <w:rsid w:val="009E62D1"/>
    <w:rsid w:val="009E6549"/>
    <w:rsid w:val="009E66A1"/>
    <w:rsid w:val="009E69C5"/>
    <w:rsid w:val="009E6D59"/>
    <w:rsid w:val="009E7255"/>
    <w:rsid w:val="009E7E10"/>
    <w:rsid w:val="009F02D2"/>
    <w:rsid w:val="009F075B"/>
    <w:rsid w:val="009F0B1F"/>
    <w:rsid w:val="009F0C29"/>
    <w:rsid w:val="009F0E46"/>
    <w:rsid w:val="009F0EDC"/>
    <w:rsid w:val="009F1274"/>
    <w:rsid w:val="009F1831"/>
    <w:rsid w:val="009F1994"/>
    <w:rsid w:val="009F1B65"/>
    <w:rsid w:val="009F1CE9"/>
    <w:rsid w:val="009F2F18"/>
    <w:rsid w:val="009F311A"/>
    <w:rsid w:val="009F3127"/>
    <w:rsid w:val="009F34B4"/>
    <w:rsid w:val="009F3588"/>
    <w:rsid w:val="009F365F"/>
    <w:rsid w:val="009F3900"/>
    <w:rsid w:val="009F3909"/>
    <w:rsid w:val="009F3E55"/>
    <w:rsid w:val="009F3F48"/>
    <w:rsid w:val="009F3FF8"/>
    <w:rsid w:val="009F40E4"/>
    <w:rsid w:val="009F41E5"/>
    <w:rsid w:val="009F4207"/>
    <w:rsid w:val="009F4826"/>
    <w:rsid w:val="009F5570"/>
    <w:rsid w:val="009F563E"/>
    <w:rsid w:val="009F5CDB"/>
    <w:rsid w:val="009F5EBC"/>
    <w:rsid w:val="009F6158"/>
    <w:rsid w:val="009F65E9"/>
    <w:rsid w:val="009F67E5"/>
    <w:rsid w:val="009F686B"/>
    <w:rsid w:val="009F69C2"/>
    <w:rsid w:val="009F72DA"/>
    <w:rsid w:val="009F72E0"/>
    <w:rsid w:val="009F771E"/>
    <w:rsid w:val="009F7D16"/>
    <w:rsid w:val="009F7F47"/>
    <w:rsid w:val="009F7F64"/>
    <w:rsid w:val="00A0008D"/>
    <w:rsid w:val="00A00090"/>
    <w:rsid w:val="00A00947"/>
    <w:rsid w:val="00A00B95"/>
    <w:rsid w:val="00A00BC5"/>
    <w:rsid w:val="00A010C4"/>
    <w:rsid w:val="00A0130E"/>
    <w:rsid w:val="00A01377"/>
    <w:rsid w:val="00A01444"/>
    <w:rsid w:val="00A021DE"/>
    <w:rsid w:val="00A021EA"/>
    <w:rsid w:val="00A028E7"/>
    <w:rsid w:val="00A02916"/>
    <w:rsid w:val="00A02B5F"/>
    <w:rsid w:val="00A03440"/>
    <w:rsid w:val="00A03659"/>
    <w:rsid w:val="00A03773"/>
    <w:rsid w:val="00A03B73"/>
    <w:rsid w:val="00A03B80"/>
    <w:rsid w:val="00A03C76"/>
    <w:rsid w:val="00A03CDC"/>
    <w:rsid w:val="00A040C4"/>
    <w:rsid w:val="00A041DE"/>
    <w:rsid w:val="00A04213"/>
    <w:rsid w:val="00A04422"/>
    <w:rsid w:val="00A0454F"/>
    <w:rsid w:val="00A046F1"/>
    <w:rsid w:val="00A0482D"/>
    <w:rsid w:val="00A04B83"/>
    <w:rsid w:val="00A0552D"/>
    <w:rsid w:val="00A056DC"/>
    <w:rsid w:val="00A05817"/>
    <w:rsid w:val="00A05C34"/>
    <w:rsid w:val="00A05C84"/>
    <w:rsid w:val="00A06220"/>
    <w:rsid w:val="00A062FF"/>
    <w:rsid w:val="00A067D0"/>
    <w:rsid w:val="00A06A54"/>
    <w:rsid w:val="00A06B5F"/>
    <w:rsid w:val="00A06B7F"/>
    <w:rsid w:val="00A074F9"/>
    <w:rsid w:val="00A0797B"/>
    <w:rsid w:val="00A07CAC"/>
    <w:rsid w:val="00A07D03"/>
    <w:rsid w:val="00A07E7E"/>
    <w:rsid w:val="00A109B8"/>
    <w:rsid w:val="00A10A37"/>
    <w:rsid w:val="00A10D5A"/>
    <w:rsid w:val="00A10F5D"/>
    <w:rsid w:val="00A11011"/>
    <w:rsid w:val="00A1127E"/>
    <w:rsid w:val="00A113CC"/>
    <w:rsid w:val="00A11453"/>
    <w:rsid w:val="00A1180C"/>
    <w:rsid w:val="00A11D48"/>
    <w:rsid w:val="00A11E37"/>
    <w:rsid w:val="00A11F3F"/>
    <w:rsid w:val="00A1204E"/>
    <w:rsid w:val="00A1205E"/>
    <w:rsid w:val="00A127FD"/>
    <w:rsid w:val="00A12F88"/>
    <w:rsid w:val="00A13482"/>
    <w:rsid w:val="00A1357F"/>
    <w:rsid w:val="00A1366C"/>
    <w:rsid w:val="00A15424"/>
    <w:rsid w:val="00A16760"/>
    <w:rsid w:val="00A16A1C"/>
    <w:rsid w:val="00A16EAC"/>
    <w:rsid w:val="00A16EE9"/>
    <w:rsid w:val="00A16F3C"/>
    <w:rsid w:val="00A17DAC"/>
    <w:rsid w:val="00A206BB"/>
    <w:rsid w:val="00A21040"/>
    <w:rsid w:val="00A213A1"/>
    <w:rsid w:val="00A2193B"/>
    <w:rsid w:val="00A2196B"/>
    <w:rsid w:val="00A21A3E"/>
    <w:rsid w:val="00A22316"/>
    <w:rsid w:val="00A22863"/>
    <w:rsid w:val="00A228DD"/>
    <w:rsid w:val="00A23121"/>
    <w:rsid w:val="00A23123"/>
    <w:rsid w:val="00A2325B"/>
    <w:rsid w:val="00A233D8"/>
    <w:rsid w:val="00A23516"/>
    <w:rsid w:val="00A235B4"/>
    <w:rsid w:val="00A23A10"/>
    <w:rsid w:val="00A23BBD"/>
    <w:rsid w:val="00A240E5"/>
    <w:rsid w:val="00A241B8"/>
    <w:rsid w:val="00A24477"/>
    <w:rsid w:val="00A245AD"/>
    <w:rsid w:val="00A24693"/>
    <w:rsid w:val="00A24B79"/>
    <w:rsid w:val="00A252DD"/>
    <w:rsid w:val="00A252E5"/>
    <w:rsid w:val="00A2540A"/>
    <w:rsid w:val="00A25920"/>
    <w:rsid w:val="00A26603"/>
    <w:rsid w:val="00A26DAA"/>
    <w:rsid w:val="00A26F65"/>
    <w:rsid w:val="00A27463"/>
    <w:rsid w:val="00A274E0"/>
    <w:rsid w:val="00A27997"/>
    <w:rsid w:val="00A301A5"/>
    <w:rsid w:val="00A302F4"/>
    <w:rsid w:val="00A3035A"/>
    <w:rsid w:val="00A305C7"/>
    <w:rsid w:val="00A30606"/>
    <w:rsid w:val="00A3104C"/>
    <w:rsid w:val="00A314B2"/>
    <w:rsid w:val="00A317E4"/>
    <w:rsid w:val="00A31A20"/>
    <w:rsid w:val="00A31A42"/>
    <w:rsid w:val="00A31D04"/>
    <w:rsid w:val="00A32403"/>
    <w:rsid w:val="00A32538"/>
    <w:rsid w:val="00A32B8F"/>
    <w:rsid w:val="00A335E2"/>
    <w:rsid w:val="00A337A6"/>
    <w:rsid w:val="00A33ECE"/>
    <w:rsid w:val="00A33F73"/>
    <w:rsid w:val="00A3426F"/>
    <w:rsid w:val="00A34848"/>
    <w:rsid w:val="00A34A37"/>
    <w:rsid w:val="00A353ED"/>
    <w:rsid w:val="00A35675"/>
    <w:rsid w:val="00A3583A"/>
    <w:rsid w:val="00A359CE"/>
    <w:rsid w:val="00A361AD"/>
    <w:rsid w:val="00A36219"/>
    <w:rsid w:val="00A362BB"/>
    <w:rsid w:val="00A369F8"/>
    <w:rsid w:val="00A369FE"/>
    <w:rsid w:val="00A37287"/>
    <w:rsid w:val="00A3756F"/>
    <w:rsid w:val="00A3758E"/>
    <w:rsid w:val="00A3772D"/>
    <w:rsid w:val="00A378E8"/>
    <w:rsid w:val="00A37CF3"/>
    <w:rsid w:val="00A37CFA"/>
    <w:rsid w:val="00A37ECF"/>
    <w:rsid w:val="00A400D1"/>
    <w:rsid w:val="00A404BA"/>
    <w:rsid w:val="00A404DA"/>
    <w:rsid w:val="00A40661"/>
    <w:rsid w:val="00A4078B"/>
    <w:rsid w:val="00A40B31"/>
    <w:rsid w:val="00A40CBD"/>
    <w:rsid w:val="00A4100F"/>
    <w:rsid w:val="00A415EB"/>
    <w:rsid w:val="00A4179D"/>
    <w:rsid w:val="00A41955"/>
    <w:rsid w:val="00A41AA0"/>
    <w:rsid w:val="00A41B64"/>
    <w:rsid w:val="00A41D71"/>
    <w:rsid w:val="00A422FD"/>
    <w:rsid w:val="00A425B8"/>
    <w:rsid w:val="00A4260A"/>
    <w:rsid w:val="00A426A0"/>
    <w:rsid w:val="00A427BF"/>
    <w:rsid w:val="00A427FA"/>
    <w:rsid w:val="00A42A33"/>
    <w:rsid w:val="00A42B96"/>
    <w:rsid w:val="00A4317F"/>
    <w:rsid w:val="00A43189"/>
    <w:rsid w:val="00A431D1"/>
    <w:rsid w:val="00A434CA"/>
    <w:rsid w:val="00A4392D"/>
    <w:rsid w:val="00A43C16"/>
    <w:rsid w:val="00A4405C"/>
    <w:rsid w:val="00A447B8"/>
    <w:rsid w:val="00A447C4"/>
    <w:rsid w:val="00A44D16"/>
    <w:rsid w:val="00A4501E"/>
    <w:rsid w:val="00A451B1"/>
    <w:rsid w:val="00A454B3"/>
    <w:rsid w:val="00A45A42"/>
    <w:rsid w:val="00A45B8B"/>
    <w:rsid w:val="00A45CC1"/>
    <w:rsid w:val="00A46237"/>
    <w:rsid w:val="00A464B0"/>
    <w:rsid w:val="00A46938"/>
    <w:rsid w:val="00A469A0"/>
    <w:rsid w:val="00A46D82"/>
    <w:rsid w:val="00A47087"/>
    <w:rsid w:val="00A470AA"/>
    <w:rsid w:val="00A47430"/>
    <w:rsid w:val="00A47489"/>
    <w:rsid w:val="00A475C1"/>
    <w:rsid w:val="00A479BC"/>
    <w:rsid w:val="00A5027E"/>
    <w:rsid w:val="00A5099F"/>
    <w:rsid w:val="00A50BC5"/>
    <w:rsid w:val="00A50C52"/>
    <w:rsid w:val="00A51059"/>
    <w:rsid w:val="00A5115A"/>
    <w:rsid w:val="00A511FF"/>
    <w:rsid w:val="00A51C78"/>
    <w:rsid w:val="00A51FBB"/>
    <w:rsid w:val="00A52166"/>
    <w:rsid w:val="00A52595"/>
    <w:rsid w:val="00A52DE7"/>
    <w:rsid w:val="00A52DEE"/>
    <w:rsid w:val="00A52E16"/>
    <w:rsid w:val="00A52F8B"/>
    <w:rsid w:val="00A53545"/>
    <w:rsid w:val="00A53C6F"/>
    <w:rsid w:val="00A53FA8"/>
    <w:rsid w:val="00A53FB1"/>
    <w:rsid w:val="00A5400C"/>
    <w:rsid w:val="00A5434A"/>
    <w:rsid w:val="00A5435F"/>
    <w:rsid w:val="00A54777"/>
    <w:rsid w:val="00A54C5A"/>
    <w:rsid w:val="00A54CAC"/>
    <w:rsid w:val="00A54E2A"/>
    <w:rsid w:val="00A553DF"/>
    <w:rsid w:val="00A557EE"/>
    <w:rsid w:val="00A55858"/>
    <w:rsid w:val="00A563B0"/>
    <w:rsid w:val="00A56706"/>
    <w:rsid w:val="00A56750"/>
    <w:rsid w:val="00A5678F"/>
    <w:rsid w:val="00A56A87"/>
    <w:rsid w:val="00A56B0E"/>
    <w:rsid w:val="00A56E43"/>
    <w:rsid w:val="00A57AF8"/>
    <w:rsid w:val="00A60401"/>
    <w:rsid w:val="00A60519"/>
    <w:rsid w:val="00A606DF"/>
    <w:rsid w:val="00A60AB9"/>
    <w:rsid w:val="00A60AE4"/>
    <w:rsid w:val="00A60E02"/>
    <w:rsid w:val="00A610D3"/>
    <w:rsid w:val="00A61E96"/>
    <w:rsid w:val="00A626A5"/>
    <w:rsid w:val="00A633BC"/>
    <w:rsid w:val="00A63444"/>
    <w:rsid w:val="00A63EA4"/>
    <w:rsid w:val="00A63FC1"/>
    <w:rsid w:val="00A64070"/>
    <w:rsid w:val="00A64118"/>
    <w:rsid w:val="00A645BC"/>
    <w:rsid w:val="00A645C5"/>
    <w:rsid w:val="00A64690"/>
    <w:rsid w:val="00A647DF"/>
    <w:rsid w:val="00A6500B"/>
    <w:rsid w:val="00A65887"/>
    <w:rsid w:val="00A6596E"/>
    <w:rsid w:val="00A65C92"/>
    <w:rsid w:val="00A65F66"/>
    <w:rsid w:val="00A663C2"/>
    <w:rsid w:val="00A666BF"/>
    <w:rsid w:val="00A668F6"/>
    <w:rsid w:val="00A66DEB"/>
    <w:rsid w:val="00A66EEE"/>
    <w:rsid w:val="00A6761E"/>
    <w:rsid w:val="00A67A55"/>
    <w:rsid w:val="00A67BA9"/>
    <w:rsid w:val="00A70759"/>
    <w:rsid w:val="00A7075D"/>
    <w:rsid w:val="00A707CB"/>
    <w:rsid w:val="00A70823"/>
    <w:rsid w:val="00A708A5"/>
    <w:rsid w:val="00A708FA"/>
    <w:rsid w:val="00A70F64"/>
    <w:rsid w:val="00A70FC8"/>
    <w:rsid w:val="00A715ED"/>
    <w:rsid w:val="00A7185E"/>
    <w:rsid w:val="00A71A53"/>
    <w:rsid w:val="00A71EDC"/>
    <w:rsid w:val="00A722EC"/>
    <w:rsid w:val="00A7232C"/>
    <w:rsid w:val="00A726F0"/>
    <w:rsid w:val="00A7299B"/>
    <w:rsid w:val="00A72A1A"/>
    <w:rsid w:val="00A72B82"/>
    <w:rsid w:val="00A72FA5"/>
    <w:rsid w:val="00A73527"/>
    <w:rsid w:val="00A73C82"/>
    <w:rsid w:val="00A74393"/>
    <w:rsid w:val="00A74507"/>
    <w:rsid w:val="00A745D3"/>
    <w:rsid w:val="00A74656"/>
    <w:rsid w:val="00A747DE"/>
    <w:rsid w:val="00A74D9E"/>
    <w:rsid w:val="00A75F22"/>
    <w:rsid w:val="00A760DE"/>
    <w:rsid w:val="00A76CBD"/>
    <w:rsid w:val="00A76DAE"/>
    <w:rsid w:val="00A76E4C"/>
    <w:rsid w:val="00A771FA"/>
    <w:rsid w:val="00A775FB"/>
    <w:rsid w:val="00A7767B"/>
    <w:rsid w:val="00A779CA"/>
    <w:rsid w:val="00A77C87"/>
    <w:rsid w:val="00A8027C"/>
    <w:rsid w:val="00A80381"/>
    <w:rsid w:val="00A807BA"/>
    <w:rsid w:val="00A80851"/>
    <w:rsid w:val="00A80B84"/>
    <w:rsid w:val="00A81482"/>
    <w:rsid w:val="00A819B0"/>
    <w:rsid w:val="00A819D2"/>
    <w:rsid w:val="00A81DCD"/>
    <w:rsid w:val="00A81E76"/>
    <w:rsid w:val="00A82E1D"/>
    <w:rsid w:val="00A834CB"/>
    <w:rsid w:val="00A83FF9"/>
    <w:rsid w:val="00A8485B"/>
    <w:rsid w:val="00A84D2F"/>
    <w:rsid w:val="00A84E52"/>
    <w:rsid w:val="00A852EE"/>
    <w:rsid w:val="00A85E6E"/>
    <w:rsid w:val="00A863D4"/>
    <w:rsid w:val="00A863D5"/>
    <w:rsid w:val="00A865BC"/>
    <w:rsid w:val="00A87373"/>
    <w:rsid w:val="00A87467"/>
    <w:rsid w:val="00A8748A"/>
    <w:rsid w:val="00A8786B"/>
    <w:rsid w:val="00A87A4F"/>
    <w:rsid w:val="00A90172"/>
    <w:rsid w:val="00A90199"/>
    <w:rsid w:val="00A903BB"/>
    <w:rsid w:val="00A905B6"/>
    <w:rsid w:val="00A90BFC"/>
    <w:rsid w:val="00A91997"/>
    <w:rsid w:val="00A91D95"/>
    <w:rsid w:val="00A91E3C"/>
    <w:rsid w:val="00A920EF"/>
    <w:rsid w:val="00A925AE"/>
    <w:rsid w:val="00A926FE"/>
    <w:rsid w:val="00A928A5"/>
    <w:rsid w:val="00A93139"/>
    <w:rsid w:val="00A93C83"/>
    <w:rsid w:val="00A93E06"/>
    <w:rsid w:val="00A93F4A"/>
    <w:rsid w:val="00A943BD"/>
    <w:rsid w:val="00A953B5"/>
    <w:rsid w:val="00A955C4"/>
    <w:rsid w:val="00A95A62"/>
    <w:rsid w:val="00A95AA1"/>
    <w:rsid w:val="00A95AB5"/>
    <w:rsid w:val="00A960CC"/>
    <w:rsid w:val="00A96562"/>
    <w:rsid w:val="00A969EF"/>
    <w:rsid w:val="00A96CA9"/>
    <w:rsid w:val="00A96EA7"/>
    <w:rsid w:val="00A970AB"/>
    <w:rsid w:val="00A97205"/>
    <w:rsid w:val="00A972FF"/>
    <w:rsid w:val="00A97305"/>
    <w:rsid w:val="00A97535"/>
    <w:rsid w:val="00A9772D"/>
    <w:rsid w:val="00A97AC2"/>
    <w:rsid w:val="00A97AF6"/>
    <w:rsid w:val="00A97DDE"/>
    <w:rsid w:val="00AA0429"/>
    <w:rsid w:val="00AA06C6"/>
    <w:rsid w:val="00AA0849"/>
    <w:rsid w:val="00AA0FB9"/>
    <w:rsid w:val="00AA12C4"/>
    <w:rsid w:val="00AA25F9"/>
    <w:rsid w:val="00AA2685"/>
    <w:rsid w:val="00AA2D73"/>
    <w:rsid w:val="00AA2E8A"/>
    <w:rsid w:val="00AA3306"/>
    <w:rsid w:val="00AA3C09"/>
    <w:rsid w:val="00AA3CDA"/>
    <w:rsid w:val="00AA411F"/>
    <w:rsid w:val="00AA42B0"/>
    <w:rsid w:val="00AA444B"/>
    <w:rsid w:val="00AA45BA"/>
    <w:rsid w:val="00AA4990"/>
    <w:rsid w:val="00AA515E"/>
    <w:rsid w:val="00AA549D"/>
    <w:rsid w:val="00AA56CD"/>
    <w:rsid w:val="00AA5CE5"/>
    <w:rsid w:val="00AA5D92"/>
    <w:rsid w:val="00AA5EE2"/>
    <w:rsid w:val="00AA61B9"/>
    <w:rsid w:val="00AA6789"/>
    <w:rsid w:val="00AA67AB"/>
    <w:rsid w:val="00AA69B0"/>
    <w:rsid w:val="00AA6E9A"/>
    <w:rsid w:val="00AA6F18"/>
    <w:rsid w:val="00AA70DE"/>
    <w:rsid w:val="00AA718A"/>
    <w:rsid w:val="00AA74A0"/>
    <w:rsid w:val="00AA790B"/>
    <w:rsid w:val="00AA7F68"/>
    <w:rsid w:val="00AB00AD"/>
    <w:rsid w:val="00AB01AF"/>
    <w:rsid w:val="00AB07A4"/>
    <w:rsid w:val="00AB0B30"/>
    <w:rsid w:val="00AB0B86"/>
    <w:rsid w:val="00AB10E0"/>
    <w:rsid w:val="00AB111C"/>
    <w:rsid w:val="00AB1236"/>
    <w:rsid w:val="00AB14B3"/>
    <w:rsid w:val="00AB1568"/>
    <w:rsid w:val="00AB180C"/>
    <w:rsid w:val="00AB2016"/>
    <w:rsid w:val="00AB220B"/>
    <w:rsid w:val="00AB2920"/>
    <w:rsid w:val="00AB2B15"/>
    <w:rsid w:val="00AB3486"/>
    <w:rsid w:val="00AB3546"/>
    <w:rsid w:val="00AB3A9E"/>
    <w:rsid w:val="00AB3B23"/>
    <w:rsid w:val="00AB425D"/>
    <w:rsid w:val="00AB4331"/>
    <w:rsid w:val="00AB46CC"/>
    <w:rsid w:val="00AB4A09"/>
    <w:rsid w:val="00AB4D10"/>
    <w:rsid w:val="00AB4D58"/>
    <w:rsid w:val="00AB57E9"/>
    <w:rsid w:val="00AB59BD"/>
    <w:rsid w:val="00AB6463"/>
    <w:rsid w:val="00AB657D"/>
    <w:rsid w:val="00AB659F"/>
    <w:rsid w:val="00AB6AD4"/>
    <w:rsid w:val="00AB7306"/>
    <w:rsid w:val="00AB753C"/>
    <w:rsid w:val="00AB7725"/>
    <w:rsid w:val="00AB7944"/>
    <w:rsid w:val="00AC00B5"/>
    <w:rsid w:val="00AC044C"/>
    <w:rsid w:val="00AC087B"/>
    <w:rsid w:val="00AC0B53"/>
    <w:rsid w:val="00AC0E34"/>
    <w:rsid w:val="00AC0FD8"/>
    <w:rsid w:val="00AC1594"/>
    <w:rsid w:val="00AC1732"/>
    <w:rsid w:val="00AC1BE3"/>
    <w:rsid w:val="00AC28CE"/>
    <w:rsid w:val="00AC2C2A"/>
    <w:rsid w:val="00AC34F7"/>
    <w:rsid w:val="00AC3B2F"/>
    <w:rsid w:val="00AC3EDD"/>
    <w:rsid w:val="00AC3F88"/>
    <w:rsid w:val="00AC403F"/>
    <w:rsid w:val="00AC44C2"/>
    <w:rsid w:val="00AC49E4"/>
    <w:rsid w:val="00AC51D9"/>
    <w:rsid w:val="00AC54A4"/>
    <w:rsid w:val="00AC5B00"/>
    <w:rsid w:val="00AC5FB5"/>
    <w:rsid w:val="00AC6085"/>
    <w:rsid w:val="00AC6823"/>
    <w:rsid w:val="00AC6936"/>
    <w:rsid w:val="00AC695A"/>
    <w:rsid w:val="00AC7757"/>
    <w:rsid w:val="00AC77EC"/>
    <w:rsid w:val="00AC78A3"/>
    <w:rsid w:val="00AC7A15"/>
    <w:rsid w:val="00AC7D26"/>
    <w:rsid w:val="00AD001E"/>
    <w:rsid w:val="00AD013F"/>
    <w:rsid w:val="00AD0157"/>
    <w:rsid w:val="00AD01B6"/>
    <w:rsid w:val="00AD0418"/>
    <w:rsid w:val="00AD0A65"/>
    <w:rsid w:val="00AD0ED3"/>
    <w:rsid w:val="00AD1041"/>
    <w:rsid w:val="00AD15D6"/>
    <w:rsid w:val="00AD1C7D"/>
    <w:rsid w:val="00AD1E45"/>
    <w:rsid w:val="00AD2479"/>
    <w:rsid w:val="00AD2B30"/>
    <w:rsid w:val="00AD3219"/>
    <w:rsid w:val="00AD33D4"/>
    <w:rsid w:val="00AD3FDC"/>
    <w:rsid w:val="00AD44F6"/>
    <w:rsid w:val="00AD460F"/>
    <w:rsid w:val="00AD48AB"/>
    <w:rsid w:val="00AD49F0"/>
    <w:rsid w:val="00AD4BA6"/>
    <w:rsid w:val="00AD4E7F"/>
    <w:rsid w:val="00AD4EC8"/>
    <w:rsid w:val="00AD5A21"/>
    <w:rsid w:val="00AD5DE6"/>
    <w:rsid w:val="00AD6092"/>
    <w:rsid w:val="00AD657C"/>
    <w:rsid w:val="00AD673B"/>
    <w:rsid w:val="00AD6949"/>
    <w:rsid w:val="00AD6BB3"/>
    <w:rsid w:val="00AD6BD7"/>
    <w:rsid w:val="00AD6CDB"/>
    <w:rsid w:val="00AD737E"/>
    <w:rsid w:val="00AD73A8"/>
    <w:rsid w:val="00AD776B"/>
    <w:rsid w:val="00AE024E"/>
    <w:rsid w:val="00AE06FD"/>
    <w:rsid w:val="00AE096D"/>
    <w:rsid w:val="00AE0D5A"/>
    <w:rsid w:val="00AE13B1"/>
    <w:rsid w:val="00AE17B5"/>
    <w:rsid w:val="00AE1A34"/>
    <w:rsid w:val="00AE254C"/>
    <w:rsid w:val="00AE2DDB"/>
    <w:rsid w:val="00AE33C9"/>
    <w:rsid w:val="00AE355A"/>
    <w:rsid w:val="00AE356B"/>
    <w:rsid w:val="00AE3935"/>
    <w:rsid w:val="00AE3B8C"/>
    <w:rsid w:val="00AE3F62"/>
    <w:rsid w:val="00AE4318"/>
    <w:rsid w:val="00AE4530"/>
    <w:rsid w:val="00AE4557"/>
    <w:rsid w:val="00AE4805"/>
    <w:rsid w:val="00AE497E"/>
    <w:rsid w:val="00AE4B84"/>
    <w:rsid w:val="00AE4D51"/>
    <w:rsid w:val="00AE4F38"/>
    <w:rsid w:val="00AE4F8E"/>
    <w:rsid w:val="00AE590B"/>
    <w:rsid w:val="00AE5AC4"/>
    <w:rsid w:val="00AE5CC4"/>
    <w:rsid w:val="00AE621B"/>
    <w:rsid w:val="00AE6635"/>
    <w:rsid w:val="00AE67D9"/>
    <w:rsid w:val="00AE6F63"/>
    <w:rsid w:val="00AE7201"/>
    <w:rsid w:val="00AF0122"/>
    <w:rsid w:val="00AF0209"/>
    <w:rsid w:val="00AF021E"/>
    <w:rsid w:val="00AF059C"/>
    <w:rsid w:val="00AF0DBE"/>
    <w:rsid w:val="00AF1450"/>
    <w:rsid w:val="00AF1CA7"/>
    <w:rsid w:val="00AF1D4D"/>
    <w:rsid w:val="00AF1FAE"/>
    <w:rsid w:val="00AF2B49"/>
    <w:rsid w:val="00AF2D07"/>
    <w:rsid w:val="00AF2DFB"/>
    <w:rsid w:val="00AF2E34"/>
    <w:rsid w:val="00AF39A5"/>
    <w:rsid w:val="00AF3C3C"/>
    <w:rsid w:val="00AF4B55"/>
    <w:rsid w:val="00AF524C"/>
    <w:rsid w:val="00AF56CE"/>
    <w:rsid w:val="00AF5D4C"/>
    <w:rsid w:val="00AF6483"/>
    <w:rsid w:val="00AF65E4"/>
    <w:rsid w:val="00AF6878"/>
    <w:rsid w:val="00AF69D3"/>
    <w:rsid w:val="00AF6C6E"/>
    <w:rsid w:val="00AF72D3"/>
    <w:rsid w:val="00AF7417"/>
    <w:rsid w:val="00B0097E"/>
    <w:rsid w:val="00B00A69"/>
    <w:rsid w:val="00B00CD3"/>
    <w:rsid w:val="00B00D4F"/>
    <w:rsid w:val="00B01225"/>
    <w:rsid w:val="00B01450"/>
    <w:rsid w:val="00B014FF"/>
    <w:rsid w:val="00B015BA"/>
    <w:rsid w:val="00B018B4"/>
    <w:rsid w:val="00B01B7B"/>
    <w:rsid w:val="00B02112"/>
    <w:rsid w:val="00B02513"/>
    <w:rsid w:val="00B02933"/>
    <w:rsid w:val="00B02C1A"/>
    <w:rsid w:val="00B02EBA"/>
    <w:rsid w:val="00B02EDF"/>
    <w:rsid w:val="00B030EE"/>
    <w:rsid w:val="00B03669"/>
    <w:rsid w:val="00B03672"/>
    <w:rsid w:val="00B03697"/>
    <w:rsid w:val="00B03E1B"/>
    <w:rsid w:val="00B03F31"/>
    <w:rsid w:val="00B04638"/>
    <w:rsid w:val="00B047FD"/>
    <w:rsid w:val="00B048EE"/>
    <w:rsid w:val="00B04D8E"/>
    <w:rsid w:val="00B05151"/>
    <w:rsid w:val="00B053E2"/>
    <w:rsid w:val="00B0557B"/>
    <w:rsid w:val="00B055F2"/>
    <w:rsid w:val="00B057F1"/>
    <w:rsid w:val="00B05A23"/>
    <w:rsid w:val="00B05D0C"/>
    <w:rsid w:val="00B06684"/>
    <w:rsid w:val="00B0689D"/>
    <w:rsid w:val="00B06C0F"/>
    <w:rsid w:val="00B077C6"/>
    <w:rsid w:val="00B079EA"/>
    <w:rsid w:val="00B104C5"/>
    <w:rsid w:val="00B1063C"/>
    <w:rsid w:val="00B107E4"/>
    <w:rsid w:val="00B116A1"/>
    <w:rsid w:val="00B11922"/>
    <w:rsid w:val="00B11C25"/>
    <w:rsid w:val="00B11C68"/>
    <w:rsid w:val="00B11D6F"/>
    <w:rsid w:val="00B12282"/>
    <w:rsid w:val="00B12439"/>
    <w:rsid w:val="00B126D4"/>
    <w:rsid w:val="00B12F81"/>
    <w:rsid w:val="00B132AB"/>
    <w:rsid w:val="00B135C5"/>
    <w:rsid w:val="00B13A34"/>
    <w:rsid w:val="00B13DDB"/>
    <w:rsid w:val="00B144A6"/>
    <w:rsid w:val="00B144C2"/>
    <w:rsid w:val="00B14790"/>
    <w:rsid w:val="00B147BE"/>
    <w:rsid w:val="00B14AC1"/>
    <w:rsid w:val="00B14F7C"/>
    <w:rsid w:val="00B1509C"/>
    <w:rsid w:val="00B154CE"/>
    <w:rsid w:val="00B15601"/>
    <w:rsid w:val="00B15882"/>
    <w:rsid w:val="00B159B8"/>
    <w:rsid w:val="00B15C29"/>
    <w:rsid w:val="00B169C7"/>
    <w:rsid w:val="00B16A04"/>
    <w:rsid w:val="00B16DCF"/>
    <w:rsid w:val="00B16E2A"/>
    <w:rsid w:val="00B173BF"/>
    <w:rsid w:val="00B1757E"/>
    <w:rsid w:val="00B17B86"/>
    <w:rsid w:val="00B17C8A"/>
    <w:rsid w:val="00B17E6B"/>
    <w:rsid w:val="00B20034"/>
    <w:rsid w:val="00B20C6D"/>
    <w:rsid w:val="00B20E46"/>
    <w:rsid w:val="00B21723"/>
    <w:rsid w:val="00B21BAA"/>
    <w:rsid w:val="00B21DD8"/>
    <w:rsid w:val="00B21EC1"/>
    <w:rsid w:val="00B22927"/>
    <w:rsid w:val="00B231D5"/>
    <w:rsid w:val="00B2337B"/>
    <w:rsid w:val="00B23B02"/>
    <w:rsid w:val="00B23C5A"/>
    <w:rsid w:val="00B23FF5"/>
    <w:rsid w:val="00B24259"/>
    <w:rsid w:val="00B2429B"/>
    <w:rsid w:val="00B24952"/>
    <w:rsid w:val="00B249D1"/>
    <w:rsid w:val="00B24C84"/>
    <w:rsid w:val="00B251D0"/>
    <w:rsid w:val="00B252B7"/>
    <w:rsid w:val="00B259F3"/>
    <w:rsid w:val="00B2666D"/>
    <w:rsid w:val="00B26BCE"/>
    <w:rsid w:val="00B26E74"/>
    <w:rsid w:val="00B27032"/>
    <w:rsid w:val="00B27385"/>
    <w:rsid w:val="00B276CF"/>
    <w:rsid w:val="00B27AC8"/>
    <w:rsid w:val="00B27F83"/>
    <w:rsid w:val="00B30594"/>
    <w:rsid w:val="00B3084D"/>
    <w:rsid w:val="00B30B2B"/>
    <w:rsid w:val="00B30D00"/>
    <w:rsid w:val="00B3126C"/>
    <w:rsid w:val="00B31313"/>
    <w:rsid w:val="00B31E47"/>
    <w:rsid w:val="00B31E53"/>
    <w:rsid w:val="00B31F0D"/>
    <w:rsid w:val="00B31F20"/>
    <w:rsid w:val="00B32144"/>
    <w:rsid w:val="00B321FE"/>
    <w:rsid w:val="00B329C4"/>
    <w:rsid w:val="00B32C99"/>
    <w:rsid w:val="00B330A4"/>
    <w:rsid w:val="00B33181"/>
    <w:rsid w:val="00B33234"/>
    <w:rsid w:val="00B33583"/>
    <w:rsid w:val="00B335C9"/>
    <w:rsid w:val="00B3365C"/>
    <w:rsid w:val="00B33844"/>
    <w:rsid w:val="00B3410E"/>
    <w:rsid w:val="00B34476"/>
    <w:rsid w:val="00B3468C"/>
    <w:rsid w:val="00B3476B"/>
    <w:rsid w:val="00B34C60"/>
    <w:rsid w:val="00B34FE5"/>
    <w:rsid w:val="00B354B6"/>
    <w:rsid w:val="00B357F9"/>
    <w:rsid w:val="00B35B85"/>
    <w:rsid w:val="00B35C56"/>
    <w:rsid w:val="00B36046"/>
    <w:rsid w:val="00B362F7"/>
    <w:rsid w:val="00B3638B"/>
    <w:rsid w:val="00B36637"/>
    <w:rsid w:val="00B368F1"/>
    <w:rsid w:val="00B3695E"/>
    <w:rsid w:val="00B36C84"/>
    <w:rsid w:val="00B36E9C"/>
    <w:rsid w:val="00B3732B"/>
    <w:rsid w:val="00B40278"/>
    <w:rsid w:val="00B40643"/>
    <w:rsid w:val="00B40B54"/>
    <w:rsid w:val="00B413EE"/>
    <w:rsid w:val="00B41661"/>
    <w:rsid w:val="00B41693"/>
    <w:rsid w:val="00B4176F"/>
    <w:rsid w:val="00B419E8"/>
    <w:rsid w:val="00B420F3"/>
    <w:rsid w:val="00B424EA"/>
    <w:rsid w:val="00B429E1"/>
    <w:rsid w:val="00B42CD2"/>
    <w:rsid w:val="00B42D53"/>
    <w:rsid w:val="00B42DE9"/>
    <w:rsid w:val="00B43900"/>
    <w:rsid w:val="00B43B9E"/>
    <w:rsid w:val="00B43C7A"/>
    <w:rsid w:val="00B43EFA"/>
    <w:rsid w:val="00B44787"/>
    <w:rsid w:val="00B453D3"/>
    <w:rsid w:val="00B4548D"/>
    <w:rsid w:val="00B456F0"/>
    <w:rsid w:val="00B45D9D"/>
    <w:rsid w:val="00B45E23"/>
    <w:rsid w:val="00B46225"/>
    <w:rsid w:val="00B46BF9"/>
    <w:rsid w:val="00B46BFB"/>
    <w:rsid w:val="00B476FC"/>
    <w:rsid w:val="00B47B91"/>
    <w:rsid w:val="00B47DD3"/>
    <w:rsid w:val="00B47E06"/>
    <w:rsid w:val="00B47F6A"/>
    <w:rsid w:val="00B50580"/>
    <w:rsid w:val="00B50BAC"/>
    <w:rsid w:val="00B50F2D"/>
    <w:rsid w:val="00B513ED"/>
    <w:rsid w:val="00B513FC"/>
    <w:rsid w:val="00B5159F"/>
    <w:rsid w:val="00B51845"/>
    <w:rsid w:val="00B51EB2"/>
    <w:rsid w:val="00B51EE2"/>
    <w:rsid w:val="00B520E6"/>
    <w:rsid w:val="00B524EE"/>
    <w:rsid w:val="00B52C2D"/>
    <w:rsid w:val="00B5348F"/>
    <w:rsid w:val="00B535B0"/>
    <w:rsid w:val="00B537F6"/>
    <w:rsid w:val="00B53817"/>
    <w:rsid w:val="00B53BC3"/>
    <w:rsid w:val="00B53D15"/>
    <w:rsid w:val="00B5413D"/>
    <w:rsid w:val="00B542B8"/>
    <w:rsid w:val="00B54668"/>
    <w:rsid w:val="00B54727"/>
    <w:rsid w:val="00B54874"/>
    <w:rsid w:val="00B54DCD"/>
    <w:rsid w:val="00B55137"/>
    <w:rsid w:val="00B55229"/>
    <w:rsid w:val="00B559FA"/>
    <w:rsid w:val="00B55BA8"/>
    <w:rsid w:val="00B55BDB"/>
    <w:rsid w:val="00B55DB0"/>
    <w:rsid w:val="00B55E3E"/>
    <w:rsid w:val="00B562D8"/>
    <w:rsid w:val="00B563E2"/>
    <w:rsid w:val="00B57459"/>
    <w:rsid w:val="00B575A3"/>
    <w:rsid w:val="00B57C2C"/>
    <w:rsid w:val="00B57F1C"/>
    <w:rsid w:val="00B602C6"/>
    <w:rsid w:val="00B604F5"/>
    <w:rsid w:val="00B606EA"/>
    <w:rsid w:val="00B60CB9"/>
    <w:rsid w:val="00B61255"/>
    <w:rsid w:val="00B6172D"/>
    <w:rsid w:val="00B61742"/>
    <w:rsid w:val="00B618DF"/>
    <w:rsid w:val="00B61C6C"/>
    <w:rsid w:val="00B61F45"/>
    <w:rsid w:val="00B628CD"/>
    <w:rsid w:val="00B628F4"/>
    <w:rsid w:val="00B6299D"/>
    <w:rsid w:val="00B633A8"/>
    <w:rsid w:val="00B636AB"/>
    <w:rsid w:val="00B63892"/>
    <w:rsid w:val="00B63B39"/>
    <w:rsid w:val="00B63CB6"/>
    <w:rsid w:val="00B63CF1"/>
    <w:rsid w:val="00B63E2C"/>
    <w:rsid w:val="00B64155"/>
    <w:rsid w:val="00B64333"/>
    <w:rsid w:val="00B646AD"/>
    <w:rsid w:val="00B647A6"/>
    <w:rsid w:val="00B64FE6"/>
    <w:rsid w:val="00B65627"/>
    <w:rsid w:val="00B6566F"/>
    <w:rsid w:val="00B65A78"/>
    <w:rsid w:val="00B65EC0"/>
    <w:rsid w:val="00B65EF8"/>
    <w:rsid w:val="00B6627C"/>
    <w:rsid w:val="00B66591"/>
    <w:rsid w:val="00B6689D"/>
    <w:rsid w:val="00B6753D"/>
    <w:rsid w:val="00B6754B"/>
    <w:rsid w:val="00B679B1"/>
    <w:rsid w:val="00B679C5"/>
    <w:rsid w:val="00B70368"/>
    <w:rsid w:val="00B70979"/>
    <w:rsid w:val="00B70B38"/>
    <w:rsid w:val="00B71229"/>
    <w:rsid w:val="00B712F6"/>
    <w:rsid w:val="00B71A69"/>
    <w:rsid w:val="00B7217E"/>
    <w:rsid w:val="00B727D5"/>
    <w:rsid w:val="00B72A5B"/>
    <w:rsid w:val="00B72B23"/>
    <w:rsid w:val="00B72CD1"/>
    <w:rsid w:val="00B72D21"/>
    <w:rsid w:val="00B73248"/>
    <w:rsid w:val="00B7364A"/>
    <w:rsid w:val="00B736A2"/>
    <w:rsid w:val="00B737F6"/>
    <w:rsid w:val="00B73C20"/>
    <w:rsid w:val="00B73CCD"/>
    <w:rsid w:val="00B73DED"/>
    <w:rsid w:val="00B73E5B"/>
    <w:rsid w:val="00B74587"/>
    <w:rsid w:val="00B74638"/>
    <w:rsid w:val="00B746F6"/>
    <w:rsid w:val="00B746FB"/>
    <w:rsid w:val="00B74762"/>
    <w:rsid w:val="00B7482F"/>
    <w:rsid w:val="00B74B4C"/>
    <w:rsid w:val="00B74C28"/>
    <w:rsid w:val="00B74CD0"/>
    <w:rsid w:val="00B752CB"/>
    <w:rsid w:val="00B75353"/>
    <w:rsid w:val="00B759BF"/>
    <w:rsid w:val="00B7623E"/>
    <w:rsid w:val="00B765BE"/>
    <w:rsid w:val="00B7670E"/>
    <w:rsid w:val="00B76CA1"/>
    <w:rsid w:val="00B76D07"/>
    <w:rsid w:val="00B76E6C"/>
    <w:rsid w:val="00B778EE"/>
    <w:rsid w:val="00B7790D"/>
    <w:rsid w:val="00B8062E"/>
    <w:rsid w:val="00B80F5E"/>
    <w:rsid w:val="00B813BF"/>
    <w:rsid w:val="00B8152C"/>
    <w:rsid w:val="00B8152E"/>
    <w:rsid w:val="00B81A98"/>
    <w:rsid w:val="00B81FCE"/>
    <w:rsid w:val="00B8221B"/>
    <w:rsid w:val="00B825AC"/>
    <w:rsid w:val="00B82637"/>
    <w:rsid w:val="00B82755"/>
    <w:rsid w:val="00B82AB9"/>
    <w:rsid w:val="00B831D0"/>
    <w:rsid w:val="00B835B2"/>
    <w:rsid w:val="00B83C4B"/>
    <w:rsid w:val="00B83C63"/>
    <w:rsid w:val="00B83F45"/>
    <w:rsid w:val="00B8412D"/>
    <w:rsid w:val="00B8422A"/>
    <w:rsid w:val="00B84249"/>
    <w:rsid w:val="00B846CB"/>
    <w:rsid w:val="00B8471F"/>
    <w:rsid w:val="00B8489E"/>
    <w:rsid w:val="00B84910"/>
    <w:rsid w:val="00B8520D"/>
    <w:rsid w:val="00B85884"/>
    <w:rsid w:val="00B85BBC"/>
    <w:rsid w:val="00B85F21"/>
    <w:rsid w:val="00B86329"/>
    <w:rsid w:val="00B8639A"/>
    <w:rsid w:val="00B86461"/>
    <w:rsid w:val="00B86903"/>
    <w:rsid w:val="00B8731E"/>
    <w:rsid w:val="00B8752C"/>
    <w:rsid w:val="00B87BB9"/>
    <w:rsid w:val="00B87CBE"/>
    <w:rsid w:val="00B90048"/>
    <w:rsid w:val="00B901D7"/>
    <w:rsid w:val="00B90BE8"/>
    <w:rsid w:val="00B90C56"/>
    <w:rsid w:val="00B91111"/>
    <w:rsid w:val="00B9123E"/>
    <w:rsid w:val="00B92199"/>
    <w:rsid w:val="00B92B5E"/>
    <w:rsid w:val="00B92BD7"/>
    <w:rsid w:val="00B930D6"/>
    <w:rsid w:val="00B93304"/>
    <w:rsid w:val="00B9345D"/>
    <w:rsid w:val="00B93FFF"/>
    <w:rsid w:val="00B94754"/>
    <w:rsid w:val="00B94B14"/>
    <w:rsid w:val="00B94FC0"/>
    <w:rsid w:val="00B95322"/>
    <w:rsid w:val="00B95352"/>
    <w:rsid w:val="00B9564C"/>
    <w:rsid w:val="00B95765"/>
    <w:rsid w:val="00B962B7"/>
    <w:rsid w:val="00B96360"/>
    <w:rsid w:val="00B96439"/>
    <w:rsid w:val="00B96602"/>
    <w:rsid w:val="00B9677C"/>
    <w:rsid w:val="00B96CFB"/>
    <w:rsid w:val="00B970A4"/>
    <w:rsid w:val="00B97832"/>
    <w:rsid w:val="00B97C51"/>
    <w:rsid w:val="00BA0746"/>
    <w:rsid w:val="00BA0A71"/>
    <w:rsid w:val="00BA0B6D"/>
    <w:rsid w:val="00BA11CF"/>
    <w:rsid w:val="00BA15EE"/>
    <w:rsid w:val="00BA18EF"/>
    <w:rsid w:val="00BA2048"/>
    <w:rsid w:val="00BA20E0"/>
    <w:rsid w:val="00BA2860"/>
    <w:rsid w:val="00BA28C6"/>
    <w:rsid w:val="00BA2BA5"/>
    <w:rsid w:val="00BA35A0"/>
    <w:rsid w:val="00BA37B9"/>
    <w:rsid w:val="00BA37D1"/>
    <w:rsid w:val="00BA3CD3"/>
    <w:rsid w:val="00BA3D16"/>
    <w:rsid w:val="00BA3E3B"/>
    <w:rsid w:val="00BA420E"/>
    <w:rsid w:val="00BA475E"/>
    <w:rsid w:val="00BA4AC3"/>
    <w:rsid w:val="00BA4CDC"/>
    <w:rsid w:val="00BA5761"/>
    <w:rsid w:val="00BA5977"/>
    <w:rsid w:val="00BA5E57"/>
    <w:rsid w:val="00BA68C3"/>
    <w:rsid w:val="00BA6932"/>
    <w:rsid w:val="00BA6D00"/>
    <w:rsid w:val="00BA6F69"/>
    <w:rsid w:val="00BA70F2"/>
    <w:rsid w:val="00BA72DA"/>
    <w:rsid w:val="00BA74DE"/>
    <w:rsid w:val="00BA7749"/>
    <w:rsid w:val="00BA7959"/>
    <w:rsid w:val="00BA7A8B"/>
    <w:rsid w:val="00BA7F00"/>
    <w:rsid w:val="00BB0C59"/>
    <w:rsid w:val="00BB12E3"/>
    <w:rsid w:val="00BB1633"/>
    <w:rsid w:val="00BB1874"/>
    <w:rsid w:val="00BB1ABD"/>
    <w:rsid w:val="00BB1CAB"/>
    <w:rsid w:val="00BB1CAD"/>
    <w:rsid w:val="00BB1D37"/>
    <w:rsid w:val="00BB1DA4"/>
    <w:rsid w:val="00BB2C09"/>
    <w:rsid w:val="00BB2DBA"/>
    <w:rsid w:val="00BB335F"/>
    <w:rsid w:val="00BB367E"/>
    <w:rsid w:val="00BB3C9A"/>
    <w:rsid w:val="00BB3EC6"/>
    <w:rsid w:val="00BB44BE"/>
    <w:rsid w:val="00BB4781"/>
    <w:rsid w:val="00BB47C0"/>
    <w:rsid w:val="00BB49AD"/>
    <w:rsid w:val="00BB4BE1"/>
    <w:rsid w:val="00BB4C5A"/>
    <w:rsid w:val="00BB4DA7"/>
    <w:rsid w:val="00BB4F22"/>
    <w:rsid w:val="00BB510F"/>
    <w:rsid w:val="00BB540F"/>
    <w:rsid w:val="00BB5884"/>
    <w:rsid w:val="00BB6A3B"/>
    <w:rsid w:val="00BB6D60"/>
    <w:rsid w:val="00BB6D90"/>
    <w:rsid w:val="00BB6FB0"/>
    <w:rsid w:val="00BB7EF1"/>
    <w:rsid w:val="00BC0059"/>
    <w:rsid w:val="00BC008A"/>
    <w:rsid w:val="00BC0BF6"/>
    <w:rsid w:val="00BC10FA"/>
    <w:rsid w:val="00BC116D"/>
    <w:rsid w:val="00BC11B4"/>
    <w:rsid w:val="00BC13FB"/>
    <w:rsid w:val="00BC1E74"/>
    <w:rsid w:val="00BC213C"/>
    <w:rsid w:val="00BC2165"/>
    <w:rsid w:val="00BC222F"/>
    <w:rsid w:val="00BC23F8"/>
    <w:rsid w:val="00BC243F"/>
    <w:rsid w:val="00BC27AE"/>
    <w:rsid w:val="00BC2934"/>
    <w:rsid w:val="00BC30CA"/>
    <w:rsid w:val="00BC338C"/>
    <w:rsid w:val="00BC3649"/>
    <w:rsid w:val="00BC3715"/>
    <w:rsid w:val="00BC402C"/>
    <w:rsid w:val="00BC413F"/>
    <w:rsid w:val="00BC415F"/>
    <w:rsid w:val="00BC42FB"/>
    <w:rsid w:val="00BC4675"/>
    <w:rsid w:val="00BC4763"/>
    <w:rsid w:val="00BC48BC"/>
    <w:rsid w:val="00BC4EED"/>
    <w:rsid w:val="00BC5389"/>
    <w:rsid w:val="00BC5892"/>
    <w:rsid w:val="00BC5A33"/>
    <w:rsid w:val="00BC6507"/>
    <w:rsid w:val="00BC687F"/>
    <w:rsid w:val="00BC6DA0"/>
    <w:rsid w:val="00BC6E84"/>
    <w:rsid w:val="00BC7533"/>
    <w:rsid w:val="00BC78A5"/>
    <w:rsid w:val="00BC7FF6"/>
    <w:rsid w:val="00BD08C9"/>
    <w:rsid w:val="00BD099C"/>
    <w:rsid w:val="00BD0CBA"/>
    <w:rsid w:val="00BD0F5F"/>
    <w:rsid w:val="00BD1378"/>
    <w:rsid w:val="00BD168D"/>
    <w:rsid w:val="00BD1BE0"/>
    <w:rsid w:val="00BD1CD3"/>
    <w:rsid w:val="00BD1FAC"/>
    <w:rsid w:val="00BD20F5"/>
    <w:rsid w:val="00BD270E"/>
    <w:rsid w:val="00BD2759"/>
    <w:rsid w:val="00BD2C52"/>
    <w:rsid w:val="00BD30BA"/>
    <w:rsid w:val="00BD3555"/>
    <w:rsid w:val="00BD35DA"/>
    <w:rsid w:val="00BD37A8"/>
    <w:rsid w:val="00BD39BD"/>
    <w:rsid w:val="00BD3D3A"/>
    <w:rsid w:val="00BD3D47"/>
    <w:rsid w:val="00BD4122"/>
    <w:rsid w:val="00BD42ED"/>
    <w:rsid w:val="00BD44A6"/>
    <w:rsid w:val="00BD44B3"/>
    <w:rsid w:val="00BD4DCB"/>
    <w:rsid w:val="00BD4DE4"/>
    <w:rsid w:val="00BD5523"/>
    <w:rsid w:val="00BD554B"/>
    <w:rsid w:val="00BD5987"/>
    <w:rsid w:val="00BD5C01"/>
    <w:rsid w:val="00BD630F"/>
    <w:rsid w:val="00BD734C"/>
    <w:rsid w:val="00BD7C79"/>
    <w:rsid w:val="00BD7CEB"/>
    <w:rsid w:val="00BE017F"/>
    <w:rsid w:val="00BE03BE"/>
    <w:rsid w:val="00BE06E6"/>
    <w:rsid w:val="00BE0909"/>
    <w:rsid w:val="00BE0FAC"/>
    <w:rsid w:val="00BE10D8"/>
    <w:rsid w:val="00BE12ED"/>
    <w:rsid w:val="00BE1829"/>
    <w:rsid w:val="00BE1833"/>
    <w:rsid w:val="00BE1C8C"/>
    <w:rsid w:val="00BE21A4"/>
    <w:rsid w:val="00BE276F"/>
    <w:rsid w:val="00BE299B"/>
    <w:rsid w:val="00BE29A8"/>
    <w:rsid w:val="00BE2DD0"/>
    <w:rsid w:val="00BE2FB2"/>
    <w:rsid w:val="00BE2FBF"/>
    <w:rsid w:val="00BE3378"/>
    <w:rsid w:val="00BE34A2"/>
    <w:rsid w:val="00BE3B33"/>
    <w:rsid w:val="00BE402A"/>
    <w:rsid w:val="00BE4425"/>
    <w:rsid w:val="00BE4675"/>
    <w:rsid w:val="00BE48C8"/>
    <w:rsid w:val="00BE4971"/>
    <w:rsid w:val="00BE4B15"/>
    <w:rsid w:val="00BE50A9"/>
    <w:rsid w:val="00BE54B3"/>
    <w:rsid w:val="00BE54EF"/>
    <w:rsid w:val="00BE5BCE"/>
    <w:rsid w:val="00BE5FE5"/>
    <w:rsid w:val="00BE60CE"/>
    <w:rsid w:val="00BE6174"/>
    <w:rsid w:val="00BE6276"/>
    <w:rsid w:val="00BE6653"/>
    <w:rsid w:val="00BE6C07"/>
    <w:rsid w:val="00BE73F4"/>
    <w:rsid w:val="00BE74BB"/>
    <w:rsid w:val="00BE7710"/>
    <w:rsid w:val="00BE77C5"/>
    <w:rsid w:val="00BE7BD0"/>
    <w:rsid w:val="00BE7C6B"/>
    <w:rsid w:val="00BF02B1"/>
    <w:rsid w:val="00BF0B9E"/>
    <w:rsid w:val="00BF1D55"/>
    <w:rsid w:val="00BF20C5"/>
    <w:rsid w:val="00BF27A0"/>
    <w:rsid w:val="00BF28DC"/>
    <w:rsid w:val="00BF2996"/>
    <w:rsid w:val="00BF2C74"/>
    <w:rsid w:val="00BF32A2"/>
    <w:rsid w:val="00BF3838"/>
    <w:rsid w:val="00BF3983"/>
    <w:rsid w:val="00BF3DE3"/>
    <w:rsid w:val="00BF3E23"/>
    <w:rsid w:val="00BF3EAB"/>
    <w:rsid w:val="00BF404E"/>
    <w:rsid w:val="00BF4A7C"/>
    <w:rsid w:val="00BF4AE0"/>
    <w:rsid w:val="00BF4E29"/>
    <w:rsid w:val="00BF51F3"/>
    <w:rsid w:val="00BF520E"/>
    <w:rsid w:val="00BF53BA"/>
    <w:rsid w:val="00BF5B1D"/>
    <w:rsid w:val="00BF5C1E"/>
    <w:rsid w:val="00BF5F29"/>
    <w:rsid w:val="00BF5F48"/>
    <w:rsid w:val="00BF611A"/>
    <w:rsid w:val="00BF66EC"/>
    <w:rsid w:val="00BF67F0"/>
    <w:rsid w:val="00BF6BB9"/>
    <w:rsid w:val="00BF6C18"/>
    <w:rsid w:val="00BF6C8C"/>
    <w:rsid w:val="00BF6D28"/>
    <w:rsid w:val="00BF6DE6"/>
    <w:rsid w:val="00BF7095"/>
    <w:rsid w:val="00BF745F"/>
    <w:rsid w:val="00BF7635"/>
    <w:rsid w:val="00BF79C6"/>
    <w:rsid w:val="00BF7D16"/>
    <w:rsid w:val="00BF7D35"/>
    <w:rsid w:val="00C0005B"/>
    <w:rsid w:val="00C00195"/>
    <w:rsid w:val="00C00A4D"/>
    <w:rsid w:val="00C00DF0"/>
    <w:rsid w:val="00C00F82"/>
    <w:rsid w:val="00C00FFD"/>
    <w:rsid w:val="00C0134A"/>
    <w:rsid w:val="00C01AAA"/>
    <w:rsid w:val="00C01DBA"/>
    <w:rsid w:val="00C02BC7"/>
    <w:rsid w:val="00C02D00"/>
    <w:rsid w:val="00C0336E"/>
    <w:rsid w:val="00C034BE"/>
    <w:rsid w:val="00C03822"/>
    <w:rsid w:val="00C03A6E"/>
    <w:rsid w:val="00C03E7C"/>
    <w:rsid w:val="00C03EAF"/>
    <w:rsid w:val="00C0401C"/>
    <w:rsid w:val="00C040D6"/>
    <w:rsid w:val="00C04126"/>
    <w:rsid w:val="00C042FF"/>
    <w:rsid w:val="00C047E6"/>
    <w:rsid w:val="00C04E5B"/>
    <w:rsid w:val="00C04E61"/>
    <w:rsid w:val="00C05555"/>
    <w:rsid w:val="00C056A2"/>
    <w:rsid w:val="00C056E5"/>
    <w:rsid w:val="00C057B1"/>
    <w:rsid w:val="00C05927"/>
    <w:rsid w:val="00C063F5"/>
    <w:rsid w:val="00C06665"/>
    <w:rsid w:val="00C06945"/>
    <w:rsid w:val="00C06D42"/>
    <w:rsid w:val="00C07429"/>
    <w:rsid w:val="00C07A30"/>
    <w:rsid w:val="00C07B08"/>
    <w:rsid w:val="00C07CF1"/>
    <w:rsid w:val="00C106DC"/>
    <w:rsid w:val="00C109F5"/>
    <w:rsid w:val="00C10D13"/>
    <w:rsid w:val="00C1138D"/>
    <w:rsid w:val="00C11593"/>
    <w:rsid w:val="00C117A3"/>
    <w:rsid w:val="00C11DCD"/>
    <w:rsid w:val="00C121BB"/>
    <w:rsid w:val="00C12347"/>
    <w:rsid w:val="00C124DE"/>
    <w:rsid w:val="00C1275F"/>
    <w:rsid w:val="00C1288F"/>
    <w:rsid w:val="00C12BB4"/>
    <w:rsid w:val="00C12CB1"/>
    <w:rsid w:val="00C12D00"/>
    <w:rsid w:val="00C12DEC"/>
    <w:rsid w:val="00C13041"/>
    <w:rsid w:val="00C133A8"/>
    <w:rsid w:val="00C13476"/>
    <w:rsid w:val="00C1355F"/>
    <w:rsid w:val="00C13654"/>
    <w:rsid w:val="00C13878"/>
    <w:rsid w:val="00C13880"/>
    <w:rsid w:val="00C13A2F"/>
    <w:rsid w:val="00C13F69"/>
    <w:rsid w:val="00C14297"/>
    <w:rsid w:val="00C142EF"/>
    <w:rsid w:val="00C145C9"/>
    <w:rsid w:val="00C147B8"/>
    <w:rsid w:val="00C150E3"/>
    <w:rsid w:val="00C15141"/>
    <w:rsid w:val="00C1523B"/>
    <w:rsid w:val="00C15DEB"/>
    <w:rsid w:val="00C1611E"/>
    <w:rsid w:val="00C167D0"/>
    <w:rsid w:val="00C16AD4"/>
    <w:rsid w:val="00C16C11"/>
    <w:rsid w:val="00C1725F"/>
    <w:rsid w:val="00C17BE6"/>
    <w:rsid w:val="00C17F20"/>
    <w:rsid w:val="00C204D2"/>
    <w:rsid w:val="00C209FA"/>
    <w:rsid w:val="00C20A60"/>
    <w:rsid w:val="00C20B5F"/>
    <w:rsid w:val="00C217D4"/>
    <w:rsid w:val="00C21CBE"/>
    <w:rsid w:val="00C222E9"/>
    <w:rsid w:val="00C2235D"/>
    <w:rsid w:val="00C22825"/>
    <w:rsid w:val="00C229D7"/>
    <w:rsid w:val="00C22AA6"/>
    <w:rsid w:val="00C22AEA"/>
    <w:rsid w:val="00C22B5E"/>
    <w:rsid w:val="00C22B65"/>
    <w:rsid w:val="00C2321A"/>
    <w:rsid w:val="00C23857"/>
    <w:rsid w:val="00C23ADD"/>
    <w:rsid w:val="00C23FA4"/>
    <w:rsid w:val="00C241FC"/>
    <w:rsid w:val="00C244B7"/>
    <w:rsid w:val="00C25271"/>
    <w:rsid w:val="00C253DB"/>
    <w:rsid w:val="00C2546A"/>
    <w:rsid w:val="00C25506"/>
    <w:rsid w:val="00C25886"/>
    <w:rsid w:val="00C25965"/>
    <w:rsid w:val="00C259D3"/>
    <w:rsid w:val="00C25A6F"/>
    <w:rsid w:val="00C25B94"/>
    <w:rsid w:val="00C25D94"/>
    <w:rsid w:val="00C25E71"/>
    <w:rsid w:val="00C26346"/>
    <w:rsid w:val="00C268F8"/>
    <w:rsid w:val="00C26A55"/>
    <w:rsid w:val="00C2706C"/>
    <w:rsid w:val="00C27394"/>
    <w:rsid w:val="00C27F33"/>
    <w:rsid w:val="00C30203"/>
    <w:rsid w:val="00C30C2C"/>
    <w:rsid w:val="00C310D8"/>
    <w:rsid w:val="00C315B8"/>
    <w:rsid w:val="00C31CA9"/>
    <w:rsid w:val="00C31CE4"/>
    <w:rsid w:val="00C31E57"/>
    <w:rsid w:val="00C32659"/>
    <w:rsid w:val="00C32B8C"/>
    <w:rsid w:val="00C32E6C"/>
    <w:rsid w:val="00C333AB"/>
    <w:rsid w:val="00C3388F"/>
    <w:rsid w:val="00C33AEB"/>
    <w:rsid w:val="00C33C19"/>
    <w:rsid w:val="00C3402A"/>
    <w:rsid w:val="00C34317"/>
    <w:rsid w:val="00C345C9"/>
    <w:rsid w:val="00C34809"/>
    <w:rsid w:val="00C34B73"/>
    <w:rsid w:val="00C34DDA"/>
    <w:rsid w:val="00C352B5"/>
    <w:rsid w:val="00C353FB"/>
    <w:rsid w:val="00C35596"/>
    <w:rsid w:val="00C35AC3"/>
    <w:rsid w:val="00C35AD1"/>
    <w:rsid w:val="00C36236"/>
    <w:rsid w:val="00C36535"/>
    <w:rsid w:val="00C3653A"/>
    <w:rsid w:val="00C37043"/>
    <w:rsid w:val="00C37495"/>
    <w:rsid w:val="00C374AD"/>
    <w:rsid w:val="00C3791D"/>
    <w:rsid w:val="00C37A36"/>
    <w:rsid w:val="00C37D10"/>
    <w:rsid w:val="00C37D15"/>
    <w:rsid w:val="00C37E39"/>
    <w:rsid w:val="00C4049F"/>
    <w:rsid w:val="00C404E5"/>
    <w:rsid w:val="00C405F3"/>
    <w:rsid w:val="00C40B7C"/>
    <w:rsid w:val="00C40FF1"/>
    <w:rsid w:val="00C41771"/>
    <w:rsid w:val="00C41A9D"/>
    <w:rsid w:val="00C41BDD"/>
    <w:rsid w:val="00C42085"/>
    <w:rsid w:val="00C422E7"/>
    <w:rsid w:val="00C42700"/>
    <w:rsid w:val="00C42FB7"/>
    <w:rsid w:val="00C42FEE"/>
    <w:rsid w:val="00C4304B"/>
    <w:rsid w:val="00C43394"/>
    <w:rsid w:val="00C435C7"/>
    <w:rsid w:val="00C43A73"/>
    <w:rsid w:val="00C43BCB"/>
    <w:rsid w:val="00C43D0C"/>
    <w:rsid w:val="00C446AB"/>
    <w:rsid w:val="00C44A16"/>
    <w:rsid w:val="00C44C35"/>
    <w:rsid w:val="00C44D8E"/>
    <w:rsid w:val="00C44EA0"/>
    <w:rsid w:val="00C45025"/>
    <w:rsid w:val="00C456D5"/>
    <w:rsid w:val="00C4573E"/>
    <w:rsid w:val="00C45E9D"/>
    <w:rsid w:val="00C46861"/>
    <w:rsid w:val="00C46D87"/>
    <w:rsid w:val="00C47017"/>
    <w:rsid w:val="00C47B3F"/>
    <w:rsid w:val="00C47EAA"/>
    <w:rsid w:val="00C50170"/>
    <w:rsid w:val="00C50288"/>
    <w:rsid w:val="00C50486"/>
    <w:rsid w:val="00C505A4"/>
    <w:rsid w:val="00C50690"/>
    <w:rsid w:val="00C5072D"/>
    <w:rsid w:val="00C50BCE"/>
    <w:rsid w:val="00C50F9B"/>
    <w:rsid w:val="00C514E1"/>
    <w:rsid w:val="00C51710"/>
    <w:rsid w:val="00C51A8D"/>
    <w:rsid w:val="00C51DC7"/>
    <w:rsid w:val="00C51E83"/>
    <w:rsid w:val="00C51EEC"/>
    <w:rsid w:val="00C51F07"/>
    <w:rsid w:val="00C52092"/>
    <w:rsid w:val="00C52F0C"/>
    <w:rsid w:val="00C52FDA"/>
    <w:rsid w:val="00C5309D"/>
    <w:rsid w:val="00C535DB"/>
    <w:rsid w:val="00C5380C"/>
    <w:rsid w:val="00C5392D"/>
    <w:rsid w:val="00C53944"/>
    <w:rsid w:val="00C53A67"/>
    <w:rsid w:val="00C53CE2"/>
    <w:rsid w:val="00C53F02"/>
    <w:rsid w:val="00C543E2"/>
    <w:rsid w:val="00C54746"/>
    <w:rsid w:val="00C54CB5"/>
    <w:rsid w:val="00C5501F"/>
    <w:rsid w:val="00C553F2"/>
    <w:rsid w:val="00C5548A"/>
    <w:rsid w:val="00C5594A"/>
    <w:rsid w:val="00C559B0"/>
    <w:rsid w:val="00C56545"/>
    <w:rsid w:val="00C575F3"/>
    <w:rsid w:val="00C577CF"/>
    <w:rsid w:val="00C5793B"/>
    <w:rsid w:val="00C57C48"/>
    <w:rsid w:val="00C57CA0"/>
    <w:rsid w:val="00C57CAC"/>
    <w:rsid w:val="00C60107"/>
    <w:rsid w:val="00C601C1"/>
    <w:rsid w:val="00C6035A"/>
    <w:rsid w:val="00C604CE"/>
    <w:rsid w:val="00C6092D"/>
    <w:rsid w:val="00C60B6C"/>
    <w:rsid w:val="00C60CAB"/>
    <w:rsid w:val="00C60F20"/>
    <w:rsid w:val="00C60FBE"/>
    <w:rsid w:val="00C6152F"/>
    <w:rsid w:val="00C61956"/>
    <w:rsid w:val="00C61D19"/>
    <w:rsid w:val="00C61DA3"/>
    <w:rsid w:val="00C62258"/>
    <w:rsid w:val="00C6297C"/>
    <w:rsid w:val="00C62CDB"/>
    <w:rsid w:val="00C62D42"/>
    <w:rsid w:val="00C63244"/>
    <w:rsid w:val="00C636B8"/>
    <w:rsid w:val="00C63AFE"/>
    <w:rsid w:val="00C6400B"/>
    <w:rsid w:val="00C64479"/>
    <w:rsid w:val="00C6451B"/>
    <w:rsid w:val="00C647E7"/>
    <w:rsid w:val="00C64A1B"/>
    <w:rsid w:val="00C64B54"/>
    <w:rsid w:val="00C6527E"/>
    <w:rsid w:val="00C65741"/>
    <w:rsid w:val="00C657BE"/>
    <w:rsid w:val="00C65873"/>
    <w:rsid w:val="00C65AB7"/>
    <w:rsid w:val="00C665CA"/>
    <w:rsid w:val="00C666B1"/>
    <w:rsid w:val="00C66924"/>
    <w:rsid w:val="00C672ED"/>
    <w:rsid w:val="00C678E9"/>
    <w:rsid w:val="00C67928"/>
    <w:rsid w:val="00C700F4"/>
    <w:rsid w:val="00C70A17"/>
    <w:rsid w:val="00C70BC0"/>
    <w:rsid w:val="00C70C7A"/>
    <w:rsid w:val="00C71024"/>
    <w:rsid w:val="00C71236"/>
    <w:rsid w:val="00C726A8"/>
    <w:rsid w:val="00C73290"/>
    <w:rsid w:val="00C7335C"/>
    <w:rsid w:val="00C73745"/>
    <w:rsid w:val="00C73775"/>
    <w:rsid w:val="00C73780"/>
    <w:rsid w:val="00C73952"/>
    <w:rsid w:val="00C73EF0"/>
    <w:rsid w:val="00C74388"/>
    <w:rsid w:val="00C74402"/>
    <w:rsid w:val="00C744DF"/>
    <w:rsid w:val="00C74DDF"/>
    <w:rsid w:val="00C750AD"/>
    <w:rsid w:val="00C75156"/>
    <w:rsid w:val="00C75886"/>
    <w:rsid w:val="00C75A49"/>
    <w:rsid w:val="00C75B5D"/>
    <w:rsid w:val="00C75BCE"/>
    <w:rsid w:val="00C75C72"/>
    <w:rsid w:val="00C7612D"/>
    <w:rsid w:val="00C76816"/>
    <w:rsid w:val="00C770B9"/>
    <w:rsid w:val="00C7726F"/>
    <w:rsid w:val="00C772CB"/>
    <w:rsid w:val="00C77638"/>
    <w:rsid w:val="00C809D0"/>
    <w:rsid w:val="00C80F81"/>
    <w:rsid w:val="00C81022"/>
    <w:rsid w:val="00C8106B"/>
    <w:rsid w:val="00C8134E"/>
    <w:rsid w:val="00C81488"/>
    <w:rsid w:val="00C81765"/>
    <w:rsid w:val="00C82292"/>
    <w:rsid w:val="00C82855"/>
    <w:rsid w:val="00C8295E"/>
    <w:rsid w:val="00C82C01"/>
    <w:rsid w:val="00C82C1E"/>
    <w:rsid w:val="00C82FA9"/>
    <w:rsid w:val="00C82FAE"/>
    <w:rsid w:val="00C82FB2"/>
    <w:rsid w:val="00C82FC3"/>
    <w:rsid w:val="00C83335"/>
    <w:rsid w:val="00C835E1"/>
    <w:rsid w:val="00C83749"/>
    <w:rsid w:val="00C83AAA"/>
    <w:rsid w:val="00C83C21"/>
    <w:rsid w:val="00C83F2F"/>
    <w:rsid w:val="00C84087"/>
    <w:rsid w:val="00C84741"/>
    <w:rsid w:val="00C847E9"/>
    <w:rsid w:val="00C848B2"/>
    <w:rsid w:val="00C8494C"/>
    <w:rsid w:val="00C849F6"/>
    <w:rsid w:val="00C84D39"/>
    <w:rsid w:val="00C858C1"/>
    <w:rsid w:val="00C85967"/>
    <w:rsid w:val="00C859F1"/>
    <w:rsid w:val="00C85D9C"/>
    <w:rsid w:val="00C86D7B"/>
    <w:rsid w:val="00C86E97"/>
    <w:rsid w:val="00C8706F"/>
    <w:rsid w:val="00C874DE"/>
    <w:rsid w:val="00C8759A"/>
    <w:rsid w:val="00C87601"/>
    <w:rsid w:val="00C8794F"/>
    <w:rsid w:val="00C9078E"/>
    <w:rsid w:val="00C9096B"/>
    <w:rsid w:val="00C911AC"/>
    <w:rsid w:val="00C914AB"/>
    <w:rsid w:val="00C915B7"/>
    <w:rsid w:val="00C916E9"/>
    <w:rsid w:val="00C91C4E"/>
    <w:rsid w:val="00C9226B"/>
    <w:rsid w:val="00C928A9"/>
    <w:rsid w:val="00C92942"/>
    <w:rsid w:val="00C92B2A"/>
    <w:rsid w:val="00C92CD4"/>
    <w:rsid w:val="00C92D15"/>
    <w:rsid w:val="00C92E63"/>
    <w:rsid w:val="00C93358"/>
    <w:rsid w:val="00C93544"/>
    <w:rsid w:val="00C93668"/>
    <w:rsid w:val="00C93695"/>
    <w:rsid w:val="00C939D4"/>
    <w:rsid w:val="00C93C0A"/>
    <w:rsid w:val="00C93FCC"/>
    <w:rsid w:val="00C940F2"/>
    <w:rsid w:val="00C94514"/>
    <w:rsid w:val="00C947B1"/>
    <w:rsid w:val="00C947EE"/>
    <w:rsid w:val="00C94851"/>
    <w:rsid w:val="00C94F66"/>
    <w:rsid w:val="00C9551E"/>
    <w:rsid w:val="00C95873"/>
    <w:rsid w:val="00C95E48"/>
    <w:rsid w:val="00C960A5"/>
    <w:rsid w:val="00C9682E"/>
    <w:rsid w:val="00C96B3B"/>
    <w:rsid w:val="00C97394"/>
    <w:rsid w:val="00C97590"/>
    <w:rsid w:val="00C97709"/>
    <w:rsid w:val="00C97CB6"/>
    <w:rsid w:val="00CA0540"/>
    <w:rsid w:val="00CA099F"/>
    <w:rsid w:val="00CA0DBD"/>
    <w:rsid w:val="00CA10DA"/>
    <w:rsid w:val="00CA186A"/>
    <w:rsid w:val="00CA1A2F"/>
    <w:rsid w:val="00CA1DF9"/>
    <w:rsid w:val="00CA2279"/>
    <w:rsid w:val="00CA2B51"/>
    <w:rsid w:val="00CA2DF6"/>
    <w:rsid w:val="00CA2F84"/>
    <w:rsid w:val="00CA348D"/>
    <w:rsid w:val="00CA3652"/>
    <w:rsid w:val="00CA3B4D"/>
    <w:rsid w:val="00CA3D60"/>
    <w:rsid w:val="00CA3E29"/>
    <w:rsid w:val="00CA525E"/>
    <w:rsid w:val="00CA5298"/>
    <w:rsid w:val="00CA54D9"/>
    <w:rsid w:val="00CA5669"/>
    <w:rsid w:val="00CA5853"/>
    <w:rsid w:val="00CA58C5"/>
    <w:rsid w:val="00CA5A65"/>
    <w:rsid w:val="00CA5A96"/>
    <w:rsid w:val="00CA5B98"/>
    <w:rsid w:val="00CA5CED"/>
    <w:rsid w:val="00CA5DCF"/>
    <w:rsid w:val="00CA6317"/>
    <w:rsid w:val="00CA639F"/>
    <w:rsid w:val="00CA66F6"/>
    <w:rsid w:val="00CA6C88"/>
    <w:rsid w:val="00CA7011"/>
    <w:rsid w:val="00CA7211"/>
    <w:rsid w:val="00CA729F"/>
    <w:rsid w:val="00CA72D6"/>
    <w:rsid w:val="00CA73C6"/>
    <w:rsid w:val="00CA78BA"/>
    <w:rsid w:val="00CA7982"/>
    <w:rsid w:val="00CA7D25"/>
    <w:rsid w:val="00CA7D71"/>
    <w:rsid w:val="00CA7D72"/>
    <w:rsid w:val="00CA7F91"/>
    <w:rsid w:val="00CB0E5C"/>
    <w:rsid w:val="00CB0EB2"/>
    <w:rsid w:val="00CB12CD"/>
    <w:rsid w:val="00CB1363"/>
    <w:rsid w:val="00CB15DE"/>
    <w:rsid w:val="00CB1DDA"/>
    <w:rsid w:val="00CB21B9"/>
    <w:rsid w:val="00CB222F"/>
    <w:rsid w:val="00CB30BE"/>
    <w:rsid w:val="00CB3123"/>
    <w:rsid w:val="00CB322B"/>
    <w:rsid w:val="00CB352E"/>
    <w:rsid w:val="00CB3756"/>
    <w:rsid w:val="00CB3975"/>
    <w:rsid w:val="00CB423F"/>
    <w:rsid w:val="00CB492E"/>
    <w:rsid w:val="00CB4B10"/>
    <w:rsid w:val="00CB4DF7"/>
    <w:rsid w:val="00CB5248"/>
    <w:rsid w:val="00CB52B7"/>
    <w:rsid w:val="00CB53ED"/>
    <w:rsid w:val="00CB55FB"/>
    <w:rsid w:val="00CB5F8E"/>
    <w:rsid w:val="00CB60F4"/>
    <w:rsid w:val="00CB66F2"/>
    <w:rsid w:val="00CB69A0"/>
    <w:rsid w:val="00CB6A67"/>
    <w:rsid w:val="00CB6D14"/>
    <w:rsid w:val="00CB70DC"/>
    <w:rsid w:val="00CB7B36"/>
    <w:rsid w:val="00CC0319"/>
    <w:rsid w:val="00CC0EB2"/>
    <w:rsid w:val="00CC1261"/>
    <w:rsid w:val="00CC156F"/>
    <w:rsid w:val="00CC1701"/>
    <w:rsid w:val="00CC1A98"/>
    <w:rsid w:val="00CC258F"/>
    <w:rsid w:val="00CC2BF1"/>
    <w:rsid w:val="00CC3149"/>
    <w:rsid w:val="00CC3A6F"/>
    <w:rsid w:val="00CC3AC1"/>
    <w:rsid w:val="00CC3C82"/>
    <w:rsid w:val="00CC3E69"/>
    <w:rsid w:val="00CC4797"/>
    <w:rsid w:val="00CC4863"/>
    <w:rsid w:val="00CC4C06"/>
    <w:rsid w:val="00CC5F5E"/>
    <w:rsid w:val="00CC65FF"/>
    <w:rsid w:val="00CC668C"/>
    <w:rsid w:val="00CC69BB"/>
    <w:rsid w:val="00CC6C15"/>
    <w:rsid w:val="00CC6CE7"/>
    <w:rsid w:val="00CC6D88"/>
    <w:rsid w:val="00CC6F03"/>
    <w:rsid w:val="00CC7892"/>
    <w:rsid w:val="00CC7BF0"/>
    <w:rsid w:val="00CC7EFF"/>
    <w:rsid w:val="00CD0A24"/>
    <w:rsid w:val="00CD0A8E"/>
    <w:rsid w:val="00CD0B54"/>
    <w:rsid w:val="00CD0E74"/>
    <w:rsid w:val="00CD2167"/>
    <w:rsid w:val="00CD2652"/>
    <w:rsid w:val="00CD2DBD"/>
    <w:rsid w:val="00CD2E38"/>
    <w:rsid w:val="00CD306F"/>
    <w:rsid w:val="00CD31EA"/>
    <w:rsid w:val="00CD3649"/>
    <w:rsid w:val="00CD37A0"/>
    <w:rsid w:val="00CD3AFC"/>
    <w:rsid w:val="00CD3D07"/>
    <w:rsid w:val="00CD435D"/>
    <w:rsid w:val="00CD44B5"/>
    <w:rsid w:val="00CD495D"/>
    <w:rsid w:val="00CD5063"/>
    <w:rsid w:val="00CD5229"/>
    <w:rsid w:val="00CD56C9"/>
    <w:rsid w:val="00CD58EC"/>
    <w:rsid w:val="00CD595F"/>
    <w:rsid w:val="00CD5EAA"/>
    <w:rsid w:val="00CD6438"/>
    <w:rsid w:val="00CD643E"/>
    <w:rsid w:val="00CD663E"/>
    <w:rsid w:val="00CD6C1E"/>
    <w:rsid w:val="00CD6CE6"/>
    <w:rsid w:val="00CD76E4"/>
    <w:rsid w:val="00CD7C06"/>
    <w:rsid w:val="00CE01C1"/>
    <w:rsid w:val="00CE04F4"/>
    <w:rsid w:val="00CE0509"/>
    <w:rsid w:val="00CE054F"/>
    <w:rsid w:val="00CE0578"/>
    <w:rsid w:val="00CE074B"/>
    <w:rsid w:val="00CE074C"/>
    <w:rsid w:val="00CE08D2"/>
    <w:rsid w:val="00CE09A4"/>
    <w:rsid w:val="00CE0CB3"/>
    <w:rsid w:val="00CE0FCA"/>
    <w:rsid w:val="00CE14F2"/>
    <w:rsid w:val="00CE1BA7"/>
    <w:rsid w:val="00CE20C4"/>
    <w:rsid w:val="00CE23F2"/>
    <w:rsid w:val="00CE24AA"/>
    <w:rsid w:val="00CE24DD"/>
    <w:rsid w:val="00CE2CAE"/>
    <w:rsid w:val="00CE2D1A"/>
    <w:rsid w:val="00CE2DD8"/>
    <w:rsid w:val="00CE2E3E"/>
    <w:rsid w:val="00CE322F"/>
    <w:rsid w:val="00CE3357"/>
    <w:rsid w:val="00CE3928"/>
    <w:rsid w:val="00CE3C0D"/>
    <w:rsid w:val="00CE3CDB"/>
    <w:rsid w:val="00CE3DD4"/>
    <w:rsid w:val="00CE440F"/>
    <w:rsid w:val="00CE4885"/>
    <w:rsid w:val="00CE48D7"/>
    <w:rsid w:val="00CE49E2"/>
    <w:rsid w:val="00CE4B06"/>
    <w:rsid w:val="00CE4D8E"/>
    <w:rsid w:val="00CE4DB7"/>
    <w:rsid w:val="00CE5068"/>
    <w:rsid w:val="00CE50A8"/>
    <w:rsid w:val="00CE5147"/>
    <w:rsid w:val="00CE5368"/>
    <w:rsid w:val="00CE56E8"/>
    <w:rsid w:val="00CE57DB"/>
    <w:rsid w:val="00CE5D32"/>
    <w:rsid w:val="00CE62FD"/>
    <w:rsid w:val="00CE64A0"/>
    <w:rsid w:val="00CE6919"/>
    <w:rsid w:val="00CE6BAF"/>
    <w:rsid w:val="00CE733B"/>
    <w:rsid w:val="00CE73C6"/>
    <w:rsid w:val="00CE77F6"/>
    <w:rsid w:val="00CE7A45"/>
    <w:rsid w:val="00CE7A6B"/>
    <w:rsid w:val="00CE7B71"/>
    <w:rsid w:val="00CE7CB4"/>
    <w:rsid w:val="00CF00F8"/>
    <w:rsid w:val="00CF0188"/>
    <w:rsid w:val="00CF03A0"/>
    <w:rsid w:val="00CF0977"/>
    <w:rsid w:val="00CF10C1"/>
    <w:rsid w:val="00CF174D"/>
    <w:rsid w:val="00CF180A"/>
    <w:rsid w:val="00CF2C35"/>
    <w:rsid w:val="00CF2E86"/>
    <w:rsid w:val="00CF2EB7"/>
    <w:rsid w:val="00CF2FC8"/>
    <w:rsid w:val="00CF3125"/>
    <w:rsid w:val="00CF36A7"/>
    <w:rsid w:val="00CF38DD"/>
    <w:rsid w:val="00CF392C"/>
    <w:rsid w:val="00CF3EA8"/>
    <w:rsid w:val="00CF4021"/>
    <w:rsid w:val="00CF4150"/>
    <w:rsid w:val="00CF4153"/>
    <w:rsid w:val="00CF44BD"/>
    <w:rsid w:val="00CF4531"/>
    <w:rsid w:val="00CF47CA"/>
    <w:rsid w:val="00CF484B"/>
    <w:rsid w:val="00CF49FF"/>
    <w:rsid w:val="00CF4B80"/>
    <w:rsid w:val="00CF4C1E"/>
    <w:rsid w:val="00CF4F30"/>
    <w:rsid w:val="00CF546B"/>
    <w:rsid w:val="00CF5905"/>
    <w:rsid w:val="00CF5CEF"/>
    <w:rsid w:val="00CF61E8"/>
    <w:rsid w:val="00CF624F"/>
    <w:rsid w:val="00CF6670"/>
    <w:rsid w:val="00CF681E"/>
    <w:rsid w:val="00CF6840"/>
    <w:rsid w:val="00CF6A58"/>
    <w:rsid w:val="00CF755F"/>
    <w:rsid w:val="00CF770B"/>
    <w:rsid w:val="00CF7FF6"/>
    <w:rsid w:val="00D00D26"/>
    <w:rsid w:val="00D01270"/>
    <w:rsid w:val="00D01572"/>
    <w:rsid w:val="00D015F5"/>
    <w:rsid w:val="00D01AFB"/>
    <w:rsid w:val="00D0278E"/>
    <w:rsid w:val="00D0297B"/>
    <w:rsid w:val="00D02A37"/>
    <w:rsid w:val="00D02C37"/>
    <w:rsid w:val="00D03155"/>
    <w:rsid w:val="00D03386"/>
    <w:rsid w:val="00D033CF"/>
    <w:rsid w:val="00D03568"/>
    <w:rsid w:val="00D03768"/>
    <w:rsid w:val="00D039BB"/>
    <w:rsid w:val="00D03E34"/>
    <w:rsid w:val="00D0482A"/>
    <w:rsid w:val="00D048FE"/>
    <w:rsid w:val="00D04C63"/>
    <w:rsid w:val="00D04E27"/>
    <w:rsid w:val="00D05252"/>
    <w:rsid w:val="00D05776"/>
    <w:rsid w:val="00D05825"/>
    <w:rsid w:val="00D05999"/>
    <w:rsid w:val="00D0627B"/>
    <w:rsid w:val="00D0688C"/>
    <w:rsid w:val="00D06A04"/>
    <w:rsid w:val="00D06BDD"/>
    <w:rsid w:val="00D06EAA"/>
    <w:rsid w:val="00D06FF5"/>
    <w:rsid w:val="00D0709D"/>
    <w:rsid w:val="00D0725F"/>
    <w:rsid w:val="00D074CE"/>
    <w:rsid w:val="00D07786"/>
    <w:rsid w:val="00D0796A"/>
    <w:rsid w:val="00D07E2D"/>
    <w:rsid w:val="00D10392"/>
    <w:rsid w:val="00D10434"/>
    <w:rsid w:val="00D10714"/>
    <w:rsid w:val="00D10720"/>
    <w:rsid w:val="00D10BF9"/>
    <w:rsid w:val="00D10DE7"/>
    <w:rsid w:val="00D10EA6"/>
    <w:rsid w:val="00D11628"/>
    <w:rsid w:val="00D11679"/>
    <w:rsid w:val="00D119C9"/>
    <w:rsid w:val="00D11B6A"/>
    <w:rsid w:val="00D12798"/>
    <w:rsid w:val="00D12C76"/>
    <w:rsid w:val="00D12D89"/>
    <w:rsid w:val="00D12E87"/>
    <w:rsid w:val="00D1313D"/>
    <w:rsid w:val="00D13582"/>
    <w:rsid w:val="00D13913"/>
    <w:rsid w:val="00D1424D"/>
    <w:rsid w:val="00D1457A"/>
    <w:rsid w:val="00D14B47"/>
    <w:rsid w:val="00D14DD9"/>
    <w:rsid w:val="00D15A40"/>
    <w:rsid w:val="00D15E93"/>
    <w:rsid w:val="00D16030"/>
    <w:rsid w:val="00D1655D"/>
    <w:rsid w:val="00D16654"/>
    <w:rsid w:val="00D16B37"/>
    <w:rsid w:val="00D16F56"/>
    <w:rsid w:val="00D17298"/>
    <w:rsid w:val="00D172F3"/>
    <w:rsid w:val="00D1767D"/>
    <w:rsid w:val="00D17944"/>
    <w:rsid w:val="00D17B66"/>
    <w:rsid w:val="00D17E89"/>
    <w:rsid w:val="00D2015C"/>
    <w:rsid w:val="00D20298"/>
    <w:rsid w:val="00D20322"/>
    <w:rsid w:val="00D20A07"/>
    <w:rsid w:val="00D20BA5"/>
    <w:rsid w:val="00D20F15"/>
    <w:rsid w:val="00D20FD1"/>
    <w:rsid w:val="00D21040"/>
    <w:rsid w:val="00D211FB"/>
    <w:rsid w:val="00D2128E"/>
    <w:rsid w:val="00D2141C"/>
    <w:rsid w:val="00D21C67"/>
    <w:rsid w:val="00D22766"/>
    <w:rsid w:val="00D2277B"/>
    <w:rsid w:val="00D22DB0"/>
    <w:rsid w:val="00D22E86"/>
    <w:rsid w:val="00D230FA"/>
    <w:rsid w:val="00D231CF"/>
    <w:rsid w:val="00D234F5"/>
    <w:rsid w:val="00D2371A"/>
    <w:rsid w:val="00D23B58"/>
    <w:rsid w:val="00D23F90"/>
    <w:rsid w:val="00D23FE1"/>
    <w:rsid w:val="00D2401B"/>
    <w:rsid w:val="00D24221"/>
    <w:rsid w:val="00D2464D"/>
    <w:rsid w:val="00D25371"/>
    <w:rsid w:val="00D25D08"/>
    <w:rsid w:val="00D26152"/>
    <w:rsid w:val="00D262AA"/>
    <w:rsid w:val="00D2668C"/>
    <w:rsid w:val="00D269AA"/>
    <w:rsid w:val="00D26DE1"/>
    <w:rsid w:val="00D26FB4"/>
    <w:rsid w:val="00D2726C"/>
    <w:rsid w:val="00D27787"/>
    <w:rsid w:val="00D27A49"/>
    <w:rsid w:val="00D27B39"/>
    <w:rsid w:val="00D27BBB"/>
    <w:rsid w:val="00D27DDC"/>
    <w:rsid w:val="00D27E01"/>
    <w:rsid w:val="00D30284"/>
    <w:rsid w:val="00D30D1A"/>
    <w:rsid w:val="00D310E5"/>
    <w:rsid w:val="00D31326"/>
    <w:rsid w:val="00D31BA5"/>
    <w:rsid w:val="00D31C30"/>
    <w:rsid w:val="00D32070"/>
    <w:rsid w:val="00D32441"/>
    <w:rsid w:val="00D32ADA"/>
    <w:rsid w:val="00D32DF7"/>
    <w:rsid w:val="00D331B3"/>
    <w:rsid w:val="00D33228"/>
    <w:rsid w:val="00D33600"/>
    <w:rsid w:val="00D33613"/>
    <w:rsid w:val="00D3381F"/>
    <w:rsid w:val="00D33855"/>
    <w:rsid w:val="00D33E62"/>
    <w:rsid w:val="00D33F98"/>
    <w:rsid w:val="00D349A7"/>
    <w:rsid w:val="00D34EA6"/>
    <w:rsid w:val="00D34FB6"/>
    <w:rsid w:val="00D35091"/>
    <w:rsid w:val="00D3515D"/>
    <w:rsid w:val="00D35A6F"/>
    <w:rsid w:val="00D35BE8"/>
    <w:rsid w:val="00D36338"/>
    <w:rsid w:val="00D363E6"/>
    <w:rsid w:val="00D36DE8"/>
    <w:rsid w:val="00D36E1D"/>
    <w:rsid w:val="00D36E62"/>
    <w:rsid w:val="00D36F44"/>
    <w:rsid w:val="00D37524"/>
    <w:rsid w:val="00D37C1B"/>
    <w:rsid w:val="00D4000F"/>
    <w:rsid w:val="00D403B8"/>
    <w:rsid w:val="00D407BF"/>
    <w:rsid w:val="00D41449"/>
    <w:rsid w:val="00D418E4"/>
    <w:rsid w:val="00D41963"/>
    <w:rsid w:val="00D41C12"/>
    <w:rsid w:val="00D41CE3"/>
    <w:rsid w:val="00D42B7A"/>
    <w:rsid w:val="00D42FBB"/>
    <w:rsid w:val="00D432F3"/>
    <w:rsid w:val="00D43306"/>
    <w:rsid w:val="00D434B8"/>
    <w:rsid w:val="00D438AE"/>
    <w:rsid w:val="00D447BD"/>
    <w:rsid w:val="00D450F6"/>
    <w:rsid w:val="00D45105"/>
    <w:rsid w:val="00D45541"/>
    <w:rsid w:val="00D456C4"/>
    <w:rsid w:val="00D459DC"/>
    <w:rsid w:val="00D45CF5"/>
    <w:rsid w:val="00D461B8"/>
    <w:rsid w:val="00D462EE"/>
    <w:rsid w:val="00D46889"/>
    <w:rsid w:val="00D46BB0"/>
    <w:rsid w:val="00D46C03"/>
    <w:rsid w:val="00D46E55"/>
    <w:rsid w:val="00D46FE7"/>
    <w:rsid w:val="00D47214"/>
    <w:rsid w:val="00D47C29"/>
    <w:rsid w:val="00D50309"/>
    <w:rsid w:val="00D50569"/>
    <w:rsid w:val="00D506A4"/>
    <w:rsid w:val="00D512EB"/>
    <w:rsid w:val="00D513D7"/>
    <w:rsid w:val="00D5196D"/>
    <w:rsid w:val="00D51E5E"/>
    <w:rsid w:val="00D51F7A"/>
    <w:rsid w:val="00D521A6"/>
    <w:rsid w:val="00D5249A"/>
    <w:rsid w:val="00D525DF"/>
    <w:rsid w:val="00D528FD"/>
    <w:rsid w:val="00D5296A"/>
    <w:rsid w:val="00D52A75"/>
    <w:rsid w:val="00D52CB0"/>
    <w:rsid w:val="00D53205"/>
    <w:rsid w:val="00D53659"/>
    <w:rsid w:val="00D53722"/>
    <w:rsid w:val="00D53A7F"/>
    <w:rsid w:val="00D54137"/>
    <w:rsid w:val="00D545AB"/>
    <w:rsid w:val="00D54845"/>
    <w:rsid w:val="00D549F6"/>
    <w:rsid w:val="00D54A83"/>
    <w:rsid w:val="00D54E27"/>
    <w:rsid w:val="00D550B1"/>
    <w:rsid w:val="00D55295"/>
    <w:rsid w:val="00D556FC"/>
    <w:rsid w:val="00D5582E"/>
    <w:rsid w:val="00D55A45"/>
    <w:rsid w:val="00D55AC7"/>
    <w:rsid w:val="00D5607E"/>
    <w:rsid w:val="00D5637F"/>
    <w:rsid w:val="00D56520"/>
    <w:rsid w:val="00D5657E"/>
    <w:rsid w:val="00D568DF"/>
    <w:rsid w:val="00D57121"/>
    <w:rsid w:val="00D571CB"/>
    <w:rsid w:val="00D57203"/>
    <w:rsid w:val="00D5754D"/>
    <w:rsid w:val="00D578E9"/>
    <w:rsid w:val="00D57939"/>
    <w:rsid w:val="00D57C11"/>
    <w:rsid w:val="00D57DD7"/>
    <w:rsid w:val="00D57F0C"/>
    <w:rsid w:val="00D57F2E"/>
    <w:rsid w:val="00D601A2"/>
    <w:rsid w:val="00D601F4"/>
    <w:rsid w:val="00D60280"/>
    <w:rsid w:val="00D602F5"/>
    <w:rsid w:val="00D6039F"/>
    <w:rsid w:val="00D6052F"/>
    <w:rsid w:val="00D60D08"/>
    <w:rsid w:val="00D60FCC"/>
    <w:rsid w:val="00D60FF1"/>
    <w:rsid w:val="00D6102B"/>
    <w:rsid w:val="00D61B5B"/>
    <w:rsid w:val="00D6202D"/>
    <w:rsid w:val="00D620E0"/>
    <w:rsid w:val="00D62350"/>
    <w:rsid w:val="00D627AA"/>
    <w:rsid w:val="00D628C1"/>
    <w:rsid w:val="00D62E0F"/>
    <w:rsid w:val="00D630B5"/>
    <w:rsid w:val="00D637AD"/>
    <w:rsid w:val="00D639EA"/>
    <w:rsid w:val="00D63FCF"/>
    <w:rsid w:val="00D64A11"/>
    <w:rsid w:val="00D64C17"/>
    <w:rsid w:val="00D64CE0"/>
    <w:rsid w:val="00D64FB2"/>
    <w:rsid w:val="00D654FF"/>
    <w:rsid w:val="00D655F9"/>
    <w:rsid w:val="00D658CB"/>
    <w:rsid w:val="00D65AE0"/>
    <w:rsid w:val="00D65DCB"/>
    <w:rsid w:val="00D6610E"/>
    <w:rsid w:val="00D667C3"/>
    <w:rsid w:val="00D66BB1"/>
    <w:rsid w:val="00D67326"/>
    <w:rsid w:val="00D677AB"/>
    <w:rsid w:val="00D67C07"/>
    <w:rsid w:val="00D7012E"/>
    <w:rsid w:val="00D701F9"/>
    <w:rsid w:val="00D70516"/>
    <w:rsid w:val="00D70A0C"/>
    <w:rsid w:val="00D70F11"/>
    <w:rsid w:val="00D71663"/>
    <w:rsid w:val="00D7184D"/>
    <w:rsid w:val="00D71977"/>
    <w:rsid w:val="00D71D59"/>
    <w:rsid w:val="00D72186"/>
    <w:rsid w:val="00D7224F"/>
    <w:rsid w:val="00D72306"/>
    <w:rsid w:val="00D723A3"/>
    <w:rsid w:val="00D7245F"/>
    <w:rsid w:val="00D7311E"/>
    <w:rsid w:val="00D7366F"/>
    <w:rsid w:val="00D73BA6"/>
    <w:rsid w:val="00D73F0A"/>
    <w:rsid w:val="00D74365"/>
    <w:rsid w:val="00D7481E"/>
    <w:rsid w:val="00D74BF9"/>
    <w:rsid w:val="00D752C2"/>
    <w:rsid w:val="00D758E7"/>
    <w:rsid w:val="00D75B3A"/>
    <w:rsid w:val="00D75B97"/>
    <w:rsid w:val="00D75D49"/>
    <w:rsid w:val="00D7667E"/>
    <w:rsid w:val="00D76B7F"/>
    <w:rsid w:val="00D76C06"/>
    <w:rsid w:val="00D77848"/>
    <w:rsid w:val="00D77881"/>
    <w:rsid w:val="00D7794F"/>
    <w:rsid w:val="00D77F7A"/>
    <w:rsid w:val="00D77F93"/>
    <w:rsid w:val="00D801CD"/>
    <w:rsid w:val="00D80620"/>
    <w:rsid w:val="00D8085F"/>
    <w:rsid w:val="00D80B63"/>
    <w:rsid w:val="00D80C18"/>
    <w:rsid w:val="00D80CFC"/>
    <w:rsid w:val="00D80F0E"/>
    <w:rsid w:val="00D81032"/>
    <w:rsid w:val="00D81480"/>
    <w:rsid w:val="00D81606"/>
    <w:rsid w:val="00D81852"/>
    <w:rsid w:val="00D822B4"/>
    <w:rsid w:val="00D826E3"/>
    <w:rsid w:val="00D830E2"/>
    <w:rsid w:val="00D83611"/>
    <w:rsid w:val="00D83A0B"/>
    <w:rsid w:val="00D83CB8"/>
    <w:rsid w:val="00D841F1"/>
    <w:rsid w:val="00D844CB"/>
    <w:rsid w:val="00D84762"/>
    <w:rsid w:val="00D84AAE"/>
    <w:rsid w:val="00D84DE1"/>
    <w:rsid w:val="00D84F9B"/>
    <w:rsid w:val="00D84FB2"/>
    <w:rsid w:val="00D85073"/>
    <w:rsid w:val="00D851A4"/>
    <w:rsid w:val="00D852C9"/>
    <w:rsid w:val="00D8534D"/>
    <w:rsid w:val="00D85495"/>
    <w:rsid w:val="00D855F7"/>
    <w:rsid w:val="00D85750"/>
    <w:rsid w:val="00D857E3"/>
    <w:rsid w:val="00D85CD7"/>
    <w:rsid w:val="00D8605A"/>
    <w:rsid w:val="00D860A3"/>
    <w:rsid w:val="00D8644A"/>
    <w:rsid w:val="00D867CA"/>
    <w:rsid w:val="00D86924"/>
    <w:rsid w:val="00D86A47"/>
    <w:rsid w:val="00D86BB4"/>
    <w:rsid w:val="00D8758F"/>
    <w:rsid w:val="00D876B4"/>
    <w:rsid w:val="00D87707"/>
    <w:rsid w:val="00D87AC9"/>
    <w:rsid w:val="00D900B9"/>
    <w:rsid w:val="00D9016A"/>
    <w:rsid w:val="00D907A5"/>
    <w:rsid w:val="00D908AE"/>
    <w:rsid w:val="00D90D4E"/>
    <w:rsid w:val="00D910CE"/>
    <w:rsid w:val="00D915E9"/>
    <w:rsid w:val="00D915EA"/>
    <w:rsid w:val="00D91812"/>
    <w:rsid w:val="00D9195F"/>
    <w:rsid w:val="00D91B03"/>
    <w:rsid w:val="00D91D1C"/>
    <w:rsid w:val="00D924C5"/>
    <w:rsid w:val="00D928A6"/>
    <w:rsid w:val="00D92A98"/>
    <w:rsid w:val="00D92B7C"/>
    <w:rsid w:val="00D92EB5"/>
    <w:rsid w:val="00D9340E"/>
    <w:rsid w:val="00D93424"/>
    <w:rsid w:val="00D934E3"/>
    <w:rsid w:val="00D93BD0"/>
    <w:rsid w:val="00D940FB"/>
    <w:rsid w:val="00D944D8"/>
    <w:rsid w:val="00D949B2"/>
    <w:rsid w:val="00D94D00"/>
    <w:rsid w:val="00D95112"/>
    <w:rsid w:val="00D9587F"/>
    <w:rsid w:val="00D95D63"/>
    <w:rsid w:val="00D9626E"/>
    <w:rsid w:val="00D966C2"/>
    <w:rsid w:val="00D96877"/>
    <w:rsid w:val="00D96B25"/>
    <w:rsid w:val="00D96C12"/>
    <w:rsid w:val="00D97358"/>
    <w:rsid w:val="00D9748F"/>
    <w:rsid w:val="00D97AC9"/>
    <w:rsid w:val="00D97D5E"/>
    <w:rsid w:val="00DA0028"/>
    <w:rsid w:val="00DA006D"/>
    <w:rsid w:val="00DA02F4"/>
    <w:rsid w:val="00DA04C2"/>
    <w:rsid w:val="00DA09FA"/>
    <w:rsid w:val="00DA0C7F"/>
    <w:rsid w:val="00DA10CA"/>
    <w:rsid w:val="00DA11BA"/>
    <w:rsid w:val="00DA199C"/>
    <w:rsid w:val="00DA1A02"/>
    <w:rsid w:val="00DA1B01"/>
    <w:rsid w:val="00DA1B77"/>
    <w:rsid w:val="00DA26BB"/>
    <w:rsid w:val="00DA28CC"/>
    <w:rsid w:val="00DA2BA9"/>
    <w:rsid w:val="00DA2D73"/>
    <w:rsid w:val="00DA3322"/>
    <w:rsid w:val="00DA3494"/>
    <w:rsid w:val="00DA3CA8"/>
    <w:rsid w:val="00DA3E3A"/>
    <w:rsid w:val="00DA3F78"/>
    <w:rsid w:val="00DA3FE4"/>
    <w:rsid w:val="00DA406E"/>
    <w:rsid w:val="00DA43D6"/>
    <w:rsid w:val="00DA452E"/>
    <w:rsid w:val="00DA4586"/>
    <w:rsid w:val="00DA45CE"/>
    <w:rsid w:val="00DA4902"/>
    <w:rsid w:val="00DA495D"/>
    <w:rsid w:val="00DA498B"/>
    <w:rsid w:val="00DA515A"/>
    <w:rsid w:val="00DA522A"/>
    <w:rsid w:val="00DA5411"/>
    <w:rsid w:val="00DA56A5"/>
    <w:rsid w:val="00DA5802"/>
    <w:rsid w:val="00DA5965"/>
    <w:rsid w:val="00DA5B83"/>
    <w:rsid w:val="00DA5D84"/>
    <w:rsid w:val="00DA61A5"/>
    <w:rsid w:val="00DA6647"/>
    <w:rsid w:val="00DA6763"/>
    <w:rsid w:val="00DA6CF9"/>
    <w:rsid w:val="00DA772D"/>
    <w:rsid w:val="00DA7B6B"/>
    <w:rsid w:val="00DA7C7C"/>
    <w:rsid w:val="00DA7E3B"/>
    <w:rsid w:val="00DB0002"/>
    <w:rsid w:val="00DB099F"/>
    <w:rsid w:val="00DB0C64"/>
    <w:rsid w:val="00DB0CDD"/>
    <w:rsid w:val="00DB0D8D"/>
    <w:rsid w:val="00DB0DE4"/>
    <w:rsid w:val="00DB0EDD"/>
    <w:rsid w:val="00DB0F41"/>
    <w:rsid w:val="00DB1195"/>
    <w:rsid w:val="00DB1899"/>
    <w:rsid w:val="00DB1C26"/>
    <w:rsid w:val="00DB1F2A"/>
    <w:rsid w:val="00DB2001"/>
    <w:rsid w:val="00DB22C2"/>
    <w:rsid w:val="00DB2320"/>
    <w:rsid w:val="00DB2389"/>
    <w:rsid w:val="00DB2464"/>
    <w:rsid w:val="00DB2480"/>
    <w:rsid w:val="00DB25DF"/>
    <w:rsid w:val="00DB2AEF"/>
    <w:rsid w:val="00DB2CF6"/>
    <w:rsid w:val="00DB2F58"/>
    <w:rsid w:val="00DB36B7"/>
    <w:rsid w:val="00DB373B"/>
    <w:rsid w:val="00DB378F"/>
    <w:rsid w:val="00DB3924"/>
    <w:rsid w:val="00DB3AFD"/>
    <w:rsid w:val="00DB3EFA"/>
    <w:rsid w:val="00DB3F8E"/>
    <w:rsid w:val="00DB4112"/>
    <w:rsid w:val="00DB42DF"/>
    <w:rsid w:val="00DB44ED"/>
    <w:rsid w:val="00DB46BE"/>
    <w:rsid w:val="00DB46D7"/>
    <w:rsid w:val="00DB4C39"/>
    <w:rsid w:val="00DB4F04"/>
    <w:rsid w:val="00DB4F87"/>
    <w:rsid w:val="00DB506A"/>
    <w:rsid w:val="00DB5368"/>
    <w:rsid w:val="00DB540F"/>
    <w:rsid w:val="00DB5CED"/>
    <w:rsid w:val="00DB5ED6"/>
    <w:rsid w:val="00DB672E"/>
    <w:rsid w:val="00DB6D60"/>
    <w:rsid w:val="00DB6E1D"/>
    <w:rsid w:val="00DB6F1C"/>
    <w:rsid w:val="00DB70CE"/>
    <w:rsid w:val="00DB72CD"/>
    <w:rsid w:val="00DB750C"/>
    <w:rsid w:val="00DB7C69"/>
    <w:rsid w:val="00DB7E7E"/>
    <w:rsid w:val="00DC00ED"/>
    <w:rsid w:val="00DC0242"/>
    <w:rsid w:val="00DC0339"/>
    <w:rsid w:val="00DC0378"/>
    <w:rsid w:val="00DC0636"/>
    <w:rsid w:val="00DC06DA"/>
    <w:rsid w:val="00DC0A80"/>
    <w:rsid w:val="00DC0B37"/>
    <w:rsid w:val="00DC0DCB"/>
    <w:rsid w:val="00DC11E7"/>
    <w:rsid w:val="00DC12CB"/>
    <w:rsid w:val="00DC170D"/>
    <w:rsid w:val="00DC1F26"/>
    <w:rsid w:val="00DC2898"/>
    <w:rsid w:val="00DC2B47"/>
    <w:rsid w:val="00DC2B6C"/>
    <w:rsid w:val="00DC2B8C"/>
    <w:rsid w:val="00DC2D61"/>
    <w:rsid w:val="00DC3064"/>
    <w:rsid w:val="00DC3474"/>
    <w:rsid w:val="00DC377A"/>
    <w:rsid w:val="00DC39A6"/>
    <w:rsid w:val="00DC3AEC"/>
    <w:rsid w:val="00DC3E35"/>
    <w:rsid w:val="00DC42B3"/>
    <w:rsid w:val="00DC4452"/>
    <w:rsid w:val="00DC4C00"/>
    <w:rsid w:val="00DC556E"/>
    <w:rsid w:val="00DC575B"/>
    <w:rsid w:val="00DC5877"/>
    <w:rsid w:val="00DC58CB"/>
    <w:rsid w:val="00DC5C2B"/>
    <w:rsid w:val="00DC5C6C"/>
    <w:rsid w:val="00DC5D0D"/>
    <w:rsid w:val="00DC5E2B"/>
    <w:rsid w:val="00DC5FB6"/>
    <w:rsid w:val="00DC616E"/>
    <w:rsid w:val="00DC62BC"/>
    <w:rsid w:val="00DC67DB"/>
    <w:rsid w:val="00DC726A"/>
    <w:rsid w:val="00DC7655"/>
    <w:rsid w:val="00DC77ED"/>
    <w:rsid w:val="00DC7857"/>
    <w:rsid w:val="00DC7EC8"/>
    <w:rsid w:val="00DD01C4"/>
    <w:rsid w:val="00DD025D"/>
    <w:rsid w:val="00DD0547"/>
    <w:rsid w:val="00DD06B6"/>
    <w:rsid w:val="00DD0A3C"/>
    <w:rsid w:val="00DD1031"/>
    <w:rsid w:val="00DD1159"/>
    <w:rsid w:val="00DD1738"/>
    <w:rsid w:val="00DD1997"/>
    <w:rsid w:val="00DD1B5C"/>
    <w:rsid w:val="00DD1DA7"/>
    <w:rsid w:val="00DD1DC0"/>
    <w:rsid w:val="00DD1E52"/>
    <w:rsid w:val="00DD1FEF"/>
    <w:rsid w:val="00DD26AB"/>
    <w:rsid w:val="00DD2D9B"/>
    <w:rsid w:val="00DD308C"/>
    <w:rsid w:val="00DD3F2E"/>
    <w:rsid w:val="00DD47ED"/>
    <w:rsid w:val="00DD4B36"/>
    <w:rsid w:val="00DD4FFD"/>
    <w:rsid w:val="00DD52D2"/>
    <w:rsid w:val="00DD53F0"/>
    <w:rsid w:val="00DD54F9"/>
    <w:rsid w:val="00DD59DC"/>
    <w:rsid w:val="00DD5A6D"/>
    <w:rsid w:val="00DD5CE9"/>
    <w:rsid w:val="00DD5F27"/>
    <w:rsid w:val="00DD6236"/>
    <w:rsid w:val="00DD6B56"/>
    <w:rsid w:val="00DD77E6"/>
    <w:rsid w:val="00DD79AA"/>
    <w:rsid w:val="00DD7A91"/>
    <w:rsid w:val="00DD7CCF"/>
    <w:rsid w:val="00DD7EDC"/>
    <w:rsid w:val="00DD7F41"/>
    <w:rsid w:val="00DE017B"/>
    <w:rsid w:val="00DE01A6"/>
    <w:rsid w:val="00DE0720"/>
    <w:rsid w:val="00DE07FF"/>
    <w:rsid w:val="00DE0A17"/>
    <w:rsid w:val="00DE0BE6"/>
    <w:rsid w:val="00DE0D39"/>
    <w:rsid w:val="00DE177E"/>
    <w:rsid w:val="00DE18D1"/>
    <w:rsid w:val="00DE1A66"/>
    <w:rsid w:val="00DE1D97"/>
    <w:rsid w:val="00DE23EA"/>
    <w:rsid w:val="00DE23F2"/>
    <w:rsid w:val="00DE24A3"/>
    <w:rsid w:val="00DE26AB"/>
    <w:rsid w:val="00DE28B0"/>
    <w:rsid w:val="00DE293B"/>
    <w:rsid w:val="00DE2989"/>
    <w:rsid w:val="00DE2A19"/>
    <w:rsid w:val="00DE2AFC"/>
    <w:rsid w:val="00DE2BB5"/>
    <w:rsid w:val="00DE2F08"/>
    <w:rsid w:val="00DE308F"/>
    <w:rsid w:val="00DE31A4"/>
    <w:rsid w:val="00DE335E"/>
    <w:rsid w:val="00DE339E"/>
    <w:rsid w:val="00DE3771"/>
    <w:rsid w:val="00DE398D"/>
    <w:rsid w:val="00DE3C9D"/>
    <w:rsid w:val="00DE3E08"/>
    <w:rsid w:val="00DE401B"/>
    <w:rsid w:val="00DE407C"/>
    <w:rsid w:val="00DE4481"/>
    <w:rsid w:val="00DE4AB7"/>
    <w:rsid w:val="00DE4ABC"/>
    <w:rsid w:val="00DE4EEF"/>
    <w:rsid w:val="00DE5443"/>
    <w:rsid w:val="00DE5D83"/>
    <w:rsid w:val="00DE6799"/>
    <w:rsid w:val="00DE6C81"/>
    <w:rsid w:val="00DE6CFD"/>
    <w:rsid w:val="00DE6ED8"/>
    <w:rsid w:val="00DE790F"/>
    <w:rsid w:val="00DE7DE3"/>
    <w:rsid w:val="00DE7E23"/>
    <w:rsid w:val="00DF00F7"/>
    <w:rsid w:val="00DF028E"/>
    <w:rsid w:val="00DF0529"/>
    <w:rsid w:val="00DF0703"/>
    <w:rsid w:val="00DF074F"/>
    <w:rsid w:val="00DF07AB"/>
    <w:rsid w:val="00DF07B2"/>
    <w:rsid w:val="00DF0D56"/>
    <w:rsid w:val="00DF12AA"/>
    <w:rsid w:val="00DF1370"/>
    <w:rsid w:val="00DF184E"/>
    <w:rsid w:val="00DF1901"/>
    <w:rsid w:val="00DF216B"/>
    <w:rsid w:val="00DF2506"/>
    <w:rsid w:val="00DF2AC1"/>
    <w:rsid w:val="00DF2F46"/>
    <w:rsid w:val="00DF34D1"/>
    <w:rsid w:val="00DF36F0"/>
    <w:rsid w:val="00DF4B29"/>
    <w:rsid w:val="00DF4C05"/>
    <w:rsid w:val="00DF4EE9"/>
    <w:rsid w:val="00DF4F8B"/>
    <w:rsid w:val="00DF506F"/>
    <w:rsid w:val="00DF507E"/>
    <w:rsid w:val="00DF5263"/>
    <w:rsid w:val="00DF5401"/>
    <w:rsid w:val="00DF56DA"/>
    <w:rsid w:val="00DF576F"/>
    <w:rsid w:val="00DF57D1"/>
    <w:rsid w:val="00DF5966"/>
    <w:rsid w:val="00DF5CB2"/>
    <w:rsid w:val="00DF5F46"/>
    <w:rsid w:val="00DF64DB"/>
    <w:rsid w:val="00DF6560"/>
    <w:rsid w:val="00DF67F6"/>
    <w:rsid w:val="00DF6A13"/>
    <w:rsid w:val="00DF6A88"/>
    <w:rsid w:val="00DF6EEE"/>
    <w:rsid w:val="00DF7307"/>
    <w:rsid w:val="00DF78C2"/>
    <w:rsid w:val="00DF7A24"/>
    <w:rsid w:val="00DF7C01"/>
    <w:rsid w:val="00DF7E37"/>
    <w:rsid w:val="00E00246"/>
    <w:rsid w:val="00E00727"/>
    <w:rsid w:val="00E00C05"/>
    <w:rsid w:val="00E00C13"/>
    <w:rsid w:val="00E00C53"/>
    <w:rsid w:val="00E010D8"/>
    <w:rsid w:val="00E018AF"/>
    <w:rsid w:val="00E01985"/>
    <w:rsid w:val="00E01A85"/>
    <w:rsid w:val="00E01B2B"/>
    <w:rsid w:val="00E02194"/>
    <w:rsid w:val="00E024CB"/>
    <w:rsid w:val="00E024F9"/>
    <w:rsid w:val="00E026E6"/>
    <w:rsid w:val="00E027BD"/>
    <w:rsid w:val="00E02996"/>
    <w:rsid w:val="00E029AD"/>
    <w:rsid w:val="00E02AF1"/>
    <w:rsid w:val="00E02B72"/>
    <w:rsid w:val="00E0323A"/>
    <w:rsid w:val="00E03367"/>
    <w:rsid w:val="00E033DA"/>
    <w:rsid w:val="00E0414A"/>
    <w:rsid w:val="00E04532"/>
    <w:rsid w:val="00E04B9C"/>
    <w:rsid w:val="00E04F5A"/>
    <w:rsid w:val="00E04FEA"/>
    <w:rsid w:val="00E05481"/>
    <w:rsid w:val="00E058C9"/>
    <w:rsid w:val="00E05997"/>
    <w:rsid w:val="00E05CD0"/>
    <w:rsid w:val="00E07688"/>
    <w:rsid w:val="00E07D1E"/>
    <w:rsid w:val="00E07D36"/>
    <w:rsid w:val="00E07E7C"/>
    <w:rsid w:val="00E10289"/>
    <w:rsid w:val="00E10336"/>
    <w:rsid w:val="00E10392"/>
    <w:rsid w:val="00E1101C"/>
    <w:rsid w:val="00E11211"/>
    <w:rsid w:val="00E112EB"/>
    <w:rsid w:val="00E114FD"/>
    <w:rsid w:val="00E1191A"/>
    <w:rsid w:val="00E11945"/>
    <w:rsid w:val="00E11B8C"/>
    <w:rsid w:val="00E11BC4"/>
    <w:rsid w:val="00E11CB2"/>
    <w:rsid w:val="00E122E6"/>
    <w:rsid w:val="00E12A20"/>
    <w:rsid w:val="00E13048"/>
    <w:rsid w:val="00E1324B"/>
    <w:rsid w:val="00E1351F"/>
    <w:rsid w:val="00E135B3"/>
    <w:rsid w:val="00E13B28"/>
    <w:rsid w:val="00E15485"/>
    <w:rsid w:val="00E1574E"/>
    <w:rsid w:val="00E1594B"/>
    <w:rsid w:val="00E15A17"/>
    <w:rsid w:val="00E15AD4"/>
    <w:rsid w:val="00E15D31"/>
    <w:rsid w:val="00E15D9C"/>
    <w:rsid w:val="00E15DB4"/>
    <w:rsid w:val="00E15DB5"/>
    <w:rsid w:val="00E15E42"/>
    <w:rsid w:val="00E1600B"/>
    <w:rsid w:val="00E16122"/>
    <w:rsid w:val="00E16498"/>
    <w:rsid w:val="00E16DC1"/>
    <w:rsid w:val="00E16E1E"/>
    <w:rsid w:val="00E1708B"/>
    <w:rsid w:val="00E171A6"/>
    <w:rsid w:val="00E17466"/>
    <w:rsid w:val="00E179E7"/>
    <w:rsid w:val="00E17BAD"/>
    <w:rsid w:val="00E17BBD"/>
    <w:rsid w:val="00E17DF5"/>
    <w:rsid w:val="00E17E28"/>
    <w:rsid w:val="00E20180"/>
    <w:rsid w:val="00E2024E"/>
    <w:rsid w:val="00E2070B"/>
    <w:rsid w:val="00E209E2"/>
    <w:rsid w:val="00E20D5C"/>
    <w:rsid w:val="00E214AE"/>
    <w:rsid w:val="00E2151E"/>
    <w:rsid w:val="00E21608"/>
    <w:rsid w:val="00E216E5"/>
    <w:rsid w:val="00E21BD0"/>
    <w:rsid w:val="00E21D20"/>
    <w:rsid w:val="00E21F53"/>
    <w:rsid w:val="00E2269B"/>
    <w:rsid w:val="00E227CE"/>
    <w:rsid w:val="00E227D0"/>
    <w:rsid w:val="00E229B6"/>
    <w:rsid w:val="00E22C7F"/>
    <w:rsid w:val="00E233A3"/>
    <w:rsid w:val="00E24132"/>
    <w:rsid w:val="00E242FA"/>
    <w:rsid w:val="00E24571"/>
    <w:rsid w:val="00E24B88"/>
    <w:rsid w:val="00E24F4A"/>
    <w:rsid w:val="00E25234"/>
    <w:rsid w:val="00E25950"/>
    <w:rsid w:val="00E25F58"/>
    <w:rsid w:val="00E263FD"/>
    <w:rsid w:val="00E26AE5"/>
    <w:rsid w:val="00E26F45"/>
    <w:rsid w:val="00E2714A"/>
    <w:rsid w:val="00E278AE"/>
    <w:rsid w:val="00E27E1E"/>
    <w:rsid w:val="00E30761"/>
    <w:rsid w:val="00E3100B"/>
    <w:rsid w:val="00E311DC"/>
    <w:rsid w:val="00E313F9"/>
    <w:rsid w:val="00E3149A"/>
    <w:rsid w:val="00E314AE"/>
    <w:rsid w:val="00E31592"/>
    <w:rsid w:val="00E315E8"/>
    <w:rsid w:val="00E31870"/>
    <w:rsid w:val="00E31A05"/>
    <w:rsid w:val="00E31C40"/>
    <w:rsid w:val="00E31CB8"/>
    <w:rsid w:val="00E31D49"/>
    <w:rsid w:val="00E3277A"/>
    <w:rsid w:val="00E327BF"/>
    <w:rsid w:val="00E32DEC"/>
    <w:rsid w:val="00E32F82"/>
    <w:rsid w:val="00E3388F"/>
    <w:rsid w:val="00E34195"/>
    <w:rsid w:val="00E341AE"/>
    <w:rsid w:val="00E342D5"/>
    <w:rsid w:val="00E34389"/>
    <w:rsid w:val="00E34B4B"/>
    <w:rsid w:val="00E34CA0"/>
    <w:rsid w:val="00E35367"/>
    <w:rsid w:val="00E35536"/>
    <w:rsid w:val="00E357DF"/>
    <w:rsid w:val="00E35954"/>
    <w:rsid w:val="00E35AAA"/>
    <w:rsid w:val="00E3666E"/>
    <w:rsid w:val="00E368DC"/>
    <w:rsid w:val="00E36E82"/>
    <w:rsid w:val="00E377F3"/>
    <w:rsid w:val="00E37B85"/>
    <w:rsid w:val="00E37BD3"/>
    <w:rsid w:val="00E37BDC"/>
    <w:rsid w:val="00E37E65"/>
    <w:rsid w:val="00E4039B"/>
    <w:rsid w:val="00E40B7B"/>
    <w:rsid w:val="00E40E32"/>
    <w:rsid w:val="00E40FEA"/>
    <w:rsid w:val="00E411F4"/>
    <w:rsid w:val="00E4124F"/>
    <w:rsid w:val="00E41306"/>
    <w:rsid w:val="00E41776"/>
    <w:rsid w:val="00E41D95"/>
    <w:rsid w:val="00E41F9F"/>
    <w:rsid w:val="00E42017"/>
    <w:rsid w:val="00E42042"/>
    <w:rsid w:val="00E424E2"/>
    <w:rsid w:val="00E4275A"/>
    <w:rsid w:val="00E4278A"/>
    <w:rsid w:val="00E43340"/>
    <w:rsid w:val="00E43631"/>
    <w:rsid w:val="00E43776"/>
    <w:rsid w:val="00E440A3"/>
    <w:rsid w:val="00E4438C"/>
    <w:rsid w:val="00E445A7"/>
    <w:rsid w:val="00E44823"/>
    <w:rsid w:val="00E44897"/>
    <w:rsid w:val="00E44A90"/>
    <w:rsid w:val="00E44AC4"/>
    <w:rsid w:val="00E45133"/>
    <w:rsid w:val="00E454CD"/>
    <w:rsid w:val="00E455B8"/>
    <w:rsid w:val="00E45667"/>
    <w:rsid w:val="00E45F1E"/>
    <w:rsid w:val="00E464E3"/>
    <w:rsid w:val="00E468A4"/>
    <w:rsid w:val="00E46F56"/>
    <w:rsid w:val="00E4764D"/>
    <w:rsid w:val="00E47840"/>
    <w:rsid w:val="00E478A5"/>
    <w:rsid w:val="00E47941"/>
    <w:rsid w:val="00E47E2B"/>
    <w:rsid w:val="00E50621"/>
    <w:rsid w:val="00E509DD"/>
    <w:rsid w:val="00E50CF8"/>
    <w:rsid w:val="00E50D9C"/>
    <w:rsid w:val="00E50E06"/>
    <w:rsid w:val="00E50F12"/>
    <w:rsid w:val="00E5111F"/>
    <w:rsid w:val="00E51168"/>
    <w:rsid w:val="00E511AB"/>
    <w:rsid w:val="00E511B7"/>
    <w:rsid w:val="00E512FC"/>
    <w:rsid w:val="00E5150B"/>
    <w:rsid w:val="00E51A7E"/>
    <w:rsid w:val="00E51BB2"/>
    <w:rsid w:val="00E51F5C"/>
    <w:rsid w:val="00E52562"/>
    <w:rsid w:val="00E528E1"/>
    <w:rsid w:val="00E52AA0"/>
    <w:rsid w:val="00E52DDE"/>
    <w:rsid w:val="00E52EA6"/>
    <w:rsid w:val="00E53168"/>
    <w:rsid w:val="00E53378"/>
    <w:rsid w:val="00E53C03"/>
    <w:rsid w:val="00E53D86"/>
    <w:rsid w:val="00E53EE4"/>
    <w:rsid w:val="00E543F5"/>
    <w:rsid w:val="00E54567"/>
    <w:rsid w:val="00E54B7C"/>
    <w:rsid w:val="00E54D37"/>
    <w:rsid w:val="00E54EBD"/>
    <w:rsid w:val="00E55168"/>
    <w:rsid w:val="00E55174"/>
    <w:rsid w:val="00E551D4"/>
    <w:rsid w:val="00E5532C"/>
    <w:rsid w:val="00E55A1E"/>
    <w:rsid w:val="00E55FB3"/>
    <w:rsid w:val="00E564EC"/>
    <w:rsid w:val="00E56CEE"/>
    <w:rsid w:val="00E56F56"/>
    <w:rsid w:val="00E56F6B"/>
    <w:rsid w:val="00E573FB"/>
    <w:rsid w:val="00E57BC2"/>
    <w:rsid w:val="00E57D07"/>
    <w:rsid w:val="00E57D1C"/>
    <w:rsid w:val="00E57F6F"/>
    <w:rsid w:val="00E60150"/>
    <w:rsid w:val="00E60833"/>
    <w:rsid w:val="00E60DD9"/>
    <w:rsid w:val="00E60E45"/>
    <w:rsid w:val="00E61088"/>
    <w:rsid w:val="00E611EC"/>
    <w:rsid w:val="00E61A16"/>
    <w:rsid w:val="00E61A29"/>
    <w:rsid w:val="00E61A30"/>
    <w:rsid w:val="00E6259A"/>
    <w:rsid w:val="00E627A6"/>
    <w:rsid w:val="00E62AE8"/>
    <w:rsid w:val="00E62C6E"/>
    <w:rsid w:val="00E62FDE"/>
    <w:rsid w:val="00E635B0"/>
    <w:rsid w:val="00E63837"/>
    <w:rsid w:val="00E63860"/>
    <w:rsid w:val="00E64416"/>
    <w:rsid w:val="00E64AEC"/>
    <w:rsid w:val="00E6563F"/>
    <w:rsid w:val="00E65964"/>
    <w:rsid w:val="00E65D94"/>
    <w:rsid w:val="00E66173"/>
    <w:rsid w:val="00E66B1A"/>
    <w:rsid w:val="00E67129"/>
    <w:rsid w:val="00E671B2"/>
    <w:rsid w:val="00E67F93"/>
    <w:rsid w:val="00E7007F"/>
    <w:rsid w:val="00E701AA"/>
    <w:rsid w:val="00E70220"/>
    <w:rsid w:val="00E7029D"/>
    <w:rsid w:val="00E705A7"/>
    <w:rsid w:val="00E7076C"/>
    <w:rsid w:val="00E70865"/>
    <w:rsid w:val="00E73043"/>
    <w:rsid w:val="00E733DD"/>
    <w:rsid w:val="00E736DA"/>
    <w:rsid w:val="00E73983"/>
    <w:rsid w:val="00E73C21"/>
    <w:rsid w:val="00E73CEE"/>
    <w:rsid w:val="00E73DE6"/>
    <w:rsid w:val="00E73DE8"/>
    <w:rsid w:val="00E73E9F"/>
    <w:rsid w:val="00E73FA6"/>
    <w:rsid w:val="00E741D3"/>
    <w:rsid w:val="00E744EB"/>
    <w:rsid w:val="00E74598"/>
    <w:rsid w:val="00E748EC"/>
    <w:rsid w:val="00E74AE6"/>
    <w:rsid w:val="00E74F52"/>
    <w:rsid w:val="00E74FDF"/>
    <w:rsid w:val="00E75390"/>
    <w:rsid w:val="00E7552C"/>
    <w:rsid w:val="00E75A94"/>
    <w:rsid w:val="00E75E9C"/>
    <w:rsid w:val="00E75F5C"/>
    <w:rsid w:val="00E75F8F"/>
    <w:rsid w:val="00E760CF"/>
    <w:rsid w:val="00E7646F"/>
    <w:rsid w:val="00E76509"/>
    <w:rsid w:val="00E76886"/>
    <w:rsid w:val="00E76CAA"/>
    <w:rsid w:val="00E76CBD"/>
    <w:rsid w:val="00E77511"/>
    <w:rsid w:val="00E775DA"/>
    <w:rsid w:val="00E777CF"/>
    <w:rsid w:val="00E77901"/>
    <w:rsid w:val="00E77D1B"/>
    <w:rsid w:val="00E77D5A"/>
    <w:rsid w:val="00E77E12"/>
    <w:rsid w:val="00E80E2D"/>
    <w:rsid w:val="00E8134B"/>
    <w:rsid w:val="00E816E6"/>
    <w:rsid w:val="00E818E4"/>
    <w:rsid w:val="00E823F7"/>
    <w:rsid w:val="00E825CD"/>
    <w:rsid w:val="00E82873"/>
    <w:rsid w:val="00E82C74"/>
    <w:rsid w:val="00E830DD"/>
    <w:rsid w:val="00E83834"/>
    <w:rsid w:val="00E83E53"/>
    <w:rsid w:val="00E844B8"/>
    <w:rsid w:val="00E84749"/>
    <w:rsid w:val="00E84851"/>
    <w:rsid w:val="00E849A8"/>
    <w:rsid w:val="00E84E84"/>
    <w:rsid w:val="00E84F32"/>
    <w:rsid w:val="00E8502F"/>
    <w:rsid w:val="00E85209"/>
    <w:rsid w:val="00E8532D"/>
    <w:rsid w:val="00E853CC"/>
    <w:rsid w:val="00E8551A"/>
    <w:rsid w:val="00E8552C"/>
    <w:rsid w:val="00E857DA"/>
    <w:rsid w:val="00E85912"/>
    <w:rsid w:val="00E85DBB"/>
    <w:rsid w:val="00E86198"/>
    <w:rsid w:val="00E86210"/>
    <w:rsid w:val="00E862E9"/>
    <w:rsid w:val="00E864B9"/>
    <w:rsid w:val="00E864E7"/>
    <w:rsid w:val="00E86C11"/>
    <w:rsid w:val="00E86D04"/>
    <w:rsid w:val="00E86D30"/>
    <w:rsid w:val="00E86DE5"/>
    <w:rsid w:val="00E87557"/>
    <w:rsid w:val="00E877EF"/>
    <w:rsid w:val="00E87E1C"/>
    <w:rsid w:val="00E87FFA"/>
    <w:rsid w:val="00E903F8"/>
    <w:rsid w:val="00E90532"/>
    <w:rsid w:val="00E9074A"/>
    <w:rsid w:val="00E90BBC"/>
    <w:rsid w:val="00E91015"/>
    <w:rsid w:val="00E91677"/>
    <w:rsid w:val="00E91BB4"/>
    <w:rsid w:val="00E924ED"/>
    <w:rsid w:val="00E92701"/>
    <w:rsid w:val="00E92880"/>
    <w:rsid w:val="00E931F9"/>
    <w:rsid w:val="00E933CC"/>
    <w:rsid w:val="00E93702"/>
    <w:rsid w:val="00E938F8"/>
    <w:rsid w:val="00E939E1"/>
    <w:rsid w:val="00E93A8B"/>
    <w:rsid w:val="00E93C4B"/>
    <w:rsid w:val="00E94056"/>
    <w:rsid w:val="00E94FBE"/>
    <w:rsid w:val="00E9548F"/>
    <w:rsid w:val="00E95CBC"/>
    <w:rsid w:val="00E96087"/>
    <w:rsid w:val="00E96162"/>
    <w:rsid w:val="00E9620D"/>
    <w:rsid w:val="00E962AE"/>
    <w:rsid w:val="00E9665D"/>
    <w:rsid w:val="00E968B4"/>
    <w:rsid w:val="00E96B52"/>
    <w:rsid w:val="00E96FF8"/>
    <w:rsid w:val="00E9718C"/>
    <w:rsid w:val="00E97781"/>
    <w:rsid w:val="00E97D75"/>
    <w:rsid w:val="00E97E4A"/>
    <w:rsid w:val="00EA05CF"/>
    <w:rsid w:val="00EA0620"/>
    <w:rsid w:val="00EA0924"/>
    <w:rsid w:val="00EA0A05"/>
    <w:rsid w:val="00EA0CB1"/>
    <w:rsid w:val="00EA0D7C"/>
    <w:rsid w:val="00EA109C"/>
    <w:rsid w:val="00EA162D"/>
    <w:rsid w:val="00EA1953"/>
    <w:rsid w:val="00EA2A5A"/>
    <w:rsid w:val="00EA2ADA"/>
    <w:rsid w:val="00EA35B7"/>
    <w:rsid w:val="00EA38D8"/>
    <w:rsid w:val="00EA4058"/>
    <w:rsid w:val="00EA416C"/>
    <w:rsid w:val="00EA461A"/>
    <w:rsid w:val="00EA4629"/>
    <w:rsid w:val="00EA4906"/>
    <w:rsid w:val="00EA4D01"/>
    <w:rsid w:val="00EA5475"/>
    <w:rsid w:val="00EA5555"/>
    <w:rsid w:val="00EA57A7"/>
    <w:rsid w:val="00EA5A95"/>
    <w:rsid w:val="00EA62E9"/>
    <w:rsid w:val="00EA646F"/>
    <w:rsid w:val="00EA6DE7"/>
    <w:rsid w:val="00EA6F4C"/>
    <w:rsid w:val="00EA7494"/>
    <w:rsid w:val="00EA758F"/>
    <w:rsid w:val="00EA7884"/>
    <w:rsid w:val="00EA7DAC"/>
    <w:rsid w:val="00EB0170"/>
    <w:rsid w:val="00EB01B4"/>
    <w:rsid w:val="00EB0490"/>
    <w:rsid w:val="00EB059D"/>
    <w:rsid w:val="00EB06C6"/>
    <w:rsid w:val="00EB0A67"/>
    <w:rsid w:val="00EB14E0"/>
    <w:rsid w:val="00EB1674"/>
    <w:rsid w:val="00EB16EF"/>
    <w:rsid w:val="00EB19B8"/>
    <w:rsid w:val="00EB1CC8"/>
    <w:rsid w:val="00EB2104"/>
    <w:rsid w:val="00EB227A"/>
    <w:rsid w:val="00EB24CD"/>
    <w:rsid w:val="00EB2538"/>
    <w:rsid w:val="00EB25D4"/>
    <w:rsid w:val="00EB2B66"/>
    <w:rsid w:val="00EB2C5E"/>
    <w:rsid w:val="00EB333B"/>
    <w:rsid w:val="00EB3341"/>
    <w:rsid w:val="00EB3685"/>
    <w:rsid w:val="00EB3BE7"/>
    <w:rsid w:val="00EB3CFF"/>
    <w:rsid w:val="00EB41CA"/>
    <w:rsid w:val="00EB4A84"/>
    <w:rsid w:val="00EB5054"/>
    <w:rsid w:val="00EB508A"/>
    <w:rsid w:val="00EB5185"/>
    <w:rsid w:val="00EB51CE"/>
    <w:rsid w:val="00EB5263"/>
    <w:rsid w:val="00EB52C3"/>
    <w:rsid w:val="00EB54A0"/>
    <w:rsid w:val="00EB5F53"/>
    <w:rsid w:val="00EB5F76"/>
    <w:rsid w:val="00EB6188"/>
    <w:rsid w:val="00EB67EC"/>
    <w:rsid w:val="00EB69AC"/>
    <w:rsid w:val="00EB6D03"/>
    <w:rsid w:val="00EB6F98"/>
    <w:rsid w:val="00EB7204"/>
    <w:rsid w:val="00EB74F0"/>
    <w:rsid w:val="00EB7875"/>
    <w:rsid w:val="00EB7B25"/>
    <w:rsid w:val="00EB7C4B"/>
    <w:rsid w:val="00EB7D98"/>
    <w:rsid w:val="00EB7EBA"/>
    <w:rsid w:val="00EB7FB2"/>
    <w:rsid w:val="00EC00C6"/>
    <w:rsid w:val="00EC0497"/>
    <w:rsid w:val="00EC0781"/>
    <w:rsid w:val="00EC09C1"/>
    <w:rsid w:val="00EC0A72"/>
    <w:rsid w:val="00EC0AEC"/>
    <w:rsid w:val="00EC0F9B"/>
    <w:rsid w:val="00EC1943"/>
    <w:rsid w:val="00EC1987"/>
    <w:rsid w:val="00EC1C8D"/>
    <w:rsid w:val="00EC1DE4"/>
    <w:rsid w:val="00EC21E2"/>
    <w:rsid w:val="00EC27BB"/>
    <w:rsid w:val="00EC28A6"/>
    <w:rsid w:val="00EC2AA8"/>
    <w:rsid w:val="00EC2ADA"/>
    <w:rsid w:val="00EC2F6F"/>
    <w:rsid w:val="00EC31BA"/>
    <w:rsid w:val="00EC3654"/>
    <w:rsid w:val="00EC37D6"/>
    <w:rsid w:val="00EC3AB7"/>
    <w:rsid w:val="00EC3B75"/>
    <w:rsid w:val="00EC3C07"/>
    <w:rsid w:val="00EC3EA5"/>
    <w:rsid w:val="00EC3FCD"/>
    <w:rsid w:val="00EC405D"/>
    <w:rsid w:val="00EC40AD"/>
    <w:rsid w:val="00EC411C"/>
    <w:rsid w:val="00EC4D6C"/>
    <w:rsid w:val="00EC5198"/>
    <w:rsid w:val="00EC5534"/>
    <w:rsid w:val="00EC572A"/>
    <w:rsid w:val="00EC5916"/>
    <w:rsid w:val="00EC5A4E"/>
    <w:rsid w:val="00EC5EB4"/>
    <w:rsid w:val="00EC5F9A"/>
    <w:rsid w:val="00EC6147"/>
    <w:rsid w:val="00EC6312"/>
    <w:rsid w:val="00EC686B"/>
    <w:rsid w:val="00EC6910"/>
    <w:rsid w:val="00EC6912"/>
    <w:rsid w:val="00EC7414"/>
    <w:rsid w:val="00EC7DCE"/>
    <w:rsid w:val="00ED01F5"/>
    <w:rsid w:val="00ED0559"/>
    <w:rsid w:val="00ED07F5"/>
    <w:rsid w:val="00ED0B23"/>
    <w:rsid w:val="00ED0B9A"/>
    <w:rsid w:val="00ED0CA5"/>
    <w:rsid w:val="00ED0EE1"/>
    <w:rsid w:val="00ED138B"/>
    <w:rsid w:val="00ED1469"/>
    <w:rsid w:val="00ED14AD"/>
    <w:rsid w:val="00ED1808"/>
    <w:rsid w:val="00ED1C13"/>
    <w:rsid w:val="00ED1E42"/>
    <w:rsid w:val="00ED1F91"/>
    <w:rsid w:val="00ED2221"/>
    <w:rsid w:val="00ED2A34"/>
    <w:rsid w:val="00ED2C2E"/>
    <w:rsid w:val="00ED33FA"/>
    <w:rsid w:val="00ED3563"/>
    <w:rsid w:val="00ED3680"/>
    <w:rsid w:val="00ED3897"/>
    <w:rsid w:val="00ED3B19"/>
    <w:rsid w:val="00ED3BF5"/>
    <w:rsid w:val="00ED3D4D"/>
    <w:rsid w:val="00ED3F08"/>
    <w:rsid w:val="00ED4530"/>
    <w:rsid w:val="00ED46E7"/>
    <w:rsid w:val="00ED4F29"/>
    <w:rsid w:val="00ED5088"/>
    <w:rsid w:val="00ED5B0B"/>
    <w:rsid w:val="00ED6539"/>
    <w:rsid w:val="00ED6BAE"/>
    <w:rsid w:val="00ED6BB9"/>
    <w:rsid w:val="00ED7228"/>
    <w:rsid w:val="00ED725A"/>
    <w:rsid w:val="00ED73B6"/>
    <w:rsid w:val="00ED780B"/>
    <w:rsid w:val="00ED7A42"/>
    <w:rsid w:val="00ED7A78"/>
    <w:rsid w:val="00ED7EB3"/>
    <w:rsid w:val="00EE01BE"/>
    <w:rsid w:val="00EE01F1"/>
    <w:rsid w:val="00EE0618"/>
    <w:rsid w:val="00EE0735"/>
    <w:rsid w:val="00EE095D"/>
    <w:rsid w:val="00EE09FA"/>
    <w:rsid w:val="00EE0CB1"/>
    <w:rsid w:val="00EE0F88"/>
    <w:rsid w:val="00EE1084"/>
    <w:rsid w:val="00EE1292"/>
    <w:rsid w:val="00EE164A"/>
    <w:rsid w:val="00EE168C"/>
    <w:rsid w:val="00EE1950"/>
    <w:rsid w:val="00EE1C44"/>
    <w:rsid w:val="00EE1CCA"/>
    <w:rsid w:val="00EE1D78"/>
    <w:rsid w:val="00EE225D"/>
    <w:rsid w:val="00EE2308"/>
    <w:rsid w:val="00EE2417"/>
    <w:rsid w:val="00EE27E8"/>
    <w:rsid w:val="00EE28E9"/>
    <w:rsid w:val="00EE2CC0"/>
    <w:rsid w:val="00EE3082"/>
    <w:rsid w:val="00EE3307"/>
    <w:rsid w:val="00EE399D"/>
    <w:rsid w:val="00EE39B7"/>
    <w:rsid w:val="00EE4B1F"/>
    <w:rsid w:val="00EE5039"/>
    <w:rsid w:val="00EE5577"/>
    <w:rsid w:val="00EE5646"/>
    <w:rsid w:val="00EE572C"/>
    <w:rsid w:val="00EE5774"/>
    <w:rsid w:val="00EE5CF2"/>
    <w:rsid w:val="00EE5E7E"/>
    <w:rsid w:val="00EE6109"/>
    <w:rsid w:val="00EE61F1"/>
    <w:rsid w:val="00EE65A1"/>
    <w:rsid w:val="00EE6708"/>
    <w:rsid w:val="00EE6799"/>
    <w:rsid w:val="00EE69D0"/>
    <w:rsid w:val="00EE6CF6"/>
    <w:rsid w:val="00EE6E58"/>
    <w:rsid w:val="00EE7477"/>
    <w:rsid w:val="00EE7665"/>
    <w:rsid w:val="00EE78EC"/>
    <w:rsid w:val="00EE7AF5"/>
    <w:rsid w:val="00EE7BE6"/>
    <w:rsid w:val="00EE7E95"/>
    <w:rsid w:val="00EE7F64"/>
    <w:rsid w:val="00EE7F6E"/>
    <w:rsid w:val="00EF1767"/>
    <w:rsid w:val="00EF1917"/>
    <w:rsid w:val="00EF1ABB"/>
    <w:rsid w:val="00EF1DFA"/>
    <w:rsid w:val="00EF226D"/>
    <w:rsid w:val="00EF268B"/>
    <w:rsid w:val="00EF2A0D"/>
    <w:rsid w:val="00EF2B0F"/>
    <w:rsid w:val="00EF2F02"/>
    <w:rsid w:val="00EF2FAF"/>
    <w:rsid w:val="00EF30D9"/>
    <w:rsid w:val="00EF33F9"/>
    <w:rsid w:val="00EF348F"/>
    <w:rsid w:val="00EF37B5"/>
    <w:rsid w:val="00EF3839"/>
    <w:rsid w:val="00EF4052"/>
    <w:rsid w:val="00EF43A5"/>
    <w:rsid w:val="00EF450D"/>
    <w:rsid w:val="00EF45B1"/>
    <w:rsid w:val="00EF46F4"/>
    <w:rsid w:val="00EF47C4"/>
    <w:rsid w:val="00EF4C68"/>
    <w:rsid w:val="00EF5495"/>
    <w:rsid w:val="00EF58D4"/>
    <w:rsid w:val="00EF5E43"/>
    <w:rsid w:val="00EF5F3A"/>
    <w:rsid w:val="00EF61D8"/>
    <w:rsid w:val="00EF662B"/>
    <w:rsid w:val="00EF667D"/>
    <w:rsid w:val="00EF6AB6"/>
    <w:rsid w:val="00EF734C"/>
    <w:rsid w:val="00EF73AC"/>
    <w:rsid w:val="00EF76B0"/>
    <w:rsid w:val="00EF7916"/>
    <w:rsid w:val="00F00177"/>
    <w:rsid w:val="00F00DBE"/>
    <w:rsid w:val="00F00F22"/>
    <w:rsid w:val="00F0100C"/>
    <w:rsid w:val="00F0144C"/>
    <w:rsid w:val="00F01907"/>
    <w:rsid w:val="00F01A55"/>
    <w:rsid w:val="00F01B5F"/>
    <w:rsid w:val="00F01F94"/>
    <w:rsid w:val="00F023F3"/>
    <w:rsid w:val="00F02ACA"/>
    <w:rsid w:val="00F02D35"/>
    <w:rsid w:val="00F03344"/>
    <w:rsid w:val="00F03620"/>
    <w:rsid w:val="00F044B1"/>
    <w:rsid w:val="00F04A84"/>
    <w:rsid w:val="00F04AF9"/>
    <w:rsid w:val="00F04CE0"/>
    <w:rsid w:val="00F05083"/>
    <w:rsid w:val="00F05333"/>
    <w:rsid w:val="00F05533"/>
    <w:rsid w:val="00F05A79"/>
    <w:rsid w:val="00F05D1C"/>
    <w:rsid w:val="00F05EEC"/>
    <w:rsid w:val="00F06246"/>
    <w:rsid w:val="00F063E1"/>
    <w:rsid w:val="00F064CE"/>
    <w:rsid w:val="00F0672C"/>
    <w:rsid w:val="00F06879"/>
    <w:rsid w:val="00F07369"/>
    <w:rsid w:val="00F0736C"/>
    <w:rsid w:val="00F075BF"/>
    <w:rsid w:val="00F07EEA"/>
    <w:rsid w:val="00F10528"/>
    <w:rsid w:val="00F1058C"/>
    <w:rsid w:val="00F10854"/>
    <w:rsid w:val="00F111F8"/>
    <w:rsid w:val="00F11AC8"/>
    <w:rsid w:val="00F11F3B"/>
    <w:rsid w:val="00F122E3"/>
    <w:rsid w:val="00F12441"/>
    <w:rsid w:val="00F1266C"/>
    <w:rsid w:val="00F12A94"/>
    <w:rsid w:val="00F1344B"/>
    <w:rsid w:val="00F1344E"/>
    <w:rsid w:val="00F13892"/>
    <w:rsid w:val="00F13B0F"/>
    <w:rsid w:val="00F13B72"/>
    <w:rsid w:val="00F13CE7"/>
    <w:rsid w:val="00F14036"/>
    <w:rsid w:val="00F145C3"/>
    <w:rsid w:val="00F148B7"/>
    <w:rsid w:val="00F149B0"/>
    <w:rsid w:val="00F14B32"/>
    <w:rsid w:val="00F14C32"/>
    <w:rsid w:val="00F14CC5"/>
    <w:rsid w:val="00F154CA"/>
    <w:rsid w:val="00F156B9"/>
    <w:rsid w:val="00F15AA1"/>
    <w:rsid w:val="00F15D7B"/>
    <w:rsid w:val="00F162BD"/>
    <w:rsid w:val="00F164B5"/>
    <w:rsid w:val="00F166BB"/>
    <w:rsid w:val="00F17001"/>
    <w:rsid w:val="00F173C0"/>
    <w:rsid w:val="00F1789D"/>
    <w:rsid w:val="00F17A10"/>
    <w:rsid w:val="00F17C74"/>
    <w:rsid w:val="00F17D38"/>
    <w:rsid w:val="00F20305"/>
    <w:rsid w:val="00F20438"/>
    <w:rsid w:val="00F20477"/>
    <w:rsid w:val="00F20D39"/>
    <w:rsid w:val="00F21212"/>
    <w:rsid w:val="00F21281"/>
    <w:rsid w:val="00F21289"/>
    <w:rsid w:val="00F217BB"/>
    <w:rsid w:val="00F21992"/>
    <w:rsid w:val="00F21C18"/>
    <w:rsid w:val="00F22123"/>
    <w:rsid w:val="00F22462"/>
    <w:rsid w:val="00F225A9"/>
    <w:rsid w:val="00F22931"/>
    <w:rsid w:val="00F22B07"/>
    <w:rsid w:val="00F22C09"/>
    <w:rsid w:val="00F22F40"/>
    <w:rsid w:val="00F22F8C"/>
    <w:rsid w:val="00F23306"/>
    <w:rsid w:val="00F23458"/>
    <w:rsid w:val="00F2357A"/>
    <w:rsid w:val="00F235D3"/>
    <w:rsid w:val="00F2364C"/>
    <w:rsid w:val="00F23B5B"/>
    <w:rsid w:val="00F23C53"/>
    <w:rsid w:val="00F23ECB"/>
    <w:rsid w:val="00F24159"/>
    <w:rsid w:val="00F24353"/>
    <w:rsid w:val="00F248B0"/>
    <w:rsid w:val="00F249DA"/>
    <w:rsid w:val="00F25591"/>
    <w:rsid w:val="00F259AD"/>
    <w:rsid w:val="00F25AD7"/>
    <w:rsid w:val="00F25F91"/>
    <w:rsid w:val="00F261A8"/>
    <w:rsid w:val="00F262E8"/>
    <w:rsid w:val="00F2647D"/>
    <w:rsid w:val="00F265E7"/>
    <w:rsid w:val="00F2693C"/>
    <w:rsid w:val="00F26A21"/>
    <w:rsid w:val="00F26A83"/>
    <w:rsid w:val="00F26B1C"/>
    <w:rsid w:val="00F26B3C"/>
    <w:rsid w:val="00F26B42"/>
    <w:rsid w:val="00F26F9B"/>
    <w:rsid w:val="00F27031"/>
    <w:rsid w:val="00F27210"/>
    <w:rsid w:val="00F27284"/>
    <w:rsid w:val="00F27289"/>
    <w:rsid w:val="00F273DB"/>
    <w:rsid w:val="00F27825"/>
    <w:rsid w:val="00F278F8"/>
    <w:rsid w:val="00F27CA9"/>
    <w:rsid w:val="00F301C7"/>
    <w:rsid w:val="00F30272"/>
    <w:rsid w:val="00F30B83"/>
    <w:rsid w:val="00F312E6"/>
    <w:rsid w:val="00F31411"/>
    <w:rsid w:val="00F31942"/>
    <w:rsid w:val="00F3199C"/>
    <w:rsid w:val="00F3201F"/>
    <w:rsid w:val="00F32389"/>
    <w:rsid w:val="00F324A4"/>
    <w:rsid w:val="00F324C8"/>
    <w:rsid w:val="00F327D3"/>
    <w:rsid w:val="00F32EA6"/>
    <w:rsid w:val="00F3304A"/>
    <w:rsid w:val="00F330D7"/>
    <w:rsid w:val="00F330F9"/>
    <w:rsid w:val="00F33F2A"/>
    <w:rsid w:val="00F33F7A"/>
    <w:rsid w:val="00F34023"/>
    <w:rsid w:val="00F340A5"/>
    <w:rsid w:val="00F34649"/>
    <w:rsid w:val="00F3467D"/>
    <w:rsid w:val="00F3509C"/>
    <w:rsid w:val="00F3557E"/>
    <w:rsid w:val="00F35714"/>
    <w:rsid w:val="00F359EE"/>
    <w:rsid w:val="00F35BDE"/>
    <w:rsid w:val="00F35F27"/>
    <w:rsid w:val="00F360CA"/>
    <w:rsid w:val="00F360E2"/>
    <w:rsid w:val="00F37024"/>
    <w:rsid w:val="00F37571"/>
    <w:rsid w:val="00F375C2"/>
    <w:rsid w:val="00F37603"/>
    <w:rsid w:val="00F37921"/>
    <w:rsid w:val="00F37A9E"/>
    <w:rsid w:val="00F40166"/>
    <w:rsid w:val="00F4041F"/>
    <w:rsid w:val="00F408FF"/>
    <w:rsid w:val="00F409D4"/>
    <w:rsid w:val="00F409EF"/>
    <w:rsid w:val="00F40A29"/>
    <w:rsid w:val="00F4154B"/>
    <w:rsid w:val="00F4160A"/>
    <w:rsid w:val="00F41882"/>
    <w:rsid w:val="00F41AC6"/>
    <w:rsid w:val="00F41DCE"/>
    <w:rsid w:val="00F41DF1"/>
    <w:rsid w:val="00F41E66"/>
    <w:rsid w:val="00F42386"/>
    <w:rsid w:val="00F42982"/>
    <w:rsid w:val="00F42E3C"/>
    <w:rsid w:val="00F42F6E"/>
    <w:rsid w:val="00F42FC1"/>
    <w:rsid w:val="00F43076"/>
    <w:rsid w:val="00F43552"/>
    <w:rsid w:val="00F43696"/>
    <w:rsid w:val="00F436EB"/>
    <w:rsid w:val="00F43B07"/>
    <w:rsid w:val="00F43B85"/>
    <w:rsid w:val="00F43BB8"/>
    <w:rsid w:val="00F43EAE"/>
    <w:rsid w:val="00F44815"/>
    <w:rsid w:val="00F44884"/>
    <w:rsid w:val="00F44B5F"/>
    <w:rsid w:val="00F44C9B"/>
    <w:rsid w:val="00F45038"/>
    <w:rsid w:val="00F450B2"/>
    <w:rsid w:val="00F452C7"/>
    <w:rsid w:val="00F45347"/>
    <w:rsid w:val="00F454BF"/>
    <w:rsid w:val="00F457BF"/>
    <w:rsid w:val="00F4585D"/>
    <w:rsid w:val="00F45D5E"/>
    <w:rsid w:val="00F45EB1"/>
    <w:rsid w:val="00F460B3"/>
    <w:rsid w:val="00F465EE"/>
    <w:rsid w:val="00F466BC"/>
    <w:rsid w:val="00F4677E"/>
    <w:rsid w:val="00F46B23"/>
    <w:rsid w:val="00F477CD"/>
    <w:rsid w:val="00F47887"/>
    <w:rsid w:val="00F47C2A"/>
    <w:rsid w:val="00F47E01"/>
    <w:rsid w:val="00F50003"/>
    <w:rsid w:val="00F50516"/>
    <w:rsid w:val="00F50694"/>
    <w:rsid w:val="00F50B82"/>
    <w:rsid w:val="00F50BBD"/>
    <w:rsid w:val="00F50EDE"/>
    <w:rsid w:val="00F513BD"/>
    <w:rsid w:val="00F51477"/>
    <w:rsid w:val="00F514FE"/>
    <w:rsid w:val="00F51918"/>
    <w:rsid w:val="00F51F38"/>
    <w:rsid w:val="00F523C3"/>
    <w:rsid w:val="00F5295E"/>
    <w:rsid w:val="00F52D3E"/>
    <w:rsid w:val="00F52D4B"/>
    <w:rsid w:val="00F5390D"/>
    <w:rsid w:val="00F53AA2"/>
    <w:rsid w:val="00F53BCB"/>
    <w:rsid w:val="00F53C75"/>
    <w:rsid w:val="00F53FE1"/>
    <w:rsid w:val="00F541CC"/>
    <w:rsid w:val="00F54B8A"/>
    <w:rsid w:val="00F54D78"/>
    <w:rsid w:val="00F54F66"/>
    <w:rsid w:val="00F55494"/>
    <w:rsid w:val="00F55B59"/>
    <w:rsid w:val="00F55FE8"/>
    <w:rsid w:val="00F56316"/>
    <w:rsid w:val="00F56E62"/>
    <w:rsid w:val="00F57222"/>
    <w:rsid w:val="00F57EF6"/>
    <w:rsid w:val="00F600C0"/>
    <w:rsid w:val="00F602D1"/>
    <w:rsid w:val="00F604B7"/>
    <w:rsid w:val="00F6066E"/>
    <w:rsid w:val="00F60796"/>
    <w:rsid w:val="00F60A62"/>
    <w:rsid w:val="00F60EC8"/>
    <w:rsid w:val="00F6107C"/>
    <w:rsid w:val="00F6129C"/>
    <w:rsid w:val="00F6161A"/>
    <w:rsid w:val="00F61639"/>
    <w:rsid w:val="00F61A4C"/>
    <w:rsid w:val="00F61C84"/>
    <w:rsid w:val="00F61FA8"/>
    <w:rsid w:val="00F62120"/>
    <w:rsid w:val="00F62360"/>
    <w:rsid w:val="00F623C2"/>
    <w:rsid w:val="00F626DD"/>
    <w:rsid w:val="00F62D54"/>
    <w:rsid w:val="00F62ED3"/>
    <w:rsid w:val="00F63177"/>
    <w:rsid w:val="00F632A9"/>
    <w:rsid w:val="00F63D89"/>
    <w:rsid w:val="00F63DF2"/>
    <w:rsid w:val="00F63EF3"/>
    <w:rsid w:val="00F644F5"/>
    <w:rsid w:val="00F6462B"/>
    <w:rsid w:val="00F64697"/>
    <w:rsid w:val="00F6486F"/>
    <w:rsid w:val="00F64C63"/>
    <w:rsid w:val="00F651F9"/>
    <w:rsid w:val="00F6555C"/>
    <w:rsid w:val="00F655ED"/>
    <w:rsid w:val="00F6605E"/>
    <w:rsid w:val="00F6626B"/>
    <w:rsid w:val="00F66450"/>
    <w:rsid w:val="00F66DD4"/>
    <w:rsid w:val="00F66F4C"/>
    <w:rsid w:val="00F66F69"/>
    <w:rsid w:val="00F66FB6"/>
    <w:rsid w:val="00F66FE1"/>
    <w:rsid w:val="00F67142"/>
    <w:rsid w:val="00F67BE8"/>
    <w:rsid w:val="00F67C43"/>
    <w:rsid w:val="00F701E6"/>
    <w:rsid w:val="00F705E6"/>
    <w:rsid w:val="00F707BB"/>
    <w:rsid w:val="00F70C6D"/>
    <w:rsid w:val="00F70D25"/>
    <w:rsid w:val="00F70E75"/>
    <w:rsid w:val="00F70E7E"/>
    <w:rsid w:val="00F70F94"/>
    <w:rsid w:val="00F71126"/>
    <w:rsid w:val="00F71165"/>
    <w:rsid w:val="00F71725"/>
    <w:rsid w:val="00F717B1"/>
    <w:rsid w:val="00F71897"/>
    <w:rsid w:val="00F72246"/>
    <w:rsid w:val="00F728D3"/>
    <w:rsid w:val="00F729DA"/>
    <w:rsid w:val="00F72BAB"/>
    <w:rsid w:val="00F72FE5"/>
    <w:rsid w:val="00F73243"/>
    <w:rsid w:val="00F7351E"/>
    <w:rsid w:val="00F73A7E"/>
    <w:rsid w:val="00F74470"/>
    <w:rsid w:val="00F74658"/>
    <w:rsid w:val="00F74A42"/>
    <w:rsid w:val="00F74F62"/>
    <w:rsid w:val="00F75A3B"/>
    <w:rsid w:val="00F75A51"/>
    <w:rsid w:val="00F75AA7"/>
    <w:rsid w:val="00F75BB7"/>
    <w:rsid w:val="00F75C60"/>
    <w:rsid w:val="00F75D78"/>
    <w:rsid w:val="00F7606B"/>
    <w:rsid w:val="00F76090"/>
    <w:rsid w:val="00F7667F"/>
    <w:rsid w:val="00F76979"/>
    <w:rsid w:val="00F76C35"/>
    <w:rsid w:val="00F76E78"/>
    <w:rsid w:val="00F76EF8"/>
    <w:rsid w:val="00F7702A"/>
    <w:rsid w:val="00F7708B"/>
    <w:rsid w:val="00F80C20"/>
    <w:rsid w:val="00F80CFF"/>
    <w:rsid w:val="00F8106F"/>
    <w:rsid w:val="00F811B1"/>
    <w:rsid w:val="00F818F9"/>
    <w:rsid w:val="00F81AFC"/>
    <w:rsid w:val="00F81E48"/>
    <w:rsid w:val="00F81E7D"/>
    <w:rsid w:val="00F822DC"/>
    <w:rsid w:val="00F8272C"/>
    <w:rsid w:val="00F82A35"/>
    <w:rsid w:val="00F82EE7"/>
    <w:rsid w:val="00F831AD"/>
    <w:rsid w:val="00F831E7"/>
    <w:rsid w:val="00F8372D"/>
    <w:rsid w:val="00F83BF3"/>
    <w:rsid w:val="00F83FA9"/>
    <w:rsid w:val="00F84034"/>
    <w:rsid w:val="00F8421D"/>
    <w:rsid w:val="00F84479"/>
    <w:rsid w:val="00F84481"/>
    <w:rsid w:val="00F845FF"/>
    <w:rsid w:val="00F84BCA"/>
    <w:rsid w:val="00F84FD5"/>
    <w:rsid w:val="00F856B7"/>
    <w:rsid w:val="00F856EB"/>
    <w:rsid w:val="00F85B92"/>
    <w:rsid w:val="00F85D19"/>
    <w:rsid w:val="00F86009"/>
    <w:rsid w:val="00F86171"/>
    <w:rsid w:val="00F861FE"/>
    <w:rsid w:val="00F86229"/>
    <w:rsid w:val="00F8639C"/>
    <w:rsid w:val="00F86618"/>
    <w:rsid w:val="00F86AA0"/>
    <w:rsid w:val="00F86BDD"/>
    <w:rsid w:val="00F86D13"/>
    <w:rsid w:val="00F86E10"/>
    <w:rsid w:val="00F87339"/>
    <w:rsid w:val="00F874A7"/>
    <w:rsid w:val="00F875B2"/>
    <w:rsid w:val="00F876DD"/>
    <w:rsid w:val="00F87A63"/>
    <w:rsid w:val="00F87B0B"/>
    <w:rsid w:val="00F87B57"/>
    <w:rsid w:val="00F87B86"/>
    <w:rsid w:val="00F87EC2"/>
    <w:rsid w:val="00F901FD"/>
    <w:rsid w:val="00F9020D"/>
    <w:rsid w:val="00F9021B"/>
    <w:rsid w:val="00F90293"/>
    <w:rsid w:val="00F902A8"/>
    <w:rsid w:val="00F902B1"/>
    <w:rsid w:val="00F903E7"/>
    <w:rsid w:val="00F9054E"/>
    <w:rsid w:val="00F9062B"/>
    <w:rsid w:val="00F9078B"/>
    <w:rsid w:val="00F909E8"/>
    <w:rsid w:val="00F9105C"/>
    <w:rsid w:val="00F910ED"/>
    <w:rsid w:val="00F91BBC"/>
    <w:rsid w:val="00F92364"/>
    <w:rsid w:val="00F9246F"/>
    <w:rsid w:val="00F9247D"/>
    <w:rsid w:val="00F926A0"/>
    <w:rsid w:val="00F9280D"/>
    <w:rsid w:val="00F929BB"/>
    <w:rsid w:val="00F92C2B"/>
    <w:rsid w:val="00F92EA6"/>
    <w:rsid w:val="00F92F65"/>
    <w:rsid w:val="00F93540"/>
    <w:rsid w:val="00F93780"/>
    <w:rsid w:val="00F93984"/>
    <w:rsid w:val="00F93B81"/>
    <w:rsid w:val="00F93D65"/>
    <w:rsid w:val="00F93F1A"/>
    <w:rsid w:val="00F9462F"/>
    <w:rsid w:val="00F94986"/>
    <w:rsid w:val="00F94FB4"/>
    <w:rsid w:val="00F9514B"/>
    <w:rsid w:val="00F95359"/>
    <w:rsid w:val="00F95B04"/>
    <w:rsid w:val="00F95D74"/>
    <w:rsid w:val="00F960BC"/>
    <w:rsid w:val="00F96200"/>
    <w:rsid w:val="00F9684F"/>
    <w:rsid w:val="00F96D3B"/>
    <w:rsid w:val="00F96D68"/>
    <w:rsid w:val="00F97154"/>
    <w:rsid w:val="00F974F7"/>
    <w:rsid w:val="00F9750B"/>
    <w:rsid w:val="00F9766C"/>
    <w:rsid w:val="00F9788C"/>
    <w:rsid w:val="00F97943"/>
    <w:rsid w:val="00F9794A"/>
    <w:rsid w:val="00F97C33"/>
    <w:rsid w:val="00F97C58"/>
    <w:rsid w:val="00F97C5B"/>
    <w:rsid w:val="00F97DF8"/>
    <w:rsid w:val="00FA03C6"/>
    <w:rsid w:val="00FA042D"/>
    <w:rsid w:val="00FA06DE"/>
    <w:rsid w:val="00FA092B"/>
    <w:rsid w:val="00FA0BC1"/>
    <w:rsid w:val="00FA0CAE"/>
    <w:rsid w:val="00FA112D"/>
    <w:rsid w:val="00FA19F2"/>
    <w:rsid w:val="00FA2022"/>
    <w:rsid w:val="00FA240A"/>
    <w:rsid w:val="00FA26BE"/>
    <w:rsid w:val="00FA274A"/>
    <w:rsid w:val="00FA282E"/>
    <w:rsid w:val="00FA28F1"/>
    <w:rsid w:val="00FA2976"/>
    <w:rsid w:val="00FA2FB7"/>
    <w:rsid w:val="00FA34EF"/>
    <w:rsid w:val="00FA3517"/>
    <w:rsid w:val="00FA3552"/>
    <w:rsid w:val="00FA3A99"/>
    <w:rsid w:val="00FA3E59"/>
    <w:rsid w:val="00FA3E7B"/>
    <w:rsid w:val="00FA3E7D"/>
    <w:rsid w:val="00FA4052"/>
    <w:rsid w:val="00FA44A1"/>
    <w:rsid w:val="00FA4C5E"/>
    <w:rsid w:val="00FA5185"/>
    <w:rsid w:val="00FA51EF"/>
    <w:rsid w:val="00FA56E4"/>
    <w:rsid w:val="00FA57B7"/>
    <w:rsid w:val="00FA5A15"/>
    <w:rsid w:val="00FA5A5B"/>
    <w:rsid w:val="00FA5FCF"/>
    <w:rsid w:val="00FA6288"/>
    <w:rsid w:val="00FA6A83"/>
    <w:rsid w:val="00FA71B8"/>
    <w:rsid w:val="00FA77AA"/>
    <w:rsid w:val="00FA77AD"/>
    <w:rsid w:val="00FB0120"/>
    <w:rsid w:val="00FB0224"/>
    <w:rsid w:val="00FB048B"/>
    <w:rsid w:val="00FB0A90"/>
    <w:rsid w:val="00FB0AD0"/>
    <w:rsid w:val="00FB0D4A"/>
    <w:rsid w:val="00FB0EA6"/>
    <w:rsid w:val="00FB1188"/>
    <w:rsid w:val="00FB11D9"/>
    <w:rsid w:val="00FB1494"/>
    <w:rsid w:val="00FB15E1"/>
    <w:rsid w:val="00FB170D"/>
    <w:rsid w:val="00FB19B5"/>
    <w:rsid w:val="00FB1F35"/>
    <w:rsid w:val="00FB21C2"/>
    <w:rsid w:val="00FB2368"/>
    <w:rsid w:val="00FB23CE"/>
    <w:rsid w:val="00FB26A7"/>
    <w:rsid w:val="00FB2BCB"/>
    <w:rsid w:val="00FB2E9C"/>
    <w:rsid w:val="00FB3429"/>
    <w:rsid w:val="00FB34A8"/>
    <w:rsid w:val="00FB3520"/>
    <w:rsid w:val="00FB35BD"/>
    <w:rsid w:val="00FB3A2B"/>
    <w:rsid w:val="00FB4549"/>
    <w:rsid w:val="00FB4E30"/>
    <w:rsid w:val="00FB51B8"/>
    <w:rsid w:val="00FB5492"/>
    <w:rsid w:val="00FB5510"/>
    <w:rsid w:val="00FB60BA"/>
    <w:rsid w:val="00FB6A1A"/>
    <w:rsid w:val="00FB6AEE"/>
    <w:rsid w:val="00FB6DE0"/>
    <w:rsid w:val="00FB7762"/>
    <w:rsid w:val="00FB7E50"/>
    <w:rsid w:val="00FC0868"/>
    <w:rsid w:val="00FC096D"/>
    <w:rsid w:val="00FC0AA4"/>
    <w:rsid w:val="00FC11FF"/>
    <w:rsid w:val="00FC1B6A"/>
    <w:rsid w:val="00FC1C50"/>
    <w:rsid w:val="00FC1DBF"/>
    <w:rsid w:val="00FC24F9"/>
    <w:rsid w:val="00FC2584"/>
    <w:rsid w:val="00FC2F0A"/>
    <w:rsid w:val="00FC2F35"/>
    <w:rsid w:val="00FC371D"/>
    <w:rsid w:val="00FC3831"/>
    <w:rsid w:val="00FC3FAB"/>
    <w:rsid w:val="00FC4A3B"/>
    <w:rsid w:val="00FC4B46"/>
    <w:rsid w:val="00FC4C63"/>
    <w:rsid w:val="00FC4CDA"/>
    <w:rsid w:val="00FC5037"/>
    <w:rsid w:val="00FC5225"/>
    <w:rsid w:val="00FC5249"/>
    <w:rsid w:val="00FC5280"/>
    <w:rsid w:val="00FC53D7"/>
    <w:rsid w:val="00FC55DA"/>
    <w:rsid w:val="00FC592A"/>
    <w:rsid w:val="00FC595D"/>
    <w:rsid w:val="00FC5A7E"/>
    <w:rsid w:val="00FC5B1B"/>
    <w:rsid w:val="00FC5EF0"/>
    <w:rsid w:val="00FC652B"/>
    <w:rsid w:val="00FC6672"/>
    <w:rsid w:val="00FC6BBC"/>
    <w:rsid w:val="00FC6CAC"/>
    <w:rsid w:val="00FC6DA8"/>
    <w:rsid w:val="00FC7009"/>
    <w:rsid w:val="00FC70E4"/>
    <w:rsid w:val="00FC7142"/>
    <w:rsid w:val="00FC787A"/>
    <w:rsid w:val="00FC7BA1"/>
    <w:rsid w:val="00FC7C45"/>
    <w:rsid w:val="00FD00A3"/>
    <w:rsid w:val="00FD0648"/>
    <w:rsid w:val="00FD0682"/>
    <w:rsid w:val="00FD0A62"/>
    <w:rsid w:val="00FD1369"/>
    <w:rsid w:val="00FD138B"/>
    <w:rsid w:val="00FD13CD"/>
    <w:rsid w:val="00FD1481"/>
    <w:rsid w:val="00FD15F5"/>
    <w:rsid w:val="00FD1A9A"/>
    <w:rsid w:val="00FD1D00"/>
    <w:rsid w:val="00FD1DF3"/>
    <w:rsid w:val="00FD2039"/>
    <w:rsid w:val="00FD2055"/>
    <w:rsid w:val="00FD26F9"/>
    <w:rsid w:val="00FD28BF"/>
    <w:rsid w:val="00FD2BC6"/>
    <w:rsid w:val="00FD2DE3"/>
    <w:rsid w:val="00FD33C5"/>
    <w:rsid w:val="00FD342B"/>
    <w:rsid w:val="00FD3511"/>
    <w:rsid w:val="00FD3574"/>
    <w:rsid w:val="00FD37BC"/>
    <w:rsid w:val="00FD3952"/>
    <w:rsid w:val="00FD3A63"/>
    <w:rsid w:val="00FD3B99"/>
    <w:rsid w:val="00FD3C84"/>
    <w:rsid w:val="00FD3F1B"/>
    <w:rsid w:val="00FD3FE6"/>
    <w:rsid w:val="00FD42BC"/>
    <w:rsid w:val="00FD45BD"/>
    <w:rsid w:val="00FD487B"/>
    <w:rsid w:val="00FD4E53"/>
    <w:rsid w:val="00FD5413"/>
    <w:rsid w:val="00FD55AE"/>
    <w:rsid w:val="00FD560F"/>
    <w:rsid w:val="00FD5A7B"/>
    <w:rsid w:val="00FD60C1"/>
    <w:rsid w:val="00FD6416"/>
    <w:rsid w:val="00FD6A6D"/>
    <w:rsid w:val="00FD6EDF"/>
    <w:rsid w:val="00FD705A"/>
    <w:rsid w:val="00FD716E"/>
    <w:rsid w:val="00FD7601"/>
    <w:rsid w:val="00FD77EB"/>
    <w:rsid w:val="00FD78A6"/>
    <w:rsid w:val="00FE01F2"/>
    <w:rsid w:val="00FE01FA"/>
    <w:rsid w:val="00FE069D"/>
    <w:rsid w:val="00FE0978"/>
    <w:rsid w:val="00FE0BFC"/>
    <w:rsid w:val="00FE178F"/>
    <w:rsid w:val="00FE18AA"/>
    <w:rsid w:val="00FE21C9"/>
    <w:rsid w:val="00FE2CA1"/>
    <w:rsid w:val="00FE2E09"/>
    <w:rsid w:val="00FE3432"/>
    <w:rsid w:val="00FE3529"/>
    <w:rsid w:val="00FE361B"/>
    <w:rsid w:val="00FE3686"/>
    <w:rsid w:val="00FE43F6"/>
    <w:rsid w:val="00FE4460"/>
    <w:rsid w:val="00FE4B23"/>
    <w:rsid w:val="00FE4BB5"/>
    <w:rsid w:val="00FE52E8"/>
    <w:rsid w:val="00FE5476"/>
    <w:rsid w:val="00FE54B1"/>
    <w:rsid w:val="00FE564A"/>
    <w:rsid w:val="00FE56B4"/>
    <w:rsid w:val="00FE571C"/>
    <w:rsid w:val="00FE5C16"/>
    <w:rsid w:val="00FE5DF3"/>
    <w:rsid w:val="00FE6083"/>
    <w:rsid w:val="00FE63C5"/>
    <w:rsid w:val="00FE6BA3"/>
    <w:rsid w:val="00FE77E5"/>
    <w:rsid w:val="00FE7899"/>
    <w:rsid w:val="00FE7AF3"/>
    <w:rsid w:val="00FE7BAF"/>
    <w:rsid w:val="00FF081E"/>
    <w:rsid w:val="00FF0A55"/>
    <w:rsid w:val="00FF0B6C"/>
    <w:rsid w:val="00FF0E53"/>
    <w:rsid w:val="00FF123D"/>
    <w:rsid w:val="00FF1289"/>
    <w:rsid w:val="00FF130D"/>
    <w:rsid w:val="00FF182C"/>
    <w:rsid w:val="00FF1963"/>
    <w:rsid w:val="00FF19A7"/>
    <w:rsid w:val="00FF2031"/>
    <w:rsid w:val="00FF2092"/>
    <w:rsid w:val="00FF249F"/>
    <w:rsid w:val="00FF24A0"/>
    <w:rsid w:val="00FF2AB2"/>
    <w:rsid w:val="00FF2EC3"/>
    <w:rsid w:val="00FF2F73"/>
    <w:rsid w:val="00FF3609"/>
    <w:rsid w:val="00FF36B6"/>
    <w:rsid w:val="00FF3FEC"/>
    <w:rsid w:val="00FF40F6"/>
    <w:rsid w:val="00FF4157"/>
    <w:rsid w:val="00FF446D"/>
    <w:rsid w:val="00FF45A7"/>
    <w:rsid w:val="00FF466E"/>
    <w:rsid w:val="00FF4B1B"/>
    <w:rsid w:val="00FF4DF4"/>
    <w:rsid w:val="00FF52AC"/>
    <w:rsid w:val="00FF5A17"/>
    <w:rsid w:val="00FF5C17"/>
    <w:rsid w:val="00FF65DB"/>
    <w:rsid w:val="00FF6831"/>
    <w:rsid w:val="00FF6D46"/>
    <w:rsid w:val="00FF7297"/>
    <w:rsid w:val="00FF79CF"/>
    <w:rsid w:val="00FF79F3"/>
    <w:rsid w:val="00FF7FD0"/>
    <w:rsid w:val="01D0FED3"/>
    <w:rsid w:val="02048B01"/>
    <w:rsid w:val="03BE23E0"/>
    <w:rsid w:val="04B44F4B"/>
    <w:rsid w:val="0605C56D"/>
    <w:rsid w:val="068605D8"/>
    <w:rsid w:val="0EEED262"/>
    <w:rsid w:val="102AE548"/>
    <w:rsid w:val="12B8F81A"/>
    <w:rsid w:val="16F6A490"/>
    <w:rsid w:val="1721A935"/>
    <w:rsid w:val="194184D9"/>
    <w:rsid w:val="1AD3F5DB"/>
    <w:rsid w:val="1F9DBC02"/>
    <w:rsid w:val="1FF2EE3F"/>
    <w:rsid w:val="21DDC89C"/>
    <w:rsid w:val="26B275A5"/>
    <w:rsid w:val="26BE68D7"/>
    <w:rsid w:val="2924EF25"/>
    <w:rsid w:val="2D4CC08A"/>
    <w:rsid w:val="2E40E824"/>
    <w:rsid w:val="2EFA36E4"/>
    <w:rsid w:val="2F6171AB"/>
    <w:rsid w:val="320D9B90"/>
    <w:rsid w:val="373D4E09"/>
    <w:rsid w:val="3953F74F"/>
    <w:rsid w:val="3A18E78D"/>
    <w:rsid w:val="3AE15396"/>
    <w:rsid w:val="3B0B7C59"/>
    <w:rsid w:val="3BC1CF78"/>
    <w:rsid w:val="3BE70F8D"/>
    <w:rsid w:val="3D1E25E8"/>
    <w:rsid w:val="3E993C39"/>
    <w:rsid w:val="3EB2D3D5"/>
    <w:rsid w:val="3FA542DF"/>
    <w:rsid w:val="401499C2"/>
    <w:rsid w:val="411B783C"/>
    <w:rsid w:val="412AF233"/>
    <w:rsid w:val="4192D678"/>
    <w:rsid w:val="42B3FB94"/>
    <w:rsid w:val="447E93FC"/>
    <w:rsid w:val="45FB1C58"/>
    <w:rsid w:val="4618CCA9"/>
    <w:rsid w:val="47A39409"/>
    <w:rsid w:val="49976730"/>
    <w:rsid w:val="4B858022"/>
    <w:rsid w:val="4F654153"/>
    <w:rsid w:val="53F4323C"/>
    <w:rsid w:val="56201DFB"/>
    <w:rsid w:val="564F60ED"/>
    <w:rsid w:val="57BB242C"/>
    <w:rsid w:val="5C90553C"/>
    <w:rsid w:val="5DF09F95"/>
    <w:rsid w:val="6059C814"/>
    <w:rsid w:val="60D22529"/>
    <w:rsid w:val="681D45BF"/>
    <w:rsid w:val="689D9A10"/>
    <w:rsid w:val="696B4757"/>
    <w:rsid w:val="6BA9B2F2"/>
    <w:rsid w:val="6C6FF214"/>
    <w:rsid w:val="6D3BD060"/>
    <w:rsid w:val="7001B7EB"/>
    <w:rsid w:val="70059D46"/>
    <w:rsid w:val="7069797F"/>
    <w:rsid w:val="740C388E"/>
    <w:rsid w:val="744628BA"/>
    <w:rsid w:val="74CCB201"/>
    <w:rsid w:val="75B17841"/>
    <w:rsid w:val="772FCA9C"/>
    <w:rsid w:val="788D6DEF"/>
    <w:rsid w:val="7AEF34EB"/>
    <w:rsid w:val="7C451F3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646B41"/>
  <w15:chartTrackingRefBased/>
  <w15:docId w15:val="{E4B8588D-C798-489E-8EAD-905443ABD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C2E"/>
  </w:style>
  <w:style w:type="paragraph" w:styleId="Heading1">
    <w:name w:val="heading 1"/>
    <w:basedOn w:val="Normal"/>
    <w:next w:val="Text1"/>
    <w:link w:val="Heading1Char"/>
    <w:qFormat/>
    <w:rsid w:val="006B087E"/>
    <w:pPr>
      <w:keepNext/>
      <w:spacing w:before="240" w:after="240" w:line="240" w:lineRule="auto"/>
      <w:ind w:left="432" w:hanging="432"/>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rsid w:val="006B087E"/>
    <w:pPr>
      <w:keepNext/>
      <w:spacing w:after="240" w:line="240" w:lineRule="auto"/>
      <w:ind w:left="576" w:hanging="576"/>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rsid w:val="006B087E"/>
    <w:pPr>
      <w:keepNext/>
      <w:spacing w:after="240" w:line="240" w:lineRule="auto"/>
      <w:ind w:left="720" w:hanging="720"/>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rsid w:val="006B087E"/>
    <w:pPr>
      <w:keepNext/>
      <w:spacing w:after="240" w:line="240" w:lineRule="auto"/>
      <w:ind w:left="864" w:hanging="864"/>
      <w:jc w:val="both"/>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uiPriority w:val="9"/>
    <w:semiHidden/>
    <w:unhideWhenUsed/>
    <w:qFormat/>
    <w:rsid w:val="00A67A55"/>
    <w:pPr>
      <w:keepNext/>
      <w:keepLines/>
      <w:spacing w:before="40" w:after="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67A55"/>
    <w:pPr>
      <w:keepNext/>
      <w:keepLines/>
      <w:spacing w:before="40" w:after="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67A55"/>
    <w:pPr>
      <w:keepNext/>
      <w:keepLines/>
      <w:spacing w:before="40" w:after="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67A55"/>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67A55"/>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B087E"/>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sid w:val="006B087E"/>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6B087E"/>
    <w:rPr>
      <w:rFonts w:ascii="Times New Roman" w:eastAsia="Times New Roman" w:hAnsi="Times New Roman" w:cs="Times New Roman"/>
      <w:i/>
      <w:sz w:val="24"/>
      <w:szCs w:val="20"/>
    </w:rPr>
  </w:style>
  <w:style w:type="character" w:customStyle="1" w:styleId="Heading4Char">
    <w:name w:val="Heading 4 Char"/>
    <w:basedOn w:val="DefaultParagraphFont"/>
    <w:link w:val="Heading4"/>
    <w:rsid w:val="006B087E"/>
    <w:rPr>
      <w:rFonts w:ascii="Times New Roman" w:eastAsia="Times New Roman" w:hAnsi="Times New Roman" w:cs="Times New Roman"/>
      <w:sz w:val="24"/>
      <w:szCs w:val="20"/>
    </w:rPr>
  </w:style>
  <w:style w:type="character" w:customStyle="1" w:styleId="Marker">
    <w:name w:val="Marker"/>
    <w:basedOn w:val="DefaultParagraphFont"/>
    <w:rsid w:val="006B087E"/>
    <w:rPr>
      <w:color w:val="0000FF"/>
      <w:shd w:val="clear" w:color="auto" w:fill="auto"/>
    </w:rPr>
  </w:style>
  <w:style w:type="paragraph" w:customStyle="1" w:styleId="Pagedecouverture">
    <w:name w:val="Page de couverture"/>
    <w:basedOn w:val="Normal"/>
    <w:next w:val="Normal"/>
    <w:rsid w:val="006B087E"/>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6B087E"/>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sid w:val="006B087E"/>
    <w:rPr>
      <w:rFonts w:ascii="Times New Roman" w:hAnsi="Times New Roman" w:cs="Times New Roman"/>
      <w:sz w:val="24"/>
    </w:rPr>
  </w:style>
  <w:style w:type="paragraph" w:styleId="Footer">
    <w:name w:val="footer"/>
    <w:basedOn w:val="Normal"/>
    <w:link w:val="FooterChar"/>
    <w:uiPriority w:val="99"/>
    <w:unhideWhenUsed/>
    <w:rsid w:val="006B087E"/>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sid w:val="006B087E"/>
    <w:rPr>
      <w:rFonts w:ascii="Times New Roman" w:hAnsi="Times New Roman" w:cs="Times New Roman"/>
      <w:sz w:val="24"/>
    </w:rPr>
  </w:style>
  <w:style w:type="paragraph" w:customStyle="1" w:styleId="FooterCoverPage">
    <w:name w:val="Footer Cover Page"/>
    <w:basedOn w:val="Normal"/>
    <w:link w:val="FooterCoverPageChar"/>
    <w:rsid w:val="006B087E"/>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6B087E"/>
    <w:rPr>
      <w:rFonts w:ascii="Times New Roman" w:hAnsi="Times New Roman" w:cs="Times New Roman"/>
      <w:sz w:val="24"/>
    </w:rPr>
  </w:style>
  <w:style w:type="paragraph" w:customStyle="1" w:styleId="HeaderCoverPage">
    <w:name w:val="Header Cover Page"/>
    <w:basedOn w:val="Normal"/>
    <w:link w:val="HeaderCoverPageChar"/>
    <w:rsid w:val="006B087E"/>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6B087E"/>
    <w:rPr>
      <w:rFonts w:ascii="Times New Roman" w:hAnsi="Times New Roman" w:cs="Times New Roman"/>
      <w:sz w:val="24"/>
    </w:rPr>
  </w:style>
  <w:style w:type="paragraph" w:customStyle="1" w:styleId="Text1">
    <w:name w:val="Text 1"/>
    <w:basedOn w:val="Normal"/>
    <w:rsid w:val="006B087E"/>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rsid w:val="006B087E"/>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rsid w:val="006B087E"/>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rsid w:val="006B087E"/>
    <w:pPr>
      <w:numPr>
        <w:numId w:val="2"/>
      </w:numPr>
    </w:pPr>
  </w:style>
  <w:style w:type="table" w:styleId="TableGrid">
    <w:name w:val="Table Grid"/>
    <w:aliases w:val="Document Table,CV1"/>
    <w:basedOn w:val="TableNormal"/>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rsid w:val="006B087E"/>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sid w:val="006B087E"/>
    <w:rPr>
      <w:rFonts w:ascii="Times New Roman" w:eastAsia="Times New Roman" w:hAnsi="Times New Roman" w:cs="Times New Roman"/>
      <w:b/>
      <w:sz w:val="32"/>
      <w:szCs w:val="20"/>
    </w:rPr>
  </w:style>
  <w:style w:type="table" w:customStyle="1" w:styleId="CV11">
    <w:name w:val="CV11"/>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6B087E"/>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rsid w:val="006B087E"/>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qFormat/>
    <w:rsid w:val="006B087E"/>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sid w:val="006B087E"/>
    <w:rPr>
      <w:color w:val="0000FF" w:themeColor="hyperlink"/>
      <w:u w:val="single"/>
    </w:rPr>
  </w:style>
  <w:style w:type="paragraph" w:styleId="BalloonText">
    <w:name w:val="Balloon Text"/>
    <w:basedOn w:val="Normal"/>
    <w:link w:val="BalloonTextChar"/>
    <w:uiPriority w:val="99"/>
    <w:semiHidden/>
    <w:unhideWhenUsed/>
    <w:rsid w:val="006B0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87E"/>
    <w:rPr>
      <w:rFonts w:ascii="Tahoma" w:hAnsi="Tahoma" w:cs="Tahoma"/>
      <w:sz w:val="16"/>
      <w:szCs w:val="16"/>
    </w:rPr>
  </w:style>
  <w:style w:type="paragraph" w:customStyle="1" w:styleId="Declassification">
    <w:name w:val="Declassification"/>
    <w:basedOn w:val="Normal"/>
    <w:next w:val="Normal"/>
    <w:rsid w:val="006B087E"/>
    <w:pPr>
      <w:spacing w:after="0" w:line="240" w:lineRule="auto"/>
      <w:jc w:val="both"/>
    </w:pPr>
    <w:rPr>
      <w:rFonts w:ascii="Times New Roman" w:hAnsi="Times New Roman" w:cs="Times New Roman"/>
      <w:sz w:val="24"/>
    </w:rPr>
  </w:style>
  <w:style w:type="paragraph" w:customStyle="1" w:styleId="HeaderLandscape">
    <w:name w:val="HeaderLandscape"/>
    <w:basedOn w:val="Normal"/>
    <w:rsid w:val="006B087E"/>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rsid w:val="006B087E"/>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rsid w:val="006B087E"/>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rsid w:val="006B087E"/>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link w:val="HeaderSensitivityRightChar"/>
    <w:rsid w:val="006B087E"/>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6B087E"/>
    <w:rPr>
      <w:rFonts w:ascii="Times New Roman" w:hAnsi="Times New Roman" w:cs="Times New Roman"/>
      <w:sz w:val="28"/>
    </w:rPr>
  </w:style>
  <w:style w:type="paragraph" w:styleId="ListParagraph">
    <w:name w:val="List Paragraph"/>
    <w:aliases w:val="Issue Action POC,List Paragraph1,3,POCG Table Text,Dot pt,F5 List Paragraph,List Paragraph Char Char Char,Indicator Text,Colorful List - Accent 11,Numbered Para 1,Bullet 1,Bullet Points,List Paragraph2,MAIN CONTENT,Normal numbered,EC,No T"/>
    <w:basedOn w:val="Normal"/>
    <w:link w:val="ListParagraphChar"/>
    <w:uiPriority w:val="34"/>
    <w:qFormat/>
    <w:rsid w:val="004630B1"/>
    <w:pPr>
      <w:ind w:left="720"/>
      <w:contextualSpacing/>
    </w:pPr>
  </w:style>
  <w:style w:type="character" w:styleId="CommentReference">
    <w:name w:val="annotation reference"/>
    <w:basedOn w:val="DefaultParagraphFont"/>
    <w:uiPriority w:val="99"/>
    <w:unhideWhenUsed/>
    <w:rsid w:val="009C614D"/>
    <w:rPr>
      <w:sz w:val="16"/>
      <w:szCs w:val="16"/>
    </w:rPr>
  </w:style>
  <w:style w:type="paragraph" w:styleId="CommentText">
    <w:name w:val="annotation text"/>
    <w:basedOn w:val="Normal"/>
    <w:link w:val="CommentTextChar"/>
    <w:unhideWhenUsed/>
    <w:rsid w:val="009C614D"/>
    <w:pPr>
      <w:spacing w:line="240" w:lineRule="auto"/>
    </w:pPr>
    <w:rPr>
      <w:sz w:val="20"/>
      <w:szCs w:val="20"/>
    </w:rPr>
  </w:style>
  <w:style w:type="character" w:customStyle="1" w:styleId="CommentTextChar">
    <w:name w:val="Comment Text Char"/>
    <w:basedOn w:val="DefaultParagraphFont"/>
    <w:link w:val="CommentText"/>
    <w:rsid w:val="009C614D"/>
    <w:rPr>
      <w:sz w:val="20"/>
      <w:szCs w:val="20"/>
    </w:rPr>
  </w:style>
  <w:style w:type="paragraph" w:styleId="CommentSubject">
    <w:name w:val="annotation subject"/>
    <w:basedOn w:val="CommentText"/>
    <w:next w:val="CommentText"/>
    <w:link w:val="CommentSubjectChar"/>
    <w:uiPriority w:val="99"/>
    <w:semiHidden/>
    <w:unhideWhenUsed/>
    <w:rsid w:val="009C614D"/>
    <w:rPr>
      <w:b/>
      <w:bCs/>
    </w:rPr>
  </w:style>
  <w:style w:type="character" w:customStyle="1" w:styleId="CommentSubjectChar">
    <w:name w:val="Comment Subject Char"/>
    <w:basedOn w:val="CommentTextChar"/>
    <w:link w:val="CommentSubject"/>
    <w:uiPriority w:val="99"/>
    <w:semiHidden/>
    <w:rsid w:val="009C614D"/>
    <w:rPr>
      <w:b/>
      <w:bCs/>
      <w:sz w:val="20"/>
      <w:szCs w:val="20"/>
    </w:rPr>
  </w:style>
  <w:style w:type="paragraph" w:styleId="Revision">
    <w:name w:val="Revision"/>
    <w:hidden/>
    <w:uiPriority w:val="99"/>
    <w:semiHidden/>
    <w:rsid w:val="009C614D"/>
    <w:pPr>
      <w:spacing w:after="0" w:line="240" w:lineRule="auto"/>
    </w:pPr>
  </w:style>
  <w:style w:type="paragraph" w:customStyle="1" w:styleId="Body">
    <w:name w:val="Body"/>
    <w:rsid w:val="000A140B"/>
    <w:pPr>
      <w:pBdr>
        <w:top w:val="nil"/>
        <w:left w:val="nil"/>
        <w:bottom w:val="nil"/>
        <w:right w:val="nil"/>
        <w:between w:val="nil"/>
        <w:bar w:val="nil"/>
      </w:pBdr>
      <w:spacing w:line="240" w:lineRule="auto"/>
      <w:jc w:val="both"/>
    </w:pPr>
    <w:rPr>
      <w:rFonts w:ascii="Times New Roman" w:eastAsia="Times New Roman" w:hAnsi="Times New Roman" w:cs="Times New Roman"/>
      <w:color w:val="000000"/>
      <w:sz w:val="24"/>
      <w:szCs w:val="24"/>
      <w:u w:color="000000"/>
      <w:bdr w:val="nil"/>
      <w:lang w:eastAsia="en-GB"/>
    </w:rPr>
  </w:style>
  <w:style w:type="character" w:customStyle="1" w:styleId="Hyperlink1">
    <w:name w:val="Hyperlink.1"/>
    <w:basedOn w:val="DefaultParagraphFont"/>
    <w:rsid w:val="000A140B"/>
    <w:rPr>
      <w:rFonts w:ascii="Times New Roman" w:eastAsia="Times New Roman" w:hAnsi="Times New Roman" w:cs="Times New Roman"/>
      <w:color w:val="0000FF"/>
      <w:u w:val="single" w:color="0000FF"/>
      <w:lang w:val="en-US"/>
    </w:rPr>
  </w:style>
  <w:style w:type="numbering" w:customStyle="1" w:styleId="ImportedStyle9">
    <w:name w:val="Imported Style 9"/>
    <w:rsid w:val="000A140B"/>
    <w:pPr>
      <w:numPr>
        <w:numId w:val="8"/>
      </w:numPr>
    </w:pPr>
  </w:style>
  <w:style w:type="character" w:customStyle="1" w:styleId="ListParagraphChar">
    <w:name w:val="List Paragraph Char"/>
    <w:aliases w:val="Issue Action POC Char,List Paragraph1 Char,3 Char,POCG Table Text Char,Dot pt Char,F5 List Paragraph Char,List Paragraph Char Char Char Char,Indicator Text Char,Colorful List - Accent 11 Char,Numbered Para 1 Char,Bullet 1 Char"/>
    <w:link w:val="ListParagraph"/>
    <w:uiPriority w:val="34"/>
    <w:qFormat/>
    <w:locked/>
    <w:rsid w:val="00524030"/>
  </w:style>
  <w:style w:type="paragraph" w:styleId="FootnoteText">
    <w:name w:val="footnote text"/>
    <w:aliases w:val="Footnote Text Char Char,Footnote text,Footnote Text Char2 Char,Footnote Text Char1 Char1 Char,Footnote Text Char2 Char Char Char,Footnote Text Char1 Char1 Char Char Char,Plonk,fn,fn Char Char,Footnote Text Char Char Cha,Footnote,Fußnote,f"/>
    <w:basedOn w:val="Normal"/>
    <w:link w:val="FootnoteTextChar"/>
    <w:uiPriority w:val="99"/>
    <w:qFormat/>
    <w:rsid w:val="00AD013F"/>
    <w:pPr>
      <w:spacing w:after="240" w:line="240" w:lineRule="auto"/>
      <w:ind w:left="357" w:hanging="357"/>
      <w:jc w:val="both"/>
    </w:pPr>
    <w:rPr>
      <w:rFonts w:ascii="Times New Roman" w:eastAsia="Times New Roman" w:hAnsi="Times New Roman" w:cs="Times New Roman"/>
      <w:sz w:val="20"/>
      <w:szCs w:val="20"/>
    </w:rPr>
  </w:style>
  <w:style w:type="character" w:customStyle="1" w:styleId="FootnoteTextChar">
    <w:name w:val="Footnote Text Char"/>
    <w:aliases w:val="Footnote Text Char Char Char,Footnote text Char,Footnote Text Char2 Char Char,Footnote Text Char1 Char1 Char Char,Footnote Text Char2 Char Char Char Char,Footnote Text Char1 Char1 Char Char Char Char,Plonk Char,fn Char,Footnote Char"/>
    <w:basedOn w:val="DefaultParagraphFont"/>
    <w:link w:val="FootnoteText"/>
    <w:uiPriority w:val="99"/>
    <w:rsid w:val="00AD013F"/>
    <w:rPr>
      <w:rFonts w:ascii="Times New Roman" w:eastAsia="Times New Roman" w:hAnsi="Times New Roman" w:cs="Times New Roman"/>
      <w:sz w:val="20"/>
      <w:szCs w:val="20"/>
    </w:rPr>
  </w:style>
  <w:style w:type="character" w:styleId="FootnoteReference">
    <w:name w:val="footnote reference"/>
    <w:aliases w:val="Footnote Reference_LVL6,Footnote Reference_LVL61,Footnote Reference_LVL62,Footnote Reference_LVL63,Footnote Reference_LVL64,Footnote Reference Number,SUPERS,Footnote reference number,Footnote symbol,note TESI,-E Fußnotenzeichen,number"/>
    <w:link w:val="16Point"/>
    <w:uiPriority w:val="99"/>
    <w:unhideWhenUsed/>
    <w:qFormat/>
    <w:rsid w:val="00AD013F"/>
    <w:rPr>
      <w:vertAlign w:val="superscript"/>
    </w:rPr>
  </w:style>
  <w:style w:type="character" w:customStyle="1" w:styleId="None">
    <w:name w:val="None"/>
    <w:rsid w:val="00AD013F"/>
  </w:style>
  <w:style w:type="character" w:customStyle="1" w:styleId="Hyperlink2">
    <w:name w:val="Hyperlink.2"/>
    <w:basedOn w:val="Hyperlink"/>
    <w:rsid w:val="00AD013F"/>
    <w:rPr>
      <w:color w:val="0000FF"/>
      <w:u w:val="single" w:color="0000FF"/>
    </w:rPr>
  </w:style>
  <w:style w:type="paragraph" w:styleId="Caption">
    <w:name w:val="caption"/>
    <w:next w:val="Body"/>
    <w:uiPriority w:val="35"/>
    <w:qFormat/>
    <w:rsid w:val="00AD013F"/>
    <w:pPr>
      <w:pBdr>
        <w:top w:val="nil"/>
        <w:left w:val="nil"/>
        <w:bottom w:val="nil"/>
        <w:right w:val="nil"/>
        <w:between w:val="nil"/>
        <w:bar w:val="nil"/>
      </w:pBdr>
      <w:spacing w:before="120" w:after="120" w:line="240" w:lineRule="auto"/>
      <w:jc w:val="both"/>
    </w:pPr>
    <w:rPr>
      <w:rFonts w:ascii="Times New Roman" w:eastAsia="Arial Unicode MS" w:hAnsi="Times New Roman" w:cs="Arial Unicode MS"/>
      <w:b/>
      <w:bCs/>
      <w:color w:val="000000"/>
      <w:sz w:val="24"/>
      <w:szCs w:val="24"/>
      <w:u w:color="000000"/>
      <w:bdr w:val="nil"/>
      <w:lang w:val="en-US" w:eastAsia="en-GB"/>
    </w:rPr>
  </w:style>
  <w:style w:type="character" w:customStyle="1" w:styleId="Hyperlink7">
    <w:name w:val="Hyperlink.7"/>
    <w:basedOn w:val="Hyperlink2"/>
    <w:rsid w:val="00B602C6"/>
    <w:rPr>
      <w:color w:val="0000FF"/>
      <w:sz w:val="20"/>
      <w:szCs w:val="20"/>
      <w:u w:val="single" w:color="0000FF"/>
    </w:rPr>
  </w:style>
  <w:style w:type="character" w:customStyle="1" w:styleId="Hyperlink6">
    <w:name w:val="Hyperlink.6"/>
    <w:basedOn w:val="Hyperlink2"/>
    <w:rsid w:val="00B602C6"/>
    <w:rPr>
      <w:color w:val="0000FF"/>
      <w:u w:val="single" w:color="0000FF"/>
      <w:lang w:val="en-US"/>
    </w:rPr>
  </w:style>
  <w:style w:type="paragraph" w:styleId="NormalWeb">
    <w:name w:val="Normal (Web)"/>
    <w:basedOn w:val="Normal"/>
    <w:uiPriority w:val="99"/>
    <w:unhideWhenUsed/>
    <w:rsid w:val="008A1AA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6Point">
    <w:name w:val="16 Point"/>
    <w:aliases w:val="Superscript 6 Point,Times 10 Point,Exposant 3 Point,Odwołanie przypisu,Ref,de nota al pie,footnote ref,2001+ Fußnotenzeichen, Exposant 3 Point"/>
    <w:basedOn w:val="Normal"/>
    <w:link w:val="FootnoteReference"/>
    <w:uiPriority w:val="99"/>
    <w:rsid w:val="008A1AA8"/>
    <w:pPr>
      <w:spacing w:after="160" w:line="240" w:lineRule="exact"/>
    </w:pPr>
    <w:rPr>
      <w:vertAlign w:val="superscript"/>
    </w:rPr>
  </w:style>
  <w:style w:type="character" w:customStyle="1" w:styleId="ChartRight-HeadingChar">
    <w:name w:val="Chart Right - Heading Char"/>
    <w:link w:val="ChartRight-Heading"/>
    <w:uiPriority w:val="3"/>
    <w:locked/>
    <w:rsid w:val="003B467F"/>
    <w:rPr>
      <w:rFonts w:ascii="Arial" w:eastAsia="Times New Roman" w:hAnsi="Arial" w:cs="Sendnya"/>
      <w:color w:val="003299"/>
      <w:sz w:val="18"/>
      <w:lang w:eastAsia="en-GB"/>
    </w:rPr>
  </w:style>
  <w:style w:type="paragraph" w:customStyle="1" w:styleId="ChartRight-Heading">
    <w:name w:val="Chart Right - Heading"/>
    <w:link w:val="ChartRight-HeadingChar"/>
    <w:uiPriority w:val="3"/>
    <w:qFormat/>
    <w:rsid w:val="003B467F"/>
    <w:pPr>
      <w:keepNext/>
      <w:pBdr>
        <w:left w:val="single" w:sz="4" w:space="10" w:color="003299"/>
      </w:pBdr>
      <w:suppressAutoHyphens/>
      <w:spacing w:before="240" w:line="280" w:lineRule="atLeast"/>
      <w:contextualSpacing/>
    </w:pPr>
    <w:rPr>
      <w:rFonts w:ascii="Arial" w:eastAsia="Times New Roman" w:hAnsi="Arial" w:cs="Sendnya"/>
      <w:color w:val="003299"/>
      <w:sz w:val="18"/>
      <w:lang w:eastAsia="en-GB"/>
    </w:rPr>
  </w:style>
  <w:style w:type="character" w:customStyle="1" w:styleId="ChartRight-SourcesNotesChar">
    <w:name w:val="Chart Right - Sources &amp; Notes Char"/>
    <w:link w:val="ChartRight-SourcesNotes"/>
    <w:uiPriority w:val="3"/>
    <w:locked/>
    <w:rsid w:val="003B467F"/>
    <w:rPr>
      <w:rFonts w:ascii="Arial" w:eastAsia="Times New Roman" w:hAnsi="Arial" w:cs="Sendnya"/>
      <w:i/>
      <w:color w:val="003299"/>
      <w:sz w:val="14"/>
      <w:lang w:eastAsia="en-GB"/>
    </w:rPr>
  </w:style>
  <w:style w:type="paragraph" w:customStyle="1" w:styleId="ChartRight-SourcesNotes">
    <w:name w:val="Chart Right - Sources &amp; Notes"/>
    <w:link w:val="ChartRight-SourcesNotesChar"/>
    <w:uiPriority w:val="3"/>
    <w:qFormat/>
    <w:rsid w:val="003B467F"/>
    <w:pPr>
      <w:pBdr>
        <w:left w:val="single" w:sz="4" w:space="10" w:color="003299"/>
      </w:pBdr>
      <w:suppressAutoHyphens/>
      <w:spacing w:before="200" w:after="360" w:line="200" w:lineRule="atLeast"/>
      <w:contextualSpacing/>
    </w:pPr>
    <w:rPr>
      <w:rFonts w:ascii="Arial" w:eastAsia="Times New Roman" w:hAnsi="Arial" w:cs="Sendnya"/>
      <w:i/>
      <w:color w:val="003299"/>
      <w:sz w:val="14"/>
      <w:lang w:eastAsia="en-GB"/>
    </w:rPr>
  </w:style>
  <w:style w:type="character" w:styleId="IntenseEmphasis">
    <w:name w:val="Intense Emphasis"/>
    <w:qFormat/>
    <w:rsid w:val="003B467F"/>
    <w:rPr>
      <w:b/>
      <w:bCs/>
      <w:i w:val="0"/>
      <w:iCs/>
      <w:color w:val="003299"/>
    </w:rPr>
  </w:style>
  <w:style w:type="character" w:styleId="FollowedHyperlink">
    <w:name w:val="FollowedHyperlink"/>
    <w:basedOn w:val="DefaultParagraphFont"/>
    <w:uiPriority w:val="99"/>
    <w:semiHidden/>
    <w:unhideWhenUsed/>
    <w:rsid w:val="00B01225"/>
    <w:rPr>
      <w:color w:val="800080" w:themeColor="followedHyperlink"/>
      <w:u w:val="single"/>
    </w:rPr>
  </w:style>
  <w:style w:type="table" w:styleId="GridTable5Dark-Accent2">
    <w:name w:val="Grid Table 5 Dark Accent 2"/>
    <w:basedOn w:val="TableNormal"/>
    <w:uiPriority w:val="50"/>
    <w:rsid w:val="003225BB"/>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markedcontent">
    <w:name w:val="markedcontent"/>
    <w:basedOn w:val="DefaultParagraphFont"/>
    <w:rsid w:val="00613AB1"/>
  </w:style>
  <w:style w:type="paragraph" w:styleId="TOC3">
    <w:name w:val="toc 3"/>
    <w:basedOn w:val="Normal"/>
    <w:next w:val="Normal"/>
    <w:autoRedefine/>
    <w:uiPriority w:val="39"/>
    <w:unhideWhenUsed/>
    <w:rsid w:val="007579A4"/>
    <w:pPr>
      <w:spacing w:after="100"/>
      <w:ind w:left="440"/>
    </w:pPr>
  </w:style>
  <w:style w:type="character" w:customStyle="1" w:styleId="Heading5Char">
    <w:name w:val="Heading 5 Char"/>
    <w:basedOn w:val="DefaultParagraphFont"/>
    <w:link w:val="Heading5"/>
    <w:uiPriority w:val="9"/>
    <w:semiHidden/>
    <w:rsid w:val="00A67A5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A67A5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67A5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67A5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67A55"/>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9B2E0E"/>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9B2E0E"/>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9B2E0E"/>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9B2E0E"/>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9B2E0E"/>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9B2E0E"/>
    <w:pPr>
      <w:spacing w:after="100" w:line="259" w:lineRule="auto"/>
      <w:ind w:left="1760"/>
    </w:pPr>
    <w:rPr>
      <w:rFonts w:eastAsiaTheme="minorEastAsia"/>
      <w:lang w:eastAsia="en-GB"/>
    </w:rPr>
  </w:style>
  <w:style w:type="paragraph" w:customStyle="1" w:styleId="LegalNumPar">
    <w:name w:val="LegalNumPar"/>
    <w:basedOn w:val="Normal"/>
    <w:rsid w:val="009A0F0E"/>
    <w:pPr>
      <w:spacing w:line="360" w:lineRule="auto"/>
      <w:ind w:left="435" w:hanging="435"/>
    </w:pPr>
    <w:rPr>
      <w:sz w:val="24"/>
    </w:rPr>
  </w:style>
  <w:style w:type="paragraph" w:customStyle="1" w:styleId="LegalNumPar2">
    <w:name w:val="LegalNumPar2"/>
    <w:basedOn w:val="Normal"/>
    <w:rsid w:val="009A0F0E"/>
    <w:pPr>
      <w:spacing w:line="360" w:lineRule="auto"/>
      <w:ind w:left="435" w:hanging="435"/>
    </w:pPr>
    <w:rPr>
      <w:sz w:val="24"/>
    </w:rPr>
  </w:style>
  <w:style w:type="paragraph" w:customStyle="1" w:styleId="LegalNumPar3">
    <w:name w:val="LegalNumPar3"/>
    <w:basedOn w:val="Normal"/>
    <w:rsid w:val="009A0F0E"/>
    <w:pPr>
      <w:spacing w:line="360" w:lineRule="auto"/>
      <w:ind w:left="720" w:hanging="720"/>
    </w:pPr>
    <w:rPr>
      <w:sz w:val="24"/>
    </w:rPr>
  </w:style>
  <w:style w:type="character" w:customStyle="1" w:styleId="UnresolvedMention1">
    <w:name w:val="Unresolved Mention1"/>
    <w:basedOn w:val="DefaultParagraphFont"/>
    <w:uiPriority w:val="99"/>
    <w:semiHidden/>
    <w:unhideWhenUsed/>
    <w:rsid w:val="008C1C32"/>
    <w:rPr>
      <w:color w:val="605E5C"/>
      <w:shd w:val="clear" w:color="auto" w:fill="E1DFDD"/>
    </w:rPr>
  </w:style>
  <w:style w:type="character" w:styleId="Emphasis">
    <w:name w:val="Emphasis"/>
    <w:basedOn w:val="DefaultParagraphFont"/>
    <w:uiPriority w:val="20"/>
    <w:qFormat/>
    <w:rsid w:val="00464839"/>
    <w:rPr>
      <w:i/>
      <w:iCs/>
    </w:rPr>
  </w:style>
  <w:style w:type="paragraph" w:customStyle="1" w:styleId="TableParagraph">
    <w:name w:val="Table Paragraph"/>
    <w:basedOn w:val="Normal"/>
    <w:uiPriority w:val="1"/>
    <w:qFormat/>
    <w:rsid w:val="00881F3A"/>
    <w:pPr>
      <w:widowControl w:val="0"/>
      <w:autoSpaceDE w:val="0"/>
      <w:autoSpaceDN w:val="0"/>
      <w:spacing w:after="0" w:line="240" w:lineRule="auto"/>
    </w:pPr>
    <w:rPr>
      <w:rFonts w:ascii="Arial" w:eastAsia="Arial" w:hAnsi="Arial" w:cs="Arial"/>
      <w:lang w:val="en-US"/>
    </w:rPr>
  </w:style>
  <w:style w:type="character" w:customStyle="1" w:styleId="UnresolvedMention2">
    <w:name w:val="Unresolved Mention2"/>
    <w:basedOn w:val="DefaultParagraphFont"/>
    <w:uiPriority w:val="99"/>
    <w:semiHidden/>
    <w:unhideWhenUsed/>
    <w:rsid w:val="004B6E37"/>
    <w:rPr>
      <w:color w:val="605E5C"/>
      <w:shd w:val="clear" w:color="auto" w:fill="E1DFDD"/>
    </w:rPr>
  </w:style>
  <w:style w:type="character" w:customStyle="1" w:styleId="highlight">
    <w:name w:val="highlight"/>
    <w:basedOn w:val="DefaultParagraphFont"/>
    <w:rsid w:val="00D602F5"/>
  </w:style>
  <w:style w:type="character" w:customStyle="1" w:styleId="UnresolvedMention3">
    <w:name w:val="Unresolved Mention3"/>
    <w:basedOn w:val="DefaultParagraphFont"/>
    <w:uiPriority w:val="99"/>
    <w:semiHidden/>
    <w:unhideWhenUsed/>
    <w:rsid w:val="00C61D19"/>
    <w:rPr>
      <w:color w:val="605E5C"/>
      <w:shd w:val="clear" w:color="auto" w:fill="E1DFDD"/>
    </w:rPr>
  </w:style>
  <w:style w:type="character" w:customStyle="1" w:styleId="UnresolvedMention4">
    <w:name w:val="Unresolved Mention4"/>
    <w:basedOn w:val="DefaultParagraphFont"/>
    <w:uiPriority w:val="99"/>
    <w:semiHidden/>
    <w:unhideWhenUsed/>
    <w:rsid w:val="00EC00C6"/>
    <w:rPr>
      <w:color w:val="605E5C"/>
      <w:shd w:val="clear" w:color="auto" w:fill="E1DFDD"/>
    </w:rPr>
  </w:style>
  <w:style w:type="character" w:customStyle="1" w:styleId="UnresolvedMention5">
    <w:name w:val="Unresolved Mention5"/>
    <w:basedOn w:val="DefaultParagraphFont"/>
    <w:uiPriority w:val="99"/>
    <w:semiHidden/>
    <w:unhideWhenUsed/>
    <w:rsid w:val="00FB11D9"/>
    <w:rPr>
      <w:color w:val="605E5C"/>
      <w:shd w:val="clear" w:color="auto" w:fill="E1DFDD"/>
    </w:rPr>
  </w:style>
  <w:style w:type="character" w:customStyle="1" w:styleId="UnresolvedMention6">
    <w:name w:val="Unresolved Mention6"/>
    <w:basedOn w:val="DefaultParagraphFont"/>
    <w:uiPriority w:val="99"/>
    <w:semiHidden/>
    <w:unhideWhenUsed/>
    <w:rsid w:val="00C64479"/>
    <w:rPr>
      <w:color w:val="605E5C"/>
      <w:shd w:val="clear" w:color="auto" w:fill="E1DFDD"/>
    </w:rPr>
  </w:style>
  <w:style w:type="character" w:customStyle="1" w:styleId="UnresolvedMention7">
    <w:name w:val="Unresolved Mention7"/>
    <w:basedOn w:val="DefaultParagraphFont"/>
    <w:uiPriority w:val="99"/>
    <w:semiHidden/>
    <w:unhideWhenUsed/>
    <w:rsid w:val="00850814"/>
    <w:rPr>
      <w:color w:val="605E5C"/>
      <w:shd w:val="clear" w:color="auto" w:fill="E1DFDD"/>
    </w:rPr>
  </w:style>
  <w:style w:type="character" w:customStyle="1" w:styleId="UnresolvedMention8">
    <w:name w:val="Unresolved Mention8"/>
    <w:basedOn w:val="DefaultParagraphFont"/>
    <w:uiPriority w:val="99"/>
    <w:semiHidden/>
    <w:unhideWhenUsed/>
    <w:rsid w:val="00B562D8"/>
    <w:rPr>
      <w:color w:val="605E5C"/>
      <w:shd w:val="clear" w:color="auto" w:fill="E1DFDD"/>
    </w:rPr>
  </w:style>
  <w:style w:type="character" w:customStyle="1" w:styleId="UnresolvedMention9">
    <w:name w:val="Unresolved Mention9"/>
    <w:basedOn w:val="DefaultParagraphFont"/>
    <w:uiPriority w:val="99"/>
    <w:semiHidden/>
    <w:unhideWhenUsed/>
    <w:rsid w:val="00C07B08"/>
    <w:rPr>
      <w:color w:val="605E5C"/>
      <w:shd w:val="clear" w:color="auto" w:fill="E1DFDD"/>
    </w:rPr>
  </w:style>
  <w:style w:type="character" w:customStyle="1" w:styleId="UnresolvedMention10">
    <w:name w:val="Unresolved Mention10"/>
    <w:basedOn w:val="DefaultParagraphFont"/>
    <w:uiPriority w:val="99"/>
    <w:semiHidden/>
    <w:unhideWhenUsed/>
    <w:rsid w:val="002C0249"/>
    <w:rPr>
      <w:color w:val="605E5C"/>
      <w:shd w:val="clear" w:color="auto" w:fill="E1DFDD"/>
    </w:rPr>
  </w:style>
  <w:style w:type="paragraph" w:styleId="ListNumber">
    <w:name w:val="List Number"/>
    <w:basedOn w:val="Normal"/>
    <w:rsid w:val="006C0837"/>
    <w:pPr>
      <w:tabs>
        <w:tab w:val="num" w:pos="709"/>
      </w:tabs>
      <w:spacing w:after="240" w:line="240" w:lineRule="auto"/>
      <w:ind w:left="709" w:hanging="709"/>
      <w:jc w:val="both"/>
    </w:pPr>
    <w:rPr>
      <w:rFonts w:ascii="Times New Roman" w:eastAsia="Times New Roman" w:hAnsi="Times New Roman" w:cs="Times New Roman"/>
      <w:sz w:val="24"/>
      <w:szCs w:val="20"/>
    </w:rPr>
  </w:style>
  <w:style w:type="paragraph" w:customStyle="1" w:styleId="Default">
    <w:name w:val="Default"/>
    <w:rsid w:val="00007E77"/>
    <w:pPr>
      <w:autoSpaceDE w:val="0"/>
      <w:autoSpaceDN w:val="0"/>
      <w:adjustRightInd w:val="0"/>
      <w:spacing w:after="0" w:line="240" w:lineRule="auto"/>
    </w:pPr>
    <w:rPr>
      <w:rFonts w:ascii="Times New Roman" w:hAnsi="Times New Roman" w:cs="Times New Roman"/>
      <w:color w:val="000000"/>
      <w:sz w:val="24"/>
      <w:szCs w:val="24"/>
      <w:lang w:val="fr-BE"/>
    </w:rPr>
  </w:style>
  <w:style w:type="character" w:customStyle="1" w:styleId="UnresolvedMention11">
    <w:name w:val="Unresolved Mention11"/>
    <w:basedOn w:val="DefaultParagraphFont"/>
    <w:uiPriority w:val="99"/>
    <w:semiHidden/>
    <w:unhideWhenUsed/>
    <w:rsid w:val="008E17CE"/>
    <w:rPr>
      <w:color w:val="605E5C"/>
      <w:shd w:val="clear" w:color="auto" w:fill="E1DFDD"/>
    </w:rPr>
  </w:style>
  <w:style w:type="character" w:customStyle="1" w:styleId="UnresolvedMention12">
    <w:name w:val="Unresolved Mention12"/>
    <w:basedOn w:val="DefaultParagraphFont"/>
    <w:uiPriority w:val="99"/>
    <w:semiHidden/>
    <w:unhideWhenUsed/>
    <w:rsid w:val="009252B8"/>
    <w:rPr>
      <w:color w:val="605E5C"/>
      <w:shd w:val="clear" w:color="auto" w:fill="E1DFDD"/>
    </w:rPr>
  </w:style>
  <w:style w:type="character" w:customStyle="1" w:styleId="UnresolvedMention">
    <w:name w:val="Unresolved Mention"/>
    <w:basedOn w:val="DefaultParagraphFont"/>
    <w:uiPriority w:val="99"/>
    <w:semiHidden/>
    <w:unhideWhenUsed/>
    <w:rsid w:val="006607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43598">
      <w:bodyDiv w:val="1"/>
      <w:marLeft w:val="0"/>
      <w:marRight w:val="0"/>
      <w:marTop w:val="0"/>
      <w:marBottom w:val="0"/>
      <w:divBdr>
        <w:top w:val="none" w:sz="0" w:space="0" w:color="auto"/>
        <w:left w:val="none" w:sz="0" w:space="0" w:color="auto"/>
        <w:bottom w:val="none" w:sz="0" w:space="0" w:color="auto"/>
        <w:right w:val="none" w:sz="0" w:space="0" w:color="auto"/>
      </w:divBdr>
    </w:div>
    <w:div w:id="99306115">
      <w:bodyDiv w:val="1"/>
      <w:marLeft w:val="0"/>
      <w:marRight w:val="0"/>
      <w:marTop w:val="0"/>
      <w:marBottom w:val="0"/>
      <w:divBdr>
        <w:top w:val="none" w:sz="0" w:space="0" w:color="auto"/>
        <w:left w:val="none" w:sz="0" w:space="0" w:color="auto"/>
        <w:bottom w:val="none" w:sz="0" w:space="0" w:color="auto"/>
        <w:right w:val="none" w:sz="0" w:space="0" w:color="auto"/>
      </w:divBdr>
    </w:div>
    <w:div w:id="103500098">
      <w:bodyDiv w:val="1"/>
      <w:marLeft w:val="0"/>
      <w:marRight w:val="0"/>
      <w:marTop w:val="0"/>
      <w:marBottom w:val="0"/>
      <w:divBdr>
        <w:top w:val="none" w:sz="0" w:space="0" w:color="auto"/>
        <w:left w:val="none" w:sz="0" w:space="0" w:color="auto"/>
        <w:bottom w:val="none" w:sz="0" w:space="0" w:color="auto"/>
        <w:right w:val="none" w:sz="0" w:space="0" w:color="auto"/>
      </w:divBdr>
    </w:div>
    <w:div w:id="170029042">
      <w:bodyDiv w:val="1"/>
      <w:marLeft w:val="0"/>
      <w:marRight w:val="0"/>
      <w:marTop w:val="0"/>
      <w:marBottom w:val="0"/>
      <w:divBdr>
        <w:top w:val="none" w:sz="0" w:space="0" w:color="auto"/>
        <w:left w:val="none" w:sz="0" w:space="0" w:color="auto"/>
        <w:bottom w:val="none" w:sz="0" w:space="0" w:color="auto"/>
        <w:right w:val="none" w:sz="0" w:space="0" w:color="auto"/>
      </w:divBdr>
    </w:div>
    <w:div w:id="181169993">
      <w:bodyDiv w:val="1"/>
      <w:marLeft w:val="0"/>
      <w:marRight w:val="0"/>
      <w:marTop w:val="0"/>
      <w:marBottom w:val="0"/>
      <w:divBdr>
        <w:top w:val="none" w:sz="0" w:space="0" w:color="auto"/>
        <w:left w:val="none" w:sz="0" w:space="0" w:color="auto"/>
        <w:bottom w:val="none" w:sz="0" w:space="0" w:color="auto"/>
        <w:right w:val="none" w:sz="0" w:space="0" w:color="auto"/>
      </w:divBdr>
      <w:divsChild>
        <w:div w:id="577708531">
          <w:marLeft w:val="0"/>
          <w:marRight w:val="0"/>
          <w:marTop w:val="0"/>
          <w:marBottom w:val="0"/>
          <w:divBdr>
            <w:top w:val="none" w:sz="0" w:space="0" w:color="auto"/>
            <w:left w:val="none" w:sz="0" w:space="0" w:color="auto"/>
            <w:bottom w:val="none" w:sz="0" w:space="0" w:color="auto"/>
            <w:right w:val="none" w:sz="0" w:space="0" w:color="auto"/>
          </w:divBdr>
          <w:divsChild>
            <w:div w:id="107285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20116">
      <w:bodyDiv w:val="1"/>
      <w:marLeft w:val="0"/>
      <w:marRight w:val="0"/>
      <w:marTop w:val="0"/>
      <w:marBottom w:val="0"/>
      <w:divBdr>
        <w:top w:val="none" w:sz="0" w:space="0" w:color="auto"/>
        <w:left w:val="none" w:sz="0" w:space="0" w:color="auto"/>
        <w:bottom w:val="none" w:sz="0" w:space="0" w:color="auto"/>
        <w:right w:val="none" w:sz="0" w:space="0" w:color="auto"/>
      </w:divBdr>
    </w:div>
    <w:div w:id="227423682">
      <w:bodyDiv w:val="1"/>
      <w:marLeft w:val="0"/>
      <w:marRight w:val="0"/>
      <w:marTop w:val="0"/>
      <w:marBottom w:val="0"/>
      <w:divBdr>
        <w:top w:val="none" w:sz="0" w:space="0" w:color="auto"/>
        <w:left w:val="none" w:sz="0" w:space="0" w:color="auto"/>
        <w:bottom w:val="none" w:sz="0" w:space="0" w:color="auto"/>
        <w:right w:val="none" w:sz="0" w:space="0" w:color="auto"/>
      </w:divBdr>
    </w:div>
    <w:div w:id="260841979">
      <w:bodyDiv w:val="1"/>
      <w:marLeft w:val="0"/>
      <w:marRight w:val="0"/>
      <w:marTop w:val="0"/>
      <w:marBottom w:val="0"/>
      <w:divBdr>
        <w:top w:val="none" w:sz="0" w:space="0" w:color="auto"/>
        <w:left w:val="none" w:sz="0" w:space="0" w:color="auto"/>
        <w:bottom w:val="none" w:sz="0" w:space="0" w:color="auto"/>
        <w:right w:val="none" w:sz="0" w:space="0" w:color="auto"/>
      </w:divBdr>
    </w:div>
    <w:div w:id="263270495">
      <w:bodyDiv w:val="1"/>
      <w:marLeft w:val="0"/>
      <w:marRight w:val="0"/>
      <w:marTop w:val="0"/>
      <w:marBottom w:val="0"/>
      <w:divBdr>
        <w:top w:val="none" w:sz="0" w:space="0" w:color="auto"/>
        <w:left w:val="none" w:sz="0" w:space="0" w:color="auto"/>
        <w:bottom w:val="none" w:sz="0" w:space="0" w:color="auto"/>
        <w:right w:val="none" w:sz="0" w:space="0" w:color="auto"/>
      </w:divBdr>
    </w:div>
    <w:div w:id="274098710">
      <w:bodyDiv w:val="1"/>
      <w:marLeft w:val="0"/>
      <w:marRight w:val="0"/>
      <w:marTop w:val="0"/>
      <w:marBottom w:val="0"/>
      <w:divBdr>
        <w:top w:val="none" w:sz="0" w:space="0" w:color="auto"/>
        <w:left w:val="none" w:sz="0" w:space="0" w:color="auto"/>
        <w:bottom w:val="none" w:sz="0" w:space="0" w:color="auto"/>
        <w:right w:val="none" w:sz="0" w:space="0" w:color="auto"/>
      </w:divBdr>
    </w:div>
    <w:div w:id="281571980">
      <w:bodyDiv w:val="1"/>
      <w:marLeft w:val="0"/>
      <w:marRight w:val="0"/>
      <w:marTop w:val="0"/>
      <w:marBottom w:val="0"/>
      <w:divBdr>
        <w:top w:val="none" w:sz="0" w:space="0" w:color="auto"/>
        <w:left w:val="none" w:sz="0" w:space="0" w:color="auto"/>
        <w:bottom w:val="none" w:sz="0" w:space="0" w:color="auto"/>
        <w:right w:val="none" w:sz="0" w:space="0" w:color="auto"/>
      </w:divBdr>
    </w:div>
    <w:div w:id="295792128">
      <w:bodyDiv w:val="1"/>
      <w:marLeft w:val="0"/>
      <w:marRight w:val="0"/>
      <w:marTop w:val="0"/>
      <w:marBottom w:val="0"/>
      <w:divBdr>
        <w:top w:val="none" w:sz="0" w:space="0" w:color="auto"/>
        <w:left w:val="none" w:sz="0" w:space="0" w:color="auto"/>
        <w:bottom w:val="none" w:sz="0" w:space="0" w:color="auto"/>
        <w:right w:val="none" w:sz="0" w:space="0" w:color="auto"/>
      </w:divBdr>
    </w:div>
    <w:div w:id="311951554">
      <w:bodyDiv w:val="1"/>
      <w:marLeft w:val="0"/>
      <w:marRight w:val="0"/>
      <w:marTop w:val="0"/>
      <w:marBottom w:val="0"/>
      <w:divBdr>
        <w:top w:val="none" w:sz="0" w:space="0" w:color="auto"/>
        <w:left w:val="none" w:sz="0" w:space="0" w:color="auto"/>
        <w:bottom w:val="none" w:sz="0" w:space="0" w:color="auto"/>
        <w:right w:val="none" w:sz="0" w:space="0" w:color="auto"/>
      </w:divBdr>
    </w:div>
    <w:div w:id="325213400">
      <w:bodyDiv w:val="1"/>
      <w:marLeft w:val="0"/>
      <w:marRight w:val="0"/>
      <w:marTop w:val="0"/>
      <w:marBottom w:val="0"/>
      <w:divBdr>
        <w:top w:val="none" w:sz="0" w:space="0" w:color="auto"/>
        <w:left w:val="none" w:sz="0" w:space="0" w:color="auto"/>
        <w:bottom w:val="none" w:sz="0" w:space="0" w:color="auto"/>
        <w:right w:val="none" w:sz="0" w:space="0" w:color="auto"/>
      </w:divBdr>
    </w:div>
    <w:div w:id="326246299">
      <w:bodyDiv w:val="1"/>
      <w:marLeft w:val="0"/>
      <w:marRight w:val="0"/>
      <w:marTop w:val="0"/>
      <w:marBottom w:val="0"/>
      <w:divBdr>
        <w:top w:val="none" w:sz="0" w:space="0" w:color="auto"/>
        <w:left w:val="none" w:sz="0" w:space="0" w:color="auto"/>
        <w:bottom w:val="none" w:sz="0" w:space="0" w:color="auto"/>
        <w:right w:val="none" w:sz="0" w:space="0" w:color="auto"/>
      </w:divBdr>
    </w:div>
    <w:div w:id="335351862">
      <w:bodyDiv w:val="1"/>
      <w:marLeft w:val="0"/>
      <w:marRight w:val="0"/>
      <w:marTop w:val="0"/>
      <w:marBottom w:val="0"/>
      <w:divBdr>
        <w:top w:val="none" w:sz="0" w:space="0" w:color="auto"/>
        <w:left w:val="none" w:sz="0" w:space="0" w:color="auto"/>
        <w:bottom w:val="none" w:sz="0" w:space="0" w:color="auto"/>
        <w:right w:val="none" w:sz="0" w:space="0" w:color="auto"/>
      </w:divBdr>
    </w:div>
    <w:div w:id="380908381">
      <w:bodyDiv w:val="1"/>
      <w:marLeft w:val="0"/>
      <w:marRight w:val="0"/>
      <w:marTop w:val="0"/>
      <w:marBottom w:val="0"/>
      <w:divBdr>
        <w:top w:val="none" w:sz="0" w:space="0" w:color="auto"/>
        <w:left w:val="none" w:sz="0" w:space="0" w:color="auto"/>
        <w:bottom w:val="none" w:sz="0" w:space="0" w:color="auto"/>
        <w:right w:val="none" w:sz="0" w:space="0" w:color="auto"/>
      </w:divBdr>
    </w:div>
    <w:div w:id="391541785">
      <w:bodyDiv w:val="1"/>
      <w:marLeft w:val="0"/>
      <w:marRight w:val="0"/>
      <w:marTop w:val="0"/>
      <w:marBottom w:val="0"/>
      <w:divBdr>
        <w:top w:val="none" w:sz="0" w:space="0" w:color="auto"/>
        <w:left w:val="none" w:sz="0" w:space="0" w:color="auto"/>
        <w:bottom w:val="none" w:sz="0" w:space="0" w:color="auto"/>
        <w:right w:val="none" w:sz="0" w:space="0" w:color="auto"/>
      </w:divBdr>
    </w:div>
    <w:div w:id="407777475">
      <w:bodyDiv w:val="1"/>
      <w:marLeft w:val="0"/>
      <w:marRight w:val="0"/>
      <w:marTop w:val="0"/>
      <w:marBottom w:val="0"/>
      <w:divBdr>
        <w:top w:val="none" w:sz="0" w:space="0" w:color="auto"/>
        <w:left w:val="none" w:sz="0" w:space="0" w:color="auto"/>
        <w:bottom w:val="none" w:sz="0" w:space="0" w:color="auto"/>
        <w:right w:val="none" w:sz="0" w:space="0" w:color="auto"/>
      </w:divBdr>
    </w:div>
    <w:div w:id="409737073">
      <w:bodyDiv w:val="1"/>
      <w:marLeft w:val="0"/>
      <w:marRight w:val="0"/>
      <w:marTop w:val="0"/>
      <w:marBottom w:val="0"/>
      <w:divBdr>
        <w:top w:val="none" w:sz="0" w:space="0" w:color="auto"/>
        <w:left w:val="none" w:sz="0" w:space="0" w:color="auto"/>
        <w:bottom w:val="none" w:sz="0" w:space="0" w:color="auto"/>
        <w:right w:val="none" w:sz="0" w:space="0" w:color="auto"/>
      </w:divBdr>
    </w:div>
    <w:div w:id="415521172">
      <w:bodyDiv w:val="1"/>
      <w:marLeft w:val="0"/>
      <w:marRight w:val="0"/>
      <w:marTop w:val="0"/>
      <w:marBottom w:val="0"/>
      <w:divBdr>
        <w:top w:val="none" w:sz="0" w:space="0" w:color="auto"/>
        <w:left w:val="none" w:sz="0" w:space="0" w:color="auto"/>
        <w:bottom w:val="none" w:sz="0" w:space="0" w:color="auto"/>
        <w:right w:val="none" w:sz="0" w:space="0" w:color="auto"/>
      </w:divBdr>
    </w:div>
    <w:div w:id="459569119">
      <w:bodyDiv w:val="1"/>
      <w:marLeft w:val="0"/>
      <w:marRight w:val="0"/>
      <w:marTop w:val="0"/>
      <w:marBottom w:val="0"/>
      <w:divBdr>
        <w:top w:val="none" w:sz="0" w:space="0" w:color="auto"/>
        <w:left w:val="none" w:sz="0" w:space="0" w:color="auto"/>
        <w:bottom w:val="none" w:sz="0" w:space="0" w:color="auto"/>
        <w:right w:val="none" w:sz="0" w:space="0" w:color="auto"/>
      </w:divBdr>
    </w:div>
    <w:div w:id="466824919">
      <w:bodyDiv w:val="1"/>
      <w:marLeft w:val="0"/>
      <w:marRight w:val="0"/>
      <w:marTop w:val="0"/>
      <w:marBottom w:val="0"/>
      <w:divBdr>
        <w:top w:val="none" w:sz="0" w:space="0" w:color="auto"/>
        <w:left w:val="none" w:sz="0" w:space="0" w:color="auto"/>
        <w:bottom w:val="none" w:sz="0" w:space="0" w:color="auto"/>
        <w:right w:val="none" w:sz="0" w:space="0" w:color="auto"/>
      </w:divBdr>
    </w:div>
    <w:div w:id="476922902">
      <w:bodyDiv w:val="1"/>
      <w:marLeft w:val="0"/>
      <w:marRight w:val="0"/>
      <w:marTop w:val="0"/>
      <w:marBottom w:val="0"/>
      <w:divBdr>
        <w:top w:val="none" w:sz="0" w:space="0" w:color="auto"/>
        <w:left w:val="none" w:sz="0" w:space="0" w:color="auto"/>
        <w:bottom w:val="none" w:sz="0" w:space="0" w:color="auto"/>
        <w:right w:val="none" w:sz="0" w:space="0" w:color="auto"/>
      </w:divBdr>
    </w:div>
    <w:div w:id="484204990">
      <w:bodyDiv w:val="1"/>
      <w:marLeft w:val="0"/>
      <w:marRight w:val="0"/>
      <w:marTop w:val="0"/>
      <w:marBottom w:val="0"/>
      <w:divBdr>
        <w:top w:val="none" w:sz="0" w:space="0" w:color="auto"/>
        <w:left w:val="none" w:sz="0" w:space="0" w:color="auto"/>
        <w:bottom w:val="none" w:sz="0" w:space="0" w:color="auto"/>
        <w:right w:val="none" w:sz="0" w:space="0" w:color="auto"/>
      </w:divBdr>
    </w:div>
    <w:div w:id="584269913">
      <w:bodyDiv w:val="1"/>
      <w:marLeft w:val="0"/>
      <w:marRight w:val="0"/>
      <w:marTop w:val="0"/>
      <w:marBottom w:val="0"/>
      <w:divBdr>
        <w:top w:val="none" w:sz="0" w:space="0" w:color="auto"/>
        <w:left w:val="none" w:sz="0" w:space="0" w:color="auto"/>
        <w:bottom w:val="none" w:sz="0" w:space="0" w:color="auto"/>
        <w:right w:val="none" w:sz="0" w:space="0" w:color="auto"/>
      </w:divBdr>
    </w:div>
    <w:div w:id="595361686">
      <w:bodyDiv w:val="1"/>
      <w:marLeft w:val="0"/>
      <w:marRight w:val="0"/>
      <w:marTop w:val="0"/>
      <w:marBottom w:val="0"/>
      <w:divBdr>
        <w:top w:val="none" w:sz="0" w:space="0" w:color="auto"/>
        <w:left w:val="none" w:sz="0" w:space="0" w:color="auto"/>
        <w:bottom w:val="none" w:sz="0" w:space="0" w:color="auto"/>
        <w:right w:val="none" w:sz="0" w:space="0" w:color="auto"/>
      </w:divBdr>
    </w:div>
    <w:div w:id="596597253">
      <w:bodyDiv w:val="1"/>
      <w:marLeft w:val="0"/>
      <w:marRight w:val="0"/>
      <w:marTop w:val="0"/>
      <w:marBottom w:val="0"/>
      <w:divBdr>
        <w:top w:val="none" w:sz="0" w:space="0" w:color="auto"/>
        <w:left w:val="none" w:sz="0" w:space="0" w:color="auto"/>
        <w:bottom w:val="none" w:sz="0" w:space="0" w:color="auto"/>
        <w:right w:val="none" w:sz="0" w:space="0" w:color="auto"/>
      </w:divBdr>
    </w:div>
    <w:div w:id="618922071">
      <w:bodyDiv w:val="1"/>
      <w:marLeft w:val="0"/>
      <w:marRight w:val="0"/>
      <w:marTop w:val="0"/>
      <w:marBottom w:val="0"/>
      <w:divBdr>
        <w:top w:val="none" w:sz="0" w:space="0" w:color="auto"/>
        <w:left w:val="none" w:sz="0" w:space="0" w:color="auto"/>
        <w:bottom w:val="none" w:sz="0" w:space="0" w:color="auto"/>
        <w:right w:val="none" w:sz="0" w:space="0" w:color="auto"/>
      </w:divBdr>
    </w:div>
    <w:div w:id="630092833">
      <w:bodyDiv w:val="1"/>
      <w:marLeft w:val="0"/>
      <w:marRight w:val="0"/>
      <w:marTop w:val="0"/>
      <w:marBottom w:val="0"/>
      <w:divBdr>
        <w:top w:val="none" w:sz="0" w:space="0" w:color="auto"/>
        <w:left w:val="none" w:sz="0" w:space="0" w:color="auto"/>
        <w:bottom w:val="none" w:sz="0" w:space="0" w:color="auto"/>
        <w:right w:val="none" w:sz="0" w:space="0" w:color="auto"/>
      </w:divBdr>
    </w:div>
    <w:div w:id="636647398">
      <w:bodyDiv w:val="1"/>
      <w:marLeft w:val="0"/>
      <w:marRight w:val="0"/>
      <w:marTop w:val="0"/>
      <w:marBottom w:val="0"/>
      <w:divBdr>
        <w:top w:val="none" w:sz="0" w:space="0" w:color="auto"/>
        <w:left w:val="none" w:sz="0" w:space="0" w:color="auto"/>
        <w:bottom w:val="none" w:sz="0" w:space="0" w:color="auto"/>
        <w:right w:val="none" w:sz="0" w:space="0" w:color="auto"/>
      </w:divBdr>
    </w:div>
    <w:div w:id="668023074">
      <w:bodyDiv w:val="1"/>
      <w:marLeft w:val="0"/>
      <w:marRight w:val="0"/>
      <w:marTop w:val="0"/>
      <w:marBottom w:val="0"/>
      <w:divBdr>
        <w:top w:val="none" w:sz="0" w:space="0" w:color="auto"/>
        <w:left w:val="none" w:sz="0" w:space="0" w:color="auto"/>
        <w:bottom w:val="none" w:sz="0" w:space="0" w:color="auto"/>
        <w:right w:val="none" w:sz="0" w:space="0" w:color="auto"/>
      </w:divBdr>
    </w:div>
    <w:div w:id="753554028">
      <w:bodyDiv w:val="1"/>
      <w:marLeft w:val="0"/>
      <w:marRight w:val="0"/>
      <w:marTop w:val="0"/>
      <w:marBottom w:val="0"/>
      <w:divBdr>
        <w:top w:val="none" w:sz="0" w:space="0" w:color="auto"/>
        <w:left w:val="none" w:sz="0" w:space="0" w:color="auto"/>
        <w:bottom w:val="none" w:sz="0" w:space="0" w:color="auto"/>
        <w:right w:val="none" w:sz="0" w:space="0" w:color="auto"/>
      </w:divBdr>
    </w:div>
    <w:div w:id="765688089">
      <w:bodyDiv w:val="1"/>
      <w:marLeft w:val="0"/>
      <w:marRight w:val="0"/>
      <w:marTop w:val="0"/>
      <w:marBottom w:val="0"/>
      <w:divBdr>
        <w:top w:val="none" w:sz="0" w:space="0" w:color="auto"/>
        <w:left w:val="none" w:sz="0" w:space="0" w:color="auto"/>
        <w:bottom w:val="none" w:sz="0" w:space="0" w:color="auto"/>
        <w:right w:val="none" w:sz="0" w:space="0" w:color="auto"/>
      </w:divBdr>
    </w:div>
    <w:div w:id="779254311">
      <w:bodyDiv w:val="1"/>
      <w:marLeft w:val="0"/>
      <w:marRight w:val="0"/>
      <w:marTop w:val="0"/>
      <w:marBottom w:val="0"/>
      <w:divBdr>
        <w:top w:val="none" w:sz="0" w:space="0" w:color="auto"/>
        <w:left w:val="none" w:sz="0" w:space="0" w:color="auto"/>
        <w:bottom w:val="none" w:sz="0" w:space="0" w:color="auto"/>
        <w:right w:val="none" w:sz="0" w:space="0" w:color="auto"/>
      </w:divBdr>
    </w:div>
    <w:div w:id="784077821">
      <w:bodyDiv w:val="1"/>
      <w:marLeft w:val="0"/>
      <w:marRight w:val="0"/>
      <w:marTop w:val="0"/>
      <w:marBottom w:val="0"/>
      <w:divBdr>
        <w:top w:val="none" w:sz="0" w:space="0" w:color="auto"/>
        <w:left w:val="none" w:sz="0" w:space="0" w:color="auto"/>
        <w:bottom w:val="none" w:sz="0" w:space="0" w:color="auto"/>
        <w:right w:val="none" w:sz="0" w:space="0" w:color="auto"/>
      </w:divBdr>
    </w:div>
    <w:div w:id="819423334">
      <w:bodyDiv w:val="1"/>
      <w:marLeft w:val="0"/>
      <w:marRight w:val="0"/>
      <w:marTop w:val="0"/>
      <w:marBottom w:val="0"/>
      <w:divBdr>
        <w:top w:val="none" w:sz="0" w:space="0" w:color="auto"/>
        <w:left w:val="none" w:sz="0" w:space="0" w:color="auto"/>
        <w:bottom w:val="none" w:sz="0" w:space="0" w:color="auto"/>
        <w:right w:val="none" w:sz="0" w:space="0" w:color="auto"/>
      </w:divBdr>
    </w:div>
    <w:div w:id="851458319">
      <w:bodyDiv w:val="1"/>
      <w:marLeft w:val="0"/>
      <w:marRight w:val="0"/>
      <w:marTop w:val="0"/>
      <w:marBottom w:val="0"/>
      <w:divBdr>
        <w:top w:val="none" w:sz="0" w:space="0" w:color="auto"/>
        <w:left w:val="none" w:sz="0" w:space="0" w:color="auto"/>
        <w:bottom w:val="none" w:sz="0" w:space="0" w:color="auto"/>
        <w:right w:val="none" w:sz="0" w:space="0" w:color="auto"/>
      </w:divBdr>
    </w:div>
    <w:div w:id="852570282">
      <w:bodyDiv w:val="1"/>
      <w:marLeft w:val="0"/>
      <w:marRight w:val="0"/>
      <w:marTop w:val="0"/>
      <w:marBottom w:val="0"/>
      <w:divBdr>
        <w:top w:val="none" w:sz="0" w:space="0" w:color="auto"/>
        <w:left w:val="none" w:sz="0" w:space="0" w:color="auto"/>
        <w:bottom w:val="none" w:sz="0" w:space="0" w:color="auto"/>
        <w:right w:val="none" w:sz="0" w:space="0" w:color="auto"/>
      </w:divBdr>
    </w:div>
    <w:div w:id="886717254">
      <w:bodyDiv w:val="1"/>
      <w:marLeft w:val="0"/>
      <w:marRight w:val="0"/>
      <w:marTop w:val="0"/>
      <w:marBottom w:val="0"/>
      <w:divBdr>
        <w:top w:val="none" w:sz="0" w:space="0" w:color="auto"/>
        <w:left w:val="none" w:sz="0" w:space="0" w:color="auto"/>
        <w:bottom w:val="none" w:sz="0" w:space="0" w:color="auto"/>
        <w:right w:val="none" w:sz="0" w:space="0" w:color="auto"/>
      </w:divBdr>
    </w:div>
    <w:div w:id="889880248">
      <w:bodyDiv w:val="1"/>
      <w:marLeft w:val="0"/>
      <w:marRight w:val="0"/>
      <w:marTop w:val="0"/>
      <w:marBottom w:val="0"/>
      <w:divBdr>
        <w:top w:val="none" w:sz="0" w:space="0" w:color="auto"/>
        <w:left w:val="none" w:sz="0" w:space="0" w:color="auto"/>
        <w:bottom w:val="none" w:sz="0" w:space="0" w:color="auto"/>
        <w:right w:val="none" w:sz="0" w:space="0" w:color="auto"/>
      </w:divBdr>
    </w:div>
    <w:div w:id="909191074">
      <w:bodyDiv w:val="1"/>
      <w:marLeft w:val="0"/>
      <w:marRight w:val="0"/>
      <w:marTop w:val="0"/>
      <w:marBottom w:val="0"/>
      <w:divBdr>
        <w:top w:val="none" w:sz="0" w:space="0" w:color="auto"/>
        <w:left w:val="none" w:sz="0" w:space="0" w:color="auto"/>
        <w:bottom w:val="none" w:sz="0" w:space="0" w:color="auto"/>
        <w:right w:val="none" w:sz="0" w:space="0" w:color="auto"/>
      </w:divBdr>
    </w:div>
    <w:div w:id="921568589">
      <w:bodyDiv w:val="1"/>
      <w:marLeft w:val="0"/>
      <w:marRight w:val="0"/>
      <w:marTop w:val="0"/>
      <w:marBottom w:val="0"/>
      <w:divBdr>
        <w:top w:val="none" w:sz="0" w:space="0" w:color="auto"/>
        <w:left w:val="none" w:sz="0" w:space="0" w:color="auto"/>
        <w:bottom w:val="none" w:sz="0" w:space="0" w:color="auto"/>
        <w:right w:val="none" w:sz="0" w:space="0" w:color="auto"/>
      </w:divBdr>
    </w:div>
    <w:div w:id="923952076">
      <w:bodyDiv w:val="1"/>
      <w:marLeft w:val="0"/>
      <w:marRight w:val="0"/>
      <w:marTop w:val="0"/>
      <w:marBottom w:val="0"/>
      <w:divBdr>
        <w:top w:val="none" w:sz="0" w:space="0" w:color="auto"/>
        <w:left w:val="none" w:sz="0" w:space="0" w:color="auto"/>
        <w:bottom w:val="none" w:sz="0" w:space="0" w:color="auto"/>
        <w:right w:val="none" w:sz="0" w:space="0" w:color="auto"/>
      </w:divBdr>
    </w:div>
    <w:div w:id="932200291">
      <w:bodyDiv w:val="1"/>
      <w:marLeft w:val="0"/>
      <w:marRight w:val="0"/>
      <w:marTop w:val="0"/>
      <w:marBottom w:val="0"/>
      <w:divBdr>
        <w:top w:val="none" w:sz="0" w:space="0" w:color="auto"/>
        <w:left w:val="none" w:sz="0" w:space="0" w:color="auto"/>
        <w:bottom w:val="none" w:sz="0" w:space="0" w:color="auto"/>
        <w:right w:val="none" w:sz="0" w:space="0" w:color="auto"/>
      </w:divBdr>
    </w:div>
    <w:div w:id="1049066006">
      <w:bodyDiv w:val="1"/>
      <w:marLeft w:val="0"/>
      <w:marRight w:val="0"/>
      <w:marTop w:val="0"/>
      <w:marBottom w:val="0"/>
      <w:divBdr>
        <w:top w:val="none" w:sz="0" w:space="0" w:color="auto"/>
        <w:left w:val="none" w:sz="0" w:space="0" w:color="auto"/>
        <w:bottom w:val="none" w:sz="0" w:space="0" w:color="auto"/>
        <w:right w:val="none" w:sz="0" w:space="0" w:color="auto"/>
      </w:divBdr>
    </w:div>
    <w:div w:id="1051349777">
      <w:bodyDiv w:val="1"/>
      <w:marLeft w:val="0"/>
      <w:marRight w:val="0"/>
      <w:marTop w:val="0"/>
      <w:marBottom w:val="0"/>
      <w:divBdr>
        <w:top w:val="none" w:sz="0" w:space="0" w:color="auto"/>
        <w:left w:val="none" w:sz="0" w:space="0" w:color="auto"/>
        <w:bottom w:val="none" w:sz="0" w:space="0" w:color="auto"/>
        <w:right w:val="none" w:sz="0" w:space="0" w:color="auto"/>
      </w:divBdr>
    </w:div>
    <w:div w:id="1134299573">
      <w:bodyDiv w:val="1"/>
      <w:marLeft w:val="0"/>
      <w:marRight w:val="0"/>
      <w:marTop w:val="0"/>
      <w:marBottom w:val="0"/>
      <w:divBdr>
        <w:top w:val="none" w:sz="0" w:space="0" w:color="auto"/>
        <w:left w:val="none" w:sz="0" w:space="0" w:color="auto"/>
        <w:bottom w:val="none" w:sz="0" w:space="0" w:color="auto"/>
        <w:right w:val="none" w:sz="0" w:space="0" w:color="auto"/>
      </w:divBdr>
    </w:div>
    <w:div w:id="1150681665">
      <w:bodyDiv w:val="1"/>
      <w:marLeft w:val="0"/>
      <w:marRight w:val="0"/>
      <w:marTop w:val="0"/>
      <w:marBottom w:val="0"/>
      <w:divBdr>
        <w:top w:val="none" w:sz="0" w:space="0" w:color="auto"/>
        <w:left w:val="none" w:sz="0" w:space="0" w:color="auto"/>
        <w:bottom w:val="none" w:sz="0" w:space="0" w:color="auto"/>
        <w:right w:val="none" w:sz="0" w:space="0" w:color="auto"/>
      </w:divBdr>
    </w:div>
    <w:div w:id="1231306859">
      <w:bodyDiv w:val="1"/>
      <w:marLeft w:val="0"/>
      <w:marRight w:val="0"/>
      <w:marTop w:val="0"/>
      <w:marBottom w:val="0"/>
      <w:divBdr>
        <w:top w:val="none" w:sz="0" w:space="0" w:color="auto"/>
        <w:left w:val="none" w:sz="0" w:space="0" w:color="auto"/>
        <w:bottom w:val="none" w:sz="0" w:space="0" w:color="auto"/>
        <w:right w:val="none" w:sz="0" w:space="0" w:color="auto"/>
      </w:divBdr>
    </w:div>
    <w:div w:id="1249729588">
      <w:bodyDiv w:val="1"/>
      <w:marLeft w:val="0"/>
      <w:marRight w:val="0"/>
      <w:marTop w:val="0"/>
      <w:marBottom w:val="0"/>
      <w:divBdr>
        <w:top w:val="none" w:sz="0" w:space="0" w:color="auto"/>
        <w:left w:val="none" w:sz="0" w:space="0" w:color="auto"/>
        <w:bottom w:val="none" w:sz="0" w:space="0" w:color="auto"/>
        <w:right w:val="none" w:sz="0" w:space="0" w:color="auto"/>
      </w:divBdr>
    </w:div>
    <w:div w:id="1262372942">
      <w:bodyDiv w:val="1"/>
      <w:marLeft w:val="0"/>
      <w:marRight w:val="0"/>
      <w:marTop w:val="0"/>
      <w:marBottom w:val="0"/>
      <w:divBdr>
        <w:top w:val="none" w:sz="0" w:space="0" w:color="auto"/>
        <w:left w:val="none" w:sz="0" w:space="0" w:color="auto"/>
        <w:bottom w:val="none" w:sz="0" w:space="0" w:color="auto"/>
        <w:right w:val="none" w:sz="0" w:space="0" w:color="auto"/>
      </w:divBdr>
    </w:div>
    <w:div w:id="1329867477">
      <w:bodyDiv w:val="1"/>
      <w:marLeft w:val="0"/>
      <w:marRight w:val="0"/>
      <w:marTop w:val="0"/>
      <w:marBottom w:val="0"/>
      <w:divBdr>
        <w:top w:val="none" w:sz="0" w:space="0" w:color="auto"/>
        <w:left w:val="none" w:sz="0" w:space="0" w:color="auto"/>
        <w:bottom w:val="none" w:sz="0" w:space="0" w:color="auto"/>
        <w:right w:val="none" w:sz="0" w:space="0" w:color="auto"/>
      </w:divBdr>
    </w:div>
    <w:div w:id="1331568126">
      <w:bodyDiv w:val="1"/>
      <w:marLeft w:val="0"/>
      <w:marRight w:val="0"/>
      <w:marTop w:val="0"/>
      <w:marBottom w:val="0"/>
      <w:divBdr>
        <w:top w:val="none" w:sz="0" w:space="0" w:color="auto"/>
        <w:left w:val="none" w:sz="0" w:space="0" w:color="auto"/>
        <w:bottom w:val="none" w:sz="0" w:space="0" w:color="auto"/>
        <w:right w:val="none" w:sz="0" w:space="0" w:color="auto"/>
      </w:divBdr>
    </w:div>
    <w:div w:id="1387148910">
      <w:bodyDiv w:val="1"/>
      <w:marLeft w:val="0"/>
      <w:marRight w:val="0"/>
      <w:marTop w:val="0"/>
      <w:marBottom w:val="0"/>
      <w:divBdr>
        <w:top w:val="none" w:sz="0" w:space="0" w:color="auto"/>
        <w:left w:val="none" w:sz="0" w:space="0" w:color="auto"/>
        <w:bottom w:val="none" w:sz="0" w:space="0" w:color="auto"/>
        <w:right w:val="none" w:sz="0" w:space="0" w:color="auto"/>
      </w:divBdr>
    </w:div>
    <w:div w:id="1436944734">
      <w:bodyDiv w:val="1"/>
      <w:marLeft w:val="0"/>
      <w:marRight w:val="0"/>
      <w:marTop w:val="0"/>
      <w:marBottom w:val="0"/>
      <w:divBdr>
        <w:top w:val="none" w:sz="0" w:space="0" w:color="auto"/>
        <w:left w:val="none" w:sz="0" w:space="0" w:color="auto"/>
        <w:bottom w:val="none" w:sz="0" w:space="0" w:color="auto"/>
        <w:right w:val="none" w:sz="0" w:space="0" w:color="auto"/>
      </w:divBdr>
    </w:div>
    <w:div w:id="1530141989">
      <w:bodyDiv w:val="1"/>
      <w:marLeft w:val="0"/>
      <w:marRight w:val="0"/>
      <w:marTop w:val="0"/>
      <w:marBottom w:val="0"/>
      <w:divBdr>
        <w:top w:val="none" w:sz="0" w:space="0" w:color="auto"/>
        <w:left w:val="none" w:sz="0" w:space="0" w:color="auto"/>
        <w:bottom w:val="none" w:sz="0" w:space="0" w:color="auto"/>
        <w:right w:val="none" w:sz="0" w:space="0" w:color="auto"/>
      </w:divBdr>
    </w:div>
    <w:div w:id="1537037066">
      <w:bodyDiv w:val="1"/>
      <w:marLeft w:val="0"/>
      <w:marRight w:val="0"/>
      <w:marTop w:val="0"/>
      <w:marBottom w:val="0"/>
      <w:divBdr>
        <w:top w:val="none" w:sz="0" w:space="0" w:color="auto"/>
        <w:left w:val="none" w:sz="0" w:space="0" w:color="auto"/>
        <w:bottom w:val="none" w:sz="0" w:space="0" w:color="auto"/>
        <w:right w:val="none" w:sz="0" w:space="0" w:color="auto"/>
      </w:divBdr>
    </w:div>
    <w:div w:id="1572810499">
      <w:bodyDiv w:val="1"/>
      <w:marLeft w:val="0"/>
      <w:marRight w:val="0"/>
      <w:marTop w:val="0"/>
      <w:marBottom w:val="0"/>
      <w:divBdr>
        <w:top w:val="none" w:sz="0" w:space="0" w:color="auto"/>
        <w:left w:val="none" w:sz="0" w:space="0" w:color="auto"/>
        <w:bottom w:val="none" w:sz="0" w:space="0" w:color="auto"/>
        <w:right w:val="none" w:sz="0" w:space="0" w:color="auto"/>
      </w:divBdr>
    </w:div>
    <w:div w:id="1586693596">
      <w:bodyDiv w:val="1"/>
      <w:marLeft w:val="0"/>
      <w:marRight w:val="0"/>
      <w:marTop w:val="0"/>
      <w:marBottom w:val="0"/>
      <w:divBdr>
        <w:top w:val="none" w:sz="0" w:space="0" w:color="auto"/>
        <w:left w:val="none" w:sz="0" w:space="0" w:color="auto"/>
        <w:bottom w:val="none" w:sz="0" w:space="0" w:color="auto"/>
        <w:right w:val="none" w:sz="0" w:space="0" w:color="auto"/>
      </w:divBdr>
    </w:div>
    <w:div w:id="1609653473">
      <w:bodyDiv w:val="1"/>
      <w:marLeft w:val="0"/>
      <w:marRight w:val="0"/>
      <w:marTop w:val="0"/>
      <w:marBottom w:val="0"/>
      <w:divBdr>
        <w:top w:val="none" w:sz="0" w:space="0" w:color="auto"/>
        <w:left w:val="none" w:sz="0" w:space="0" w:color="auto"/>
        <w:bottom w:val="none" w:sz="0" w:space="0" w:color="auto"/>
        <w:right w:val="none" w:sz="0" w:space="0" w:color="auto"/>
      </w:divBdr>
      <w:divsChild>
        <w:div w:id="2090341513">
          <w:marLeft w:val="0"/>
          <w:marRight w:val="0"/>
          <w:marTop w:val="0"/>
          <w:marBottom w:val="0"/>
          <w:divBdr>
            <w:top w:val="none" w:sz="0" w:space="0" w:color="auto"/>
            <w:left w:val="none" w:sz="0" w:space="0" w:color="auto"/>
            <w:bottom w:val="none" w:sz="0" w:space="0" w:color="auto"/>
            <w:right w:val="none" w:sz="0" w:space="0" w:color="auto"/>
          </w:divBdr>
          <w:divsChild>
            <w:div w:id="17616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03644">
      <w:bodyDiv w:val="1"/>
      <w:marLeft w:val="0"/>
      <w:marRight w:val="0"/>
      <w:marTop w:val="0"/>
      <w:marBottom w:val="0"/>
      <w:divBdr>
        <w:top w:val="none" w:sz="0" w:space="0" w:color="auto"/>
        <w:left w:val="none" w:sz="0" w:space="0" w:color="auto"/>
        <w:bottom w:val="none" w:sz="0" w:space="0" w:color="auto"/>
        <w:right w:val="none" w:sz="0" w:space="0" w:color="auto"/>
      </w:divBdr>
    </w:div>
    <w:div w:id="1653948074">
      <w:bodyDiv w:val="1"/>
      <w:marLeft w:val="0"/>
      <w:marRight w:val="0"/>
      <w:marTop w:val="0"/>
      <w:marBottom w:val="0"/>
      <w:divBdr>
        <w:top w:val="none" w:sz="0" w:space="0" w:color="auto"/>
        <w:left w:val="none" w:sz="0" w:space="0" w:color="auto"/>
        <w:bottom w:val="none" w:sz="0" w:space="0" w:color="auto"/>
        <w:right w:val="none" w:sz="0" w:space="0" w:color="auto"/>
      </w:divBdr>
    </w:div>
    <w:div w:id="1663199017">
      <w:bodyDiv w:val="1"/>
      <w:marLeft w:val="0"/>
      <w:marRight w:val="0"/>
      <w:marTop w:val="0"/>
      <w:marBottom w:val="0"/>
      <w:divBdr>
        <w:top w:val="none" w:sz="0" w:space="0" w:color="auto"/>
        <w:left w:val="none" w:sz="0" w:space="0" w:color="auto"/>
        <w:bottom w:val="none" w:sz="0" w:space="0" w:color="auto"/>
        <w:right w:val="none" w:sz="0" w:space="0" w:color="auto"/>
      </w:divBdr>
    </w:div>
    <w:div w:id="1669015340">
      <w:bodyDiv w:val="1"/>
      <w:marLeft w:val="0"/>
      <w:marRight w:val="0"/>
      <w:marTop w:val="0"/>
      <w:marBottom w:val="0"/>
      <w:divBdr>
        <w:top w:val="none" w:sz="0" w:space="0" w:color="auto"/>
        <w:left w:val="none" w:sz="0" w:space="0" w:color="auto"/>
        <w:bottom w:val="none" w:sz="0" w:space="0" w:color="auto"/>
        <w:right w:val="none" w:sz="0" w:space="0" w:color="auto"/>
      </w:divBdr>
    </w:div>
    <w:div w:id="1678845838">
      <w:bodyDiv w:val="1"/>
      <w:marLeft w:val="0"/>
      <w:marRight w:val="0"/>
      <w:marTop w:val="0"/>
      <w:marBottom w:val="0"/>
      <w:divBdr>
        <w:top w:val="none" w:sz="0" w:space="0" w:color="auto"/>
        <w:left w:val="none" w:sz="0" w:space="0" w:color="auto"/>
        <w:bottom w:val="none" w:sz="0" w:space="0" w:color="auto"/>
        <w:right w:val="none" w:sz="0" w:space="0" w:color="auto"/>
      </w:divBdr>
    </w:div>
    <w:div w:id="1687247316">
      <w:bodyDiv w:val="1"/>
      <w:marLeft w:val="0"/>
      <w:marRight w:val="0"/>
      <w:marTop w:val="0"/>
      <w:marBottom w:val="0"/>
      <w:divBdr>
        <w:top w:val="none" w:sz="0" w:space="0" w:color="auto"/>
        <w:left w:val="none" w:sz="0" w:space="0" w:color="auto"/>
        <w:bottom w:val="none" w:sz="0" w:space="0" w:color="auto"/>
        <w:right w:val="none" w:sz="0" w:space="0" w:color="auto"/>
      </w:divBdr>
    </w:div>
    <w:div w:id="1689409113">
      <w:bodyDiv w:val="1"/>
      <w:marLeft w:val="0"/>
      <w:marRight w:val="0"/>
      <w:marTop w:val="0"/>
      <w:marBottom w:val="0"/>
      <w:divBdr>
        <w:top w:val="none" w:sz="0" w:space="0" w:color="auto"/>
        <w:left w:val="none" w:sz="0" w:space="0" w:color="auto"/>
        <w:bottom w:val="none" w:sz="0" w:space="0" w:color="auto"/>
        <w:right w:val="none" w:sz="0" w:space="0" w:color="auto"/>
      </w:divBdr>
    </w:div>
    <w:div w:id="1771003476">
      <w:bodyDiv w:val="1"/>
      <w:marLeft w:val="0"/>
      <w:marRight w:val="0"/>
      <w:marTop w:val="0"/>
      <w:marBottom w:val="0"/>
      <w:divBdr>
        <w:top w:val="none" w:sz="0" w:space="0" w:color="auto"/>
        <w:left w:val="none" w:sz="0" w:space="0" w:color="auto"/>
        <w:bottom w:val="none" w:sz="0" w:space="0" w:color="auto"/>
        <w:right w:val="none" w:sz="0" w:space="0" w:color="auto"/>
      </w:divBdr>
    </w:div>
    <w:div w:id="1818066862">
      <w:bodyDiv w:val="1"/>
      <w:marLeft w:val="0"/>
      <w:marRight w:val="0"/>
      <w:marTop w:val="0"/>
      <w:marBottom w:val="0"/>
      <w:divBdr>
        <w:top w:val="none" w:sz="0" w:space="0" w:color="auto"/>
        <w:left w:val="none" w:sz="0" w:space="0" w:color="auto"/>
        <w:bottom w:val="none" w:sz="0" w:space="0" w:color="auto"/>
        <w:right w:val="none" w:sz="0" w:space="0" w:color="auto"/>
      </w:divBdr>
    </w:div>
    <w:div w:id="1859197773">
      <w:bodyDiv w:val="1"/>
      <w:marLeft w:val="0"/>
      <w:marRight w:val="0"/>
      <w:marTop w:val="0"/>
      <w:marBottom w:val="0"/>
      <w:divBdr>
        <w:top w:val="none" w:sz="0" w:space="0" w:color="auto"/>
        <w:left w:val="none" w:sz="0" w:space="0" w:color="auto"/>
        <w:bottom w:val="none" w:sz="0" w:space="0" w:color="auto"/>
        <w:right w:val="none" w:sz="0" w:space="0" w:color="auto"/>
      </w:divBdr>
    </w:div>
    <w:div w:id="1887987142">
      <w:bodyDiv w:val="1"/>
      <w:marLeft w:val="0"/>
      <w:marRight w:val="0"/>
      <w:marTop w:val="0"/>
      <w:marBottom w:val="0"/>
      <w:divBdr>
        <w:top w:val="none" w:sz="0" w:space="0" w:color="auto"/>
        <w:left w:val="none" w:sz="0" w:space="0" w:color="auto"/>
        <w:bottom w:val="none" w:sz="0" w:space="0" w:color="auto"/>
        <w:right w:val="none" w:sz="0" w:space="0" w:color="auto"/>
      </w:divBdr>
    </w:div>
    <w:div w:id="1905793736">
      <w:bodyDiv w:val="1"/>
      <w:marLeft w:val="0"/>
      <w:marRight w:val="0"/>
      <w:marTop w:val="0"/>
      <w:marBottom w:val="0"/>
      <w:divBdr>
        <w:top w:val="none" w:sz="0" w:space="0" w:color="auto"/>
        <w:left w:val="none" w:sz="0" w:space="0" w:color="auto"/>
        <w:bottom w:val="none" w:sz="0" w:space="0" w:color="auto"/>
        <w:right w:val="none" w:sz="0" w:space="0" w:color="auto"/>
      </w:divBdr>
    </w:div>
    <w:div w:id="1908489113">
      <w:bodyDiv w:val="1"/>
      <w:marLeft w:val="0"/>
      <w:marRight w:val="0"/>
      <w:marTop w:val="0"/>
      <w:marBottom w:val="0"/>
      <w:divBdr>
        <w:top w:val="none" w:sz="0" w:space="0" w:color="auto"/>
        <w:left w:val="none" w:sz="0" w:space="0" w:color="auto"/>
        <w:bottom w:val="none" w:sz="0" w:space="0" w:color="auto"/>
        <w:right w:val="none" w:sz="0" w:space="0" w:color="auto"/>
      </w:divBdr>
    </w:div>
    <w:div w:id="1936278164">
      <w:bodyDiv w:val="1"/>
      <w:marLeft w:val="0"/>
      <w:marRight w:val="0"/>
      <w:marTop w:val="0"/>
      <w:marBottom w:val="0"/>
      <w:divBdr>
        <w:top w:val="none" w:sz="0" w:space="0" w:color="auto"/>
        <w:left w:val="none" w:sz="0" w:space="0" w:color="auto"/>
        <w:bottom w:val="none" w:sz="0" w:space="0" w:color="auto"/>
        <w:right w:val="none" w:sz="0" w:space="0" w:color="auto"/>
      </w:divBdr>
    </w:div>
    <w:div w:id="1980724380">
      <w:bodyDiv w:val="1"/>
      <w:marLeft w:val="0"/>
      <w:marRight w:val="0"/>
      <w:marTop w:val="0"/>
      <w:marBottom w:val="0"/>
      <w:divBdr>
        <w:top w:val="none" w:sz="0" w:space="0" w:color="auto"/>
        <w:left w:val="none" w:sz="0" w:space="0" w:color="auto"/>
        <w:bottom w:val="none" w:sz="0" w:space="0" w:color="auto"/>
        <w:right w:val="none" w:sz="0" w:space="0" w:color="auto"/>
      </w:divBdr>
    </w:div>
    <w:div w:id="2009479745">
      <w:bodyDiv w:val="1"/>
      <w:marLeft w:val="0"/>
      <w:marRight w:val="0"/>
      <w:marTop w:val="0"/>
      <w:marBottom w:val="0"/>
      <w:divBdr>
        <w:top w:val="none" w:sz="0" w:space="0" w:color="auto"/>
        <w:left w:val="none" w:sz="0" w:space="0" w:color="auto"/>
        <w:bottom w:val="none" w:sz="0" w:space="0" w:color="auto"/>
        <w:right w:val="none" w:sz="0" w:space="0" w:color="auto"/>
      </w:divBdr>
    </w:div>
    <w:div w:id="2030329187">
      <w:bodyDiv w:val="1"/>
      <w:marLeft w:val="0"/>
      <w:marRight w:val="0"/>
      <w:marTop w:val="0"/>
      <w:marBottom w:val="0"/>
      <w:divBdr>
        <w:top w:val="none" w:sz="0" w:space="0" w:color="auto"/>
        <w:left w:val="none" w:sz="0" w:space="0" w:color="auto"/>
        <w:bottom w:val="none" w:sz="0" w:space="0" w:color="auto"/>
        <w:right w:val="none" w:sz="0" w:space="0" w:color="auto"/>
      </w:divBdr>
    </w:div>
    <w:div w:id="2034913827">
      <w:bodyDiv w:val="1"/>
      <w:marLeft w:val="0"/>
      <w:marRight w:val="0"/>
      <w:marTop w:val="0"/>
      <w:marBottom w:val="0"/>
      <w:divBdr>
        <w:top w:val="none" w:sz="0" w:space="0" w:color="auto"/>
        <w:left w:val="none" w:sz="0" w:space="0" w:color="auto"/>
        <w:bottom w:val="none" w:sz="0" w:space="0" w:color="auto"/>
        <w:right w:val="none" w:sz="0" w:space="0" w:color="auto"/>
      </w:divBdr>
    </w:div>
    <w:div w:id="2036999391">
      <w:bodyDiv w:val="1"/>
      <w:marLeft w:val="0"/>
      <w:marRight w:val="0"/>
      <w:marTop w:val="0"/>
      <w:marBottom w:val="0"/>
      <w:divBdr>
        <w:top w:val="none" w:sz="0" w:space="0" w:color="auto"/>
        <w:left w:val="none" w:sz="0" w:space="0" w:color="auto"/>
        <w:bottom w:val="none" w:sz="0" w:space="0" w:color="auto"/>
        <w:right w:val="none" w:sz="0" w:space="0" w:color="auto"/>
      </w:divBdr>
    </w:div>
    <w:div w:id="2062315546">
      <w:bodyDiv w:val="1"/>
      <w:marLeft w:val="0"/>
      <w:marRight w:val="0"/>
      <w:marTop w:val="0"/>
      <w:marBottom w:val="0"/>
      <w:divBdr>
        <w:top w:val="none" w:sz="0" w:space="0" w:color="auto"/>
        <w:left w:val="none" w:sz="0" w:space="0" w:color="auto"/>
        <w:bottom w:val="none" w:sz="0" w:space="0" w:color="auto"/>
        <w:right w:val="none" w:sz="0" w:space="0" w:color="auto"/>
      </w:divBdr>
    </w:div>
    <w:div w:id="2085833013">
      <w:bodyDiv w:val="1"/>
      <w:marLeft w:val="0"/>
      <w:marRight w:val="0"/>
      <w:marTop w:val="0"/>
      <w:marBottom w:val="0"/>
      <w:divBdr>
        <w:top w:val="none" w:sz="0" w:space="0" w:color="auto"/>
        <w:left w:val="none" w:sz="0" w:space="0" w:color="auto"/>
        <w:bottom w:val="none" w:sz="0" w:space="0" w:color="auto"/>
        <w:right w:val="none" w:sz="0" w:space="0" w:color="auto"/>
      </w:divBdr>
    </w:div>
    <w:div w:id="2097049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header" Target="header11.xml"/><Relationship Id="rId21" Type="http://schemas.openxmlformats.org/officeDocument/2006/relationships/header" Target="header4.xml"/><Relationship Id="rId34" Type="http://schemas.openxmlformats.org/officeDocument/2006/relationships/footer" Target="footer7.xml"/><Relationship Id="rId42" Type="http://schemas.openxmlformats.org/officeDocument/2006/relationships/header" Target="header12.xml"/><Relationship Id="rId47" Type="http://schemas.openxmlformats.org/officeDocument/2006/relationships/footer" Target="footer14.xml"/><Relationship Id="rId50" Type="http://schemas.openxmlformats.org/officeDocument/2006/relationships/image" Target="media/image5.png"/><Relationship Id="rId55" Type="http://schemas.openxmlformats.org/officeDocument/2006/relationships/image" Target="media/image10.emf"/><Relationship Id="rId63" Type="http://schemas.openxmlformats.org/officeDocument/2006/relationships/footer" Target="footer18.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4.png"/><Relationship Id="rId41" Type="http://schemas.openxmlformats.org/officeDocument/2006/relationships/footer" Target="footer11.xml"/><Relationship Id="rId54" Type="http://schemas.openxmlformats.org/officeDocument/2006/relationships/image" Target="media/image9.emf"/><Relationship Id="rId62"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header" Target="header14.xml"/><Relationship Id="rId53" Type="http://schemas.openxmlformats.org/officeDocument/2006/relationships/image" Target="media/image8.png"/><Relationship Id="rId58" Type="http://schemas.openxmlformats.org/officeDocument/2006/relationships/header" Target="header1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3.png"/><Relationship Id="rId36" Type="http://schemas.openxmlformats.org/officeDocument/2006/relationships/header" Target="header9.xml"/><Relationship Id="rId49" Type="http://schemas.openxmlformats.org/officeDocument/2006/relationships/footer" Target="footer15.xml"/><Relationship Id="rId57" Type="http://schemas.openxmlformats.org/officeDocument/2006/relationships/image" Target="media/image12.emf"/><Relationship Id="rId61" Type="http://schemas.openxmlformats.org/officeDocument/2006/relationships/footer" Target="footer17.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chart" Target="charts/chart2.xml"/><Relationship Id="rId44" Type="http://schemas.openxmlformats.org/officeDocument/2006/relationships/header" Target="header13.xml"/><Relationship Id="rId52" Type="http://schemas.openxmlformats.org/officeDocument/2006/relationships/image" Target="media/image7.png"/><Relationship Id="rId60" Type="http://schemas.openxmlformats.org/officeDocument/2006/relationships/footer" Target="footer16.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header" Target="header5.xml"/><Relationship Id="rId27" Type="http://schemas.openxmlformats.org/officeDocument/2006/relationships/image" Target="media/image2.png"/><Relationship Id="rId30" Type="http://schemas.openxmlformats.org/officeDocument/2006/relationships/chart" Target="charts/chart1.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header" Target="header15.xml"/><Relationship Id="rId56" Type="http://schemas.openxmlformats.org/officeDocument/2006/relationships/image" Target="media/image11.emf"/><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footer" Target="footer13.xml"/><Relationship Id="rId59" Type="http://schemas.openxmlformats.org/officeDocument/2006/relationships/header" Target="header17.xml"/></Relationships>
</file>

<file path=word/_rels/footnotes.xml.rels><?xml version="1.0" encoding="UTF-8" standalone="yes"?>
<Relationships xmlns="http://schemas.openxmlformats.org/package/2006/relationships"><Relationship Id="rId8" Type="http://schemas.openxmlformats.org/officeDocument/2006/relationships/hyperlink" Target="https://www.esrb.europa.eu/pub/pdf/other/esrb.letter220323_on_review_central_clearing~c95cf8bae6.en.pdf" TargetMode="External"/><Relationship Id="rId13" Type="http://schemas.openxmlformats.org/officeDocument/2006/relationships/hyperlink" Target="https://www.esma.europa.eu/sites/default/files/library/2015/11/2013-1157_technical_advice_on_third_country_regulatory_equivalence_under_emir_us.pdf" TargetMode="External"/><Relationship Id="rId18" Type="http://schemas.openxmlformats.org/officeDocument/2006/relationships/hyperlink" Target="https://www.esma.europa.eu/press-news/esma-news/esma%E2%80%99s-third-eu-wide-ccp-stress-test-finds-system-resilient-shocks" TargetMode="External"/><Relationship Id="rId26" Type="http://schemas.openxmlformats.org/officeDocument/2006/relationships/hyperlink" Target="http://www.bis.org/publ/qtrpdf/r_qt1512g.htm" TargetMode="External"/><Relationship Id="rId39" Type="http://schemas.openxmlformats.org/officeDocument/2006/relationships/hyperlink" Target="https://secure-area.lchclearnet.com/media_centre/press_releases/2010-10-05_2.asp" TargetMode="External"/><Relationship Id="rId3" Type="http://schemas.openxmlformats.org/officeDocument/2006/relationships/hyperlink" Target="https://www.esma.europa.eu/press-news/esma-news/esma-publishes-results-its-assessment-systemically-important-uk-central" TargetMode="External"/><Relationship Id="rId21" Type="http://schemas.openxmlformats.org/officeDocument/2006/relationships/hyperlink" Target="https://ec.europa.eu/info/law/better-regulation/have-your-say/initiatives/13378-Derivatives-clearing-Review-of-the-European-Market-Infrastructure-Regulation_en" TargetMode="External"/><Relationship Id="rId34" Type="http://schemas.openxmlformats.org/officeDocument/2006/relationships/hyperlink" Target="http://www.bis.org/bcbs/publ/d317.htm" TargetMode="External"/><Relationship Id="rId7" Type="http://schemas.openxmlformats.org/officeDocument/2006/relationships/hyperlink" Target="https://ec.europa.eu/commission/presscorner/detail/en/STATEMENT_21_5905" TargetMode="External"/><Relationship Id="rId12" Type="http://schemas.openxmlformats.org/officeDocument/2006/relationships/hyperlink" Target="https://www.esma.europa.eu/press-news/consultations/public-consultation-article-15-and-49-emir" TargetMode="External"/><Relationship Id="rId17" Type="http://schemas.openxmlformats.org/officeDocument/2006/relationships/hyperlink" Target="https://www.esma.europa.eu/sites/default/files/library/2016-328.pdf" TargetMode="External"/><Relationship Id="rId25" Type="http://schemas.openxmlformats.org/officeDocument/2006/relationships/hyperlink" Target="https://www.bis.org/statistics/derstats.htm" TargetMode="External"/><Relationship Id="rId33" Type="http://schemas.openxmlformats.org/officeDocument/2006/relationships/hyperlink" Target="https://www.esma.europa.eu/sites/default/files/library/public_register_for_the_clearing_obligation_under_emir.pdf" TargetMode="External"/><Relationship Id="rId38" Type="http://schemas.openxmlformats.org/officeDocument/2006/relationships/hyperlink" Target="https://www.esma.europa.eu/press-news/esma-news/esma-recommends-clearing-obligation-pension-funds-start-in-june-2023" TargetMode="External"/><Relationship Id="rId2" Type="http://schemas.openxmlformats.org/officeDocument/2006/relationships/hyperlink" Target="http://www.financialstabilityboard.org/wp-content/uploads/r_141015.pd" TargetMode="External"/><Relationship Id="rId16" Type="http://schemas.openxmlformats.org/officeDocument/2006/relationships/hyperlink" Target="https://www.esrb.europa.eu/pub/pdf/reports/esrb.report190131_CCP_interoperability_arrangements~99908a78e7.en.pdf" TargetMode="External"/><Relationship Id="rId20" Type="http://schemas.openxmlformats.org/officeDocument/2006/relationships/hyperlink" Target="https://finance.ec.europa.eu/regulation-and-supervision/consultations/finance-consultations-2022-central-clearing-review_en" TargetMode="External"/><Relationship Id="rId29" Type="http://schemas.openxmlformats.org/officeDocument/2006/relationships/hyperlink" Target="https://www.esma.europa.eu/sites/default/files/library/third-country_ccps_recognised_under_emir.pdf" TargetMode="External"/><Relationship Id="rId1" Type="http://schemas.openxmlformats.org/officeDocument/2006/relationships/hyperlink" Target="http://www.financialstabilityboard.org/publications/r_111104cc.pdf" TargetMode="External"/><Relationship Id="rId6" Type="http://schemas.openxmlformats.org/officeDocument/2006/relationships/hyperlink" Target="https://www.bis.org/statistics/derstats.htm" TargetMode="External"/><Relationship Id="rId11" Type="http://schemas.openxmlformats.org/officeDocument/2006/relationships/hyperlink" Target="https://www.esma.europa.eu/sites/default/files/library/esma91-372-2125_letter_chair_esma_response_to_ec_consultation_on_targeted_emir_review.pdf" TargetMode="External"/><Relationship Id="rId24" Type="http://schemas.openxmlformats.org/officeDocument/2006/relationships/hyperlink" Target="https://www.bis.org/cpmi/info_pfmi.htm" TargetMode="External"/><Relationship Id="rId32" Type="http://schemas.openxmlformats.org/officeDocument/2006/relationships/hyperlink" Target="https://www.esma.europa.eu/sites/default/files/library/esma50-165-2001_emir_asr_derivatives_2021.pdf" TargetMode="External"/><Relationship Id="rId37" Type="http://schemas.openxmlformats.org/officeDocument/2006/relationships/hyperlink" Target="https://www.esma.europa.eu/press-news/esma-news/esma-publishes-results-its-assessment-systemically-important-uk-central" TargetMode="External"/><Relationship Id="rId40" Type="http://schemas.openxmlformats.org/officeDocument/2006/relationships/hyperlink" Target="https://www.risk.net/comment/6726646/swaps-data-a-new-era-of-competition-in-interest-rate-futures" TargetMode="External"/><Relationship Id="rId5" Type="http://schemas.openxmlformats.org/officeDocument/2006/relationships/hyperlink" Target="https://www.bis.org/statistics/derstats.htm" TargetMode="External"/><Relationship Id="rId15" Type="http://schemas.openxmlformats.org/officeDocument/2006/relationships/hyperlink" Target="https://www.esrb.europa.eu/pub/pdf/occasional/20160922_occasional_paper_11.en.pdf" TargetMode="External"/><Relationship Id="rId23" Type="http://schemas.openxmlformats.org/officeDocument/2006/relationships/hyperlink" Target="https://www.esma.europa.eu/sites/default/files/library/third-country_ccps_recognised_under_emir.pdf" TargetMode="External"/><Relationship Id="rId28" Type="http://schemas.openxmlformats.org/officeDocument/2006/relationships/hyperlink" Target="https://www.esma.europa.eu/sites/default/files/library/ccps_authorised_under_emir.pdf" TargetMode="External"/><Relationship Id="rId36" Type="http://schemas.openxmlformats.org/officeDocument/2006/relationships/hyperlink" Target="https://www.esma.europa.eu/sites/default/files/library/third-country_ccps_recognised_under_emir.pdf" TargetMode="External"/><Relationship Id="rId10" Type="http://schemas.openxmlformats.org/officeDocument/2006/relationships/hyperlink" Target="https://www.esma.europa.eu/document/esma-review-ccp-colleges-under-emir" TargetMode="External"/><Relationship Id="rId19" Type="http://schemas.openxmlformats.org/officeDocument/2006/relationships/hyperlink" Target="https://www.ceps.eu/ceps-publications/setting-eu-ccp-policy-much-more-than-meets-the-eye/" TargetMode="External"/><Relationship Id="rId31" Type="http://schemas.openxmlformats.org/officeDocument/2006/relationships/hyperlink" Target="https://www.bis.org/publ/otc_hy2111.pdf" TargetMode="External"/><Relationship Id="rId4" Type="http://schemas.openxmlformats.org/officeDocument/2006/relationships/hyperlink" Target="https://www.ecb.europa.eu/press/key/date/2022/html/ecb.sp220322~fb2f159779.en.html" TargetMode="External"/><Relationship Id="rId9" Type="http://schemas.openxmlformats.org/officeDocument/2006/relationships/hyperlink" Target="https://www.isda.org/a/cigME/CCP-Best-Practice.pdf" TargetMode="External"/><Relationship Id="rId14" Type="http://schemas.openxmlformats.org/officeDocument/2006/relationships/hyperlink" Target="https://www.fca.org.uk/markets/uk-emir/library" TargetMode="External"/><Relationship Id="rId22" Type="http://schemas.openxmlformats.org/officeDocument/2006/relationships/hyperlink" Target="https://www.esma.europa.eu/sites/default/files/library/ccps_authorised_under_emir.pdf" TargetMode="External"/><Relationship Id="rId27" Type="http://schemas.openxmlformats.org/officeDocument/2006/relationships/hyperlink" Target="https://www.eurex.com/ec-en/join/clearing-contacts" TargetMode="External"/><Relationship Id="rId30" Type="http://schemas.openxmlformats.org/officeDocument/2006/relationships/hyperlink" Target="https://www.bis.org/publ/otc_hy2111.pdf" TargetMode="External"/><Relationship Id="rId35" Type="http://schemas.openxmlformats.org/officeDocument/2006/relationships/hyperlink" Target="https://www.esma.europa.eu/sites/default/files/library/ccps_authorised_under_emir.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net1.cec.eu.int\FISMA\C\C2\Derivatives\EMIR%203.0\Review\1.%20Public%20consultation\Replies\2022-03-23_results_17.42hrs_formatted%20for%20analysis_who%20responded.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net1.cec.eu.int\FISMA\C\C2\Derivatives\EMIR%203.0\Review\1.%20Public%20consultation\Replies\2022-03-23_results_17.42hrs_formatted%20for%20analysis_who%20responded.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Figure 2: Country of origin of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5DC1-423C-821E-2B65A6996348}"/>
              </c:ext>
            </c:extLst>
          </c:dPt>
          <c:dPt>
            <c:idx val="1"/>
            <c:bubble3D val="0"/>
            <c:spPr>
              <a:solidFill>
                <a:schemeClr val="accent3"/>
              </a:solidFill>
              <a:ln>
                <a:noFill/>
              </a:ln>
              <a:effectLst/>
            </c:spPr>
            <c:extLst>
              <c:ext xmlns:c16="http://schemas.microsoft.com/office/drawing/2014/chart" uri="{C3380CC4-5D6E-409C-BE32-E72D297353CC}">
                <c16:uniqueId val="{00000003-5DC1-423C-821E-2B65A6996348}"/>
              </c:ext>
            </c:extLst>
          </c:dPt>
          <c:dPt>
            <c:idx val="2"/>
            <c:bubble3D val="0"/>
            <c:spPr>
              <a:solidFill>
                <a:schemeClr val="accent5"/>
              </a:solidFill>
              <a:ln>
                <a:noFill/>
              </a:ln>
              <a:effectLst/>
            </c:spPr>
            <c:extLst>
              <c:ext xmlns:c16="http://schemas.microsoft.com/office/drawing/2014/chart" uri="{C3380CC4-5D6E-409C-BE32-E72D297353CC}">
                <c16:uniqueId val="{00000005-5DC1-423C-821E-2B65A6996348}"/>
              </c:ext>
            </c:extLst>
          </c:dPt>
          <c:dLbls>
            <c:dLbl>
              <c:idx val="0"/>
              <c:layout>
                <c:manualLayout>
                  <c:x val="-0.17051066335339266"/>
                  <c:y val="-7.276666236392581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C1-423C-821E-2B65A6996348}"/>
                </c:ext>
              </c:extLst>
            </c:dLbl>
            <c:dLbl>
              <c:idx val="1"/>
              <c:layout>
                <c:manualLayout>
                  <c:x val="0.11328483179146333"/>
                  <c:y val="-9.073232649197539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C1-423C-821E-2B65A6996348}"/>
                </c:ext>
              </c:extLst>
            </c:dLbl>
            <c:dLbl>
              <c:idx val="2"/>
              <c:layout>
                <c:manualLayout>
                  <c:x val="0.13032304422023291"/>
                  <c:y val="8.6515640462974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C1-423C-821E-2B65A69963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countrie_2!$D$8:$D$10</c:f>
              <c:strCache>
                <c:ptCount val="3"/>
                <c:pt idx="0">
                  <c:v>Inside EU/EEA</c:v>
                </c:pt>
                <c:pt idx="1">
                  <c:v>Outside EU/EEA</c:v>
                </c:pt>
                <c:pt idx="2">
                  <c:v>Anonymous</c:v>
                </c:pt>
              </c:strCache>
            </c:strRef>
          </c:cat>
          <c:val>
            <c:numRef>
              <c:f>countrie_2!$E$8:$E$10</c:f>
              <c:numCache>
                <c:formatCode>0%</c:formatCode>
                <c:ptCount val="3"/>
                <c:pt idx="0">
                  <c:v>0.57999999999999996</c:v>
                </c:pt>
                <c:pt idx="1">
                  <c:v>0.14000000000000001</c:v>
                </c:pt>
                <c:pt idx="2">
                  <c:v>0.28000000000000003</c:v>
                </c:pt>
              </c:numCache>
            </c:numRef>
          </c:val>
          <c:extLst>
            <c:ext xmlns:c16="http://schemas.microsoft.com/office/drawing/2014/chart" uri="{C3380CC4-5D6E-409C-BE32-E72D297353CC}">
              <c16:uniqueId val="{00000006-5DC1-423C-821E-2B65A6996348}"/>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r"/>
      <c:layout>
        <c:manualLayout>
          <c:xMode val="edge"/>
          <c:yMode val="edge"/>
          <c:x val="0.64425874890638668"/>
          <c:y val="0.39104126328471239"/>
          <c:w val="0.28178677285111225"/>
          <c:h val="0.434939546491114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Figure</a:t>
            </a:r>
            <a:r>
              <a:rPr lang="de-DE" baseline="0"/>
              <a:t> 1: </a:t>
            </a:r>
            <a:r>
              <a:rPr lang="de-DE"/>
              <a:t>Participation per category of stakeholder</a:t>
            </a:r>
          </a:p>
        </c:rich>
      </c:tx>
      <c:layout>
        <c:manualLayout>
          <c:xMode val="edge"/>
          <c:yMode val="edge"/>
          <c:x val="5.6817166471212377E-2"/>
          <c:y val="2.72108843537414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951974088345327E-2"/>
          <c:y val="0.29597478886567752"/>
          <c:w val="0.47218126989445469"/>
          <c:h val="0.6038780866677380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969-407E-9015-12741F2A2D56}"/>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9969-407E-9015-12741F2A2D56}"/>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9969-407E-9015-12741F2A2D56}"/>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9969-407E-9015-12741F2A2D56}"/>
              </c:ext>
            </c:extLst>
          </c:dPt>
          <c:dLbls>
            <c:dLbl>
              <c:idx val="0"/>
              <c:layout>
                <c:manualLayout>
                  <c:x val="-0.10699398512685915"/>
                  <c:y val="0.10588181685622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69-407E-9015-12741F2A2D56}"/>
                </c:ext>
              </c:extLst>
            </c:dLbl>
            <c:dLbl>
              <c:idx val="1"/>
              <c:layout>
                <c:manualLayout>
                  <c:x val="5.4367672790901135E-2"/>
                  <c:y val="-0.204339457567804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69-407E-9015-12741F2A2D56}"/>
                </c:ext>
              </c:extLst>
            </c:dLbl>
            <c:dLbl>
              <c:idx val="2"/>
              <c:layout>
                <c:manualLayout>
                  <c:x val="9.4977909011373582E-2"/>
                  <c:y val="6.6172717993584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69-407E-9015-12741F2A2D56}"/>
                </c:ext>
              </c:extLst>
            </c:dLbl>
            <c:dLbl>
              <c:idx val="3"/>
              <c:layout>
                <c:manualLayout>
                  <c:x val="6.6666666666666666E-2"/>
                  <c:y val="0.1298968358121901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2638888888888887E-2"/>
                      <c:h val="6.1342592592592594E-2"/>
                    </c:manualLayout>
                  </c15:layout>
                </c:ext>
                <c:ext xmlns:c16="http://schemas.microsoft.com/office/drawing/2014/chart" uri="{C3380CC4-5D6E-409C-BE32-E72D297353CC}">
                  <c16:uniqueId val="{00000007-9969-407E-9015-12741F2A2D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'field of activity_2'!$H$5:$H$8</c:f>
              <c:strCache>
                <c:ptCount val="4"/>
                <c:pt idx="0">
                  <c:v>Business association</c:v>
                </c:pt>
                <c:pt idx="1">
                  <c:v>Company/business organisation</c:v>
                </c:pt>
                <c:pt idx="2">
                  <c:v>Other</c:v>
                </c:pt>
                <c:pt idx="3">
                  <c:v>Public authority</c:v>
                </c:pt>
              </c:strCache>
            </c:strRef>
          </c:cat>
          <c:val>
            <c:numRef>
              <c:f>'field of activity_2'!$I$5:$I$8</c:f>
              <c:numCache>
                <c:formatCode>0%</c:formatCode>
                <c:ptCount val="4"/>
                <c:pt idx="0">
                  <c:v>0.30985915492957744</c:v>
                </c:pt>
                <c:pt idx="1">
                  <c:v>0.46478873239436619</c:v>
                </c:pt>
                <c:pt idx="2">
                  <c:v>9.8591549295774641E-2</c:v>
                </c:pt>
                <c:pt idx="3">
                  <c:v>0.12676056338028169</c:v>
                </c:pt>
              </c:numCache>
            </c:numRef>
          </c:val>
          <c:extLst>
            <c:ext xmlns:c16="http://schemas.microsoft.com/office/drawing/2014/chart" uri="{C3380CC4-5D6E-409C-BE32-E72D297353CC}">
              <c16:uniqueId val="{00000008-9969-407E-9015-12741F2A2D56}"/>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8694086111576482"/>
          <c:y val="0.29409288124698696"/>
          <c:w val="0.25058858267716533"/>
          <c:h val="0.513893263342082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EC_ARES_NUMBER xmlns="56c17bbb-3787-4a76-9795-ce8b6d05fd7e">
      <Url xsi:nil="true"/>
      <Description xsi:nil="true"/>
    </EC_ARES_NUMBER>
    <EC_ARES_TRANSFERRED_BY xmlns="56c17bbb-3787-4a76-9795-ce8b6d05fd7e" xsi:nil="true"/>
    <TranslationStateListUrl xmlns="http://schemas.microsoft.com/sharepoint/v3">
      <Url xsi:nil="true"/>
      <Description xsi:nil="true"/>
    </TranslationStateListUrl>
    <EC_Collab_DocumentLanguage xmlns="56c17bbb-3787-4a76-9795-ce8b6d05fd7e">EN</EC_Collab_DocumentLanguage>
    <EC_ARES_DATE_TRANSFERRED xmlns="56c17bbb-3787-4a76-9795-ce8b6d05fd7e" xsi:nil="true"/>
    <Notify_x0020_users_x0020_50_x0020_versions_x0020_recorded_x0020_in_x0020_EMIR_x0020_Review xmlns="56c17bbb-3787-4a76-9795-ce8b6d05fd7e">
      <Url xsi:nil="true"/>
      <Description xsi:nil="true"/>
    </Notify_x0020_users_x0020_50_x0020_versions_x0020_recorded_x0020_in_x0020_EMIR_x0020_Review>
    <_dlc_ExpireDateSaved xmlns="http://schemas.microsoft.com/sharepoint/v3" xsi:nil="true"/>
    <_dlc_ExpireDate xmlns="http://schemas.microsoft.com/sharepoint/v3">2023-05-23T15:28:58+00:00</_dlc_ExpireDate>
    <_dlc_DocId xmlns="02ebb043-5898-4877-8c1f-28652c7a58c8">KUAXY5MF5DVP-1624993285-80</_dlc_DocId>
    <_dlc_DocIdUrl xmlns="02ebb043-5898-4877-8c1f-28652c7a58c8">
      <Url>https://myintracomm-collab.ec.europa.eu/dg/FISMA/C/C2/_layouts/15/DocIdRedir.aspx?ID=KUAXY5MF5DVP-1624993285-80</Url>
      <Description>KUAXY5MF5DVP-1624993285-80</Description>
    </_dlc_DocIdUrl>
    <od6229e8c75c4f5da898a7522ba1908f xmlns="02ebb043-5898-4877-8c1f-28652c7a58c8">
      <Terms xmlns="http://schemas.microsoft.com/office/infopath/2007/PartnerControls">
        <TermInfo xmlns="http://schemas.microsoft.com/office/infopath/2007/PartnerControls">
          <TermName xmlns="http://schemas.microsoft.com/office/infopath/2007/PartnerControls">Commission use</TermName>
          <TermId xmlns="http://schemas.microsoft.com/office/infopath/2007/PartnerControls">2e42cb08-9cad-4d94-9ff2-cc51a2e2899b</TermId>
        </TermInfo>
      </Terms>
    </od6229e8c75c4f5da898a7522ba1908f>
    <TaxCatchAll xmlns="02ebb043-5898-4877-8c1f-28652c7a58c8">
      <Value>198</Value>
    </TaxCatchAll>
    <pc1cb72997644c168a67816bee9648ad xmlns="02ebb043-5898-4877-8c1f-28652c7a58c8">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pc1cb72997644c168a67816bee9648ad>
    <i65add8783a54065a8ae717033658b9b xmlns="02ebb043-5898-4877-8c1f-28652c7a58c8">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i65add8783a54065a8ae717033658b9b>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C Document" ma:contentTypeID="0x010100258AA79CEB83498886A3A0868112325000C20B61F1FD9DDF46961EA8F518658CAC" ma:contentTypeVersion="32" ma:contentTypeDescription="Create a new document in this library." ma:contentTypeScope="" ma:versionID="7da6b657bc4c2bdfe9e3f63f88514f79">
  <xsd:schema xmlns:xsd="http://www.w3.org/2001/XMLSchema" xmlns:xs="http://www.w3.org/2001/XMLSchema" xmlns:p="http://schemas.microsoft.com/office/2006/metadata/properties" xmlns:ns1="http://schemas.microsoft.com/sharepoint/v3" xmlns:ns3="02ebb043-5898-4877-8c1f-28652c7a58c8" xmlns:ns4="56c17bbb-3787-4a76-9795-ce8b6d05fd7e" xmlns:ns5="191632c4-bf60-4412-9f6f-3f712dee11b2" targetNamespace="http://schemas.microsoft.com/office/2006/metadata/properties" ma:root="true" ma:fieldsID="4366b916ebbd268db21a07f6907d03db" ns1:_="" ns3:_="" ns4:_="" ns5:_="">
    <xsd:import namespace="http://schemas.microsoft.com/sharepoint/v3"/>
    <xsd:import namespace="02ebb043-5898-4877-8c1f-28652c7a58c8"/>
    <xsd:import namespace="56c17bbb-3787-4a76-9795-ce8b6d05fd7e"/>
    <xsd:import namespace="191632c4-bf60-4412-9f6f-3f712dee11b2"/>
    <xsd:element name="properties">
      <xsd:complexType>
        <xsd:sequence>
          <xsd:element name="documentManagement">
            <xsd:complexType>
              <xsd:all>
                <xsd:element ref="ns4:EC_Collab_DocumentLanguage"/>
                <xsd:element ref="ns4:EC_ARES_NUMBER" minOccurs="0"/>
                <xsd:element ref="ns4:EC_ARES_DATE_TRANSFERRED" minOccurs="0"/>
                <xsd:element ref="ns4:EC_ARES_TRANSFERRED_BY" minOccurs="0"/>
                <xsd:element ref="ns4:Notify_x0020_users_x0020_50_x0020_versions_x0020_recorded_x0020_in_x0020_EMIR_x0020_Review" minOccurs="0"/>
                <xsd:element ref="ns3:_dlc_DocIdUrl" minOccurs="0"/>
                <xsd:element ref="ns3:_dlc_DocIdPersistId" minOccurs="0"/>
                <xsd:element ref="ns1:TranslationStateListUrl" minOccurs="0"/>
                <xsd:element ref="ns1:_dlc_Exempt" minOccurs="0"/>
                <xsd:element ref="ns1:_dlc_ExpireDateSaved" minOccurs="0"/>
                <xsd:element ref="ns1:_dlc_ExpireDate" minOccurs="0"/>
                <xsd:element ref="ns3:_dlc_DocId" minOccurs="0"/>
                <xsd:element ref="ns3:pc1cb72997644c168a67816bee9648ad" minOccurs="0"/>
                <xsd:element ref="ns3:TaxCatchAll" minOccurs="0"/>
                <xsd:element ref="ns3:i65add8783a54065a8ae717033658b9b" minOccurs="0"/>
                <xsd:element ref="ns3:od6229e8c75c4f5da898a7522ba1908f"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ListUrl" ma:index="15" nillable="true" ma:displayName="List Link" ma:hidden="true" ma:internalName="TranslationStateList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Exempt" ma:index="21" nillable="true" ma:displayName="Exempt from Policy" ma:hidden="true" ma:internalName="_dlc_Exempt" ma:readOnly="true">
      <xsd:simpleType>
        <xsd:restriction base="dms:Unknown"/>
      </xsd:simpleType>
    </xsd:element>
    <xsd:element name="_dlc_ExpireDateSaved" ma:index="22" nillable="true" ma:displayName="Original Expiration Date" ma:hidden="true" ma:internalName="_dlc_ExpireDateSaved" ma:readOnly="true">
      <xsd:simpleType>
        <xsd:restriction base="dms:DateTime"/>
      </xsd:simpleType>
    </xsd:element>
    <xsd:element name="_dlc_ExpireDate" ma:index="23"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ebb043-5898-4877-8c1f-28652c7a58c8" elementFormDefault="qualified">
    <xsd:import namespace="http://schemas.microsoft.com/office/2006/documentManagement/types"/>
    <xsd:import namespace="http://schemas.microsoft.com/office/infopath/2007/PartnerControls"/>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pc1cb72997644c168a67816bee9648ad" ma:index="26" nillable="true" ma:taxonomy="true" ma:internalName="pc1cb72997644c168a67816bee9648ad" ma:taxonomyFieldName="Document_x0020_type" ma:displayName="Document type" ma:default="" ma:fieldId="{9c1cb729-9764-4c16-8a67-816bee9648ad}" ma:sspId="c1588629-5f01-4420-b1c1-1ab4af18d9bf" ma:termSetId="875f2d54-a299-447c-8802-ef4aa5a6850b" ma:anchorId="8ec034f4-7394-4efe-9efc-137f6f5c45bd" ma:open="false" ma:isKeyword="false">
      <xsd:complexType>
        <xsd:sequence>
          <xsd:element ref="pc:Terms" minOccurs="0" maxOccurs="1"/>
        </xsd:sequence>
      </xsd:complexType>
    </xsd:element>
    <xsd:element name="TaxCatchAll" ma:index="27" nillable="true" ma:displayName="Taxonomy Catch All Column" ma:hidden="true" ma:list="{6ba4fb2a-9ff3-4ca8-b82e-fd02b4b8326f}" ma:internalName="TaxCatchAll" ma:showField="CatchAllData" ma:web="02ebb043-5898-4877-8c1f-28652c7a58c8">
      <xsd:complexType>
        <xsd:complexContent>
          <xsd:extension base="dms:MultiChoiceLookup">
            <xsd:sequence>
              <xsd:element name="Value" type="dms:Lookup" maxOccurs="unbounded" minOccurs="0" nillable="true"/>
            </xsd:sequence>
          </xsd:extension>
        </xsd:complexContent>
      </xsd:complexType>
    </xsd:element>
    <xsd:element name="i65add8783a54065a8ae717033658b9b" ma:index="29" nillable="true" ma:taxonomy="true" ma:internalName="i65add8783a54065a8ae717033658b9b" ma:taxonomyFieldName="Doc_x0020_Status" ma:displayName="Doc Status" ma:default="" ma:fieldId="{265add87-83a5-4065-a8ae-717033658b9b}" ma:sspId="c1588629-5f01-4420-b1c1-1ab4af18d9bf" ma:termSetId="875f2d54-a299-447c-8802-ef4aa5a6850b" ma:anchorId="ec0a32be-6382-4c35-9ad9-e691aa103528" ma:open="false" ma:isKeyword="false">
      <xsd:complexType>
        <xsd:sequence>
          <xsd:element ref="pc:Terms" minOccurs="0" maxOccurs="1"/>
        </xsd:sequence>
      </xsd:complexType>
    </xsd:element>
    <xsd:element name="od6229e8c75c4f5da898a7522ba1908f" ma:index="31" nillable="true" ma:taxonomy="true" ma:internalName="od6229e8c75c4f5da898a7522ba1908f" ma:taxonomyFieldName="Confidentiality" ma:displayName="Confidentiality" ma:default="" ma:fieldId="{8d6229e8-c75c-4f5d-a898-a7522ba1908f}" ma:sspId="c1588629-5f01-4420-b1c1-1ab4af18d9bf" ma:termSetId="875f2d54-a299-447c-8802-ef4aa5a6850b" ma:anchorId="62652adf-f500-423a-8994-bf286ce0c464"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c17bbb-3787-4a76-9795-ce8b6d05fd7e" elementFormDefault="qualified">
    <xsd:import namespace="http://schemas.microsoft.com/office/2006/documentManagement/types"/>
    <xsd:import namespace="http://schemas.microsoft.com/office/infopath/2007/PartnerControls"/>
    <xsd:element name="EC_Collab_DocumentLanguage" ma:index="8"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ARES_NUMBER" ma:index="9"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0" nillable="true" ma:displayName="Transferred to Ares" ma:format="DateTime" ma:hidden="true" ma:internalName="EC_ARES_DATE_TRANSFERRED">
      <xsd:simpleType>
        <xsd:restriction base="dms:DateTime"/>
      </xsd:simpleType>
    </xsd:element>
    <xsd:element name="EC_ARES_TRANSFERRED_BY" ma:index="11" nillable="true" ma:displayName="Transferred By" ma:hidden="true" ma:internalName="EC_ARES_TRANSFERRED_BY">
      <xsd:simpleType>
        <xsd:restriction base="dms:Text"/>
      </xsd:simpleType>
    </xsd:element>
    <xsd:element name="Notify_x0020_users_x0020_50_x0020_versions_x0020_recorded_x0020_in_x0020_EMIR_x0020_Review" ma:index="12" nillable="true" ma:displayName="Notify users 50 versions recorded in EMIR Review" ma:internalName="Notify_x0020_users_x0020_50_x0020_versions_x0020_recorded_x0020_in_x0020_EMIR_x0020_Review">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1632c4-bf60-4412-9f6f-3f712dee11b2"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ma:index="2" ma:displayName="Subject"/>
        <xsd:element ref="dc:description" minOccurs="0" maxOccurs="1"/>
        <xsd:element name="keywords" minOccurs="0" maxOccurs="1" type="xsd:string" ma:index="7"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EC Document</p:Name>
  <p:Description/>
  <p:Statement/>
  <p:PolicyItems>
    <p:PolicyItem featureId="Microsoft.Office.RecordsManagement.PolicyFeatures.Expiration" staticId="0x010100258AA79CEB83498886A3A0868112325000C20B61F1FD9DDF46961EA8F518658CAC|-972186196" UniqueId="4665341b-3a9e-421c-9283-19972664c9a1">
      <p:Name>Retention</p:Name>
      <p:Description>Automatic scheduling of content for processing, and performing a retention action on content that has reached its due date.</p:Description>
      <p:CustomData>
        <Schedules nextStageId="2">
          <Schedule type="Default">
            <stages>
              <data stageId="1" recur="true" offset="6" unit="months">
                <formula id="Microsoft.Office.RecordsManagement.PolicyFeatures.Expiration.Formula.BuiltIn">
                  <number>6</number>
                  <property>Modified</property>
                  <propertyId>28cf69c5-fa48-462a-b5cd-27b6f9d2bd5f</propertyId>
                  <period>months</period>
                </formula>
                <action type="action" id="Microsoft.Office.RecordsManagement.PolicyFeatures.Expiration.Action.DeletePreviousVersions"/>
              </data>
            </stages>
          </Schedule>
        </Schedules>
      </p:CustomData>
    </p:PolicyItem>
  </p:PolicyItems>
</p:Policy>
</file>

<file path=customXml/item6.xml><?xml version="1.0" encoding="utf-8"?>
<?mso-contentType ?>
<customXsn xmlns="http://schemas.microsoft.com/office/2006/metadata/customXsn">
  <xsnLocation/>
  <cached>True</cached>
  <openByDefault>True</openByDefault>
  <xsnScope/>
</customXs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B9136-B2E1-4C24-9763-A973495731FC}">
  <ds:schemaRefs>
    <ds:schemaRef ds:uri="http://schemas.microsoft.com/office/2006/metadata/properties"/>
    <ds:schemaRef ds:uri="http://schemas.microsoft.com/office/infopath/2007/PartnerControls"/>
    <ds:schemaRef ds:uri="56c17bbb-3787-4a76-9795-ce8b6d05fd7e"/>
    <ds:schemaRef ds:uri="http://schemas.microsoft.com/sharepoint/v3"/>
    <ds:schemaRef ds:uri="02ebb043-5898-4877-8c1f-28652c7a58c8"/>
  </ds:schemaRefs>
</ds:datastoreItem>
</file>

<file path=customXml/itemProps2.xml><?xml version="1.0" encoding="utf-8"?>
<ds:datastoreItem xmlns:ds="http://schemas.openxmlformats.org/officeDocument/2006/customXml" ds:itemID="{C52889EE-7987-4690-AF2E-C64AF195EB7F}">
  <ds:schemaRefs>
    <ds:schemaRef ds:uri="http://schemas.microsoft.com/sharepoint/v3/contenttype/forms"/>
  </ds:schemaRefs>
</ds:datastoreItem>
</file>

<file path=customXml/itemProps3.xml><?xml version="1.0" encoding="utf-8"?>
<ds:datastoreItem xmlns:ds="http://schemas.openxmlformats.org/officeDocument/2006/customXml" ds:itemID="{EAFB27C3-DC51-4AF0-97C5-EDBB0F568BE7}">
  <ds:schemaRefs>
    <ds:schemaRef ds:uri="http://schemas.microsoft.com/sharepoint/events"/>
  </ds:schemaRefs>
</ds:datastoreItem>
</file>

<file path=customXml/itemProps4.xml><?xml version="1.0" encoding="utf-8"?>
<ds:datastoreItem xmlns:ds="http://schemas.openxmlformats.org/officeDocument/2006/customXml" ds:itemID="{081A92BE-8E4B-4A97-8692-B64352F58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ebb043-5898-4877-8c1f-28652c7a58c8"/>
    <ds:schemaRef ds:uri="56c17bbb-3787-4a76-9795-ce8b6d05fd7e"/>
    <ds:schemaRef ds:uri="191632c4-bf60-4412-9f6f-3f712dee11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6FEEFD2-66BE-4488-BE8D-4FB3026BBD51}">
  <ds:schemaRefs>
    <ds:schemaRef ds:uri="office.server.policy"/>
  </ds:schemaRefs>
</ds:datastoreItem>
</file>

<file path=customXml/itemProps6.xml><?xml version="1.0" encoding="utf-8"?>
<ds:datastoreItem xmlns:ds="http://schemas.openxmlformats.org/officeDocument/2006/customXml" ds:itemID="{9A399BF9-F5C2-442E-B7BD-77F7C88CFB55}">
  <ds:schemaRefs>
    <ds:schemaRef ds:uri="http://schemas.microsoft.com/office/2006/metadata/customXsn"/>
  </ds:schemaRefs>
</ds:datastoreItem>
</file>

<file path=customXml/itemProps7.xml><?xml version="1.0" encoding="utf-8"?>
<ds:datastoreItem xmlns:ds="http://schemas.openxmlformats.org/officeDocument/2006/customXml" ds:itemID="{9FD2AC91-A709-4D93-A728-0F79F2B08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59050</Words>
  <Characters>318873</Characters>
  <Application>Microsoft Office Word</Application>
  <DocSecurity>0</DocSecurity>
  <Lines>6507</Lines>
  <Paragraphs>2147</Paragraphs>
  <ScaleCrop>false</ScaleCrop>
  <HeadingPairs>
    <vt:vector size="2" baseType="variant">
      <vt:variant>
        <vt:lpstr>Title</vt:lpstr>
      </vt:variant>
      <vt:variant>
        <vt:i4>1</vt:i4>
      </vt:variant>
    </vt:vector>
  </HeadingPairs>
  <TitlesOfParts>
    <vt:vector size="1" baseType="lpstr">
      <vt:lpstr>EMIR 3.0</vt:lpstr>
    </vt:vector>
  </TitlesOfParts>
  <Manager/>
  <Company/>
  <LinksUpToDate>false</LinksUpToDate>
  <CharactersWithSpaces>375776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EMIR 3.0</dc:title>
  <dc:subject>EMIR 3.0</dc:subject>
  <dc:creator/>
  <cp:keywords/>
  <dc:description/>
  <cp:lastModifiedBy>EC CoDe</cp:lastModifiedBy>
  <cp:revision>30</cp:revision>
  <cp:lastPrinted>2022-11-29T20:13:00Z</cp:lastPrinted>
  <dcterms:created xsi:type="dcterms:W3CDTF">2022-11-29T20:12:00Z</dcterms:created>
  <dcterms:modified xsi:type="dcterms:W3CDTF">2022-12-06T11:46:00Z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CP-026</vt:lpwstr>
  </property>
  <property fmtid="{D5CDD505-2E9C-101B-9397-08002B2CF9AE}" pid="7" name="Created using">
    <vt:lpwstr>LW 7.0.1, Build 20190916</vt:lpwstr>
  </property>
  <property fmtid="{D5CDD505-2E9C-101B-9397-08002B2CF9AE}" pid="8" name="ContentTypeId">
    <vt:lpwstr>0x010100258AA79CEB83498886A3A0868112325000C20B61F1FD9DDF46961EA8F518658CAC</vt:lpwstr>
  </property>
  <property fmtid="{D5CDD505-2E9C-101B-9397-08002B2CF9AE}" pid="9" name="_dlc_policyId">
    <vt:lpwstr>0x010100258AA79CEB83498886A3A0868112325000C20B61F1FD9DDF46961EA8F518658CAC|-972186196</vt:lpwstr>
  </property>
  <property fmtid="{D5CDD505-2E9C-101B-9397-08002B2CF9AE}" pid="10" name="ItemRetentionFormula">
    <vt:lpwstr>&lt;formula id="Microsoft.Office.RecordsManagement.PolicyFeatures.Expiration.Formula.BuiltIn"&gt;&lt;number&gt;6&lt;/number&gt;&lt;property&gt;Modified&lt;/property&gt;&lt;propertyId&gt;28cf69c5-fa48-462a-b5cd-27b6f9d2bd5f&lt;/propertyId&gt;&lt;period&gt;months&lt;/period&gt;&lt;/formula&gt;</vt:lpwstr>
  </property>
  <property fmtid="{D5CDD505-2E9C-101B-9397-08002B2CF9AE}" pid="11" name="_dlc_DocIdItemGuid">
    <vt:lpwstr>51049a9c-bb24-4deb-8dcd-026652823524</vt:lpwstr>
  </property>
  <property fmtid="{D5CDD505-2E9C-101B-9397-08002B2CF9AE}" pid="12" name="MSIP_Label_6bd9ddd1-4d20-43f6-abfa-fc3c07406f94_Enabled">
    <vt:lpwstr>true</vt:lpwstr>
  </property>
  <property fmtid="{D5CDD505-2E9C-101B-9397-08002B2CF9AE}" pid="13" name="MSIP_Label_6bd9ddd1-4d20-43f6-abfa-fc3c07406f94_SetDate">
    <vt:lpwstr>2022-05-03T06:57:35Z</vt:lpwstr>
  </property>
  <property fmtid="{D5CDD505-2E9C-101B-9397-08002B2CF9AE}" pid="14" name="MSIP_Label_6bd9ddd1-4d20-43f6-abfa-fc3c07406f94_Method">
    <vt:lpwstr>Standard</vt:lpwstr>
  </property>
  <property fmtid="{D5CDD505-2E9C-101B-9397-08002B2CF9AE}" pid="15" name="MSIP_Label_6bd9ddd1-4d20-43f6-abfa-fc3c07406f94_Name">
    <vt:lpwstr>Commission Use</vt:lpwstr>
  </property>
  <property fmtid="{D5CDD505-2E9C-101B-9397-08002B2CF9AE}" pid="16" name="MSIP_Label_6bd9ddd1-4d20-43f6-abfa-fc3c07406f94_SiteId">
    <vt:lpwstr>b24c8b06-522c-46fe-9080-70926f8dddb1</vt:lpwstr>
  </property>
  <property fmtid="{D5CDD505-2E9C-101B-9397-08002B2CF9AE}" pid="17" name="MSIP_Label_6bd9ddd1-4d20-43f6-abfa-fc3c07406f94_ActionId">
    <vt:lpwstr>f168c8d7-b065-472c-8aab-931f6d4a8096</vt:lpwstr>
  </property>
  <property fmtid="{D5CDD505-2E9C-101B-9397-08002B2CF9AE}" pid="18" name="MSIP_Label_6bd9ddd1-4d20-43f6-abfa-fc3c07406f94_ContentBits">
    <vt:lpwstr>0</vt:lpwstr>
  </property>
  <property fmtid="{D5CDD505-2E9C-101B-9397-08002B2CF9AE}" pid="19" name="Last edited using">
    <vt:lpwstr>LW 8.1, Build 20220902</vt:lpwstr>
  </property>
  <property fmtid="{D5CDD505-2E9C-101B-9397-08002B2CF9AE}" pid="20" name="Confidentiality">
    <vt:lpwstr>198;#Commission use|2e42cb08-9cad-4d94-9ff2-cc51a2e2899b</vt:lpwstr>
  </property>
  <property fmtid="{D5CDD505-2E9C-101B-9397-08002B2CF9AE}" pid="21" name="Doc Status">
    <vt:lpwstr/>
  </property>
  <property fmtid="{D5CDD505-2E9C-101B-9397-08002B2CF9AE}" pid="22" name="Document type">
    <vt:lpwstr/>
  </property>
</Properties>
</file>