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7BA9" w14:textId="360DF40C" w:rsidR="001C5088" w:rsidRPr="008E05BC" w:rsidRDefault="00A97336" w:rsidP="00A97336">
      <w:pPr>
        <w:pStyle w:val="Pagedecouverture"/>
        <w:rPr>
          <w:noProof/>
        </w:rPr>
      </w:pPr>
      <w:bookmarkStart w:id="0" w:name="LW_BM_COVERPAGE"/>
      <w:r>
        <w:rPr>
          <w:noProof/>
        </w:rPr>
        <w:pict w14:anchorId="299CD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A1A93AF-3077-4368-9958-25AAC4198F95" style="width:455.25pt;height:310.5pt">
            <v:imagedata r:id="rId11" o:title=""/>
          </v:shape>
        </w:pict>
      </w:r>
    </w:p>
    <w:bookmarkEnd w:id="0"/>
    <w:p w14:paraId="2A927616" w14:textId="77777777" w:rsidR="009111B9" w:rsidRPr="008E05BC" w:rsidRDefault="009111B9">
      <w:pPr>
        <w:rPr>
          <w:noProof/>
        </w:rPr>
        <w:sectPr w:rsidR="009111B9" w:rsidRPr="008E05BC" w:rsidSect="00A9733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B198872" w14:textId="77777777" w:rsidR="00B253AE" w:rsidRPr="008E05BC" w:rsidRDefault="00B253AE" w:rsidP="001C5088">
      <w:pPr>
        <w:pStyle w:val="Heading1"/>
        <w:rPr>
          <w:noProof/>
        </w:rPr>
      </w:pPr>
      <w:bookmarkStart w:id="1" w:name="_GoBack"/>
      <w:bookmarkEnd w:id="1"/>
      <w:r w:rsidRPr="008E05BC">
        <w:rPr>
          <w:noProof/>
        </w:rPr>
        <w:lastRenderedPageBreak/>
        <w:t>Context</w:t>
      </w:r>
    </w:p>
    <w:p w14:paraId="1AFB1D85" w14:textId="57111B46" w:rsidR="00F77567" w:rsidRPr="008E05BC" w:rsidRDefault="00F77567" w:rsidP="00F8335D">
      <w:pPr>
        <w:jc w:val="both"/>
        <w:rPr>
          <w:rFonts w:ascii="Times New Roman" w:hAnsi="Times New Roman" w:cs="Times New Roman"/>
          <w:noProof/>
          <w:sz w:val="24"/>
        </w:rPr>
      </w:pPr>
      <w:r w:rsidRPr="008E05BC">
        <w:rPr>
          <w:rFonts w:ascii="Times New Roman" w:hAnsi="Times New Roman"/>
          <w:noProof/>
          <w:sz w:val="24"/>
        </w:rPr>
        <w:t xml:space="preserve">Programul Fiscalis 2020 a fost creat prin Regulamentul (UE) nr. 1286/2013 al Parlamentului European și al Consiliului din 11 decembrie 2013 de instituire a unui program de acțiune având obiectivul </w:t>
      </w:r>
      <w:r w:rsidRPr="008E05BC">
        <w:rPr>
          <w:rFonts w:ascii="Times New Roman" w:hAnsi="Times New Roman"/>
          <w:i/>
          <w:noProof/>
          <w:sz w:val="24"/>
        </w:rPr>
        <w:t>„de a îmbunătăți funcționarea sistemelor de impozitare pe piața internă printr-o cooperare extinsă între țările participante, autoritățile fiscale ale acestora și funcționarii lor”</w:t>
      </w:r>
      <w:r w:rsidRPr="008E05BC">
        <w:rPr>
          <w:rStyle w:val="FootnoteReference"/>
          <w:rFonts w:ascii="Times New Roman" w:hAnsi="Times New Roman" w:cs="Times New Roman"/>
          <w:noProof/>
          <w:sz w:val="24"/>
        </w:rPr>
        <w:footnoteReference w:id="2"/>
      </w:r>
      <w:r w:rsidRPr="008E05BC">
        <w:rPr>
          <w:rFonts w:ascii="Times New Roman" w:hAnsi="Times New Roman"/>
          <w:noProof/>
          <w:sz w:val="24"/>
        </w:rPr>
        <w:t>. Programul este continuarea unor programe similare anterioare</w:t>
      </w:r>
      <w:r w:rsidRPr="008E05BC">
        <w:rPr>
          <w:rStyle w:val="FootnoteReference"/>
          <w:rFonts w:ascii="Times New Roman" w:hAnsi="Times New Roman" w:cs="Times New Roman"/>
          <w:noProof/>
          <w:sz w:val="24"/>
        </w:rPr>
        <w:footnoteReference w:id="3"/>
      </w:r>
      <w:r w:rsidRPr="008E05BC">
        <w:rPr>
          <w:rFonts w:ascii="Times New Roman" w:hAnsi="Times New Roman"/>
          <w:noProof/>
          <w:sz w:val="24"/>
        </w:rPr>
        <w:t>. În perioada 2014-2020, programul a fost unul dintre principalele instrumente utilizate pentru sprijinirea unei puneri în aplicare coerente a dreptului Uniunii în domeniul fiscal și al luptei împotriva fraudei fiscale, a evaziunii fiscale și a planificării fiscale agresive, prin asigurarea schimbului de informații, prin sprijinirea cooperării administrative și prin consolidarea capacității administrative a țărilor participante.</w:t>
      </w:r>
    </w:p>
    <w:p w14:paraId="209D374C" w14:textId="3B180458" w:rsidR="008F6353" w:rsidRPr="008E05BC" w:rsidRDefault="00F77567" w:rsidP="008F6353">
      <w:pPr>
        <w:spacing w:line="276" w:lineRule="auto"/>
        <w:jc w:val="both"/>
        <w:rPr>
          <w:rFonts w:ascii="Times New Roman" w:hAnsi="Times New Roman" w:cs="Times New Roman"/>
          <w:noProof/>
          <w:sz w:val="24"/>
        </w:rPr>
      </w:pPr>
      <w:r w:rsidRPr="008E05BC">
        <w:rPr>
          <w:rFonts w:ascii="Times New Roman" w:hAnsi="Times New Roman"/>
          <w:noProof/>
          <w:sz w:val="24"/>
        </w:rPr>
        <w:t>În conformitate cu articolul 17 din regulament, Comisia a efectuat, cu asistența unor evaluatori externi independenți, un studiu în sprijinul evaluării finale a programului, la fel cum a procedat în cazul evaluării la jumătatea perioadei</w:t>
      </w:r>
      <w:r w:rsidRPr="008E05BC">
        <w:rPr>
          <w:rStyle w:val="FootnoteReference"/>
          <w:rFonts w:ascii="Times New Roman" w:hAnsi="Times New Roman" w:cs="Times New Roman"/>
          <w:noProof/>
          <w:sz w:val="24"/>
        </w:rPr>
        <w:footnoteReference w:id="4"/>
      </w:r>
      <w:r w:rsidRPr="008E05BC">
        <w:rPr>
          <w:rFonts w:ascii="Times New Roman" w:hAnsi="Times New Roman"/>
          <w:noProof/>
          <w:sz w:val="24"/>
        </w:rPr>
        <w:t>. Rezultatele detaliate ale evaluării sunt prezentate în documentul de lucru al serviciilor Comisiei care însoțește prezentul raport și constituie baza pentru prezentul raport. Scopul evaluării finale este să se analizeze performanța programului în perioada 2014-2020</w:t>
      </w:r>
      <w:r w:rsidRPr="008E05BC">
        <w:rPr>
          <w:rFonts w:ascii="Times New Roman" w:hAnsi="Times New Roman" w:cs="Times New Roman"/>
          <w:noProof/>
          <w:sz w:val="24"/>
          <w:vertAlign w:val="superscript"/>
        </w:rPr>
        <w:footnoteReference w:id="5"/>
      </w:r>
      <w:r w:rsidRPr="008E05BC">
        <w:rPr>
          <w:rFonts w:ascii="Times New Roman" w:hAnsi="Times New Roman"/>
          <w:noProof/>
          <w:sz w:val="24"/>
        </w:rPr>
        <w:t xml:space="preserve"> și măsura în care rezultatele obținute se vor menține pe termen lung. Evaluarea se referă la perioada de funcționare a programului (2014-2020) și include constatările din evaluarea efectuată la jumătatea perioadei, și anume în 2018. În evaluarea finală se analizează în ce grad au fost puse în aplicare și au generat îmbunătățiri constatările respective. Evaluarea a vizat toate țările participante, și anume statele membre ale UE</w:t>
      </w:r>
      <w:r w:rsidRPr="008E05BC">
        <w:rPr>
          <w:rStyle w:val="FootnoteReference"/>
          <w:rFonts w:ascii="Times New Roman" w:hAnsi="Times New Roman"/>
          <w:noProof/>
        </w:rPr>
        <w:footnoteReference w:id="6"/>
      </w:r>
      <w:r w:rsidRPr="008E05BC">
        <w:rPr>
          <w:rFonts w:ascii="Times New Roman" w:hAnsi="Times New Roman"/>
          <w:noProof/>
          <w:sz w:val="24"/>
        </w:rPr>
        <w:t xml:space="preserve">, țările candidate (Albania, Macedonia de Nord, Muntenegru, Serbia și Turcia) și candidații potențiali (Bosnia și Herțegovina și Kosovo*). În evaluare se iau în considerare toată gama de activități finanțate și de activități de gestionare și toate părțile interesate relevante (administrații naționale, servicii ale Comisiei și operatori economici) din toate țările participante. </w:t>
      </w:r>
    </w:p>
    <w:p w14:paraId="4540B773" w14:textId="6D923EB3" w:rsidR="00B253AE" w:rsidRPr="008E05BC" w:rsidRDefault="00B253AE" w:rsidP="008F6353">
      <w:pPr>
        <w:spacing w:line="276" w:lineRule="auto"/>
        <w:jc w:val="both"/>
        <w:rPr>
          <w:rFonts w:ascii="Times New Roman" w:hAnsi="Times New Roman" w:cs="Times New Roman"/>
          <w:noProof/>
          <w:sz w:val="24"/>
        </w:rPr>
      </w:pPr>
      <w:r w:rsidRPr="008E05BC">
        <w:rPr>
          <w:rFonts w:ascii="Times New Roman" w:hAnsi="Times New Roman"/>
          <w:noProof/>
          <w:sz w:val="24"/>
        </w:rPr>
        <w:t xml:space="preserve">Prin raportul de față se urmărește prezentarea rezultatelor evaluării finale în ceea ce privește (i) </w:t>
      </w:r>
      <w:bookmarkStart w:id="2" w:name="_Toc82789914"/>
      <w:r w:rsidRPr="008E05BC">
        <w:rPr>
          <w:rFonts w:ascii="Times New Roman" w:hAnsi="Times New Roman"/>
          <w:noProof/>
          <w:sz w:val="24"/>
        </w:rPr>
        <w:t xml:space="preserve">eficacitatea, și anume măsura în care programul și-a atins </w:t>
      </w:r>
      <w:bookmarkEnd w:id="2"/>
      <w:r w:rsidRPr="008E05BC">
        <w:rPr>
          <w:rFonts w:ascii="Times New Roman" w:hAnsi="Times New Roman"/>
          <w:noProof/>
          <w:sz w:val="24"/>
        </w:rPr>
        <w:t xml:space="preserve">scopul, (ii) eficiența, și anume măsura în care programul și-a atins scopul în raport cu resursele utilizate, (iii) coerența programului cu politicile și prioritățile mai ample ale UE, (iv) valoarea adăugată a acestei intervenții la nivelul UE și modul în care aceasta a adus o schimbare și (v) relevanța programului. </w:t>
      </w:r>
    </w:p>
    <w:p w14:paraId="5ECA909D" w14:textId="7734FBB4" w:rsidR="00B253AE" w:rsidRPr="008E05BC" w:rsidRDefault="0094064D" w:rsidP="007D3690">
      <w:pPr>
        <w:pStyle w:val="Heading1"/>
        <w:numPr>
          <w:ilvl w:val="0"/>
          <w:numId w:val="1"/>
        </w:numPr>
        <w:spacing w:line="276" w:lineRule="auto"/>
        <w:rPr>
          <w:noProof/>
        </w:rPr>
      </w:pPr>
      <w:r w:rsidRPr="008E05BC">
        <w:rPr>
          <w:noProof/>
        </w:rPr>
        <w:t>Eficacitatea: măsura în care programul și-a atins scopul</w:t>
      </w:r>
    </w:p>
    <w:p w14:paraId="424D5BAA" w14:textId="2F63CB26" w:rsidR="004B17CA" w:rsidRPr="008E05BC" w:rsidRDefault="0094064D" w:rsidP="007D3690">
      <w:pPr>
        <w:spacing w:line="276" w:lineRule="auto"/>
        <w:jc w:val="both"/>
        <w:rPr>
          <w:rFonts w:ascii="Times New Roman" w:hAnsi="Times New Roman" w:cs="Times New Roman"/>
          <w:noProof/>
          <w:sz w:val="24"/>
        </w:rPr>
      </w:pPr>
      <w:r w:rsidRPr="008E05BC">
        <w:rPr>
          <w:rFonts w:ascii="Times New Roman" w:hAnsi="Times New Roman"/>
          <w:noProof/>
          <w:sz w:val="24"/>
        </w:rPr>
        <w:t>Programul are scopul de a sprijini funcționarea corespunzătoare a sistemelor de impozitare de pe piața internă prin asigurarea schimbului de informații, prin sprijinirea cooperării administrative și prin consolidarea capacității administrative a țărilor participante, ceea ce poate sprijini o punere în aplicare coerentă a dreptului Uniunii în domeniul fiscal și al luptei împotriva fraudei fiscale, a evaziunii fiscale și a planificării fiscale agresive.</w:t>
      </w:r>
    </w:p>
    <w:p w14:paraId="28878981" w14:textId="722ABD02" w:rsidR="00E678DD" w:rsidRPr="008E05BC" w:rsidRDefault="004B17CA" w:rsidP="004B17CA">
      <w:pPr>
        <w:pStyle w:val="bullet1"/>
        <w:spacing w:line="276" w:lineRule="auto"/>
        <w:rPr>
          <w:rFonts w:ascii="Times New Roman" w:hAnsi="Times New Roman"/>
          <w:noProof/>
          <w:sz w:val="24"/>
        </w:rPr>
      </w:pPr>
      <w:r w:rsidRPr="008E05BC">
        <w:rPr>
          <w:rFonts w:ascii="Times New Roman" w:hAnsi="Times New Roman"/>
          <w:noProof/>
          <w:sz w:val="24"/>
        </w:rPr>
        <w:t xml:space="preserve">Datele colectate în cadrul evaluării au confirmat că programul Fiscalis 2020 a fost un </w:t>
      </w:r>
      <w:r w:rsidRPr="008E05BC">
        <w:rPr>
          <w:rFonts w:ascii="Times New Roman" w:hAnsi="Times New Roman"/>
          <w:b/>
          <w:noProof/>
          <w:sz w:val="24"/>
        </w:rPr>
        <w:t xml:space="preserve">instrument-cheie </w:t>
      </w:r>
      <w:r w:rsidRPr="008E05BC">
        <w:rPr>
          <w:rFonts w:ascii="Times New Roman" w:hAnsi="Times New Roman"/>
          <w:noProof/>
          <w:sz w:val="24"/>
        </w:rPr>
        <w:t>pentru</w:t>
      </w:r>
      <w:r w:rsidRPr="008E05BC">
        <w:rPr>
          <w:rFonts w:ascii="Times New Roman" w:hAnsi="Times New Roman"/>
          <w:b/>
          <w:noProof/>
          <w:sz w:val="24"/>
        </w:rPr>
        <w:t xml:space="preserve"> </w:t>
      </w:r>
      <w:r w:rsidRPr="008E05BC">
        <w:rPr>
          <w:rFonts w:ascii="Times New Roman" w:hAnsi="Times New Roman"/>
          <w:noProof/>
          <w:sz w:val="24"/>
        </w:rPr>
        <w:t xml:space="preserve">sprijinirea atingerii acestor obiective. Programul a fost esențial a) pentru </w:t>
      </w:r>
      <w:r w:rsidRPr="008E05BC">
        <w:rPr>
          <w:rFonts w:ascii="Times New Roman" w:hAnsi="Times New Roman"/>
          <w:b/>
          <w:noProof/>
          <w:sz w:val="24"/>
        </w:rPr>
        <w:t xml:space="preserve">dezvoltarea și funcționarea sistemelor de informații europene (SIE-uri), prin oferirea </w:t>
      </w:r>
      <w:r w:rsidRPr="008E05BC">
        <w:rPr>
          <w:rFonts w:ascii="Times New Roman" w:hAnsi="Times New Roman"/>
          <w:noProof/>
          <w:sz w:val="24"/>
        </w:rPr>
        <w:t xml:space="preserve">unei baze comune/armonizate pentru </w:t>
      </w:r>
      <w:r w:rsidRPr="008E05BC">
        <w:rPr>
          <w:rFonts w:ascii="Times New Roman" w:hAnsi="Times New Roman"/>
          <w:b/>
          <w:noProof/>
          <w:sz w:val="24"/>
        </w:rPr>
        <w:t>schimbul automat și securizat de informații și prin standardizarea și simplificarea procedurilor</w:t>
      </w:r>
      <w:r w:rsidRPr="008E05BC">
        <w:rPr>
          <w:rFonts w:ascii="Times New Roman" w:hAnsi="Times New Roman"/>
          <w:noProof/>
          <w:sz w:val="24"/>
        </w:rPr>
        <w:t>, b) pentru desfășurarea unei game largi de acțiuni comune care</w:t>
      </w:r>
      <w:r w:rsidRPr="008E05BC">
        <w:rPr>
          <w:rFonts w:ascii="Times New Roman" w:hAnsi="Times New Roman"/>
          <w:b/>
          <w:noProof/>
          <w:sz w:val="24"/>
        </w:rPr>
        <w:t xml:space="preserve"> au creat un mediu de colaborare în care autoritățile au lucrat împreună, au făcut schimb de cunoștințe și au identificat bune practici </w:t>
      </w:r>
      <w:r w:rsidRPr="008E05BC">
        <w:rPr>
          <w:rFonts w:ascii="Times New Roman" w:hAnsi="Times New Roman"/>
          <w:noProof/>
          <w:sz w:val="24"/>
        </w:rPr>
        <w:t>în ceea ce privește procedurile și orientările administrative, dreptul Uniunii și sistemele informatice</w:t>
      </w:r>
      <w:r w:rsidRPr="008E05BC">
        <w:rPr>
          <w:rFonts w:ascii="Times New Roman" w:hAnsi="Times New Roman"/>
          <w:b/>
          <w:noProof/>
          <w:sz w:val="24"/>
        </w:rPr>
        <w:t xml:space="preserve"> </w:t>
      </w:r>
      <w:r w:rsidRPr="008E05BC">
        <w:rPr>
          <w:rFonts w:ascii="Times New Roman" w:hAnsi="Times New Roman"/>
          <w:noProof/>
          <w:sz w:val="24"/>
        </w:rPr>
        <w:t>și c) pentru</w:t>
      </w:r>
      <w:r w:rsidRPr="008E05BC">
        <w:rPr>
          <w:rFonts w:ascii="Times New Roman" w:hAnsi="Times New Roman"/>
          <w:b/>
          <w:noProof/>
          <w:sz w:val="24"/>
        </w:rPr>
        <w:t xml:space="preserve"> desfășurarea de activități de formare care au consolidat aptitudinile și competențele personalului, precum și capacitatea administrativă</w:t>
      </w:r>
      <w:r w:rsidRPr="008E05BC">
        <w:rPr>
          <w:rFonts w:ascii="Times New Roman" w:hAnsi="Times New Roman"/>
          <w:noProof/>
          <w:sz w:val="24"/>
        </w:rPr>
        <w:t xml:space="preserve">. </w:t>
      </w:r>
    </w:p>
    <w:p w14:paraId="426EB880" w14:textId="7D0418A2" w:rsidR="00B92C4F" w:rsidRPr="008E05BC" w:rsidRDefault="00E8559A" w:rsidP="004B17CA">
      <w:pPr>
        <w:pStyle w:val="bullet1"/>
        <w:spacing w:line="276" w:lineRule="auto"/>
        <w:rPr>
          <w:rFonts w:ascii="Times New Roman" w:hAnsi="Times New Roman"/>
          <w:noProof/>
          <w:sz w:val="24"/>
        </w:rPr>
      </w:pPr>
      <w:r w:rsidRPr="008E05BC">
        <w:rPr>
          <w:rFonts w:ascii="Times New Roman" w:hAnsi="Times New Roman"/>
          <w:noProof/>
          <w:sz w:val="24"/>
        </w:rPr>
        <w:t xml:space="preserve">Programul a contribuit astfel la </w:t>
      </w:r>
      <w:r w:rsidRPr="008E05BC">
        <w:rPr>
          <w:rFonts w:ascii="Times New Roman" w:hAnsi="Times New Roman"/>
          <w:b/>
          <w:noProof/>
          <w:sz w:val="24"/>
        </w:rPr>
        <w:t>lupta împotriva fraudei fiscale, a evaziunii fiscale și a planificării fiscale agresive</w:t>
      </w:r>
      <w:r w:rsidRPr="008E05BC">
        <w:rPr>
          <w:rFonts w:ascii="Times New Roman" w:hAnsi="Times New Roman"/>
          <w:noProof/>
          <w:sz w:val="24"/>
        </w:rPr>
        <w:t xml:space="preserve">, întrucât informațiile care au fost posibile datorită infrastructurii și sistemelor informatice finanțate prin Fiscalis au permis, prin calitatea și sfera lor de acoperire, efectuarea de verificări transfrontaliere prin care s-au detectat potențiale tranzacții frauduloase, ceea ce a condus la acțiuni comune ale autorităților. Persoanele intervievate au afirmat, de asemenea, că schimbul automat de informații facilitat de SIE-uri a acționat ca factor de descurajare a comportamentului fraudulos și a contribuit astfel la lupta împotriva fraudei fiscale, a evaziunii fiscale și a planificării fiscale agresive. De asemenea, SIE-urile au redus costurile de conformare fiscală și au sporit securitatea juridică pentru operatorii economici, mărind gradul de conformare generală a contribuabililor și permițând autorităților și operatorilor economici să reducă timpul și resursele necesare pentru desfășurarea activităților. În plus, aproximativ 44 % din toate propunerile de acțiuni comune prezentate au fost legate de lupta împotriva fraudei fiscale, a evaziunii fiscale și a planificării fiscale agresive. Conform studiilor de caz, este posibil ca Fiscalis să fi contribuit, drept rezultat, la obținerea de venituri fiscale suplimentare. </w:t>
      </w:r>
    </w:p>
    <w:p w14:paraId="25790217" w14:textId="196D9F5A" w:rsidR="004B17CA" w:rsidRPr="008E05BC" w:rsidRDefault="00B92C4F" w:rsidP="004B17CA">
      <w:pPr>
        <w:pStyle w:val="bullet1"/>
        <w:spacing w:line="276" w:lineRule="auto"/>
        <w:rPr>
          <w:rFonts w:ascii="Times New Roman" w:hAnsi="Times New Roman"/>
          <w:noProof/>
          <w:sz w:val="24"/>
        </w:rPr>
      </w:pPr>
      <w:r w:rsidRPr="008E05BC">
        <w:rPr>
          <w:rFonts w:ascii="Times New Roman" w:hAnsi="Times New Roman"/>
          <w:noProof/>
          <w:sz w:val="24"/>
        </w:rPr>
        <w:t xml:space="preserve">De asemenea, programul </w:t>
      </w:r>
      <w:r w:rsidRPr="008E05BC">
        <w:rPr>
          <w:rFonts w:ascii="Times New Roman" w:hAnsi="Times New Roman"/>
          <w:b/>
          <w:noProof/>
          <w:sz w:val="24"/>
        </w:rPr>
        <w:t xml:space="preserve">a facilitat o mai bună și unitară înțelegere a dreptului Uniunii în domeniul fiscal </w:t>
      </w:r>
      <w:r w:rsidRPr="008E05BC">
        <w:rPr>
          <w:rFonts w:ascii="Times New Roman" w:hAnsi="Times New Roman"/>
          <w:noProof/>
          <w:sz w:val="24"/>
        </w:rPr>
        <w:t xml:space="preserve">atât în rândul autorităților fiscale, cât și al operatorilor economici, contribuind la </w:t>
      </w:r>
      <w:r w:rsidRPr="008E05BC">
        <w:rPr>
          <w:rFonts w:ascii="Times New Roman" w:hAnsi="Times New Roman"/>
          <w:b/>
          <w:noProof/>
          <w:sz w:val="24"/>
        </w:rPr>
        <w:t>o punere în aplicare mai fluidă și coerentă a acestei legislații</w:t>
      </w:r>
      <w:r w:rsidRPr="008E05BC">
        <w:rPr>
          <w:rFonts w:ascii="Times New Roman" w:hAnsi="Times New Roman"/>
          <w:noProof/>
          <w:sz w:val="24"/>
        </w:rPr>
        <w:t>. Acțiunile și modulele de formare comune având scopul direct de a îmbunătăți înțelegerea și punerea în aplicare a dreptului Uniunii în domeniul fiscal au fost considerate foarte utile și au avut rezultatul scontat. La un nivel mai general, programul a consolidat, de asemenea, încrederea dintre funcționari, promovând schimburi care au continuat și în afara activităților specifice ale programului. În general, programul a contribuit la buna funcționare a sistemelor fiscale din UE.</w:t>
      </w:r>
    </w:p>
    <w:p w14:paraId="2DEE796F" w14:textId="1D87078E" w:rsidR="0056674F" w:rsidRPr="008E05BC" w:rsidRDefault="00B432B6" w:rsidP="007D3690">
      <w:pPr>
        <w:pStyle w:val="CommentText"/>
        <w:spacing w:line="276" w:lineRule="auto"/>
        <w:rPr>
          <w:noProof/>
          <w:sz w:val="24"/>
        </w:rPr>
      </w:pPr>
      <w:r w:rsidRPr="008E05BC">
        <w:rPr>
          <w:noProof/>
          <w:sz w:val="24"/>
        </w:rPr>
        <w:t xml:space="preserve">În ceea ce privește </w:t>
      </w:r>
      <w:r w:rsidRPr="008E05BC">
        <w:rPr>
          <w:b/>
          <w:noProof/>
          <w:sz w:val="24"/>
        </w:rPr>
        <w:t>schimbul securizat de date</w:t>
      </w:r>
      <w:r w:rsidRPr="008E05BC">
        <w:rPr>
          <w:noProof/>
          <w:sz w:val="24"/>
        </w:rPr>
        <w:t xml:space="preserve"> dintre administrațiile fiscale naționale și dintre acestea și operatorii economici și alte autorități guvernamentale, se poate observa că </w:t>
      </w:r>
      <w:r w:rsidRPr="008E05BC">
        <w:rPr>
          <w:b/>
          <w:noProof/>
          <w:sz w:val="24"/>
        </w:rPr>
        <w:t>volumul de date care au făcut obiectul schimburilor a crescut constant din 2014</w:t>
      </w:r>
      <w:r w:rsidRPr="008E05BC">
        <w:rPr>
          <w:noProof/>
          <w:sz w:val="24"/>
        </w:rPr>
        <w:t xml:space="preserve">, ajungând la 32,23 terabiți în 2019, față de doar 4,3 terabiți în 2014. SIE-urile au ajutat statele membre să comunice între ele în mod securizat și eficient și, prin urmare, </w:t>
      </w:r>
      <w:r w:rsidRPr="008E05BC">
        <w:rPr>
          <w:b/>
          <w:noProof/>
          <w:sz w:val="24"/>
        </w:rPr>
        <w:t>numărul de mesaje pe care și le-au transmis administrațiile prin intermediul diverselor sisteme sprijinite de program a crescut semnificativ și continuu din 2014</w:t>
      </w:r>
      <w:r w:rsidRPr="008E05BC">
        <w:rPr>
          <w:rStyle w:val="FootnoteReference"/>
          <w:noProof/>
          <w:sz w:val="24"/>
        </w:rPr>
        <w:footnoteReference w:id="7"/>
      </w:r>
      <w:r w:rsidRPr="008E05BC">
        <w:rPr>
          <w:noProof/>
        </w:rPr>
        <w:t>.</w:t>
      </w:r>
      <w:r w:rsidRPr="008E05BC">
        <w:rPr>
          <w:noProof/>
          <w:sz w:val="24"/>
        </w:rPr>
        <w:t xml:space="preserve"> În plus, </w:t>
      </w:r>
      <w:r w:rsidRPr="008E05BC">
        <w:rPr>
          <w:b/>
          <w:noProof/>
          <w:sz w:val="24"/>
        </w:rPr>
        <w:t xml:space="preserve">s-a diminuat sarcina administrativă pentru administrațiile fiscale și întreprinderi </w:t>
      </w:r>
      <w:r w:rsidRPr="008E05BC">
        <w:rPr>
          <w:noProof/>
          <w:sz w:val="24"/>
        </w:rPr>
        <w:t xml:space="preserve">și </w:t>
      </w:r>
      <w:r w:rsidRPr="008E05BC">
        <w:rPr>
          <w:b/>
          <w:noProof/>
          <w:sz w:val="24"/>
        </w:rPr>
        <w:t xml:space="preserve">s-a constatat o reducere de 95 % a costurilor de conformare fiscală pentru întreprinderile </w:t>
      </w:r>
      <w:r w:rsidRPr="008E05BC">
        <w:rPr>
          <w:noProof/>
          <w:sz w:val="24"/>
        </w:rPr>
        <w:t xml:space="preserve">care utilizează sistemul informatic relevant în comparație cu cele care nu îl utilizează. </w:t>
      </w:r>
    </w:p>
    <w:p w14:paraId="698BA96B" w14:textId="4A35B8D6" w:rsidR="00E678DD" w:rsidRPr="008E05BC" w:rsidRDefault="00D84291" w:rsidP="007D3690">
      <w:pPr>
        <w:pStyle w:val="CommentText"/>
        <w:spacing w:line="276" w:lineRule="auto"/>
        <w:rPr>
          <w:noProof/>
          <w:sz w:val="24"/>
        </w:rPr>
      </w:pPr>
      <w:r w:rsidRPr="008E05BC">
        <w:rPr>
          <w:b/>
          <w:noProof/>
          <w:sz w:val="24"/>
        </w:rPr>
        <w:t>În ceea ce privește acțiunile comune</w:t>
      </w:r>
      <w:r w:rsidRPr="008E05BC">
        <w:rPr>
          <w:noProof/>
          <w:sz w:val="24"/>
        </w:rPr>
        <w:t xml:space="preserve">, în perioada 2014-2020 au avut loc peste 1 500 de acțiuni comune, cuprinzând peste 3 500 de evenimente. Numărul de participanți la acțiunile comune desfășurate în cadrul Fiscalis 2020 a rămas ridicat în mod constant, totalizând peste 30 000 de participanți. Funcționarii au efectuat </w:t>
      </w:r>
      <w:r w:rsidRPr="008E05BC">
        <w:rPr>
          <w:b/>
          <w:noProof/>
          <w:sz w:val="24"/>
        </w:rPr>
        <w:t>vizite de lucru</w:t>
      </w:r>
      <w:r w:rsidRPr="008E05BC">
        <w:rPr>
          <w:noProof/>
          <w:sz w:val="24"/>
        </w:rPr>
        <w:t xml:space="preserve"> pentru a dobândi experiență de specialitate și cunoștințe în domeniul fiscal sau pentru a-și consolida experiența și cunoștințele în domeniu. Statele membre au făcut, de asemenea, schimb de cunoștințe și experiențe în domeniul fiscal prin intermediul unor </w:t>
      </w:r>
      <w:r w:rsidRPr="008E05BC">
        <w:rPr>
          <w:b/>
          <w:noProof/>
          <w:sz w:val="24"/>
        </w:rPr>
        <w:t xml:space="preserve">grupuri de proiect, </w:t>
      </w:r>
      <w:r w:rsidRPr="008E05BC">
        <w:rPr>
          <w:noProof/>
          <w:sz w:val="24"/>
        </w:rPr>
        <w:t>la care au recurs deseori</w:t>
      </w:r>
      <w:r w:rsidRPr="008E05BC">
        <w:rPr>
          <w:b/>
          <w:noProof/>
          <w:sz w:val="24"/>
        </w:rPr>
        <w:t xml:space="preserve"> </w:t>
      </w:r>
      <w:r w:rsidRPr="008E05BC">
        <w:rPr>
          <w:noProof/>
          <w:sz w:val="24"/>
        </w:rPr>
        <w:t xml:space="preserve">pentru a discuta despre SIE-uri și pentru a dezvolta și a implementa SIE-uri. Deși mai rar, s-a recurs la </w:t>
      </w:r>
      <w:r w:rsidRPr="008E05BC">
        <w:rPr>
          <w:b/>
          <w:noProof/>
          <w:sz w:val="24"/>
        </w:rPr>
        <w:t>ateliere</w:t>
      </w:r>
      <w:r w:rsidRPr="008E05BC">
        <w:rPr>
          <w:noProof/>
          <w:sz w:val="24"/>
        </w:rPr>
        <w:t xml:space="preserve"> pentru căutarea de soluții de îmbunătățire a procedurilor în cadrul administrațiilor fiscale. </w:t>
      </w:r>
      <w:r w:rsidRPr="008E05BC">
        <w:rPr>
          <w:b/>
          <w:noProof/>
          <w:sz w:val="24"/>
        </w:rPr>
        <w:t>Acțiunile de consolidare a capacităților</w:t>
      </w:r>
      <w:r w:rsidRPr="008E05BC">
        <w:rPr>
          <w:noProof/>
          <w:sz w:val="24"/>
        </w:rPr>
        <w:t xml:space="preserve"> au constat în principal în asistarea tehnică a câtorva state membre. </w:t>
      </w:r>
      <w:r w:rsidRPr="008E05BC">
        <w:rPr>
          <w:b/>
          <w:noProof/>
          <w:sz w:val="24"/>
        </w:rPr>
        <w:t xml:space="preserve">Controalele multilaterale și participarea la anchetele administrative </w:t>
      </w:r>
      <w:r w:rsidRPr="008E05BC">
        <w:rPr>
          <w:noProof/>
          <w:sz w:val="24"/>
        </w:rPr>
        <w:t xml:space="preserve">sunt exemple de cooperare administrativă directă între autoritățile fiscale. Deși cu o mai mică frecvență, au fost organizate grupuri de lucru și seminare pentru sisteme informatice specifice sau pentru schimbul de informații privind dreptul Uniunii în domeniul fiscal. </w:t>
      </w:r>
    </w:p>
    <w:p w14:paraId="434FBD88" w14:textId="767A22BC" w:rsidR="0066403C" w:rsidRPr="008E05BC" w:rsidRDefault="003B1CA1" w:rsidP="007D3690">
      <w:pPr>
        <w:pStyle w:val="CommentText"/>
        <w:spacing w:line="276" w:lineRule="auto"/>
        <w:rPr>
          <w:noProof/>
          <w:sz w:val="24"/>
        </w:rPr>
      </w:pPr>
      <w:r w:rsidRPr="008E05BC">
        <w:rPr>
          <w:noProof/>
          <w:sz w:val="24"/>
        </w:rPr>
        <w:t xml:space="preserve">Participanții la acțiuni comune și gestionarii acțiunilor respective au exprimat opinii pozitive în ceea ce privește eficacitatea și utilitatea respectivelor acțiuni. Persoanele intervievate au indicat că toate acțiunile au fost utile și au încurajat învățarea reciprocă. Dintre respondenți, 93 % au fost de acord că participarea la acțiuni comune a constituit pentru ei o bună ocazie de a-și extinde rețeaua de funcționari din străinătate (și contactele cu aceștia). </w:t>
      </w:r>
      <w:r w:rsidRPr="008E05BC">
        <w:rPr>
          <w:b/>
          <w:noProof/>
          <w:sz w:val="24"/>
        </w:rPr>
        <w:t>Dintre participanți, 95 % au declarat că și-au făcut cunoscute experiențele și altora și 77 % au declarat că astfel de schimburi au condus la schimbări/îmbunătățiri ale practicilor de lucru în cadrul administrațiilor lor</w:t>
      </w:r>
      <w:r w:rsidRPr="008E05BC">
        <w:rPr>
          <w:noProof/>
          <w:sz w:val="24"/>
        </w:rPr>
        <w:t>. Trebuie remarcat faptul că, în 2020, ca urmare a pandemiei de COVID-19, rata de participare s-a redus ușor în urma restricțiilor impuse, iar activitățile online au înlocuit pentru un timp activitățile cu prezență fizică.</w:t>
      </w:r>
    </w:p>
    <w:p w14:paraId="0B5C4DC2" w14:textId="58CC8C2B" w:rsidR="00F8262C" w:rsidRPr="008E05BC" w:rsidRDefault="002919EC" w:rsidP="00F8262C">
      <w:pPr>
        <w:pStyle w:val="CommentText"/>
        <w:spacing w:line="276" w:lineRule="auto"/>
        <w:rPr>
          <w:noProof/>
          <w:sz w:val="24"/>
        </w:rPr>
      </w:pPr>
      <w:r w:rsidRPr="008E05BC">
        <w:rPr>
          <w:noProof/>
          <w:sz w:val="24"/>
        </w:rPr>
        <w:t xml:space="preserve">Marea majoritate a coordonatorilor Fiscalis intervievați au considerat că </w:t>
      </w:r>
      <w:r w:rsidRPr="008E05BC">
        <w:rPr>
          <w:b/>
          <w:noProof/>
          <w:sz w:val="24"/>
        </w:rPr>
        <w:t>formarea</w:t>
      </w:r>
      <w:r w:rsidRPr="008E05BC">
        <w:rPr>
          <w:noProof/>
          <w:sz w:val="24"/>
        </w:rPr>
        <w:t xml:space="preserve"> este esențială pentru consolidarea capacităților administrative ale administrațiilor. Comisia a achiziționat 267 de module de e-learning și a organizat 141 de sesiuni de formare în materie de aptitudini și competențe în domeniul sistemelor informatice. Punctajele acordate de participanți pentru calitatea formării au fost ridicate (în medie 72,7 pe o scară de la 0 la 100). În mod similar, proporția funcționarilor fiscali care au considerat că formarea în domeniul informatic s-a ridicat la înălțimea așteptărilor lor sau a fost utilă s-a situat în mod constant la peste 90 %. Numărul de funcționari fiscali formați este în creștere, dat fiind că formarea tot mai multor funcționari fiscali s-a desfășurat cu ajutorul unor materiale comune ale UE și în contextele naționale. </w:t>
      </w:r>
      <w:r w:rsidRPr="008E05BC">
        <w:rPr>
          <w:b/>
          <w:noProof/>
          <w:sz w:val="24"/>
        </w:rPr>
        <w:t>Au fost utilizate module de e-learning pentru formarea a aproximativ 130 500 de participanți din cadrul autorităților fiscale și a aproape un milion de alte persoane din mediul de afaceri și din sectorul public</w:t>
      </w:r>
      <w:r w:rsidRPr="008E05BC">
        <w:rPr>
          <w:noProof/>
          <w:sz w:val="24"/>
        </w:rPr>
        <w:t xml:space="preserve">. </w:t>
      </w:r>
    </w:p>
    <w:p w14:paraId="6122237D" w14:textId="3A2A43DC" w:rsidR="0094064D" w:rsidRPr="008E05BC" w:rsidRDefault="004F7AD2" w:rsidP="007D3690">
      <w:pPr>
        <w:pStyle w:val="BodyText1"/>
        <w:spacing w:line="276" w:lineRule="auto"/>
        <w:rPr>
          <w:rFonts w:eastAsiaTheme="minorHAnsi"/>
          <w:noProof/>
        </w:rPr>
      </w:pPr>
      <w:r w:rsidRPr="008E05BC">
        <w:rPr>
          <w:rFonts w:ascii="Times New Roman" w:hAnsi="Times New Roman"/>
          <w:noProof/>
          <w:sz w:val="24"/>
        </w:rPr>
        <w:t xml:space="preserve">De remarcat că țările din afara UE care au fost intervievate au apreciat, la rândul lor, acțiunile comune, pentru oportunitățile de colaborare în rețea pe care le-au oferit acestea, dar au considerat că acțiunile comune nu se adresează într-o măsură suficientă nevoilor lor, deoarece acordă prioritate țărilor din UE și sunt centrate pe SIE-uri, la care țările candidate nu au acces. </w:t>
      </w:r>
    </w:p>
    <w:p w14:paraId="4723BB4E" w14:textId="497E2AC2" w:rsidR="00B253AE" w:rsidRPr="008E05BC" w:rsidRDefault="00B253AE" w:rsidP="007D3690">
      <w:pPr>
        <w:pStyle w:val="Heading1"/>
        <w:numPr>
          <w:ilvl w:val="0"/>
          <w:numId w:val="1"/>
        </w:numPr>
        <w:spacing w:line="276" w:lineRule="auto"/>
        <w:rPr>
          <w:noProof/>
        </w:rPr>
      </w:pPr>
      <w:r w:rsidRPr="008E05BC">
        <w:rPr>
          <w:noProof/>
        </w:rPr>
        <w:t>Eficiența: măsura în care programul și-a atins scopul în raport cu resursele utilizate</w:t>
      </w:r>
    </w:p>
    <w:p w14:paraId="7A601D95" w14:textId="027A1A87" w:rsidR="009E7845" w:rsidRPr="008E05BC" w:rsidRDefault="009E7845" w:rsidP="007D3690">
      <w:pPr>
        <w:pStyle w:val="bullet1"/>
        <w:spacing w:line="276" w:lineRule="auto"/>
        <w:rPr>
          <w:rFonts w:ascii="Times New Roman" w:hAnsi="Times New Roman"/>
          <w:noProof/>
          <w:sz w:val="24"/>
        </w:rPr>
      </w:pPr>
      <w:r w:rsidRPr="008E05BC">
        <w:rPr>
          <w:rFonts w:ascii="Times New Roman" w:hAnsi="Times New Roman"/>
          <w:noProof/>
          <w:sz w:val="24"/>
        </w:rPr>
        <w:t xml:space="preserve">În partea de evaluare a eficienței din studiul extern s-a analizat măsura în care resursele programului au permis obținerea rezultatelor scontate în cel mai puțin costisitor mod. S-au încercat o estimare și, în măsura posibilului, o monetizare a costurilor și beneficiilor. Costurile se cunosc, însă beneficiile sunt mai greu de cuantificat. Definiția beneficiilor a fost stabilită tot în cadrul interviurilor desfășurate cu părțile interesate din cadrul programului. </w:t>
      </w:r>
    </w:p>
    <w:p w14:paraId="4A17A0B9" w14:textId="574C0431" w:rsidR="00472A1D" w:rsidRPr="008E05BC" w:rsidRDefault="00961F26" w:rsidP="007D3690">
      <w:pPr>
        <w:pStyle w:val="bullet1"/>
        <w:spacing w:line="276" w:lineRule="auto"/>
        <w:rPr>
          <w:rFonts w:ascii="Times New Roman" w:hAnsi="Times New Roman"/>
          <w:noProof/>
          <w:sz w:val="24"/>
        </w:rPr>
      </w:pPr>
      <w:r w:rsidRPr="008E05BC">
        <w:rPr>
          <w:rFonts w:ascii="Times New Roman" w:hAnsi="Times New Roman"/>
          <w:noProof/>
          <w:sz w:val="24"/>
        </w:rPr>
        <w:t xml:space="preserve">Programul Fiscalis 2020 a angajat un buget de 222 de milioane EUR pentru perioada 2014-2020. </w:t>
      </w:r>
      <w:r w:rsidRPr="008E05BC">
        <w:rPr>
          <w:rFonts w:ascii="Times New Roman" w:hAnsi="Times New Roman"/>
          <w:b/>
          <w:noProof/>
          <w:sz w:val="24"/>
        </w:rPr>
        <w:t>Aproximativ 75 % din</w:t>
      </w:r>
      <w:r w:rsidRPr="008E05BC">
        <w:rPr>
          <w:rFonts w:ascii="Times New Roman" w:hAnsi="Times New Roman"/>
          <w:noProof/>
          <w:sz w:val="24"/>
        </w:rPr>
        <w:t xml:space="preserve"> </w:t>
      </w:r>
      <w:r w:rsidRPr="008E05BC">
        <w:rPr>
          <w:rFonts w:ascii="Times New Roman" w:hAnsi="Times New Roman"/>
          <w:b/>
          <w:noProof/>
          <w:sz w:val="24"/>
        </w:rPr>
        <w:t>buget a fost cheltuit pentru dezvoltarea, întreținerea și funcționarea SIE-urilor în scopuri fiscale (168 de milioane EUR).</w:t>
      </w:r>
      <w:r w:rsidRPr="008E05BC">
        <w:rPr>
          <w:rFonts w:ascii="Times New Roman" w:hAnsi="Times New Roman"/>
          <w:noProof/>
          <w:sz w:val="24"/>
        </w:rPr>
        <w:t xml:space="preserve"> Au existat de asemenea costuri, suportate de statele membre, pentru achiziționarea, dezvoltarea, instalarea, întreținerea și funcționarea curentă a componentelor naționale ale SIE-urilor. Alte părți interesate (de exemplu, întreprinderi, instituții financiare) pot suporta indirect costuri pentru aceste sisteme. Aceste infrastructuri și sisteme informatice comune necesită în mod clar resurse importante. Ele sunt însă indispensabile pentru activitatea de zi cu zi a administrațiilor fiscale și aduc o serie de beneficii în toate domeniile de activitate a acestor administrații. Din studiile de caz efectuate în cadrul prezentei evaluări au reieșit exemple concrete de beneficii care depășesc costurile pentru anumite sisteme. Prin SIE-uri s-au standardizat și simplificat procedurile și s-a redus sarcina administrativă pentru autorități și întreprinderi, s-au redus costurile de conformare fiscală pentru întreprinderi și s-a contribuit la detectarea potențialelor tranzacții frauduloase. Prin dezvoltarea și exploatarea componentelor comune pentru SIE-uri, programul desfășurat la nivelul UE a condus la obținerea unor economii de scară importante, a asigurat interoperabilitatea și a prevenit situațiile în care statele membre depun aceleași eforturi de mai multe ori. Drept rezultat, SIE-urile au făcut posibilă desfășurarea unui schimb securizat de informații, au sprijinit cooperarea administrativă și capacitatea administrativă și au facilitat o punere în aplicare mai eficace și o aplicare mai coerentă a dreptului Uniunii în domeniul fiscal, precum și lupta împotriva fraudei fiscale, a evaziunii fiscale și a planificării fiscale agresive. Conform evaluării, tabloul general al eficienței este unul pozitiv. </w:t>
      </w:r>
    </w:p>
    <w:p w14:paraId="0F504536" w14:textId="464F486F" w:rsidR="00845650" w:rsidRPr="008E05BC" w:rsidRDefault="00980B4F" w:rsidP="00A504AE">
      <w:pPr>
        <w:spacing w:before="120" w:after="120" w:line="276" w:lineRule="auto"/>
        <w:jc w:val="both"/>
        <w:rPr>
          <w:rFonts w:ascii="Times New Roman" w:hAnsi="Times New Roman" w:cs="Times New Roman"/>
          <w:noProof/>
          <w:sz w:val="24"/>
        </w:rPr>
      </w:pPr>
      <w:r w:rsidRPr="008E05BC">
        <w:rPr>
          <w:rFonts w:ascii="Times New Roman" w:hAnsi="Times New Roman"/>
          <w:b/>
          <w:noProof/>
          <w:sz w:val="24"/>
        </w:rPr>
        <w:t>Programul Fiscalis 2020 a oferit sprijin financiar pentru o gamă largă de acțiuni comune, care au reprezentat aproximativ 33 de milioane EUR (15 % din finanțarea totală asigurată prin program). În evaluare s-a ținut seama de rezultatelor sondajelor, considerându-se că acțiunile comune au avut, în ansamblu, o contribuție importantă la obiectivele programului</w:t>
      </w:r>
      <w:r w:rsidRPr="008E05BC">
        <w:rPr>
          <w:rFonts w:ascii="Times New Roman" w:hAnsi="Times New Roman"/>
          <w:noProof/>
          <w:sz w:val="24"/>
        </w:rPr>
        <w:t>. Acțiunile comune au constat în seminare, ateliere, grupuri de proiect, controale bilaterale sau multilaterale, alte activități de cooperare administrativă, vizite de lucru, prezență în oficiile administrative și în cursul investigațiilor administrative, activități de consolidare a capacităților și echipe de experți. După cum s-a menționat, numărul total de participanți a fost de peste 30 000. Cu excepția echipelor de experți, a fost posibil, pentru a se asigura implicarea deplină a țărilor participante, să se ramburseze 100 % din costurile eligibile de deplasare și de cazare și din costurile legate de organizarea de evenimente și diurne, în cazurile în care acest lucru a fost necesar pentru realizarea deplină a obiectivelor programului Fiscalis 2020</w:t>
      </w:r>
      <w:r w:rsidRPr="008E05BC">
        <w:rPr>
          <w:rStyle w:val="FootnoteReference"/>
          <w:rFonts w:ascii="Times New Roman" w:hAnsi="Times New Roman" w:cs="Times New Roman"/>
          <w:noProof/>
          <w:sz w:val="24"/>
        </w:rPr>
        <w:footnoteReference w:id="8"/>
      </w:r>
      <w:r w:rsidRPr="008E05BC">
        <w:rPr>
          <w:noProof/>
        </w:rPr>
        <w:t>.</w:t>
      </w:r>
      <w:r w:rsidRPr="008E05BC">
        <w:rPr>
          <w:rFonts w:ascii="Times New Roman" w:hAnsi="Times New Roman"/>
          <w:noProof/>
          <w:sz w:val="24"/>
        </w:rPr>
        <w:t xml:space="preserve"> Costul mediu pe participant pentru fiecare tip de acțiune comună (cu excepția echipelor de experți) a rămas relativ stabil pe toată perioada, prezentând o ușoară scădere generală în ultimii ani, ceea ce ar putea indica o eficiență sporită. Rezultatele sondajelor periodice din cadrul programului Fiscalis au fost preponderent pozitive, ceea ce pare să însemne că acțiunile au mari beneficii pentru cei implicați. Majoritatea autorităților fiscale au fost de acord că beneficiile depășesc costurile. După analizarea costurilor în raport cu rezultatele obținute, s-a considerat că investițiile în acțiuni comune au fost utile și eficiente din punctul de vedere al costurilor. Participarea la echipe de experți nu a fost integral rambursabilă în cadrul Fiscalis 2020 (cheltuielile de deplasare și de ședere au fost rambursate integral, însă au fost acoperite doar 50 % din costurile de personal). Aceste echipe de experți au fost totuși esențiale pentru dezvoltarea unora dintre sistemele informatice ale Fiscalis, care nu ar putea exista fără acestea. Echipele de experți oferă statelor membre ocazia să își pună în comun resursele și experiența de specialitate, în loc să acționeze separat. Prin urmare, aceste echipe au fost destul de eficiente din punctul de vedere al costurilor. În general, acțiunile comune au consolidat cooperarea și capacitatea administrativă și au îmbunătățit relațiile de lucru în rândul participanților. Ele au ajutat la schimbul de experiențe și la identificarea de bune practici pentru procedurile administrative, sprijinind, de asemenea, punerea în aplicare eficace a legislației fiscale a UE și respectarea în mai mare măsură a acestei legislații.</w:t>
      </w:r>
    </w:p>
    <w:p w14:paraId="1ADC2340" w14:textId="1335CC45" w:rsidR="00F656E5" w:rsidRPr="008E05BC" w:rsidRDefault="007E3BC0" w:rsidP="00A504AE">
      <w:pPr>
        <w:spacing w:before="120" w:after="120" w:line="276" w:lineRule="auto"/>
        <w:jc w:val="both"/>
        <w:rPr>
          <w:rFonts w:ascii="Times New Roman" w:hAnsi="Times New Roman" w:cs="Times New Roman"/>
          <w:noProof/>
          <w:sz w:val="24"/>
        </w:rPr>
      </w:pPr>
      <w:r w:rsidRPr="008E05BC">
        <w:rPr>
          <w:rFonts w:ascii="Times New Roman" w:hAnsi="Times New Roman"/>
          <w:b/>
          <w:noProof/>
          <w:sz w:val="24"/>
        </w:rPr>
        <w:t>Pentru formarea comună în domeniul fiscal s-au angajat aproximativ 6,9 milioane EUR</w:t>
      </w:r>
      <w:r w:rsidRPr="008E05BC">
        <w:rPr>
          <w:rFonts w:ascii="Times New Roman" w:hAnsi="Times New Roman"/>
          <w:noProof/>
          <w:sz w:val="24"/>
        </w:rPr>
        <w:t>. Cea mai mare parte a bugetului pentru formare din cadrul Fiscalis 2020 (4,7 milioane EUR) a fost alocată modulelor de e-learning. Aceste module au asigurat formarea a 130 470 de persoane din cadrul autorităților fiscale și a încă 941 938 de persoane din cadrul întreprinderilor și al publicului. Modulele de formare costă astfel 4,9 EUR pe persoană formată, ceea ce este foarte puțin. Autoritățile fiscale au indicat că e-learningul este util și eficace în ceea ce privește creșterea capacității lor și că este de ajutor și altor părți interesate. Autoritățile fiscale au considerat că alte activități de formare ale programului Fiscalis care au loc în cadrul unor grupuri de proiect sau al unor activități de consolidare a capacităților (în special activități de formare în domeniul informatic) le-au mărit capacitatea administrativă și au facilitat coordonarea și cooperarea autorităților fiscale.</w:t>
      </w:r>
    </w:p>
    <w:p w14:paraId="21099021" w14:textId="7B57F639" w:rsidR="00A33698" w:rsidRPr="008E05BC" w:rsidRDefault="00A33698" w:rsidP="00A504AE">
      <w:pPr>
        <w:spacing w:before="120" w:after="120" w:line="276" w:lineRule="auto"/>
        <w:jc w:val="both"/>
        <w:rPr>
          <w:rFonts w:ascii="Times New Roman" w:hAnsi="Times New Roman"/>
          <w:b/>
          <w:noProof/>
          <w:sz w:val="24"/>
        </w:rPr>
      </w:pPr>
      <w:r w:rsidRPr="008E05BC">
        <w:rPr>
          <w:rFonts w:ascii="Times New Roman" w:hAnsi="Times New Roman"/>
          <w:noProof/>
          <w:sz w:val="24"/>
        </w:rPr>
        <w:t>În urma evaluării la jumătatea perioadei, s-au depus eforturi pentru reducerea costurilor formalităților administrative legate de participare la acțiuni comune, inițierea de acțiuni comune și furnizarea de feedback cu privire la acțiunile comune, pentru optimizarea procedurilor și resurselor pentru acțiunile comune și pentru menținerea volumului de muncă la un nivel ușor de gestionat, ceea ce pare să fie cazul în a doua jumătate a programului Fiscalis 2020, deoarece nicio țară participantă nu a considerat că sarcina ar fi prea mare în comparație cu beneficiile. De remarcat că vreo două autorități din afara UE au sugerat că pentru ele costurile sunt relativ ridicate, având în vedere măsura în care pot participa. Potrivit autorităților respective, ar fi mai rentabil dacă ele ar putea avea acces la mai multe aspecte ale acestor acțiuni.</w:t>
      </w:r>
    </w:p>
    <w:p w14:paraId="607BE787" w14:textId="1257A5C0" w:rsidR="00B253AE" w:rsidRPr="008E05BC" w:rsidRDefault="00B253AE" w:rsidP="007D3690">
      <w:pPr>
        <w:pStyle w:val="Heading1"/>
        <w:numPr>
          <w:ilvl w:val="0"/>
          <w:numId w:val="1"/>
        </w:numPr>
        <w:spacing w:line="276" w:lineRule="auto"/>
        <w:rPr>
          <w:noProof/>
        </w:rPr>
      </w:pPr>
      <w:r w:rsidRPr="008E05BC">
        <w:rPr>
          <w:noProof/>
        </w:rPr>
        <w:t>Coerența: coerența programului cu politicile și prioritățile mai ample ale UE</w:t>
      </w:r>
    </w:p>
    <w:p w14:paraId="70A9D547" w14:textId="65FD76E4" w:rsidR="00065591" w:rsidRPr="008E05BC" w:rsidRDefault="00005E65" w:rsidP="007D3690">
      <w:pPr>
        <w:pStyle w:val="bullet1"/>
        <w:spacing w:line="276" w:lineRule="auto"/>
        <w:rPr>
          <w:rFonts w:ascii="Times New Roman" w:hAnsi="Times New Roman"/>
          <w:b/>
          <w:noProof/>
          <w:sz w:val="24"/>
        </w:rPr>
      </w:pPr>
      <w:r w:rsidRPr="008E05BC">
        <w:rPr>
          <w:rFonts w:ascii="Times New Roman" w:hAnsi="Times New Roman"/>
          <w:noProof/>
          <w:sz w:val="24"/>
        </w:rPr>
        <w:t xml:space="preserve">În cadrul evaluării s-a analizat măsura în care programul Fiscalis 2020 a fost coerent cu politicile mai ample ale UE și cu alte programe de finanțare ale UE. Evaluarea finală a confirmat concluziile evaluării programului Fiscalis 2020 care a fost efectuată la jumătatea perioadei, și anume că </w:t>
      </w:r>
      <w:r w:rsidRPr="008E05BC">
        <w:rPr>
          <w:rFonts w:ascii="Times New Roman" w:hAnsi="Times New Roman"/>
          <w:b/>
          <w:noProof/>
          <w:sz w:val="24"/>
        </w:rPr>
        <w:t>acțiunile programului</w:t>
      </w:r>
      <w:r w:rsidRPr="008E05BC">
        <w:rPr>
          <w:rFonts w:ascii="Times New Roman" w:hAnsi="Times New Roman"/>
          <w:noProof/>
          <w:sz w:val="24"/>
        </w:rPr>
        <w:t xml:space="preserve"> </w:t>
      </w:r>
      <w:r w:rsidRPr="008E05BC">
        <w:rPr>
          <w:rFonts w:ascii="Times New Roman" w:hAnsi="Times New Roman"/>
          <w:b/>
          <w:noProof/>
          <w:sz w:val="24"/>
        </w:rPr>
        <w:t xml:space="preserve">au fost aliniate la prioritățile strategice generale ale Comisiei și coerente cu acestea. </w:t>
      </w:r>
      <w:r w:rsidRPr="008E05BC">
        <w:rPr>
          <w:rFonts w:ascii="Times New Roman" w:hAnsi="Times New Roman"/>
          <w:noProof/>
          <w:sz w:val="24"/>
        </w:rPr>
        <w:t xml:space="preserve">Reiese, de asemenea, că ar exista </w:t>
      </w:r>
      <w:r w:rsidRPr="008E05BC">
        <w:rPr>
          <w:rFonts w:ascii="Times New Roman" w:hAnsi="Times New Roman"/>
          <w:b/>
          <w:noProof/>
          <w:sz w:val="24"/>
        </w:rPr>
        <w:t xml:space="preserve">coerență între Fiscalis 2020 și alte instrumente similare. </w:t>
      </w:r>
    </w:p>
    <w:p w14:paraId="079355DB" w14:textId="1F64B190" w:rsidR="00DE5234" w:rsidRPr="008E05BC" w:rsidRDefault="00DE5234" w:rsidP="007D3690">
      <w:pPr>
        <w:pStyle w:val="bullet1"/>
        <w:spacing w:line="276" w:lineRule="auto"/>
        <w:rPr>
          <w:rFonts w:ascii="Times New Roman" w:hAnsi="Times New Roman"/>
          <w:noProof/>
          <w:sz w:val="24"/>
        </w:rPr>
      </w:pPr>
      <w:r w:rsidRPr="008E05BC">
        <w:rPr>
          <w:rFonts w:ascii="Times New Roman" w:hAnsi="Times New Roman"/>
          <w:noProof/>
          <w:sz w:val="24"/>
        </w:rPr>
        <w:t xml:space="preserve">Obiectivele programului Fiscalis 2020 sunt în mod clar aliniate la prioritatea Comisiei </w:t>
      </w:r>
      <w:r w:rsidRPr="008E05BC">
        <w:rPr>
          <w:rFonts w:ascii="Times New Roman" w:hAnsi="Times New Roman"/>
          <w:b/>
          <w:noProof/>
          <w:sz w:val="24"/>
        </w:rPr>
        <w:t>„O economie în serviciul cetățenilor”</w:t>
      </w:r>
      <w:r w:rsidRPr="008E05BC">
        <w:rPr>
          <w:rFonts w:ascii="Times New Roman" w:hAnsi="Times New Roman"/>
          <w:noProof/>
          <w:sz w:val="24"/>
        </w:rPr>
        <w:t xml:space="preserve">, care vizează „[…] combaterea abuzurilor fiscale, asigurarea unor venituri sustenabile și sprijinirea unui mediu de afaceri mai bun pe piața unică.” În plus, acțiunile finanțate prin Fiscalis 2020 sunt coerente cu prioritatea Comisiei </w:t>
      </w:r>
      <w:r w:rsidRPr="008E05BC">
        <w:rPr>
          <w:rFonts w:ascii="Times New Roman" w:hAnsi="Times New Roman"/>
          <w:b/>
          <w:noProof/>
          <w:sz w:val="24"/>
        </w:rPr>
        <w:t>„O Europă pregătită pentru era digitală”</w:t>
      </w:r>
      <w:r w:rsidRPr="008E05BC">
        <w:rPr>
          <w:rFonts w:ascii="Times New Roman" w:hAnsi="Times New Roman"/>
          <w:noProof/>
          <w:sz w:val="24"/>
        </w:rPr>
        <w:t xml:space="preserve">, în cadrul căreia Comisia urmărește modernizarea administrațiilor publice. Fiscalis a finanțat dezvoltarea, îmbunătățirea și implementarea unei infrastructuri informatice și a unor sisteme informatice care să poată consolida capacitatea administrativă a autorităților fiscale din țările participante. De curând, în 2020, Comisia a publicat </w:t>
      </w:r>
      <w:r w:rsidRPr="008E05BC">
        <w:rPr>
          <w:rFonts w:ascii="Times New Roman" w:hAnsi="Times New Roman"/>
          <w:b/>
          <w:noProof/>
          <w:sz w:val="24"/>
        </w:rPr>
        <w:t>pachetul pentru o fiscalitate echitabilă și simplificată</w:t>
      </w:r>
      <w:r w:rsidRPr="008E05BC">
        <w:rPr>
          <w:rFonts w:ascii="Times New Roman" w:hAnsi="Times New Roman"/>
          <w:noProof/>
          <w:sz w:val="24"/>
        </w:rPr>
        <w:t>, care conține 25 de inițiative fiscale pentru sprijinirea redresării economice și a tranziției către o economie verde și digitală</w:t>
      </w:r>
      <w:r w:rsidRPr="008E05BC">
        <w:rPr>
          <w:rFonts w:ascii="Times New Roman" w:hAnsi="Times New Roman"/>
          <w:noProof/>
          <w:sz w:val="18"/>
          <w:vertAlign w:val="superscript"/>
        </w:rPr>
        <w:footnoteReference w:id="9"/>
      </w:r>
      <w:r w:rsidRPr="008E05BC">
        <w:rPr>
          <w:rFonts w:ascii="Times New Roman" w:hAnsi="Times New Roman"/>
          <w:noProof/>
          <w:sz w:val="24"/>
        </w:rPr>
        <w:t xml:space="preserve">. Astfel de inițiative vor putea fi sprijinite prin succesorul programului Fiscalis. </w:t>
      </w:r>
    </w:p>
    <w:p w14:paraId="5A37F9DD" w14:textId="09D89DA9" w:rsidR="00B3048C" w:rsidRPr="008E05BC" w:rsidRDefault="00065591" w:rsidP="007D3690">
      <w:pPr>
        <w:pStyle w:val="bullet1"/>
        <w:spacing w:line="276" w:lineRule="auto"/>
        <w:rPr>
          <w:rFonts w:ascii="Times New Roman" w:hAnsi="Times New Roman"/>
          <w:noProof/>
          <w:sz w:val="24"/>
        </w:rPr>
      </w:pPr>
      <w:r w:rsidRPr="008E05BC">
        <w:rPr>
          <w:rFonts w:ascii="Times New Roman" w:hAnsi="Times New Roman"/>
          <w:noProof/>
          <w:sz w:val="24"/>
        </w:rPr>
        <w:t xml:space="preserve">În urma evaluării a reieșit că </w:t>
      </w:r>
      <w:r w:rsidRPr="008E05BC">
        <w:rPr>
          <w:rFonts w:ascii="Times New Roman" w:hAnsi="Times New Roman"/>
          <w:b/>
          <w:noProof/>
          <w:sz w:val="24"/>
        </w:rPr>
        <w:t>programul a și sprijinit alte programe ale UE, a și beneficiat de acestea</w:t>
      </w:r>
      <w:r w:rsidRPr="008E05BC">
        <w:rPr>
          <w:rFonts w:ascii="Times New Roman" w:hAnsi="Times New Roman"/>
          <w:noProof/>
          <w:sz w:val="24"/>
        </w:rPr>
        <w:t xml:space="preserve">. Există complementarități și sinergii între programul Fiscalis 2020 și </w:t>
      </w:r>
      <w:r w:rsidRPr="008E05BC">
        <w:rPr>
          <w:rFonts w:ascii="Times New Roman" w:hAnsi="Times New Roman"/>
          <w:b/>
          <w:noProof/>
          <w:sz w:val="24"/>
        </w:rPr>
        <w:t>programul Vamă 2020</w:t>
      </w:r>
      <w:r w:rsidRPr="008E05BC">
        <w:rPr>
          <w:rFonts w:ascii="Times New Roman" w:hAnsi="Times New Roman"/>
          <w:noProof/>
          <w:sz w:val="24"/>
        </w:rPr>
        <w:t xml:space="preserve">. Eficiența este sporită de faptul că ambele programe sunt gestionate de către Comisie. Există mai multe caracteristici operaționale care sunt cofinanțate de cele două programe și care pot fi folosite atât de administrațiile vamale, cât și de administrațiile fiscale. Este cazul unor sisteme esențiale ale infrastructurii informatice, cum ar fi CCN sau materialele comune de formare. Se poate analiza posibilitatea unor economii de scară și a compatibilității sistemelor, permițându-se în același timp administrațiilor vamale și celor fiscale să facă schimb de informații și să își comunice reciproc cunoștințe într-un mod îmbunătățit. Fiscalis 2020 a fost complementar și cu </w:t>
      </w:r>
      <w:r w:rsidRPr="008E05BC">
        <w:rPr>
          <w:rFonts w:ascii="Times New Roman" w:hAnsi="Times New Roman"/>
          <w:b/>
          <w:noProof/>
          <w:sz w:val="24"/>
        </w:rPr>
        <w:t>Programul de sprijin pentru reforme structurale (PSRS) pentru perioada 2017-2020</w:t>
      </w:r>
      <w:r w:rsidRPr="008E05BC">
        <w:rPr>
          <w:rFonts w:ascii="Times New Roman" w:hAnsi="Times New Roman"/>
          <w:noProof/>
          <w:sz w:val="24"/>
        </w:rPr>
        <w:t xml:space="preserve">, fiind identificate sinergii între cele două. De exemplu, provocările identificate prin acțiuni comune ar putea beneficia ulterior de un sprijin tehnic adaptat în cadrul PSRS. Programul Fiscalis 2020 este complementar în mai multe aspecte și cu </w:t>
      </w:r>
      <w:r w:rsidRPr="008E05BC">
        <w:rPr>
          <w:rFonts w:ascii="Times New Roman" w:hAnsi="Times New Roman"/>
          <w:b/>
          <w:noProof/>
          <w:sz w:val="24"/>
        </w:rPr>
        <w:t>programul Hercule III</w:t>
      </w:r>
      <w:r w:rsidRPr="008E05BC">
        <w:rPr>
          <w:rFonts w:ascii="Times New Roman" w:hAnsi="Times New Roman"/>
          <w:noProof/>
          <w:sz w:val="24"/>
        </w:rPr>
        <w:t xml:space="preserve"> gestionat de Oficiul European de Luptă Antifraudă (OLAF), fără ca între cele două programe să existe suprapuneri. În ciuda complementarității lor, se pare că între cele două programe cooperarea activă sau sinergiile căutate activ sunt limitate.</w:t>
      </w:r>
      <w:r w:rsidRPr="008E05BC">
        <w:rPr>
          <w:noProof/>
        </w:rPr>
        <w:t xml:space="preserve"> </w:t>
      </w:r>
    </w:p>
    <w:p w14:paraId="07529FC7" w14:textId="5DB09459" w:rsidR="00005E65" w:rsidRPr="008E05BC" w:rsidRDefault="007C0305" w:rsidP="007D3690">
      <w:pPr>
        <w:pStyle w:val="bullet1"/>
        <w:spacing w:line="276" w:lineRule="auto"/>
        <w:rPr>
          <w:rFonts w:ascii="Times New Roman" w:hAnsi="Times New Roman"/>
          <w:noProof/>
          <w:sz w:val="24"/>
        </w:rPr>
      </w:pPr>
      <w:r w:rsidRPr="008E05BC">
        <w:rPr>
          <w:rFonts w:ascii="Times New Roman" w:hAnsi="Times New Roman"/>
          <w:noProof/>
          <w:sz w:val="24"/>
        </w:rPr>
        <w:t xml:space="preserve">De asemenea, programul Fiscalis </w:t>
      </w:r>
      <w:r w:rsidRPr="008E05BC">
        <w:rPr>
          <w:rFonts w:ascii="Times New Roman" w:hAnsi="Times New Roman"/>
          <w:b/>
          <w:noProof/>
          <w:sz w:val="24"/>
        </w:rPr>
        <w:t>joacă un rol în programele pentru țările candidate și candidații potențiali, cum ar fi TAIEX, și este coerent cu acestea</w:t>
      </w:r>
      <w:r w:rsidRPr="008E05BC">
        <w:rPr>
          <w:rFonts w:ascii="Times New Roman" w:hAnsi="Times New Roman"/>
          <w:noProof/>
          <w:sz w:val="24"/>
        </w:rPr>
        <w:t>. Șapte state care nu sunt membre ale UE au participat la acțiuni comune și activități de formare comune în cadrul programului Fiscalis 2020 și, ca atare, au făcut schimb de cunoștințe și de bune practici cu țări ale UE. Din această participare au rezultat, în statele care nu sunt membre ale UE, reforme care sprijină procesul de aderare și contribuie la consolidarea încrederii și a bunăvoinței între țări. Persoanele intervievate din țările candidate au subliniat beneficiile accesului la ambele instrumente: Fiscalis a fost considerat mai flexibil, oferind rezultate pe termen scurt, iar TAIEX a permis statelor care nu sunt membre ale UE să continue procesele de reformă pe termen mai lung.</w:t>
      </w:r>
    </w:p>
    <w:p w14:paraId="1C7BD360" w14:textId="293D0A7B" w:rsidR="00703581" w:rsidRPr="008E05BC" w:rsidRDefault="00065591" w:rsidP="007D3690">
      <w:pPr>
        <w:pStyle w:val="bullet1"/>
        <w:spacing w:line="276" w:lineRule="auto"/>
        <w:rPr>
          <w:rFonts w:ascii="Times New Roman" w:hAnsi="Times New Roman"/>
          <w:noProof/>
          <w:sz w:val="24"/>
        </w:rPr>
      </w:pPr>
      <w:r w:rsidRPr="008E05BC">
        <w:rPr>
          <w:rFonts w:ascii="Times New Roman" w:hAnsi="Times New Roman"/>
          <w:noProof/>
          <w:sz w:val="24"/>
        </w:rPr>
        <w:t>Pentru asigurarea acestei coerențe între diferitele programe ale UE s-au utilizat mai multe mecanisme, inclusiv reuniuni interservicii, consultări interservicii, participarea observatorilor din diverse servicii ale Comisiei la reuniunile sau activitățile grupurilor de proiect, utilizarea unor programe de lucru comune sau evaluarea propunerilor de proiecte de către funcționari din diferite servicii ale Comisiei. În ciuda rezultatelor pozitive observate, în urma evaluării a reieșit că se mai poate mări gradul de complementaritate și sinergie în anumite domenii, precum în cazul succesorului programului Hercule III.</w:t>
      </w:r>
    </w:p>
    <w:p w14:paraId="0E352CED" w14:textId="7F82CFCE" w:rsidR="00B253AE" w:rsidRPr="008E05BC" w:rsidRDefault="00B253AE" w:rsidP="004055C4">
      <w:pPr>
        <w:pStyle w:val="Heading1"/>
        <w:numPr>
          <w:ilvl w:val="0"/>
          <w:numId w:val="1"/>
        </w:numPr>
        <w:spacing w:line="276" w:lineRule="auto"/>
        <w:ind w:left="482" w:hanging="482"/>
        <w:rPr>
          <w:noProof/>
        </w:rPr>
      </w:pPr>
      <w:r w:rsidRPr="008E05BC">
        <w:rPr>
          <w:noProof/>
        </w:rPr>
        <w:t xml:space="preserve">Valoarea adăugată europeană a programului  </w:t>
      </w:r>
    </w:p>
    <w:p w14:paraId="29094841" w14:textId="27822B60" w:rsidR="00B253AE" w:rsidRPr="008E05BC" w:rsidRDefault="00121F9A" w:rsidP="007D3690">
      <w:pPr>
        <w:spacing w:line="276" w:lineRule="auto"/>
        <w:jc w:val="both"/>
        <w:rPr>
          <w:rFonts w:ascii="Times New Roman" w:hAnsi="Times New Roman" w:cs="Times New Roman"/>
          <w:noProof/>
          <w:sz w:val="24"/>
        </w:rPr>
      </w:pPr>
      <w:r w:rsidRPr="008E05BC">
        <w:rPr>
          <w:rFonts w:ascii="Times New Roman" w:hAnsi="Times New Roman"/>
          <w:noProof/>
          <w:sz w:val="24"/>
        </w:rPr>
        <w:t>Responsabilitatea pentru punerea în aplicare a dreptului Uniunii în domeniul fiscal le revine statelor membre. Măsurile de sprijin, precum cele prevăzute de programul Fiscalis 2020, pot contribui la asigurarea unei aplicări mai coerente și mai consecvente a dreptului Uniunii la nivel național.</w:t>
      </w:r>
    </w:p>
    <w:p w14:paraId="48158D6F" w14:textId="4DCD850F" w:rsidR="00B253AE" w:rsidRPr="008E05BC" w:rsidRDefault="00B253AE" w:rsidP="007D3690">
      <w:pPr>
        <w:spacing w:line="276" w:lineRule="auto"/>
        <w:jc w:val="both"/>
        <w:rPr>
          <w:rFonts w:ascii="Times New Roman" w:hAnsi="Times New Roman" w:cs="Times New Roman"/>
          <w:noProof/>
          <w:sz w:val="24"/>
        </w:rPr>
      </w:pPr>
      <w:r w:rsidRPr="008E05BC">
        <w:rPr>
          <w:rFonts w:ascii="Times New Roman" w:hAnsi="Times New Roman"/>
          <w:noProof/>
          <w:sz w:val="24"/>
        </w:rPr>
        <w:t xml:space="preserve">Programul Fiscalis 2020 </w:t>
      </w:r>
      <w:r w:rsidRPr="008E05BC">
        <w:rPr>
          <w:rFonts w:ascii="Times New Roman" w:hAnsi="Times New Roman"/>
          <w:b/>
          <w:noProof/>
          <w:sz w:val="24"/>
        </w:rPr>
        <w:t>a asigurat sustenabilitatea financiară a SIE-urilor, care sunt esențiale pentru asigurarea disponibilității informațiilor și a schimbului de informații</w:t>
      </w:r>
      <w:r w:rsidRPr="008E05BC">
        <w:rPr>
          <w:rFonts w:ascii="Times New Roman" w:hAnsi="Times New Roman"/>
          <w:noProof/>
          <w:sz w:val="24"/>
        </w:rPr>
        <w:t xml:space="preserve">. Conformarea a devenit mai ușoară și mai eficace datorită infrastructurii și sistemelor informatice. În acest mod, programul a generat </w:t>
      </w:r>
      <w:r w:rsidRPr="008E05BC">
        <w:rPr>
          <w:rFonts w:ascii="Times New Roman" w:hAnsi="Times New Roman"/>
          <w:b/>
          <w:noProof/>
          <w:sz w:val="24"/>
        </w:rPr>
        <w:t>economii de scară</w:t>
      </w:r>
      <w:r w:rsidRPr="008E05BC">
        <w:rPr>
          <w:rFonts w:ascii="Times New Roman" w:hAnsi="Times New Roman"/>
          <w:noProof/>
          <w:sz w:val="24"/>
        </w:rPr>
        <w:t xml:space="preserve">, precum și </w:t>
      </w:r>
      <w:r w:rsidRPr="008E05BC">
        <w:rPr>
          <w:rFonts w:ascii="Times New Roman" w:hAnsi="Times New Roman"/>
          <w:b/>
          <w:noProof/>
          <w:sz w:val="24"/>
        </w:rPr>
        <w:t>o eficiență sporită și niveluri de securitate suplimentare</w:t>
      </w:r>
      <w:r w:rsidRPr="008E05BC">
        <w:rPr>
          <w:rFonts w:ascii="Times New Roman" w:hAnsi="Times New Roman"/>
          <w:noProof/>
          <w:sz w:val="24"/>
        </w:rPr>
        <w:t>, sprijinind administrațiile naționale (și operatorii economici) să economisească timp și resurse, în special în cazul țărilor participante cu administrații fiscale mai mici și cu resurse mai puține. Interoperabilitatea și interconectivitatea infrastructurii și sistemelor informatice centrale, precum și caracteristicile lor simbiotice constituie o valoare adăugată a UE. În plus, prin dezvoltarea de SIE-uri, administrațiile fiscale naționale au fost ajutate să își modernizeze și să își digitalizeze sistemele și instrumentele interne.</w:t>
      </w:r>
    </w:p>
    <w:p w14:paraId="7D75944E" w14:textId="712A1BDD" w:rsidR="00DF0FFC" w:rsidRPr="008E05BC" w:rsidRDefault="00BD0BC6" w:rsidP="007D3690">
      <w:pPr>
        <w:spacing w:line="276" w:lineRule="auto"/>
        <w:jc w:val="both"/>
        <w:rPr>
          <w:rFonts w:ascii="Times New Roman" w:hAnsi="Times New Roman" w:cs="Times New Roman"/>
          <w:noProof/>
          <w:sz w:val="24"/>
        </w:rPr>
      </w:pPr>
      <w:r w:rsidRPr="008E05BC">
        <w:rPr>
          <w:rFonts w:ascii="Times New Roman" w:hAnsi="Times New Roman"/>
          <w:noProof/>
          <w:sz w:val="24"/>
        </w:rPr>
        <w:t xml:space="preserve">Acțiunile comune au creat o valoare adăugată a UE considerabilă, oferind administrațiilor </w:t>
      </w:r>
      <w:r w:rsidRPr="008E05BC">
        <w:rPr>
          <w:rFonts w:ascii="Times New Roman" w:hAnsi="Times New Roman"/>
          <w:b/>
          <w:noProof/>
          <w:sz w:val="24"/>
        </w:rPr>
        <w:t>ocazii fără egal în materie de cooperare, comunicare și colaborare în rețea</w:t>
      </w:r>
      <w:r w:rsidRPr="008E05BC">
        <w:rPr>
          <w:rFonts w:ascii="Times New Roman" w:hAnsi="Times New Roman"/>
          <w:noProof/>
          <w:sz w:val="24"/>
        </w:rPr>
        <w:t>. Atelierele, seminarele și vizitele de lucru, printre altele, au constituit un prilej de punere în comun a experienței de specialitate și a cunoștințelor țărilor participante, au ajutat autoritățile naționale să înțeleagă mai bine dreptul Uniunii și au sprijinit dezvoltarea și implementarea de sisteme informatice. Ele au contribuit la consolidarea încrederii și a cooperării informale în urma evenimentelor și au condus la o mai mare convergență a abordărilor și practicilor. De exemplu, câteva reforme fiscale au fost concepute cu ajutorul și consilierea coordonatorilor din alte țări. Autoritățile fiscale, care au oferit în mod constant un feedback pozitiv cu privire la capacitatea acțiunilor comune de a sprijini îndeplinirea obiectivelor, au indicat că resursele (timp și bani) pe care le pot investi în planificarea, organizarea și desfășurarea unor astfel de acțiuni sunt limitate, ceea ce înseamnă că, fără Fiscalis, numărul de acțiuni ar fi mai mic.</w:t>
      </w:r>
    </w:p>
    <w:p w14:paraId="7DDFC08D" w14:textId="777BE611" w:rsidR="00B253AE" w:rsidRPr="008E05BC" w:rsidRDefault="4ADE4577" w:rsidP="007D3690">
      <w:pPr>
        <w:spacing w:line="276" w:lineRule="auto"/>
        <w:jc w:val="both"/>
        <w:rPr>
          <w:rFonts w:ascii="Times New Roman" w:hAnsi="Times New Roman" w:cs="Times New Roman"/>
          <w:noProof/>
          <w:sz w:val="24"/>
        </w:rPr>
      </w:pPr>
      <w:r w:rsidRPr="008E05BC">
        <w:rPr>
          <w:rFonts w:ascii="Times New Roman" w:hAnsi="Times New Roman"/>
          <w:noProof/>
          <w:sz w:val="24"/>
        </w:rPr>
        <w:t xml:space="preserve">Același lucru este valabil și pentru activitățile de formare, în special </w:t>
      </w:r>
      <w:r w:rsidRPr="008E05BC">
        <w:rPr>
          <w:rFonts w:ascii="Times New Roman" w:hAnsi="Times New Roman"/>
          <w:b/>
          <w:noProof/>
          <w:sz w:val="24"/>
        </w:rPr>
        <w:t>modulele de e-learning</w:t>
      </w:r>
      <w:r w:rsidRPr="008E05BC">
        <w:rPr>
          <w:rFonts w:ascii="Times New Roman" w:hAnsi="Times New Roman"/>
          <w:noProof/>
          <w:sz w:val="24"/>
        </w:rPr>
        <w:t>, care au îmbunătățit cunoștințele funcționarilor din administrația fiscală națională, ajutând administrațiile fiscale naționale să înțeleagă mai bine și să pună în aplicare în mod mai uniform legislația fiscală a UE și procedurile conexe. Ele contribuie, de asemenea, la capacitatea funcționarilor de a lucra cu sistemele informatice. Ele au îmbunătățit capacitatea, eficacitatea și eficiența administrațiilor. Modulele de e-learning finanțate prin programul Fiscalis au creat valoare adăugată nu doar pentru participanți, fiind utilizate și la nivel intern în scopul predării, de exemplu. Numărul mare de persoane formate</w:t>
      </w:r>
      <w:r w:rsidRPr="008E05BC">
        <w:rPr>
          <w:rStyle w:val="FootnoteReference"/>
          <w:rFonts w:ascii="Times New Roman" w:hAnsi="Times New Roman"/>
          <w:noProof/>
        </w:rPr>
        <w:footnoteReference w:id="10"/>
      </w:r>
      <w:r w:rsidRPr="008E05BC">
        <w:rPr>
          <w:rFonts w:ascii="Times New Roman" w:hAnsi="Times New Roman"/>
          <w:noProof/>
          <w:sz w:val="24"/>
        </w:rPr>
        <w:t xml:space="preserve"> este o dovadă a faptului că modulele au fost considerate utile. Este probabil ca aceste activități și module de formare să nu fi fost dezvoltate, sau cel puțin nu în aceeași măsură, de către toate autoritățile, dacă nu ar fi existat Fiscalis. Ele ar fi fost prea costisitoare și nu ar fi prezentat elementul de scară. Formarea a contribuit la instaurarea încrederii și la crearea unei viziuni comune.</w:t>
      </w:r>
    </w:p>
    <w:p w14:paraId="2056277D" w14:textId="45CD1402" w:rsidR="00BD0BC6" w:rsidRPr="008E05BC" w:rsidRDefault="00835691" w:rsidP="007D3690">
      <w:pPr>
        <w:spacing w:line="276" w:lineRule="auto"/>
        <w:jc w:val="both"/>
        <w:rPr>
          <w:rFonts w:ascii="Times New Roman" w:hAnsi="Times New Roman" w:cs="Times New Roman"/>
          <w:noProof/>
          <w:sz w:val="24"/>
        </w:rPr>
      </w:pPr>
      <w:r w:rsidRPr="008E05BC">
        <w:rPr>
          <w:rFonts w:ascii="Times New Roman" w:hAnsi="Times New Roman"/>
          <w:noProof/>
          <w:sz w:val="24"/>
        </w:rPr>
        <w:t xml:space="preserve">Pe baza dovezilor prezentate și a amplorii acțiunilor programului, se poate afirma că, fără Fiscalis, SIE-urile, acțiunile comune și activitățile de formare comune, care au avut un rol esențial în punerea în aplicare a dreptului Uniunii în domeniul fiscal și în lupta împotriva fraudei fiscale, a evaziunii fiscale și a planificării fiscale agresive, nu ar fi avut nici aceeași amploare, nici aceeași sferă de acoperire. Ar fi existat probabil cooperare, dar ea ar fi fost inegală, bazată pe relații nestructurate și pe canale și acorduri de reciprocitate care ar fi luat mai mult timp. Ar fi fost dificil să se obțină aceeași versatilitate a temelor și dimensiunea europeană sau participarea paneuropeană la acțiuni și la activități de formare, observate în cadrul programului Fiscalis 2020. Deși este posibil să fi existat eforturi bilaterale sau multilaterale, acestea nu ar fi beneficiat de economiile de scară generate de Fiscalis, iar desfășurarea și continuarea desfășurării de acțiuni de către autoritățile naționale ar fi presupus, de asemenea, mai multe costuri și mai mult timp. În ceea ce privește SIE-urile, Fiscalis 2020 a asigurat dezvoltarea și întreținerea continuă a unor astfel de infrastructuri și sisteme informatice. Fără Fiscalis, acestea ar risca să se perimeze sau să fie sistate ca urmare a lipsei de resurse pentru acoperirea costurilor ridicate. S-ar pierde economiile de scară și reducerile costurilor generale. </w:t>
      </w:r>
    </w:p>
    <w:p w14:paraId="12596286" w14:textId="5B2DA573" w:rsidR="00EF2730" w:rsidRPr="008E05BC" w:rsidRDefault="0052312F" w:rsidP="007D3690">
      <w:pPr>
        <w:spacing w:line="276" w:lineRule="auto"/>
        <w:jc w:val="both"/>
        <w:rPr>
          <w:rFonts w:ascii="Times New Roman" w:hAnsi="Times New Roman" w:cs="Times New Roman"/>
          <w:noProof/>
          <w:sz w:val="24"/>
        </w:rPr>
      </w:pPr>
      <w:r w:rsidRPr="008E05BC">
        <w:rPr>
          <w:rFonts w:ascii="Times New Roman" w:hAnsi="Times New Roman"/>
          <w:noProof/>
          <w:sz w:val="24"/>
        </w:rPr>
        <w:t>Fiscalis 2020 a creat rezultate tangibile datorită unor sisteme interconectate și unui schimb regulat de informații și a ajutat funcționarii din cadrul administrațiilor fiscale să dobândească competențe și să facă schimb de experiențe printr-o gamă largă de acțiuni și de activități de formare comune. Este probabil ca multe dintre acțiunile și rezultatele programului să dispară și să fie întrerupte pe termen mediu, cel puțin în comparație cu amploarea și sfera de acoperire actuale. Rețelele actuale dintre administrațiile fiscale, construite de-a lungul anilor, s-ar estompa. Drept urmare, punerea în aplicare a dreptului Uniunii ar fi mai puțin armonioasă, iar agenții economici ar putea mai ușor să exploateze „lacuna fiscală” reprezentată de lipsa de coordonare transfrontalieră în scopuri de evaziune fiscală sau de fraudă. Este clar că provocările legate de frauda fiscală nu pot fi abordate dacă statele membre se limitează la teritoriile lor administrative și nu cooperează intens cu omologii lor.</w:t>
      </w:r>
    </w:p>
    <w:p w14:paraId="495EAC61" w14:textId="2FA48208" w:rsidR="00B253AE" w:rsidRPr="008E05BC" w:rsidRDefault="007B343B" w:rsidP="007D3690">
      <w:pPr>
        <w:spacing w:line="276" w:lineRule="auto"/>
        <w:jc w:val="both"/>
        <w:rPr>
          <w:rFonts w:ascii="Times New Roman" w:hAnsi="Times New Roman" w:cs="Times New Roman"/>
          <w:noProof/>
          <w:sz w:val="24"/>
        </w:rPr>
      </w:pPr>
      <w:r w:rsidRPr="008E05BC">
        <w:rPr>
          <w:rFonts w:ascii="Times New Roman" w:hAnsi="Times New Roman"/>
          <w:noProof/>
          <w:sz w:val="24"/>
        </w:rPr>
        <w:t xml:space="preserve">Odată cu creșterea nivelului de digitalizare, globalizare și circulație a lucrătorilor, punerea în aplicare a dreptului Uniunii în domeniul fiscal și lupta împotriva fraudei, a evaziunii fiscale și a planificării fiscale agresive vor fi din ce în ce mai importante, fiind probabil, așadar, ca valoarea adăugată a programului să continue să crească la rândul său. </w:t>
      </w:r>
    </w:p>
    <w:p w14:paraId="57483D9C" w14:textId="38686AA2" w:rsidR="00A31743" w:rsidRPr="008E05BC" w:rsidRDefault="00BE0EAB" w:rsidP="00A31743">
      <w:pPr>
        <w:pStyle w:val="Heading1"/>
        <w:numPr>
          <w:ilvl w:val="0"/>
          <w:numId w:val="1"/>
        </w:numPr>
        <w:spacing w:line="276" w:lineRule="auto"/>
        <w:rPr>
          <w:noProof/>
        </w:rPr>
      </w:pPr>
      <w:r w:rsidRPr="008E05BC">
        <w:rPr>
          <w:noProof/>
        </w:rPr>
        <w:t>Relevanța programului</w:t>
      </w:r>
    </w:p>
    <w:p w14:paraId="4D2AA1E3" w14:textId="0D880ACC" w:rsidR="000961B9" w:rsidRPr="008E05BC" w:rsidRDefault="0044725D" w:rsidP="00A31743">
      <w:pPr>
        <w:spacing w:line="276" w:lineRule="auto"/>
        <w:jc w:val="both"/>
        <w:rPr>
          <w:rFonts w:ascii="Times New Roman" w:hAnsi="Times New Roman" w:cs="Times New Roman"/>
          <w:noProof/>
          <w:sz w:val="24"/>
        </w:rPr>
      </w:pPr>
      <w:r w:rsidRPr="008E05BC">
        <w:rPr>
          <w:rFonts w:ascii="Times New Roman" w:hAnsi="Times New Roman"/>
          <w:noProof/>
          <w:sz w:val="24"/>
        </w:rPr>
        <w:t xml:space="preserve">Globalizarea și digitalizarea, combinate, creează noi oportunități și provocări pentru capacitatea sistemelor fiscale de a colecta venituri fiscale. Ele generează noi modalități de lucru (munca hibridă și de la distanță) și de desfășurare a activității comerciale (fără prezență fizică), care nu sunt pe deplin sincronizate cu modul în care continuă să fie concepute sistemele fiscale și în care își desfășoară activitățile autoritățile fiscale. Ele pot, de asemenea, să creeze un potențial de evitare a obligațiilor fiscale sau de evaziune fiscală, dacă administrațiile și sistemele fiscale nu țin pasul cu schimbările. </w:t>
      </w:r>
    </w:p>
    <w:p w14:paraId="2191A365" w14:textId="2C6B39AE" w:rsidR="00BA6F38" w:rsidRPr="008E05BC" w:rsidRDefault="000961B9" w:rsidP="00A31743">
      <w:pPr>
        <w:spacing w:line="276" w:lineRule="auto"/>
        <w:jc w:val="both"/>
        <w:rPr>
          <w:rFonts w:ascii="Times New Roman" w:hAnsi="Times New Roman" w:cs="Times New Roman"/>
          <w:noProof/>
          <w:sz w:val="24"/>
        </w:rPr>
      </w:pPr>
      <w:r w:rsidRPr="008E05BC">
        <w:rPr>
          <w:rFonts w:ascii="Times New Roman" w:hAnsi="Times New Roman"/>
          <w:noProof/>
          <w:sz w:val="24"/>
        </w:rPr>
        <w:t>Pentru abordarea unor astfel de provocări, în perioada 2014-2020 au fost deja adoptate o serie de modificări legislative în materie de impozitare, iar acțiunile desfășurate în cadrul programului Fiscalis 2020 au sprijinit strâns punerea în aplicare a acestor inițiative. De exemplu, modificările din 2015 ale regulii privind locul livrării/prestării din legislația privind TVA au fost însoțite de introducerea așa-numitului sistem MOSS pentru facilitarea comerțului transfrontalier cu servicii digitale. Directivele privind cooperarea administrativă au fost introduse pentru a se facilita schimbul automat de informații dintre administrațiile fiscale și pentru a se asigura plata echitabilă a impozitelor de către contribuabilii (persoane fizice sau entități) care generează venituri în activități transfrontaliere. S-au desfășurat activități pregătitoare pentru introducerea unui sistem de sprijin informatic pentru punerea în aplicare a Directivei privind comerțul electronic, sistem care a devenit operațional la 1 iulie 2021.</w:t>
      </w:r>
    </w:p>
    <w:p w14:paraId="7305A5C8" w14:textId="63B535AB" w:rsidR="000A43A4" w:rsidRPr="008E05BC" w:rsidRDefault="000A43A4" w:rsidP="00A31743">
      <w:pPr>
        <w:spacing w:line="276" w:lineRule="auto"/>
        <w:jc w:val="both"/>
        <w:rPr>
          <w:rFonts w:ascii="Times New Roman" w:hAnsi="Times New Roman" w:cs="Times New Roman"/>
          <w:noProof/>
          <w:sz w:val="24"/>
        </w:rPr>
      </w:pPr>
      <w:r w:rsidRPr="008E05BC">
        <w:rPr>
          <w:rFonts w:ascii="Times New Roman" w:hAnsi="Times New Roman"/>
          <w:noProof/>
          <w:sz w:val="24"/>
        </w:rPr>
        <w:t xml:space="preserve">Tendința nu va dispărea, iar autoritățile și operatorii economici vor trebui să țină pasul cu o lume tot mai digitalizată și globalizată. Iese astfel în evidență nevoia de a se consolida cooperarea administrațiilor fiscale și capacitățile administrative ale autorităților naționale și, prin urmare, </w:t>
      </w:r>
      <w:r w:rsidRPr="008E05BC">
        <w:rPr>
          <w:rFonts w:ascii="Times New Roman" w:hAnsi="Times New Roman"/>
          <w:b/>
          <w:noProof/>
          <w:sz w:val="24"/>
        </w:rPr>
        <w:t>relevanța programului pentru ajutarea statelor membre în eforturile de digitalizare și modernizare a procedurilor</w:t>
      </w:r>
      <w:r w:rsidRPr="008E05BC">
        <w:rPr>
          <w:rFonts w:ascii="Times New Roman" w:hAnsi="Times New Roman"/>
          <w:noProof/>
          <w:sz w:val="24"/>
        </w:rPr>
        <w:t xml:space="preserve">. Având în vedere succesul înregistrat în trecut, se consideră că viitoarele programe Fiscalis rămân relevante pentru facilitarea schimbului de informații, a cooperării și a coordonării dintre statele membre prin intermediul sistemelor informatice, al acțiunilor comune și al activităților de formare comune și contribuie, ca atare, la funcționarea eficace și eficientă a pieței interne în acest context. </w:t>
      </w:r>
    </w:p>
    <w:p w14:paraId="56B1EE78" w14:textId="7018FDB2" w:rsidR="00FE58F6" w:rsidRPr="008E05BC" w:rsidRDefault="000A43A4" w:rsidP="00A31743">
      <w:pPr>
        <w:spacing w:line="276" w:lineRule="auto"/>
        <w:jc w:val="both"/>
        <w:rPr>
          <w:rFonts w:ascii="Times New Roman" w:hAnsi="Times New Roman" w:cs="Times New Roman"/>
          <w:noProof/>
          <w:sz w:val="24"/>
        </w:rPr>
      </w:pPr>
      <w:r w:rsidRPr="008E05BC">
        <w:rPr>
          <w:rFonts w:ascii="Times New Roman" w:hAnsi="Times New Roman"/>
          <w:noProof/>
          <w:sz w:val="24"/>
        </w:rPr>
        <w:t xml:space="preserve">În ceea ce privește relevanța, în cadrul evaluării s-au analizat nevoile administrațiilor fiscale naționale și ale operatorilor economici. Conform evaluării finale, </w:t>
      </w:r>
      <w:r w:rsidRPr="008E05BC">
        <w:rPr>
          <w:rFonts w:ascii="Times New Roman" w:hAnsi="Times New Roman"/>
          <w:b/>
          <w:noProof/>
          <w:sz w:val="24"/>
        </w:rPr>
        <w:t>programul continuă să fie atât relevant, cât și necesar</w:t>
      </w:r>
      <w:r w:rsidRPr="008E05BC">
        <w:rPr>
          <w:rFonts w:ascii="Times New Roman" w:hAnsi="Times New Roman"/>
          <w:noProof/>
          <w:sz w:val="24"/>
        </w:rPr>
        <w:t>.</w:t>
      </w:r>
      <w:r w:rsidRPr="008E05BC">
        <w:rPr>
          <w:rFonts w:ascii="Times New Roman" w:hAnsi="Times New Roman"/>
          <w:b/>
          <w:noProof/>
          <w:sz w:val="24"/>
        </w:rPr>
        <w:t xml:space="preserve"> </w:t>
      </w:r>
      <w:r w:rsidRPr="008E05BC">
        <w:rPr>
          <w:rFonts w:ascii="Times New Roman" w:hAnsi="Times New Roman"/>
          <w:noProof/>
          <w:sz w:val="24"/>
        </w:rPr>
        <w:t xml:space="preserve">Este clar că Fiscalis 2020 a fost considerat </w:t>
      </w:r>
      <w:r w:rsidRPr="008E05BC">
        <w:rPr>
          <w:rFonts w:ascii="Times New Roman" w:hAnsi="Times New Roman"/>
          <w:b/>
          <w:noProof/>
          <w:sz w:val="24"/>
        </w:rPr>
        <w:t>extrem de relevant pentru abordarea provocărilor majore cu care se confruntă administrațiile fiscale și pentru îndeplinirea nevoilor acestora</w:t>
      </w:r>
      <w:r w:rsidRPr="008E05BC">
        <w:rPr>
          <w:rFonts w:ascii="Times New Roman" w:hAnsi="Times New Roman"/>
          <w:noProof/>
          <w:sz w:val="24"/>
        </w:rPr>
        <w:t xml:space="preserve">. S-a stabilit că infrastructura și sistemele informatice sunt extrem de relevante pentru activitatea zilnică a funcționarilor din cadrul administrațiilor fiscale, constituind principalele platforme de comunicare prin care statele membre pot face schimb de date relevante pentru a combate frauda și evaziunea fiscală și pentru a pune în aplicare dreptul Uniunii. Toate acestea favorizează, la rândul lor, asistența reciprocă și coordonarea. Activitățile de formare și acțiunile comune sunt de asemenea considerate relevante pentru consolidarea capacității administrative, cum ar fi consolidarea cunoștințelor și colaborarea în rețea. Prin schimbul de informații, de bune practici și de orientări, Fiscalis sprijină elaborarea de politici și aplicarea mai uniformă și mai previzibilă a dreptului Uniunii, precum și lupta împotriva fraudei fiscale, a evaziunii fiscale și a planificării fiscale agresive. Pentru ca </w:t>
      </w:r>
      <w:r w:rsidRPr="008E05BC">
        <w:rPr>
          <w:rFonts w:ascii="Times New Roman" w:hAnsi="Times New Roman"/>
          <w:b/>
          <w:noProof/>
          <w:sz w:val="24"/>
        </w:rPr>
        <w:t>operatorii economici</w:t>
      </w:r>
      <w:r w:rsidRPr="008E05BC">
        <w:rPr>
          <w:rFonts w:ascii="Times New Roman" w:hAnsi="Times New Roman"/>
          <w:noProof/>
          <w:sz w:val="24"/>
        </w:rPr>
        <w:t xml:space="preserve"> să își poată desfășura activitățile este esențial să existe condiții de concurență echitabile și o concurență loială. Sarcina administrativă și costurile de conformare fiscală sunt de asemenea importante, un nivel excesiv al acestora putând împiedica unele întreprinderi să desfășoare activități economice, în special la nivel transfrontalier. Sistemele informatice din cadrul Fiscalis au fost considerate deosebit de relevante pentru operatorii economici, întrucât ele au simplificat conformarea prin facilitarea accesului la informații sau, de exemplu, prin reducerea sarcinii administrative pentru societăți care furnizează servicii de telecomunicații, servicii de radiodifuziune și televiziune și servicii electronice și care nu au mai trebuit să depună declarații de TVA în fiecare dintre țările unde erau prestate serviciile (atingând un grad mai ridicat de conformare fiscală).</w:t>
      </w:r>
    </w:p>
    <w:p w14:paraId="38D2D335" w14:textId="3656F08B" w:rsidR="00A31743" w:rsidRPr="008E05BC" w:rsidRDefault="00F72340" w:rsidP="00DA2D4A">
      <w:pPr>
        <w:spacing w:line="276" w:lineRule="auto"/>
        <w:jc w:val="both"/>
        <w:rPr>
          <w:rFonts w:ascii="Times New Roman" w:hAnsi="Times New Roman"/>
          <w:noProof/>
          <w:sz w:val="24"/>
        </w:rPr>
      </w:pPr>
      <w:r w:rsidRPr="008E05BC">
        <w:rPr>
          <w:rFonts w:ascii="Times New Roman" w:hAnsi="Times New Roman"/>
          <w:noProof/>
          <w:sz w:val="24"/>
        </w:rPr>
        <w:t xml:space="preserve">Unele autorități fiscale au sugerat că Fiscalis ar putea sprijini crearea unei baze de date privind evoluțiile legislative din statele membre în domeniul fiscal, inclusiv evoluțiile noi care afectează impozitarea, cum ar fi monedele virtuale. Coordonatorii Fiscalis din țările candidate au subliniat că posibilitatea lor de a beneficia pe deplin de acțiunile finanțate prin programul Fiscalis este limitată de caracterul orientat spre UE al programului. În plus, aceste țări nu au acces la toate sistemele informatice, ceea ce le afectează capacitatea de a participa la componentele de formare conexe. </w:t>
      </w:r>
    </w:p>
    <w:p w14:paraId="394ABCF2" w14:textId="79E91183" w:rsidR="00B5426B" w:rsidRPr="008E05BC" w:rsidRDefault="00247A58" w:rsidP="002E4B68">
      <w:pPr>
        <w:pStyle w:val="Heading1"/>
        <w:numPr>
          <w:ilvl w:val="0"/>
          <w:numId w:val="1"/>
        </w:numPr>
        <w:rPr>
          <w:noProof/>
        </w:rPr>
      </w:pPr>
      <w:r w:rsidRPr="008E05BC">
        <w:rPr>
          <w:noProof/>
        </w:rPr>
        <w:t xml:space="preserve">Concluzii și învățăminte desprinse </w:t>
      </w:r>
    </w:p>
    <w:p w14:paraId="23727BC6" w14:textId="224FEF84" w:rsidR="00122E04" w:rsidRPr="008E05BC" w:rsidRDefault="00865CB1" w:rsidP="002E4B68">
      <w:pPr>
        <w:spacing w:line="276" w:lineRule="auto"/>
        <w:jc w:val="both"/>
        <w:rPr>
          <w:rFonts w:ascii="Times New Roman" w:hAnsi="Times New Roman" w:cs="Times New Roman"/>
          <w:noProof/>
          <w:sz w:val="24"/>
        </w:rPr>
      </w:pPr>
      <w:r w:rsidRPr="008E05BC">
        <w:rPr>
          <w:rFonts w:ascii="Times New Roman" w:hAnsi="Times New Roman"/>
          <w:noProof/>
          <w:sz w:val="24"/>
        </w:rPr>
        <w:t>Conform evaluării, programul a fost eficace în atingerea obiectivelor sale de a permite schimbul securizat de informații, de a sprijini cooperarea administrativă și de a consolida capacitatea administrativă a țărilor participante. Programul a sprijinit, de asemenea, punerea în aplicare a legislației fiscale a UE pentru lupta împotriva fraudei fiscale, a evaziunii fiscale și a planificării fiscale agresive.</w:t>
      </w:r>
    </w:p>
    <w:p w14:paraId="4D1B415F" w14:textId="29E60A7E" w:rsidR="00B74F54" w:rsidRPr="008E05BC" w:rsidRDefault="00B74F54" w:rsidP="00C4783F">
      <w:pPr>
        <w:pStyle w:val="BodyText1"/>
        <w:spacing w:line="276" w:lineRule="auto"/>
        <w:rPr>
          <w:rFonts w:ascii="Times New Roman" w:hAnsi="Times New Roman"/>
          <w:noProof/>
          <w:sz w:val="24"/>
        </w:rPr>
      </w:pPr>
      <w:r w:rsidRPr="008E05BC">
        <w:rPr>
          <w:rFonts w:ascii="Times New Roman" w:hAnsi="Times New Roman"/>
          <w:noProof/>
          <w:sz w:val="24"/>
        </w:rPr>
        <w:t xml:space="preserve">Fiscalis 2020 a contribuit la consolidarea cooperării transfrontaliere și a capacității administrative a autorităților fiscale prin dezvoltarea și întreținerea unei infrastructuri și a unor sisteme informatice ale UE și prin conceperea și menținerea de acțiuni comune și de activități de formare comune. Fiscalis a contribuit la armonizarea abordărilor și la simplificarea procedurilor, reducând sarcinile administrative și costurile de conformare fiscală pentru contribuabili. </w:t>
      </w:r>
    </w:p>
    <w:p w14:paraId="67C0D104" w14:textId="7B468066" w:rsidR="00865CB1" w:rsidRPr="008E05BC" w:rsidRDefault="00B74F54" w:rsidP="00C4783F">
      <w:pPr>
        <w:pStyle w:val="BodyText1"/>
        <w:spacing w:line="276" w:lineRule="auto"/>
        <w:rPr>
          <w:rFonts w:ascii="Times New Roman" w:hAnsi="Times New Roman"/>
          <w:noProof/>
          <w:sz w:val="24"/>
        </w:rPr>
      </w:pPr>
      <w:r w:rsidRPr="008E05BC">
        <w:rPr>
          <w:rFonts w:ascii="Times New Roman" w:hAnsi="Times New Roman"/>
          <w:noProof/>
          <w:sz w:val="24"/>
        </w:rPr>
        <w:t>Prin infrastructura și sistemele informatice la dezvoltarea și întreținerea cărora a contribuit, Fiscalis a îmbunătățit informațiile disponibile și schimburile de informații securizate. Prin înlocuirea verificărilor manuale și prin utilizarea unor analize avansate ale datelor, precum și prin facilitarea verificărilor transfrontaliere, programul a permis o mai bună identificare a potențialelor cazuri de fraudă, într-un mod mai eficient. Este posibil ca programul să fi avut și un efect de descurajare, mărind gradul de conformare și prevenind frauda fiscală, evaziunea fiscală și planificarea fiscală agresivă. Deși este dificil să se stabilească legătura de cauzalitate, din studiul de evaluare a reieșit că, pe durata programului, au existat semne de îmbunătățire în privința mai multor indicatori-cheie referitori la frauda fiscală, evaziunea fiscală și planificarea fiscală agresivă.</w:t>
      </w:r>
    </w:p>
    <w:p w14:paraId="72D537FF" w14:textId="673612E2" w:rsidR="00B74F54" w:rsidRPr="008E05BC" w:rsidRDefault="00B74F54" w:rsidP="00C4783F">
      <w:pPr>
        <w:pStyle w:val="BodyText1"/>
        <w:spacing w:line="276" w:lineRule="auto"/>
        <w:rPr>
          <w:rFonts w:ascii="Times New Roman" w:hAnsi="Times New Roman"/>
          <w:noProof/>
          <w:sz w:val="24"/>
        </w:rPr>
      </w:pPr>
      <w:r w:rsidRPr="008E05BC">
        <w:rPr>
          <w:rFonts w:ascii="Times New Roman" w:hAnsi="Times New Roman"/>
          <w:noProof/>
          <w:sz w:val="24"/>
        </w:rPr>
        <w:t>Din datele analizate de evaluatorul extern a reieșit că acțiunile comune și activitățile de formare comune au stimulat cooperarea autorităților fiscale și au oferit spațiul necesar pentru schimbul de idei între omologi în cazul identificării unei nevoi specifice. Aceste acțiuni și activități comune au permis crearea de rețele pentru autoritățile fiscale participante (inclusiv de rețele informale care au fost active și în afara evenimentelor din cadrul programului), mărind gradul de coordonare și de schimb de cunoștințe, promovând învățarea reciprocă și conducând, în unele cazuri, la cooperarea transfrontalieră în ceea ce privește punerea în aplicare a reformelor fiscale. Programul a facilitat schimbul de informații și transferul de cunoștințe, ceea ce a contribuit la o mai bună interpretare comună a legislației și, prin urmare, la o punere în aplicare mai coerentă a acesteia. Cu alte cuvinte, programul Fiscalis oferă un cadru pentru dezvoltarea de activități de cooperare (acțiuni comune) cu autoritățile participante, care, în multe cazuri, sunt responsabile în mare măsură cu organizarea diferitelor aspecte ale unei acțiuni comune.</w:t>
      </w:r>
    </w:p>
    <w:p w14:paraId="3B1D6AA7" w14:textId="44ABEA71" w:rsidR="00163422" w:rsidRPr="008E05BC" w:rsidRDefault="00163422" w:rsidP="00163422">
      <w:pPr>
        <w:pStyle w:val="BodyText1"/>
        <w:spacing w:line="276" w:lineRule="auto"/>
        <w:rPr>
          <w:rFonts w:ascii="Times New Roman" w:hAnsi="Times New Roman"/>
          <w:noProof/>
          <w:sz w:val="24"/>
        </w:rPr>
      </w:pPr>
      <w:r w:rsidRPr="008E05BC">
        <w:rPr>
          <w:rFonts w:ascii="Times New Roman" w:hAnsi="Times New Roman"/>
          <w:noProof/>
          <w:sz w:val="24"/>
        </w:rPr>
        <w:t xml:space="preserve">Din perspectiva eficienței și în pofida dificultăților în ceea ce privește monetizarea beneficiilor și stabilirea legăturii de cauzalitate, s-a considerat că a meritat să se investească resurse în Fiscalis 2020 și în componentele sale, având în vedere rezultatele obținute. Cu alte cuvinte, concluzia evaluării a fost că programul a oferit valoare pentru UE și autoritățile fiscale naționale la un cost rezonabil. Programul Fiscalis 2020 s-a aliniat la obiectivele politice generale ale Comisiei, în special la Strategia Europa 2020, și a fost coerent cu acestea. Programul s-a adaptat cu flexibilitate la prioritățile în schimbare și la noua legislație, îndeplinindu-și rolul de program de finanțare care sprijină punerea în aplicare a dreptului Uniunii în domeniul fiscal. </w:t>
      </w:r>
    </w:p>
    <w:p w14:paraId="6926A209" w14:textId="50A962D6" w:rsidR="00331480" w:rsidRPr="008E05BC" w:rsidRDefault="00597BBD" w:rsidP="00C4783F">
      <w:pPr>
        <w:pStyle w:val="BodyText1"/>
        <w:spacing w:line="276" w:lineRule="auto"/>
        <w:rPr>
          <w:rFonts w:ascii="Times New Roman" w:hAnsi="Times New Roman"/>
          <w:noProof/>
          <w:sz w:val="24"/>
        </w:rPr>
      </w:pPr>
      <w:r w:rsidRPr="008E05BC">
        <w:rPr>
          <w:rFonts w:ascii="Times New Roman" w:hAnsi="Times New Roman"/>
          <w:noProof/>
          <w:sz w:val="24"/>
        </w:rPr>
        <w:t>Potrivit evaluării, Fiscalis va continua probabil să fie un instrument relevant la nivelul UE pentru atingerea obiectivelor de sprijinire a punerii în aplicare a dreptului Uniunii în domeniul fiscal și a luptei împotriva fraudei fiscale, a evaziunii fiscale și a planificării fiscale agresive într-o lume care se schimbă ca urmare a îmbătrânirii populației, a digitalizării și a globalizării, printre altele, și care, prin urmare, creează provocări pentru sistemele și administrațiile fiscale. Este clar că Fiscalis rămâne un instrument relevant pentru finanțarea dezvoltării, a implementării și a exploatării infrastructurii și sistemelor informatice în domeniul fiscal, analizând posibilitatea de realizare a unor economii de scară. Acestea necesită multe resurse, fiind dificil ca toate țările să aibă aceeași sferă de acoperire și amploare ca programul UE. De asemenea, Fiscalis s-a dovedit a fi util pentru crearea posibilității de coordonare și de învățare reciprocă între țări. Sistemele informatice, acțiunile comune și activitățile de formare comune au rolurile lor specifice, completându-se unele pe altele, în ceea ce privește realizarea obiectivelor programului Fiscalis. Componentele programului Fiscalis se consolidează reciproc. Conform evaluării, în rândul principalelor părți interesate există un consens larg că programul Fiscalis 2020 a fost necesar și relevant și a corespuns nevoilor actorilor-cheie. Prin urmare, s-a considerat că modul în care este conceput programul este adecvat scopului urmărit și ar trebui menținut.</w:t>
      </w:r>
    </w:p>
    <w:p w14:paraId="0F3F604B" w14:textId="3DA2B243" w:rsidR="00A73AD0" w:rsidRPr="008E05BC" w:rsidRDefault="00A94DC9" w:rsidP="00C4783F">
      <w:pPr>
        <w:pStyle w:val="BodyText1"/>
        <w:spacing w:line="276" w:lineRule="auto"/>
        <w:rPr>
          <w:rFonts w:ascii="Times New Roman" w:hAnsi="Times New Roman"/>
          <w:noProof/>
          <w:sz w:val="24"/>
        </w:rPr>
      </w:pPr>
      <w:r w:rsidRPr="008E05BC">
        <w:rPr>
          <w:rFonts w:ascii="Times New Roman" w:hAnsi="Times New Roman"/>
          <w:noProof/>
          <w:sz w:val="24"/>
        </w:rPr>
        <w:t>În evaluare s-au pus în evidență însă și câteva domenii în care ar putea fi aduse îmbunătățiri. S-a constatat că sistemele informatice evaluate în cadrul studiului generează beneficii care depășesc costurile, în ceea ce privește simplificarea, posibila detectare a fraudelor și respectarea dreptului în domeniul fiscal. Cu toate acestea, nu există suficiente date cu privire la costuri și beneficii, fiind util poate să se analizeze, de către Comisie și statele membre, posibilitățile de a se măsura mai bine costurile și beneficiile investițiilor realizate. Eventualele date mai cuprinzătoare cu privire la costuri (investițiile în sisteme informatice) și beneficii (veniturile fiscale colectate, simplificarea) ar putea ajuta într-o mai mare măsură la stabilirea priorităților și luarea deciziilor. Ar trebui remarcat, de asemenea, că majoritatea costurilor suportate de programul Fiscalis în domeniul informatic sunt legate în principal de interconectarea a 27 de sisteme informatice naționale eterogene prin schimburi de mesaje, și nu de dezvoltarea unor soluții centrale bazate pe schimbul de date. Această decizie arhitecturală corespunde temeiului juridic convenit al sistemelor de informații europene corespunzătoare în materie de impozitare. Ea poate conduce însă la costuri mai mari la nivelul UE, limitând în același timp capacitatea de prelucrare a datelor, ceea ce ar putea avea un impact asupra raportului costuri-beneficii.</w:t>
      </w:r>
    </w:p>
    <w:p w14:paraId="7DCB82DC" w14:textId="313BC7B6" w:rsidR="00A73AD0" w:rsidRPr="008E05BC" w:rsidRDefault="00247A58" w:rsidP="00C4783F">
      <w:pPr>
        <w:pStyle w:val="BodyText1"/>
        <w:spacing w:line="276" w:lineRule="auto"/>
        <w:rPr>
          <w:rFonts w:ascii="Times New Roman" w:hAnsi="Times New Roman"/>
          <w:noProof/>
          <w:sz w:val="24"/>
        </w:rPr>
      </w:pPr>
      <w:r w:rsidRPr="008E05BC">
        <w:rPr>
          <w:rFonts w:ascii="Times New Roman" w:hAnsi="Times New Roman"/>
          <w:noProof/>
          <w:sz w:val="24"/>
        </w:rPr>
        <w:t xml:space="preserve">În plus, din evaluare reiese că țările din afara UE au fost de părere că ar trebui să poată participa la o gamă mai largă de activități, care, prin gradul lor ridicat de relevanță și adecvare, justifică și mai mult realizarea de investiții financiare. Trebuie remarcat că serviciile Comisiei au făcut deja demersuri pentru abordarea acestui aspect în noul program, Fiscalis 2021-2027, asigurându-se că se trimit invitații țărilor participante din afara UE, dacă nu se justifică altfel. </w:t>
      </w:r>
    </w:p>
    <w:p w14:paraId="2DFD21B6" w14:textId="0D419D1D" w:rsidR="00247A58" w:rsidRPr="008E05BC" w:rsidRDefault="00247A58" w:rsidP="00C4783F">
      <w:pPr>
        <w:pStyle w:val="BodyText1"/>
        <w:spacing w:line="276" w:lineRule="auto"/>
        <w:rPr>
          <w:rFonts w:ascii="Times New Roman" w:hAnsi="Times New Roman"/>
          <w:noProof/>
          <w:sz w:val="24"/>
        </w:rPr>
      </w:pPr>
      <w:r w:rsidRPr="008E05BC">
        <w:rPr>
          <w:rFonts w:ascii="Times New Roman" w:hAnsi="Times New Roman"/>
          <w:noProof/>
          <w:sz w:val="24"/>
        </w:rPr>
        <w:t>În plus, deși s-a considerat că programul Fiscalis 2020 a fost coerent și consecvent cu prioritățile UE și a completat în mod corespunzător alte programe de finanțare, cum ar fi programul Vamă 2020 și Programul de sprijin pentru reforme structurale (în prezent instrumentul de sprijin tehnic), s-ar mai putea îmbunătăți sinergiile cu Hercule III. Coordonarea în cadrul Comisiei a fost considerată bună, dar în cadrul evaluării s-a subliniat că este important să se analizeze în continuare posibilitățile de îmbunătățire a coordonării cu alte servicii, într-o lume în rapidă schimbare.</w:t>
      </w:r>
    </w:p>
    <w:p w14:paraId="631F8E34" w14:textId="597DE561" w:rsidR="00865CB1" w:rsidRPr="008E05BC" w:rsidRDefault="00745B42" w:rsidP="00C4783F">
      <w:pPr>
        <w:pStyle w:val="BodyText1"/>
        <w:spacing w:line="276" w:lineRule="auto"/>
        <w:rPr>
          <w:rFonts w:ascii="Times New Roman" w:hAnsi="Times New Roman"/>
          <w:noProof/>
          <w:sz w:val="24"/>
        </w:rPr>
      </w:pPr>
      <w:r w:rsidRPr="008E05BC">
        <w:rPr>
          <w:rFonts w:ascii="Times New Roman" w:hAnsi="Times New Roman"/>
          <w:noProof/>
          <w:sz w:val="24"/>
        </w:rPr>
        <w:t xml:space="preserve">În evaluare s-a arătat, de asemenea, că se continuă activitatea în ceea ce privește punerea în aplicare a recomandărilor din evaluarea la jumătatea perioadei și pentru viitor. În urma evaluării la jumătatea perioadei, Comisia a elaborat un plan de acțiune intern cu 13 domenii de acțiune prin care a dat curs celor 13 recomandări și care cuprindea 48 de subacțiuni. În martie 2022, marea majoritate (peste 75 %) a acțiunilor fuseseră finalizate, iar unele erau în curs. Cele două domenii principale în care lucrările sunt încă în curs sunt „Monitorizarea și raportarea” și „Comunicarea”. Comisia le recunoaște și depune eforturi pentru a le aborda prin punerea în aplicare a programului Fiscalis 2021-2027 sau în următorul cadru financiar multianual. De asemenea, Comisia se străduiește să îmbunătățească în mod continuu programul și să îl adapteze în permanență la noile realități, după caz, dincolo de recomandările incluse în evaluare și, în special, în vederea viitoarei evaluări la jumătatea perioadei. </w:t>
      </w:r>
    </w:p>
    <w:sectPr w:rsidR="00865CB1" w:rsidRPr="008E05BC" w:rsidSect="0028151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034C2" w16cid:durableId="2703B9F2"/>
  <w16cid:commentId w16cid:paraId="7426D43F" w16cid:durableId="27151E45"/>
  <w16cid:commentId w16cid:paraId="4FC9BBBC" w16cid:durableId="2703B9F4"/>
  <w16cid:commentId w16cid:paraId="13B0C2CB" w16cid:durableId="2703B9F5"/>
  <w16cid:commentId w16cid:paraId="1033E10C" w16cid:durableId="27151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3CC8" w14:textId="77777777" w:rsidR="0049252B" w:rsidRDefault="0049252B" w:rsidP="00B253AE">
      <w:pPr>
        <w:spacing w:after="0" w:line="240" w:lineRule="auto"/>
      </w:pPr>
      <w:r>
        <w:separator/>
      </w:r>
    </w:p>
  </w:endnote>
  <w:endnote w:type="continuationSeparator" w:id="0">
    <w:p w14:paraId="60F3173C" w14:textId="77777777" w:rsidR="0049252B" w:rsidRDefault="0049252B" w:rsidP="00B253AE">
      <w:pPr>
        <w:spacing w:after="0" w:line="240" w:lineRule="auto"/>
      </w:pPr>
      <w:r>
        <w:continuationSeparator/>
      </w:r>
    </w:p>
  </w:endnote>
  <w:endnote w:type="continuationNotice" w:id="1">
    <w:p w14:paraId="6F9DA36B" w14:textId="77777777" w:rsidR="0049252B" w:rsidRDefault="00492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C088" w14:textId="77777777" w:rsidR="00A97336" w:rsidRPr="00A97336" w:rsidRDefault="00A97336" w:rsidP="00A9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1C25" w14:textId="5E6AEBD0" w:rsidR="008E05BC" w:rsidRPr="00A97336" w:rsidRDefault="00A97336" w:rsidP="00A97336">
    <w:pPr>
      <w:pStyle w:val="FooterCoverPage"/>
      <w:rPr>
        <w:rFonts w:ascii="Arial" w:hAnsi="Arial" w:cs="Arial"/>
        <w:b/>
        <w:sz w:val="48"/>
      </w:rPr>
    </w:pPr>
    <w:r w:rsidRPr="00A97336">
      <w:rPr>
        <w:rFonts w:ascii="Arial" w:hAnsi="Arial" w:cs="Arial"/>
        <w:b/>
        <w:sz w:val="48"/>
      </w:rPr>
      <w:t>RO</w:t>
    </w:r>
    <w:r w:rsidRPr="00A97336">
      <w:rPr>
        <w:rFonts w:ascii="Arial" w:hAnsi="Arial" w:cs="Arial"/>
        <w:b/>
        <w:sz w:val="48"/>
      </w:rPr>
      <w:tab/>
    </w:r>
    <w:r w:rsidRPr="00A97336">
      <w:rPr>
        <w:rFonts w:ascii="Arial" w:hAnsi="Arial" w:cs="Arial"/>
        <w:b/>
        <w:sz w:val="48"/>
      </w:rPr>
      <w:tab/>
    </w:r>
    <w:r w:rsidRPr="00A97336">
      <w:tab/>
    </w:r>
    <w:r w:rsidRPr="00A97336">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F380" w14:textId="77777777" w:rsidR="00A97336" w:rsidRPr="00A97336" w:rsidRDefault="00A97336" w:rsidP="00A9733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D7BA" w14:textId="77777777" w:rsidR="0049252B" w:rsidRDefault="004925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65261"/>
      <w:docPartObj>
        <w:docPartGallery w:val="Page Numbers (Bottom of Page)"/>
        <w:docPartUnique/>
      </w:docPartObj>
    </w:sdtPr>
    <w:sdtEndPr/>
    <w:sdtContent>
      <w:p w14:paraId="5E34BA2A" w14:textId="1FD186E6" w:rsidR="0049252B" w:rsidRPr="00AA5891" w:rsidRDefault="0049252B" w:rsidP="00FA1F31">
        <w:pPr>
          <w:pStyle w:val="Footer"/>
          <w:jc w:val="center"/>
        </w:pPr>
        <w:r>
          <w:fldChar w:fldCharType="begin"/>
        </w:r>
        <w:r>
          <w:instrText xml:space="preserve"> PAGE   \* MERGEFORMAT </w:instrText>
        </w:r>
        <w:r>
          <w:fldChar w:fldCharType="separate"/>
        </w:r>
        <w:r w:rsidR="00A97336">
          <w:rPr>
            <w:noProof/>
          </w:rPr>
          <w:t>1</w:t>
        </w:r>
        <w:r>
          <w:fldChar w:fldCharType="end"/>
        </w:r>
      </w:p>
    </w:sdtContent>
  </w:sdt>
  <w:p w14:paraId="27D6CA6E" w14:textId="77777777" w:rsidR="0049252B" w:rsidRPr="00AA5891" w:rsidRDefault="004925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C62F" w14:textId="77777777" w:rsidR="0049252B" w:rsidRDefault="0049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A1C7" w14:textId="77777777" w:rsidR="0049252B" w:rsidRDefault="0049252B" w:rsidP="00B253AE">
      <w:pPr>
        <w:spacing w:after="0" w:line="240" w:lineRule="auto"/>
      </w:pPr>
      <w:r>
        <w:separator/>
      </w:r>
    </w:p>
  </w:footnote>
  <w:footnote w:type="continuationSeparator" w:id="0">
    <w:p w14:paraId="417F8557" w14:textId="77777777" w:rsidR="0049252B" w:rsidRDefault="0049252B" w:rsidP="00B253AE">
      <w:pPr>
        <w:spacing w:after="0" w:line="240" w:lineRule="auto"/>
      </w:pPr>
      <w:r>
        <w:continuationSeparator/>
      </w:r>
    </w:p>
  </w:footnote>
  <w:footnote w:type="continuationNotice" w:id="1">
    <w:p w14:paraId="1923041B" w14:textId="77777777" w:rsidR="0049252B" w:rsidRDefault="0049252B">
      <w:pPr>
        <w:spacing w:after="0" w:line="240" w:lineRule="auto"/>
      </w:pPr>
    </w:p>
  </w:footnote>
  <w:footnote w:id="2">
    <w:p w14:paraId="465038B3" w14:textId="031B899A" w:rsidR="0049252B" w:rsidRPr="003C0D7D" w:rsidRDefault="0049252B">
      <w:pPr>
        <w:pStyle w:val="FootnoteText"/>
        <w:rPr>
          <w:sz w:val="18"/>
        </w:rPr>
      </w:pPr>
      <w:r>
        <w:rPr>
          <w:rStyle w:val="FootnoteReference"/>
        </w:rPr>
        <w:footnoteRef/>
      </w:r>
      <w:r>
        <w:t xml:space="preserve"> </w:t>
      </w:r>
      <w:r>
        <w:rPr>
          <w:rStyle w:val="Emphasis"/>
          <w:i w:val="0"/>
          <w:color w:val="333333"/>
          <w:sz w:val="18"/>
          <w:shd w:val="clear" w:color="auto" w:fill="FFFFFF"/>
        </w:rPr>
        <w:t>JO L 347, 20.12.2013, p. 25.</w:t>
      </w:r>
    </w:p>
  </w:footnote>
  <w:footnote w:id="3">
    <w:p w14:paraId="44D522EE" w14:textId="77C8D609" w:rsidR="0049252B" w:rsidRPr="003F0758" w:rsidRDefault="0049252B" w:rsidP="00BE0EAB">
      <w:pPr>
        <w:pStyle w:val="FootnoteText"/>
        <w:spacing w:after="120"/>
        <w:ind w:left="0" w:firstLine="0"/>
        <w:rPr>
          <w:sz w:val="18"/>
        </w:rPr>
      </w:pPr>
      <w:r>
        <w:rPr>
          <w:rStyle w:val="FootnoteReference"/>
        </w:rPr>
        <w:footnoteRef/>
      </w:r>
      <w:r>
        <w:rPr>
          <w:rStyle w:val="FootnoteReference"/>
        </w:rPr>
        <w:t xml:space="preserve"> </w:t>
      </w:r>
      <w:r>
        <w:rPr>
          <w:sz w:val="18"/>
        </w:rPr>
        <w:t>Programul Fiscalis 2020 s-a bazat pe programe anterioare. Primul program, denumit Matthaeus-Tax, a început în octombrie 1993 și s-a derulat până la sfârșitul lunii decembrie a anului 1995. Redenumit Fiscalis, programul a cunoscut patru ediții, inclusiv cea evaluată în documentul de față: primul program Fiscalis (1998-2002), al doilea program Fiscalis (2003-2007), al treilea program Fiscalis (2008-2013) și, evaluat în documentul de față, al patrulea program Fiscalis (2014-2020) sau Fiscalis 2020. Prin Regulamentul (UE) 2021/847 al Parlamentului European și al Consiliului din 20 mai 2021 s-a instituit programul Fiscalis pentru cooperare în domeniul fiscal în perioada 2021-2027 și s-a abrogat Regulamentul (UE) nr. 1286/2013.</w:t>
      </w:r>
    </w:p>
  </w:footnote>
  <w:footnote w:id="4">
    <w:p w14:paraId="228FF323" w14:textId="441D208C" w:rsidR="0049252B" w:rsidRPr="003C0D7D" w:rsidRDefault="0049252B">
      <w:pPr>
        <w:pStyle w:val="FootnoteText"/>
        <w:rPr>
          <w:sz w:val="18"/>
        </w:rPr>
      </w:pPr>
      <w:r>
        <w:rPr>
          <w:rStyle w:val="FootnoteReference"/>
        </w:rPr>
        <w:footnoteRef/>
      </w:r>
      <w:r>
        <w:t xml:space="preserve"> </w:t>
      </w:r>
      <w:hyperlink r:id="rId1" w:history="1">
        <w:r>
          <w:rPr>
            <w:rStyle w:val="Hyperlink"/>
          </w:rPr>
          <w:t>Evaluarea la jumătatea perioadei a programului Fiscalis 2020 SWD (europa.eu)</w:t>
        </w:r>
      </w:hyperlink>
      <w:r>
        <w:t>.</w:t>
      </w:r>
    </w:p>
  </w:footnote>
  <w:footnote w:id="5">
    <w:p w14:paraId="025E2C57" w14:textId="77777777" w:rsidR="0049252B" w:rsidRPr="000C77C6" w:rsidRDefault="0049252B" w:rsidP="008F6353">
      <w:pPr>
        <w:pStyle w:val="FootnoteText"/>
        <w:spacing w:after="120"/>
        <w:ind w:left="0" w:firstLine="0"/>
        <w:rPr>
          <w:sz w:val="18"/>
        </w:rPr>
      </w:pPr>
      <w:r>
        <w:rPr>
          <w:rStyle w:val="FootnoteReference"/>
        </w:rPr>
        <w:footnoteRef/>
      </w:r>
      <w:r>
        <w:t xml:space="preserve"> </w:t>
      </w:r>
      <w:r>
        <w:rPr>
          <w:sz w:val="18"/>
        </w:rPr>
        <w:t xml:space="preserve">O serie de activități din cadrul programului Fiscalis din 2020 continuă în 2021, dat fiind că majoritatea acordurilor de grant au fost prelungite până în 2021. </w:t>
      </w:r>
    </w:p>
  </w:footnote>
  <w:footnote w:id="6">
    <w:p w14:paraId="71D7BEFF" w14:textId="1B5AB443" w:rsidR="0049252B" w:rsidRPr="00425A63" w:rsidRDefault="0049252B" w:rsidP="008F6353">
      <w:pPr>
        <w:pStyle w:val="FootnoteText"/>
        <w:ind w:left="0" w:firstLine="0"/>
        <w:rPr>
          <w:sz w:val="18"/>
        </w:rPr>
      </w:pPr>
      <w:r>
        <w:rPr>
          <w:rStyle w:val="FootnoteReference"/>
        </w:rPr>
        <w:footnoteRef/>
      </w:r>
      <w:r>
        <w:t xml:space="preserve"> </w:t>
      </w:r>
      <w:r>
        <w:rPr>
          <w:sz w:val="18"/>
        </w:rPr>
        <w:t>Regatul Unit s-a retras din UE și a devenit o țară terță la 1 februarie 2020. Prin urmare, Regatul Unit a fost considerat țară participantă din UE pe aproape toată durata programului. Cadrul Fiscalis 2020 a cuprins în total 35 de țări: cele 27 de state membre ale UE plus Regatul Unit în perioada în care era stat membru al UE și 7 țări candidate, precum și candidați potențiali.</w:t>
      </w:r>
    </w:p>
  </w:footnote>
  <w:footnote w:id="7">
    <w:p w14:paraId="10EB7DF4" w14:textId="2AEFC474" w:rsidR="0049252B" w:rsidRPr="00E644D2" w:rsidRDefault="0049252B">
      <w:pPr>
        <w:pStyle w:val="FootnoteText"/>
        <w:rPr>
          <w:sz w:val="18"/>
        </w:rPr>
      </w:pPr>
      <w:r>
        <w:rPr>
          <w:rStyle w:val="FootnoteReference"/>
        </w:rPr>
        <w:footnoteRef/>
      </w:r>
      <w:r>
        <w:t xml:space="preserve"> </w:t>
      </w:r>
      <w:r>
        <w:rPr>
          <w:sz w:val="18"/>
        </w:rPr>
        <w:t>De exemplu, 14 000 de mesaje în 2020 față de 12 800 de mesaje în 2017 pentru sistemele legate de DAC1; 29 700 de mesaje în 2020 față de doar 4 600 în 2017 pentru sistemele DAC2; 992 292 de mesaje în 2020 față de 689 839 de mesaje în 2017 pentru sistemul MOSS.</w:t>
      </w:r>
    </w:p>
  </w:footnote>
  <w:footnote w:id="8">
    <w:p w14:paraId="053ABB48" w14:textId="3A970832" w:rsidR="0049252B" w:rsidRPr="00A504AE" w:rsidRDefault="0049252B">
      <w:pPr>
        <w:pStyle w:val="FootnoteText"/>
        <w:rPr>
          <w:sz w:val="18"/>
        </w:rPr>
      </w:pPr>
      <w:r>
        <w:rPr>
          <w:rStyle w:val="FootnoteReference"/>
        </w:rPr>
        <w:footnoteRef/>
      </w:r>
      <w:r>
        <w:t xml:space="preserve"> </w:t>
      </w:r>
      <w:r>
        <w:rPr>
          <w:sz w:val="18"/>
        </w:rPr>
        <w:t>De remarcat că finanțarea se referă la aspectul de colaborare al acțiunilor comune, și anume finanțarea permite ca acțiunea să aibă loc dacă se încadrează în program, dar responsabilitatea pentru organizarea acțiunii le revine, în multe cazuri, în principal sau integral autorităților naționale. Comisia poate acționa în calitate de inițiator al grupurilor de proiect, al atelierelor și al seminarelor din cadrul Fiscalis sau în calitate de participant la acestea, dar nu poate participa la controale multilaterale, conform temeiului juridic relevant al controlului multilateral.</w:t>
      </w:r>
    </w:p>
  </w:footnote>
  <w:footnote w:id="9">
    <w:p w14:paraId="3645A36D" w14:textId="77777777" w:rsidR="0049252B" w:rsidRPr="00DD2F4D" w:rsidRDefault="0049252B" w:rsidP="00DE5234">
      <w:pPr>
        <w:pStyle w:val="FootnoteText"/>
        <w:spacing w:after="120"/>
        <w:ind w:left="0" w:firstLine="0"/>
        <w:jc w:val="left"/>
        <w:rPr>
          <w:sz w:val="18"/>
        </w:rPr>
      </w:pPr>
      <w:r>
        <w:rPr>
          <w:rStyle w:val="FootnoteReference"/>
        </w:rPr>
        <w:footnoteRef/>
      </w:r>
      <w:r>
        <w:rPr>
          <w:sz w:val="18"/>
        </w:rPr>
        <w:t xml:space="preserve"> Comunicarea Comisiei către Parlamentul European și Consiliu intitulată „Plan de acțiune pentru o fiscalitate echitabilă și simplificată în sprijinul strategiei de redresare”: </w:t>
      </w:r>
      <w:hyperlink r:id="rId2" w:history="1">
        <w:r>
          <w:rPr>
            <w:rStyle w:val="Hyperlink"/>
            <w:sz w:val="18"/>
          </w:rPr>
          <w:t>https://eur-lex.europa.eu/legal-content/RO/TXT/?uri=CELEX:52020DC0312</w:t>
        </w:r>
      </w:hyperlink>
      <w:r>
        <w:t>.</w:t>
      </w:r>
      <w:r>
        <w:rPr>
          <w:sz w:val="18"/>
        </w:rPr>
        <w:t xml:space="preserve"> </w:t>
      </w:r>
    </w:p>
  </w:footnote>
  <w:footnote w:id="10">
    <w:p w14:paraId="15CDD717" w14:textId="77777777" w:rsidR="0049252B" w:rsidRPr="00DD2F4D" w:rsidRDefault="0049252B" w:rsidP="00A31743">
      <w:pPr>
        <w:pStyle w:val="FootnoteText"/>
        <w:rPr>
          <w:sz w:val="18"/>
        </w:rPr>
      </w:pPr>
      <w:r>
        <w:rPr>
          <w:rStyle w:val="FootnoteReference"/>
        </w:rPr>
        <w:footnoteRef/>
      </w:r>
      <w:r>
        <w:rPr>
          <w:sz w:val="18"/>
        </w:rPr>
        <w:t xml:space="preserve"> Date despre e-learning ale DG TAXUD.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F901F" w14:textId="77777777" w:rsidR="00A97336" w:rsidRPr="00A97336" w:rsidRDefault="00A97336" w:rsidP="00A9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9117" w14:textId="77777777" w:rsidR="00A97336" w:rsidRPr="00A97336" w:rsidRDefault="00A97336" w:rsidP="00A9733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09D1" w14:textId="77777777" w:rsidR="00A97336" w:rsidRPr="00A97336" w:rsidRDefault="00A97336" w:rsidP="00A9733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1EB3" w14:textId="77777777" w:rsidR="0049252B" w:rsidRDefault="00492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A9786" w14:textId="77777777" w:rsidR="0049252B" w:rsidRDefault="004925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7C4B" w14:textId="77777777" w:rsidR="0049252B" w:rsidRDefault="0049252B">
    <w:pPr>
      <w:pStyle w:val="Header"/>
    </w:pPr>
  </w:p>
</w:hdr>
</file>

<file path=word/intelligence.xml><?xml version="1.0" encoding="utf-8"?>
<int:Intelligence xmlns:int="http://schemas.microsoft.com/office/intelligence/2019/intelligence">
  <int:IntelligenceSettings/>
  <int:Manifest>
    <int:WordHash hashCode="t+O0ZQtpv5VkDs" id="eGMWSYp1"/>
    <int:WordHash hashCode="BC3EUS+j05HFFw" id="mAvHYQnw"/>
  </int:Manifest>
  <int:Observations>
    <int:Content id="eGMWSYp1">
      <int:Rejection type="LegacyProofing"/>
    </int:Content>
    <int:Content id="mAvHYQn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D266108E"/>
    <w:lvl w:ilvl="0">
      <w:start w:val="1"/>
      <w:numFmt w:val="decimal"/>
      <w:lvlText w:val="%1."/>
      <w:lvlJc w:val="left"/>
      <w:pPr>
        <w:tabs>
          <w:tab w:val="num" w:pos="480"/>
        </w:tabs>
        <w:ind w:left="480" w:hanging="480"/>
      </w:pPr>
    </w:lvl>
    <w:lvl w:ilvl="1">
      <w:start w:val="1"/>
      <w:numFmt w:val="decimal"/>
      <w:pStyle w:val="NumPar2"/>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pStyle w:val="NumPa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0F14290"/>
    <w:multiLevelType w:val="hybridMultilevel"/>
    <w:tmpl w:val="0A720C3C"/>
    <w:lvl w:ilvl="0" w:tplc="A50088E0">
      <w:start w:val="1"/>
      <w:numFmt w:val="bullet"/>
      <w:lvlText w:val="►"/>
      <w:lvlJc w:val="left"/>
      <w:pPr>
        <w:ind w:left="720" w:hanging="360"/>
      </w:pPr>
      <w:rPr>
        <w:rFonts w:ascii="Times New Roman" w:hAnsi="Times New Roman" w:cs="Times New Roman" w:hint="default"/>
        <w:color w:val="5B9BD5"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1508F"/>
    <w:multiLevelType w:val="hybridMultilevel"/>
    <w:tmpl w:val="360E3752"/>
    <w:lvl w:ilvl="0" w:tplc="789A4F26">
      <w:start w:val="1"/>
      <w:numFmt w:val="bullet"/>
      <w:lvlText w:val=""/>
      <w:lvlJc w:val="left"/>
      <w:pPr>
        <w:ind w:left="720" w:hanging="360"/>
      </w:pPr>
      <w:rPr>
        <w:rFonts w:ascii="Symbol" w:hAnsi="Symbol" w:hint="default"/>
        <w:b/>
        <w:i w:val="0"/>
        <w:color w:val="325BAA"/>
        <w:sz w:val="24"/>
      </w:rPr>
    </w:lvl>
    <w:lvl w:ilvl="1" w:tplc="D758FE2C">
      <w:start w:val="1"/>
      <w:numFmt w:val="bullet"/>
      <w:lvlText w:val="o"/>
      <w:lvlJc w:val="left"/>
      <w:pPr>
        <w:ind w:left="1440" w:hanging="360"/>
      </w:pPr>
      <w:rPr>
        <w:rFonts w:ascii="Courier New" w:hAnsi="Courier New" w:hint="default"/>
        <w:color w:val="44546A" w:themeColor="text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4CD7FEB"/>
    <w:multiLevelType w:val="hybridMultilevel"/>
    <w:tmpl w:val="6CFC8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A1A93AF-3077-4368-9958-25AAC4198F95"/>
    <w:docVar w:name="LW_COVERPAGE_TYPE" w:val="1"/>
    <w:docVar w:name="LW_CROSSREFERENCE" w:val="{SWD(2022) 406 final}"/>
    <w:docVar w:name="LW_DocType" w:val="NORMAL"/>
    <w:docVar w:name="LW_EMISSION" w:val="14.12.2022"/>
    <w:docVar w:name="LW_EMISSION_ISODATE" w:val="2022-12-14"/>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2) 7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ivind evaluarea finală a programului Fiscalis 2020&lt;/FMT&gt;"/>
    <w:docVar w:name="LW_TYPE.DOC.CP" w:val="RAPORT AL COMISIEI CĂTRE PARLAMENTUL EUROPEAN ȘI CONSILIU"/>
    <w:docVar w:name="LwApiVersions" w:val="LW4CoDe 1.23.2.0; LW 8.0, Build 20211117"/>
  </w:docVars>
  <w:rsids>
    <w:rsidRoot w:val="00B253AE"/>
    <w:rsid w:val="00005E65"/>
    <w:rsid w:val="00011929"/>
    <w:rsid w:val="000126CE"/>
    <w:rsid w:val="00027B58"/>
    <w:rsid w:val="00036B56"/>
    <w:rsid w:val="00040004"/>
    <w:rsid w:val="000453C6"/>
    <w:rsid w:val="0006008C"/>
    <w:rsid w:val="00065591"/>
    <w:rsid w:val="00067561"/>
    <w:rsid w:val="000708EA"/>
    <w:rsid w:val="0007134A"/>
    <w:rsid w:val="00077597"/>
    <w:rsid w:val="00086A54"/>
    <w:rsid w:val="000961B9"/>
    <w:rsid w:val="000A0B62"/>
    <w:rsid w:val="000A17D1"/>
    <w:rsid w:val="000A43A4"/>
    <w:rsid w:val="000B61DD"/>
    <w:rsid w:val="000B7453"/>
    <w:rsid w:val="000C2FAF"/>
    <w:rsid w:val="000D2B25"/>
    <w:rsid w:val="000E1F18"/>
    <w:rsid w:val="000E6447"/>
    <w:rsid w:val="00107E76"/>
    <w:rsid w:val="001214E5"/>
    <w:rsid w:val="00121F9A"/>
    <w:rsid w:val="00122012"/>
    <w:rsid w:val="00122E04"/>
    <w:rsid w:val="00134F1A"/>
    <w:rsid w:val="001431BA"/>
    <w:rsid w:val="001441B7"/>
    <w:rsid w:val="00161CFD"/>
    <w:rsid w:val="00163422"/>
    <w:rsid w:val="00166719"/>
    <w:rsid w:val="00176D80"/>
    <w:rsid w:val="00187CD0"/>
    <w:rsid w:val="001C5088"/>
    <w:rsid w:val="001F499C"/>
    <w:rsid w:val="00234C88"/>
    <w:rsid w:val="002438DB"/>
    <w:rsid w:val="0024505F"/>
    <w:rsid w:val="00247A58"/>
    <w:rsid w:val="00281511"/>
    <w:rsid w:val="00283B6A"/>
    <w:rsid w:val="00291699"/>
    <w:rsid w:val="002919EC"/>
    <w:rsid w:val="002935E2"/>
    <w:rsid w:val="002A0D68"/>
    <w:rsid w:val="002A39EB"/>
    <w:rsid w:val="002A47E2"/>
    <w:rsid w:val="002B14DC"/>
    <w:rsid w:val="002B4689"/>
    <w:rsid w:val="002C1BFC"/>
    <w:rsid w:val="002C5156"/>
    <w:rsid w:val="002E3350"/>
    <w:rsid w:val="002E4B68"/>
    <w:rsid w:val="002E59F3"/>
    <w:rsid w:val="002F1053"/>
    <w:rsid w:val="002F7A6A"/>
    <w:rsid w:val="00311AC9"/>
    <w:rsid w:val="00325CAC"/>
    <w:rsid w:val="00327923"/>
    <w:rsid w:val="00331480"/>
    <w:rsid w:val="00331EC0"/>
    <w:rsid w:val="003320FF"/>
    <w:rsid w:val="003369DF"/>
    <w:rsid w:val="0034457A"/>
    <w:rsid w:val="003458C9"/>
    <w:rsid w:val="00346FC7"/>
    <w:rsid w:val="00347304"/>
    <w:rsid w:val="003626A4"/>
    <w:rsid w:val="00363D44"/>
    <w:rsid w:val="00396564"/>
    <w:rsid w:val="003A00CE"/>
    <w:rsid w:val="003B0DF9"/>
    <w:rsid w:val="003B1CA1"/>
    <w:rsid w:val="003C0D7D"/>
    <w:rsid w:val="003C361F"/>
    <w:rsid w:val="003D2ECD"/>
    <w:rsid w:val="003E1D35"/>
    <w:rsid w:val="003E4260"/>
    <w:rsid w:val="003E7550"/>
    <w:rsid w:val="003F0758"/>
    <w:rsid w:val="003F5758"/>
    <w:rsid w:val="00402091"/>
    <w:rsid w:val="004055C4"/>
    <w:rsid w:val="00406187"/>
    <w:rsid w:val="004179D6"/>
    <w:rsid w:val="00430EE2"/>
    <w:rsid w:val="0044725D"/>
    <w:rsid w:val="0044729F"/>
    <w:rsid w:val="00465D79"/>
    <w:rsid w:val="0047218B"/>
    <w:rsid w:val="00472A1D"/>
    <w:rsid w:val="00476E7B"/>
    <w:rsid w:val="00483135"/>
    <w:rsid w:val="0048660A"/>
    <w:rsid w:val="0049252B"/>
    <w:rsid w:val="004A119F"/>
    <w:rsid w:val="004A5443"/>
    <w:rsid w:val="004A5961"/>
    <w:rsid w:val="004A5F25"/>
    <w:rsid w:val="004B17CA"/>
    <w:rsid w:val="004C1F84"/>
    <w:rsid w:val="004D7FDA"/>
    <w:rsid w:val="004E5381"/>
    <w:rsid w:val="004F7AD2"/>
    <w:rsid w:val="00503C3B"/>
    <w:rsid w:val="00514B94"/>
    <w:rsid w:val="0052312F"/>
    <w:rsid w:val="0052399E"/>
    <w:rsid w:val="005242B1"/>
    <w:rsid w:val="005247D0"/>
    <w:rsid w:val="005356FE"/>
    <w:rsid w:val="00536240"/>
    <w:rsid w:val="005425DE"/>
    <w:rsid w:val="00547010"/>
    <w:rsid w:val="00550D29"/>
    <w:rsid w:val="00551E11"/>
    <w:rsid w:val="00552983"/>
    <w:rsid w:val="005559A5"/>
    <w:rsid w:val="0056674F"/>
    <w:rsid w:val="00573A58"/>
    <w:rsid w:val="00576CB8"/>
    <w:rsid w:val="00584821"/>
    <w:rsid w:val="005858CC"/>
    <w:rsid w:val="00597BBD"/>
    <w:rsid w:val="005A0AF0"/>
    <w:rsid w:val="005A5A07"/>
    <w:rsid w:val="005C21DA"/>
    <w:rsid w:val="005C531A"/>
    <w:rsid w:val="005C7004"/>
    <w:rsid w:val="005D2A77"/>
    <w:rsid w:val="005D31DF"/>
    <w:rsid w:val="005E16CB"/>
    <w:rsid w:val="005F7A83"/>
    <w:rsid w:val="00602B58"/>
    <w:rsid w:val="00636544"/>
    <w:rsid w:val="00650202"/>
    <w:rsid w:val="00654B97"/>
    <w:rsid w:val="00655CFC"/>
    <w:rsid w:val="0066403C"/>
    <w:rsid w:val="00665FDE"/>
    <w:rsid w:val="00674A03"/>
    <w:rsid w:val="006A0453"/>
    <w:rsid w:val="006A5116"/>
    <w:rsid w:val="006A70D8"/>
    <w:rsid w:val="006B6918"/>
    <w:rsid w:val="006C249F"/>
    <w:rsid w:val="006D2886"/>
    <w:rsid w:val="006E1E35"/>
    <w:rsid w:val="00703581"/>
    <w:rsid w:val="0070458D"/>
    <w:rsid w:val="0071547F"/>
    <w:rsid w:val="00717F64"/>
    <w:rsid w:val="00735A88"/>
    <w:rsid w:val="007375E3"/>
    <w:rsid w:val="00742171"/>
    <w:rsid w:val="00742E70"/>
    <w:rsid w:val="00744CCF"/>
    <w:rsid w:val="00745B42"/>
    <w:rsid w:val="00746C85"/>
    <w:rsid w:val="00746D31"/>
    <w:rsid w:val="0075318A"/>
    <w:rsid w:val="00754A0B"/>
    <w:rsid w:val="00755FCC"/>
    <w:rsid w:val="007755FF"/>
    <w:rsid w:val="00795BA5"/>
    <w:rsid w:val="0079650E"/>
    <w:rsid w:val="007A0512"/>
    <w:rsid w:val="007A6064"/>
    <w:rsid w:val="007B343B"/>
    <w:rsid w:val="007C0305"/>
    <w:rsid w:val="007C2022"/>
    <w:rsid w:val="007C4BD2"/>
    <w:rsid w:val="007D1984"/>
    <w:rsid w:val="007D3690"/>
    <w:rsid w:val="007D4B3A"/>
    <w:rsid w:val="007E3BC0"/>
    <w:rsid w:val="00826E21"/>
    <w:rsid w:val="00835691"/>
    <w:rsid w:val="00845650"/>
    <w:rsid w:val="008462E6"/>
    <w:rsid w:val="008546FB"/>
    <w:rsid w:val="008566C1"/>
    <w:rsid w:val="00865CB1"/>
    <w:rsid w:val="00866788"/>
    <w:rsid w:val="00873B75"/>
    <w:rsid w:val="0087487A"/>
    <w:rsid w:val="00894DEA"/>
    <w:rsid w:val="008A35CD"/>
    <w:rsid w:val="008A5374"/>
    <w:rsid w:val="008B23EB"/>
    <w:rsid w:val="008B4B4E"/>
    <w:rsid w:val="008B4E32"/>
    <w:rsid w:val="008C36E4"/>
    <w:rsid w:val="008E05BC"/>
    <w:rsid w:val="008E709A"/>
    <w:rsid w:val="008F254A"/>
    <w:rsid w:val="008F6353"/>
    <w:rsid w:val="00903449"/>
    <w:rsid w:val="00904728"/>
    <w:rsid w:val="0090527B"/>
    <w:rsid w:val="009111B9"/>
    <w:rsid w:val="00914069"/>
    <w:rsid w:val="009158B7"/>
    <w:rsid w:val="00923F74"/>
    <w:rsid w:val="00930E32"/>
    <w:rsid w:val="00932316"/>
    <w:rsid w:val="0094064D"/>
    <w:rsid w:val="0094382C"/>
    <w:rsid w:val="009469B4"/>
    <w:rsid w:val="00951FD2"/>
    <w:rsid w:val="0095637C"/>
    <w:rsid w:val="00961F26"/>
    <w:rsid w:val="00972E24"/>
    <w:rsid w:val="00973D1F"/>
    <w:rsid w:val="00980B4F"/>
    <w:rsid w:val="00990C1C"/>
    <w:rsid w:val="009A04F9"/>
    <w:rsid w:val="009A46CB"/>
    <w:rsid w:val="009C7B38"/>
    <w:rsid w:val="009D5C1A"/>
    <w:rsid w:val="009E537D"/>
    <w:rsid w:val="009E7845"/>
    <w:rsid w:val="009F00C8"/>
    <w:rsid w:val="009F7ACD"/>
    <w:rsid w:val="009F7E25"/>
    <w:rsid w:val="00A03AB1"/>
    <w:rsid w:val="00A31743"/>
    <w:rsid w:val="00A318AC"/>
    <w:rsid w:val="00A318E5"/>
    <w:rsid w:val="00A33698"/>
    <w:rsid w:val="00A504AE"/>
    <w:rsid w:val="00A61683"/>
    <w:rsid w:val="00A73AD0"/>
    <w:rsid w:val="00A76C08"/>
    <w:rsid w:val="00A82A20"/>
    <w:rsid w:val="00A942DB"/>
    <w:rsid w:val="00A94DC9"/>
    <w:rsid w:val="00A9655C"/>
    <w:rsid w:val="00A97336"/>
    <w:rsid w:val="00AA791A"/>
    <w:rsid w:val="00AC0F0A"/>
    <w:rsid w:val="00AD3945"/>
    <w:rsid w:val="00AD6BD9"/>
    <w:rsid w:val="00AD777B"/>
    <w:rsid w:val="00AF057C"/>
    <w:rsid w:val="00AF0AF1"/>
    <w:rsid w:val="00AF3B52"/>
    <w:rsid w:val="00AF5873"/>
    <w:rsid w:val="00B13DC9"/>
    <w:rsid w:val="00B2288C"/>
    <w:rsid w:val="00B23F62"/>
    <w:rsid w:val="00B253AE"/>
    <w:rsid w:val="00B3048C"/>
    <w:rsid w:val="00B37765"/>
    <w:rsid w:val="00B41F50"/>
    <w:rsid w:val="00B432B6"/>
    <w:rsid w:val="00B52CEF"/>
    <w:rsid w:val="00B52FD0"/>
    <w:rsid w:val="00B5426B"/>
    <w:rsid w:val="00B67F8B"/>
    <w:rsid w:val="00B74F54"/>
    <w:rsid w:val="00B757E8"/>
    <w:rsid w:val="00B766EB"/>
    <w:rsid w:val="00B92C4F"/>
    <w:rsid w:val="00B959CC"/>
    <w:rsid w:val="00B95C8D"/>
    <w:rsid w:val="00B95C9E"/>
    <w:rsid w:val="00BA0685"/>
    <w:rsid w:val="00BA35D3"/>
    <w:rsid w:val="00BA519C"/>
    <w:rsid w:val="00BA54EF"/>
    <w:rsid w:val="00BA6F38"/>
    <w:rsid w:val="00BB0307"/>
    <w:rsid w:val="00BC02C7"/>
    <w:rsid w:val="00BD08A1"/>
    <w:rsid w:val="00BD0BC6"/>
    <w:rsid w:val="00BE0EAB"/>
    <w:rsid w:val="00BE1569"/>
    <w:rsid w:val="00BE1C12"/>
    <w:rsid w:val="00BF1B8C"/>
    <w:rsid w:val="00BF5305"/>
    <w:rsid w:val="00BF67A6"/>
    <w:rsid w:val="00C014FC"/>
    <w:rsid w:val="00C067EE"/>
    <w:rsid w:val="00C1540B"/>
    <w:rsid w:val="00C174C3"/>
    <w:rsid w:val="00C40680"/>
    <w:rsid w:val="00C470A3"/>
    <w:rsid w:val="00C4783F"/>
    <w:rsid w:val="00C502C2"/>
    <w:rsid w:val="00C54357"/>
    <w:rsid w:val="00C77215"/>
    <w:rsid w:val="00C8625D"/>
    <w:rsid w:val="00CB04BA"/>
    <w:rsid w:val="00CD0555"/>
    <w:rsid w:val="00D006A1"/>
    <w:rsid w:val="00D02B78"/>
    <w:rsid w:val="00D02DB6"/>
    <w:rsid w:val="00D20EA2"/>
    <w:rsid w:val="00D52A13"/>
    <w:rsid w:val="00D710E8"/>
    <w:rsid w:val="00D77B8B"/>
    <w:rsid w:val="00D80E89"/>
    <w:rsid w:val="00D84291"/>
    <w:rsid w:val="00D92D91"/>
    <w:rsid w:val="00DA2D4A"/>
    <w:rsid w:val="00DB622B"/>
    <w:rsid w:val="00DD4B42"/>
    <w:rsid w:val="00DD7C34"/>
    <w:rsid w:val="00DE5234"/>
    <w:rsid w:val="00DF0FFC"/>
    <w:rsid w:val="00DF2A2C"/>
    <w:rsid w:val="00DF678F"/>
    <w:rsid w:val="00E12095"/>
    <w:rsid w:val="00E170FF"/>
    <w:rsid w:val="00E24653"/>
    <w:rsid w:val="00E25E9B"/>
    <w:rsid w:val="00E54935"/>
    <w:rsid w:val="00E61517"/>
    <w:rsid w:val="00E644D2"/>
    <w:rsid w:val="00E678DD"/>
    <w:rsid w:val="00E75C81"/>
    <w:rsid w:val="00E81F2C"/>
    <w:rsid w:val="00E83DAA"/>
    <w:rsid w:val="00E853EC"/>
    <w:rsid w:val="00E8559A"/>
    <w:rsid w:val="00E86A93"/>
    <w:rsid w:val="00E9633B"/>
    <w:rsid w:val="00EA7DE7"/>
    <w:rsid w:val="00ED175F"/>
    <w:rsid w:val="00ED6947"/>
    <w:rsid w:val="00EE323E"/>
    <w:rsid w:val="00EE74B4"/>
    <w:rsid w:val="00EF2730"/>
    <w:rsid w:val="00EF4572"/>
    <w:rsid w:val="00F40FFE"/>
    <w:rsid w:val="00F44472"/>
    <w:rsid w:val="00F656E5"/>
    <w:rsid w:val="00F66528"/>
    <w:rsid w:val="00F72340"/>
    <w:rsid w:val="00F73AD3"/>
    <w:rsid w:val="00F77567"/>
    <w:rsid w:val="00F77EB1"/>
    <w:rsid w:val="00F819B5"/>
    <w:rsid w:val="00F8262C"/>
    <w:rsid w:val="00F8335D"/>
    <w:rsid w:val="00F87DA2"/>
    <w:rsid w:val="00F95795"/>
    <w:rsid w:val="00F95A69"/>
    <w:rsid w:val="00FA1F31"/>
    <w:rsid w:val="00FA5745"/>
    <w:rsid w:val="00FC114C"/>
    <w:rsid w:val="00FC42D9"/>
    <w:rsid w:val="00FC5F68"/>
    <w:rsid w:val="00FE3B54"/>
    <w:rsid w:val="00FE4E00"/>
    <w:rsid w:val="00FE58F6"/>
    <w:rsid w:val="00FF56E1"/>
    <w:rsid w:val="08AF6B40"/>
    <w:rsid w:val="0C97EEA8"/>
    <w:rsid w:val="16F825EF"/>
    <w:rsid w:val="1E34B8A9"/>
    <w:rsid w:val="22041FF9"/>
    <w:rsid w:val="492B1E55"/>
    <w:rsid w:val="4A18D91B"/>
    <w:rsid w:val="4ADE4577"/>
    <w:rsid w:val="5727A05A"/>
    <w:rsid w:val="598E642A"/>
    <w:rsid w:val="5F34825D"/>
    <w:rsid w:val="64A27A25"/>
    <w:rsid w:val="678C5917"/>
    <w:rsid w:val="688A15DB"/>
    <w:rsid w:val="6C7F03E9"/>
    <w:rsid w:val="6FF0F731"/>
    <w:rsid w:val="754F708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898CA3"/>
  <w15:chartTrackingRefBased/>
  <w15:docId w15:val="{9D3B4579-F48A-4FC0-8349-91CC9CE0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53AE"/>
    <w:pPr>
      <w:keepNext/>
      <w:spacing w:before="240" w:after="240" w:line="240" w:lineRule="auto"/>
      <w:jc w:val="both"/>
      <w:outlineLvl w:val="0"/>
    </w:pPr>
    <w:rPr>
      <w:rFonts w:ascii="Times New Roman" w:eastAsia="Times New Roman" w:hAnsi="Times New Roman" w:cs="Times New Roman"/>
      <w:b/>
      <w:smallCaps/>
      <w:sz w:val="24"/>
    </w:rPr>
  </w:style>
  <w:style w:type="paragraph" w:styleId="Heading2">
    <w:name w:val="heading 2"/>
    <w:basedOn w:val="Normal"/>
    <w:next w:val="Normal"/>
    <w:link w:val="Heading2Char"/>
    <w:uiPriority w:val="99"/>
    <w:qFormat/>
    <w:rsid w:val="00B253AE"/>
    <w:pPr>
      <w:keepNext/>
      <w:spacing w:after="240" w:line="240" w:lineRule="auto"/>
      <w:jc w:val="both"/>
      <w:outlineLvl w:val="1"/>
    </w:pPr>
    <w:rPr>
      <w:rFonts w:ascii="Times New Roman" w:eastAsia="Times New Roman" w:hAnsi="Times New Roman" w:cs="Times New Roman"/>
      <w:b/>
      <w:sz w:val="24"/>
    </w:rPr>
  </w:style>
  <w:style w:type="paragraph" w:styleId="Heading4">
    <w:name w:val="heading 4"/>
    <w:basedOn w:val="Normal"/>
    <w:next w:val="Normal"/>
    <w:link w:val="Heading4Char"/>
    <w:uiPriority w:val="9"/>
    <w:semiHidden/>
    <w:unhideWhenUsed/>
    <w:qFormat/>
    <w:rsid w:val="00B253AE"/>
    <w:pPr>
      <w:keepNext/>
      <w:keepLines/>
      <w:spacing w:before="200" w:after="0" w:line="276" w:lineRule="auto"/>
      <w:outlineLvl w:val="3"/>
    </w:pPr>
    <w:rPr>
      <w:rFonts w:asciiTheme="majorHAnsi" w:eastAsiaTheme="majorEastAsia" w:hAnsiTheme="majorHAnsi" w:cstheme="majorBidi"/>
      <w:b/>
      <w:i/>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3AE"/>
    <w:rPr>
      <w:rFonts w:ascii="Times New Roman" w:eastAsia="Times New Roman" w:hAnsi="Times New Roman" w:cs="Times New Roman"/>
      <w:b/>
      <w:smallCaps/>
      <w:sz w:val="24"/>
    </w:rPr>
  </w:style>
  <w:style w:type="character" w:customStyle="1" w:styleId="Heading2Char">
    <w:name w:val="Heading 2 Char"/>
    <w:basedOn w:val="DefaultParagraphFont"/>
    <w:link w:val="Heading2"/>
    <w:uiPriority w:val="99"/>
    <w:rsid w:val="00B253AE"/>
    <w:rPr>
      <w:rFonts w:ascii="Times New Roman" w:eastAsia="Times New Roman" w:hAnsi="Times New Roman" w:cs="Times New Roman"/>
      <w:b/>
      <w:sz w:val="24"/>
    </w:rPr>
  </w:style>
  <w:style w:type="character" w:customStyle="1" w:styleId="Heading4Char">
    <w:name w:val="Heading 4 Char"/>
    <w:basedOn w:val="DefaultParagraphFont"/>
    <w:link w:val="Heading4"/>
    <w:uiPriority w:val="9"/>
    <w:semiHidden/>
    <w:rsid w:val="00B253AE"/>
    <w:rPr>
      <w:rFonts w:asciiTheme="majorHAnsi" w:eastAsiaTheme="majorEastAsia" w:hAnsiTheme="majorHAnsi" w:cstheme="majorBidi"/>
      <w:b/>
      <w:i/>
      <w:color w:val="5B9BD5" w:themeColor="accent1"/>
    </w:rPr>
  </w:style>
  <w:style w:type="character" w:customStyle="1" w:styleId="Marker">
    <w:name w:val="Marker"/>
    <w:basedOn w:val="DefaultParagraphFont"/>
    <w:rsid w:val="00B253AE"/>
    <w:rPr>
      <w:color w:val="0000FF"/>
      <w:shd w:val="clear" w:color="auto" w:fill="auto"/>
    </w:rPr>
  </w:style>
  <w:style w:type="paragraph" w:customStyle="1" w:styleId="Pagedecouverture">
    <w:name w:val="Page de couverture"/>
    <w:basedOn w:val="Normal"/>
    <w:next w:val="Normal"/>
    <w:rsid w:val="00B253A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2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AE"/>
  </w:style>
  <w:style w:type="paragraph" w:styleId="Footer">
    <w:name w:val="footer"/>
    <w:basedOn w:val="Normal"/>
    <w:link w:val="FooterChar"/>
    <w:uiPriority w:val="99"/>
    <w:unhideWhenUsed/>
    <w:rsid w:val="00B25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AE"/>
  </w:style>
  <w:style w:type="paragraph" w:customStyle="1" w:styleId="FooterCoverPage">
    <w:name w:val="Footer Cover Page"/>
    <w:basedOn w:val="Normal"/>
    <w:link w:val="FooterCoverPageChar"/>
    <w:rsid w:val="00B253A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253AE"/>
    <w:rPr>
      <w:rFonts w:ascii="Times New Roman" w:hAnsi="Times New Roman" w:cs="Times New Roman"/>
      <w:sz w:val="24"/>
    </w:rPr>
  </w:style>
  <w:style w:type="paragraph" w:customStyle="1" w:styleId="FooterSensitivity">
    <w:name w:val="Footer Sensitivity"/>
    <w:basedOn w:val="Normal"/>
    <w:link w:val="FooterSensitivityChar"/>
    <w:rsid w:val="00B253A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253AE"/>
    <w:rPr>
      <w:rFonts w:ascii="Times New Roman" w:hAnsi="Times New Roman" w:cs="Times New Roman"/>
      <w:b/>
      <w:sz w:val="32"/>
    </w:rPr>
  </w:style>
  <w:style w:type="paragraph" w:customStyle="1" w:styleId="HeaderCoverPage">
    <w:name w:val="Header Cover Page"/>
    <w:basedOn w:val="Normal"/>
    <w:link w:val="HeaderCoverPageChar"/>
    <w:rsid w:val="00B253A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53AE"/>
    <w:rPr>
      <w:rFonts w:ascii="Times New Roman" w:hAnsi="Times New Roman" w:cs="Times New Roman"/>
      <w:sz w:val="24"/>
    </w:rPr>
  </w:style>
  <w:style w:type="paragraph" w:customStyle="1" w:styleId="HeaderSensitivity">
    <w:name w:val="Header Sensitivity"/>
    <w:basedOn w:val="Normal"/>
    <w:link w:val="HeaderSensitivityChar"/>
    <w:rsid w:val="00B253A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253AE"/>
    <w:rPr>
      <w:rFonts w:ascii="Times New Roman" w:hAnsi="Times New Roman" w:cs="Times New Roman"/>
      <w:b/>
      <w:sz w:val="32"/>
    </w:rPr>
  </w:style>
  <w:style w:type="paragraph" w:styleId="FootnoteText">
    <w:name w:val="footnote text"/>
    <w:basedOn w:val="Normal"/>
    <w:link w:val="FootnoteTextChar"/>
    <w:uiPriority w:val="99"/>
    <w:qFormat/>
    <w:rsid w:val="00B253AE"/>
    <w:pPr>
      <w:spacing w:after="240" w:line="240" w:lineRule="auto"/>
      <w:ind w:left="357" w:hanging="357"/>
      <w:jc w:val="both"/>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qFormat/>
    <w:rsid w:val="00B253AE"/>
    <w:rPr>
      <w:rFonts w:ascii="Times New Roman" w:eastAsia="Times New Roman" w:hAnsi="Times New Roman" w:cs="Times New Roman"/>
      <w:sz w:val="20"/>
    </w:rPr>
  </w:style>
  <w:style w:type="character" w:styleId="Hyperlink">
    <w:name w:val="Hyperlink"/>
    <w:basedOn w:val="DefaultParagraphFont"/>
    <w:uiPriority w:val="99"/>
    <w:unhideWhenUsed/>
    <w:rsid w:val="00B253AE"/>
    <w:rPr>
      <w:color w:val="0563C1" w:themeColor="hyperlink"/>
      <w:u w:val="single"/>
    </w:rPr>
  </w:style>
  <w:style w:type="paragraph" w:styleId="CommentText">
    <w:name w:val="annotation text"/>
    <w:basedOn w:val="Normal"/>
    <w:link w:val="CommentTextChar"/>
    <w:rsid w:val="00B253AE"/>
    <w:pPr>
      <w:spacing w:after="240" w:line="240" w:lineRule="auto"/>
      <w:jc w:val="both"/>
    </w:pPr>
    <w:rPr>
      <w:rFonts w:ascii="Times New Roman" w:eastAsia="Times New Roman" w:hAnsi="Times New Roman" w:cs="Times New Roman"/>
      <w:sz w:val="20"/>
    </w:rPr>
  </w:style>
  <w:style w:type="character" w:customStyle="1" w:styleId="CommentTextChar">
    <w:name w:val="Comment Text Char"/>
    <w:basedOn w:val="DefaultParagraphFont"/>
    <w:link w:val="CommentText"/>
    <w:rsid w:val="00B253AE"/>
    <w:rPr>
      <w:rFonts w:ascii="Times New Roman" w:eastAsia="Times New Roman" w:hAnsi="Times New Roman" w:cs="Times New Roman"/>
      <w:sz w:val="20"/>
    </w:rPr>
  </w:style>
  <w:style w:type="character" w:styleId="CommentReference">
    <w:name w:val="annotation reference"/>
    <w:basedOn w:val="DefaultParagraphFont"/>
    <w:unhideWhenUsed/>
    <w:rsid w:val="00B253AE"/>
    <w:rPr>
      <w:sz w:val="16"/>
    </w:rPr>
  </w:style>
  <w:style w:type="paragraph" w:customStyle="1" w:styleId="NumPar2">
    <w:name w:val="NumPar 2"/>
    <w:basedOn w:val="Heading2"/>
    <w:next w:val="Normal"/>
    <w:rsid w:val="00B253AE"/>
    <w:pPr>
      <w:keepNext w:val="0"/>
      <w:numPr>
        <w:ilvl w:val="1"/>
        <w:numId w:val="1"/>
      </w:numPr>
      <w:outlineLvl w:val="9"/>
    </w:pPr>
    <w:rPr>
      <w:b w:val="0"/>
    </w:rPr>
  </w:style>
  <w:style w:type="paragraph" w:customStyle="1" w:styleId="NumPar4">
    <w:name w:val="NumPar 4"/>
    <w:basedOn w:val="Heading4"/>
    <w:next w:val="Normal"/>
    <w:rsid w:val="00B253AE"/>
    <w:pPr>
      <w:keepNext w:val="0"/>
      <w:keepLines w:val="0"/>
      <w:numPr>
        <w:ilvl w:val="3"/>
        <w:numId w:val="1"/>
      </w:numPr>
      <w:tabs>
        <w:tab w:val="clear" w:pos="1920"/>
        <w:tab w:val="num" w:pos="360"/>
      </w:tabs>
      <w:spacing w:before="0" w:after="240" w:line="240" w:lineRule="auto"/>
      <w:ind w:left="0" w:firstLine="0"/>
      <w:jc w:val="both"/>
      <w:outlineLvl w:val="9"/>
    </w:pPr>
    <w:rPr>
      <w:rFonts w:ascii="Times New Roman" w:eastAsia="Times New Roman" w:hAnsi="Times New Roman" w:cs="Times New Roman"/>
      <w:b w:val="0"/>
      <w:i w:val="0"/>
      <w:sz w:val="24"/>
    </w:rPr>
  </w:style>
  <w:style w:type="paragraph" w:styleId="BalloonText">
    <w:name w:val="Balloon Text"/>
    <w:basedOn w:val="Normal"/>
    <w:link w:val="BalloonTextChar"/>
    <w:uiPriority w:val="99"/>
    <w:semiHidden/>
    <w:unhideWhenUsed/>
    <w:rsid w:val="00B253AE"/>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253AE"/>
    <w:rPr>
      <w:rFonts w:ascii="Tahoma" w:hAnsi="Tahoma" w:cs="Tahoma"/>
      <w:sz w:val="16"/>
    </w:rPr>
  </w:style>
  <w:style w:type="paragraph" w:styleId="ListParagraph">
    <w:name w:val="List Paragraph"/>
    <w:basedOn w:val="Normal"/>
    <w:link w:val="ListParagraphChar"/>
    <w:uiPriority w:val="34"/>
    <w:qFormat/>
    <w:rsid w:val="00B253AE"/>
    <w:pPr>
      <w:spacing w:after="240" w:line="240" w:lineRule="auto"/>
      <w:ind w:left="720"/>
      <w:contextualSpacing/>
      <w:jc w:val="both"/>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qFormat/>
    <w:rsid w:val="00B253AE"/>
    <w:rPr>
      <w:rFonts w:ascii="Times New Roman" w:eastAsia="Times New Roman" w:hAnsi="Times New Roman" w:cs="Times New Roman"/>
      <w:sz w:val="24"/>
    </w:rPr>
  </w:style>
  <w:style w:type="paragraph" w:styleId="Caption">
    <w:name w:val="caption"/>
    <w:basedOn w:val="Normal"/>
    <w:next w:val="Normal"/>
    <w:link w:val="CaptionChar"/>
    <w:uiPriority w:val="35"/>
    <w:unhideWhenUsed/>
    <w:qFormat/>
    <w:rsid w:val="00B253AE"/>
    <w:pPr>
      <w:spacing w:after="200" w:line="240" w:lineRule="auto"/>
    </w:pPr>
    <w:rPr>
      <w:i/>
      <w:color w:val="44546A" w:themeColor="text2"/>
      <w:sz w:val="18"/>
    </w:rPr>
  </w:style>
  <w:style w:type="character" w:customStyle="1" w:styleId="CaptionChar">
    <w:name w:val="Caption Char"/>
    <w:basedOn w:val="DefaultParagraphFont"/>
    <w:link w:val="Caption"/>
    <w:uiPriority w:val="99"/>
    <w:qFormat/>
    <w:locked/>
    <w:rsid w:val="00B253AE"/>
    <w:rPr>
      <w:i/>
      <w:color w:val="44546A" w:themeColor="text2"/>
      <w:sz w:val="18"/>
    </w:rPr>
  </w:style>
  <w:style w:type="paragraph" w:customStyle="1" w:styleId="Tabletext">
    <w:name w:val="Table text"/>
    <w:basedOn w:val="Normal"/>
    <w:link w:val="TabletextChar"/>
    <w:qFormat/>
    <w:rsid w:val="00B253AE"/>
    <w:pPr>
      <w:autoSpaceDE w:val="0"/>
      <w:autoSpaceDN w:val="0"/>
      <w:adjustRightInd w:val="0"/>
      <w:spacing w:before="60" w:after="120" w:line="240" w:lineRule="auto"/>
    </w:pPr>
    <w:rPr>
      <w:rFonts w:ascii="Times New Roman" w:eastAsia="Times New Roman" w:hAnsi="Times New Roman" w:cs="Times New Roman"/>
      <w:sz w:val="20"/>
    </w:rPr>
  </w:style>
  <w:style w:type="character" w:customStyle="1" w:styleId="TabletextChar">
    <w:name w:val="Table text Char"/>
    <w:basedOn w:val="DefaultParagraphFont"/>
    <w:link w:val="Tabletext"/>
    <w:rsid w:val="00B253AE"/>
    <w:rPr>
      <w:rFonts w:ascii="Times New Roman" w:eastAsia="Times New Roman" w:hAnsi="Times New Roman" w:cs="Times New Roman"/>
      <w:sz w:val="20"/>
    </w:rPr>
  </w:style>
  <w:style w:type="table" w:customStyle="1" w:styleId="ListTable3-Accent11">
    <w:name w:val="List Table 3 - Accent 11"/>
    <w:basedOn w:val="TableNormal"/>
    <w:uiPriority w:val="48"/>
    <w:rsid w:val="00B253A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Body">
    <w:name w:val="Body"/>
    <w:basedOn w:val="Normal"/>
    <w:link w:val="BodyChar"/>
    <w:qFormat/>
    <w:rsid w:val="00B253AE"/>
    <w:pPr>
      <w:spacing w:after="240" w:line="240" w:lineRule="auto"/>
    </w:pPr>
    <w:rPr>
      <w:rFonts w:ascii="Verdana" w:eastAsia="Times New Roman" w:hAnsi="Verdana" w:cs="Times New Roman"/>
      <w:sz w:val="18"/>
    </w:rPr>
  </w:style>
  <w:style w:type="character" w:customStyle="1" w:styleId="BodyChar">
    <w:name w:val="Body Char"/>
    <w:link w:val="Body"/>
    <w:rsid w:val="00B253AE"/>
    <w:rPr>
      <w:rFonts w:ascii="Verdana" w:eastAsia="Times New Roman" w:hAnsi="Verdana" w:cs="Times New Roman"/>
      <w:sz w:val="18"/>
    </w:rPr>
  </w:style>
  <w:style w:type="paragraph" w:styleId="CommentSubject">
    <w:name w:val="annotation subject"/>
    <w:basedOn w:val="CommentText"/>
    <w:next w:val="CommentText"/>
    <w:link w:val="CommentSubjectChar"/>
    <w:uiPriority w:val="99"/>
    <w:semiHidden/>
    <w:unhideWhenUsed/>
    <w:rsid w:val="00B253AE"/>
    <w:pPr>
      <w:spacing w:after="200"/>
      <w:jc w:val="left"/>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B253AE"/>
    <w:rPr>
      <w:rFonts w:ascii="Times New Roman" w:eastAsia="Times New Roman" w:hAnsi="Times New Roman" w:cs="Times New Roman"/>
      <w:b/>
      <w:sz w:val="20"/>
    </w:rPr>
  </w:style>
  <w:style w:type="paragraph" w:customStyle="1" w:styleId="PSParagraphText">
    <w:name w:val="PS_Paragraph_Text"/>
    <w:basedOn w:val="Normal"/>
    <w:link w:val="PSParagraphTextChar"/>
    <w:qFormat/>
    <w:rsid w:val="00B253AE"/>
    <w:pPr>
      <w:spacing w:after="120" w:line="240" w:lineRule="auto"/>
      <w:jc w:val="both"/>
    </w:pPr>
    <w:rPr>
      <w:rFonts w:ascii="Times New Roman" w:eastAsia="Times New Roman" w:hAnsi="Times New Roman" w:cs="Times New Roman"/>
      <w:sz w:val="20"/>
    </w:rPr>
  </w:style>
  <w:style w:type="character" w:customStyle="1" w:styleId="PSParagraphTextChar">
    <w:name w:val="PS_Paragraph_Text Char"/>
    <w:basedOn w:val="DefaultParagraphFont"/>
    <w:link w:val="PSParagraphText"/>
    <w:rsid w:val="00B253AE"/>
    <w:rPr>
      <w:rFonts w:ascii="Times New Roman" w:eastAsia="Times New Roman" w:hAnsi="Times New Roman" w:cs="Times New Roman"/>
      <w:sz w:val="20"/>
    </w:rPr>
  </w:style>
  <w:style w:type="character" w:styleId="FollowedHyperlink">
    <w:name w:val="FollowedHyperlink"/>
    <w:basedOn w:val="DefaultParagraphFont"/>
    <w:uiPriority w:val="99"/>
    <w:semiHidden/>
    <w:unhideWhenUsed/>
    <w:rsid w:val="00B253AE"/>
    <w:rPr>
      <w:color w:val="954F72" w:themeColor="followedHyperlink"/>
      <w:u w:val="single"/>
    </w:rPr>
  </w:style>
  <w:style w:type="character" w:styleId="FootnoteReference">
    <w:name w:val="footnote reference"/>
    <w:basedOn w:val="DefaultParagraphFont"/>
    <w:link w:val="FootnoteReferenceCharCarCharCharCarCharCarCharCarCharCarCharCharCarCarCharCharCharCharCharCarCharCarCharCharCarCharCar"/>
    <w:uiPriority w:val="99"/>
    <w:unhideWhenUsed/>
    <w:qFormat/>
    <w:rsid w:val="00B253AE"/>
    <w:rPr>
      <w:vertAlign w:val="superscript"/>
    </w:rPr>
  </w:style>
  <w:style w:type="character" w:customStyle="1" w:styleId="ind">
    <w:name w:val="ind"/>
    <w:basedOn w:val="DefaultParagraphFont"/>
    <w:rsid w:val="00B253AE"/>
  </w:style>
  <w:style w:type="paragraph" w:styleId="Revision">
    <w:name w:val="Revision"/>
    <w:hidden/>
    <w:uiPriority w:val="99"/>
    <w:semiHidden/>
    <w:rsid w:val="00B253AE"/>
    <w:pPr>
      <w:spacing w:after="0" w:line="240" w:lineRule="auto"/>
    </w:pPr>
  </w:style>
  <w:style w:type="paragraph" w:customStyle="1" w:styleId="SecurityMarking">
    <w:name w:val="SecurityMarking"/>
    <w:basedOn w:val="Normal"/>
    <w:rsid w:val="00B253AE"/>
    <w:pPr>
      <w:spacing w:after="0" w:line="276" w:lineRule="auto"/>
      <w:ind w:left="5103"/>
    </w:pPr>
    <w:rPr>
      <w:rFonts w:ascii="Times New Roman" w:hAnsi="Times New Roman" w:cs="Times New Roman"/>
      <w:sz w:val="28"/>
    </w:rPr>
  </w:style>
  <w:style w:type="paragraph" w:customStyle="1" w:styleId="DateMarking">
    <w:name w:val="DateMarking"/>
    <w:basedOn w:val="Normal"/>
    <w:rsid w:val="00B253AE"/>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B253AE"/>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rsid w:val="00B253AE"/>
    <w:pPr>
      <w:spacing w:after="120" w:line="240" w:lineRule="auto"/>
      <w:jc w:val="right"/>
    </w:pPr>
    <w:rPr>
      <w:rFonts w:ascii="Times New Roman" w:hAnsi="Times New Roman" w:cs="Times New Roman"/>
      <w:sz w:val="28"/>
    </w:rPr>
  </w:style>
  <w:style w:type="paragraph" w:customStyle="1" w:styleId="BodyText1">
    <w:name w:val="Body Text1"/>
    <w:basedOn w:val="Normal"/>
    <w:link w:val="BodytextChar"/>
    <w:qFormat/>
    <w:rsid w:val="00B52CEF"/>
    <w:pPr>
      <w:spacing w:before="120" w:after="120" w:line="240" w:lineRule="auto"/>
      <w:jc w:val="both"/>
    </w:pPr>
    <w:rPr>
      <w:rFonts w:ascii="Arial" w:eastAsia="Times New Roman" w:hAnsi="Arial" w:cs="Times New Roman"/>
    </w:rPr>
  </w:style>
  <w:style w:type="character" w:customStyle="1" w:styleId="BodytextChar">
    <w:name w:val="Body text Char"/>
    <w:link w:val="BodyText1"/>
    <w:rsid w:val="00B52CEF"/>
    <w:rPr>
      <w:rFonts w:ascii="Arial" w:eastAsia="Times New Roman" w:hAnsi="Arial" w:cs="Times New Roman"/>
    </w:rPr>
  </w:style>
  <w:style w:type="paragraph" w:customStyle="1" w:styleId="bullet1">
    <w:name w:val="bullet 1"/>
    <w:basedOn w:val="BodyText1"/>
    <w:link w:val="bullet1Char"/>
    <w:qFormat/>
    <w:rsid w:val="005A5A07"/>
  </w:style>
  <w:style w:type="character" w:customStyle="1" w:styleId="bullet1Char">
    <w:name w:val="bullet 1 Char"/>
    <w:basedOn w:val="BodytextChar"/>
    <w:link w:val="bullet1"/>
    <w:rsid w:val="005A5A07"/>
    <w:rPr>
      <w:rFonts w:ascii="Arial" w:eastAsia="Times New Roman" w:hAnsi="Arial" w:cs="Times New Roman"/>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basedOn w:val="Normal"/>
    <w:link w:val="FootnoteReference"/>
    <w:uiPriority w:val="99"/>
    <w:rsid w:val="005A5A07"/>
    <w:pPr>
      <w:spacing w:after="0" w:line="240" w:lineRule="exact"/>
    </w:pPr>
    <w:rPr>
      <w:vertAlign w:val="superscript"/>
    </w:rPr>
  </w:style>
  <w:style w:type="character" w:customStyle="1" w:styleId="TabletexttitleChar">
    <w:name w:val="Table text title Char"/>
    <w:basedOn w:val="DefaultParagraphFont"/>
    <w:link w:val="Tabletexttitle"/>
    <w:locked/>
    <w:rsid w:val="009F7E25"/>
    <w:rPr>
      <w:rFonts w:ascii="Arial" w:hAnsi="Arial"/>
      <w:b/>
      <w:color w:val="FFFFFF"/>
    </w:rPr>
  </w:style>
  <w:style w:type="paragraph" w:customStyle="1" w:styleId="Tabletexttitle">
    <w:name w:val="Table text title"/>
    <w:basedOn w:val="Normal"/>
    <w:link w:val="TabletexttitleChar"/>
    <w:qFormat/>
    <w:rsid w:val="009F7E25"/>
    <w:pPr>
      <w:framePr w:vSpace="68" w:wrap="around" w:vAnchor="text" w:hAnchor="margin" w:y="200"/>
      <w:tabs>
        <w:tab w:val="left" w:pos="990"/>
      </w:tabs>
      <w:spacing w:after="0" w:line="240" w:lineRule="auto"/>
      <w:suppressOverlap/>
    </w:pPr>
    <w:rPr>
      <w:rFonts w:ascii="Arial" w:hAnsi="Arial"/>
      <w:b/>
      <w:color w:val="FFFFFF"/>
    </w:rPr>
  </w:style>
  <w:style w:type="character" w:customStyle="1" w:styleId="TabletextChar0">
    <w:name w:val="Table_text Char"/>
    <w:basedOn w:val="DefaultParagraphFont"/>
    <w:link w:val="Tabletext0"/>
    <w:locked/>
    <w:rsid w:val="009F7E25"/>
    <w:rPr>
      <w:rFonts w:ascii="Arial" w:hAnsi="Arial"/>
      <w:sz w:val="18"/>
    </w:rPr>
  </w:style>
  <w:style w:type="paragraph" w:customStyle="1" w:styleId="Tabletext0">
    <w:name w:val="Table_text"/>
    <w:basedOn w:val="Normal"/>
    <w:link w:val="TabletextChar0"/>
    <w:qFormat/>
    <w:rsid w:val="009F7E25"/>
    <w:pPr>
      <w:framePr w:vSpace="68" w:wrap="around" w:vAnchor="text" w:hAnchor="margin" w:y="200"/>
      <w:spacing w:after="0" w:line="240" w:lineRule="auto"/>
      <w:suppressOverlap/>
      <w:jc w:val="both"/>
    </w:pPr>
    <w:rPr>
      <w:rFonts w:ascii="Arial" w:hAnsi="Arial"/>
      <w:sz w:val="18"/>
    </w:rPr>
  </w:style>
  <w:style w:type="paragraph" w:customStyle="1" w:styleId="SUPERSChar">
    <w:name w:val="SUPERS Char"/>
    <w:basedOn w:val="Normal"/>
    <w:uiPriority w:val="99"/>
    <w:rsid w:val="00B5426B"/>
    <w:pPr>
      <w:widowControl w:val="0"/>
      <w:adjustRightInd w:val="0"/>
      <w:spacing w:line="240" w:lineRule="exact"/>
      <w:jc w:val="both"/>
      <w:textAlignment w:val="baseline"/>
    </w:pPr>
    <w:rPr>
      <w:rFonts w:ascii="Times New Roman" w:eastAsia="Times New Roman" w:hAnsi="Times New Roman" w:cs="Times New Roman"/>
      <w:sz w:val="20"/>
      <w:vertAlign w:val="superscript"/>
    </w:rPr>
  </w:style>
  <w:style w:type="paragraph" w:customStyle="1" w:styleId="FootnotesymbolCharCharCharChar">
    <w:name w:val="Footnote symbol Char Char Char Char"/>
    <w:basedOn w:val="Normal"/>
    <w:uiPriority w:val="99"/>
    <w:rsid w:val="00F77567"/>
    <w:pPr>
      <w:spacing w:before="120" w:after="120" w:line="240" w:lineRule="exact"/>
    </w:pPr>
    <w:rPr>
      <w:sz w:val="20"/>
      <w:vertAlign w:val="superscript"/>
    </w:rPr>
  </w:style>
  <w:style w:type="character" w:customStyle="1" w:styleId="highlight">
    <w:name w:val="highlight"/>
    <w:basedOn w:val="DefaultParagraphFont"/>
    <w:rsid w:val="00C1540B"/>
  </w:style>
  <w:style w:type="character" w:styleId="Emphasis">
    <w:name w:val="Emphasis"/>
    <w:basedOn w:val="DefaultParagraphFont"/>
    <w:uiPriority w:val="20"/>
    <w:qFormat/>
    <w:rsid w:val="0048660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0410">
      <w:bodyDiv w:val="1"/>
      <w:marLeft w:val="0"/>
      <w:marRight w:val="0"/>
      <w:marTop w:val="0"/>
      <w:marBottom w:val="0"/>
      <w:divBdr>
        <w:top w:val="none" w:sz="0" w:space="0" w:color="auto"/>
        <w:left w:val="none" w:sz="0" w:space="0" w:color="auto"/>
        <w:bottom w:val="none" w:sz="0" w:space="0" w:color="auto"/>
        <w:right w:val="none" w:sz="0" w:space="0" w:color="auto"/>
      </w:divBdr>
    </w:div>
    <w:div w:id="492188379">
      <w:bodyDiv w:val="1"/>
      <w:marLeft w:val="0"/>
      <w:marRight w:val="0"/>
      <w:marTop w:val="0"/>
      <w:marBottom w:val="0"/>
      <w:divBdr>
        <w:top w:val="none" w:sz="0" w:space="0" w:color="auto"/>
        <w:left w:val="none" w:sz="0" w:space="0" w:color="auto"/>
        <w:bottom w:val="none" w:sz="0" w:space="0" w:color="auto"/>
        <w:right w:val="none" w:sz="0" w:space="0" w:color="auto"/>
      </w:divBdr>
    </w:div>
    <w:div w:id="722825659">
      <w:bodyDiv w:val="1"/>
      <w:marLeft w:val="0"/>
      <w:marRight w:val="0"/>
      <w:marTop w:val="0"/>
      <w:marBottom w:val="0"/>
      <w:divBdr>
        <w:top w:val="none" w:sz="0" w:space="0" w:color="auto"/>
        <w:left w:val="none" w:sz="0" w:space="0" w:color="auto"/>
        <w:bottom w:val="none" w:sz="0" w:space="0" w:color="auto"/>
        <w:right w:val="none" w:sz="0" w:space="0" w:color="auto"/>
      </w:divBdr>
    </w:div>
    <w:div w:id="7596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75752ebb7957419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RO/TXT/?uri=CELEX:52020DC0312" TargetMode="External"/><Relationship Id="rId1" Type="http://schemas.openxmlformats.org/officeDocument/2006/relationships/hyperlink" Target="https://eur-lex.europa.eu/legal-content/EN/TXT/PDF/?uri=CELEX:52019SC0015&amp;qid=166749286469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5" ma:contentTypeDescription="Create a new document." ma:contentTypeScope="" ma:versionID="97fe069b54643385d226674029b7023d">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9a17db0089805da478e0be4403b087e9"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dfa6f6-b61c-4947-ac87-f9715d7c9a4f}"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C603-06F9-4E9A-A5E5-954B741002BD}">
  <ds:schemaRefs>
    <ds:schemaRef ds:uri="http://schemas.microsoft.com/sharepoint/v3/contenttype/forms"/>
  </ds:schemaRefs>
</ds:datastoreItem>
</file>

<file path=customXml/itemProps2.xml><?xml version="1.0" encoding="utf-8"?>
<ds:datastoreItem xmlns:ds="http://schemas.openxmlformats.org/officeDocument/2006/customXml" ds:itemID="{857144B9-A85B-43E7-872C-CA5A15EE9C37}">
  <ds:schemaRefs>
    <ds:schemaRef ds:uri="http://purl.org/dc/terms/"/>
    <ds:schemaRef ds:uri="33e07890-6196-4e26-9dd2-53178dae8e4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aa54b14-608b-44ba-8621-4287d9574b27"/>
    <ds:schemaRef ds:uri="http://www.w3.org/XML/1998/namespace"/>
    <ds:schemaRef ds:uri="http://purl.org/dc/dcmitype/"/>
  </ds:schemaRefs>
</ds:datastoreItem>
</file>

<file path=customXml/itemProps3.xml><?xml version="1.0" encoding="utf-8"?>
<ds:datastoreItem xmlns:ds="http://schemas.openxmlformats.org/officeDocument/2006/customXml" ds:itemID="{1424D3CC-9D92-4BC6-B063-5DFB5F88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9A931-A67E-4D3C-841D-FB3B83D6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6182</Words>
  <Characters>36666</Characters>
  <Application>Microsoft Office Word</Application>
  <DocSecurity>0</DocSecurity>
  <Lines>470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2022-07-27T11:17:00Z</cp:lastPrinted>
  <dcterms:created xsi:type="dcterms:W3CDTF">2022-11-11T13:28:00Z</dcterms:created>
  <dcterms:modified xsi:type="dcterms:W3CDTF">2022-12-07T08:34:00Z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7.0.1, Build 20200226</vt:lpwstr>
  </property>
  <property fmtid="{D5CDD505-2E9C-101B-9397-08002B2CF9AE}" pid="9" name="ContentTypeId">
    <vt:lpwstr>0x010100ECFDF3D715AA394A9B15E0E0FAA07E37</vt:lpwstr>
  </property>
  <property fmtid="{D5CDD505-2E9C-101B-9397-08002B2CF9AE}" pid="10" name="MSIP_Label_6bd9ddd1-4d20-43f6-abfa-fc3c07406f94_Enabled">
    <vt:lpwstr>true</vt:lpwstr>
  </property>
  <property fmtid="{D5CDD505-2E9C-101B-9397-08002B2CF9AE}" pid="11" name="MSIP_Label_6bd9ddd1-4d20-43f6-abfa-fc3c07406f94_SetDate">
    <vt:lpwstr>2022-05-13T12:30:16Z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adfdfb53-e761-4767-a7ce-80b28a5c444e</vt:lpwstr>
  </property>
  <property fmtid="{D5CDD505-2E9C-101B-9397-08002B2CF9AE}" pid="16" name="MSIP_Label_6bd9ddd1-4d20-43f6-abfa-fc3c07406f94_ContentBits">
    <vt:lpwstr>0</vt:lpwstr>
  </property>
  <property fmtid="{D5CDD505-2E9C-101B-9397-08002B2CF9AE}" pid="17" name="MediaServiceImageTags">
    <vt:lpwstr/>
  </property>
</Properties>
</file>