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A13F" w14:textId="38C36113" w:rsidR="00FA089C" w:rsidRPr="00C84636" w:rsidRDefault="00F37C42" w:rsidP="00F37C42">
      <w:pPr>
        <w:pStyle w:val="Pagedecouverture"/>
        <w:rPr>
          <w:noProof/>
        </w:rPr>
      </w:pPr>
      <w:r>
        <w:rPr>
          <w:noProof/>
        </w:rPr>
        <w:pict w14:anchorId="7528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9668B72-C195-412F-9497-7662CA785710" style="width:455.25pt;height:470.25pt">
            <v:imagedata r:id="rId8" o:title=""/>
          </v:shape>
        </w:pict>
      </w:r>
    </w:p>
    <w:p w14:paraId="3BF6C09C" w14:textId="77777777" w:rsidR="00FA089C" w:rsidRPr="00C84636" w:rsidRDefault="00FA089C" w:rsidP="00FA089C">
      <w:pPr>
        <w:rPr>
          <w:noProof/>
        </w:rPr>
        <w:sectPr w:rsidR="00FA089C" w:rsidRPr="00C84636" w:rsidSect="00F37C4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447E888" w14:textId="77777777" w:rsidR="00FA089C" w:rsidRPr="00C84636" w:rsidRDefault="00FA089C" w:rsidP="00FA089C">
      <w:pPr>
        <w:pStyle w:val="Annexetitre"/>
        <w:rPr>
          <w:noProof/>
        </w:rPr>
      </w:pPr>
      <w:bookmarkStart w:id="0" w:name="_GoBack"/>
      <w:bookmarkEnd w:id="0"/>
      <w:r w:rsidRPr="00C84636">
        <w:rPr>
          <w:noProof/>
        </w:rPr>
        <w:lastRenderedPageBreak/>
        <w:t xml:space="preserve">ANNEX </w:t>
      </w:r>
    </w:p>
    <w:p w14:paraId="55B0644D" w14:textId="77777777" w:rsidR="009B3AEA" w:rsidRPr="00C84636" w:rsidRDefault="009B3AEA" w:rsidP="009B3AEA">
      <w:pPr>
        <w:spacing w:before="360" w:after="0"/>
        <w:jc w:val="center"/>
        <w:rPr>
          <w:b/>
          <w:noProof/>
          <w:szCs w:val="24"/>
        </w:rPr>
      </w:pPr>
      <w:r w:rsidRPr="00C84636">
        <w:rPr>
          <w:b/>
          <w:noProof/>
          <w:szCs w:val="24"/>
        </w:rPr>
        <w:t>DECISION OF THE EEA JOINT COMMITTEE</w:t>
      </w:r>
    </w:p>
    <w:p w14:paraId="6B04AEF8" w14:textId="77777777" w:rsidR="009B3AEA" w:rsidRPr="00C84636" w:rsidRDefault="009B3AEA" w:rsidP="009B3AEA">
      <w:pPr>
        <w:spacing w:after="0"/>
        <w:jc w:val="center"/>
        <w:rPr>
          <w:b/>
          <w:noProof/>
          <w:szCs w:val="24"/>
        </w:rPr>
      </w:pPr>
      <w:r w:rsidRPr="00C84636">
        <w:rPr>
          <w:b/>
          <w:noProof/>
          <w:szCs w:val="24"/>
        </w:rPr>
        <w:t>No […]</w:t>
      </w:r>
    </w:p>
    <w:p w14:paraId="2DB9477F" w14:textId="77777777" w:rsidR="009B3AEA" w:rsidRPr="00C84636" w:rsidRDefault="009B3AEA" w:rsidP="009B3AEA">
      <w:pPr>
        <w:spacing w:before="360" w:after="0"/>
        <w:jc w:val="center"/>
        <w:rPr>
          <w:b/>
          <w:noProof/>
          <w:szCs w:val="24"/>
        </w:rPr>
      </w:pPr>
      <w:r w:rsidRPr="00C84636">
        <w:rPr>
          <w:b/>
          <w:noProof/>
          <w:szCs w:val="24"/>
        </w:rPr>
        <w:t>of […]</w:t>
      </w:r>
    </w:p>
    <w:p w14:paraId="37F8A017" w14:textId="77777777" w:rsidR="009B3AEA" w:rsidRPr="00C84636" w:rsidRDefault="009B3AEA" w:rsidP="009B3AEA">
      <w:pPr>
        <w:spacing w:before="360" w:after="360"/>
        <w:jc w:val="center"/>
        <w:rPr>
          <w:rFonts w:ascii="Times New Roman Bold" w:hAnsi="Times New Roman Bold"/>
          <w:b/>
          <w:noProof/>
          <w:szCs w:val="24"/>
        </w:rPr>
      </w:pPr>
      <w:r w:rsidRPr="00C84636">
        <w:rPr>
          <w:rFonts w:ascii="Times New Roman Bold" w:hAnsi="Times New Roman Bold"/>
          <w:b/>
          <w:noProof/>
          <w:szCs w:val="24"/>
        </w:rPr>
        <w:t>amending Annex XI (Electronic communication, audiovisual services and information society) and Protocol 37 (containing the list provided for in Article 101) to the EEA Agreement</w:t>
      </w:r>
    </w:p>
    <w:p w14:paraId="58225ABC" w14:textId="77777777" w:rsidR="009B3AEA" w:rsidRPr="00C84636" w:rsidRDefault="009B3AEA" w:rsidP="009B3AEA">
      <w:pPr>
        <w:spacing w:before="600"/>
        <w:rPr>
          <w:noProof/>
          <w:szCs w:val="24"/>
        </w:rPr>
      </w:pPr>
      <w:r w:rsidRPr="00C84636">
        <w:rPr>
          <w:noProof/>
          <w:szCs w:val="24"/>
        </w:rPr>
        <w:t>THE EEA JOINT COMMITTEE,</w:t>
      </w:r>
    </w:p>
    <w:p w14:paraId="38FFC9F8" w14:textId="77777777" w:rsidR="009B3AEA" w:rsidRPr="00C84636" w:rsidRDefault="009B3AEA" w:rsidP="009B3AEA">
      <w:pPr>
        <w:rPr>
          <w:noProof/>
          <w:szCs w:val="24"/>
        </w:rPr>
      </w:pPr>
      <w:r w:rsidRPr="00C84636">
        <w:rPr>
          <w:noProof/>
          <w:szCs w:val="24"/>
        </w:rPr>
        <w:t>Having regard to the Agreement on the European Economic Area (“the EEA Agreement”), and in particular Article 98 thereof,</w:t>
      </w:r>
    </w:p>
    <w:p w14:paraId="47F4099B" w14:textId="77777777" w:rsidR="009B3AEA" w:rsidRPr="00C84636" w:rsidRDefault="009B3AEA" w:rsidP="009B3AEA">
      <w:pPr>
        <w:rPr>
          <w:noProof/>
          <w:szCs w:val="24"/>
        </w:rPr>
      </w:pPr>
      <w:r w:rsidRPr="00C84636">
        <w:rPr>
          <w:noProof/>
          <w:szCs w:val="24"/>
        </w:rPr>
        <w:t>Whereas:</w:t>
      </w:r>
    </w:p>
    <w:p w14:paraId="78216954" w14:textId="77777777" w:rsidR="009B3AEA" w:rsidRPr="00E5568E" w:rsidRDefault="009B3AEA" w:rsidP="00C84636">
      <w:pPr>
        <w:pStyle w:val="Point0number"/>
        <w:numPr>
          <w:ilvl w:val="0"/>
          <w:numId w:val="49"/>
        </w:numPr>
        <w:rPr>
          <w:noProof/>
        </w:rPr>
      </w:pPr>
      <w:bookmarkStart w:id="1" w:name="_Hlk66716304"/>
      <w:r w:rsidRPr="00C84636">
        <w:rPr>
          <w:noProof/>
        </w:rPr>
        <w:t>Regulation (EU) 2019/881 of the European Parliament and of the Council of 17 April 2019 on ENISA (the European Union Agency for Cybersecurity) and on information and communications technology cybersecurity certification and repealing Regulation (EU) No 526/2013 (Cybersecurity Act)</w:t>
      </w:r>
      <w:bookmarkEnd w:id="1"/>
      <w:r w:rsidRPr="00C84636">
        <w:rPr>
          <w:rStyle w:val="FootnoteReference"/>
          <w:noProof/>
          <w:szCs w:val="24"/>
        </w:rPr>
        <w:footnoteReference w:id="1"/>
      </w:r>
      <w:r w:rsidRPr="00C84636">
        <w:rPr>
          <w:noProof/>
        </w:rPr>
        <w:t xml:space="preserve"> </w:t>
      </w:r>
      <w:r w:rsidRPr="00E5568E">
        <w:rPr>
          <w:noProof/>
        </w:rPr>
        <w:t>is to be incorporated into the EEA Agreement.</w:t>
      </w:r>
    </w:p>
    <w:p w14:paraId="34D2BC8B" w14:textId="77777777" w:rsidR="009B3AEA" w:rsidRPr="00E5568E" w:rsidRDefault="009B3AEA" w:rsidP="00C84636">
      <w:pPr>
        <w:pStyle w:val="Point0number"/>
        <w:rPr>
          <w:noProof/>
        </w:rPr>
      </w:pPr>
      <w:r w:rsidRPr="00C84636">
        <w:rPr>
          <w:noProof/>
        </w:rPr>
        <w:t>Regulation (EU) 2019/881 repeals Regulation (EU) No 526/2013 of the European Parliament and of the Council</w:t>
      </w:r>
      <w:r w:rsidRPr="00C84636">
        <w:rPr>
          <w:rStyle w:val="FootnoteReference"/>
          <w:noProof/>
          <w:szCs w:val="24"/>
        </w:rPr>
        <w:footnoteReference w:id="2"/>
      </w:r>
      <w:r w:rsidRPr="00C84636">
        <w:rPr>
          <w:noProof/>
        </w:rPr>
        <w:t>, which is incorporated into the EEA Agreement and which is consequently to be repealed under the EEA Agreement.</w:t>
      </w:r>
    </w:p>
    <w:p w14:paraId="1397F23F" w14:textId="77777777" w:rsidR="009B3AEA" w:rsidRPr="00C84636" w:rsidRDefault="009B3AEA" w:rsidP="00C84636">
      <w:pPr>
        <w:pStyle w:val="Point0number"/>
        <w:rPr>
          <w:noProof/>
        </w:rPr>
      </w:pPr>
      <w:r w:rsidRPr="00C84636">
        <w:rPr>
          <w:noProof/>
        </w:rPr>
        <w:t>Annex XI and Protocol 37 to the EEA Agreement should therefore be amended accordingly,</w:t>
      </w:r>
    </w:p>
    <w:p w14:paraId="473514E2" w14:textId="77777777" w:rsidR="009B3AEA" w:rsidRPr="00C84636" w:rsidRDefault="009B3AEA" w:rsidP="009B3AEA">
      <w:pPr>
        <w:keepNext/>
        <w:tabs>
          <w:tab w:val="left" w:pos="709"/>
        </w:tabs>
        <w:rPr>
          <w:noProof/>
          <w:szCs w:val="24"/>
        </w:rPr>
      </w:pPr>
      <w:r w:rsidRPr="00C84636">
        <w:rPr>
          <w:noProof/>
          <w:szCs w:val="24"/>
        </w:rPr>
        <w:t>HAS ADOPTED THIS DECISION:</w:t>
      </w:r>
    </w:p>
    <w:p w14:paraId="5A6EEC34" w14:textId="77777777" w:rsidR="009B3AEA" w:rsidRPr="00C84636" w:rsidRDefault="009B3AEA" w:rsidP="009B3AEA">
      <w:pPr>
        <w:pStyle w:val="Articleheading"/>
        <w:rPr>
          <w:noProof/>
          <w:color w:val="auto"/>
        </w:rPr>
      </w:pPr>
      <w:r w:rsidRPr="00C84636">
        <w:rPr>
          <w:noProof/>
          <w:color w:val="auto"/>
        </w:rPr>
        <w:t>Article 1</w:t>
      </w:r>
    </w:p>
    <w:p w14:paraId="6C687961" w14:textId="77777777" w:rsidR="009B3AEA" w:rsidRPr="00C84636" w:rsidRDefault="009B3AEA" w:rsidP="009B3AEA">
      <w:pPr>
        <w:pStyle w:val="Articletext"/>
        <w:rPr>
          <w:noProof/>
          <w:color w:val="auto"/>
        </w:rPr>
      </w:pPr>
      <w:r w:rsidRPr="00C84636">
        <w:rPr>
          <w:noProof/>
          <w:color w:val="auto"/>
        </w:rPr>
        <w:t>The text of point 5cp (Regulation (EU) No 526/2013 of the European Parliament and of the Council) of Annex XI to the EEA Agreement is replaced by the following:</w:t>
      </w:r>
    </w:p>
    <w:p w14:paraId="7F056D0E" w14:textId="77777777" w:rsidR="009B3AEA" w:rsidRPr="00C84636" w:rsidRDefault="009B3AEA" w:rsidP="009B3AEA">
      <w:pPr>
        <w:pStyle w:val="Articletext"/>
        <w:rPr>
          <w:noProof/>
          <w:color w:val="auto"/>
        </w:rPr>
      </w:pPr>
      <w:r w:rsidRPr="00C84636">
        <w:rPr>
          <w:noProof/>
          <w:color w:val="auto"/>
        </w:rPr>
        <w:t>‘</w:t>
      </w:r>
      <w:r w:rsidRPr="00C84636">
        <w:rPr>
          <w:b/>
          <w:bCs/>
          <w:noProof/>
          <w:color w:val="auto"/>
        </w:rPr>
        <w:t>32019 R 0881</w:t>
      </w:r>
      <w:r w:rsidRPr="00C84636">
        <w:rPr>
          <w:noProof/>
          <w:color w:val="auto"/>
        </w:rPr>
        <w:t>: Regulation (EU) 2019/881 of the European Parliament and of the Council of 17 April 2019 on ENISA (the European Union Agency for Cybersecurity) and on information and communications technology cybersecurity certification and repealing Regulation (EU) No 526/2013 (Cybersecurity Act) (OJ L 151, 7.6.2019, p. 15).</w:t>
      </w:r>
    </w:p>
    <w:p w14:paraId="0E35A4CE" w14:textId="77777777" w:rsidR="009B3AEA" w:rsidRPr="00C84636" w:rsidRDefault="009B3AEA" w:rsidP="009B3AEA">
      <w:pPr>
        <w:pStyle w:val="Articletext"/>
        <w:rPr>
          <w:noProof/>
          <w:color w:val="auto"/>
        </w:rPr>
      </w:pPr>
      <w:r w:rsidRPr="00C84636">
        <w:rPr>
          <w:noProof/>
          <w:color w:val="auto"/>
        </w:rPr>
        <w:t>The text of the Regulation shall, for the purposes of this Agreement, be read with the following adaptations:</w:t>
      </w:r>
    </w:p>
    <w:p w14:paraId="3B0029E9" w14:textId="77777777" w:rsidR="009B3AEA" w:rsidRPr="00C84636" w:rsidRDefault="009B3AEA" w:rsidP="009B3AEA">
      <w:pPr>
        <w:pStyle w:val="Articletext"/>
        <w:ind w:left="708" w:hanging="708"/>
        <w:rPr>
          <w:noProof/>
          <w:color w:val="auto"/>
        </w:rPr>
      </w:pPr>
      <w:r w:rsidRPr="00C84636">
        <w:rPr>
          <w:noProof/>
          <w:color w:val="auto"/>
        </w:rPr>
        <w:t>(a)</w:t>
      </w:r>
      <w:r w:rsidRPr="00C84636">
        <w:rPr>
          <w:noProof/>
          <w:color w:val="auto"/>
        </w:rPr>
        <w:tab/>
        <w:t xml:space="preserve">Unless otherwise stipulated below, and notwithstanding the provisions of Protocol 1 to the Agreement, the term ‘Member State(s)’ and other terms referring to their authorities contained in the Regulation shall be understood to include, in addition to their meaning in the Regulation, the EFTA States and their authorities. </w:t>
      </w:r>
    </w:p>
    <w:p w14:paraId="10549688" w14:textId="77777777" w:rsidR="009B3AEA" w:rsidRPr="00C84636" w:rsidRDefault="009B3AEA" w:rsidP="009B3AEA">
      <w:pPr>
        <w:pStyle w:val="Adaptation"/>
        <w:ind w:left="709" w:hanging="709"/>
        <w:rPr>
          <w:noProof/>
          <w:color w:val="auto"/>
        </w:rPr>
      </w:pPr>
      <w:r w:rsidRPr="00C84636">
        <w:rPr>
          <w:noProof/>
          <w:color w:val="auto"/>
        </w:rPr>
        <w:t>(b)</w:t>
      </w:r>
      <w:r w:rsidRPr="00C84636">
        <w:rPr>
          <w:noProof/>
          <w:color w:val="auto"/>
        </w:rPr>
        <w:tab/>
        <w:t>As regards the EFTA States, the Agency shall, as and when appropriate, assist the EFTA Surveillance Authority or the Standing Committee, as the case may be, in the performance of their respective tasks.</w:t>
      </w:r>
    </w:p>
    <w:p w14:paraId="181F8C71" w14:textId="77777777" w:rsidR="009B3AEA" w:rsidRPr="00C84636" w:rsidRDefault="009B3AEA" w:rsidP="009B3AEA">
      <w:pPr>
        <w:pStyle w:val="Adaptation"/>
        <w:ind w:left="709" w:hanging="709"/>
        <w:rPr>
          <w:noProof/>
          <w:color w:val="auto"/>
        </w:rPr>
      </w:pPr>
      <w:r w:rsidRPr="00C84636">
        <w:rPr>
          <w:noProof/>
          <w:color w:val="auto"/>
        </w:rPr>
        <w:t>(c)</w:t>
      </w:r>
      <w:r w:rsidRPr="00C84636">
        <w:rPr>
          <w:noProof/>
          <w:color w:val="auto"/>
        </w:rPr>
        <w:tab/>
        <w:t>As regards the EFTA States, references to Union law shall be understood as references to the EEA Agreement.</w:t>
      </w:r>
    </w:p>
    <w:p w14:paraId="0D5B84E6" w14:textId="77777777" w:rsidR="009B3AEA" w:rsidRPr="00C84636" w:rsidRDefault="009B3AEA" w:rsidP="009B3AEA">
      <w:pPr>
        <w:pStyle w:val="Adaptation"/>
        <w:ind w:left="709" w:hanging="709"/>
        <w:rPr>
          <w:noProof/>
          <w:color w:val="auto"/>
        </w:rPr>
      </w:pPr>
      <w:r w:rsidRPr="00C84636">
        <w:rPr>
          <w:noProof/>
          <w:color w:val="auto"/>
        </w:rPr>
        <w:t>(d)</w:t>
      </w:r>
      <w:r w:rsidRPr="00C84636">
        <w:rPr>
          <w:noProof/>
          <w:color w:val="auto"/>
        </w:rPr>
        <w:tab/>
        <w:t>The following paragraph shall be added in Article 14:</w:t>
      </w:r>
    </w:p>
    <w:p w14:paraId="0B0627BA" w14:textId="77777777" w:rsidR="009B3AEA" w:rsidRPr="00C84636" w:rsidRDefault="009B3AEA" w:rsidP="009B3AEA">
      <w:pPr>
        <w:pStyle w:val="Point2"/>
        <w:ind w:left="1418" w:hanging="709"/>
        <w:rPr>
          <w:noProof/>
        </w:rPr>
      </w:pPr>
      <w:r w:rsidRPr="00C84636">
        <w:rPr>
          <w:noProof/>
        </w:rPr>
        <w:t>“5.</w:t>
      </w:r>
      <w:r w:rsidRPr="00C84636">
        <w:rPr>
          <w:noProof/>
        </w:rPr>
        <w:tab/>
        <w:t>The EFTA States shall participate fully in the Management Board and shall within it have the same rights and obligations as EU Member States, except for the right to vote.”</w:t>
      </w:r>
    </w:p>
    <w:p w14:paraId="062EB895" w14:textId="77777777" w:rsidR="009B3AEA" w:rsidRPr="00C84636" w:rsidRDefault="009B3AEA" w:rsidP="009B3AEA">
      <w:pPr>
        <w:pStyle w:val="Adaptation"/>
        <w:ind w:left="709" w:hanging="709"/>
        <w:rPr>
          <w:noProof/>
          <w:color w:val="auto"/>
        </w:rPr>
      </w:pPr>
      <w:r w:rsidRPr="00C84636">
        <w:rPr>
          <w:noProof/>
          <w:color w:val="auto"/>
        </w:rPr>
        <w:t>(e)</w:t>
      </w:r>
      <w:r w:rsidRPr="00C84636">
        <w:rPr>
          <w:noProof/>
          <w:color w:val="auto"/>
        </w:rPr>
        <w:tab/>
        <w:t>The following paragraph shall be added in Article 28:</w:t>
      </w:r>
    </w:p>
    <w:p w14:paraId="496BCD79" w14:textId="77777777" w:rsidR="009B3AEA" w:rsidRPr="00C84636" w:rsidRDefault="009B3AEA" w:rsidP="009B3AEA">
      <w:pPr>
        <w:pStyle w:val="Point2"/>
        <w:ind w:left="1418" w:hanging="709"/>
        <w:rPr>
          <w:noProof/>
        </w:rPr>
      </w:pPr>
      <w:r w:rsidRPr="00C84636">
        <w:rPr>
          <w:noProof/>
        </w:rPr>
        <w:t>“4.</w:t>
      </w:r>
      <w:r w:rsidRPr="00C84636">
        <w:rPr>
          <w:noProof/>
        </w:rPr>
        <w:tab/>
        <w:t>Regulation (EC) No 1049/2001 shall, for the application of this Regulation, apply to any documents of the Agency regarding the EFTA States as well.”</w:t>
      </w:r>
    </w:p>
    <w:p w14:paraId="47B66E47" w14:textId="77777777" w:rsidR="009B3AEA" w:rsidRPr="00C84636" w:rsidRDefault="009B3AEA" w:rsidP="009B3AEA">
      <w:pPr>
        <w:pStyle w:val="Adaptation"/>
        <w:ind w:left="709" w:hanging="709"/>
        <w:rPr>
          <w:noProof/>
          <w:color w:val="auto"/>
        </w:rPr>
      </w:pPr>
      <w:r w:rsidRPr="00C84636">
        <w:rPr>
          <w:noProof/>
          <w:color w:val="auto"/>
        </w:rPr>
        <w:t>(f)</w:t>
      </w:r>
      <w:r w:rsidRPr="00C84636">
        <w:rPr>
          <w:noProof/>
          <w:color w:val="auto"/>
        </w:rPr>
        <w:tab/>
        <w:t>The following paragraph shall be added in Article 30:</w:t>
      </w:r>
    </w:p>
    <w:p w14:paraId="3CB17308" w14:textId="77777777" w:rsidR="009B3AEA" w:rsidRPr="00C84636" w:rsidRDefault="009B3AEA" w:rsidP="009B3AEA">
      <w:pPr>
        <w:pStyle w:val="Point2"/>
        <w:ind w:left="1418" w:hanging="709"/>
        <w:rPr>
          <w:noProof/>
        </w:rPr>
      </w:pPr>
      <w:r w:rsidRPr="00C84636">
        <w:rPr>
          <w:noProof/>
        </w:rPr>
        <w:t>“3.</w:t>
      </w:r>
      <w:r w:rsidRPr="00C84636">
        <w:rPr>
          <w:noProof/>
        </w:rPr>
        <w:tab/>
        <w:t xml:space="preserve">The EFTA States shall participate in the contribution from the Union referred to in paragraph 1 point (a). For this purpose, the procedures laid down in Article 82(1)(a) of and Protocol 32 to the EEA Agreement shall apply </w:t>
      </w:r>
      <w:r w:rsidRPr="00C84636">
        <w:rPr>
          <w:i/>
          <w:noProof/>
        </w:rPr>
        <w:t>mutatis mutandis</w:t>
      </w:r>
      <w:r w:rsidRPr="00C84636">
        <w:rPr>
          <w:noProof/>
        </w:rPr>
        <w:t>.”</w:t>
      </w:r>
    </w:p>
    <w:p w14:paraId="7E96E08E" w14:textId="77777777" w:rsidR="009B3AEA" w:rsidRPr="00C84636" w:rsidRDefault="009B3AEA" w:rsidP="009B3AEA">
      <w:pPr>
        <w:pStyle w:val="Adaptation"/>
        <w:ind w:left="709" w:hanging="709"/>
        <w:rPr>
          <w:noProof/>
          <w:color w:val="auto"/>
        </w:rPr>
      </w:pPr>
      <w:r w:rsidRPr="00C84636">
        <w:rPr>
          <w:noProof/>
          <w:color w:val="auto"/>
        </w:rPr>
        <w:t>(g)</w:t>
      </w:r>
      <w:r w:rsidRPr="00C84636">
        <w:rPr>
          <w:noProof/>
          <w:color w:val="auto"/>
        </w:rPr>
        <w:tab/>
        <w:t>The following paragraph shall be added in Article 34:</w:t>
      </w:r>
    </w:p>
    <w:p w14:paraId="7D31A1F1" w14:textId="77777777" w:rsidR="009B3AEA" w:rsidRPr="00C84636" w:rsidRDefault="009B3AEA" w:rsidP="009B3AEA">
      <w:pPr>
        <w:pStyle w:val="Point2"/>
        <w:ind w:left="709" w:firstLine="0"/>
        <w:rPr>
          <w:noProof/>
        </w:rPr>
      </w:pPr>
      <w:r w:rsidRPr="00C84636">
        <w:rPr>
          <w:noProof/>
        </w:rPr>
        <w:t xml:space="preserve">“By way of derogation from Article 12(2)(a) and 82(3)(a) of the Conditions of employment of Other Servants, nationals of the EFTA States enjoying their full rights as citizens may be engaged under contract by the </w:t>
      </w:r>
      <w:r w:rsidRPr="00C84636">
        <w:rPr>
          <w:noProof/>
          <w:lang w:eastAsia="en-GB"/>
        </w:rPr>
        <w:t>Executive Director of the Agency</w:t>
      </w:r>
      <w:r w:rsidRPr="00C84636">
        <w:rPr>
          <w:noProof/>
        </w:rPr>
        <w:t>.”</w:t>
      </w:r>
    </w:p>
    <w:p w14:paraId="741E8C37" w14:textId="77777777" w:rsidR="009B3AEA" w:rsidRPr="00C84636" w:rsidRDefault="009B3AEA" w:rsidP="009B3AEA">
      <w:pPr>
        <w:pStyle w:val="Adaptation"/>
        <w:ind w:left="709" w:hanging="709"/>
        <w:rPr>
          <w:noProof/>
          <w:color w:val="auto"/>
        </w:rPr>
      </w:pPr>
      <w:r w:rsidRPr="00C84636">
        <w:rPr>
          <w:noProof/>
          <w:color w:val="auto"/>
        </w:rPr>
        <w:t>(h)</w:t>
      </w:r>
      <w:r w:rsidRPr="00C84636">
        <w:rPr>
          <w:noProof/>
          <w:color w:val="auto"/>
        </w:rPr>
        <w:tab/>
        <w:t>The following paragraph shall be added in Article 35:</w:t>
      </w:r>
    </w:p>
    <w:p w14:paraId="52F608F3" w14:textId="77777777" w:rsidR="009B3AEA" w:rsidRPr="00C84636" w:rsidRDefault="009B3AEA" w:rsidP="009B3AEA">
      <w:pPr>
        <w:pStyle w:val="Point2"/>
        <w:ind w:left="709" w:firstLine="0"/>
        <w:rPr>
          <w:noProof/>
        </w:rPr>
      </w:pPr>
      <w:r w:rsidRPr="00C84636">
        <w:rPr>
          <w:noProof/>
        </w:rPr>
        <w:t>“The EFTA States shall grant privileges and immunities to the Agency and its staff equivalent to those contained in the Protocol on Privileges and Immunities of the European Union.”</w:t>
      </w:r>
    </w:p>
    <w:p w14:paraId="43C22C91" w14:textId="77777777" w:rsidR="009B3AEA" w:rsidRPr="00C84636" w:rsidRDefault="009B3AEA" w:rsidP="009B3AEA">
      <w:pPr>
        <w:pStyle w:val="Adaptation"/>
        <w:ind w:left="709" w:hanging="709"/>
        <w:rPr>
          <w:noProof/>
          <w:color w:val="auto"/>
        </w:rPr>
      </w:pPr>
      <w:r w:rsidRPr="00C84636">
        <w:rPr>
          <w:noProof/>
          <w:color w:val="auto"/>
        </w:rPr>
        <w:t>(i)</w:t>
      </w:r>
      <w:r w:rsidRPr="00C84636">
        <w:rPr>
          <w:noProof/>
          <w:color w:val="auto"/>
        </w:rPr>
        <w:tab/>
        <w:t>The following paragraph shall be added in Article 40:</w:t>
      </w:r>
    </w:p>
    <w:p w14:paraId="0B348BCC" w14:textId="77777777" w:rsidR="009B3AEA" w:rsidRPr="00C84636" w:rsidRDefault="009B3AEA" w:rsidP="009B3AEA">
      <w:pPr>
        <w:pStyle w:val="Point2"/>
        <w:ind w:left="1417" w:hanging="708"/>
        <w:rPr>
          <w:noProof/>
        </w:rPr>
      </w:pPr>
      <w:r w:rsidRPr="00C84636">
        <w:rPr>
          <w:noProof/>
        </w:rPr>
        <w:t>“3.</w:t>
      </w:r>
      <w:r w:rsidRPr="00C84636">
        <w:rPr>
          <w:noProof/>
        </w:rPr>
        <w:tab/>
        <w:t>By way of derogation from Articles 12(2)(e), 82(3)(e) and 85(3) of the Conditions of Employment of Other Servants of the European Union, the languages referred to in Article 129(1) of the EEA Agreement shall be considered by the Agency, in respect of its staff, as languages of the Union referred to in Article 55(1) of the Treaty on European Union.”</w:t>
      </w:r>
    </w:p>
    <w:p w14:paraId="79E3D1C5" w14:textId="77777777" w:rsidR="009B3AEA" w:rsidRPr="00C84636" w:rsidRDefault="009B3AEA" w:rsidP="009B3AEA">
      <w:pPr>
        <w:pStyle w:val="Adaptation"/>
        <w:ind w:left="709" w:hanging="709"/>
        <w:rPr>
          <w:noProof/>
          <w:color w:val="auto"/>
        </w:rPr>
      </w:pPr>
      <w:r w:rsidRPr="00C84636">
        <w:rPr>
          <w:noProof/>
          <w:color w:val="auto"/>
        </w:rPr>
        <w:t>(j)</w:t>
      </w:r>
      <w:r w:rsidRPr="00C84636">
        <w:rPr>
          <w:noProof/>
          <w:color w:val="auto"/>
        </w:rPr>
        <w:tab/>
        <w:t>The following paragraph shall be added in Article 62:</w:t>
      </w:r>
    </w:p>
    <w:p w14:paraId="33F36967" w14:textId="77777777" w:rsidR="009B3AEA" w:rsidRPr="00C84636" w:rsidRDefault="009B3AEA" w:rsidP="009B3AEA">
      <w:pPr>
        <w:pStyle w:val="Point2"/>
        <w:ind w:left="1417" w:hanging="708"/>
        <w:rPr>
          <w:noProof/>
        </w:rPr>
      </w:pPr>
      <w:r w:rsidRPr="00C84636">
        <w:rPr>
          <w:noProof/>
        </w:rPr>
        <w:t>“6.</w:t>
      </w:r>
      <w:r w:rsidRPr="00C84636">
        <w:rPr>
          <w:noProof/>
        </w:rPr>
        <w:tab/>
        <w:t>The EFTA States shall participate fully in the European Cybersecurity Certification Group, except for the right to vote.”’</w:t>
      </w:r>
    </w:p>
    <w:p w14:paraId="1C1F718E" w14:textId="77777777" w:rsidR="009B3AEA" w:rsidRPr="00C84636" w:rsidRDefault="009B3AEA" w:rsidP="009B3AEA">
      <w:pPr>
        <w:pStyle w:val="Articleheading"/>
        <w:rPr>
          <w:noProof/>
          <w:color w:val="auto"/>
        </w:rPr>
      </w:pPr>
      <w:r w:rsidRPr="00C84636">
        <w:rPr>
          <w:noProof/>
          <w:color w:val="auto"/>
        </w:rPr>
        <w:t>Article 2</w:t>
      </w:r>
    </w:p>
    <w:p w14:paraId="7D5425F4" w14:textId="77777777" w:rsidR="009B3AEA" w:rsidRPr="00C84636" w:rsidRDefault="009B3AEA" w:rsidP="009B3AEA">
      <w:pPr>
        <w:pStyle w:val="Articletext"/>
        <w:rPr>
          <w:noProof/>
          <w:color w:val="auto"/>
          <w:lang w:val="en-GB"/>
        </w:rPr>
      </w:pPr>
      <w:r w:rsidRPr="00C84636">
        <w:rPr>
          <w:noProof/>
          <w:color w:val="auto"/>
          <w:lang w:val="en-GB"/>
        </w:rPr>
        <w:t>The following point is added in Protocol 37 to the EEA Agreement:</w:t>
      </w:r>
    </w:p>
    <w:p w14:paraId="20410BE3" w14:textId="77777777" w:rsidR="009B3AEA" w:rsidRPr="00C84636" w:rsidRDefault="009B3AEA" w:rsidP="009B3AEA">
      <w:pPr>
        <w:pStyle w:val="Point0"/>
        <w:rPr>
          <w:noProof/>
        </w:rPr>
      </w:pPr>
      <w:r w:rsidRPr="00C84636">
        <w:rPr>
          <w:noProof/>
        </w:rPr>
        <w:t>‘43.</w:t>
      </w:r>
      <w:r w:rsidRPr="00C84636">
        <w:rPr>
          <w:noProof/>
        </w:rPr>
        <w:tab/>
        <w:t>European Cybersecurity Certification Group (Regulation (EU) 2019/881 of the European Parliament and of the Council).’</w:t>
      </w:r>
    </w:p>
    <w:p w14:paraId="7A71BBE2" w14:textId="77777777" w:rsidR="009B3AEA" w:rsidRPr="00C84636" w:rsidRDefault="009B3AEA" w:rsidP="009B3AEA">
      <w:pPr>
        <w:pStyle w:val="Articleheading"/>
        <w:rPr>
          <w:noProof/>
          <w:color w:val="auto"/>
        </w:rPr>
      </w:pPr>
      <w:r w:rsidRPr="00C84636">
        <w:rPr>
          <w:noProof/>
          <w:color w:val="auto"/>
        </w:rPr>
        <w:t>Article 3</w:t>
      </w:r>
    </w:p>
    <w:p w14:paraId="7841C4AF" w14:textId="77777777" w:rsidR="009B3AEA" w:rsidRPr="00C84636" w:rsidRDefault="009B3AEA" w:rsidP="009B3AEA">
      <w:pPr>
        <w:pStyle w:val="Articletext"/>
        <w:rPr>
          <w:noProof/>
          <w:color w:val="auto"/>
        </w:rPr>
      </w:pPr>
      <w:r w:rsidRPr="00C84636">
        <w:rPr>
          <w:noProof/>
          <w:color w:val="auto"/>
        </w:rPr>
        <w:t xml:space="preserve">The text of Regulation (EU) 2019/881 in the Icelandic and Norwegian languages, to be published in the EEA Supplement to the </w:t>
      </w:r>
      <w:r w:rsidRPr="00C84636">
        <w:rPr>
          <w:i/>
          <w:iCs/>
          <w:noProof/>
          <w:color w:val="auto"/>
        </w:rPr>
        <w:t>Official Journal of the European Union</w:t>
      </w:r>
      <w:r w:rsidRPr="00C84636">
        <w:rPr>
          <w:noProof/>
          <w:color w:val="auto"/>
        </w:rPr>
        <w:t>, shall be authentic.</w:t>
      </w:r>
    </w:p>
    <w:p w14:paraId="0E2369E2" w14:textId="77777777" w:rsidR="009B3AEA" w:rsidRPr="00C84636" w:rsidRDefault="009B3AEA" w:rsidP="009B3AEA">
      <w:pPr>
        <w:pStyle w:val="Articleheading"/>
        <w:rPr>
          <w:noProof/>
          <w:color w:val="auto"/>
        </w:rPr>
      </w:pPr>
      <w:r w:rsidRPr="00C84636">
        <w:rPr>
          <w:noProof/>
          <w:color w:val="auto"/>
        </w:rPr>
        <w:t>Article 4</w:t>
      </w:r>
    </w:p>
    <w:p w14:paraId="7FA1C3C3" w14:textId="77777777" w:rsidR="009B3AEA" w:rsidRPr="00C84636" w:rsidRDefault="009B3AEA" w:rsidP="009B3AEA">
      <w:pPr>
        <w:pStyle w:val="Articletext"/>
        <w:rPr>
          <w:noProof/>
          <w:color w:val="auto"/>
        </w:rPr>
      </w:pPr>
      <w:r w:rsidRPr="00C84636">
        <w:rPr>
          <w:noProof/>
          <w:color w:val="auto"/>
        </w:rPr>
        <w:t xml:space="preserve">This Decision shall enter into force on </w:t>
      </w:r>
      <w:r w:rsidRPr="00E5568E">
        <w:rPr>
          <w:noProof/>
        </w:rPr>
        <w:t>[…]</w:t>
      </w:r>
      <w:r w:rsidRPr="00C84636">
        <w:rPr>
          <w:noProof/>
          <w:color w:val="auto"/>
        </w:rPr>
        <w:t>, provided that all the notifications under Article 103(1) of the EEA Agreement have been made</w:t>
      </w:r>
      <w:r w:rsidRPr="00C84636">
        <w:rPr>
          <w:rStyle w:val="FootnoteReference"/>
          <w:b/>
          <w:noProof/>
          <w:color w:val="auto"/>
        </w:rPr>
        <w:footnoteReference w:customMarkFollows="1" w:id="3"/>
        <w:sym w:font="Symbol" w:char="F02A"/>
      </w:r>
      <w:r w:rsidRPr="00C84636">
        <w:rPr>
          <w:noProof/>
          <w:color w:val="auto"/>
        </w:rPr>
        <w:t xml:space="preserve">, or on the day of the entry into force of Decision of the EEA Joint Committee No .../... of </w:t>
      </w:r>
      <w:r w:rsidRPr="00E5568E">
        <w:rPr>
          <w:noProof/>
        </w:rPr>
        <w:t>[…]</w:t>
      </w:r>
      <w:r w:rsidRPr="00C84636">
        <w:rPr>
          <w:rStyle w:val="FootnoteReference"/>
          <w:noProof/>
          <w:color w:val="auto"/>
        </w:rPr>
        <w:footnoteReference w:id="4"/>
      </w:r>
      <w:r w:rsidRPr="00C84636">
        <w:rPr>
          <w:noProof/>
          <w:color w:val="auto"/>
        </w:rPr>
        <w:t xml:space="preserve"> [incorporating { Directive (EU) 2016/1148 (NIS Directive)} into the EEA Agreement], whichever is the later.</w:t>
      </w:r>
    </w:p>
    <w:p w14:paraId="7BE006AC" w14:textId="77777777" w:rsidR="009B3AEA" w:rsidRPr="00C84636" w:rsidRDefault="009B3AEA" w:rsidP="009B3AEA">
      <w:pPr>
        <w:pStyle w:val="Articleheading"/>
        <w:rPr>
          <w:noProof/>
          <w:color w:val="auto"/>
        </w:rPr>
      </w:pPr>
      <w:r w:rsidRPr="00C84636">
        <w:rPr>
          <w:noProof/>
          <w:color w:val="auto"/>
        </w:rPr>
        <w:t>Article 5</w:t>
      </w:r>
    </w:p>
    <w:p w14:paraId="5C6CF7FB" w14:textId="77777777" w:rsidR="009B3AEA" w:rsidRPr="00C84636" w:rsidRDefault="009B3AEA" w:rsidP="009B3AEA">
      <w:pPr>
        <w:pStyle w:val="Articletext"/>
        <w:rPr>
          <w:noProof/>
          <w:color w:val="auto"/>
        </w:rPr>
      </w:pPr>
      <w:r w:rsidRPr="00C84636">
        <w:rPr>
          <w:noProof/>
          <w:color w:val="auto"/>
        </w:rPr>
        <w:t xml:space="preserve">This Decision shall be published in the EEA Section of, and in the EEA Supplement to, the </w:t>
      </w:r>
      <w:r w:rsidRPr="00C84636">
        <w:rPr>
          <w:i/>
          <w:noProof/>
          <w:color w:val="auto"/>
        </w:rPr>
        <w:t>Official Journal of the European Union</w:t>
      </w:r>
      <w:r w:rsidRPr="00C84636">
        <w:rPr>
          <w:noProof/>
          <w:color w:val="auto"/>
        </w:rPr>
        <w:t>.</w:t>
      </w:r>
    </w:p>
    <w:p w14:paraId="5B724FFE" w14:textId="77777777" w:rsidR="009B3AEA" w:rsidRPr="00C84636" w:rsidRDefault="009B3AEA" w:rsidP="009B3AEA">
      <w:pPr>
        <w:rPr>
          <w:noProof/>
          <w:szCs w:val="24"/>
        </w:rPr>
      </w:pPr>
      <w:r w:rsidRPr="00C84636">
        <w:rPr>
          <w:noProof/>
          <w:szCs w:val="24"/>
        </w:rPr>
        <w:t xml:space="preserve">Done at Brussels, </w:t>
      </w:r>
      <w:r w:rsidRPr="00E5568E">
        <w:rPr>
          <w:noProof/>
        </w:rPr>
        <w:t>[…]</w:t>
      </w:r>
      <w:r w:rsidRPr="00C84636">
        <w:rPr>
          <w:noProof/>
          <w:szCs w:val="24"/>
        </w:rPr>
        <w:t>.</w:t>
      </w:r>
    </w:p>
    <w:p w14:paraId="4B73AE1F" w14:textId="77777777" w:rsidR="009B3AEA" w:rsidRPr="00C84636" w:rsidRDefault="009B3AEA" w:rsidP="009B3AEA">
      <w:pPr>
        <w:tabs>
          <w:tab w:val="left" w:pos="4253"/>
        </w:tabs>
        <w:spacing w:before="720" w:after="0"/>
        <w:rPr>
          <w:i/>
          <w:noProof/>
          <w:szCs w:val="24"/>
        </w:rPr>
      </w:pPr>
      <w:r w:rsidRPr="00C84636">
        <w:rPr>
          <w:i/>
          <w:noProof/>
          <w:szCs w:val="24"/>
        </w:rPr>
        <w:tab/>
        <w:t>For the EEA Joint Committee</w:t>
      </w:r>
    </w:p>
    <w:p w14:paraId="2FEBB5DA" w14:textId="77777777" w:rsidR="009B3AEA" w:rsidRPr="00C84636" w:rsidRDefault="009B3AEA" w:rsidP="009B3AEA">
      <w:pPr>
        <w:tabs>
          <w:tab w:val="left" w:pos="4253"/>
        </w:tabs>
        <w:spacing w:after="0"/>
        <w:rPr>
          <w:i/>
          <w:noProof/>
          <w:szCs w:val="24"/>
        </w:rPr>
      </w:pPr>
      <w:r w:rsidRPr="00C84636">
        <w:rPr>
          <w:i/>
          <w:noProof/>
          <w:szCs w:val="24"/>
        </w:rPr>
        <w:tab/>
        <w:t>The President</w:t>
      </w:r>
    </w:p>
    <w:p w14:paraId="00AC36D4" w14:textId="77777777" w:rsidR="009B3AEA" w:rsidRPr="00C84636" w:rsidRDefault="009B3AEA" w:rsidP="009B3AEA">
      <w:pPr>
        <w:tabs>
          <w:tab w:val="left" w:pos="4253"/>
        </w:tabs>
        <w:spacing w:after="0"/>
        <w:rPr>
          <w:i/>
          <w:noProof/>
          <w:szCs w:val="24"/>
        </w:rPr>
      </w:pPr>
      <w:r w:rsidRPr="00C84636">
        <w:rPr>
          <w:i/>
          <w:noProof/>
          <w:szCs w:val="24"/>
        </w:rPr>
        <w:tab/>
      </w:r>
      <w:r w:rsidRPr="00E5568E">
        <w:rPr>
          <w:noProof/>
        </w:rPr>
        <w:t>[…]</w:t>
      </w:r>
    </w:p>
    <w:p w14:paraId="69C01331" w14:textId="77777777" w:rsidR="009B3AEA" w:rsidRPr="00E5568E" w:rsidRDefault="009B3AEA" w:rsidP="009B3AEA">
      <w:pPr>
        <w:pStyle w:val="ListParagraph"/>
        <w:ind w:left="0"/>
        <w:rPr>
          <w:noProof/>
        </w:rPr>
      </w:pPr>
    </w:p>
    <w:p w14:paraId="08AD3724" w14:textId="77777777" w:rsidR="009B3AEA" w:rsidRPr="00E5568E" w:rsidRDefault="009B3AEA" w:rsidP="009B3AEA">
      <w:pPr>
        <w:pStyle w:val="ListParagraph"/>
        <w:ind w:left="0"/>
        <w:rPr>
          <w:noProof/>
        </w:rPr>
      </w:pPr>
    </w:p>
    <w:p w14:paraId="78291413" w14:textId="77777777" w:rsidR="009B3AEA" w:rsidRPr="00C84636" w:rsidRDefault="009B3AEA" w:rsidP="009B3AEA">
      <w:pPr>
        <w:pStyle w:val="ListParagraph"/>
        <w:tabs>
          <w:tab w:val="left" w:pos="4253"/>
        </w:tabs>
        <w:ind w:left="0"/>
        <w:rPr>
          <w:rFonts w:cs="Times New Roman"/>
          <w:i/>
          <w:noProof/>
          <w:szCs w:val="24"/>
        </w:rPr>
      </w:pPr>
      <w:r w:rsidRPr="00C84636">
        <w:rPr>
          <w:rFonts w:cs="Times New Roman"/>
          <w:i/>
          <w:noProof/>
          <w:szCs w:val="24"/>
        </w:rPr>
        <w:tab/>
        <w:t>The Secretaries</w:t>
      </w:r>
    </w:p>
    <w:p w14:paraId="5AF41F5A" w14:textId="77777777" w:rsidR="009B3AEA" w:rsidRPr="00C84636" w:rsidRDefault="009B3AEA" w:rsidP="009B3AEA">
      <w:pPr>
        <w:pStyle w:val="ListParagraph"/>
        <w:tabs>
          <w:tab w:val="left" w:pos="4253"/>
        </w:tabs>
        <w:ind w:left="0"/>
        <w:rPr>
          <w:rFonts w:cs="Times New Roman"/>
          <w:i/>
          <w:noProof/>
          <w:szCs w:val="24"/>
        </w:rPr>
      </w:pPr>
      <w:r w:rsidRPr="00C84636">
        <w:rPr>
          <w:rFonts w:cs="Times New Roman"/>
          <w:i/>
          <w:noProof/>
          <w:szCs w:val="24"/>
        </w:rPr>
        <w:tab/>
        <w:t>To the EEA Joint Committee</w:t>
      </w:r>
    </w:p>
    <w:p w14:paraId="6263A2AC" w14:textId="77777777" w:rsidR="009B3AEA" w:rsidRPr="00C84636" w:rsidRDefault="009B3AEA" w:rsidP="009B3AEA">
      <w:pPr>
        <w:pStyle w:val="ListParagraph"/>
        <w:tabs>
          <w:tab w:val="left" w:pos="4253"/>
        </w:tabs>
        <w:ind w:left="0"/>
        <w:rPr>
          <w:rFonts w:cs="Times New Roman"/>
          <w:i/>
          <w:noProof/>
          <w:szCs w:val="24"/>
        </w:rPr>
      </w:pPr>
      <w:r w:rsidRPr="00C84636">
        <w:rPr>
          <w:rFonts w:cs="Times New Roman"/>
          <w:i/>
          <w:noProof/>
          <w:szCs w:val="24"/>
        </w:rPr>
        <w:tab/>
      </w:r>
      <w:r w:rsidRPr="00E5568E">
        <w:rPr>
          <w:noProof/>
        </w:rPr>
        <w:t>[…]</w:t>
      </w:r>
    </w:p>
    <w:p w14:paraId="23649EAA" w14:textId="77777777" w:rsidR="009B3AEA" w:rsidRPr="00C84636" w:rsidRDefault="009B3AEA" w:rsidP="009B3AEA">
      <w:pPr>
        <w:rPr>
          <w:noProof/>
        </w:rPr>
      </w:pPr>
    </w:p>
    <w:p w14:paraId="6627B519" w14:textId="77777777" w:rsidR="009B3AEA" w:rsidRPr="00C84636" w:rsidRDefault="009B3AEA" w:rsidP="009B3AEA">
      <w:pPr>
        <w:rPr>
          <w:noProof/>
        </w:rPr>
      </w:pPr>
      <w:r w:rsidRPr="00C84636">
        <w:rPr>
          <w:noProof/>
        </w:rPr>
        <w:br w:type="page"/>
      </w:r>
    </w:p>
    <w:p w14:paraId="1C5B7C04" w14:textId="77777777" w:rsidR="009B3AEA" w:rsidRPr="00C84636" w:rsidRDefault="009B3AEA" w:rsidP="009B3AEA">
      <w:pPr>
        <w:pStyle w:val="Typedudocument"/>
        <w:rPr>
          <w:noProof/>
        </w:rPr>
      </w:pPr>
      <w:bookmarkStart w:id="3" w:name="_Hlk120626018"/>
      <w:r w:rsidRPr="00C84636">
        <w:rPr>
          <w:noProof/>
        </w:rPr>
        <w:t>Joint Declaration by the Contracting Parties</w:t>
      </w:r>
    </w:p>
    <w:p w14:paraId="7CB1698F" w14:textId="77777777" w:rsidR="009B3AEA" w:rsidRPr="00C84636" w:rsidRDefault="009B3AEA" w:rsidP="009B3AEA">
      <w:pPr>
        <w:pStyle w:val="Typedudocument"/>
        <w:rPr>
          <w:noProof/>
        </w:rPr>
      </w:pPr>
      <w:r w:rsidRPr="00C84636">
        <w:rPr>
          <w:noProof/>
        </w:rPr>
        <w:t xml:space="preserve">to Decision No …/… incorporating Regulation (EU) </w:t>
      </w:r>
      <w:r w:rsidRPr="00C84636">
        <w:rPr>
          <w:noProof/>
          <w:szCs w:val="24"/>
        </w:rPr>
        <w:t xml:space="preserve">2019/881 </w:t>
      </w:r>
      <w:r w:rsidRPr="00C84636">
        <w:rPr>
          <w:noProof/>
        </w:rPr>
        <w:t>of the European Parliament and of the Council into the Agreement</w:t>
      </w:r>
    </w:p>
    <w:p w14:paraId="3D2B976C" w14:textId="77777777" w:rsidR="009B3AEA" w:rsidRPr="00C84636" w:rsidRDefault="009B3AEA" w:rsidP="009B3AEA">
      <w:pPr>
        <w:pStyle w:val="ListParagraph"/>
        <w:tabs>
          <w:tab w:val="left" w:pos="4253"/>
        </w:tabs>
        <w:ind w:left="0"/>
        <w:rPr>
          <w:rFonts w:cs="Times New Roman"/>
          <w:iCs/>
          <w:noProof/>
          <w:sz w:val="24"/>
          <w:szCs w:val="24"/>
          <w:lang w:val="en-GB"/>
        </w:rPr>
      </w:pPr>
    </w:p>
    <w:p w14:paraId="4C5CE978" w14:textId="77777777" w:rsidR="009B3AEA" w:rsidRPr="00C84636" w:rsidRDefault="009B3AEA" w:rsidP="009B3AEA">
      <w:pPr>
        <w:pStyle w:val="ListParagraph"/>
        <w:tabs>
          <w:tab w:val="left" w:pos="4253"/>
        </w:tabs>
        <w:ind w:left="0"/>
        <w:jc w:val="both"/>
        <w:rPr>
          <w:rFonts w:cs="Times New Roman"/>
          <w:iCs/>
          <w:noProof/>
          <w:sz w:val="24"/>
          <w:szCs w:val="24"/>
        </w:rPr>
      </w:pPr>
      <w:r w:rsidRPr="00C84636">
        <w:rPr>
          <w:rFonts w:cs="Times New Roman"/>
          <w:iCs/>
          <w:noProof/>
          <w:sz w:val="24"/>
          <w:szCs w:val="24"/>
        </w:rPr>
        <w:t>The parties acknowledge that the incorporation of this act is without prejudice to the direct application of Protocol 7 on the privileges and immunities of the European Union to the nationals of EFTA states in the territory of each Member State of the European Union, pursuant to Article 11 of that Protocol.</w:t>
      </w:r>
    </w:p>
    <w:bookmarkEnd w:id="3"/>
    <w:p w14:paraId="23757544" w14:textId="77777777" w:rsidR="009B3AEA" w:rsidRPr="00C84636" w:rsidRDefault="009B3AEA" w:rsidP="009B3AEA">
      <w:pPr>
        <w:pStyle w:val="Point4b"/>
        <w:rPr>
          <w:noProof/>
        </w:rPr>
      </w:pPr>
    </w:p>
    <w:p w14:paraId="6C206EEB" w14:textId="77777777" w:rsidR="009B3AEA" w:rsidRPr="00C84636" w:rsidRDefault="009B3AEA" w:rsidP="009B3AEA">
      <w:pPr>
        <w:rPr>
          <w:noProof/>
        </w:rPr>
      </w:pPr>
    </w:p>
    <w:sectPr w:rsidR="009B3AEA" w:rsidRPr="00C84636" w:rsidSect="00F37C42">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D8866" w14:textId="77777777" w:rsidR="00FA089C" w:rsidRDefault="00FA089C" w:rsidP="00FA089C">
      <w:pPr>
        <w:spacing w:before="0" w:after="0"/>
      </w:pPr>
      <w:r>
        <w:separator/>
      </w:r>
    </w:p>
  </w:endnote>
  <w:endnote w:type="continuationSeparator" w:id="0">
    <w:p w14:paraId="1363E47A" w14:textId="77777777" w:rsidR="00FA089C" w:rsidRDefault="00FA089C" w:rsidP="00FA08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2D3B" w14:textId="77777777" w:rsidR="00F37C42" w:rsidRPr="00F37C42" w:rsidRDefault="00F37C42" w:rsidP="00F37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30D8" w14:textId="06622FB1" w:rsidR="009B3AEA" w:rsidRPr="00F37C42" w:rsidRDefault="00F37C42" w:rsidP="00F37C42">
    <w:pPr>
      <w:pStyle w:val="Footer"/>
      <w:rPr>
        <w:rFonts w:ascii="Arial" w:hAnsi="Arial" w:cs="Arial"/>
        <w:b/>
        <w:sz w:val="48"/>
      </w:rPr>
    </w:pPr>
    <w:r w:rsidRPr="00F37C42">
      <w:rPr>
        <w:rFonts w:ascii="Arial" w:hAnsi="Arial" w:cs="Arial"/>
        <w:b/>
        <w:sz w:val="48"/>
      </w:rPr>
      <w:t>EN</w:t>
    </w:r>
    <w:r w:rsidRPr="00F37C42">
      <w:rPr>
        <w:rFonts w:ascii="Arial" w:hAnsi="Arial" w:cs="Arial"/>
        <w:b/>
        <w:sz w:val="48"/>
      </w:rPr>
      <w:tab/>
    </w:r>
    <w:r w:rsidRPr="00F37C42">
      <w:rPr>
        <w:rFonts w:ascii="Arial" w:hAnsi="Arial" w:cs="Arial"/>
        <w:b/>
        <w:sz w:val="48"/>
      </w:rPr>
      <w:tab/>
    </w:r>
    <w:r w:rsidRPr="00F37C42">
      <w:tab/>
    </w:r>
    <w:r w:rsidRPr="00F37C4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1FE03" w14:textId="77777777" w:rsidR="00F37C42" w:rsidRPr="00F37C42" w:rsidRDefault="00F37C42" w:rsidP="00F37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1C62" w14:textId="7636AB11" w:rsidR="00F37C42" w:rsidRPr="00F37C42" w:rsidRDefault="00F37C42" w:rsidP="00F37C42">
    <w:pPr>
      <w:pStyle w:val="Footer"/>
      <w:rPr>
        <w:rFonts w:ascii="Arial" w:hAnsi="Arial" w:cs="Arial"/>
        <w:b/>
        <w:sz w:val="48"/>
      </w:rPr>
    </w:pPr>
    <w:r w:rsidRPr="00F37C42">
      <w:rPr>
        <w:rFonts w:ascii="Arial" w:hAnsi="Arial" w:cs="Arial"/>
        <w:b/>
        <w:sz w:val="48"/>
      </w:rPr>
      <w:t>EN</w:t>
    </w:r>
    <w:r w:rsidRPr="00F37C4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37C42">
      <w:tab/>
    </w:r>
    <w:r w:rsidRPr="00F37C4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44D4" w14:textId="77777777" w:rsidR="00F37C42" w:rsidRPr="00F37C42" w:rsidRDefault="00F37C42" w:rsidP="00F37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E613" w14:textId="77777777" w:rsidR="00FA089C" w:rsidRDefault="00FA089C" w:rsidP="00FA089C">
      <w:pPr>
        <w:spacing w:before="0" w:after="0"/>
      </w:pPr>
      <w:r>
        <w:separator/>
      </w:r>
    </w:p>
  </w:footnote>
  <w:footnote w:type="continuationSeparator" w:id="0">
    <w:p w14:paraId="6BBBB94F" w14:textId="77777777" w:rsidR="00FA089C" w:rsidRDefault="00FA089C" w:rsidP="00FA089C">
      <w:pPr>
        <w:spacing w:before="0" w:after="0"/>
      </w:pPr>
      <w:r>
        <w:continuationSeparator/>
      </w:r>
    </w:p>
  </w:footnote>
  <w:footnote w:id="1">
    <w:p w14:paraId="7F996590" w14:textId="77777777" w:rsidR="009B3AEA" w:rsidRPr="007365CA" w:rsidRDefault="009B3AEA" w:rsidP="009B3AEA">
      <w:pPr>
        <w:pStyle w:val="FootnoteText"/>
        <w:rPr>
          <w:color w:val="0000FF"/>
        </w:rPr>
      </w:pPr>
      <w:r w:rsidRPr="00E5568E">
        <w:rPr>
          <w:rStyle w:val="FootnoteReference"/>
        </w:rPr>
        <w:footnoteRef/>
      </w:r>
      <w:r w:rsidR="00E5568E">
        <w:tab/>
      </w:r>
      <w:bookmarkStart w:id="2" w:name="_Hlk66716382"/>
      <w:r w:rsidRPr="005720D2">
        <w:t>OJ L</w:t>
      </w:r>
      <w:r w:rsidRPr="003608F0">
        <w:t xml:space="preserve"> </w:t>
      </w:r>
      <w:r w:rsidRPr="00030072">
        <w:t>151, 7.6.2019, p. 15</w:t>
      </w:r>
      <w:bookmarkEnd w:id="2"/>
      <w:r>
        <w:t>.</w:t>
      </w:r>
    </w:p>
  </w:footnote>
  <w:footnote w:id="2">
    <w:p w14:paraId="3ADA49B6" w14:textId="77777777" w:rsidR="009B3AEA" w:rsidRPr="004C3953" w:rsidRDefault="009B3AEA" w:rsidP="009B3AEA">
      <w:pPr>
        <w:pStyle w:val="FootnoteText"/>
      </w:pPr>
      <w:r w:rsidRPr="00E5568E">
        <w:rPr>
          <w:rStyle w:val="FootnoteReference"/>
        </w:rPr>
        <w:footnoteRef/>
      </w:r>
      <w:r w:rsidR="00E5568E">
        <w:tab/>
      </w:r>
      <w:r w:rsidRPr="004C3953">
        <w:t>OJ L 165, 18.6.2013, p. 41.</w:t>
      </w:r>
    </w:p>
  </w:footnote>
  <w:footnote w:id="3">
    <w:p w14:paraId="634AA375" w14:textId="77777777" w:rsidR="009B3AEA" w:rsidRPr="003608F0" w:rsidRDefault="009B3AEA" w:rsidP="009B3AEA">
      <w:pPr>
        <w:pStyle w:val="FootnoteText"/>
      </w:pPr>
      <w:r w:rsidRPr="0005593F">
        <w:rPr>
          <w:rStyle w:val="FootnoteReference"/>
        </w:rPr>
        <w:sym w:font="Symbol" w:char="F02A"/>
      </w:r>
      <w:r w:rsidRPr="0005593F">
        <w:tab/>
      </w:r>
      <w:r w:rsidRPr="005720D2">
        <w:t>[No constitutional requirements indicated.] [Constitutional requirements indicated.]</w:t>
      </w:r>
    </w:p>
  </w:footnote>
  <w:footnote w:id="4">
    <w:p w14:paraId="416D9F43" w14:textId="77777777" w:rsidR="009B3AEA" w:rsidRPr="0005593F" w:rsidRDefault="009B3AEA" w:rsidP="009B3AEA">
      <w:pPr>
        <w:pStyle w:val="FootnoteText"/>
      </w:pPr>
      <w:r w:rsidRPr="00E5568E">
        <w:rPr>
          <w:rStyle w:val="FootnoteReference"/>
        </w:rPr>
        <w:footnoteRef/>
      </w:r>
      <w:r w:rsidR="00E5568E">
        <w:tab/>
      </w:r>
      <w:r w:rsidRPr="005720D2">
        <w:t>OJ 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4934" w14:textId="77777777" w:rsidR="00F37C42" w:rsidRPr="00F37C42" w:rsidRDefault="00F37C42" w:rsidP="00F37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7844" w14:textId="77777777" w:rsidR="00F37C42" w:rsidRPr="00F37C42" w:rsidRDefault="00F37C42" w:rsidP="00F37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5BD5" w14:textId="77777777" w:rsidR="00F37C42" w:rsidRPr="00F37C42" w:rsidRDefault="00F37C42" w:rsidP="00F37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048214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EE2F7B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21E28C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8AE4D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D6D6A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B44C5C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A70C68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1A2A96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ECE038F"/>
    <w:multiLevelType w:val="hybridMultilevel"/>
    <w:tmpl w:val="35765A56"/>
    <w:lvl w:ilvl="0" w:tplc="22FA43E6">
      <w:start w:val="1"/>
      <w:numFmt w:val="bullet"/>
      <w:lvlText w:val="-"/>
      <w:lvlJc w:val="left"/>
      <w:pPr>
        <w:ind w:left="1070" w:hanging="360"/>
      </w:pPr>
      <w:rPr>
        <w:rFonts w:ascii="Times New Roman" w:eastAsiaTheme="minorHAnsi" w:hAnsi="Times New Roman" w:cs="Times New Roman" w:hint="default"/>
        <w:b/>
        <w:lang w:val="en-GB"/>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0C47932"/>
    <w:multiLevelType w:val="hybridMultilevel"/>
    <w:tmpl w:val="49B89E2A"/>
    <w:lvl w:ilvl="0" w:tplc="28884F98">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B3E4C226">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8317848"/>
    <w:multiLevelType w:val="hybridMultilevel"/>
    <w:tmpl w:val="4F1C422C"/>
    <w:styleLink w:val="ImportedStyle5"/>
    <w:lvl w:ilvl="0" w:tplc="EC5AFA20">
      <w:start w:val="1"/>
      <w:numFmt w:val="lowerRoman"/>
      <w:lvlText w:val="(%1)"/>
      <w:lvlJc w:val="left"/>
      <w:pPr>
        <w:tabs>
          <w:tab w:val="left" w:pos="4253"/>
        </w:tabs>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C88343C">
      <w:start w:val="1"/>
      <w:numFmt w:val="lowerLetter"/>
      <w:lvlText w:val="%2."/>
      <w:lvlJc w:val="left"/>
      <w:pPr>
        <w:tabs>
          <w:tab w:val="left" w:pos="4253"/>
        </w:tabs>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EC5040">
      <w:start w:val="1"/>
      <w:numFmt w:val="lowerRoman"/>
      <w:lvlText w:val="%3."/>
      <w:lvlJc w:val="left"/>
      <w:pPr>
        <w:tabs>
          <w:tab w:val="left" w:pos="4253"/>
        </w:tabs>
        <w:ind w:left="250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A06782A">
      <w:start w:val="1"/>
      <w:numFmt w:val="decimal"/>
      <w:lvlText w:val="%4."/>
      <w:lvlJc w:val="left"/>
      <w:pPr>
        <w:tabs>
          <w:tab w:val="left" w:pos="4253"/>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64606E">
      <w:start w:val="1"/>
      <w:numFmt w:val="lowerLetter"/>
      <w:lvlText w:val="%5."/>
      <w:lvlJc w:val="left"/>
      <w:pPr>
        <w:tabs>
          <w:tab w:val="left" w:pos="4253"/>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2C608E">
      <w:start w:val="1"/>
      <w:numFmt w:val="lowerRoman"/>
      <w:lvlText w:val="%6."/>
      <w:lvlJc w:val="left"/>
      <w:pPr>
        <w:tabs>
          <w:tab w:val="left" w:pos="4253"/>
        </w:tabs>
        <w:ind w:left="466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140508">
      <w:start w:val="1"/>
      <w:numFmt w:val="decimal"/>
      <w:lvlText w:val="%7."/>
      <w:lvlJc w:val="left"/>
      <w:pPr>
        <w:tabs>
          <w:tab w:val="left" w:pos="4253"/>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ECC0AC">
      <w:start w:val="1"/>
      <w:numFmt w:val="lowerLetter"/>
      <w:lvlText w:val="%8."/>
      <w:lvlJc w:val="left"/>
      <w:pPr>
        <w:tabs>
          <w:tab w:val="left" w:pos="4253"/>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708CAC">
      <w:start w:val="1"/>
      <w:numFmt w:val="lowerRoman"/>
      <w:lvlText w:val="%9."/>
      <w:lvlJc w:val="left"/>
      <w:pPr>
        <w:tabs>
          <w:tab w:val="left" w:pos="4253"/>
        </w:tabs>
        <w:ind w:left="682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96A54C1"/>
    <w:multiLevelType w:val="hybridMultilevel"/>
    <w:tmpl w:val="92CE67CA"/>
    <w:styleLink w:val="ImportedStyle2"/>
    <w:lvl w:ilvl="0" w:tplc="250EEA4C">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BCCA95A">
      <w:start w:val="1"/>
      <w:numFmt w:val="lowerLetter"/>
      <w:lvlText w:val="%2."/>
      <w:lvlJc w:val="left"/>
      <w:pPr>
        <w:tabs>
          <w:tab w:val="left" w:pos="709"/>
        </w:tabs>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EB44E02">
      <w:start w:val="1"/>
      <w:numFmt w:val="lowerRoman"/>
      <w:lvlText w:val="%3."/>
      <w:lvlJc w:val="left"/>
      <w:pPr>
        <w:tabs>
          <w:tab w:val="left" w:pos="709"/>
        </w:tabs>
        <w:ind w:left="2149" w:hanging="649"/>
      </w:pPr>
      <w:rPr>
        <w:rFonts w:hAnsi="Arial Unicode MS"/>
        <w:caps w:val="0"/>
        <w:smallCaps w:val="0"/>
        <w:strike w:val="0"/>
        <w:dstrike w:val="0"/>
        <w:outline w:val="0"/>
        <w:emboss w:val="0"/>
        <w:imprint w:val="0"/>
        <w:spacing w:val="0"/>
        <w:w w:val="100"/>
        <w:kern w:val="0"/>
        <w:position w:val="0"/>
        <w:highlight w:val="none"/>
        <w:vertAlign w:val="baseline"/>
      </w:rPr>
    </w:lvl>
    <w:lvl w:ilvl="3" w:tplc="10CA95AE">
      <w:start w:val="1"/>
      <w:numFmt w:val="decimal"/>
      <w:lvlText w:val="%4."/>
      <w:lvlJc w:val="left"/>
      <w:pPr>
        <w:tabs>
          <w:tab w:val="left" w:pos="709"/>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E2A348">
      <w:start w:val="1"/>
      <w:numFmt w:val="lowerLetter"/>
      <w:lvlText w:val="%5."/>
      <w:lvlJc w:val="left"/>
      <w:pPr>
        <w:tabs>
          <w:tab w:val="left" w:pos="709"/>
        </w:tabs>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6B94ADAA">
      <w:start w:val="1"/>
      <w:numFmt w:val="lowerRoman"/>
      <w:lvlText w:val="%6."/>
      <w:lvlJc w:val="left"/>
      <w:pPr>
        <w:tabs>
          <w:tab w:val="left" w:pos="709"/>
        </w:tabs>
        <w:ind w:left="4309" w:hanging="649"/>
      </w:pPr>
      <w:rPr>
        <w:rFonts w:hAnsi="Arial Unicode MS"/>
        <w:caps w:val="0"/>
        <w:smallCaps w:val="0"/>
        <w:strike w:val="0"/>
        <w:dstrike w:val="0"/>
        <w:outline w:val="0"/>
        <w:emboss w:val="0"/>
        <w:imprint w:val="0"/>
        <w:spacing w:val="0"/>
        <w:w w:val="100"/>
        <w:kern w:val="0"/>
        <w:position w:val="0"/>
        <w:highlight w:val="none"/>
        <w:vertAlign w:val="baseline"/>
      </w:rPr>
    </w:lvl>
    <w:lvl w:ilvl="6" w:tplc="F99A3974">
      <w:start w:val="1"/>
      <w:numFmt w:val="decimal"/>
      <w:lvlText w:val="%7."/>
      <w:lvlJc w:val="left"/>
      <w:pPr>
        <w:tabs>
          <w:tab w:val="left" w:pos="709"/>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9B8CF956">
      <w:start w:val="1"/>
      <w:numFmt w:val="lowerLetter"/>
      <w:lvlText w:val="%8."/>
      <w:lvlJc w:val="left"/>
      <w:pPr>
        <w:tabs>
          <w:tab w:val="left" w:pos="709"/>
        </w:tabs>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132A9D0A">
      <w:start w:val="1"/>
      <w:numFmt w:val="lowerRoman"/>
      <w:lvlText w:val="%9."/>
      <w:lvlJc w:val="left"/>
      <w:pPr>
        <w:tabs>
          <w:tab w:val="left" w:pos="709"/>
        </w:tabs>
        <w:ind w:left="6469" w:hanging="6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9721B49"/>
    <w:multiLevelType w:val="hybridMultilevel"/>
    <w:tmpl w:val="75EC722A"/>
    <w:lvl w:ilvl="0" w:tplc="E812AEAC">
      <w:numFmt w:val="bullet"/>
      <w:lvlText w:val="-"/>
      <w:lvlJc w:val="left"/>
      <w:pPr>
        <w:ind w:left="1211" w:hanging="360"/>
      </w:pPr>
      <w:rPr>
        <w:rFonts w:ascii="Times New Roman" w:eastAsiaTheme="minorHAnsi"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9DC4729"/>
    <w:multiLevelType w:val="hybridMultilevel"/>
    <w:tmpl w:val="88A6CBB8"/>
    <w:lvl w:ilvl="0" w:tplc="B512EC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8772F7"/>
    <w:multiLevelType w:val="hybridMultilevel"/>
    <w:tmpl w:val="8F262F1E"/>
    <w:styleLink w:val="ImportedStyle3"/>
    <w:lvl w:ilvl="0" w:tplc="F590582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52C7186">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BAE3022">
      <w:start w:val="1"/>
      <w:numFmt w:val="lowerRoman"/>
      <w:lvlText w:val="%3."/>
      <w:lvlJc w:val="left"/>
      <w:pPr>
        <w:ind w:left="21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1756AE0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103FA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15E06E4">
      <w:start w:val="1"/>
      <w:numFmt w:val="lowerRoman"/>
      <w:lvlText w:val="%6."/>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99421980">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92CE9B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E3EA410">
      <w:start w:val="1"/>
      <w:numFmt w:val="lowerRoman"/>
      <w:lvlText w:val="%9."/>
      <w:lvlJc w:val="left"/>
      <w:pPr>
        <w:ind w:left="648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101E9E"/>
    <w:multiLevelType w:val="hybridMultilevel"/>
    <w:tmpl w:val="8B24477A"/>
    <w:styleLink w:val="ImportedStyle4"/>
    <w:lvl w:ilvl="0" w:tplc="6A3876E8">
      <w:start w:val="1"/>
      <w:numFmt w:val="bullet"/>
      <w:lvlText w:val="-"/>
      <w:lvlJc w:val="left"/>
      <w:pPr>
        <w:tabs>
          <w:tab w:val="left" w:pos="4253"/>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660F91A">
      <w:start w:val="1"/>
      <w:numFmt w:val="bullet"/>
      <w:lvlText w:val="o"/>
      <w:lvlJc w:val="left"/>
      <w:pPr>
        <w:tabs>
          <w:tab w:val="left" w:pos="4253"/>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2839A2">
      <w:start w:val="1"/>
      <w:numFmt w:val="bullet"/>
      <w:lvlText w:val="▪"/>
      <w:lvlJc w:val="left"/>
      <w:pPr>
        <w:tabs>
          <w:tab w:val="left" w:pos="4253"/>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569132">
      <w:start w:val="1"/>
      <w:numFmt w:val="bullet"/>
      <w:lvlText w:val="•"/>
      <w:lvlJc w:val="left"/>
      <w:pPr>
        <w:tabs>
          <w:tab w:val="left" w:pos="4253"/>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49A3050">
      <w:start w:val="1"/>
      <w:numFmt w:val="bullet"/>
      <w:lvlText w:val="o"/>
      <w:lvlJc w:val="left"/>
      <w:pPr>
        <w:tabs>
          <w:tab w:val="left" w:pos="4253"/>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9A70DC">
      <w:start w:val="1"/>
      <w:numFmt w:val="bullet"/>
      <w:lvlText w:val="▪"/>
      <w:lvlJc w:val="left"/>
      <w:pPr>
        <w:tabs>
          <w:tab w:val="left" w:pos="4253"/>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5AA64E">
      <w:start w:val="1"/>
      <w:numFmt w:val="bullet"/>
      <w:lvlText w:val="•"/>
      <w:lvlJc w:val="left"/>
      <w:pPr>
        <w:tabs>
          <w:tab w:val="left" w:pos="4253"/>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708338">
      <w:start w:val="1"/>
      <w:numFmt w:val="bullet"/>
      <w:lvlText w:val="o"/>
      <w:lvlJc w:val="left"/>
      <w:pPr>
        <w:tabs>
          <w:tab w:val="left" w:pos="4253"/>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ACCA00">
      <w:start w:val="1"/>
      <w:numFmt w:val="bullet"/>
      <w:lvlText w:val="▪"/>
      <w:lvlJc w:val="left"/>
      <w:pPr>
        <w:tabs>
          <w:tab w:val="left" w:pos="4253"/>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22"/>
  </w:num>
  <w:num w:numId="11">
    <w:abstractNumId w:val="28"/>
  </w:num>
  <w:num w:numId="12">
    <w:abstractNumId w:val="14"/>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29"/>
  </w:num>
  <w:num w:numId="18">
    <w:abstractNumId w:val="12"/>
  </w:num>
  <w:num w:numId="19">
    <w:abstractNumId w:val="18"/>
  </w:num>
  <w:num w:numId="20">
    <w:abstractNumId w:val="19"/>
  </w:num>
  <w:num w:numId="21">
    <w:abstractNumId w:val="10"/>
  </w:num>
  <w:num w:numId="22">
    <w:abstractNumId w:val="27"/>
  </w:num>
  <w:num w:numId="23">
    <w:abstractNumId w:val="8"/>
  </w:num>
  <w:num w:numId="24">
    <w:abstractNumId w:val="20"/>
  </w:num>
  <w:num w:numId="25">
    <w:abstractNumId w:val="24"/>
  </w:num>
  <w:num w:numId="26">
    <w:abstractNumId w:val="25"/>
  </w:num>
  <w:num w:numId="27">
    <w:abstractNumId w:val="11"/>
  </w:num>
  <w:num w:numId="28">
    <w:abstractNumId w:val="23"/>
  </w:num>
  <w:num w:numId="29">
    <w:abstractNumId w:val="3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6"/>
  </w:num>
  <w:num w:numId="34">
    <w:abstractNumId w:val="26"/>
  </w:num>
  <w:num w:numId="35">
    <w:abstractNumId w:val="17"/>
  </w:num>
  <w:num w:numId="36">
    <w:abstractNumId w:val="29"/>
  </w:num>
  <w:num w:numId="37">
    <w:abstractNumId w:val="12"/>
  </w:num>
  <w:num w:numId="38">
    <w:abstractNumId w:val="18"/>
  </w:num>
  <w:num w:numId="39">
    <w:abstractNumId w:val="19"/>
  </w:num>
  <w:num w:numId="40">
    <w:abstractNumId w:val="10"/>
  </w:num>
  <w:num w:numId="41">
    <w:abstractNumId w:val="27"/>
  </w:num>
  <w:num w:numId="42">
    <w:abstractNumId w:val="8"/>
  </w:num>
  <w:num w:numId="43">
    <w:abstractNumId w:val="20"/>
  </w:num>
  <w:num w:numId="44">
    <w:abstractNumId w:val="24"/>
  </w:num>
  <w:num w:numId="45">
    <w:abstractNumId w:val="25"/>
  </w:num>
  <w:num w:numId="46">
    <w:abstractNumId w:val="11"/>
  </w:num>
  <w:num w:numId="47">
    <w:abstractNumId w:val="23"/>
  </w:num>
  <w:num w:numId="48">
    <w:abstractNumId w:val="30"/>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12-14 19:46: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9668B72-C195-412F-9497-7662CA785710"/>
    <w:docVar w:name="LW_COVERPAGE_TYPE" w:val="1"/>
    <w:docVar w:name="LW_CROSSREFERENCE" w:val="&lt;UNUSED&gt;"/>
    <w:docVar w:name="LW_DocType" w:val="ANNEX"/>
    <w:docVar w:name="LW_EMISSION" w:val="15.12.2022"/>
    <w:docVar w:name="LW_EMISSION_ISODATE" w:val="2022-12-1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XI (Electronic communication, audiovisual services and information society) and Protocol 37 (containing the list provided for in Article 101) to the EEA Agreement_x000d__x000d__x000d__x000d__x000d__x000d__x000d__x000d__x000b__x000d__x000d__x000d__x000d__x000d__x000d__x000d__x000d__x000b_(Cybersecurity Act)"/>
    <w:docVar w:name="LW_OBJETACTEPRINCIPAL.CP" w:val="on the position to be adopted, on behalf of the European Union, within the EEA Joint Committee concerning an amendment to Annex XI (Electronic communication, audiovisual services and information society) and Protocol 37 (containing the list provided for in Article 101) to the EEA Agreement_x000d__x000d__x000d__x000d__x000d__x000d__x000d__x000d__x000b__x000d__x000d__x000d__x000d__x000d__x000d__x000d__x000d__x000b_(Cybersecurity Act)"/>
    <w:docVar w:name="LW_PART_NBR" w:val="1"/>
    <w:docVar w:name="LW_PART_NBR_TOTAL" w:val="1"/>
    <w:docVar w:name="LW_REF.INST.NEW" w:val="COM"/>
    <w:docVar w:name="LW_REF.INST.NEW_ADOPTED" w:val="final"/>
    <w:docVar w:name="LW_REF.INST.NEW_TEXT" w:val="(2022)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_x000b_COUNCIL DECISION"/>
    <w:docVar w:name="LW_TYPEACTEPRINCIPAL.CP" w:val="Proposal for a_x000b__x000b_COUNCIL DECISION"/>
    <w:docVar w:name="LwApiVersions" w:val="LW4CoDe 1.23.2.0; LW 8.0, Build 20211117"/>
  </w:docVars>
  <w:rsids>
    <w:rsidRoot w:val="00FA089C"/>
    <w:rsid w:val="0000492C"/>
    <w:rsid w:val="00004945"/>
    <w:rsid w:val="00013EE7"/>
    <w:rsid w:val="00034722"/>
    <w:rsid w:val="000440A0"/>
    <w:rsid w:val="0005237D"/>
    <w:rsid w:val="00061BBD"/>
    <w:rsid w:val="000E198E"/>
    <w:rsid w:val="000F3476"/>
    <w:rsid w:val="001058AF"/>
    <w:rsid w:val="0012048A"/>
    <w:rsid w:val="001770F8"/>
    <w:rsid w:val="00185721"/>
    <w:rsid w:val="00192B5B"/>
    <w:rsid w:val="001C2816"/>
    <w:rsid w:val="001D6F25"/>
    <w:rsid w:val="00285931"/>
    <w:rsid w:val="002D3DFC"/>
    <w:rsid w:val="002F2559"/>
    <w:rsid w:val="002F61FE"/>
    <w:rsid w:val="00320A4E"/>
    <w:rsid w:val="00327C3C"/>
    <w:rsid w:val="00373143"/>
    <w:rsid w:val="003D6BB2"/>
    <w:rsid w:val="003E52B4"/>
    <w:rsid w:val="003F0E54"/>
    <w:rsid w:val="00407DF3"/>
    <w:rsid w:val="00415CCF"/>
    <w:rsid w:val="004369FD"/>
    <w:rsid w:val="004476AE"/>
    <w:rsid w:val="00455DDA"/>
    <w:rsid w:val="00484058"/>
    <w:rsid w:val="00496FE9"/>
    <w:rsid w:val="004A3895"/>
    <w:rsid w:val="004C146F"/>
    <w:rsid w:val="004C5DAD"/>
    <w:rsid w:val="00500040"/>
    <w:rsid w:val="005210EF"/>
    <w:rsid w:val="005719E5"/>
    <w:rsid w:val="005845A6"/>
    <w:rsid w:val="0059353B"/>
    <w:rsid w:val="005E5466"/>
    <w:rsid w:val="005E6308"/>
    <w:rsid w:val="005E7F03"/>
    <w:rsid w:val="005F59E6"/>
    <w:rsid w:val="0060461B"/>
    <w:rsid w:val="006531D7"/>
    <w:rsid w:val="00655FE8"/>
    <w:rsid w:val="006C59B2"/>
    <w:rsid w:val="006E054A"/>
    <w:rsid w:val="006E255E"/>
    <w:rsid w:val="00731592"/>
    <w:rsid w:val="00761D40"/>
    <w:rsid w:val="0076759F"/>
    <w:rsid w:val="00780782"/>
    <w:rsid w:val="007921C7"/>
    <w:rsid w:val="007D7772"/>
    <w:rsid w:val="007E131B"/>
    <w:rsid w:val="00810E27"/>
    <w:rsid w:val="00826EE6"/>
    <w:rsid w:val="00827826"/>
    <w:rsid w:val="008612AB"/>
    <w:rsid w:val="008A1F01"/>
    <w:rsid w:val="00952E0F"/>
    <w:rsid w:val="00954DB9"/>
    <w:rsid w:val="00974C60"/>
    <w:rsid w:val="00986B33"/>
    <w:rsid w:val="00987AD5"/>
    <w:rsid w:val="009B3AEA"/>
    <w:rsid w:val="009F0A00"/>
    <w:rsid w:val="009F4D50"/>
    <w:rsid w:val="009F5467"/>
    <w:rsid w:val="00A145EF"/>
    <w:rsid w:val="00A164EF"/>
    <w:rsid w:val="00A171B9"/>
    <w:rsid w:val="00A255F3"/>
    <w:rsid w:val="00A52F7E"/>
    <w:rsid w:val="00A71FC6"/>
    <w:rsid w:val="00A93C8A"/>
    <w:rsid w:val="00AA31D7"/>
    <w:rsid w:val="00AB1F41"/>
    <w:rsid w:val="00AE5B91"/>
    <w:rsid w:val="00B05913"/>
    <w:rsid w:val="00B0658F"/>
    <w:rsid w:val="00B14D97"/>
    <w:rsid w:val="00B42901"/>
    <w:rsid w:val="00B45548"/>
    <w:rsid w:val="00B52148"/>
    <w:rsid w:val="00B704E9"/>
    <w:rsid w:val="00B711EC"/>
    <w:rsid w:val="00B856AB"/>
    <w:rsid w:val="00B90126"/>
    <w:rsid w:val="00BB0CF3"/>
    <w:rsid w:val="00BB37E9"/>
    <w:rsid w:val="00BC2EB6"/>
    <w:rsid w:val="00BC561F"/>
    <w:rsid w:val="00BD59A5"/>
    <w:rsid w:val="00BF17AA"/>
    <w:rsid w:val="00BF5C8E"/>
    <w:rsid w:val="00C24294"/>
    <w:rsid w:val="00C24556"/>
    <w:rsid w:val="00C362A9"/>
    <w:rsid w:val="00C445CB"/>
    <w:rsid w:val="00C5255D"/>
    <w:rsid w:val="00C55C9C"/>
    <w:rsid w:val="00C61C6D"/>
    <w:rsid w:val="00C74CC0"/>
    <w:rsid w:val="00C84636"/>
    <w:rsid w:val="00C91E25"/>
    <w:rsid w:val="00C9498E"/>
    <w:rsid w:val="00CF4F2E"/>
    <w:rsid w:val="00CF7406"/>
    <w:rsid w:val="00D05904"/>
    <w:rsid w:val="00D4280E"/>
    <w:rsid w:val="00D7412A"/>
    <w:rsid w:val="00D801B5"/>
    <w:rsid w:val="00D874AB"/>
    <w:rsid w:val="00DD70DB"/>
    <w:rsid w:val="00DF0D83"/>
    <w:rsid w:val="00DF7D52"/>
    <w:rsid w:val="00E10491"/>
    <w:rsid w:val="00E420DD"/>
    <w:rsid w:val="00E5568E"/>
    <w:rsid w:val="00E7115E"/>
    <w:rsid w:val="00E871BC"/>
    <w:rsid w:val="00EC53A0"/>
    <w:rsid w:val="00EE0A65"/>
    <w:rsid w:val="00EF3FF8"/>
    <w:rsid w:val="00F00E4B"/>
    <w:rsid w:val="00F016EA"/>
    <w:rsid w:val="00F310E2"/>
    <w:rsid w:val="00F34A2B"/>
    <w:rsid w:val="00F37C42"/>
    <w:rsid w:val="00F44453"/>
    <w:rsid w:val="00F57F03"/>
    <w:rsid w:val="00F614F4"/>
    <w:rsid w:val="00F81EBC"/>
    <w:rsid w:val="00FA089C"/>
    <w:rsid w:val="00FD1983"/>
    <w:rsid w:val="00FE16A2"/>
    <w:rsid w:val="00FE66CD"/>
    <w:rsid w:val="00FF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816468C"/>
  <w15:docId w15:val="{A60AE7C3-E0C1-400A-AE34-C2811ECB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89C"/>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rsid w:val="00FA089C"/>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rsid w:val="00FA089C"/>
    <w:pPr>
      <w:keepNext w:val="0"/>
      <w:spacing w:before="120"/>
      <w:jc w:val="both"/>
    </w:pPr>
    <w:rPr>
      <w:i w:val="0"/>
    </w:rPr>
  </w:style>
  <w:style w:type="character" w:customStyle="1" w:styleId="ArticleheadingChar">
    <w:name w:val="Article heading Char"/>
    <w:basedOn w:val="DefaultParagraphFont"/>
    <w:link w:val="Articleheading"/>
    <w:rsid w:val="00FA089C"/>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sid w:val="00FA089C"/>
    <w:rPr>
      <w:rFonts w:ascii="Times New Roman" w:hAnsi="Times New Roman" w:cs="Times New Roman"/>
      <w:i w:val="0"/>
      <w:color w:val="000000" w:themeColor="text1"/>
      <w:sz w:val="24"/>
      <w:szCs w:val="24"/>
    </w:rPr>
  </w:style>
  <w:style w:type="character" w:customStyle="1" w:styleId="Point1Char">
    <w:name w:val="Point 1 Char"/>
    <w:basedOn w:val="ArticletextChar"/>
    <w:rsid w:val="00FA089C"/>
    <w:rPr>
      <w:rFonts w:ascii="Times New Roman" w:hAnsi="Times New Roman" w:cs="Times New Roman"/>
      <w:i w:val="0"/>
      <w:color w:val="000000" w:themeColor="text1"/>
      <w:sz w:val="24"/>
      <w:szCs w:val="24"/>
      <w:lang w:val="en-GB"/>
    </w:rPr>
  </w:style>
  <w:style w:type="character" w:customStyle="1" w:styleId="Point0Char">
    <w:name w:val="Point 0 Char"/>
    <w:basedOn w:val="Point1Char"/>
    <w:rsid w:val="00FA089C"/>
    <w:rPr>
      <w:rFonts w:ascii="Times New Roman" w:hAnsi="Times New Roman" w:cs="Times New Roman"/>
      <w:i w:val="0"/>
      <w:color w:val="000000" w:themeColor="text1"/>
      <w:sz w:val="24"/>
      <w:szCs w:val="24"/>
      <w:lang w:val="en-GB"/>
    </w:rPr>
  </w:style>
  <w:style w:type="paragraph" w:customStyle="1" w:styleId="Adaptation">
    <w:name w:val="Adaptation"/>
    <w:basedOn w:val="Point1"/>
    <w:link w:val="AdaptationChar"/>
    <w:qFormat/>
    <w:rsid w:val="00FA089C"/>
    <w:pPr>
      <w:ind w:left="851" w:firstLine="0"/>
    </w:pPr>
    <w:rPr>
      <w:color w:val="000000" w:themeColor="text1"/>
      <w:szCs w:val="24"/>
    </w:rPr>
  </w:style>
  <w:style w:type="character" w:customStyle="1" w:styleId="AdaptationChar">
    <w:name w:val="Adaptation Char"/>
    <w:basedOn w:val="Point1Char"/>
    <w:link w:val="Adaptation"/>
    <w:rsid w:val="00FA089C"/>
    <w:rPr>
      <w:rFonts w:ascii="Times New Roman" w:hAnsi="Times New Roman" w:cs="Times New Roman"/>
      <w:i w:val="0"/>
      <w:color w:val="000000" w:themeColor="text1"/>
      <w:sz w:val="24"/>
      <w:szCs w:val="24"/>
      <w:lang w:val="en-GB"/>
    </w:rPr>
  </w:style>
  <w:style w:type="paragraph" w:styleId="Caption">
    <w:name w:val="caption"/>
    <w:basedOn w:val="Normal"/>
    <w:next w:val="Normal"/>
    <w:uiPriority w:val="35"/>
    <w:semiHidden/>
    <w:unhideWhenUsed/>
    <w:qFormat/>
    <w:rsid w:val="00F016E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016EA"/>
    <w:pPr>
      <w:spacing w:after="0"/>
    </w:pPr>
  </w:style>
  <w:style w:type="paragraph" w:styleId="ListBullet">
    <w:name w:val="List Bullet"/>
    <w:basedOn w:val="Normal"/>
    <w:uiPriority w:val="99"/>
    <w:semiHidden/>
    <w:unhideWhenUsed/>
    <w:rsid w:val="00F016EA"/>
    <w:pPr>
      <w:numPr>
        <w:numId w:val="1"/>
      </w:numPr>
      <w:contextualSpacing/>
    </w:pPr>
  </w:style>
  <w:style w:type="paragraph" w:styleId="ListBullet2">
    <w:name w:val="List Bullet 2"/>
    <w:basedOn w:val="Normal"/>
    <w:uiPriority w:val="99"/>
    <w:semiHidden/>
    <w:unhideWhenUsed/>
    <w:rsid w:val="00F016EA"/>
    <w:pPr>
      <w:numPr>
        <w:numId w:val="2"/>
      </w:numPr>
      <w:contextualSpacing/>
    </w:pPr>
  </w:style>
  <w:style w:type="paragraph" w:styleId="ListBullet3">
    <w:name w:val="List Bullet 3"/>
    <w:basedOn w:val="Normal"/>
    <w:uiPriority w:val="99"/>
    <w:semiHidden/>
    <w:unhideWhenUsed/>
    <w:rsid w:val="00F016EA"/>
    <w:pPr>
      <w:numPr>
        <w:numId w:val="3"/>
      </w:numPr>
      <w:contextualSpacing/>
    </w:pPr>
  </w:style>
  <w:style w:type="paragraph" w:styleId="ListBullet4">
    <w:name w:val="List Bullet 4"/>
    <w:basedOn w:val="Normal"/>
    <w:uiPriority w:val="99"/>
    <w:semiHidden/>
    <w:unhideWhenUsed/>
    <w:rsid w:val="00F016EA"/>
    <w:pPr>
      <w:numPr>
        <w:numId w:val="4"/>
      </w:numPr>
      <w:contextualSpacing/>
    </w:pPr>
  </w:style>
  <w:style w:type="paragraph" w:styleId="ListNumber">
    <w:name w:val="List Number"/>
    <w:basedOn w:val="Normal"/>
    <w:uiPriority w:val="99"/>
    <w:semiHidden/>
    <w:unhideWhenUsed/>
    <w:rsid w:val="00F016EA"/>
    <w:pPr>
      <w:numPr>
        <w:numId w:val="5"/>
      </w:numPr>
      <w:contextualSpacing/>
    </w:pPr>
  </w:style>
  <w:style w:type="paragraph" w:styleId="ListNumber2">
    <w:name w:val="List Number 2"/>
    <w:basedOn w:val="Normal"/>
    <w:uiPriority w:val="99"/>
    <w:semiHidden/>
    <w:unhideWhenUsed/>
    <w:rsid w:val="00F016EA"/>
    <w:pPr>
      <w:numPr>
        <w:numId w:val="6"/>
      </w:numPr>
      <w:contextualSpacing/>
    </w:pPr>
  </w:style>
  <w:style w:type="paragraph" w:styleId="ListNumber3">
    <w:name w:val="List Number 3"/>
    <w:basedOn w:val="Normal"/>
    <w:uiPriority w:val="99"/>
    <w:semiHidden/>
    <w:unhideWhenUsed/>
    <w:rsid w:val="00F016EA"/>
    <w:pPr>
      <w:numPr>
        <w:numId w:val="7"/>
      </w:numPr>
      <w:contextualSpacing/>
    </w:pPr>
  </w:style>
  <w:style w:type="paragraph" w:styleId="ListNumber4">
    <w:name w:val="List Number 4"/>
    <w:basedOn w:val="Normal"/>
    <w:uiPriority w:val="99"/>
    <w:semiHidden/>
    <w:unhideWhenUsed/>
    <w:rsid w:val="00F016EA"/>
    <w:pPr>
      <w:numPr>
        <w:numId w:val="8"/>
      </w:numPr>
      <w:contextualSpacing/>
    </w:pPr>
  </w:style>
  <w:style w:type="character" w:styleId="CommentReference">
    <w:name w:val="annotation reference"/>
    <w:basedOn w:val="DefaultParagraphFont"/>
    <w:uiPriority w:val="99"/>
    <w:semiHidden/>
    <w:unhideWhenUsed/>
    <w:rsid w:val="00C5255D"/>
    <w:rPr>
      <w:sz w:val="16"/>
      <w:szCs w:val="16"/>
    </w:rPr>
  </w:style>
  <w:style w:type="paragraph" w:styleId="CommentText">
    <w:name w:val="annotation text"/>
    <w:basedOn w:val="Normal"/>
    <w:link w:val="CommentTextChar"/>
    <w:uiPriority w:val="99"/>
    <w:semiHidden/>
    <w:unhideWhenUsed/>
    <w:rsid w:val="00C5255D"/>
    <w:rPr>
      <w:sz w:val="20"/>
      <w:szCs w:val="20"/>
    </w:rPr>
  </w:style>
  <w:style w:type="character" w:customStyle="1" w:styleId="CommentTextChar">
    <w:name w:val="Comment Text Char"/>
    <w:basedOn w:val="DefaultParagraphFont"/>
    <w:link w:val="CommentText"/>
    <w:uiPriority w:val="99"/>
    <w:semiHidden/>
    <w:rsid w:val="00C5255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255D"/>
    <w:rPr>
      <w:b/>
      <w:bCs/>
    </w:rPr>
  </w:style>
  <w:style w:type="character" w:customStyle="1" w:styleId="CommentSubjectChar">
    <w:name w:val="Comment Subject Char"/>
    <w:basedOn w:val="CommentTextChar"/>
    <w:link w:val="CommentSubject"/>
    <w:uiPriority w:val="99"/>
    <w:semiHidden/>
    <w:rsid w:val="00C5255D"/>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5255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55D"/>
    <w:rPr>
      <w:rFonts w:ascii="Segoe UI" w:hAnsi="Segoe UI" w:cs="Segoe UI"/>
      <w:sz w:val="18"/>
      <w:szCs w:val="18"/>
      <w:lang w:val="en-GB"/>
    </w:rPr>
  </w:style>
  <w:style w:type="character" w:styleId="Hyperlink">
    <w:name w:val="Hyperlink"/>
    <w:basedOn w:val="DefaultParagraphFont"/>
    <w:uiPriority w:val="99"/>
    <w:unhideWhenUsed/>
    <w:rsid w:val="00C5255D"/>
    <w:rPr>
      <w:color w:val="0000FF" w:themeColor="hyperlink"/>
      <w:u w:val="single"/>
    </w:rPr>
  </w:style>
  <w:style w:type="paragraph" w:customStyle="1" w:styleId="Text0">
    <w:name w:val="Text 0"/>
    <w:basedOn w:val="Text1"/>
    <w:rsid w:val="00826EE6"/>
  </w:style>
  <w:style w:type="paragraph" w:customStyle="1" w:styleId="Body">
    <w:name w:val="Body"/>
    <w:rsid w:val="00BB37E9"/>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rsid w:val="00BB37E9"/>
    <w:pPr>
      <w:numPr>
        <w:numId w:val="9"/>
      </w:numPr>
    </w:pPr>
  </w:style>
  <w:style w:type="numbering" w:customStyle="1" w:styleId="ImportedStyle3">
    <w:name w:val="Imported Style 3"/>
    <w:rsid w:val="00BB37E9"/>
    <w:pPr>
      <w:numPr>
        <w:numId w:val="10"/>
      </w:numPr>
    </w:pPr>
  </w:style>
  <w:style w:type="numbering" w:customStyle="1" w:styleId="ImportedStyle4">
    <w:name w:val="Imported Style 4"/>
    <w:rsid w:val="00BB37E9"/>
    <w:pPr>
      <w:numPr>
        <w:numId w:val="11"/>
      </w:numPr>
    </w:pPr>
  </w:style>
  <w:style w:type="numbering" w:customStyle="1" w:styleId="ImportedStyle5">
    <w:name w:val="Imported Style 5"/>
    <w:rsid w:val="00BB37E9"/>
    <w:pPr>
      <w:numPr>
        <w:numId w:val="12"/>
      </w:numPr>
    </w:pPr>
  </w:style>
  <w:style w:type="paragraph" w:styleId="Revision">
    <w:name w:val="Revision"/>
    <w:hidden/>
    <w:uiPriority w:val="99"/>
    <w:semiHidden/>
    <w:rsid w:val="00B0658F"/>
    <w:pPr>
      <w:spacing w:after="0" w:line="240" w:lineRule="auto"/>
    </w:pPr>
    <w:rPr>
      <w:rFonts w:ascii="Times New Roman" w:hAnsi="Times New Roman" w:cs="Times New Roman"/>
      <w:sz w:val="24"/>
      <w:lang w:val="en-GB"/>
    </w:rPr>
  </w:style>
  <w:style w:type="paragraph" w:customStyle="1" w:styleId="Point4b">
    <w:name w:val="Point 4b"/>
    <w:basedOn w:val="Normal"/>
    <w:qFormat/>
    <w:rsid w:val="004C5DAD"/>
    <w:pPr>
      <w:tabs>
        <w:tab w:val="left" w:pos="1453"/>
      </w:tabs>
      <w:ind w:left="2552"/>
      <w:jc w:val="left"/>
    </w:pPr>
    <w:rPr>
      <w:rFonts w:cstheme="minorBidi"/>
      <w:szCs w:val="20"/>
    </w:rPr>
  </w:style>
  <w:style w:type="character" w:customStyle="1" w:styleId="Point2Char">
    <w:name w:val="Point 2 Char"/>
    <w:basedOn w:val="DefaultParagraphFont"/>
    <w:rsid w:val="009B3AEA"/>
    <w:rPr>
      <w:rFonts w:ascii="Times New Roman" w:hAnsi="Times New Roman" w:cs="Times New Roman"/>
      <w:sz w:val="24"/>
      <w:lang w:val="en-GB"/>
    </w:rPr>
  </w:style>
  <w:style w:type="paragraph" w:styleId="Header">
    <w:name w:val="header"/>
    <w:basedOn w:val="Normal"/>
    <w:link w:val="HeaderChar"/>
    <w:uiPriority w:val="99"/>
    <w:unhideWhenUsed/>
    <w:rsid w:val="00F37C42"/>
    <w:pPr>
      <w:tabs>
        <w:tab w:val="center" w:pos="4535"/>
        <w:tab w:val="right" w:pos="9071"/>
      </w:tabs>
      <w:spacing w:before="0"/>
    </w:pPr>
  </w:style>
  <w:style w:type="character" w:customStyle="1" w:styleId="HeaderChar">
    <w:name w:val="Header Char"/>
    <w:basedOn w:val="DefaultParagraphFont"/>
    <w:link w:val="Header"/>
    <w:uiPriority w:val="99"/>
    <w:rsid w:val="00F37C42"/>
    <w:rPr>
      <w:rFonts w:ascii="Times New Roman" w:hAnsi="Times New Roman" w:cs="Times New Roman"/>
      <w:sz w:val="24"/>
      <w:lang w:val="en-GB"/>
    </w:rPr>
  </w:style>
  <w:style w:type="paragraph" w:styleId="Footer">
    <w:name w:val="footer"/>
    <w:basedOn w:val="Normal"/>
    <w:link w:val="FooterChar"/>
    <w:uiPriority w:val="99"/>
    <w:unhideWhenUsed/>
    <w:rsid w:val="00F37C4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37C4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37C42"/>
    <w:pPr>
      <w:tabs>
        <w:tab w:val="center" w:pos="7285"/>
        <w:tab w:val="right" w:pos="14003"/>
      </w:tabs>
      <w:spacing w:before="0"/>
    </w:pPr>
  </w:style>
  <w:style w:type="paragraph" w:customStyle="1" w:styleId="FooterLandscape">
    <w:name w:val="FooterLandscape"/>
    <w:basedOn w:val="Normal"/>
    <w:rsid w:val="00F37C4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37C4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37C42"/>
    <w:pPr>
      <w:spacing w:before="0"/>
      <w:jc w:val="right"/>
    </w:pPr>
    <w:rPr>
      <w:sz w:val="28"/>
    </w:rPr>
  </w:style>
  <w:style w:type="paragraph" w:customStyle="1" w:styleId="FooterSensitivity">
    <w:name w:val="Footer Sensitivity"/>
    <w:basedOn w:val="Normal"/>
    <w:rsid w:val="00F37C4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8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F6325-ED28-498E-9F64-B0EC2BE3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10</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EC CoDe</cp:lastModifiedBy>
  <cp:revision>35</cp:revision>
  <dcterms:created xsi:type="dcterms:W3CDTF">2022-12-02T16:14:00Z</dcterms:created>
  <dcterms:modified xsi:type="dcterms:W3CDTF">2022-12-14T18:46:00Z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8.1, Build 20220902</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