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C0495" w14:textId="32E399F9" w:rsidR="00090BB0" w:rsidRPr="00997803" w:rsidRDefault="007D2656" w:rsidP="007D2656">
      <w:pPr>
        <w:pStyle w:val="Pagedecouverture"/>
        <w:rPr>
          <w:noProof/>
        </w:rPr>
      </w:pPr>
      <w:bookmarkStart w:id="0" w:name="LW_BM_COVERPAGE"/>
      <w:r>
        <w:rPr>
          <w:noProof/>
        </w:rPr>
        <w:pict w14:anchorId="35B46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A21DBE07-65E9-42F2-BB77-71DB9B796050" style="width:455.25pt;height:296.25pt">
            <v:imagedata r:id="rId12" o:title=""/>
          </v:shape>
        </w:pict>
      </w:r>
    </w:p>
    <w:bookmarkEnd w:id="0"/>
    <w:p w14:paraId="0B1C0496" w14:textId="77777777" w:rsidR="00090BB0" w:rsidRPr="00997803" w:rsidRDefault="00090BB0">
      <w:pPr>
        <w:rPr>
          <w:noProof/>
        </w:rPr>
        <w:sectPr w:rsidR="00090BB0" w:rsidRPr="00997803" w:rsidSect="007D2656">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0B1C0497" w14:textId="5EB22B3A" w:rsidR="00090BB0" w:rsidRPr="00997803" w:rsidRDefault="003A3076">
      <w:pPr>
        <w:pStyle w:val="Heading1"/>
        <w:rPr>
          <w:noProof/>
        </w:rPr>
      </w:pPr>
      <w:bookmarkStart w:id="1" w:name="_GoBack"/>
      <w:bookmarkEnd w:id="1"/>
      <w:r>
        <w:rPr>
          <w:noProof/>
        </w:rPr>
        <w:lastRenderedPageBreak/>
        <w:t>Ievads</w:t>
      </w:r>
    </w:p>
    <w:p w14:paraId="0B1C0498" w14:textId="543410B2" w:rsidR="00090BB0" w:rsidRPr="00997803" w:rsidRDefault="003A3076">
      <w:pPr>
        <w:autoSpaceDE w:val="0"/>
        <w:autoSpaceDN w:val="0"/>
        <w:adjustRightInd w:val="0"/>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Šajā ziņojumā saskaņā ar Eiropas Elektronisko sakaru kodeksa</w:t>
      </w:r>
      <w:r>
        <w:rPr>
          <w:rFonts w:ascii="Times New Roman" w:eastAsia="Times New Roman" w:hAnsi="Times New Roman" w:cs="Times New Roman"/>
          <w:noProof/>
          <w:sz w:val="24"/>
          <w:vertAlign w:val="superscript"/>
        </w:rPr>
        <w:footnoteReference w:id="2"/>
      </w:r>
      <w:r>
        <w:rPr>
          <w:rFonts w:ascii="Times New Roman" w:hAnsi="Times New Roman"/>
          <w:noProof/>
          <w:sz w:val="24"/>
        </w:rPr>
        <w:t xml:space="preserve"> (</w:t>
      </w:r>
      <w:r w:rsidR="00257F01" w:rsidRPr="00257F01">
        <w:rPr>
          <w:rFonts w:ascii="Times New Roman" w:hAnsi="Times New Roman"/>
          <w:iCs/>
          <w:noProof/>
          <w:sz w:val="24"/>
        </w:rPr>
        <w:t>EESK</w:t>
      </w:r>
      <w:r>
        <w:rPr>
          <w:rFonts w:ascii="Times New Roman" w:hAnsi="Times New Roman"/>
          <w:noProof/>
          <w:sz w:val="24"/>
        </w:rPr>
        <w:t>) 109. panta 4. punktu ir izvērtēta vienotā Eiropas neatliekamās palīdzības numura “112” ieviešanas efektivitāte. Ziņojuma pamatā ir dalībvalstu un Norvēģijas sniegtās atbildes Komunikāciju komitejai (</w:t>
      </w:r>
      <w:r w:rsidRPr="00257F01">
        <w:rPr>
          <w:rFonts w:ascii="Times New Roman" w:hAnsi="Times New Roman"/>
          <w:iCs/>
          <w:noProof/>
          <w:sz w:val="24"/>
        </w:rPr>
        <w:t>COCOM</w:t>
      </w:r>
      <w:r>
        <w:rPr>
          <w:rFonts w:ascii="Times New Roman" w:hAnsi="Times New Roman"/>
          <w:noProof/>
          <w:sz w:val="24"/>
        </w:rPr>
        <w:t>)</w:t>
      </w:r>
      <w:r>
        <w:rPr>
          <w:rFonts w:ascii="Times New Roman" w:eastAsia="Times New Roman" w:hAnsi="Times New Roman" w:cs="Times New Roman"/>
          <w:noProof/>
          <w:sz w:val="24"/>
          <w:vertAlign w:val="superscript"/>
        </w:rPr>
        <w:footnoteReference w:id="3"/>
      </w:r>
      <w:r>
        <w:rPr>
          <w:rFonts w:ascii="Times New Roman" w:hAnsi="Times New Roman"/>
          <w:noProof/>
          <w:sz w:val="24"/>
        </w:rPr>
        <w:t xml:space="preserve"> anketā</w:t>
      </w:r>
      <w:r>
        <w:rPr>
          <w:rFonts w:ascii="Times New Roman" w:eastAsia="Times New Roman" w:hAnsi="Times New Roman" w:cs="Times New Roman"/>
          <w:noProof/>
          <w:sz w:val="24"/>
          <w:vertAlign w:val="superscript"/>
        </w:rPr>
        <w:footnoteReference w:id="4"/>
      </w:r>
      <w:r>
        <w:rPr>
          <w:rFonts w:ascii="Times New Roman" w:hAnsi="Times New Roman"/>
          <w:noProof/>
          <w:sz w:val="24"/>
        </w:rPr>
        <w:t xml:space="preserve"> par ārkārtēja gadījuma saziņas un Eiropas neatliekamās palīdzības numura “112” ieviešanu. Šādus datus Komisijas dienesti ievāca piecpadsmito reizi kopš 2007. gada.</w:t>
      </w:r>
    </w:p>
    <w:p w14:paraId="0B1C0499" w14:textId="544C964F" w:rsidR="00090BB0" w:rsidRPr="00997803" w:rsidRDefault="003A3076">
      <w:pPr>
        <w:autoSpaceDE w:val="0"/>
        <w:autoSpaceDN w:val="0"/>
        <w:adjustRightInd w:val="0"/>
        <w:spacing w:after="100" w:afterAutospacing="1" w:line="240" w:lineRule="auto"/>
        <w:jc w:val="both"/>
        <w:rPr>
          <w:rFonts w:ascii="Times New Roman" w:eastAsia="Times New Roman" w:hAnsi="Times New Roman" w:cs="Times New Roman"/>
          <w:noProof/>
          <w:color w:val="0000FF"/>
          <w:sz w:val="24"/>
        </w:rPr>
      </w:pPr>
      <w:r>
        <w:rPr>
          <w:rFonts w:ascii="Times New Roman" w:hAnsi="Times New Roman"/>
          <w:noProof/>
          <w:sz w:val="24"/>
        </w:rPr>
        <w:t xml:space="preserve">Saskaņā ar </w:t>
      </w:r>
      <w:r w:rsidR="00257F01" w:rsidRPr="00257F01">
        <w:rPr>
          <w:rFonts w:ascii="Times New Roman" w:hAnsi="Times New Roman"/>
          <w:iCs/>
          <w:noProof/>
          <w:sz w:val="24"/>
        </w:rPr>
        <w:t>EESK</w:t>
      </w:r>
      <w:r>
        <w:rPr>
          <w:rFonts w:ascii="Times New Roman" w:hAnsi="Times New Roman"/>
          <w:noProof/>
          <w:sz w:val="24"/>
        </w:rPr>
        <w:t xml:space="preserve"> 109. panta 4. punktu Komisijai līdz 2020. gada 21. decembrim un katrus divus gadus pēc tam jāiesniedz Eiropas Parlamentam un Padomei ziņojums par vienotā Eiropas neatliekamās palīdzības numura “112” ieviešanas efektivitāti. Pirmais ziņojums tika publicēts 2020. gada 21. decembrī</w:t>
      </w:r>
      <w:r>
        <w:rPr>
          <w:rStyle w:val="FootnoteReference"/>
          <w:rFonts w:ascii="Times New Roman" w:eastAsia="Times New Roman" w:hAnsi="Times New Roman"/>
          <w:noProof/>
          <w:sz w:val="24"/>
        </w:rPr>
        <w:footnoteReference w:id="5"/>
      </w:r>
      <w:r>
        <w:rPr>
          <w:rFonts w:ascii="Times New Roman" w:hAnsi="Times New Roman"/>
          <w:noProof/>
          <w:sz w:val="24"/>
        </w:rPr>
        <w:t>.</w:t>
      </w:r>
    </w:p>
    <w:p w14:paraId="0B1C049A" w14:textId="2547867F" w:rsidR="00090BB0" w:rsidRPr="00997803" w:rsidRDefault="003A3076">
      <w:pPr>
        <w:autoSpaceDE w:val="0"/>
        <w:autoSpaceDN w:val="0"/>
        <w:adjustRightInd w:val="0"/>
        <w:spacing w:before="100" w:beforeAutospacing="1"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Datu vākšanas pamatā bija konkrēti jautājumi, kas tika izmantoti, lai novērtētu ES tiesību aktu prasību īstenošanas līmeni un valstu ārkārtējo izsaukumu centrāļu (ĀIC) sistēmu uzlabošanu. Kvantitatīvo datu</w:t>
      </w:r>
      <w:r>
        <w:rPr>
          <w:rStyle w:val="FootnoteReference"/>
          <w:rFonts w:ascii="Times New Roman" w:eastAsia="Times New Roman" w:hAnsi="Times New Roman"/>
          <w:noProof/>
          <w:sz w:val="24"/>
        </w:rPr>
        <w:footnoteReference w:id="6"/>
      </w:r>
      <w:r>
        <w:rPr>
          <w:rFonts w:ascii="Times New Roman" w:hAnsi="Times New Roman"/>
          <w:noProof/>
          <w:sz w:val="24"/>
        </w:rPr>
        <w:t xml:space="preserve"> (piemēram, uz numuru “112” saņemto neatliekamās palīdzības izsaukumu skaita) pārskata periods ir no 2021. gada 1. janvāra līdz 2021. gada 31. decembrim. Novērtējot sistēmas pieejamību (piemēram, risinājuma izsaucēja atrašanās vietas noteikšanai un lietotnes ieviešanu utt.), šajā ziņojumā ir atspoguļota jaunākā pieejamā informācija. Dalībvalstis un </w:t>
      </w:r>
      <w:r w:rsidRPr="00257F01">
        <w:rPr>
          <w:rFonts w:ascii="Times New Roman" w:hAnsi="Times New Roman"/>
          <w:iCs/>
          <w:noProof/>
          <w:sz w:val="24"/>
        </w:rPr>
        <w:t>COCOM</w:t>
      </w:r>
      <w:r>
        <w:rPr>
          <w:rFonts w:ascii="Times New Roman" w:hAnsi="Times New Roman"/>
          <w:noProof/>
          <w:sz w:val="24"/>
        </w:rPr>
        <w:t xml:space="preserve"> novērotāji no kandidātvalstīm un EEZ valstīm 4. aprīlī tika aicināti iesniegt atbildes līdz 2022. gada 31. maijam.</w:t>
      </w:r>
    </w:p>
    <w:p w14:paraId="0B1C049B" w14:textId="15E0D5E8" w:rsidR="00090BB0" w:rsidRPr="00997803" w:rsidRDefault="003A3076">
      <w:pPr>
        <w:autoSpaceDE w:val="0"/>
        <w:autoSpaceDN w:val="0"/>
        <w:adjustRightInd w:val="0"/>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Dalībvalstis tika aicinātas izstrādāt savus mērinstrumentus vairāku rādītāju uzraudzībai, lai nodrošinātu precīzus datus par to ārkārtēja gadījuma saziņas sistēmu darbību. Visā ziņojumā, ja saistībā ar kvalitatīvo vai kvantitatīvo novērtējumu kādas dalībvalstis nav minētas, tas nozīmē, ka attiecīgie dati Komisijas dienestiem netika iesniegti.</w:t>
      </w:r>
    </w:p>
    <w:p w14:paraId="0B1C049C" w14:textId="49E6DB34" w:rsidR="00090BB0" w:rsidRPr="00997803" w:rsidRDefault="003A3076">
      <w:pPr>
        <w:pStyle w:val="Heading1"/>
        <w:rPr>
          <w:noProof/>
        </w:rPr>
      </w:pPr>
      <w:bookmarkStart w:id="2" w:name="_Toc53504526"/>
      <w:r>
        <w:rPr>
          <w:noProof/>
        </w:rPr>
        <w:t>Numura “112” izsaukumi</w:t>
      </w:r>
      <w:bookmarkEnd w:id="2"/>
    </w:p>
    <w:p w14:paraId="0B1C049D" w14:textId="63EEB0AF" w:rsidR="00090BB0" w:rsidRPr="00997803" w:rsidRDefault="00EA1A06">
      <w:pPr>
        <w:tabs>
          <w:tab w:val="left" w:pos="2302"/>
        </w:tabs>
        <w:spacing w:after="0" w:line="240" w:lineRule="auto"/>
        <w:jc w:val="both"/>
        <w:rPr>
          <w:rFonts w:ascii="Times New Roman" w:eastAsia="Times New Roman" w:hAnsi="Times New Roman" w:cs="Times New Roman"/>
          <w:noProof/>
          <w:sz w:val="24"/>
        </w:rPr>
      </w:pPr>
      <w:r>
        <w:rPr>
          <w:rFonts w:ascii="Times New Roman" w:hAnsi="Times New Roman"/>
          <w:noProof/>
          <w:sz w:val="24"/>
        </w:rPr>
        <w:t>2021. gadā, salīdzinot ar 2019. gadu, zvanu skaits uz vienoto Eiropas neatliekamās palīdzības numuru “112” palielinājās par 3 %, sasniedzot 153 miljonus. Savukārt kopējais ārkārtējo izsaukumu skaits, to vidū uz valsts neatliekamās palīdzības numuriem, ja tie joprojām tiek izmantoti, nemainījās</w:t>
      </w:r>
      <w:r w:rsidR="00257F01">
        <w:rPr>
          <w:rFonts w:ascii="Times New Roman" w:hAnsi="Times New Roman"/>
          <w:noProof/>
          <w:sz w:val="24"/>
        </w:rPr>
        <w:t xml:space="preserve"> </w:t>
      </w:r>
      <w:r>
        <w:rPr>
          <w:rFonts w:ascii="Times New Roman" w:hAnsi="Times New Roman"/>
          <w:noProof/>
          <w:sz w:val="24"/>
        </w:rPr>
        <w:t>– 270 miljonu. 2021. gadā no visiem ārkārtējiem izsaukumiem 56 % bija zvani uz numuru “112”.</w:t>
      </w:r>
    </w:p>
    <w:p w14:paraId="6B6FF449" w14:textId="02B2A3C1" w:rsidR="00E27B46" w:rsidRPr="00997803" w:rsidRDefault="0014089D">
      <w:pPr>
        <w:tabs>
          <w:tab w:val="left" w:pos="2302"/>
        </w:tabs>
        <w:spacing w:after="0" w:line="240" w:lineRule="auto"/>
        <w:jc w:val="both"/>
        <w:rPr>
          <w:rFonts w:ascii="Times New Roman" w:eastAsia="Times New Roman" w:hAnsi="Times New Roman" w:cs="Times New Roman"/>
          <w:noProof/>
          <w:sz w:val="24"/>
        </w:rPr>
      </w:pPr>
      <w:r>
        <w:rPr>
          <w:noProof/>
          <w:lang w:val="en-GB" w:eastAsia="en-GB"/>
        </w:rPr>
        <w:drawing>
          <wp:inline distT="0" distB="0" distL="0" distR="0" wp14:anchorId="7764E10E" wp14:editId="57BBF31B">
            <wp:extent cx="5731510" cy="1899920"/>
            <wp:effectExtent l="0" t="0" r="254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E9FC44" w14:textId="03CB97FE" w:rsidR="00CA5A07" w:rsidRPr="00997803" w:rsidRDefault="00CA5A07" w:rsidP="00CA5A07">
      <w:pPr>
        <w:tabs>
          <w:tab w:val="left" w:pos="2302"/>
        </w:tabs>
        <w:spacing w:after="240" w:line="240" w:lineRule="auto"/>
        <w:jc w:val="both"/>
        <w:rPr>
          <w:rFonts w:ascii="Times New Roman" w:eastAsia="Times New Roman" w:hAnsi="Times New Roman" w:cs="Times New Roman"/>
          <w:i/>
          <w:noProof/>
          <w:sz w:val="24"/>
        </w:rPr>
      </w:pPr>
      <w:r>
        <w:rPr>
          <w:rFonts w:ascii="Times New Roman" w:hAnsi="Times New Roman"/>
          <w:i/>
          <w:noProof/>
          <w:sz w:val="24"/>
        </w:rPr>
        <w:t>1. attēls. Numura “112” izsaukumu skaits</w:t>
      </w:r>
    </w:p>
    <w:p w14:paraId="0B1C049F" w14:textId="41BEADA3" w:rsidR="00090BB0" w:rsidRPr="00997803" w:rsidRDefault="003A3076">
      <w:pPr>
        <w:tabs>
          <w:tab w:val="left" w:pos="2302"/>
        </w:tabs>
        <w:spacing w:after="0" w:line="240" w:lineRule="auto"/>
        <w:jc w:val="both"/>
        <w:rPr>
          <w:rFonts w:ascii="Times New Roman" w:eastAsia="Times New Roman" w:hAnsi="Times New Roman" w:cs="Times New Roman"/>
          <w:noProof/>
          <w:sz w:val="24"/>
        </w:rPr>
      </w:pPr>
      <w:r>
        <w:rPr>
          <w:rFonts w:ascii="Times New Roman" w:hAnsi="Times New Roman"/>
          <w:noProof/>
          <w:sz w:val="24"/>
        </w:rPr>
        <w:t>“112” ir vienotais neatliekamās palīdzības numurs Dānijā, Igaunijā, Somijā, Maltā, Nīderlandē, Portugālē, Rumānijā un Zviedrijā. Tomēr šajās valstīs tiek veikti tikai 23 % no visiem ES izsaukumiem uz numuru “112”. Lielākā daļa izsaukumu uz numuru “112” tiek veikti dalībvalstīs, kurās joprojām tiek izmantoti valsts numuri. Šajās dalībvalstīs vienotā Eiropas neatliekamās palīdzības numura izmantošana ievērojami atšķiras </w:t>
      </w:r>
      <w:r w:rsidR="004C1284">
        <w:rPr>
          <w:rFonts w:ascii="Times New Roman" w:hAnsi="Times New Roman"/>
          <w:noProof/>
          <w:sz w:val="24"/>
        </w:rPr>
        <w:t>–</w:t>
      </w:r>
      <w:r>
        <w:rPr>
          <w:rFonts w:ascii="Times New Roman" w:hAnsi="Times New Roman"/>
          <w:noProof/>
          <w:sz w:val="24"/>
        </w:rPr>
        <w:t xml:space="preserve"> no 5 % gadījumu Īrijā līdz 97 % Bulgārijā.</w:t>
      </w:r>
    </w:p>
    <w:p w14:paraId="0ACD6400" w14:textId="77777777" w:rsidR="00D13FCC" w:rsidRPr="00997803" w:rsidRDefault="00D13FCC">
      <w:pPr>
        <w:tabs>
          <w:tab w:val="left" w:pos="2302"/>
        </w:tabs>
        <w:spacing w:after="0" w:line="240" w:lineRule="auto"/>
        <w:jc w:val="both"/>
        <w:rPr>
          <w:rFonts w:ascii="Times New Roman" w:eastAsia="Times New Roman" w:hAnsi="Times New Roman" w:cs="Times New Roman"/>
          <w:noProof/>
          <w:sz w:val="24"/>
        </w:rPr>
      </w:pPr>
    </w:p>
    <w:p w14:paraId="0B1C04A1" w14:textId="49BE877D" w:rsidR="00090BB0" w:rsidRPr="00997803" w:rsidRDefault="0014089D" w:rsidP="00F579B1">
      <w:pPr>
        <w:tabs>
          <w:tab w:val="left" w:pos="2302"/>
        </w:tabs>
        <w:spacing w:after="0" w:line="240" w:lineRule="auto"/>
        <w:jc w:val="both"/>
        <w:rPr>
          <w:rFonts w:ascii="Times New Roman" w:eastAsia="Times New Roman" w:hAnsi="Times New Roman" w:cs="Times New Roman"/>
          <w:noProof/>
          <w:sz w:val="24"/>
        </w:rPr>
      </w:pPr>
      <w:r>
        <w:rPr>
          <w:noProof/>
          <w:lang w:val="en-GB" w:eastAsia="en-GB"/>
        </w:rPr>
        <w:drawing>
          <wp:inline distT="0" distB="0" distL="0" distR="0" wp14:anchorId="4B4E37BA" wp14:editId="74391001">
            <wp:extent cx="5731510" cy="1570355"/>
            <wp:effectExtent l="0" t="0" r="2540"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1C04A2" w14:textId="4BEAFA22" w:rsidR="00090BB0" w:rsidRPr="00997803" w:rsidRDefault="003A3076" w:rsidP="0014089D">
      <w:pPr>
        <w:tabs>
          <w:tab w:val="left" w:pos="2302"/>
        </w:tabs>
        <w:spacing w:after="240" w:line="240" w:lineRule="auto"/>
        <w:jc w:val="both"/>
        <w:rPr>
          <w:rFonts w:ascii="Times New Roman" w:eastAsia="Times New Roman" w:hAnsi="Times New Roman" w:cs="Times New Roman"/>
          <w:i/>
          <w:noProof/>
          <w:sz w:val="24"/>
        </w:rPr>
      </w:pPr>
      <w:r>
        <w:rPr>
          <w:rFonts w:ascii="Times New Roman" w:hAnsi="Times New Roman"/>
          <w:i/>
          <w:noProof/>
          <w:sz w:val="24"/>
        </w:rPr>
        <w:t>2. attēls. Numura “112” izsaukumu procentuālā daļa</w:t>
      </w:r>
    </w:p>
    <w:p w14:paraId="0B1C04A4" w14:textId="79456D62" w:rsidR="00090BB0" w:rsidRPr="00997803" w:rsidRDefault="003A3076">
      <w:pPr>
        <w:pBdr>
          <w:top w:val="single" w:sz="4" w:space="1" w:color="auto"/>
          <w:left w:val="single" w:sz="4" w:space="4" w:color="auto"/>
          <w:bottom w:val="single" w:sz="4" w:space="1" w:color="auto"/>
          <w:right w:val="single" w:sz="4" w:space="4" w:color="auto"/>
        </w:pBdr>
        <w:tabs>
          <w:tab w:val="left" w:pos="2302"/>
        </w:tabs>
        <w:spacing w:after="240" w:line="240" w:lineRule="auto"/>
        <w:jc w:val="both"/>
        <w:rPr>
          <w:rFonts w:ascii="Times New Roman" w:eastAsia="Times New Roman" w:hAnsi="Times New Roman" w:cs="Times New Roman"/>
          <w:noProof/>
          <w:sz w:val="24"/>
        </w:rPr>
      </w:pPr>
      <w:r>
        <w:rPr>
          <w:rFonts w:ascii="Times New Roman" w:hAnsi="Times New Roman"/>
          <w:noProof/>
          <w:sz w:val="24"/>
        </w:rPr>
        <w:t xml:space="preserve">Tas, cik izsaukumu tiek veikts, zvanot uz numuru “112”, ir atkarīgs no galalietotāju informētības par numura “112” pieejamību, kā arī no tā, vai līdztekus pastāv valsts “vēsturiskie” numuri. </w:t>
      </w:r>
    </w:p>
    <w:p w14:paraId="0B1C04A5" w14:textId="2F47C566" w:rsidR="00090BB0" w:rsidRPr="00997803" w:rsidRDefault="003A3076">
      <w:pPr>
        <w:pBdr>
          <w:top w:val="single" w:sz="4" w:space="1" w:color="auto"/>
          <w:left w:val="single" w:sz="4" w:space="4" w:color="auto"/>
          <w:bottom w:val="single" w:sz="4" w:space="1" w:color="auto"/>
          <w:right w:val="single" w:sz="4" w:space="4" w:color="auto"/>
        </w:pBdr>
        <w:tabs>
          <w:tab w:val="left" w:pos="2302"/>
        </w:tabs>
        <w:spacing w:after="240" w:line="240" w:lineRule="auto"/>
        <w:jc w:val="both"/>
        <w:rPr>
          <w:rFonts w:ascii="Times New Roman" w:eastAsia="Times New Roman" w:hAnsi="Times New Roman" w:cs="Times New Roman"/>
          <w:noProof/>
          <w:sz w:val="24"/>
        </w:rPr>
      </w:pPr>
      <w:r>
        <w:rPr>
          <w:rFonts w:ascii="Times New Roman" w:hAnsi="Times New Roman"/>
          <w:noProof/>
          <w:sz w:val="24"/>
        </w:rPr>
        <w:t>Valstīs, kurās katram neatliekamās palīdzības dienestam ir sava ĀIC, būtu jānodrošina, ka uz numuru “112” veiktos izsaukumus efektīvi pārsūta un tos apstrādā piemērotākais neatliekamās palīdzības dienests saskaņā ar Universālā pakalpojuma direktīvas 109. panta 3. punktu un iepriekš </w:t>
      </w:r>
      <w:r w:rsidR="004C1284">
        <w:rPr>
          <w:rFonts w:ascii="Times New Roman" w:hAnsi="Times New Roman"/>
          <w:noProof/>
          <w:sz w:val="24"/>
        </w:rPr>
        <w:t>–</w:t>
      </w:r>
      <w:r>
        <w:rPr>
          <w:rFonts w:ascii="Times New Roman" w:hAnsi="Times New Roman"/>
          <w:noProof/>
          <w:sz w:val="24"/>
        </w:rPr>
        <w:t xml:space="preserve"> 26. pantu</w:t>
      </w:r>
      <w:r>
        <w:rPr>
          <w:rStyle w:val="FootnoteReference"/>
          <w:rFonts w:ascii="Times New Roman" w:eastAsia="Times New Roman" w:hAnsi="Times New Roman"/>
          <w:noProof/>
          <w:sz w:val="24"/>
        </w:rPr>
        <w:footnoteReference w:id="7"/>
      </w:r>
      <w:r>
        <w:rPr>
          <w:rFonts w:ascii="Times New Roman" w:hAnsi="Times New Roman"/>
          <w:noProof/>
          <w:sz w:val="24"/>
        </w:rPr>
        <w:t>. Mūsdienīga valsts ĀIC sistēmu ieviešana ļauj savienoti un vairāk nekā pietiekamā apmērā apkalpot gan “112” izsaukumus, gan uz valsts numuriem saņemtos izsaukumus, vienlaikus nodrošinot piekļuvi visiem attiecīgajiem neatliekamās palīdzības dienestiem. Šādās sistēmās būtu jāievieš maršrutēšanas funkcija, kas atbilst pārejai uz pakešu komutācijas sakariem un nodrošina, ka visu ārkārtēja gadījuma saziņu </w:t>
      </w:r>
      <w:r w:rsidR="004C1284">
        <w:rPr>
          <w:rFonts w:ascii="Times New Roman" w:hAnsi="Times New Roman"/>
          <w:noProof/>
          <w:sz w:val="24"/>
        </w:rPr>
        <w:t>–</w:t>
      </w:r>
      <w:r>
        <w:rPr>
          <w:rFonts w:ascii="Times New Roman" w:hAnsi="Times New Roman"/>
          <w:noProof/>
          <w:sz w:val="24"/>
        </w:rPr>
        <w:t xml:space="preserve"> izsaukumus pa tālruni, teksta vai video veidā, to starpā tos, kuri saņemti no elektronisko sakaru pakalpojumu sniedzējiem, kuri ir neatkarīgi no tīkla, </w:t>
      </w:r>
      <w:r w:rsidR="004C1284">
        <w:rPr>
          <w:rFonts w:ascii="Times New Roman" w:hAnsi="Times New Roman"/>
          <w:noProof/>
          <w:sz w:val="24"/>
        </w:rPr>
        <w:t>–</w:t>
      </w:r>
      <w:r>
        <w:rPr>
          <w:rFonts w:ascii="Times New Roman" w:hAnsi="Times New Roman"/>
          <w:noProof/>
          <w:sz w:val="24"/>
        </w:rPr>
        <w:t xml:space="preserve"> apstrādā piemērotākā ĀIC. </w:t>
      </w:r>
    </w:p>
    <w:p w14:paraId="0B1C04A6" w14:textId="38B6E46F" w:rsidR="00090BB0" w:rsidRPr="00997803" w:rsidRDefault="003A3076">
      <w:pPr>
        <w:tabs>
          <w:tab w:val="left" w:pos="2302"/>
        </w:tabs>
        <w:spacing w:after="240" w:line="240" w:lineRule="auto"/>
        <w:jc w:val="both"/>
        <w:rPr>
          <w:rFonts w:ascii="Times New Roman" w:eastAsia="Times New Roman" w:hAnsi="Times New Roman" w:cs="Times New Roman"/>
          <w:noProof/>
          <w:sz w:val="24"/>
        </w:rPr>
      </w:pPr>
      <w:r>
        <w:rPr>
          <w:rFonts w:ascii="Times New Roman" w:hAnsi="Times New Roman"/>
          <w:noProof/>
          <w:sz w:val="24"/>
        </w:rPr>
        <w:t>No mobilajiem tālruņiem veikto izsaukumu skaits ievērojami pārsniedza izsaukumu skaitu no fiksētajiem tālruņiem. 2021. gadā vidēji 78 % izsaukumu tika veikti no mobilajiem tālruņiem. Tomēr mobilo tālruņu izmantošana ārkārtēja gadījuma saziņai dažādās dalībvalstīs ievērojami atšķiras </w:t>
      </w:r>
      <w:r w:rsidR="004C1284">
        <w:rPr>
          <w:rFonts w:ascii="Times New Roman" w:hAnsi="Times New Roman"/>
          <w:noProof/>
          <w:sz w:val="24"/>
        </w:rPr>
        <w:t>–</w:t>
      </w:r>
      <w:r>
        <w:rPr>
          <w:rFonts w:ascii="Times New Roman" w:hAnsi="Times New Roman"/>
          <w:noProof/>
          <w:sz w:val="24"/>
        </w:rPr>
        <w:t xml:space="preserve"> no 42 % gadījumu Luksemburgā un 63 % gadījumu Vācijā līdz 96 % gadījumu Kiprā un 99 % Čehijā.</w:t>
      </w:r>
    </w:p>
    <w:p w14:paraId="0B1C04A7" w14:textId="51A245FF" w:rsidR="00090BB0" w:rsidRPr="00997803" w:rsidRDefault="003A3076">
      <w:pPr>
        <w:pBdr>
          <w:top w:val="single" w:sz="4" w:space="1" w:color="auto"/>
          <w:left w:val="single" w:sz="4" w:space="4" w:color="auto"/>
          <w:bottom w:val="single" w:sz="4" w:space="1" w:color="auto"/>
          <w:right w:val="single" w:sz="4" w:space="4" w:color="auto"/>
        </w:pBdr>
        <w:tabs>
          <w:tab w:val="left" w:pos="2302"/>
        </w:tabs>
        <w:spacing w:before="240" w:after="240" w:line="240" w:lineRule="auto"/>
        <w:jc w:val="both"/>
        <w:rPr>
          <w:rFonts w:ascii="Times New Roman" w:eastAsia="Times New Roman" w:hAnsi="Times New Roman" w:cs="Times New Roman"/>
          <w:noProof/>
          <w:sz w:val="24"/>
        </w:rPr>
      </w:pPr>
      <w:r>
        <w:rPr>
          <w:rFonts w:ascii="Times New Roman" w:hAnsi="Times New Roman"/>
          <w:noProof/>
          <w:sz w:val="24"/>
        </w:rPr>
        <w:t>Pieaugošā mobilo tālruņu, jo īpaši viedtālruņu, izplatība liecina par to, cik svarīgi ir nodrošināt piekļuvi neatliekamās palīdzības dienestiem, atrodoties kustībā, jo īpaši saistībā ar pāreju uz balss pārraidi pa ilgtermiņa evolūciju (</w:t>
      </w:r>
      <w:r>
        <w:rPr>
          <w:rFonts w:ascii="Times New Roman" w:hAnsi="Times New Roman"/>
          <w:i/>
          <w:iCs/>
          <w:noProof/>
          <w:sz w:val="24"/>
        </w:rPr>
        <w:t>Voice over Long Term Evolution</w:t>
      </w:r>
      <w:r>
        <w:rPr>
          <w:rFonts w:ascii="Times New Roman" w:hAnsi="Times New Roman"/>
          <w:noProof/>
          <w:sz w:val="24"/>
        </w:rPr>
        <w:t>, VoLTE) un balss pārraidi pa WiFi (</w:t>
      </w:r>
      <w:r>
        <w:rPr>
          <w:rFonts w:ascii="Times New Roman" w:hAnsi="Times New Roman"/>
          <w:i/>
          <w:iCs/>
          <w:noProof/>
          <w:sz w:val="24"/>
        </w:rPr>
        <w:t>Voice over WiFi</w:t>
      </w:r>
      <w:r>
        <w:rPr>
          <w:rFonts w:ascii="Times New Roman" w:hAnsi="Times New Roman"/>
          <w:noProof/>
          <w:sz w:val="24"/>
        </w:rPr>
        <w:t>, VoWiFi). Tas arī nozīmē, ka arvien lielāks datu un iezīmju apjoms, ko iegūst gan no tīkla, gan no galalietotāja mobilā tālruņa, varētu ārkārtēja gadījuma saziņu padarīt efektīvāku (piemēram, nosakot izsaucēja atrašanās vietu, nodrošinot galalietotājiem invalīdiem izsaukumus teksta veidā un videoizsaukumus, ļaujot noteikt atrašanās vietu vertikālajā asī (z asī) un nodrošinot citus kontekstuālus datus).</w:t>
      </w:r>
    </w:p>
    <w:p w14:paraId="0B1C04A8" w14:textId="7C1BCF96" w:rsidR="00090BB0" w:rsidRPr="00997803" w:rsidRDefault="003A3076">
      <w:pPr>
        <w:tabs>
          <w:tab w:val="left" w:pos="2302"/>
        </w:tabs>
        <w:spacing w:before="240" w:after="240" w:line="240" w:lineRule="auto"/>
        <w:jc w:val="both"/>
        <w:rPr>
          <w:rFonts w:ascii="Times New Roman" w:eastAsia="Times New Roman" w:hAnsi="Times New Roman" w:cs="Times New Roman"/>
          <w:noProof/>
          <w:sz w:val="24"/>
        </w:rPr>
      </w:pPr>
      <w:r>
        <w:rPr>
          <w:rFonts w:ascii="Times New Roman" w:hAnsi="Times New Roman"/>
          <w:noProof/>
          <w:sz w:val="24"/>
        </w:rPr>
        <w:t>Nepamatoto izsaukumu</w:t>
      </w:r>
      <w:r>
        <w:rPr>
          <w:rFonts w:ascii="Times New Roman" w:eastAsia="Times New Roman" w:hAnsi="Times New Roman" w:cs="Times New Roman"/>
          <w:noProof/>
          <w:sz w:val="24"/>
          <w:vertAlign w:val="superscript"/>
        </w:rPr>
        <w:footnoteReference w:id="8"/>
      </w:r>
      <w:r>
        <w:rPr>
          <w:rFonts w:ascii="Times New Roman" w:hAnsi="Times New Roman"/>
          <w:noProof/>
          <w:sz w:val="24"/>
        </w:rPr>
        <w:t xml:space="preserve"> skaita attiecība pret visu ārkārtēju izsaukumu skaitu dažādās dalībvalstīs</w:t>
      </w:r>
      <w:r>
        <w:rPr>
          <w:rStyle w:val="FootnoteReference"/>
          <w:rFonts w:ascii="Times New Roman" w:eastAsia="Times New Roman" w:hAnsi="Times New Roman"/>
          <w:noProof/>
          <w:sz w:val="24"/>
        </w:rPr>
        <w:footnoteReference w:id="9"/>
      </w:r>
      <w:r>
        <w:rPr>
          <w:rFonts w:ascii="Times New Roman" w:hAnsi="Times New Roman"/>
          <w:noProof/>
          <w:sz w:val="24"/>
        </w:rPr>
        <w:t xml:space="preserve"> joprojām ievērojami atšķiras, un Maltā tā ir visaugstākā </w:t>
      </w:r>
      <w:r w:rsidR="004C1284">
        <w:rPr>
          <w:rFonts w:ascii="Times New Roman" w:hAnsi="Times New Roman"/>
          <w:noProof/>
          <w:sz w:val="24"/>
        </w:rPr>
        <w:t>–</w:t>
      </w:r>
      <w:r>
        <w:rPr>
          <w:rFonts w:ascii="Times New Roman" w:hAnsi="Times New Roman"/>
          <w:noProof/>
          <w:sz w:val="24"/>
        </w:rPr>
        <w:t xml:space="preserve"> 76 %. Dažas dalībvalstis neatļauj izsaukumus no tālruņiem bez SIM kartes, lai samazinātu nepamatotu izsaukumu risku, kas potenciāli var noslogot ĀIC sistēmu. Tomēr lielākajā daļā dalībvalstu (20)</w:t>
      </w:r>
      <w:r>
        <w:rPr>
          <w:rFonts w:ascii="Times New Roman" w:eastAsia="Times New Roman" w:hAnsi="Times New Roman" w:cs="Times New Roman"/>
          <w:noProof/>
          <w:sz w:val="24"/>
          <w:vertAlign w:val="superscript"/>
        </w:rPr>
        <w:footnoteReference w:id="10"/>
      </w:r>
      <w:r>
        <w:rPr>
          <w:rFonts w:ascii="Times New Roman" w:hAnsi="Times New Roman"/>
          <w:noProof/>
          <w:sz w:val="24"/>
        </w:rPr>
        <w:t xml:space="preserve"> ir noteikts, ka piekļuve neatliekamās palīdzības dienestiem no tālruņiem bez SIM kartes ir obligāti jānodrošina.</w:t>
      </w:r>
    </w:p>
    <w:p w14:paraId="28ADECEB" w14:textId="1A6F548D" w:rsidR="00E95928" w:rsidRPr="00997803" w:rsidRDefault="0084223A" w:rsidP="00F579B1">
      <w:pPr>
        <w:tabs>
          <w:tab w:val="left" w:pos="2302"/>
        </w:tabs>
        <w:spacing w:before="240" w:after="0" w:line="240" w:lineRule="auto"/>
        <w:jc w:val="both"/>
        <w:rPr>
          <w:rFonts w:ascii="Times New Roman" w:eastAsia="Times New Roman" w:hAnsi="Times New Roman" w:cs="Times New Roman"/>
          <w:noProof/>
          <w:sz w:val="24"/>
        </w:rPr>
      </w:pPr>
      <w:r>
        <w:rPr>
          <w:noProof/>
          <w:lang w:val="en-GB" w:eastAsia="en-GB"/>
        </w:rPr>
        <w:drawing>
          <wp:inline distT="0" distB="0" distL="0" distR="0" wp14:anchorId="08F9C996" wp14:editId="768A4586">
            <wp:extent cx="5765800" cy="1819275"/>
            <wp:effectExtent l="0" t="0" r="635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1C04AA" w14:textId="40C69E69" w:rsidR="00090BB0" w:rsidRPr="00997803" w:rsidRDefault="003A3076">
      <w:pPr>
        <w:tabs>
          <w:tab w:val="left" w:pos="2302"/>
        </w:tabs>
        <w:spacing w:after="240" w:line="240" w:lineRule="auto"/>
        <w:jc w:val="both"/>
        <w:rPr>
          <w:rFonts w:ascii="Times New Roman" w:eastAsia="Times New Roman" w:hAnsi="Times New Roman" w:cs="Times New Roman"/>
          <w:i/>
          <w:noProof/>
          <w:sz w:val="24"/>
        </w:rPr>
      </w:pPr>
      <w:r>
        <w:rPr>
          <w:rFonts w:ascii="Times New Roman" w:hAnsi="Times New Roman"/>
          <w:i/>
          <w:noProof/>
          <w:sz w:val="24"/>
        </w:rPr>
        <w:t>3. attēls. Nepamatoti izsaukumi uz neatliekamās palīdzības dienestu numuriem (%)</w:t>
      </w:r>
    </w:p>
    <w:p w14:paraId="0B1C04AB" w14:textId="43162A6D" w:rsidR="00090BB0" w:rsidRPr="00997803" w:rsidRDefault="003A3076">
      <w:pPr>
        <w:pBdr>
          <w:top w:val="single" w:sz="4" w:space="1" w:color="auto"/>
          <w:left w:val="single" w:sz="4" w:space="4" w:color="auto"/>
          <w:bottom w:val="single" w:sz="4" w:space="1" w:color="auto"/>
          <w:right w:val="single" w:sz="4" w:space="4" w:color="auto"/>
        </w:pBdr>
        <w:tabs>
          <w:tab w:val="left" w:pos="2302"/>
        </w:tabs>
        <w:spacing w:after="240" w:line="240" w:lineRule="auto"/>
        <w:jc w:val="both"/>
        <w:rPr>
          <w:rFonts w:ascii="Times New Roman" w:eastAsia="Times New Roman" w:hAnsi="Times New Roman" w:cs="Times New Roman"/>
          <w:noProof/>
          <w:sz w:val="24"/>
        </w:rPr>
      </w:pPr>
      <w:r>
        <w:rPr>
          <w:rFonts w:ascii="Times New Roman" w:hAnsi="Times New Roman"/>
          <w:noProof/>
          <w:sz w:val="24"/>
        </w:rPr>
        <w:t xml:space="preserve">Saskaņā ar </w:t>
      </w:r>
      <w:r w:rsidR="00257F01" w:rsidRPr="00257F01">
        <w:rPr>
          <w:rFonts w:ascii="Times New Roman" w:hAnsi="Times New Roman"/>
          <w:iCs/>
          <w:noProof/>
          <w:sz w:val="24"/>
        </w:rPr>
        <w:t>EESK</w:t>
      </w:r>
      <w:r>
        <w:rPr>
          <w:rFonts w:ascii="Times New Roman" w:hAnsi="Times New Roman"/>
          <w:noProof/>
          <w:sz w:val="24"/>
        </w:rPr>
        <w:t xml:space="preserve"> 109. pantu dalībvalstis var atļaut izmantot ārkārtēja gadījuma saziņas līdzekļus, kas nav zvani uz numuru “112”. Pašlaik dalībvalstis kā alternatīvu piekļuves līdzekli, kas pieejams visiem galalietotājiem, izmanto īsziņas un paziņojumus lietotnēs.</w:t>
      </w:r>
    </w:p>
    <w:p w14:paraId="0B1C04AC" w14:textId="2487A628" w:rsidR="00090BB0" w:rsidRPr="00997803" w:rsidRDefault="00925C28">
      <w:pPr>
        <w:tabs>
          <w:tab w:val="left" w:pos="2302"/>
        </w:tabs>
        <w:spacing w:after="240" w:line="240" w:lineRule="auto"/>
        <w:jc w:val="both"/>
        <w:rPr>
          <w:rFonts w:ascii="Times New Roman" w:eastAsia="Times New Roman" w:hAnsi="Times New Roman" w:cs="Times New Roman"/>
          <w:noProof/>
          <w:sz w:val="24"/>
        </w:rPr>
      </w:pPr>
      <w:r>
        <w:rPr>
          <w:rFonts w:ascii="Times New Roman" w:hAnsi="Times New Roman"/>
          <w:noProof/>
          <w:sz w:val="24"/>
        </w:rPr>
        <w:t>16 dalībvalstis ir atļāvušas visiem galalietotājiem ārkārtēja gadījuma saziņai izmantot īsziņas</w:t>
      </w:r>
      <w:r>
        <w:rPr>
          <w:rFonts w:ascii="Times New Roman" w:eastAsia="Times New Roman" w:hAnsi="Times New Roman" w:cs="Times New Roman"/>
          <w:noProof/>
          <w:sz w:val="24"/>
          <w:vertAlign w:val="superscript"/>
        </w:rPr>
        <w:footnoteReference w:id="11"/>
      </w:r>
      <w:r>
        <w:rPr>
          <w:rFonts w:ascii="Times New Roman" w:hAnsi="Times New Roman"/>
          <w:noProof/>
          <w:sz w:val="24"/>
        </w:rPr>
        <w:t>. 11 dalībvalstīs</w:t>
      </w:r>
      <w:r>
        <w:rPr>
          <w:rFonts w:ascii="Times New Roman" w:eastAsia="Times New Roman" w:hAnsi="Times New Roman" w:cs="Times New Roman"/>
          <w:noProof/>
          <w:sz w:val="24"/>
          <w:vertAlign w:val="superscript"/>
        </w:rPr>
        <w:footnoteReference w:id="12"/>
      </w:r>
      <w:r>
        <w:rPr>
          <w:rFonts w:ascii="Times New Roman" w:hAnsi="Times New Roman"/>
          <w:noProof/>
          <w:sz w:val="24"/>
        </w:rPr>
        <w:t xml:space="preserve"> ārkārtēja īsziņa tiek nosūtīta uz numuru “112”. Atkarībā no tā, cik aktīvi tiek popularizēts šāds ārkārtēja gadījuma saziņas veids, īsziņu izmantošana ārkārtēja gadījuma saziņai ievērojami atšķiras </w:t>
      </w:r>
      <w:r w:rsidR="004C1284">
        <w:rPr>
          <w:rFonts w:ascii="Times New Roman" w:hAnsi="Times New Roman"/>
          <w:noProof/>
          <w:sz w:val="24"/>
        </w:rPr>
        <w:t>–</w:t>
      </w:r>
      <w:r>
        <w:rPr>
          <w:rFonts w:ascii="Times New Roman" w:hAnsi="Times New Roman"/>
          <w:noProof/>
          <w:sz w:val="24"/>
        </w:rPr>
        <w:t xml:space="preserve"> no dažiem gadījumiem līdz desmitiem tūkstošu gadījumu. 13 dalībvalstis</w:t>
      </w:r>
      <w:r>
        <w:rPr>
          <w:rStyle w:val="FootnoteReference"/>
          <w:rFonts w:ascii="Times New Roman" w:eastAsia="Times New Roman" w:hAnsi="Times New Roman"/>
          <w:noProof/>
          <w:sz w:val="24"/>
        </w:rPr>
        <w:footnoteReference w:id="13"/>
      </w:r>
      <w:r>
        <w:rPr>
          <w:rFonts w:ascii="Times New Roman" w:hAnsi="Times New Roman"/>
          <w:noProof/>
          <w:sz w:val="24"/>
        </w:rPr>
        <w:t xml:space="preserve"> apstiprina, ka ārkārtējas īsziņas nosūtīšana tiek nodrošināta par brīvu.</w:t>
      </w:r>
    </w:p>
    <w:p w14:paraId="0B1C04AD" w14:textId="38FB850F" w:rsidR="00090BB0" w:rsidRPr="00997803" w:rsidRDefault="003A3076">
      <w:pPr>
        <w:tabs>
          <w:tab w:val="left" w:pos="2302"/>
        </w:tabs>
        <w:spacing w:after="240" w:line="240" w:lineRule="auto"/>
        <w:jc w:val="both"/>
        <w:rPr>
          <w:rFonts w:ascii="Times New Roman" w:eastAsia="Times New Roman" w:hAnsi="Times New Roman" w:cs="Times New Roman"/>
          <w:noProof/>
          <w:sz w:val="24"/>
        </w:rPr>
      </w:pPr>
      <w:r>
        <w:rPr>
          <w:rFonts w:ascii="Times New Roman" w:hAnsi="Times New Roman"/>
          <w:noProof/>
          <w:sz w:val="24"/>
        </w:rPr>
        <w:t>Papildus iespējai piekļūt neatliekamās palīdzības dienestiem, zvanot uz numuru “112”, 18 dalībvalstis</w:t>
      </w:r>
      <w:r>
        <w:rPr>
          <w:rFonts w:ascii="Times New Roman" w:eastAsia="Times New Roman" w:hAnsi="Times New Roman" w:cs="Times New Roman"/>
          <w:noProof/>
          <w:sz w:val="24"/>
          <w:vertAlign w:val="superscript"/>
        </w:rPr>
        <w:footnoteReference w:id="14"/>
      </w:r>
      <w:r>
        <w:rPr>
          <w:rFonts w:ascii="Times New Roman" w:hAnsi="Times New Roman"/>
          <w:noProof/>
          <w:sz w:val="24"/>
        </w:rPr>
        <w:t xml:space="preserve"> ir valsts vai reģionālā mērogā ieviesušas lietotnes, kas pieejamas visiem galalietotājiem</w:t>
      </w:r>
      <w:r>
        <w:rPr>
          <w:rFonts w:ascii="Times New Roman" w:eastAsia="Times New Roman" w:hAnsi="Times New Roman" w:cs="Times New Roman"/>
          <w:noProof/>
          <w:sz w:val="24"/>
          <w:vertAlign w:val="superscript"/>
        </w:rPr>
        <w:footnoteReference w:id="15"/>
      </w:r>
      <w:r>
        <w:rPr>
          <w:rFonts w:ascii="Times New Roman" w:hAnsi="Times New Roman"/>
          <w:noProof/>
          <w:sz w:val="24"/>
        </w:rPr>
        <w:t xml:space="preserve"> un nodrošina ārkārtēja gadījuma saziņu. Šie piekļuves līdzekļi atkarībā no to uzbūves ļauj galalietotājiem sniegt papildu informāciju ĀIC un sniedz no mobilā tālruņa iegūtu informāciju par atrašanās vietu vai nodrošina tekstuālu saziņu ar ĀIC. Beļģija, Kipra, Vācija un Polija apstiprināja, ka datplūsmai, ko rada neatliekamās palīdzības lietotne, piemēro nulles likmi.</w:t>
      </w:r>
    </w:p>
    <w:p w14:paraId="7BD84158" w14:textId="26E544F0" w:rsidR="00063A30" w:rsidRPr="00997803" w:rsidRDefault="003A3076">
      <w:pPr>
        <w:tabs>
          <w:tab w:val="left" w:pos="2302"/>
        </w:tabs>
        <w:spacing w:after="240" w:line="240" w:lineRule="auto"/>
        <w:jc w:val="both"/>
        <w:rPr>
          <w:rFonts w:ascii="Times New Roman" w:eastAsia="Times New Roman" w:hAnsi="Times New Roman" w:cs="Times New Roman"/>
          <w:noProof/>
          <w:sz w:val="24"/>
        </w:rPr>
      </w:pPr>
      <w:r>
        <w:rPr>
          <w:rFonts w:ascii="Times New Roman" w:hAnsi="Times New Roman"/>
          <w:noProof/>
          <w:sz w:val="24"/>
        </w:rPr>
        <w:t>Ja noticis negadījums, eZvana izsaukumi no automobiļiem, kuri spēj veikt ārkārtēju izsaukumu uz numuru “112”, ir pienācīgi jānovirza uz piemērotāko ĀIC. 27 dalībvalstis un Norvēģija ziņoja kopā par 421 000 eZvana izsaukumiem.</w:t>
      </w:r>
    </w:p>
    <w:p w14:paraId="0B1C04B0" w14:textId="070742B0" w:rsidR="00090BB0" w:rsidRPr="00997803" w:rsidRDefault="00063A30">
      <w:pPr>
        <w:tabs>
          <w:tab w:val="left" w:pos="2302"/>
        </w:tabs>
        <w:spacing w:after="240" w:line="240" w:lineRule="auto"/>
        <w:jc w:val="both"/>
        <w:rPr>
          <w:rFonts w:ascii="Times New Roman" w:eastAsia="Times New Roman" w:hAnsi="Times New Roman" w:cs="Times New Roman"/>
          <w:i/>
          <w:noProof/>
          <w:sz w:val="24"/>
        </w:rPr>
      </w:pPr>
      <w:r>
        <w:rPr>
          <w:noProof/>
          <w:lang w:val="en-GB" w:eastAsia="en-GB"/>
        </w:rPr>
        <w:drawing>
          <wp:inline distT="0" distB="0" distL="0" distR="0" wp14:anchorId="52D9983C" wp14:editId="5E8CADB9">
            <wp:extent cx="5731510" cy="2032000"/>
            <wp:effectExtent l="0" t="0" r="2540" b="63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ascii="Times New Roman" w:hAnsi="Times New Roman"/>
          <w:i/>
          <w:noProof/>
          <w:sz w:val="24"/>
        </w:rPr>
        <w:t>3. attēls. ES veikto eZvana izsaukumu skaits</w:t>
      </w:r>
    </w:p>
    <w:p w14:paraId="0B1C04B2" w14:textId="053CB9C6" w:rsidR="00090BB0" w:rsidRPr="00997803" w:rsidRDefault="003A3076">
      <w:pPr>
        <w:pStyle w:val="Heading1"/>
        <w:rPr>
          <w:noProof/>
        </w:rPr>
      </w:pPr>
      <w:bookmarkStart w:id="3" w:name="_Toc53504527"/>
      <w:r>
        <w:rPr>
          <w:noProof/>
        </w:rPr>
        <w:t>Atbildes laiks</w:t>
      </w:r>
      <w:r>
        <w:rPr>
          <w:noProof/>
          <w:vertAlign w:val="superscript"/>
        </w:rPr>
        <w:footnoteReference w:id="16"/>
      </w:r>
      <w:bookmarkEnd w:id="3"/>
    </w:p>
    <w:p w14:paraId="49892142" w14:textId="7F2277F5" w:rsidR="00F11004" w:rsidRPr="00997803" w:rsidRDefault="003A3076">
      <w:pP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25 dalībvalstis ziņoja, ka vidējais atbildes laiks, kas vajadzīgs, lai sazinātos ar neatliekamās palīdzības dienestiem, ir 10 sekundes vai mazāk.</w:t>
      </w:r>
    </w:p>
    <w:p w14:paraId="0B1C04B3" w14:textId="7376837E" w:rsidR="00090BB0" w:rsidRPr="00997803" w:rsidRDefault="00E5726B" w:rsidP="00CD2C31">
      <w:pPr>
        <w:spacing w:after="0" w:line="240" w:lineRule="auto"/>
        <w:jc w:val="both"/>
        <w:rPr>
          <w:rFonts w:ascii="Times New Roman" w:eastAsia="Times New Roman" w:hAnsi="Times New Roman" w:cs="Times New Roman"/>
          <w:noProof/>
          <w:sz w:val="24"/>
        </w:rPr>
      </w:pPr>
      <w:r>
        <w:rPr>
          <w:noProof/>
          <w:lang w:val="en-GB" w:eastAsia="en-GB"/>
        </w:rPr>
        <w:drawing>
          <wp:inline distT="0" distB="0" distL="0" distR="0" wp14:anchorId="019A22E4" wp14:editId="7DF5EB66">
            <wp:extent cx="5731510" cy="1650782"/>
            <wp:effectExtent l="0" t="0" r="2540" b="698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1C04B5" w14:textId="40F90488" w:rsidR="00090BB0" w:rsidRPr="00997803" w:rsidRDefault="003A3076">
      <w:pPr>
        <w:spacing w:after="100" w:afterAutospacing="1" w:line="240" w:lineRule="auto"/>
        <w:jc w:val="both"/>
        <w:rPr>
          <w:rFonts w:ascii="Times New Roman" w:eastAsia="Times New Roman" w:hAnsi="Times New Roman" w:cs="Times New Roman"/>
          <w:i/>
          <w:noProof/>
          <w:sz w:val="24"/>
        </w:rPr>
      </w:pPr>
      <w:r>
        <w:rPr>
          <w:rFonts w:ascii="Times New Roman" w:hAnsi="Times New Roman"/>
          <w:i/>
          <w:noProof/>
          <w:sz w:val="24"/>
        </w:rPr>
        <w:t>4. attēls. Vidējais atbildes uz ārkārtēju izsaukumu laiks (sekundēs)</w:t>
      </w:r>
    </w:p>
    <w:p w14:paraId="0B1C04B6" w14:textId="77777777" w:rsidR="00090BB0" w:rsidRPr="00997803" w:rsidRDefault="003A3076">
      <w:pPr>
        <w:pStyle w:val="Heading1"/>
        <w:rPr>
          <w:noProof/>
        </w:rPr>
      </w:pPr>
      <w:bookmarkStart w:id="4" w:name="_Toc53504528"/>
      <w:r>
        <w:rPr>
          <w:noProof/>
        </w:rPr>
        <w:t>Pārtraukto izsaukumu skaits</w:t>
      </w:r>
      <w:bookmarkEnd w:id="4"/>
    </w:p>
    <w:p w14:paraId="0B1C04B7" w14:textId="2B606CE2" w:rsidR="00090BB0" w:rsidRPr="00997803" w:rsidRDefault="00013E84">
      <w:pPr>
        <w:spacing w:before="240"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Par izsaukumiem, kas ienāk ĀIC komutatoros, bet tiek izbeigti, pirms ir saņemta operatora (cilvēka) atbilde, ziņoja 27 respondenti</w:t>
      </w:r>
      <w:r>
        <w:rPr>
          <w:rStyle w:val="FootnoteReference"/>
          <w:rFonts w:ascii="Times New Roman" w:eastAsia="Times New Roman" w:hAnsi="Times New Roman"/>
          <w:noProof/>
          <w:sz w:val="24"/>
        </w:rPr>
        <w:footnoteReference w:id="17"/>
      </w:r>
      <w:r>
        <w:rPr>
          <w:rFonts w:ascii="Times New Roman" w:hAnsi="Times New Roman"/>
          <w:noProof/>
          <w:sz w:val="24"/>
        </w:rPr>
        <w:t>. Pārtraukto izsaukumu iemesls var būt tīkla problēmas, tīkla pārslogotība ar zvaniem, tehniski bojājumi, nepietiekama apkalpošanas jauda, izsaucēja atvienošanās (iespējams, zvanot kļūdas dēļ) utt. Netīši zvani un izsaucēju atvienošanās nav ĀIC sistēmas operatoru kontrolē, turpretī apkalpošanas jaudas trūkums norāda uz valsts ĀIC sistēmas nespēju pienācīgi atbildēt uz izsaukumiem, kas saņemti uz numuru “112”, un tos apstrādāt.</w:t>
      </w:r>
    </w:p>
    <w:p w14:paraId="646CAB2B" w14:textId="3A69FEA4" w:rsidR="00013E84" w:rsidRPr="00997803" w:rsidRDefault="00E5726B" w:rsidP="00CD2C31">
      <w:pPr>
        <w:spacing w:before="240" w:after="0" w:line="240" w:lineRule="auto"/>
        <w:jc w:val="both"/>
        <w:rPr>
          <w:rFonts w:ascii="Times New Roman" w:eastAsia="Times New Roman" w:hAnsi="Times New Roman" w:cs="Times New Roman"/>
          <w:noProof/>
          <w:sz w:val="24"/>
        </w:rPr>
      </w:pPr>
      <w:r>
        <w:rPr>
          <w:noProof/>
          <w:lang w:val="en-GB" w:eastAsia="en-GB"/>
        </w:rPr>
        <w:drawing>
          <wp:inline distT="0" distB="0" distL="0" distR="0" wp14:anchorId="0F5AB957" wp14:editId="1C15471C">
            <wp:extent cx="5731510" cy="1814830"/>
            <wp:effectExtent l="0" t="0" r="254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B1C04B9" w14:textId="77777777" w:rsidR="00090BB0" w:rsidRPr="00997803" w:rsidRDefault="003A3076">
      <w:pPr>
        <w:spacing w:after="100" w:afterAutospacing="1" w:line="240" w:lineRule="auto"/>
        <w:jc w:val="both"/>
        <w:rPr>
          <w:rFonts w:ascii="Times New Roman" w:eastAsia="Times New Roman" w:hAnsi="Times New Roman" w:cs="Times New Roman"/>
          <w:i/>
          <w:noProof/>
          <w:sz w:val="24"/>
        </w:rPr>
      </w:pPr>
      <w:r>
        <w:rPr>
          <w:rFonts w:ascii="Times New Roman" w:hAnsi="Times New Roman"/>
          <w:i/>
          <w:noProof/>
          <w:sz w:val="24"/>
        </w:rPr>
        <w:t>5. attēls. Uz neatliekamās palīdzības dienestu numuriem veikto pārtraukto izsaukumu skaits</w:t>
      </w:r>
    </w:p>
    <w:p w14:paraId="0B1C04BA" w14:textId="1637E41F" w:rsidR="00090BB0" w:rsidRPr="00997803" w:rsidRDefault="003A3076">
      <w:pPr>
        <w:pBdr>
          <w:top w:val="single" w:sz="4" w:space="1" w:color="auto"/>
          <w:left w:val="single" w:sz="4" w:space="4" w:color="auto"/>
          <w:bottom w:val="single" w:sz="4" w:space="1" w:color="auto"/>
          <w:right w:val="single" w:sz="4" w:space="4" w:color="auto"/>
        </w:pBd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Lai gan galalietotāju uzvedība un tīkla problēmas ietekmē atbildes laiku un pārtraukto izsaukumu skaitu, izšķiroša nozīme ārkārtēju izsaukumu un ārkārtēja gadījuma saziņas efektīvā apstrādē ar alternatīviem piekļuves līdzekļiem ir valsts ĀIC sistēmas organizācijai un spējām. Lai izmantotu tehnoloģiju attīstību, vairākās ES dalībvalstīs tiek izvērsti savienotu ĀIC tīkli, kas pilnībā balstīti uz IP, lai nodrošinātu resursu efektīvu izmantošanu un </w:t>
      </w:r>
      <w:r w:rsidR="004C1284">
        <w:rPr>
          <w:rFonts w:ascii="Times New Roman" w:hAnsi="Times New Roman"/>
          <w:noProof/>
          <w:sz w:val="24"/>
        </w:rPr>
        <w:t>–</w:t>
      </w:r>
      <w:r>
        <w:rPr>
          <w:rFonts w:ascii="Times New Roman" w:hAnsi="Times New Roman"/>
          <w:noProof/>
          <w:sz w:val="24"/>
        </w:rPr>
        <w:t xml:space="preserve"> pats svarīgākais </w:t>
      </w:r>
      <w:r w:rsidR="004C1284">
        <w:rPr>
          <w:rFonts w:ascii="Times New Roman" w:hAnsi="Times New Roman"/>
          <w:noProof/>
          <w:sz w:val="24"/>
        </w:rPr>
        <w:t>–</w:t>
      </w:r>
      <w:r>
        <w:rPr>
          <w:rFonts w:ascii="Times New Roman" w:hAnsi="Times New Roman"/>
          <w:noProof/>
          <w:sz w:val="24"/>
        </w:rPr>
        <w:t xml:space="preserve"> lai visi ārkārtējie izsaukumi tiktu efektīvi apstrādāti.</w:t>
      </w:r>
      <w:bookmarkStart w:id="5" w:name="_Toc279271367"/>
      <w:bookmarkStart w:id="6" w:name="_Toc311799815"/>
      <w:bookmarkStart w:id="7" w:name="_Toc313053610"/>
      <w:bookmarkStart w:id="8" w:name="_Toc313053776"/>
      <w:bookmarkStart w:id="9" w:name="_Toc315636374"/>
      <w:bookmarkStart w:id="10" w:name="_Toc347774943"/>
      <w:bookmarkStart w:id="11" w:name="_Toc347775058"/>
    </w:p>
    <w:p w14:paraId="0B1C04BB" w14:textId="74025A2A" w:rsidR="00090BB0" w:rsidRPr="00997803" w:rsidRDefault="00B1648B">
      <w:pPr>
        <w:pStyle w:val="Heading1"/>
        <w:rPr>
          <w:noProof/>
        </w:rPr>
      </w:pPr>
      <w:bookmarkStart w:id="12" w:name="_Toc53504529"/>
      <w:r>
        <w:rPr>
          <w:noProof/>
        </w:rPr>
        <w:t>Izsaucēja atrašanās vietas informācijas pieejamība</w:t>
      </w:r>
      <w:bookmarkEnd w:id="12"/>
    </w:p>
    <w:bookmarkEnd w:id="5"/>
    <w:bookmarkEnd w:id="6"/>
    <w:bookmarkEnd w:id="7"/>
    <w:bookmarkEnd w:id="8"/>
    <w:bookmarkEnd w:id="9"/>
    <w:bookmarkEnd w:id="10"/>
    <w:bookmarkEnd w:id="11"/>
    <w:p w14:paraId="0B1C04BC" w14:textId="266E8624" w:rsidR="00090BB0" w:rsidRPr="00997803" w:rsidRDefault="003A3076">
      <w:pPr>
        <w:autoSpaceDE w:val="0"/>
        <w:autoSpaceDN w:val="0"/>
        <w:adjustRightInd w:val="0"/>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 xml:space="preserve">Saskaņā ar </w:t>
      </w:r>
      <w:r w:rsidR="00257F01" w:rsidRPr="00257F01">
        <w:rPr>
          <w:rFonts w:ascii="Times New Roman" w:hAnsi="Times New Roman"/>
          <w:iCs/>
          <w:noProof/>
          <w:sz w:val="24"/>
        </w:rPr>
        <w:t>EESK</w:t>
      </w:r>
      <w:r>
        <w:rPr>
          <w:rFonts w:ascii="Times New Roman" w:hAnsi="Times New Roman"/>
          <w:noProof/>
          <w:sz w:val="24"/>
        </w:rPr>
        <w:t xml:space="preserve"> 109. pantu ir obligāti jānodrošina, ka piemērotākajai ĀIC ir pieejama gan no tīkla iegūta, gan arī no mobilā tālruņa iegūta</w:t>
      </w:r>
      <w:r>
        <w:rPr>
          <w:rFonts w:ascii="Times New Roman" w:eastAsia="Times New Roman" w:hAnsi="Times New Roman" w:cs="Times New Roman"/>
          <w:noProof/>
          <w:sz w:val="24"/>
          <w:vertAlign w:val="superscript"/>
        </w:rPr>
        <w:footnoteReference w:id="18"/>
      </w:r>
      <w:r>
        <w:rPr>
          <w:rFonts w:ascii="Times New Roman" w:hAnsi="Times New Roman"/>
          <w:noProof/>
          <w:sz w:val="24"/>
        </w:rPr>
        <w:t xml:space="preserve"> precīzāka atrašanās vietas informācija.</w:t>
      </w:r>
    </w:p>
    <w:p w14:paraId="0B1C04BD" w14:textId="17FEF17E" w:rsidR="00090BB0" w:rsidRPr="00997803" w:rsidRDefault="003A3076">
      <w:pPr>
        <w:autoSpaceDE w:val="0"/>
        <w:autoSpaceDN w:val="0"/>
        <w:adjustRightInd w:val="0"/>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Lielākajā daļā ziņotāju dalībvalstu</w:t>
      </w:r>
      <w:r>
        <w:rPr>
          <w:rStyle w:val="FootnoteReference"/>
          <w:rFonts w:ascii="Times New Roman" w:eastAsia="Times New Roman" w:hAnsi="Times New Roman"/>
          <w:noProof/>
          <w:sz w:val="24"/>
        </w:rPr>
        <w:footnoteReference w:id="19"/>
      </w:r>
      <w:r>
        <w:rPr>
          <w:rFonts w:ascii="Times New Roman" w:hAnsi="Times New Roman"/>
          <w:noProof/>
          <w:sz w:val="24"/>
        </w:rPr>
        <w:t xml:space="preserve"> mazāk nekā 3 % izsaukumu ir tādi, kuros nav pieejama no tīkla iegūta informācija par izsaucēja atrašanās vietu. Ziņojumi liecina, ka izsaucēja atrašanās vietas informāciju biežāk neizdodas sniegt Nīderlandē (3 %), Igaunijā (4 %), Portugālē (5 %), Īrijā (5,5 %), Itālijā (9,4 %), Spānijā (12,3 %), Horvātijā (13,8 %) un Latvijā (21 %).</w:t>
      </w:r>
    </w:p>
    <w:p w14:paraId="0B1C04BE" w14:textId="5341D5E7" w:rsidR="00090BB0" w:rsidRPr="00997803" w:rsidRDefault="00EA1EA0">
      <w:pPr>
        <w:autoSpaceDE w:val="0"/>
        <w:autoSpaceDN w:val="0"/>
        <w:adjustRightInd w:val="0"/>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14 dalībvalstis un Norvēģija</w:t>
      </w:r>
      <w:r>
        <w:rPr>
          <w:rStyle w:val="FootnoteReference"/>
          <w:rFonts w:ascii="Times New Roman" w:eastAsia="Times New Roman" w:hAnsi="Times New Roman"/>
          <w:noProof/>
          <w:sz w:val="24"/>
        </w:rPr>
        <w:footnoteReference w:id="20"/>
      </w:r>
      <w:r>
        <w:rPr>
          <w:rFonts w:ascii="Times New Roman" w:hAnsi="Times New Roman"/>
          <w:noProof/>
          <w:sz w:val="24"/>
        </w:rPr>
        <w:t>, jo īpaši tās, kurās ir ieviests progresīvas mobilās lokācijas sistēmas (</w:t>
      </w:r>
      <w:r>
        <w:rPr>
          <w:rFonts w:ascii="Times New Roman" w:hAnsi="Times New Roman"/>
          <w:i/>
          <w:iCs/>
          <w:noProof/>
          <w:sz w:val="24"/>
        </w:rPr>
        <w:t>AML</w:t>
      </w:r>
      <w:r>
        <w:rPr>
          <w:rFonts w:ascii="Times New Roman" w:hAnsi="Times New Roman"/>
          <w:noProof/>
          <w:sz w:val="24"/>
        </w:rPr>
        <w:t>) risinājums</w:t>
      </w:r>
      <w:r>
        <w:rPr>
          <w:rFonts w:ascii="Times New Roman" w:eastAsia="Times New Roman" w:hAnsi="Times New Roman" w:cs="Times New Roman"/>
          <w:noProof/>
          <w:sz w:val="24"/>
          <w:vertAlign w:val="superscript"/>
        </w:rPr>
        <w:footnoteReference w:id="21"/>
      </w:r>
      <w:r>
        <w:rPr>
          <w:rFonts w:ascii="Times New Roman" w:hAnsi="Times New Roman"/>
          <w:noProof/>
          <w:sz w:val="24"/>
        </w:rPr>
        <w:t xml:space="preserve">, ziņoja par pieejamu izsaucēja atrašanās vietas informāciju, kas iegūta no mobilā tālruņa. Pat tajās valstīs, kur valsts ĀIC sistēma ir modernizēta, lai saņemtu </w:t>
      </w:r>
      <w:r>
        <w:rPr>
          <w:rFonts w:ascii="Times New Roman" w:hAnsi="Times New Roman"/>
          <w:i/>
          <w:iCs/>
          <w:noProof/>
          <w:sz w:val="24"/>
        </w:rPr>
        <w:t>AML</w:t>
      </w:r>
      <w:r>
        <w:rPr>
          <w:rFonts w:ascii="Times New Roman" w:hAnsi="Times New Roman"/>
          <w:noProof/>
          <w:sz w:val="24"/>
        </w:rPr>
        <w:t xml:space="preserve"> datus, joprojām ievērojamam skaitam izsaukumu šī ļoti precīzā atrašanās vietas informācija netiek saņemta. Papildus tādu galalietotāju atrašanās vietas noteikšanai, kuri zvana uz numuru “112”, dalībvalstis varētu nodrošināt </w:t>
      </w:r>
      <w:r>
        <w:rPr>
          <w:rFonts w:ascii="Times New Roman" w:hAnsi="Times New Roman"/>
          <w:i/>
          <w:iCs/>
          <w:noProof/>
          <w:sz w:val="24"/>
        </w:rPr>
        <w:t>AML</w:t>
      </w:r>
      <w:r>
        <w:rPr>
          <w:rFonts w:ascii="Times New Roman" w:hAnsi="Times New Roman"/>
          <w:noProof/>
          <w:sz w:val="24"/>
        </w:rPr>
        <w:t xml:space="preserve"> izmantošanu arī ārkārtēja gadījuma saziņā ar īsziņām.</w:t>
      </w:r>
    </w:p>
    <w:p w14:paraId="0B1C04BF" w14:textId="3B09E514" w:rsidR="00090BB0" w:rsidRPr="00997803" w:rsidRDefault="003A3076">
      <w:pPr>
        <w:autoSpaceDE w:val="0"/>
        <w:autoSpaceDN w:val="0"/>
        <w:adjustRightInd w:val="0"/>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 xml:space="preserve">Galalietotāji, kas apmeklē citas dalībvalstis un izmanto viesabonēšanu, ārkārtējā situācijā var būt mazāk aizsargāti, jo var nespēt precīzi aprakstīt savu atrašanās vietu. Lai gan </w:t>
      </w:r>
      <w:r>
        <w:rPr>
          <w:rFonts w:ascii="Times New Roman" w:hAnsi="Times New Roman"/>
          <w:i/>
          <w:iCs/>
          <w:noProof/>
          <w:sz w:val="24"/>
        </w:rPr>
        <w:t>AML</w:t>
      </w:r>
      <w:r>
        <w:rPr>
          <w:rFonts w:ascii="Times New Roman" w:hAnsi="Times New Roman"/>
          <w:noProof/>
          <w:sz w:val="24"/>
        </w:rPr>
        <w:t xml:space="preserve"> risinājumi ir ieviesti 22 dalībvalstīs, Islandē un Norvēģijā, tikai 6 dalībvalstis apstiprināja, ka no mobilā tālruņa iegūta atrašanās vietas informācija ir pieejama par galalietotājiem, kas izmanto viesabonēšanu</w:t>
      </w:r>
      <w:r>
        <w:rPr>
          <w:rStyle w:val="FootnoteReference"/>
          <w:rFonts w:ascii="Times New Roman" w:eastAsia="Times New Roman" w:hAnsi="Times New Roman"/>
          <w:noProof/>
          <w:sz w:val="24"/>
        </w:rPr>
        <w:footnoteReference w:id="22"/>
      </w:r>
      <w:r>
        <w:rPr>
          <w:rFonts w:ascii="Times New Roman" w:hAnsi="Times New Roman"/>
          <w:noProof/>
          <w:sz w:val="24"/>
        </w:rPr>
        <w:t>.</w:t>
      </w:r>
    </w:p>
    <w:p w14:paraId="0B1C04C0" w14:textId="0E0C1D4D" w:rsidR="00090BB0" w:rsidRPr="00997803" w:rsidRDefault="003A3076">
      <w:pPr>
        <w:pBdr>
          <w:top w:val="single" w:sz="4" w:space="1" w:color="auto"/>
          <w:left w:val="single" w:sz="4" w:space="4" w:color="auto"/>
          <w:bottom w:val="single" w:sz="4" w:space="1" w:color="auto"/>
          <w:right w:val="single" w:sz="4" w:space="4" w:color="auto"/>
        </w:pBdr>
        <w:autoSpaceDE w:val="0"/>
        <w:autoSpaceDN w:val="0"/>
        <w:adjustRightInd w:val="0"/>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Viedtālruņu lielā izplatība nes labumu tādā ziņā, ka tā uzlabo ārkārtēja gadījuma saziņas efektivitāti, jo ir pieejama precīza informācija par izsaucēja atrašanās vietu. Viesabonēšanas regulā</w:t>
      </w:r>
      <w:r>
        <w:rPr>
          <w:rStyle w:val="FootnoteReference"/>
          <w:rFonts w:ascii="Times New Roman" w:eastAsia="Times New Roman" w:hAnsi="Times New Roman"/>
          <w:noProof/>
          <w:sz w:val="24"/>
        </w:rPr>
        <w:footnoteReference w:id="23"/>
      </w:r>
      <w:r>
        <w:rPr>
          <w:rFonts w:ascii="Times New Roman" w:hAnsi="Times New Roman"/>
          <w:noProof/>
          <w:sz w:val="24"/>
        </w:rPr>
        <w:t xml:space="preserve"> ir noteikts, ka piekļuve neatliekamās palīdzības dienestiem ir iespējama, nodrošinot vairumtirdzniecības līmeņa pārredzamību starp viesabonēšanas partneriem, apmainoties ar tehnisko un regulatīvo informāciju, lai nodrošinātu ārkārtēja gadījuma saziņas un izsaucēja atrašanās vietas noteikšanas pakalpojumu sniegšanu viesabonentiem. </w:t>
      </w:r>
    </w:p>
    <w:p w14:paraId="0B1C04C1" w14:textId="77777777" w:rsidR="00090BB0" w:rsidRPr="00997803" w:rsidRDefault="003A3076">
      <w:pPr>
        <w:pStyle w:val="Heading1"/>
        <w:rPr>
          <w:noProof/>
        </w:rPr>
      </w:pPr>
      <w:r>
        <w:rPr>
          <w:noProof/>
        </w:rPr>
        <w:t xml:space="preserve"> </w:t>
      </w:r>
      <w:bookmarkStart w:id="13" w:name="_Toc53504530"/>
      <w:r>
        <w:rPr>
          <w:noProof/>
        </w:rPr>
        <w:t>Izsaucēja atrašanās vietas informācijas precizitāte un uzticamība</w:t>
      </w:r>
      <w:bookmarkEnd w:id="13"/>
    </w:p>
    <w:p w14:paraId="0B1C04C2" w14:textId="632A6287" w:rsidR="00090BB0" w:rsidRPr="00997803" w:rsidRDefault="00257F01">
      <w:pPr>
        <w:spacing w:after="100" w:afterAutospacing="1" w:line="240" w:lineRule="auto"/>
        <w:jc w:val="both"/>
        <w:rPr>
          <w:rFonts w:ascii="Times New Roman" w:eastAsia="Times New Roman" w:hAnsi="Times New Roman" w:cs="Times New Roman"/>
          <w:noProof/>
          <w:sz w:val="24"/>
        </w:rPr>
      </w:pPr>
      <w:r w:rsidRPr="00257F01">
        <w:rPr>
          <w:rFonts w:ascii="Times New Roman" w:hAnsi="Times New Roman"/>
          <w:iCs/>
          <w:noProof/>
          <w:sz w:val="24"/>
        </w:rPr>
        <w:t>EESK</w:t>
      </w:r>
      <w:r w:rsidR="00D81065">
        <w:rPr>
          <w:rFonts w:ascii="Times New Roman" w:hAnsi="Times New Roman"/>
          <w:noProof/>
          <w:sz w:val="24"/>
        </w:rPr>
        <w:t xml:space="preserve"> 109. panta 6. punktā ir noteikts, ka dalībvalstīm ir jānosaka izsaucēja atrašanās vietas informācijas precizitātes un uzticamības kritēriji. 18 dalībvalstis</w:t>
      </w:r>
      <w:r w:rsidR="00D81065">
        <w:rPr>
          <w:rStyle w:val="FootnoteReference"/>
          <w:rFonts w:ascii="Times New Roman" w:eastAsia="Times New Roman" w:hAnsi="Times New Roman"/>
          <w:noProof/>
          <w:sz w:val="24"/>
        </w:rPr>
        <w:footnoteReference w:id="24"/>
      </w:r>
      <w:r w:rsidR="00D81065">
        <w:rPr>
          <w:rFonts w:ascii="Times New Roman" w:hAnsi="Times New Roman"/>
          <w:noProof/>
          <w:sz w:val="24"/>
        </w:rPr>
        <w:t xml:space="preserve"> un Norvēģija ziņoja par valsts tiesību aktos noteiktajiem izsaucēja atrašanās vietas kritērijiem. Turklāt Deleģētās regulas 2019/320</w:t>
      </w:r>
      <w:r w:rsidR="00D81065">
        <w:rPr>
          <w:rFonts w:ascii="Times New Roman" w:eastAsia="Times New Roman" w:hAnsi="Times New Roman" w:cs="Times New Roman"/>
          <w:noProof/>
          <w:sz w:val="24"/>
          <w:vertAlign w:val="superscript"/>
        </w:rPr>
        <w:footnoteReference w:id="25"/>
      </w:r>
      <w:r w:rsidR="00D81065">
        <w:rPr>
          <w:rFonts w:ascii="Times New Roman" w:hAnsi="Times New Roman"/>
          <w:noProof/>
          <w:sz w:val="24"/>
        </w:rPr>
        <w:t xml:space="preserve"> mērķis ir atbalstīt </w:t>
      </w:r>
      <w:r w:rsidRPr="00257F01">
        <w:rPr>
          <w:rFonts w:ascii="Times New Roman" w:hAnsi="Times New Roman"/>
          <w:iCs/>
          <w:noProof/>
          <w:sz w:val="24"/>
        </w:rPr>
        <w:t>EESK</w:t>
      </w:r>
      <w:r w:rsidR="00D81065">
        <w:rPr>
          <w:rFonts w:ascii="Times New Roman" w:hAnsi="Times New Roman"/>
          <w:noProof/>
          <w:sz w:val="24"/>
        </w:rPr>
        <w:t xml:space="preserve"> noteiktos politikas mērķus, uzdodot viedtālruņu ražotājiem no 2022. gada 17. marta nodrošināt, lai ārkārtēja gadījuma saziņā būtu pieejami dati no globālās satelītu navigācijas sistēmas (</w:t>
      </w:r>
      <w:r w:rsidR="00D81065" w:rsidRPr="00257F01">
        <w:rPr>
          <w:rFonts w:ascii="Times New Roman" w:hAnsi="Times New Roman"/>
          <w:iCs/>
          <w:noProof/>
          <w:sz w:val="24"/>
        </w:rPr>
        <w:t>GNSS</w:t>
      </w:r>
      <w:r w:rsidR="00D81065">
        <w:rPr>
          <w:rFonts w:ascii="Times New Roman" w:hAnsi="Times New Roman"/>
          <w:noProof/>
          <w:sz w:val="24"/>
        </w:rPr>
        <w:t>) </w:t>
      </w:r>
      <w:r w:rsidR="004C1284">
        <w:rPr>
          <w:rFonts w:ascii="Times New Roman" w:hAnsi="Times New Roman"/>
          <w:noProof/>
          <w:sz w:val="24"/>
        </w:rPr>
        <w:t>–</w:t>
      </w:r>
      <w:r w:rsidR="00D81065">
        <w:rPr>
          <w:rFonts w:ascii="Times New Roman" w:hAnsi="Times New Roman"/>
          <w:noProof/>
          <w:sz w:val="24"/>
        </w:rPr>
        <w:t xml:space="preserve"> vismaz no ES </w:t>
      </w:r>
      <w:r w:rsidR="00D81065">
        <w:rPr>
          <w:rFonts w:ascii="Times New Roman" w:hAnsi="Times New Roman"/>
          <w:i/>
          <w:iCs/>
          <w:noProof/>
          <w:sz w:val="24"/>
        </w:rPr>
        <w:t>Galileo</w:t>
      </w:r>
      <w:r w:rsidR="00D81065">
        <w:rPr>
          <w:rFonts w:ascii="Times New Roman" w:hAnsi="Times New Roman"/>
          <w:noProof/>
          <w:sz w:val="24"/>
        </w:rPr>
        <w:t> </w:t>
      </w:r>
      <w:r w:rsidR="004C1284">
        <w:rPr>
          <w:rFonts w:ascii="Times New Roman" w:hAnsi="Times New Roman"/>
          <w:noProof/>
          <w:sz w:val="24"/>
        </w:rPr>
        <w:t>–</w:t>
      </w:r>
      <w:r w:rsidR="00D81065">
        <w:rPr>
          <w:rFonts w:ascii="Times New Roman" w:hAnsi="Times New Roman"/>
          <w:noProof/>
          <w:sz w:val="24"/>
        </w:rPr>
        <w:t xml:space="preserve"> un dati no </w:t>
      </w:r>
      <w:r w:rsidR="00D81065" w:rsidRPr="00257F01">
        <w:rPr>
          <w:rFonts w:ascii="Times New Roman" w:hAnsi="Times New Roman"/>
          <w:iCs/>
          <w:noProof/>
          <w:sz w:val="24"/>
        </w:rPr>
        <w:t>Wi-Fi</w:t>
      </w:r>
      <w:r w:rsidR="00D81065" w:rsidRPr="00257F01">
        <w:rPr>
          <w:rFonts w:ascii="Times New Roman" w:hAnsi="Times New Roman"/>
          <w:noProof/>
          <w:sz w:val="24"/>
        </w:rPr>
        <w:t>.</w:t>
      </w:r>
      <w:r w:rsidR="00D81065">
        <w:rPr>
          <w:rFonts w:ascii="Times New Roman" w:hAnsi="Times New Roman"/>
          <w:noProof/>
          <w:sz w:val="24"/>
        </w:rPr>
        <w:t xml:space="preserve"> Tas ļauj ar pienācīgu un lietderīgu precizitāti noteikt, kur atrodas viedtālrunis un līdz ar to arī persona, kas to izmanto.</w:t>
      </w:r>
    </w:p>
    <w:p w14:paraId="0B1C04C3" w14:textId="77777777" w:rsidR="00090BB0" w:rsidRPr="00997803" w:rsidRDefault="003A3076" w:rsidP="008E4526">
      <w:pPr>
        <w:spacing w:after="0" w:line="240" w:lineRule="auto"/>
        <w:jc w:val="both"/>
        <w:rPr>
          <w:rFonts w:ascii="Times New Roman" w:eastAsia="Times New Roman" w:hAnsi="Times New Roman" w:cs="Times New Roman"/>
          <w:noProof/>
          <w:sz w:val="24"/>
          <w:u w:val="single"/>
        </w:rPr>
      </w:pPr>
      <w:r>
        <w:rPr>
          <w:rFonts w:ascii="Times New Roman" w:hAnsi="Times New Roman"/>
          <w:noProof/>
          <w:sz w:val="24"/>
          <w:u w:val="single"/>
        </w:rPr>
        <w:t>No tīkla iegūta atrašanās vietas informācija</w:t>
      </w:r>
    </w:p>
    <w:p w14:paraId="0B1C04C4" w14:textId="1792D46C" w:rsidR="00090BB0" w:rsidRPr="00997803" w:rsidRDefault="003A3076">
      <w:pP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 xml:space="preserve">Visās dalībvalstīs un Norvēģijā </w:t>
      </w:r>
      <w:r>
        <w:rPr>
          <w:rFonts w:ascii="Times New Roman" w:hAnsi="Times New Roman"/>
          <w:i/>
          <w:iCs/>
          <w:noProof/>
          <w:sz w:val="24"/>
        </w:rPr>
        <w:t>fiksētajos tīklos</w:t>
      </w:r>
      <w:r>
        <w:rPr>
          <w:rFonts w:ascii="Times New Roman" w:hAnsi="Times New Roman"/>
          <w:noProof/>
          <w:sz w:val="24"/>
        </w:rPr>
        <w:t xml:space="preserve"> veikto izsaukumu gadījumā izsaucēja atrašanās vietu norāda pēc izsaucēja ierīces instalēšanas adreses vai izsaucēja ielas/pasta/rēķinu adreses. </w:t>
      </w:r>
    </w:p>
    <w:p w14:paraId="0B1C04C5" w14:textId="27EA0BBE" w:rsidR="00090BB0" w:rsidRPr="00997803" w:rsidRDefault="003A3076">
      <w:pP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 xml:space="preserve">Visas dalībvalstis ziņoja, ka </w:t>
      </w:r>
      <w:r>
        <w:rPr>
          <w:rFonts w:ascii="Times New Roman" w:hAnsi="Times New Roman"/>
          <w:i/>
          <w:iCs/>
          <w:noProof/>
          <w:sz w:val="24"/>
        </w:rPr>
        <w:t>mobilajos tīklos</w:t>
      </w:r>
      <w:r>
        <w:rPr>
          <w:rFonts w:ascii="Times New Roman" w:hAnsi="Times New Roman"/>
          <w:noProof/>
          <w:sz w:val="24"/>
        </w:rPr>
        <w:t xml:space="preserve"> veikto izsaukumu gadījumā atrašanās vietu norāda kā šūnas/sektora identifikatoru, kas nodrošina ĀIC operatoram pārraidīto datu augstu uzticamību. Paziņotā precizitāte ir no 500 m līdz 40 km atkarībā no tīkla blīvuma, t. i., atkarībā no atrašanās pilsētas vai lauku apvidū. Precīzāki uz mobilo sakaru tīklu balstīti atrašanās vietas noteikšanas risinājumi ir sinhronizācijas apsteidze, aprites laiks vai sektora identifikators. Šīs atrašanās vietas noteikšanas metodes ievērojami uzlabo no tīkla iegūtās atrašanās vietas informācijas precizitāti </w:t>
      </w:r>
      <w:r w:rsidR="004C1284">
        <w:rPr>
          <w:rFonts w:ascii="Times New Roman" w:hAnsi="Times New Roman"/>
          <w:noProof/>
          <w:sz w:val="24"/>
        </w:rPr>
        <w:t>–</w:t>
      </w:r>
      <w:r>
        <w:rPr>
          <w:rFonts w:ascii="Times New Roman" w:hAnsi="Times New Roman"/>
          <w:noProof/>
          <w:sz w:val="24"/>
        </w:rPr>
        <w:t xml:space="preserve"> dažos gadījumos līdz pat 50 m.</w:t>
      </w:r>
    </w:p>
    <w:p w14:paraId="0B1C04C6" w14:textId="77777777" w:rsidR="00090BB0" w:rsidRPr="00997803" w:rsidRDefault="003A3076">
      <w:pPr>
        <w:spacing w:after="100" w:afterAutospacing="1" w:line="240" w:lineRule="auto"/>
        <w:jc w:val="both"/>
        <w:rPr>
          <w:rFonts w:ascii="Times New Roman" w:eastAsia="Times New Roman" w:hAnsi="Times New Roman" w:cs="Times New Roman"/>
          <w:noProof/>
          <w:sz w:val="24"/>
          <w:u w:val="single"/>
        </w:rPr>
      </w:pPr>
      <w:r>
        <w:rPr>
          <w:rFonts w:ascii="Times New Roman" w:hAnsi="Times New Roman"/>
          <w:noProof/>
          <w:sz w:val="24"/>
          <w:u w:val="single"/>
        </w:rPr>
        <w:t>No mobilā tālruņa iegūtos datos balstīti atrašanās vietas noteikšanas risinājumi</w:t>
      </w:r>
    </w:p>
    <w:p w14:paraId="0B1C04C7" w14:textId="55946B8B" w:rsidR="00090BB0" w:rsidRPr="00997803" w:rsidRDefault="003A3076">
      <w:pP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Attiecībā uz atrašanās vietas noteikšanas risinājumiem, kam izmanto no mobilā tālruņa iegūtu informāciju, dalībvalstis ziņoja par diviem turpmāk aprakstītajiem īstenošanas veidiem.</w:t>
      </w:r>
    </w:p>
    <w:p w14:paraId="0B1C04C8" w14:textId="77777777" w:rsidR="00090BB0" w:rsidRPr="00997803" w:rsidRDefault="003A3076">
      <w:pP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a) Progresīvas mobilās lokācijas sistēmas (</w:t>
      </w:r>
      <w:r>
        <w:rPr>
          <w:rFonts w:ascii="Times New Roman" w:hAnsi="Times New Roman"/>
          <w:i/>
          <w:iCs/>
          <w:noProof/>
          <w:sz w:val="24"/>
        </w:rPr>
        <w:t>AML</w:t>
      </w:r>
      <w:r>
        <w:rPr>
          <w:rFonts w:ascii="Times New Roman" w:hAnsi="Times New Roman"/>
          <w:noProof/>
          <w:sz w:val="24"/>
        </w:rPr>
        <w:t>) risinājums</w:t>
      </w:r>
    </w:p>
    <w:p w14:paraId="0B1C04CC" w14:textId="4027512D" w:rsidR="00090BB0" w:rsidRPr="00997803" w:rsidRDefault="003A3076" w:rsidP="00647E98">
      <w:pPr>
        <w:spacing w:after="100" w:afterAutospacing="1" w:line="240" w:lineRule="auto"/>
        <w:jc w:val="both"/>
        <w:rPr>
          <w:rFonts w:ascii="Times New Roman" w:eastAsia="Times New Roman" w:hAnsi="Times New Roman" w:cs="Times New Roman"/>
          <w:i/>
          <w:noProof/>
          <w:sz w:val="24"/>
        </w:rPr>
      </w:pPr>
      <w:r>
        <w:rPr>
          <w:rFonts w:ascii="Times New Roman" w:hAnsi="Times New Roman"/>
          <w:i/>
          <w:iCs/>
          <w:noProof/>
          <w:sz w:val="24"/>
        </w:rPr>
        <w:t>AML</w:t>
      </w:r>
      <w:r>
        <w:rPr>
          <w:rFonts w:ascii="Times New Roman" w:hAnsi="Times New Roman"/>
          <w:noProof/>
          <w:sz w:val="24"/>
        </w:rPr>
        <w:t xml:space="preserve"> var uzlabot precizitāti pat 4000 reižu un nodrošināt precizitāti līdz mazāk nekā 100 m</w:t>
      </w:r>
      <w:bookmarkStart w:id="14" w:name="_Ref52980166"/>
      <w:r>
        <w:rPr>
          <w:rFonts w:ascii="Times New Roman" w:eastAsia="Times New Roman" w:hAnsi="Times New Roman" w:cs="Times New Roman"/>
          <w:noProof/>
          <w:sz w:val="24"/>
          <w:vertAlign w:val="superscript"/>
        </w:rPr>
        <w:footnoteReference w:id="26"/>
      </w:r>
      <w:bookmarkEnd w:id="14"/>
      <w:r>
        <w:rPr>
          <w:rFonts w:ascii="Times New Roman" w:hAnsi="Times New Roman"/>
          <w:noProof/>
          <w:sz w:val="24"/>
        </w:rPr>
        <w:t xml:space="preserve">. Risinājums neignorē šūnas identifikatora atrašanās vietu, uz ko norāda tīkls, bet papildina to ar </w:t>
      </w:r>
      <w:r>
        <w:rPr>
          <w:rFonts w:ascii="Times New Roman" w:hAnsi="Times New Roman"/>
          <w:i/>
          <w:iCs/>
          <w:noProof/>
          <w:sz w:val="24"/>
        </w:rPr>
        <w:t>GNSS</w:t>
      </w:r>
      <w:r>
        <w:rPr>
          <w:rFonts w:ascii="Times New Roman" w:hAnsi="Times New Roman"/>
          <w:noProof/>
          <w:sz w:val="24"/>
        </w:rPr>
        <w:t xml:space="preserve"> vai </w:t>
      </w:r>
      <w:r>
        <w:rPr>
          <w:rFonts w:ascii="Times New Roman" w:hAnsi="Times New Roman"/>
          <w:i/>
          <w:iCs/>
          <w:noProof/>
          <w:sz w:val="24"/>
        </w:rPr>
        <w:t>Wi-Fi</w:t>
      </w:r>
      <w:r>
        <w:rPr>
          <w:rFonts w:ascii="Times New Roman" w:hAnsi="Times New Roman"/>
          <w:noProof/>
          <w:sz w:val="24"/>
        </w:rPr>
        <w:t xml:space="preserve"> atrašanās vietas informāciju, kas iegūta no mobilā tālruņa. 22 dalībvalstis</w:t>
      </w:r>
      <w:r>
        <w:rPr>
          <w:rStyle w:val="FootnoteReference"/>
          <w:rFonts w:ascii="Times New Roman" w:eastAsia="Times New Roman" w:hAnsi="Times New Roman"/>
          <w:noProof/>
          <w:sz w:val="24"/>
        </w:rPr>
        <w:footnoteReference w:id="27"/>
      </w:r>
      <w:r>
        <w:rPr>
          <w:rFonts w:ascii="Times New Roman" w:hAnsi="Times New Roman"/>
          <w:noProof/>
          <w:sz w:val="24"/>
        </w:rPr>
        <w:t xml:space="preserve">, Islande un Norvēģija ziņoja par </w:t>
      </w:r>
      <w:r>
        <w:rPr>
          <w:rFonts w:ascii="Times New Roman" w:hAnsi="Times New Roman"/>
          <w:i/>
          <w:iCs/>
          <w:noProof/>
          <w:sz w:val="24"/>
        </w:rPr>
        <w:t>AML</w:t>
      </w:r>
      <w:r>
        <w:rPr>
          <w:rFonts w:ascii="Times New Roman" w:hAnsi="Times New Roman"/>
          <w:noProof/>
          <w:sz w:val="24"/>
        </w:rPr>
        <w:t xml:space="preserve"> ieviešanu savā teritorijā.</w:t>
      </w:r>
    </w:p>
    <w:p w14:paraId="0B1C04CD" w14:textId="77777777" w:rsidR="00090BB0" w:rsidRPr="00997803" w:rsidRDefault="003A3076">
      <w:pP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b) Atrašanās vietas informācijas iegūšana no mobilā tālruņa, izmantojot neatliekamās palīdzības lietotni</w:t>
      </w:r>
    </w:p>
    <w:p w14:paraId="0B1C04CE" w14:textId="77094595" w:rsidR="00090BB0" w:rsidRPr="00997803" w:rsidRDefault="003A3076">
      <w:pP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 xml:space="preserve">Valsts vai reģionālā mērogā ieviestas neatliekamās palīdzības lietotnes, izmantojot viedtālruņa </w:t>
      </w:r>
      <w:r>
        <w:rPr>
          <w:rFonts w:ascii="Times New Roman" w:hAnsi="Times New Roman"/>
          <w:i/>
          <w:iCs/>
          <w:noProof/>
          <w:sz w:val="24"/>
        </w:rPr>
        <w:t>GNSS</w:t>
      </w:r>
      <w:r>
        <w:rPr>
          <w:rFonts w:ascii="Times New Roman" w:hAnsi="Times New Roman"/>
          <w:noProof/>
          <w:sz w:val="24"/>
        </w:rPr>
        <w:t xml:space="preserve"> vai </w:t>
      </w:r>
      <w:r>
        <w:rPr>
          <w:rFonts w:ascii="Times New Roman" w:hAnsi="Times New Roman"/>
          <w:i/>
          <w:iCs/>
          <w:noProof/>
          <w:sz w:val="24"/>
        </w:rPr>
        <w:t>Wi-Fi</w:t>
      </w:r>
      <w:r>
        <w:rPr>
          <w:rFonts w:ascii="Times New Roman" w:hAnsi="Times New Roman"/>
          <w:noProof/>
          <w:sz w:val="24"/>
        </w:rPr>
        <w:t xml:space="preserve"> funkciju, ļauj sniegt izsaucēja atrašanās vietas informāciju, kas ir precīzāka nekā tā, ko sniedz no tīkla iegūtos datos balstīti risinājumi.</w:t>
      </w:r>
    </w:p>
    <w:p w14:paraId="0B1C04CF" w14:textId="2DD1F0F3" w:rsidR="00090BB0" w:rsidRPr="00997803" w:rsidRDefault="003A3076">
      <w:pP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 xml:space="preserve">Tomēr šādu lietotņu gadījumā atšķirībā no </w:t>
      </w:r>
      <w:r>
        <w:rPr>
          <w:rFonts w:ascii="Times New Roman" w:hAnsi="Times New Roman"/>
          <w:i/>
          <w:iCs/>
          <w:noProof/>
          <w:sz w:val="24"/>
        </w:rPr>
        <w:t>AML</w:t>
      </w:r>
      <w:r>
        <w:rPr>
          <w:rFonts w:ascii="Times New Roman" w:hAnsi="Times New Roman"/>
          <w:noProof/>
          <w:sz w:val="24"/>
        </w:rPr>
        <w:t xml:space="preserve"> risinājumiem ir nepieciešama iepriekšēja iedzīvotāju rīcība, proti, tās ir nepieciešams lejupielādēt. Atrašanās vietas datu nosūtīšana ir iespējama tikai tad, kad datu savienojums ir aktīvs.</w:t>
      </w:r>
    </w:p>
    <w:p w14:paraId="6A1563B4" w14:textId="19D94A2F" w:rsidR="00E5726B" w:rsidRPr="00997803" w:rsidRDefault="00E5726B" w:rsidP="00D0453E">
      <w:pPr>
        <w:pBdr>
          <w:top w:val="single" w:sz="4" w:space="1" w:color="auto"/>
          <w:left w:val="single" w:sz="4" w:space="4" w:color="auto"/>
          <w:bottom w:val="single" w:sz="4" w:space="1" w:color="auto"/>
          <w:right w:val="single" w:sz="4" w:space="4" w:color="auto"/>
        </w:pBd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Saskaņā ar deleģēto regulu, kas pieņemta 2022. gada 21. decembrī, Komisija ierosina pasākumus, kuros noteikti parametri, kas kompetentajām regulatīvajām iestādēm jāņem vērā, nosakot kritērijus attiecībā uz izsaucēja atrašanās vietas informācijas precizitāti un uzticamību.</w:t>
      </w:r>
    </w:p>
    <w:p w14:paraId="0B1C04D0" w14:textId="77777777" w:rsidR="00090BB0" w:rsidRPr="00997803" w:rsidRDefault="003A3076">
      <w:pPr>
        <w:pStyle w:val="Heading1"/>
        <w:rPr>
          <w:noProof/>
        </w:rPr>
      </w:pPr>
      <w:bookmarkStart w:id="15" w:name="_Toc253577718"/>
      <w:bookmarkStart w:id="16" w:name="_Toc279271372"/>
      <w:bookmarkStart w:id="17" w:name="_Toc313053615"/>
      <w:bookmarkStart w:id="18" w:name="_Toc313053781"/>
      <w:bookmarkStart w:id="19" w:name="_Toc315636379"/>
      <w:bookmarkStart w:id="20" w:name="_Toc347774948"/>
      <w:bookmarkStart w:id="21" w:name="_Toc347775063"/>
      <w:bookmarkStart w:id="22" w:name="_Toc53504531"/>
      <w:r>
        <w:rPr>
          <w:noProof/>
        </w:rPr>
        <w:t>Vidējais laiks, kas “112” operatoram vajadzīgs, lai saņemtu izsaucēja atrašanās vietas informāciju</w:t>
      </w:r>
      <w:bookmarkEnd w:id="15"/>
      <w:bookmarkEnd w:id="16"/>
      <w:bookmarkEnd w:id="17"/>
      <w:bookmarkEnd w:id="18"/>
      <w:bookmarkEnd w:id="19"/>
      <w:bookmarkEnd w:id="20"/>
      <w:bookmarkEnd w:id="21"/>
      <w:bookmarkEnd w:id="22"/>
      <w:r>
        <w:rPr>
          <w:noProof/>
        </w:rPr>
        <w:t xml:space="preserve"> </w:t>
      </w:r>
    </w:p>
    <w:p w14:paraId="0B1C04D3" w14:textId="77777777" w:rsidR="00090BB0" w:rsidRPr="00997803" w:rsidRDefault="003A3076">
      <w:pP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 xml:space="preserve">Visas dalībvalstis ziņoja, ka, pateicoties datu eksporta (“push”) sistēmas vai datu automātiskās izvilkšanas (“pull”) sistēmas ieviešanai, </w:t>
      </w:r>
      <w:r>
        <w:rPr>
          <w:rFonts w:ascii="Times New Roman" w:hAnsi="Times New Roman"/>
          <w:i/>
          <w:iCs/>
          <w:noProof/>
          <w:sz w:val="24"/>
        </w:rPr>
        <w:t>no tīkla iegūtā informācija par izsaucēja atrašanās vietu</w:t>
      </w:r>
      <w:r>
        <w:rPr>
          <w:rFonts w:ascii="Times New Roman" w:hAnsi="Times New Roman"/>
          <w:noProof/>
          <w:sz w:val="24"/>
        </w:rPr>
        <w:t xml:space="preserve"> tiek sniegta gandrīz momentāni (līdz 10 sekunžu laikā).</w:t>
      </w:r>
    </w:p>
    <w:p w14:paraId="0B1C04D4" w14:textId="06D46412" w:rsidR="00090BB0" w:rsidRPr="00997803" w:rsidRDefault="003A3076">
      <w:pPr>
        <w:spacing w:after="100" w:afterAutospacing="1" w:line="240" w:lineRule="auto"/>
        <w:jc w:val="both"/>
        <w:rPr>
          <w:rFonts w:ascii="Times New Roman" w:eastAsia="Times New Roman" w:hAnsi="Times New Roman" w:cs="Times New Roman"/>
          <w:noProof/>
          <w:sz w:val="24"/>
        </w:rPr>
      </w:pPr>
      <w:r>
        <w:rPr>
          <w:rFonts w:ascii="Times New Roman" w:hAnsi="Times New Roman"/>
          <w:i/>
          <w:iCs/>
          <w:noProof/>
          <w:sz w:val="24"/>
        </w:rPr>
        <w:t>No mobilā tālruņa iegūtos datos balstītas atrašanās vietas noteikšanas</w:t>
      </w:r>
      <w:r>
        <w:rPr>
          <w:rFonts w:ascii="Times New Roman" w:hAnsi="Times New Roman"/>
          <w:noProof/>
          <w:sz w:val="24"/>
        </w:rPr>
        <w:t xml:space="preserve"> tehnoloģijas savas raksturīgās uzbūves dēļ, iegūstot vajadzīgos atrašanās vietas parametrus no </w:t>
      </w:r>
      <w:r>
        <w:rPr>
          <w:rFonts w:ascii="Times New Roman" w:hAnsi="Times New Roman"/>
          <w:i/>
          <w:iCs/>
          <w:noProof/>
          <w:sz w:val="24"/>
        </w:rPr>
        <w:t>GNSS</w:t>
      </w:r>
      <w:r>
        <w:rPr>
          <w:rFonts w:ascii="Times New Roman" w:hAnsi="Times New Roman"/>
          <w:noProof/>
          <w:sz w:val="24"/>
        </w:rPr>
        <w:t xml:space="preserve"> vai </w:t>
      </w:r>
      <w:r>
        <w:rPr>
          <w:rFonts w:ascii="Times New Roman" w:hAnsi="Times New Roman"/>
          <w:i/>
          <w:iCs/>
          <w:noProof/>
          <w:sz w:val="24"/>
        </w:rPr>
        <w:t>Wi-Fi</w:t>
      </w:r>
      <w:r>
        <w:rPr>
          <w:rFonts w:ascii="Times New Roman" w:hAnsi="Times New Roman"/>
          <w:noProof/>
          <w:sz w:val="24"/>
        </w:rPr>
        <w:t xml:space="preserve"> signāliem, ir atkarīgas no mobilo tālruņu darbības ātruma. Pēc 15 dalībvalstu paziņotajiem datiem tika apstiprināts, ka no mobilā tālruņa iegūtā atrašanās vietas informācija var tikt sniegta gandrīz momentāni vai līdz 26 sekunžu laikā.</w:t>
      </w:r>
    </w:p>
    <w:p w14:paraId="0B1C04D5" w14:textId="40D9B9DD" w:rsidR="00090BB0" w:rsidRPr="00997803" w:rsidRDefault="003A3076">
      <w:pPr>
        <w:pBdr>
          <w:top w:val="single" w:sz="4" w:space="1" w:color="auto"/>
          <w:left w:val="single" w:sz="4" w:space="4" w:color="auto"/>
          <w:bottom w:val="single" w:sz="4" w:space="1" w:color="auto"/>
          <w:right w:val="single" w:sz="4" w:space="4" w:color="auto"/>
        </w:pBd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 xml:space="preserve">Saskaņā ar </w:t>
      </w:r>
      <w:r w:rsidR="00257F01" w:rsidRPr="00257F01">
        <w:rPr>
          <w:rFonts w:ascii="Times New Roman" w:hAnsi="Times New Roman"/>
          <w:iCs/>
          <w:noProof/>
          <w:sz w:val="24"/>
        </w:rPr>
        <w:t>EESK</w:t>
      </w:r>
      <w:r>
        <w:rPr>
          <w:rFonts w:ascii="Times New Roman" w:hAnsi="Times New Roman"/>
          <w:noProof/>
          <w:sz w:val="24"/>
        </w:rPr>
        <w:t xml:space="preserve"> 109. panta 6. punktu dalībvalstis ir atbildīgas par to, lai piemērotākajai ĀIC nekavējoties ir pieejama gan no tīkla iegūta, gan arī no mobilā tālruņa iegūta informācija par izsaucēja atrašanās vietu. Deleģētajā regulā, kas pieņemta līdz 2022. gada 21. decembrim, Komisija ierosina pasākumus, kas nodrošina kontekstuālo datu, to starpā izsaucēja atrašanās vietas informācijas, efektīvu maršrutēšanu.</w:t>
      </w:r>
    </w:p>
    <w:p w14:paraId="0B1C04D6" w14:textId="77777777" w:rsidR="00090BB0" w:rsidRPr="00997803" w:rsidRDefault="003A3076">
      <w:pPr>
        <w:pStyle w:val="Heading1"/>
        <w:rPr>
          <w:noProof/>
        </w:rPr>
      </w:pPr>
      <w:bookmarkStart w:id="23" w:name="_Toc53504532"/>
      <w:r>
        <w:rPr>
          <w:noProof/>
        </w:rPr>
        <w:t>Piekļuve neatliekamās palīdzības dienestiem ES viesabonēšanas gadījumā</w:t>
      </w:r>
      <w:bookmarkEnd w:id="23"/>
    </w:p>
    <w:p w14:paraId="0B1C04D7" w14:textId="77777777" w:rsidR="00090BB0" w:rsidRPr="00997803" w:rsidRDefault="003A3076">
      <w:pP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Visas dalībvalstis ziņoja, ka viesabonēšanas zvanu gadījumā tiek nodrošināta piekļuve “112” un izsaucēja atrašanās vietas informācijai, kas iegūta no tīkla.</w:t>
      </w:r>
    </w:p>
    <w:p w14:paraId="0B1C04D9" w14:textId="61A53A26" w:rsidR="00090BB0" w:rsidRPr="00997803" w:rsidRDefault="003A3076">
      <w:pP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Informāciju par to, cik izsaukumu uz numuru “112” veic galalietotāji, kuri izmanto viesabonēšanu, sniedza 11 dalībvalstis</w:t>
      </w:r>
      <w:r>
        <w:rPr>
          <w:rFonts w:ascii="Times New Roman" w:eastAsia="Times New Roman" w:hAnsi="Times New Roman" w:cs="Times New Roman"/>
          <w:noProof/>
          <w:sz w:val="24"/>
          <w:vertAlign w:val="superscript"/>
        </w:rPr>
        <w:footnoteReference w:id="28"/>
      </w:r>
      <w:r>
        <w:rPr>
          <w:rFonts w:ascii="Times New Roman" w:hAnsi="Times New Roman"/>
          <w:noProof/>
          <w:sz w:val="24"/>
        </w:rPr>
        <w:t>. Šajās dalībvalstīs veikta viena trešdaļa ārkārtējo izsaukumu uz numuru “112”. Pamatojoties uz šādiem datiem, var ekstrapolēt, ka 1,06 % no visiem izsaukumiem uz numuru “112” veic galalietotāji, kuri izmanto viesabonēšanu; kopā ES tie ir aptuveni 1,5 miljoni izsaukumu uz numuru “112”. Tiek lēsts, ka galalietotāji, kuri izmanto viesabonēšanu, veikuši 800 000 zvanu uz valsts neatliekamās palīdzības dienestu numuriem vietās, kur tādi tiek izmantoti. Līdz ar to konsolidētas aplēses liecina, ka pārskata periodā galalietotāji, kuri izmanto viesabonēšanu, varētu būt veikuši kopā 2,3 miljonus ārkārtējo izsaukumu.</w:t>
      </w:r>
    </w:p>
    <w:p w14:paraId="0B1C04DA" w14:textId="416FC08A" w:rsidR="00090BB0" w:rsidRPr="00997803" w:rsidRDefault="003A3076">
      <w:pPr>
        <w:pBdr>
          <w:top w:val="single" w:sz="4" w:space="1" w:color="auto"/>
          <w:left w:val="single" w:sz="4" w:space="4" w:color="auto"/>
          <w:bottom w:val="single" w:sz="4" w:space="1" w:color="auto"/>
          <w:right w:val="single" w:sz="4" w:space="4" w:color="auto"/>
        </w:pBd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Pieejamie dati apstiprina, ka galalietotājiem, kuri izmanto viesabonēšanu, netiek bez maksas nodrošināta atrašanās vietas noteikšana no mobilā tālruņa, kā paskaidrots 4. iedaļā. Tikai 6 dalībvalstis apstiprināja, ka galalietotājiem, kuri izmanto viesabonēšanu, ir pieejama atrašanās vietas noteikšana pēc datiem, kas iegūti no mobilā tālruņa. Viesabonēšanas regula</w:t>
      </w:r>
      <w:r>
        <w:rPr>
          <w:rStyle w:val="FootnoteReference"/>
          <w:rFonts w:ascii="Times New Roman" w:eastAsia="Times New Roman" w:hAnsi="Times New Roman"/>
          <w:noProof/>
          <w:sz w:val="24"/>
        </w:rPr>
        <w:footnoteReference w:id="29"/>
      </w:r>
      <w:r>
        <w:rPr>
          <w:rFonts w:ascii="Times New Roman" w:hAnsi="Times New Roman"/>
          <w:noProof/>
          <w:sz w:val="24"/>
        </w:rPr>
        <w:t xml:space="preserve"> nodrošinās, ka </w:t>
      </w:r>
      <w:r>
        <w:rPr>
          <w:rFonts w:ascii="Times New Roman" w:hAnsi="Times New Roman"/>
          <w:i/>
          <w:iCs/>
          <w:noProof/>
          <w:sz w:val="24"/>
        </w:rPr>
        <w:t>BEREC</w:t>
      </w:r>
      <w:r>
        <w:rPr>
          <w:rFonts w:ascii="Times New Roman" w:hAnsi="Times New Roman"/>
          <w:noProof/>
          <w:sz w:val="24"/>
        </w:rPr>
        <w:t xml:space="preserve"> datubāze par līdzekļiem piekļuvei neatliekamās palīdzības dienestiem informē operatorus un valsts regulatīvās iestādes un attiecīgā gadījumā citas kompetentās iestādes par līdzekļiem piekļuvei neatliekamās palīdzības dienestiem, kas ir obligāti katrā dalībvalstī un ko viesabonentiem ir tehniski iespējams izmantot.</w:t>
      </w:r>
    </w:p>
    <w:p w14:paraId="0B1C04DB" w14:textId="36BFC5DA" w:rsidR="00090BB0" w:rsidRPr="00997803" w:rsidRDefault="003A3076">
      <w:pPr>
        <w:pStyle w:val="Heading1"/>
        <w:rPr>
          <w:noProof/>
        </w:rPr>
      </w:pPr>
      <w:bookmarkStart w:id="24" w:name="_Toc53504533"/>
      <w:r>
        <w:rPr>
          <w:noProof/>
        </w:rPr>
        <w:t>Galalietotāju invalīdu piekļuve neatliekamās palīdzības pakalpojumiem</w:t>
      </w:r>
      <w:bookmarkEnd w:id="24"/>
    </w:p>
    <w:p w14:paraId="0B1C04DE" w14:textId="6BD750FA" w:rsidR="00090BB0" w:rsidRPr="00997803" w:rsidRDefault="00C84A05" w:rsidP="00503DEF">
      <w:pPr>
        <w:spacing w:after="240" w:line="240" w:lineRule="auto"/>
        <w:jc w:val="both"/>
        <w:rPr>
          <w:rFonts w:ascii="Times New Roman" w:eastAsia="Times New Roman" w:hAnsi="Times New Roman" w:cs="Times New Roman"/>
          <w:noProof/>
          <w:sz w:val="24"/>
        </w:rPr>
      </w:pPr>
      <w:r>
        <w:rPr>
          <w:rFonts w:ascii="Times New Roman" w:hAnsi="Times New Roman"/>
          <w:noProof/>
          <w:sz w:val="24"/>
        </w:rPr>
        <w:t xml:space="preserve">Saskaņā ar </w:t>
      </w:r>
      <w:r w:rsidR="00257F01" w:rsidRPr="00257F01">
        <w:rPr>
          <w:rFonts w:ascii="Times New Roman" w:hAnsi="Times New Roman"/>
          <w:iCs/>
          <w:noProof/>
          <w:sz w:val="24"/>
        </w:rPr>
        <w:t>EESK</w:t>
      </w:r>
      <w:r>
        <w:rPr>
          <w:rFonts w:ascii="Times New Roman" w:hAnsi="Times New Roman"/>
          <w:noProof/>
          <w:sz w:val="24"/>
        </w:rPr>
        <w:t xml:space="preserve"> 109. panta 5. punktu dalībvalstīm ir pienākums nodrošināt, ka galalietotājiem invalīdiem pieejamā piekļuve neatliekamās palīdzības dienestiem ir līdzvērtīga piekļuvei, ko nodrošina citiem galalietotājiem. Īstenotajiem piekļuves risinājumiem būtu jābūt līdzvērtīgiem abpusējai balss saziņai, kas tiek nodrošināta, zvanot uz “112”, arī viesabonēšanas gadījumā. Atbilstoši līdzvērtības principam dalībvalstīm būtu jānodrošina, ka piemērotākajai ĀIC ir pieejama izsaucēja atrašanās vietas informācija, lai neatliekamās palīdzības dienesti varētu efektīvi reaģēt. </w:t>
      </w:r>
    </w:p>
    <w:p w14:paraId="0B1C04DF" w14:textId="5DDB688F" w:rsidR="00090BB0" w:rsidRPr="00997803" w:rsidRDefault="00205580">
      <w:pPr>
        <w:spacing w:after="240" w:line="240" w:lineRule="auto"/>
        <w:jc w:val="both"/>
        <w:rPr>
          <w:rFonts w:ascii="Times New Roman" w:eastAsia="Times New Roman" w:hAnsi="Times New Roman" w:cs="Times New Roman"/>
          <w:noProof/>
          <w:sz w:val="24"/>
        </w:rPr>
      </w:pPr>
      <w:r>
        <w:rPr>
          <w:rFonts w:ascii="Times New Roman" w:hAnsi="Times New Roman"/>
          <w:noProof/>
          <w:sz w:val="24"/>
        </w:rPr>
        <w:t>Lai izpildītu šo pienākumu, dalībvalstis ir ieviesušas plašu piekļuves risinājumu klāstu, kas paredzēti galalietotājiem invalīdiem, tostarp reāllaika teksta saziņu, vispusīgās sarunas pakalpojumus</w:t>
      </w:r>
      <w:r>
        <w:rPr>
          <w:rFonts w:ascii="Times New Roman" w:eastAsia="Times New Roman" w:hAnsi="Times New Roman" w:cs="Times New Roman"/>
          <w:noProof/>
          <w:sz w:val="24"/>
          <w:vertAlign w:val="superscript"/>
        </w:rPr>
        <w:footnoteReference w:id="30"/>
      </w:r>
      <w:r>
        <w:rPr>
          <w:rFonts w:ascii="Times New Roman" w:hAnsi="Times New Roman"/>
          <w:noProof/>
          <w:sz w:val="24"/>
        </w:rPr>
        <w:t>, īsziņas, neatliekamās palīdzības lietotnes, tīmekļa pakalpojumus, teksta pārlikšanas pakalpojumus, piekļuvi no īpašām ierīcēm un pa e-pastu vai faksu.</w:t>
      </w:r>
    </w:p>
    <w:p w14:paraId="0B1C04E0" w14:textId="595426DF" w:rsidR="00090BB0" w:rsidRPr="00997803" w:rsidRDefault="003A3076">
      <w:pPr>
        <w:spacing w:after="240" w:line="240" w:lineRule="auto"/>
        <w:jc w:val="both"/>
        <w:rPr>
          <w:rFonts w:ascii="Times New Roman" w:eastAsia="Times New Roman" w:hAnsi="Times New Roman" w:cs="Times New Roman"/>
          <w:noProof/>
          <w:sz w:val="24"/>
        </w:rPr>
      </w:pPr>
      <w:r>
        <w:rPr>
          <w:rFonts w:ascii="Times New Roman" w:hAnsi="Times New Roman"/>
          <w:noProof/>
          <w:sz w:val="24"/>
        </w:rPr>
        <w:t>Tehnoloģija, kas ir izmantota visvairāk, ir īsziņas, jo tās nodrošina abpusēju, uz tekstu balstītu saziņu starp personu, kas izsauc neatliekamās palīdzības dienestus, un ĀIC. Īsziņu pakalpojums ir pieejams galalietotājiem invalīdiem 22 dalībvalstīs</w:t>
      </w:r>
      <w:r>
        <w:rPr>
          <w:rFonts w:ascii="Times New Roman" w:eastAsia="Times New Roman" w:hAnsi="Times New Roman" w:cs="Times New Roman"/>
          <w:noProof/>
          <w:sz w:val="24"/>
          <w:vertAlign w:val="superscript"/>
        </w:rPr>
        <w:footnoteReference w:id="31"/>
      </w:r>
      <w:r>
        <w:rPr>
          <w:rFonts w:ascii="Times New Roman" w:hAnsi="Times New Roman"/>
          <w:noProof/>
          <w:sz w:val="24"/>
        </w:rPr>
        <w:t xml:space="preserve"> un Norvēģijā.</w:t>
      </w:r>
    </w:p>
    <w:p w14:paraId="0B1C04E1" w14:textId="5485AF6A" w:rsidR="00090BB0" w:rsidRPr="00997803" w:rsidRDefault="003A3076">
      <w:pPr>
        <w:spacing w:after="240" w:line="240" w:lineRule="auto"/>
        <w:jc w:val="both"/>
        <w:rPr>
          <w:rFonts w:ascii="Times New Roman" w:eastAsia="Times New Roman" w:hAnsi="Times New Roman" w:cs="Times New Roman"/>
          <w:noProof/>
          <w:sz w:val="24"/>
        </w:rPr>
      </w:pPr>
      <w:r>
        <w:rPr>
          <w:rFonts w:ascii="Times New Roman" w:hAnsi="Times New Roman"/>
          <w:noProof/>
          <w:sz w:val="24"/>
        </w:rPr>
        <w:t>Neatliekamās palīdzības lietotnes ir ieviestas 19 dalībvalstīs</w:t>
      </w:r>
      <w:r>
        <w:rPr>
          <w:rFonts w:ascii="Times New Roman" w:eastAsia="Times New Roman" w:hAnsi="Times New Roman" w:cs="Times New Roman"/>
          <w:noProof/>
          <w:sz w:val="24"/>
          <w:vertAlign w:val="superscript"/>
        </w:rPr>
        <w:footnoteReference w:id="32"/>
      </w:r>
      <w:r>
        <w:rPr>
          <w:rFonts w:ascii="Times New Roman" w:hAnsi="Times New Roman"/>
          <w:noProof/>
          <w:sz w:val="24"/>
        </w:rPr>
        <w:t xml:space="preserve">. Atkarībā no konstrukcijas tās var būt atkarīgas no ārkārtēju izsaukumu vai SMS (īsziņu) saziņas uzsākšanas, bet var kalpot arī par platformu, kas nodrošina teksta un vispusīgās sarunas saziņu reāllaikā. Turklāt lietojumprogrammas var nodrošināt precīzu atrašanās vietas noteikšanu, pamatojoties uz </w:t>
      </w:r>
      <w:r>
        <w:rPr>
          <w:rFonts w:ascii="Times New Roman" w:hAnsi="Times New Roman"/>
          <w:i/>
          <w:iCs/>
          <w:noProof/>
          <w:sz w:val="24"/>
        </w:rPr>
        <w:t>GNSS/Wi-Fi</w:t>
      </w:r>
      <w:r>
        <w:rPr>
          <w:rFonts w:ascii="Times New Roman" w:hAnsi="Times New Roman"/>
          <w:noProof/>
          <w:sz w:val="24"/>
        </w:rPr>
        <w:t xml:space="preserve"> pozicionēšanas datiem (5–100 m).</w:t>
      </w:r>
    </w:p>
    <w:p w14:paraId="0B1C04E2" w14:textId="5158D3AC" w:rsidR="00090BB0" w:rsidRPr="00997803" w:rsidRDefault="003A3076">
      <w:pPr>
        <w:spacing w:after="240" w:line="240" w:lineRule="auto"/>
        <w:jc w:val="both"/>
        <w:rPr>
          <w:rFonts w:ascii="Times New Roman" w:eastAsia="Times New Roman" w:hAnsi="Times New Roman" w:cs="Times New Roman"/>
          <w:noProof/>
          <w:sz w:val="24"/>
        </w:rPr>
      </w:pPr>
      <w:r>
        <w:rPr>
          <w:rFonts w:ascii="Times New Roman" w:hAnsi="Times New Roman"/>
          <w:noProof/>
          <w:sz w:val="24"/>
        </w:rPr>
        <w:t>Galalietotājiem invalīdiem paredzētie teksta pārlikšanas pakalpojumi var arī nodrošināt saziņu, lai garantētu piekļuvi neatliekamās palīdzības dienestiem. Tomēr pašlaik vairumā gadījumu dalībvalstīs lietotāja atrašanās vietas informācija šim piekļuves līdzeklim nav pieejama.</w:t>
      </w:r>
    </w:p>
    <w:p w14:paraId="0B1C04E3" w14:textId="57CCE450" w:rsidR="00090BB0" w:rsidRPr="00997803" w:rsidRDefault="004C1C4E">
      <w:pPr>
        <w:spacing w:after="240" w:line="240" w:lineRule="auto"/>
        <w:jc w:val="both"/>
        <w:rPr>
          <w:rFonts w:ascii="Times New Roman" w:eastAsia="Times New Roman" w:hAnsi="Times New Roman" w:cs="Times New Roman"/>
          <w:noProof/>
          <w:sz w:val="24"/>
        </w:rPr>
      </w:pPr>
      <w:r>
        <w:rPr>
          <w:rFonts w:ascii="Times New Roman" w:hAnsi="Times New Roman"/>
          <w:noProof/>
          <w:sz w:val="24"/>
        </w:rPr>
        <w:t>Lai gan dažās dalībvalstīs faksa un e-pasta pakalpojumi joprojām ir pieejami kā līdzekļi piekļuvei neatliekamās palīdzības dienestiem, tos diez vai var uzskatīt par līdzvērtīgiem. Tie nenodrošina ātru abpusēju saziņu, kas nepieciešama ārkārtējā situācijā, tātad šī metode nav tik efektīva kā zvans uz numuru “112”. Turklāt e-pasts neļauj ĀIC automātiski noteikt lietotāja atrašanās vietu.</w:t>
      </w:r>
    </w:p>
    <w:p w14:paraId="0B1C04E4" w14:textId="4911669F" w:rsidR="00090BB0" w:rsidRPr="00997803" w:rsidRDefault="00257F01">
      <w:pPr>
        <w:spacing w:after="240" w:line="240" w:lineRule="auto"/>
        <w:jc w:val="both"/>
        <w:rPr>
          <w:rFonts w:ascii="Times New Roman" w:eastAsia="Times New Roman" w:hAnsi="Times New Roman" w:cs="Times New Roman"/>
          <w:noProof/>
          <w:sz w:val="24"/>
        </w:rPr>
      </w:pPr>
      <w:r w:rsidRPr="00257F01">
        <w:rPr>
          <w:rFonts w:ascii="Times New Roman" w:hAnsi="Times New Roman"/>
          <w:iCs/>
          <w:noProof/>
          <w:sz w:val="24"/>
        </w:rPr>
        <w:t>EESK</w:t>
      </w:r>
      <w:r w:rsidR="003A3076">
        <w:rPr>
          <w:rFonts w:ascii="Times New Roman" w:hAnsi="Times New Roman"/>
          <w:noProof/>
          <w:sz w:val="24"/>
        </w:rPr>
        <w:t xml:space="preserve"> 109. panta 5. punkts nosaka, ka pasākumiem, kas paredzēti galalietotājiem invalīdiem, ir jāatbilst Savienības tiesību aktiem par ražojumu un pakalpojumu piekļūstamības prasību saskaņošanu </w:t>
      </w:r>
      <w:r w:rsidR="003A3076">
        <w:rPr>
          <w:rFonts w:ascii="Times New Roman" w:eastAsia="Times New Roman" w:hAnsi="Times New Roman" w:cs="Times New Roman"/>
          <w:noProof/>
          <w:sz w:val="24"/>
          <w:vertAlign w:val="superscript"/>
        </w:rPr>
        <w:footnoteReference w:id="33"/>
      </w:r>
      <w:r w:rsidR="003A3076">
        <w:rPr>
          <w:rFonts w:ascii="Times New Roman" w:hAnsi="Times New Roman"/>
          <w:noProof/>
          <w:sz w:val="24"/>
        </w:rPr>
        <w:t xml:space="preserve"> un jācenšas nodrošināt savstarpēju izmantojamību visās dalībvalstīs, kā arī, ja iespējams, nav jāprasa iepriekšēja reģistrēšanās piekļūšanai neatliekamās palīdzības dienestiem ar alternatīviem ārkārtēja gadījuma saziņas līdzekļiem. Turklāt Eiropas Piekļūstamības akts (</w:t>
      </w:r>
      <w:r w:rsidR="003A3076">
        <w:rPr>
          <w:rFonts w:ascii="Times New Roman" w:hAnsi="Times New Roman"/>
          <w:i/>
          <w:iCs/>
          <w:noProof/>
          <w:sz w:val="24"/>
        </w:rPr>
        <w:t>EPA</w:t>
      </w:r>
      <w:r w:rsidR="003A3076">
        <w:rPr>
          <w:rFonts w:ascii="Times New Roman" w:hAnsi="Times New Roman"/>
          <w:noProof/>
          <w:sz w:val="24"/>
        </w:rPr>
        <w:t>) prasa, lai papildus balss sakariem ārkārtēja gadījuma saziņa ir pieejama sakariem arī kā reāllaika teksta saziņa vai, ja pieejams video, saziņa, kas sinhronizēta kā vispusīgā saruna</w:t>
      </w:r>
      <w:r w:rsidR="003A3076">
        <w:rPr>
          <w:rFonts w:ascii="Times New Roman" w:eastAsia="Times New Roman" w:hAnsi="Times New Roman" w:cs="Times New Roman"/>
          <w:noProof/>
          <w:sz w:val="24"/>
          <w:vertAlign w:val="superscript"/>
        </w:rPr>
        <w:footnoteReference w:id="34"/>
      </w:r>
      <w:r w:rsidR="003A3076">
        <w:rPr>
          <w:rFonts w:ascii="Times New Roman" w:hAnsi="Times New Roman"/>
          <w:noProof/>
          <w:sz w:val="24"/>
        </w:rPr>
        <w:t>. Lai gan attiecīgajiem noteikumiem jau jābūt ieviestiem</w:t>
      </w:r>
      <w:r w:rsidR="003A3076">
        <w:rPr>
          <w:rStyle w:val="FootnoteReference"/>
          <w:rFonts w:ascii="Times New Roman" w:eastAsia="Times New Roman" w:hAnsi="Times New Roman"/>
          <w:noProof/>
          <w:sz w:val="24"/>
        </w:rPr>
        <w:footnoteReference w:id="35"/>
      </w:r>
      <w:r w:rsidR="003A3076">
        <w:rPr>
          <w:rFonts w:ascii="Times New Roman" w:hAnsi="Times New Roman"/>
          <w:noProof/>
          <w:sz w:val="24"/>
        </w:rPr>
        <w:t>, valstu ĀIC sistēmām šīs prasības</w:t>
      </w:r>
      <w:r w:rsidR="003A3076">
        <w:rPr>
          <w:rFonts w:ascii="Times New Roman" w:eastAsia="Times New Roman" w:hAnsi="Times New Roman" w:cs="Times New Roman"/>
          <w:noProof/>
          <w:sz w:val="24"/>
          <w:vertAlign w:val="superscript"/>
        </w:rPr>
        <w:footnoteReference w:id="36"/>
      </w:r>
      <w:r w:rsidR="003A3076">
        <w:rPr>
          <w:rFonts w:ascii="Times New Roman" w:hAnsi="Times New Roman"/>
          <w:noProof/>
          <w:sz w:val="24"/>
        </w:rPr>
        <w:t xml:space="preserve"> būs jāizpilda līdz 2025. gada 28. jūnijam vai ar atkāpi </w:t>
      </w:r>
      <w:r w:rsidR="004C1284">
        <w:rPr>
          <w:rFonts w:ascii="Times New Roman" w:hAnsi="Times New Roman"/>
          <w:noProof/>
          <w:sz w:val="24"/>
        </w:rPr>
        <w:t>–</w:t>
      </w:r>
      <w:r w:rsidR="003A3076">
        <w:rPr>
          <w:rFonts w:ascii="Times New Roman" w:hAnsi="Times New Roman"/>
          <w:noProof/>
          <w:sz w:val="24"/>
        </w:rPr>
        <w:t xml:space="preserve"> līdz 2027. gada 28. jūnijam.</w:t>
      </w:r>
      <w:r w:rsidR="003A3076">
        <w:rPr>
          <w:noProof/>
        </w:rPr>
        <w:t xml:space="preserve"> </w:t>
      </w:r>
    </w:p>
    <w:p w14:paraId="357304DA" w14:textId="391080A5" w:rsidR="008344F4" w:rsidRDefault="003A3076">
      <w:pPr>
        <w:spacing w:after="240" w:line="240" w:lineRule="auto"/>
        <w:jc w:val="both"/>
        <w:rPr>
          <w:rFonts w:ascii="Times New Roman" w:eastAsia="Times New Roman" w:hAnsi="Times New Roman" w:cs="Times New Roman"/>
          <w:noProof/>
          <w:sz w:val="24"/>
        </w:rPr>
      </w:pPr>
      <w:r>
        <w:rPr>
          <w:rFonts w:ascii="Times New Roman" w:hAnsi="Times New Roman"/>
          <w:noProof/>
          <w:sz w:val="24"/>
        </w:rPr>
        <w:t xml:space="preserve">Turklāt saskaņā ar </w:t>
      </w:r>
      <w:r w:rsidR="00257F01" w:rsidRPr="00257F01">
        <w:rPr>
          <w:rFonts w:ascii="Times New Roman" w:hAnsi="Times New Roman"/>
          <w:iCs/>
          <w:noProof/>
          <w:sz w:val="24"/>
        </w:rPr>
        <w:t>EESK</w:t>
      </w:r>
      <w:r>
        <w:rPr>
          <w:rFonts w:ascii="Times New Roman" w:hAnsi="Times New Roman"/>
          <w:noProof/>
          <w:sz w:val="24"/>
        </w:rPr>
        <w:t xml:space="preserve"> 109. panta 7. punktu dalībvalstīm ir jānodrošina, ka galalietotājus pienācīgi informē par vienotā Eiropas neatliekamās palīdzības numura “112” pieejamību un izmantošanu, kā arī tā piekļūstamības iespējām, tostarp ar tādām ierosmēm, kas konkrēti paredzētas personām, kuras ceļo no vienas dalībvalsts uz citu, un galalietotājiem invalīdiem. </w:t>
      </w:r>
    </w:p>
    <w:p w14:paraId="0B1C04E7" w14:textId="07F812C1" w:rsidR="00090BB0" w:rsidRPr="00997803" w:rsidRDefault="00257F01">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sz w:val="24"/>
        </w:rPr>
      </w:pPr>
      <w:r w:rsidRPr="00257F01">
        <w:rPr>
          <w:rFonts w:ascii="Times New Roman" w:hAnsi="Times New Roman"/>
          <w:iCs/>
          <w:noProof/>
          <w:sz w:val="24"/>
        </w:rPr>
        <w:t>EESK</w:t>
      </w:r>
      <w:r w:rsidR="008344F4">
        <w:rPr>
          <w:rFonts w:ascii="Times New Roman" w:hAnsi="Times New Roman"/>
          <w:noProof/>
          <w:sz w:val="24"/>
        </w:rPr>
        <w:t xml:space="preserve"> 109. panta 5. punktā noteikts, ka ir jānodrošina piekļuve neatliekamās palīdzības dienestiem, ja iespējams, bez iepriekšējas reģistrācijas. Gadījumā, kad valsts ievieš neatliekamās palīdzības lietotni galalietotājiem invalīdiem, tas nozīmē, ka arī apmeklētajās ES dalībvalstīs šai valsts lietotnei jābūt izmantojamai, lai piekļūtu neatliekamās palīdzības dienestiem</w:t>
      </w:r>
      <w:r w:rsidR="008344F4">
        <w:rPr>
          <w:rStyle w:val="FootnoteReference"/>
          <w:rFonts w:ascii="Times New Roman" w:eastAsia="Times New Roman" w:hAnsi="Times New Roman"/>
          <w:noProof/>
          <w:sz w:val="24"/>
        </w:rPr>
        <w:footnoteReference w:id="37"/>
      </w:r>
      <w:r w:rsidR="008344F4">
        <w:rPr>
          <w:rFonts w:ascii="Times New Roman" w:hAnsi="Times New Roman"/>
          <w:noProof/>
          <w:sz w:val="24"/>
        </w:rPr>
        <w:t>.</w:t>
      </w:r>
    </w:p>
    <w:p w14:paraId="6F269A1B" w14:textId="6E1F1CC4" w:rsidR="008344F4" w:rsidRPr="00997803" w:rsidRDefault="008344F4" w:rsidP="008344F4">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sz w:val="24"/>
        </w:rPr>
      </w:pPr>
      <w:r>
        <w:rPr>
          <w:rFonts w:ascii="Times New Roman" w:hAnsi="Times New Roman"/>
          <w:noProof/>
          <w:sz w:val="24"/>
        </w:rPr>
        <w:t>Viesabonēšanas regula</w:t>
      </w:r>
      <w:r>
        <w:rPr>
          <w:rStyle w:val="FootnoteReference"/>
          <w:rFonts w:ascii="Times New Roman" w:eastAsia="Times New Roman" w:hAnsi="Times New Roman"/>
          <w:noProof/>
          <w:sz w:val="24"/>
        </w:rPr>
        <w:footnoteReference w:id="38"/>
      </w:r>
      <w:r>
        <w:rPr>
          <w:rFonts w:ascii="Times New Roman" w:hAnsi="Times New Roman"/>
          <w:noProof/>
          <w:sz w:val="24"/>
        </w:rPr>
        <w:t xml:space="preserve"> nodrošinās, ka viesabonēšanas pakalpojumu sniedzēji informēs viesabonentus par alternatīviem līdzekļiem, kā piekļūt neatliekamās palīdzības dienestiem, nodibinot apmeklētajā dalībvalstī noteikto ārkārtēja gadījuma saziņu. Praksē galalietotāji saņems automātisku ziņojumu ar saiti, lai bez maksas piekļūtu īpašai tīmekļa vietnei, kura pieejama invalīdiem un kurā sniegta tāda informācija.</w:t>
      </w:r>
    </w:p>
    <w:p w14:paraId="0B1C04E9" w14:textId="6673282A" w:rsidR="00090BB0" w:rsidRPr="00997803" w:rsidRDefault="003A3076">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sz w:val="24"/>
        </w:rPr>
      </w:pPr>
      <w:r>
        <w:rPr>
          <w:rFonts w:ascii="Times New Roman" w:hAnsi="Times New Roman"/>
          <w:noProof/>
          <w:sz w:val="24"/>
        </w:rPr>
        <w:t>Vēsturiskās ĀIC sistēmas vēl nespēj uztvert un apstrādāt ārkārtēja gadījuma saziņu, kas būtu patiesi piekļūstama galalietotājiem invalīdiem. Lai ieviestu reāllaika teksta un vispusīgās sarunas saziņu, ĀIC sistēma ir jāmodernizē, izveidojot savstarpēji savienotu ĀIC tīklu, kas pilnībā balstīts uz IP un kas varētu pienācīgi maršrutēt un apstrādāt uz IP balstītu ārkārtēja gadījuma saziņu.</w:t>
      </w:r>
    </w:p>
    <w:p w14:paraId="6AD8C55F" w14:textId="5A141CAD" w:rsidR="009D0F8E" w:rsidRPr="00997803" w:rsidRDefault="009D0F8E">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sz w:val="24"/>
        </w:rPr>
      </w:pPr>
      <w:r>
        <w:rPr>
          <w:rFonts w:ascii="Times New Roman" w:hAnsi="Times New Roman"/>
          <w:noProof/>
          <w:sz w:val="24"/>
        </w:rPr>
        <w:t>Saskaņā ar deleģēto regulu, kas pieņemta līdz 2022. gada 21. decembrim, Komisija ierosina noteikt funkcionālās līdzvērtības prasības attiecībā uz ārkārtēja gadījuma saziņu, ko galalietotāji invaliditāti izmanto, lai piekļūtu neatliekamās palīdzības dienestiem.</w:t>
      </w:r>
    </w:p>
    <w:p w14:paraId="0B1C04EA" w14:textId="07ACDF6E" w:rsidR="00090BB0" w:rsidRPr="00997803" w:rsidRDefault="003A3076">
      <w:pPr>
        <w:spacing w:after="240" w:line="240" w:lineRule="auto"/>
        <w:jc w:val="both"/>
        <w:rPr>
          <w:rFonts w:ascii="Times New Roman" w:eastAsia="Times New Roman" w:hAnsi="Times New Roman" w:cs="Times New Roman"/>
          <w:noProof/>
          <w:sz w:val="24"/>
        </w:rPr>
      </w:pPr>
      <w:r>
        <w:rPr>
          <w:rFonts w:ascii="Times New Roman" w:hAnsi="Times New Roman"/>
          <w:noProof/>
          <w:sz w:val="24"/>
        </w:rPr>
        <w:t xml:space="preserve">Pārskats par galalietotājiem invalīdiem paredzētajiem alternatīvajiem piekļuves līdzekļiem, kas pašlaik tiek izmantoti ES, ir dots pielikumā. </w:t>
      </w:r>
    </w:p>
    <w:p w14:paraId="0B1C04EB" w14:textId="77777777" w:rsidR="00090BB0" w:rsidRPr="00997803" w:rsidRDefault="003A3076">
      <w:pPr>
        <w:pStyle w:val="Heading1"/>
        <w:rPr>
          <w:noProof/>
        </w:rPr>
      </w:pPr>
      <w:bookmarkStart w:id="25" w:name="_Toc53504534"/>
      <w:r>
        <w:rPr>
          <w:noProof/>
        </w:rPr>
        <w:t>Secinājumi</w:t>
      </w:r>
      <w:bookmarkEnd w:id="25"/>
    </w:p>
    <w:p w14:paraId="24559B4C" w14:textId="5CC6B785" w:rsidR="000E54E9" w:rsidRDefault="00DA2E75">
      <w:pP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Vairāk nekā 30 gadus</w:t>
      </w:r>
      <w:r>
        <w:rPr>
          <w:rFonts w:ascii="Times New Roman" w:eastAsia="Times New Roman" w:hAnsi="Times New Roman" w:cs="Times New Roman"/>
          <w:noProof/>
          <w:sz w:val="24"/>
          <w:vertAlign w:val="superscript"/>
        </w:rPr>
        <w:footnoteReference w:id="39"/>
      </w:r>
      <w:r>
        <w:rPr>
          <w:rFonts w:ascii="Times New Roman" w:hAnsi="Times New Roman"/>
          <w:noProof/>
          <w:sz w:val="24"/>
        </w:rPr>
        <w:t xml:space="preserve"> Eiropas Savienības iedzīvotāji ir paļāvušies uz piekļuvi neatliekamās palīdzības dienestiem, izmantojot vienoto Eiropas neatliekamās palīdzības numuru “112”. Viņiem arī turpmāk jābūt iespējai to darīt digitālajā pasaulē. Iedzīvotājiem jāsaņem visaptveroša un laicīga kontekstuālā informācija, kas nepieciešama ārkārtējas situācijas atrisināšanai. Augstais savienojamības līmenis, kas ir Eiropas digitālās pārveides mērķis, kā izklāstīts Eiropas Parlamenta un Padomes [.. tiks atjaunināts] Lēmumā, ar ko izveido Digitālās desmitgades politikas programmu 2030. gadam, veicina iedzīvotāju, sevišķi invalīdu, izmantoto elektronisko sakaru pakalpojumu tehnoloģisko pāreju uz pilnīgām IP tehnoloģijām. Pāreja no ķēžu komutācijas uz pakešu komutācijas tehnoloģijām elektronisko sakaru tīklos izraisa balss pakalpojumu ieviešanu, izmantojot IP multivides apakšsistēmas balstītas fiksētās un mobilās pārvaldītās VoIP tehnoloģijas, piemēram, </w:t>
      </w:r>
      <w:r>
        <w:rPr>
          <w:rFonts w:ascii="Times New Roman" w:hAnsi="Times New Roman"/>
          <w:i/>
          <w:iCs/>
          <w:noProof/>
          <w:sz w:val="24"/>
        </w:rPr>
        <w:t>Voice over Long Term Evolution</w:t>
      </w:r>
      <w:r>
        <w:rPr>
          <w:rFonts w:ascii="Times New Roman" w:hAnsi="Times New Roman"/>
          <w:noProof/>
          <w:sz w:val="24"/>
        </w:rPr>
        <w:t xml:space="preserve"> (VoLTE), </w:t>
      </w:r>
      <w:r>
        <w:rPr>
          <w:rFonts w:ascii="Times New Roman" w:hAnsi="Times New Roman"/>
          <w:i/>
          <w:iCs/>
          <w:noProof/>
          <w:sz w:val="24"/>
        </w:rPr>
        <w:t>Voice over New Radio</w:t>
      </w:r>
      <w:r>
        <w:rPr>
          <w:rFonts w:ascii="Times New Roman" w:hAnsi="Times New Roman"/>
          <w:noProof/>
          <w:sz w:val="24"/>
        </w:rPr>
        <w:t xml:space="preserve"> (VoNR 5G) un </w:t>
      </w:r>
      <w:r>
        <w:rPr>
          <w:rFonts w:ascii="Times New Roman" w:hAnsi="Times New Roman"/>
          <w:i/>
          <w:iCs/>
          <w:noProof/>
          <w:sz w:val="24"/>
        </w:rPr>
        <w:t>Voice over Wi-Fi</w:t>
      </w:r>
      <w:r>
        <w:rPr>
          <w:rFonts w:ascii="Times New Roman" w:hAnsi="Times New Roman"/>
          <w:noProof/>
          <w:sz w:val="24"/>
        </w:rPr>
        <w:t xml:space="preserve"> (VoWiFi). Ar pakešu komutācijas tehnoloģijām ir iespējami arī uz tekstu un video balstīti pakalpojumi, piemēram, reāllaika teksta un vispusīgās sarunas pakalpojumi. Šos uz IP balstītos saziņas pakalpojumus nevar atbalstīt agrākie ķēžu komutācijas tīkli, piemēram, 2G un 3G tīkli, kuru ekspluatācija beidzas. Tāpēc ir nepieciešams pāriet arī uz pakešu komutācijas tehnoloģijām, lai izmantotu ārkārtēja gadījuma saziņu. Šis ziņojums liecina, ka neatliekamās palīdzības dienestu sniegtās palīdzības efektivitāti un ātrumu būtiski ietekmē ārkārtēja gadījuma saziņas apstrāde, precīzas izsaucēja atrašanās vietas informācijas pieejamība, līdzvērtīgu piekļuves līdzekļu pieejamība galalietotājiem invalīdiem un tādu galalietotāju piekļuve, kuri izmanto viesabonēšanu. Digitālo tehnoloģiju potenciālu varētu pilnvērtīgi īstenot tikai tad, ja gan ārkārtēja gadījuma saziņas dienesti, gan valstu ĀIC sistēmas spētu likt lietā tehnoloģiju attīstību.</w:t>
      </w:r>
    </w:p>
    <w:p w14:paraId="0B1C04EC" w14:textId="54F78E73" w:rsidR="00090BB0" w:rsidRPr="00997803" w:rsidRDefault="000E54E9">
      <w:pPr>
        <w:spacing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Pāreja uz pilnībā IP komunikāciju ļaus īstenot arī lietotņu izmantošanas potenciālu, ļaujot galalietotājiem izmantot dažādus balss, teksta un video saziņas līdzekļus un sniegt ĀIC atbilstošu kontekstuālo informāciju. Lai gan dažas valsts vai reģionālas šāda veida lietotnes jau pastāv, tās nav sadarbspējīgas ar apmeklētās valsts/reģiona ĀIC viesabonēšanas apstākļos. Nākotnē sadarbība starp dalībvalstīm un Komisiju, kā ierosināts deleģētajā regulā, kuru pieņem līdz 2022. gada 21. decembrim, ļautu nodrošināt neatliekamās palīdzības lietotņu sadarbspēju, kas nodrošinātu to pieejamību visā ES, līdzīgi kā ES digitālais COVID sertifikāts, kas tika ieviests, izveidojot ES vārteju valstu sistēmu savstarpējai savienojamībai</w:t>
      </w:r>
      <w:r>
        <w:rPr>
          <w:rFonts w:ascii="Times New Roman" w:eastAsia="Calibri" w:hAnsi="Times New Roman" w:cs="Times New Roman"/>
          <w:noProof/>
          <w:sz w:val="24"/>
          <w:vertAlign w:val="superscript"/>
        </w:rPr>
        <w:footnoteReference w:id="40"/>
      </w:r>
      <w:r>
        <w:rPr>
          <w:rFonts w:ascii="Times New Roman" w:hAnsi="Times New Roman"/>
          <w:noProof/>
          <w:sz w:val="24"/>
        </w:rPr>
        <w:t>.</w:t>
      </w:r>
    </w:p>
    <w:p w14:paraId="0B1C04ED" w14:textId="77777777" w:rsidR="00090BB0" w:rsidRPr="00997803" w:rsidRDefault="003A3076">
      <w:pPr>
        <w:spacing w:after="100" w:afterAutospacing="1" w:line="240" w:lineRule="auto"/>
        <w:jc w:val="both"/>
        <w:rPr>
          <w:rFonts w:ascii="Times New Roman" w:eastAsia="Times New Roman" w:hAnsi="Times New Roman" w:cs="Times New Roman"/>
          <w:i/>
          <w:noProof/>
          <w:sz w:val="24"/>
        </w:rPr>
      </w:pPr>
      <w:r>
        <w:rPr>
          <w:rFonts w:ascii="Times New Roman" w:hAnsi="Times New Roman"/>
          <w:i/>
          <w:noProof/>
          <w:sz w:val="24"/>
        </w:rPr>
        <w:t>Galvenie konstatējumi</w:t>
      </w:r>
    </w:p>
    <w:p w14:paraId="0B1C04EE" w14:textId="114193F4" w:rsidR="00090BB0" w:rsidRPr="00997803" w:rsidRDefault="003A3076">
      <w:pPr>
        <w:numPr>
          <w:ilvl w:val="0"/>
          <w:numId w:val="19"/>
        </w:numPr>
        <w:spacing w:before="240"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No visiem ārkārtējiem izsaukumiem 56 % bija izsaukumi uz vienoto Eiropas neatliekamās palīdzības numuru “112”: no kopumā 270 miljoniem izsaukumu, kas veikti ES, 153 miljoni bija izsaukumi uz numuru “112”. Tiek lēsts, ka 2,3 miljonus ārkārtējo izsaukumu veikuši galalietotāji, kuri izmanto viesabonēšanu, un no tiem 1,5 miljoni izsaukumu veikts uz numuru “112”.</w:t>
      </w:r>
    </w:p>
    <w:p w14:paraId="40FAB295" w14:textId="7E39CB5F" w:rsidR="00704972" w:rsidRDefault="003A3076" w:rsidP="00704972">
      <w:pPr>
        <w:numPr>
          <w:ilvl w:val="0"/>
          <w:numId w:val="19"/>
        </w:numPr>
        <w:spacing w:before="240"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 xml:space="preserve">ES turpināja uzlaboties no mobilā tālruņa iegūtas izsaucēja atrašanās vietas informācijas nodrošināšana. No 2022. gada septembra 22 dalībvalstis, Islande un Norvēģija nodrošina, ka to ĀIC sistēma spēj izmantot </w:t>
      </w:r>
      <w:r>
        <w:rPr>
          <w:rFonts w:ascii="Times New Roman" w:hAnsi="Times New Roman"/>
          <w:i/>
          <w:iCs/>
          <w:noProof/>
          <w:sz w:val="24"/>
        </w:rPr>
        <w:t>AML</w:t>
      </w:r>
      <w:r>
        <w:rPr>
          <w:rFonts w:ascii="Times New Roman" w:hAnsi="Times New Roman"/>
          <w:noProof/>
          <w:sz w:val="24"/>
        </w:rPr>
        <w:t>. Tomēr tikai 6 dalībvalstis apstiprināja, ka atrašanās vietas noteikšana pēc datiem, kas iegūti no mobilā tālruņa, ir pieejama galalietotājiem, kuri izmanto viesabonēšanu. Jurisdikcijas ierobežojumu un nepietiekamu uzraudzības spēju dēļ apmeklētās dalībvalstis nevar nodrošināt, ka galalietotājam nav jāmaksā par izsaucēja atrašanās vietas informācijas nosūtīšanu. Pārskatītās Viesabonēšanas regulas</w:t>
      </w:r>
      <w:r>
        <w:rPr>
          <w:rStyle w:val="FootnoteReference"/>
          <w:rFonts w:ascii="Times New Roman" w:eastAsia="Times New Roman" w:hAnsi="Times New Roman"/>
          <w:noProof/>
          <w:sz w:val="24"/>
        </w:rPr>
        <w:footnoteReference w:id="41"/>
      </w:r>
      <w:r>
        <w:rPr>
          <w:rFonts w:ascii="Times New Roman" w:hAnsi="Times New Roman"/>
          <w:noProof/>
          <w:sz w:val="24"/>
        </w:rPr>
        <w:t xml:space="preserve"> mērķis ir nodrošināt, lai visi galalietotāji, kuri izmanto viesabonēšanu, bez maksas varētu izmantot precīzu izsaucēja atrašanās vietas noteikšanu.</w:t>
      </w:r>
    </w:p>
    <w:p w14:paraId="0B1C04F1" w14:textId="618546EA" w:rsidR="00090BB0" w:rsidRPr="00704972" w:rsidRDefault="003A3076" w:rsidP="00704972">
      <w:pPr>
        <w:numPr>
          <w:ilvl w:val="0"/>
          <w:numId w:val="19"/>
        </w:numPr>
        <w:spacing w:before="240"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Galalietotājiem invalīdiem netiek nodrošināti pilnīgi līdzvērtīgi līdzekļi, kas ļautu piekļūt neatliekamās palīdzības dienestiem, sevišķi viesabonēšanā. Kad šie galalietotāji nevar veikt zvanu uz “112”, viņiem ir jāizmanto sadrumstalotie valstu risinājumi. Šāda situācija krasi atšķiras no pārējo galalietotāju situācijas, kuriem ir pieejams saskaņotais, vienotais Eiropas neatliekamās palīdzības numurs “112”, un tā ir būtiska nepilnība piekļuvē neatliekamās palīdzības dienestiem. Pārskatītā Viesabonēšanas regula nodrošina, ka visi galalietotāji, kuri izmanto viesabonēšanu, ieskaitot invalīdus, tiek informēti par alternatīviem līdzekļiem piekļuvei neatliekamās palīdzības dienestiem apmeklētajā dalībvalstī.</w:t>
      </w:r>
    </w:p>
    <w:p w14:paraId="0B1C04F3" w14:textId="486D0B1D" w:rsidR="00090BB0" w:rsidRPr="00997803" w:rsidRDefault="003A3076">
      <w:pPr>
        <w:spacing w:before="240" w:after="100" w:afterAutospacing="1" w:line="240" w:lineRule="auto"/>
        <w:jc w:val="both"/>
        <w:rPr>
          <w:rFonts w:ascii="Times New Roman" w:eastAsia="Times New Roman" w:hAnsi="Times New Roman" w:cs="Times New Roman"/>
          <w:i/>
          <w:noProof/>
          <w:sz w:val="24"/>
        </w:rPr>
      </w:pPr>
      <w:r>
        <w:rPr>
          <w:rFonts w:ascii="Times New Roman" w:hAnsi="Times New Roman"/>
          <w:i/>
          <w:noProof/>
          <w:sz w:val="24"/>
        </w:rPr>
        <w:t>Turpmākā rīcība un starpposma mērķi</w:t>
      </w:r>
    </w:p>
    <w:p w14:paraId="72062404" w14:textId="7CE66C46" w:rsidR="00704972" w:rsidRDefault="003A3076" w:rsidP="00092835">
      <w:pPr>
        <w:numPr>
          <w:ilvl w:val="0"/>
          <w:numId w:val="39"/>
        </w:numPr>
        <w:spacing w:before="240"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 xml:space="preserve">Dalībvalstīm ir jātransponē un jāīsteno vajadzīgie pasākumi, lai izpildītu </w:t>
      </w:r>
      <w:r w:rsidR="00257F01" w:rsidRPr="00257F01">
        <w:rPr>
          <w:rFonts w:ascii="Times New Roman" w:hAnsi="Times New Roman"/>
          <w:iCs/>
          <w:noProof/>
          <w:sz w:val="24"/>
        </w:rPr>
        <w:t>EESK</w:t>
      </w:r>
      <w:r>
        <w:rPr>
          <w:rFonts w:ascii="Times New Roman" w:hAnsi="Times New Roman"/>
          <w:noProof/>
          <w:sz w:val="24"/>
        </w:rPr>
        <w:t xml:space="preserve"> prasības, sevišķi 109. panta prasības par ārkārtēja gadījuma saziņu un vienoto Eiropas neatliekamās palīdzības numuru. Visiem galalietotājiem, ieskaitot invalīdus, jebkurā vietā Eiropas Savienībā jābūt iespējai efektīvi pieprasīt un saņemt palīdzību no neatliekamās palīdzības dienestiem.</w:t>
      </w:r>
    </w:p>
    <w:p w14:paraId="16F11358" w14:textId="2FD44531" w:rsidR="00441F49" w:rsidRPr="00704972" w:rsidRDefault="00704972" w:rsidP="00092835">
      <w:pPr>
        <w:numPr>
          <w:ilvl w:val="0"/>
          <w:numId w:val="39"/>
        </w:numPr>
        <w:spacing w:before="240"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 xml:space="preserve">Lai nodrošinātu efektīvu piekļuvi neatliekamās palīdzības dienestiem, nodibinot ārkārtēja gadījuma saziņu, zvanot uz vienoto Eiropas neatliekamās palīdzības numuru “112”, Komisija ierosināja līdz 2022. gada 21. decembrim pieņemt deleģēto regulu saskaņā ar </w:t>
      </w:r>
      <w:r w:rsidR="00257F01" w:rsidRPr="00257F01">
        <w:rPr>
          <w:rFonts w:ascii="Times New Roman" w:hAnsi="Times New Roman"/>
          <w:iCs/>
          <w:noProof/>
          <w:sz w:val="24"/>
        </w:rPr>
        <w:t>EESK</w:t>
      </w:r>
      <w:r>
        <w:rPr>
          <w:rFonts w:ascii="Times New Roman" w:hAnsi="Times New Roman"/>
          <w:noProof/>
          <w:sz w:val="24"/>
        </w:rPr>
        <w:t xml:space="preserve"> 109. panta 8. punktā piešķirto pilnvarojumu. Deleģētās regulas mērķis ir uzlabot ārkārtēja gadījuma saziņas efektivitāti, nosakot turpmākos pasākumus.</w:t>
      </w:r>
    </w:p>
    <w:p w14:paraId="5673F52F" w14:textId="13001809" w:rsidR="00997803" w:rsidRPr="00997803" w:rsidRDefault="00997803" w:rsidP="00B82BFF">
      <w:pPr>
        <w:numPr>
          <w:ilvl w:val="1"/>
          <w:numId w:val="39"/>
        </w:numPr>
        <w:spacing w:before="240"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Tajā ir noteikti parametri, kas kompetentajām regulatīvajām iestādēm jāņem vērā, nosakot kritērijus attiecībā uz izsaucēja atrašanās vietas informācijas precizitāti un uzticamību.</w:t>
      </w:r>
    </w:p>
    <w:p w14:paraId="4B57A8B4" w14:textId="6FA7E8D8" w:rsidR="00997803" w:rsidRPr="00997803" w:rsidRDefault="00997803" w:rsidP="00B82BFF">
      <w:pPr>
        <w:numPr>
          <w:ilvl w:val="1"/>
          <w:numId w:val="39"/>
        </w:numPr>
        <w:spacing w:before="240"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Ar to nosaka funkcionālās līdzvērtības prasības attiecībā uz ārkārtēja gadījuma saziņu, ko izmanto galalietotāji invalīdi, lai piekļūtu neatliekamās palīdzības dienestiem.</w:t>
      </w:r>
    </w:p>
    <w:p w14:paraId="7888C27B" w14:textId="3C7F2DB8" w:rsidR="00997803" w:rsidRDefault="00997803" w:rsidP="00B82BFF">
      <w:pPr>
        <w:numPr>
          <w:ilvl w:val="1"/>
          <w:numId w:val="39"/>
        </w:numPr>
        <w:spacing w:before="240"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Tajā noteiktas prasības attiecībā uz efektīvu maršrutēšanu.</w:t>
      </w:r>
    </w:p>
    <w:p w14:paraId="7609B0ED" w14:textId="5E4FFEBD" w:rsidR="00704972" w:rsidRPr="00997803" w:rsidRDefault="00704972" w:rsidP="00B82BFF">
      <w:pPr>
        <w:numPr>
          <w:ilvl w:val="1"/>
          <w:numId w:val="39"/>
        </w:numPr>
        <w:spacing w:before="240"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Lai nodrošinātu, ka netraucēta piekļuve visā ES ir tehniski iespējama, regulā dalībvalstis ir aicinātas sadarboties ar Komisiju, lai noteiktu kopīgas sadarbspējas prasības, kas ļautu maršrutēt uz mobilajām lietotnēm balstītu ārkārtēja gadījuma saziņu uz piemērotāko ĀIC viesabonēšanas gadījumā.</w:t>
      </w:r>
    </w:p>
    <w:p w14:paraId="2E16E935" w14:textId="7E9EBBCD" w:rsidR="00997803" w:rsidRPr="00997803" w:rsidRDefault="00997803" w:rsidP="00B82BFF">
      <w:pPr>
        <w:numPr>
          <w:ilvl w:val="1"/>
          <w:numId w:val="39"/>
        </w:numPr>
        <w:spacing w:before="240"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Lai nodrošinātu piekļuvi neatliekamās palīdzības dienestiem, izmantojot ārkārtēja gadījuma saziņas maršrutēšanu uz piemērotāko ĀIC saistībā ar tehnoloģisko pāreju uz pilnībā IP tīkliem, regulā dalībvalstīm ir prasīts sagatavot un nosūtīt Komisijai ceļvedi valsts ĀIC sistēmas modernizācijai, lai varētu saņemt ārkārtēja gadījuma paziņojumus, atbildēt uz tiem un apstrādāt tos, izmantojot pakešu komutācijas tehnoloģiju.</w:t>
      </w:r>
    </w:p>
    <w:p w14:paraId="412604B9" w14:textId="2400BF89" w:rsidR="0035388B" w:rsidRDefault="00997803" w:rsidP="00B82BFF">
      <w:pPr>
        <w:numPr>
          <w:ilvl w:val="1"/>
          <w:numId w:val="39"/>
        </w:numPr>
        <w:spacing w:before="240" w:after="100" w:afterAutospacing="1" w:line="240" w:lineRule="auto"/>
        <w:jc w:val="both"/>
        <w:rPr>
          <w:rFonts w:ascii="Times New Roman" w:eastAsia="Times New Roman" w:hAnsi="Times New Roman" w:cs="Times New Roman"/>
          <w:noProof/>
          <w:sz w:val="24"/>
        </w:rPr>
      </w:pPr>
      <w:r>
        <w:rPr>
          <w:rFonts w:ascii="Times New Roman" w:hAnsi="Times New Roman"/>
          <w:noProof/>
          <w:sz w:val="24"/>
        </w:rPr>
        <w:t>Tajā noteikts, ka dalībvalstīm jāziņo un jāsniedz Komisijai atjaunināta informācija par regulā noteiktajiem pienākumiem.</w:t>
      </w:r>
    </w:p>
    <w:p w14:paraId="0B1C04F9" w14:textId="629BDF3F" w:rsidR="00090BB0" w:rsidRPr="00997803" w:rsidRDefault="003A3076">
      <w:pPr>
        <w:rPr>
          <w:rFonts w:ascii="Times New Roman" w:eastAsia="Times New Roman" w:hAnsi="Times New Roman" w:cs="Times New Roman"/>
          <w:noProof/>
          <w:sz w:val="24"/>
        </w:rPr>
      </w:pPr>
      <w:r>
        <w:rPr>
          <w:noProof/>
        </w:rPr>
        <w:br w:type="page"/>
      </w:r>
    </w:p>
    <w:p w14:paraId="0B1C0506" w14:textId="6A10AF51" w:rsidR="00090BB0" w:rsidRPr="00997803" w:rsidRDefault="003A3076">
      <w:pPr>
        <w:spacing w:after="240" w:line="240" w:lineRule="auto"/>
        <w:jc w:val="both"/>
        <w:rPr>
          <w:rFonts w:ascii="Times New Roman" w:eastAsia="Times New Roman" w:hAnsi="Times New Roman" w:cs="Times New Roman"/>
          <w:b/>
          <w:smallCaps/>
          <w:noProof/>
          <w:sz w:val="24"/>
        </w:rPr>
      </w:pPr>
      <w:bookmarkStart w:id="26" w:name="_Toc53504535"/>
      <w:r>
        <w:rPr>
          <w:rFonts w:ascii="Times New Roman" w:hAnsi="Times New Roman"/>
          <w:b/>
          <w:smallCaps/>
          <w:noProof/>
          <w:sz w:val="24"/>
        </w:rPr>
        <w:t>Pielikums.</w:t>
      </w:r>
      <w:bookmarkEnd w:id="26"/>
      <w:r>
        <w:rPr>
          <w:rFonts w:ascii="Times New Roman" w:hAnsi="Times New Roman"/>
          <w:b/>
          <w:smallCaps/>
          <w:noProof/>
          <w:sz w:val="24"/>
        </w:rPr>
        <w:t xml:space="preserve"> Alternatīvi līdzekļi piekļuvei neatliekamās palīdzības dienestiem ES dalībvalstīs un EEZ valstīs</w:t>
      </w:r>
    </w:p>
    <w:tbl>
      <w:tblPr>
        <w:tblStyle w:val="TableGrid"/>
        <w:tblW w:w="0" w:type="auto"/>
        <w:tblLook w:val="04A0" w:firstRow="1" w:lastRow="0" w:firstColumn="1" w:lastColumn="0" w:noHBand="0" w:noVBand="1"/>
      </w:tblPr>
      <w:tblGrid>
        <w:gridCol w:w="1101"/>
        <w:gridCol w:w="2409"/>
      </w:tblGrid>
      <w:tr w:rsidR="00090BB0" w:rsidRPr="00997803" w14:paraId="0B1C0509" w14:textId="77777777">
        <w:trPr>
          <w:trHeight w:val="229"/>
        </w:trPr>
        <w:tc>
          <w:tcPr>
            <w:tcW w:w="1101" w:type="dxa"/>
            <w:shd w:val="clear" w:color="auto" w:fill="92D050"/>
          </w:tcPr>
          <w:p w14:paraId="0B1C0507" w14:textId="77777777" w:rsidR="00090BB0" w:rsidRPr="00997803" w:rsidRDefault="00090BB0">
            <w:pPr>
              <w:spacing w:after="240"/>
              <w:jc w:val="both"/>
              <w:rPr>
                <w:rFonts w:asciiTheme="minorHAnsi" w:eastAsia="Times New Roman" w:hAnsiTheme="minorHAnsi" w:cstheme="minorHAnsi"/>
                <w:noProof/>
                <w:sz w:val="20"/>
              </w:rPr>
            </w:pPr>
          </w:p>
        </w:tc>
        <w:tc>
          <w:tcPr>
            <w:tcW w:w="2409" w:type="dxa"/>
          </w:tcPr>
          <w:p w14:paraId="0B1C0508" w14:textId="77777777" w:rsidR="00090BB0" w:rsidRPr="00997803" w:rsidRDefault="003A3076">
            <w:pPr>
              <w:spacing w:after="240"/>
              <w:jc w:val="both"/>
              <w:rPr>
                <w:rFonts w:asciiTheme="minorHAnsi" w:eastAsia="Times New Roman" w:hAnsiTheme="minorHAnsi" w:cstheme="minorHAnsi"/>
                <w:noProof/>
                <w:sz w:val="20"/>
              </w:rPr>
            </w:pPr>
            <w:r>
              <w:rPr>
                <w:rFonts w:asciiTheme="minorHAnsi" w:hAnsiTheme="minorHAnsi"/>
                <w:noProof/>
                <w:sz w:val="20"/>
              </w:rPr>
              <w:t>Funkcija pieejama</w:t>
            </w:r>
          </w:p>
        </w:tc>
      </w:tr>
      <w:tr w:rsidR="00090BB0" w:rsidRPr="00997803" w14:paraId="0B1C050C" w14:textId="77777777" w:rsidTr="00FA4E34">
        <w:trPr>
          <w:trHeight w:val="264"/>
        </w:trPr>
        <w:tc>
          <w:tcPr>
            <w:tcW w:w="1101" w:type="dxa"/>
            <w:shd w:val="clear" w:color="auto" w:fill="FF0000"/>
          </w:tcPr>
          <w:p w14:paraId="0B1C050A" w14:textId="77777777" w:rsidR="00090BB0" w:rsidRPr="00997803" w:rsidRDefault="00090BB0">
            <w:pPr>
              <w:spacing w:after="240"/>
              <w:jc w:val="both"/>
              <w:rPr>
                <w:rFonts w:asciiTheme="minorHAnsi" w:eastAsia="Times New Roman" w:hAnsiTheme="minorHAnsi" w:cstheme="minorHAnsi"/>
                <w:noProof/>
                <w:sz w:val="20"/>
              </w:rPr>
            </w:pPr>
          </w:p>
        </w:tc>
        <w:tc>
          <w:tcPr>
            <w:tcW w:w="2409" w:type="dxa"/>
          </w:tcPr>
          <w:p w14:paraId="0B1C050B" w14:textId="77777777" w:rsidR="00090BB0" w:rsidRPr="00997803" w:rsidRDefault="003A3076">
            <w:pPr>
              <w:spacing w:after="240"/>
              <w:jc w:val="both"/>
              <w:rPr>
                <w:rFonts w:asciiTheme="minorHAnsi" w:eastAsia="Times New Roman" w:hAnsiTheme="minorHAnsi" w:cstheme="minorHAnsi"/>
                <w:noProof/>
                <w:sz w:val="20"/>
              </w:rPr>
            </w:pPr>
            <w:r>
              <w:rPr>
                <w:rFonts w:asciiTheme="minorHAnsi" w:hAnsiTheme="minorHAnsi"/>
                <w:noProof/>
                <w:sz w:val="20"/>
              </w:rPr>
              <w:t>Funkcija nav pieejama</w:t>
            </w:r>
          </w:p>
        </w:tc>
      </w:tr>
    </w:tbl>
    <w:p w14:paraId="0B1C050D" w14:textId="77777777" w:rsidR="00090BB0" w:rsidRPr="00997803" w:rsidRDefault="00090BB0">
      <w:pPr>
        <w:spacing w:after="240" w:line="240" w:lineRule="auto"/>
        <w:jc w:val="both"/>
        <w:rPr>
          <w:rFonts w:ascii="Times New Roman" w:eastAsia="Times New Roman" w:hAnsi="Times New Roman" w:cs="Times New Roman"/>
          <w:b/>
          <w:smallCaps/>
          <w:noProof/>
          <w:sz w:val="24"/>
        </w:rPr>
      </w:pPr>
    </w:p>
    <w:tbl>
      <w:tblPr>
        <w:tblStyle w:val="GridTable1Light"/>
        <w:tblW w:w="9750" w:type="dxa"/>
        <w:jc w:val="center"/>
        <w:tblLayout w:type="fixed"/>
        <w:tblLook w:val="04A0" w:firstRow="1" w:lastRow="0" w:firstColumn="1" w:lastColumn="0" w:noHBand="0" w:noVBand="1"/>
      </w:tblPr>
      <w:tblGrid>
        <w:gridCol w:w="534"/>
        <w:gridCol w:w="3230"/>
        <w:gridCol w:w="709"/>
        <w:gridCol w:w="850"/>
        <w:gridCol w:w="993"/>
        <w:gridCol w:w="709"/>
        <w:gridCol w:w="850"/>
        <w:gridCol w:w="898"/>
        <w:gridCol w:w="977"/>
      </w:tblGrid>
      <w:tr w:rsidR="001F6D55" w:rsidRPr="00D41159" w14:paraId="1FA23435" w14:textId="77777777" w:rsidTr="00486E3C">
        <w:trPr>
          <w:cnfStyle w:val="100000000000" w:firstRow="1" w:lastRow="0" w:firstColumn="0" w:lastColumn="0" w:oddVBand="0" w:evenVBand="0" w:oddHBand="0" w:evenHBand="0" w:firstRowFirstColumn="0" w:firstRowLastColumn="0" w:lastRowFirstColumn="0" w:lastRowLastColumn="0"/>
          <w:trHeight w:val="132"/>
          <w:tblHeader/>
          <w:jc w:val="center"/>
        </w:trPr>
        <w:tc>
          <w:tcPr>
            <w:cnfStyle w:val="001000000000" w:firstRow="0" w:lastRow="0" w:firstColumn="1" w:lastColumn="0" w:oddVBand="0" w:evenVBand="0" w:oddHBand="0" w:evenHBand="0" w:firstRowFirstColumn="0" w:firstRowLastColumn="0" w:lastRowFirstColumn="0" w:lastRowLastColumn="0"/>
            <w:tcW w:w="534" w:type="dxa"/>
            <w:noWrap/>
            <w:hideMark/>
          </w:tcPr>
          <w:p w14:paraId="711004AA" w14:textId="77777777" w:rsidR="001F6D55" w:rsidRPr="00D41159" w:rsidRDefault="001F6D55" w:rsidP="00D0453E">
            <w:pPr>
              <w:rPr>
                <w:rFonts w:ascii="Calibri" w:hAnsi="Calibri" w:cs="Calibri"/>
                <w:b w:val="0"/>
                <w:noProof/>
                <w:sz w:val="20"/>
              </w:rPr>
            </w:pPr>
            <w:r>
              <w:rPr>
                <w:rFonts w:ascii="Calibri" w:hAnsi="Calibri"/>
                <w:b w:val="0"/>
                <w:noProof/>
                <w:sz w:val="20"/>
              </w:rPr>
              <w:t xml:space="preserve"> </w:t>
            </w:r>
          </w:p>
        </w:tc>
        <w:tc>
          <w:tcPr>
            <w:tcW w:w="3230" w:type="dxa"/>
            <w:noWrap/>
            <w:hideMark/>
          </w:tcPr>
          <w:p w14:paraId="0E8FEFC3" w14:textId="77777777" w:rsidR="001F6D55" w:rsidRPr="00D41159" w:rsidRDefault="001F6D55" w:rsidP="00D0453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noProof/>
                <w:sz w:val="20"/>
              </w:rPr>
            </w:pPr>
            <w:r>
              <w:rPr>
                <w:rFonts w:ascii="Calibri" w:hAnsi="Calibri"/>
                <w:b w:val="0"/>
                <w:noProof/>
                <w:sz w:val="20"/>
              </w:rPr>
              <w:t>Piekļuves līdzekļi</w:t>
            </w:r>
          </w:p>
        </w:tc>
        <w:tc>
          <w:tcPr>
            <w:tcW w:w="709" w:type="dxa"/>
            <w:noWrap/>
            <w:hideMark/>
          </w:tcPr>
          <w:p w14:paraId="42EDC503" w14:textId="77777777" w:rsidR="001F6D55" w:rsidRPr="00D41159" w:rsidRDefault="001F6D55" w:rsidP="00D0453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noProof/>
                <w:sz w:val="16"/>
              </w:rPr>
            </w:pPr>
            <w:r>
              <w:rPr>
                <w:rFonts w:ascii="Calibri" w:hAnsi="Calibri"/>
                <w:b w:val="0"/>
                <w:noProof/>
                <w:sz w:val="16"/>
              </w:rPr>
              <w:t>Interaktivitāte</w:t>
            </w:r>
          </w:p>
        </w:tc>
        <w:tc>
          <w:tcPr>
            <w:tcW w:w="850" w:type="dxa"/>
            <w:noWrap/>
            <w:hideMark/>
          </w:tcPr>
          <w:p w14:paraId="36ABCE45" w14:textId="77777777" w:rsidR="001F6D55" w:rsidRPr="00D41159" w:rsidRDefault="001F6D55" w:rsidP="00D0453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noProof/>
                <w:sz w:val="16"/>
              </w:rPr>
            </w:pPr>
            <w:r>
              <w:rPr>
                <w:rFonts w:ascii="Calibri" w:hAnsi="Calibri"/>
                <w:b w:val="0"/>
                <w:noProof/>
                <w:sz w:val="16"/>
              </w:rPr>
              <w:t>Lietotāja atrašanās vietas noteikšana</w:t>
            </w:r>
          </w:p>
        </w:tc>
        <w:tc>
          <w:tcPr>
            <w:tcW w:w="993" w:type="dxa"/>
            <w:noWrap/>
            <w:hideMark/>
          </w:tcPr>
          <w:p w14:paraId="78150029" w14:textId="77777777" w:rsidR="001F6D55" w:rsidRPr="00D41159" w:rsidRDefault="001F6D55" w:rsidP="00D0453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noProof/>
                <w:sz w:val="16"/>
              </w:rPr>
            </w:pPr>
            <w:r>
              <w:rPr>
                <w:rFonts w:ascii="Calibri" w:hAnsi="Calibri"/>
                <w:b w:val="0"/>
                <w:noProof/>
                <w:sz w:val="16"/>
              </w:rPr>
              <w:t>Bez reģistrācijas</w:t>
            </w:r>
          </w:p>
        </w:tc>
        <w:tc>
          <w:tcPr>
            <w:tcW w:w="709" w:type="dxa"/>
            <w:noWrap/>
            <w:hideMark/>
          </w:tcPr>
          <w:p w14:paraId="58B40F97" w14:textId="77777777" w:rsidR="001F6D55" w:rsidRPr="00D41159" w:rsidRDefault="001F6D55" w:rsidP="00D0453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noProof/>
                <w:sz w:val="16"/>
              </w:rPr>
            </w:pPr>
            <w:r>
              <w:rPr>
                <w:rFonts w:ascii="Calibri" w:hAnsi="Calibri"/>
                <w:b w:val="0"/>
                <w:noProof/>
                <w:sz w:val="16"/>
              </w:rPr>
              <w:t>Bez maksas</w:t>
            </w:r>
          </w:p>
        </w:tc>
        <w:tc>
          <w:tcPr>
            <w:tcW w:w="850" w:type="dxa"/>
            <w:noWrap/>
            <w:hideMark/>
          </w:tcPr>
          <w:p w14:paraId="0EC706E0" w14:textId="77777777" w:rsidR="001F6D55" w:rsidRPr="00D41159" w:rsidRDefault="001F6D55" w:rsidP="00D0453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noProof/>
                <w:sz w:val="16"/>
              </w:rPr>
            </w:pPr>
            <w:r>
              <w:rPr>
                <w:rFonts w:ascii="Calibri" w:hAnsi="Calibri"/>
                <w:b w:val="0"/>
                <w:noProof/>
                <w:sz w:val="16"/>
              </w:rPr>
              <w:t>Viesabonēšanas piekļuve</w:t>
            </w:r>
          </w:p>
        </w:tc>
        <w:tc>
          <w:tcPr>
            <w:tcW w:w="898" w:type="dxa"/>
            <w:noWrap/>
            <w:hideMark/>
          </w:tcPr>
          <w:p w14:paraId="045F6BE3" w14:textId="6C434DCD" w:rsidR="001F6D55" w:rsidRPr="00D41159" w:rsidRDefault="001F6D55" w:rsidP="00D0453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noProof/>
                <w:sz w:val="16"/>
              </w:rPr>
            </w:pPr>
            <w:r>
              <w:rPr>
                <w:rFonts w:ascii="Calibri" w:hAnsi="Calibri"/>
                <w:b w:val="0"/>
                <w:noProof/>
                <w:sz w:val="16"/>
              </w:rPr>
              <w:t>Viesabonēšana par brīvu</w:t>
            </w:r>
          </w:p>
        </w:tc>
        <w:tc>
          <w:tcPr>
            <w:tcW w:w="977" w:type="dxa"/>
            <w:noWrap/>
            <w:hideMark/>
          </w:tcPr>
          <w:p w14:paraId="5BBA92E5" w14:textId="77777777" w:rsidR="001F6D55" w:rsidRPr="00D41159" w:rsidRDefault="001F6D55" w:rsidP="00D0453E">
            <w:pPr>
              <w:tabs>
                <w:tab w:val="left" w:pos="515"/>
              </w:tab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noProof/>
                <w:sz w:val="16"/>
              </w:rPr>
            </w:pPr>
            <w:r>
              <w:rPr>
                <w:rFonts w:ascii="Calibri" w:hAnsi="Calibri"/>
                <w:b w:val="0"/>
                <w:noProof/>
                <w:sz w:val="16"/>
              </w:rPr>
              <w:t>Piekļuves reižu skaits</w:t>
            </w:r>
          </w:p>
        </w:tc>
      </w:tr>
      <w:tr w:rsidR="001F6D55" w:rsidRPr="00D41159" w14:paraId="540CD00D" w14:textId="77777777" w:rsidTr="00F93C5D">
        <w:trPr>
          <w:trHeight w:val="4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2CB9A701" w14:textId="77777777" w:rsidR="001F6D55" w:rsidRPr="00D41159" w:rsidRDefault="001F6D55" w:rsidP="00D0453E">
            <w:pPr>
              <w:spacing w:before="60" w:after="60"/>
              <w:rPr>
                <w:rFonts w:ascii="Calibri" w:hAnsi="Calibri" w:cs="Calibri"/>
                <w:noProof/>
                <w:sz w:val="20"/>
              </w:rPr>
            </w:pPr>
            <w:r>
              <w:rPr>
                <w:rFonts w:ascii="Calibri" w:hAnsi="Calibri"/>
                <w:noProof/>
                <w:sz w:val="20"/>
              </w:rPr>
              <w:t>AT</w:t>
            </w:r>
          </w:p>
        </w:tc>
        <w:tc>
          <w:tcPr>
            <w:tcW w:w="3230" w:type="dxa"/>
            <w:hideMark/>
          </w:tcPr>
          <w:p w14:paraId="69488B5B" w14:textId="7749649F"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garo numuru</w:t>
            </w:r>
          </w:p>
        </w:tc>
        <w:tc>
          <w:tcPr>
            <w:tcW w:w="709" w:type="dxa"/>
            <w:shd w:val="clear" w:color="auto" w:fill="92D050"/>
            <w:noWrap/>
          </w:tcPr>
          <w:p w14:paraId="1F17128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532E912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3C840D7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3104745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12EF90E9"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0B96FEA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Merge w:val="restart"/>
            <w:noWrap/>
            <w:vAlign w:val="center"/>
            <w:hideMark/>
          </w:tcPr>
          <w:p w14:paraId="0910A9CA" w14:textId="7A798403"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p w14:paraId="3AB5305A" w14:textId="17BBD72E"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173</w:t>
            </w:r>
          </w:p>
        </w:tc>
      </w:tr>
      <w:tr w:rsidR="001F6D55" w:rsidRPr="00D41159" w14:paraId="3925EBCF" w14:textId="77777777" w:rsidTr="00F93C5D">
        <w:trPr>
          <w:trHeight w:val="6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0A965705"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44951B8E" w14:textId="50A1911C"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Fakss uz garo numuru</w:t>
            </w:r>
          </w:p>
        </w:tc>
        <w:tc>
          <w:tcPr>
            <w:tcW w:w="709" w:type="dxa"/>
            <w:shd w:val="clear" w:color="auto" w:fill="92D050"/>
            <w:noWrap/>
          </w:tcPr>
          <w:p w14:paraId="274EEE0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1A0E5B69"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33D58EF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22DA0F3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228786E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444E38E9"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Merge/>
            <w:noWrap/>
            <w:vAlign w:val="center"/>
            <w:hideMark/>
          </w:tcPr>
          <w:p w14:paraId="07EA0DF4" w14:textId="26FD8F0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r>
      <w:tr w:rsidR="001F6D55" w:rsidRPr="00D41159" w14:paraId="3D5EE955" w14:textId="77777777" w:rsidTr="00F93C5D">
        <w:trPr>
          <w:trHeight w:val="6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7ED43771"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2E5FE2B0"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E-vēstule</w:t>
            </w:r>
          </w:p>
        </w:tc>
        <w:tc>
          <w:tcPr>
            <w:tcW w:w="709" w:type="dxa"/>
            <w:shd w:val="clear" w:color="auto" w:fill="92D050"/>
            <w:noWrap/>
          </w:tcPr>
          <w:p w14:paraId="2F883E8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18D26FB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5C13C62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DA65CE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246D85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22E76EE2" w14:textId="5AF3DCC3"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Merge/>
            <w:noWrap/>
            <w:vAlign w:val="center"/>
            <w:hideMark/>
          </w:tcPr>
          <w:p w14:paraId="23959AC3" w14:textId="16941CE1"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r>
      <w:tr w:rsidR="001F6D55" w:rsidRPr="00D41159" w14:paraId="02FD0D1E" w14:textId="77777777" w:rsidTr="00F93C5D">
        <w:trPr>
          <w:trHeight w:val="60"/>
          <w:jc w:val="center"/>
        </w:trPr>
        <w:tc>
          <w:tcPr>
            <w:cnfStyle w:val="001000000000" w:firstRow="0" w:lastRow="0" w:firstColumn="1" w:lastColumn="0" w:oddVBand="0" w:evenVBand="0" w:oddHBand="0" w:evenHBand="0" w:firstRowFirstColumn="0" w:firstRowLastColumn="0" w:lastRowFirstColumn="0" w:lastRowLastColumn="0"/>
            <w:tcW w:w="534" w:type="dxa"/>
            <w:vMerge/>
          </w:tcPr>
          <w:p w14:paraId="354B12DD" w14:textId="77777777" w:rsidR="001F6D55" w:rsidRPr="00D41159" w:rsidRDefault="001F6D55" w:rsidP="00D0453E">
            <w:pPr>
              <w:spacing w:before="60" w:after="60"/>
              <w:jc w:val="right"/>
              <w:rPr>
                <w:rFonts w:ascii="Calibri" w:hAnsi="Calibri" w:cs="Calibri"/>
                <w:noProof/>
                <w:sz w:val="20"/>
              </w:rPr>
            </w:pPr>
          </w:p>
        </w:tc>
        <w:tc>
          <w:tcPr>
            <w:tcW w:w="3230" w:type="dxa"/>
          </w:tcPr>
          <w:p w14:paraId="1C1F8A25" w14:textId="2973977A" w:rsidR="001F6D55"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 xml:space="preserve">Lietotne </w:t>
            </w:r>
          </w:p>
        </w:tc>
        <w:tc>
          <w:tcPr>
            <w:tcW w:w="709" w:type="dxa"/>
            <w:shd w:val="clear" w:color="auto" w:fill="92D050"/>
            <w:noWrap/>
          </w:tcPr>
          <w:p w14:paraId="0103697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AF19A4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21B94BE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5CA27AE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60526F9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558F2AF3" w14:textId="05D875F9" w:rsidR="001F6D55"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tcPr>
          <w:p w14:paraId="706F903B" w14:textId="25A7628A"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241</w:t>
            </w:r>
          </w:p>
        </w:tc>
      </w:tr>
      <w:tr w:rsidR="0083317E" w:rsidRPr="00D41159" w14:paraId="6D6DE2DA"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7D2A2815" w14:textId="77777777" w:rsidR="001F6D55" w:rsidRPr="00D41159" w:rsidRDefault="001F6D55" w:rsidP="00D0453E">
            <w:pPr>
              <w:spacing w:before="60" w:after="60"/>
              <w:rPr>
                <w:rFonts w:ascii="Calibri" w:hAnsi="Calibri" w:cs="Calibri"/>
                <w:noProof/>
                <w:sz w:val="20"/>
              </w:rPr>
            </w:pPr>
            <w:r>
              <w:rPr>
                <w:rFonts w:ascii="Calibri" w:hAnsi="Calibri"/>
                <w:noProof/>
                <w:sz w:val="20"/>
              </w:rPr>
              <w:t>BE</w:t>
            </w:r>
          </w:p>
        </w:tc>
        <w:tc>
          <w:tcPr>
            <w:tcW w:w="3230" w:type="dxa"/>
            <w:hideMark/>
          </w:tcPr>
          <w:p w14:paraId="5550B566"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īso numuru</w:t>
            </w:r>
          </w:p>
        </w:tc>
        <w:tc>
          <w:tcPr>
            <w:tcW w:w="709" w:type="dxa"/>
            <w:shd w:val="clear" w:color="auto" w:fill="92D050"/>
            <w:noWrap/>
          </w:tcPr>
          <w:p w14:paraId="144BE8F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3F36111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1839AD3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7B7E4D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64D3B4B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28C9E1B9"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63E543FB" w14:textId="24655FA7" w:rsidR="001F6D55" w:rsidRPr="00D41159" w:rsidRDefault="0083317E"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70F567E9"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2BA4A9E7"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6716BB30" w14:textId="08DD8295" w:rsidR="001F6D55" w:rsidRPr="00D41159" w:rsidRDefault="0083317E"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Lietotne (</w:t>
            </w:r>
            <w:r w:rsidR="004C1284">
              <w:rPr>
                <w:noProof/>
                <w:sz w:val="20"/>
              </w:rPr>
              <w:t>“</w:t>
            </w:r>
            <w:r>
              <w:rPr>
                <w:noProof/>
                <w:sz w:val="20"/>
              </w:rPr>
              <w:t>112.be</w:t>
            </w:r>
            <w:r w:rsidR="004C1284">
              <w:rPr>
                <w:noProof/>
                <w:sz w:val="20"/>
              </w:rPr>
              <w:t>”</w:t>
            </w:r>
            <w:r>
              <w:rPr>
                <w:noProof/>
                <w:sz w:val="20"/>
              </w:rPr>
              <w:t xml:space="preserve">) </w:t>
            </w:r>
          </w:p>
        </w:tc>
        <w:tc>
          <w:tcPr>
            <w:tcW w:w="709" w:type="dxa"/>
            <w:shd w:val="clear" w:color="auto" w:fill="92D050"/>
            <w:noWrap/>
          </w:tcPr>
          <w:p w14:paraId="6E180A1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2B47CC2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7C70C09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0C9A91A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20D2206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3832423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7B22612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58D9F408"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11A03A93"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4AF3E6A7"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Fakss uz numuru 112 vai 101</w:t>
            </w:r>
          </w:p>
        </w:tc>
        <w:tc>
          <w:tcPr>
            <w:tcW w:w="709" w:type="dxa"/>
            <w:shd w:val="clear" w:color="auto" w:fill="92D050"/>
            <w:noWrap/>
          </w:tcPr>
          <w:p w14:paraId="09E478E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1CFFD0E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1CFEC9C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58E805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noWrap/>
          </w:tcPr>
          <w:p w14:paraId="76DDC51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34E00F8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12BF883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44F54E7F" w14:textId="77777777" w:rsidTr="00F93C5D">
        <w:trPr>
          <w:trHeight w:val="39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3C73C461" w14:textId="77777777" w:rsidR="001F6D55" w:rsidRPr="00D41159" w:rsidRDefault="001F6D55" w:rsidP="00D0453E">
            <w:pPr>
              <w:spacing w:before="60" w:after="60"/>
              <w:rPr>
                <w:rFonts w:ascii="Calibri" w:hAnsi="Calibri" w:cs="Calibri"/>
                <w:noProof/>
                <w:sz w:val="20"/>
              </w:rPr>
            </w:pPr>
            <w:r>
              <w:rPr>
                <w:rFonts w:ascii="Calibri" w:hAnsi="Calibri"/>
                <w:noProof/>
                <w:sz w:val="20"/>
              </w:rPr>
              <w:t>BG</w:t>
            </w:r>
          </w:p>
        </w:tc>
        <w:tc>
          <w:tcPr>
            <w:tcW w:w="3230" w:type="dxa"/>
            <w:hideMark/>
          </w:tcPr>
          <w:p w14:paraId="40417F2D" w14:textId="47E55EC1" w:rsidR="001F6D55" w:rsidRPr="00D41159" w:rsidRDefault="00E02054"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Lietotne (112 Bulgārija)</w:t>
            </w:r>
          </w:p>
        </w:tc>
        <w:tc>
          <w:tcPr>
            <w:tcW w:w="709" w:type="dxa"/>
            <w:shd w:val="clear" w:color="auto" w:fill="92D050"/>
            <w:noWrap/>
          </w:tcPr>
          <w:p w14:paraId="2BB8B53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680BFC7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2EE0DE4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03BD535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1132235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4B8397E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Merge w:val="restart"/>
            <w:noWrap/>
            <w:vAlign w:val="center"/>
            <w:hideMark/>
          </w:tcPr>
          <w:p w14:paraId="12684394" w14:textId="3CCD3C8A" w:rsidR="001F6D55" w:rsidRPr="00D41159" w:rsidRDefault="00E02054"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11</w:t>
            </w:r>
          </w:p>
        </w:tc>
      </w:tr>
      <w:tr w:rsidR="00E70C4F" w:rsidRPr="00D41159" w14:paraId="1AFC7918" w14:textId="77777777" w:rsidTr="00F93C5D">
        <w:trPr>
          <w:trHeight w:val="6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11D12DCA"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20D65515"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Tīmekļpakalpojums</w:t>
            </w:r>
          </w:p>
        </w:tc>
        <w:tc>
          <w:tcPr>
            <w:tcW w:w="709" w:type="dxa"/>
            <w:shd w:val="clear" w:color="auto" w:fill="92D050"/>
            <w:noWrap/>
          </w:tcPr>
          <w:p w14:paraId="598AD108"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3D8207E8"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40762D9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10C0D42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50988AA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070C0D6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Merge/>
            <w:vAlign w:val="center"/>
            <w:hideMark/>
          </w:tcPr>
          <w:p w14:paraId="7469D42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r>
      <w:tr w:rsidR="00486E3C" w:rsidRPr="00D41159" w14:paraId="69FA7560" w14:textId="77777777" w:rsidTr="00F93C5D">
        <w:trPr>
          <w:trHeight w:val="265"/>
          <w:jc w:val="center"/>
        </w:trPr>
        <w:tc>
          <w:tcPr>
            <w:cnfStyle w:val="001000000000" w:firstRow="0" w:lastRow="0" w:firstColumn="1" w:lastColumn="0" w:oddVBand="0" w:evenVBand="0" w:oddHBand="0" w:evenHBand="0" w:firstRowFirstColumn="0" w:firstRowLastColumn="0" w:lastRowFirstColumn="0" w:lastRowLastColumn="0"/>
            <w:tcW w:w="534" w:type="dxa"/>
            <w:vMerge w:val="restart"/>
            <w:hideMark/>
          </w:tcPr>
          <w:p w14:paraId="09DA14CF" w14:textId="74A41604" w:rsidR="00486E3C" w:rsidRPr="00D41159" w:rsidRDefault="00486E3C" w:rsidP="00486E3C">
            <w:pPr>
              <w:spacing w:before="60" w:after="60"/>
              <w:rPr>
                <w:rFonts w:ascii="Calibri" w:hAnsi="Calibri" w:cs="Calibri"/>
                <w:noProof/>
                <w:sz w:val="20"/>
              </w:rPr>
            </w:pPr>
            <w:r>
              <w:rPr>
                <w:rFonts w:ascii="Calibri" w:hAnsi="Calibri"/>
                <w:noProof/>
                <w:sz w:val="20"/>
              </w:rPr>
              <w:t>CY</w:t>
            </w:r>
          </w:p>
        </w:tc>
        <w:tc>
          <w:tcPr>
            <w:tcW w:w="3230" w:type="dxa"/>
            <w:hideMark/>
          </w:tcPr>
          <w:p w14:paraId="0E5D0C30" w14:textId="703AE0BC" w:rsidR="00486E3C" w:rsidRPr="00D41159" w:rsidRDefault="00486E3C"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 xml:space="preserve">Īsziņa uz numuru 112 </w:t>
            </w:r>
          </w:p>
        </w:tc>
        <w:tc>
          <w:tcPr>
            <w:tcW w:w="709" w:type="dxa"/>
            <w:shd w:val="clear" w:color="auto" w:fill="92D050"/>
            <w:noWrap/>
          </w:tcPr>
          <w:p w14:paraId="22A94FC0" w14:textId="77777777" w:rsidR="00486E3C" w:rsidRPr="00D41159" w:rsidRDefault="00486E3C"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auto"/>
            <w:noWrap/>
          </w:tcPr>
          <w:p w14:paraId="54654912" w14:textId="77777777" w:rsidR="00486E3C" w:rsidRPr="00D41159" w:rsidRDefault="00486E3C"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4CB12CF4" w14:textId="77777777" w:rsidR="00486E3C" w:rsidRPr="00D41159" w:rsidRDefault="00486E3C"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44165851" w14:textId="77777777" w:rsidR="00486E3C" w:rsidRPr="00D41159" w:rsidRDefault="00486E3C"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284706CD" w14:textId="77777777" w:rsidR="00486E3C" w:rsidRPr="00D41159" w:rsidRDefault="00486E3C"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47DCA51D" w14:textId="77777777" w:rsidR="00486E3C" w:rsidRPr="00D41159" w:rsidRDefault="00486E3C"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76B71DAD" w14:textId="702CBB37" w:rsidR="00486E3C" w:rsidRPr="00D41159" w:rsidRDefault="00486E3C"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697</w:t>
            </w:r>
          </w:p>
        </w:tc>
      </w:tr>
      <w:tr w:rsidR="00486E3C" w:rsidRPr="00D41159" w14:paraId="50EC8F5C"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4875C3B5" w14:textId="77777777" w:rsidR="00486E3C" w:rsidRPr="00D41159" w:rsidRDefault="00486E3C" w:rsidP="00D0453E">
            <w:pPr>
              <w:spacing w:before="60" w:after="60"/>
              <w:jc w:val="right"/>
              <w:rPr>
                <w:rFonts w:ascii="Calibri" w:hAnsi="Calibri" w:cs="Calibri"/>
                <w:noProof/>
                <w:sz w:val="20"/>
              </w:rPr>
            </w:pPr>
          </w:p>
        </w:tc>
        <w:tc>
          <w:tcPr>
            <w:tcW w:w="3230" w:type="dxa"/>
            <w:hideMark/>
          </w:tcPr>
          <w:p w14:paraId="68E1DCCE" w14:textId="36014DD4" w:rsidR="00486E3C" w:rsidRPr="00D41159" w:rsidRDefault="00486E3C"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RTT (112 Kipras lietotnē)</w:t>
            </w:r>
          </w:p>
        </w:tc>
        <w:tc>
          <w:tcPr>
            <w:tcW w:w="709" w:type="dxa"/>
            <w:shd w:val="clear" w:color="auto" w:fill="92D050"/>
            <w:noWrap/>
          </w:tcPr>
          <w:p w14:paraId="3BE0B3D0" w14:textId="77777777" w:rsidR="00486E3C" w:rsidRPr="00D41159" w:rsidRDefault="00486E3C"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365EF866" w14:textId="77777777" w:rsidR="00486E3C" w:rsidRPr="00D41159" w:rsidRDefault="00486E3C"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746C1F9E" w14:textId="77777777" w:rsidR="00486E3C" w:rsidRPr="00D41159" w:rsidRDefault="00486E3C"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305E3EF" w14:textId="77777777" w:rsidR="00486E3C" w:rsidRPr="00D41159" w:rsidRDefault="00486E3C"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44064BA0" w14:textId="77777777" w:rsidR="00486E3C" w:rsidRPr="00D41159" w:rsidRDefault="00486E3C"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40900015" w14:textId="77777777" w:rsidR="00486E3C" w:rsidRPr="00D41159" w:rsidRDefault="00486E3C"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6F5FFFFD" w14:textId="7D7160D5" w:rsidR="00486E3C" w:rsidRPr="00D41159" w:rsidRDefault="00486E3C"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15</w:t>
            </w:r>
          </w:p>
        </w:tc>
      </w:tr>
      <w:tr w:rsidR="008D0356" w:rsidRPr="00D41159" w14:paraId="5751DF4B"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3F97553D" w14:textId="77777777" w:rsidR="008D0356" w:rsidRPr="00D41159" w:rsidRDefault="008D0356" w:rsidP="00D0453E">
            <w:pPr>
              <w:spacing w:before="60" w:after="60"/>
              <w:rPr>
                <w:rFonts w:ascii="Calibri" w:hAnsi="Calibri" w:cs="Calibri"/>
                <w:noProof/>
                <w:sz w:val="20"/>
              </w:rPr>
            </w:pPr>
            <w:r>
              <w:rPr>
                <w:rFonts w:ascii="Calibri" w:hAnsi="Calibri"/>
                <w:noProof/>
                <w:sz w:val="20"/>
              </w:rPr>
              <w:t>CZ</w:t>
            </w:r>
          </w:p>
        </w:tc>
        <w:tc>
          <w:tcPr>
            <w:tcW w:w="3230" w:type="dxa"/>
            <w:hideMark/>
          </w:tcPr>
          <w:p w14:paraId="2BADE37F" w14:textId="77777777" w:rsidR="008D0356" w:rsidRPr="00D41159" w:rsidRDefault="008D0356"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112</w:t>
            </w:r>
          </w:p>
        </w:tc>
        <w:tc>
          <w:tcPr>
            <w:tcW w:w="709" w:type="dxa"/>
            <w:shd w:val="clear" w:color="auto" w:fill="92D050"/>
            <w:noWrap/>
          </w:tcPr>
          <w:p w14:paraId="48FD4CE9"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387C7550"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19AD62C5"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2BB2D7D7"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070F1665"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68DAD883"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2EB0FFCB" w14:textId="69D435AD"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255</w:t>
            </w:r>
          </w:p>
        </w:tc>
      </w:tr>
      <w:tr w:rsidR="008D0356" w:rsidRPr="00D41159" w14:paraId="11B51AF9" w14:textId="77777777" w:rsidTr="00F93C5D">
        <w:trPr>
          <w:trHeight w:val="6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7AF02432" w14:textId="77777777" w:rsidR="008D0356" w:rsidRPr="00D41159" w:rsidRDefault="008D0356" w:rsidP="00D0453E">
            <w:pPr>
              <w:spacing w:before="60" w:after="60"/>
              <w:jc w:val="right"/>
              <w:rPr>
                <w:rFonts w:ascii="Calibri" w:hAnsi="Calibri" w:cs="Calibri"/>
                <w:noProof/>
                <w:sz w:val="20"/>
              </w:rPr>
            </w:pPr>
          </w:p>
        </w:tc>
        <w:tc>
          <w:tcPr>
            <w:tcW w:w="3230" w:type="dxa"/>
            <w:hideMark/>
          </w:tcPr>
          <w:p w14:paraId="69A99E34" w14:textId="6D0CB33F" w:rsidR="008D0356" w:rsidRPr="00D41159" w:rsidRDefault="008D0356"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Lietotne ("Záchranka")</w:t>
            </w:r>
          </w:p>
        </w:tc>
        <w:tc>
          <w:tcPr>
            <w:tcW w:w="709" w:type="dxa"/>
            <w:shd w:val="clear" w:color="auto" w:fill="92D050"/>
            <w:noWrap/>
          </w:tcPr>
          <w:p w14:paraId="2B271D77"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16A21947"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63B0715D"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02F9DBF3"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4677A09D"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76598EBC" w14:textId="17638DE0"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64C5C21F"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8D0356" w:rsidRPr="00D41159" w14:paraId="6779F833" w14:textId="77777777" w:rsidTr="00F93C5D">
        <w:trPr>
          <w:trHeight w:val="6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6BD871A9" w14:textId="77777777" w:rsidR="008D0356" w:rsidRPr="00D41159" w:rsidRDefault="008D0356" w:rsidP="00D0453E">
            <w:pPr>
              <w:spacing w:before="60" w:after="60"/>
              <w:jc w:val="right"/>
              <w:rPr>
                <w:rFonts w:ascii="Calibri" w:hAnsi="Calibri" w:cs="Calibri"/>
                <w:noProof/>
                <w:sz w:val="20"/>
              </w:rPr>
            </w:pPr>
          </w:p>
        </w:tc>
        <w:tc>
          <w:tcPr>
            <w:tcW w:w="3230" w:type="dxa"/>
            <w:hideMark/>
          </w:tcPr>
          <w:p w14:paraId="698D4ADE" w14:textId="77777777" w:rsidR="008D0356" w:rsidRPr="00D41159" w:rsidRDefault="008D0356"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Tīmekļpiekļuve ārkārtējā situācijā</w:t>
            </w:r>
          </w:p>
        </w:tc>
        <w:tc>
          <w:tcPr>
            <w:tcW w:w="709" w:type="dxa"/>
            <w:shd w:val="clear" w:color="auto" w:fill="92D050"/>
            <w:noWrap/>
          </w:tcPr>
          <w:p w14:paraId="6C7E04D5"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398C4595"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555635AD"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675611CD"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6BF5CB26"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4F7F5D4D" w14:textId="614698F9"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642B2D69"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8D0356" w:rsidRPr="00D41159" w14:paraId="69DE37A7" w14:textId="77777777" w:rsidTr="00F93C5D">
        <w:trPr>
          <w:trHeight w:val="6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4D339B50" w14:textId="77777777" w:rsidR="008D0356" w:rsidRPr="00D41159" w:rsidRDefault="008D0356" w:rsidP="00D0453E">
            <w:pPr>
              <w:spacing w:before="60" w:after="60"/>
              <w:jc w:val="right"/>
              <w:rPr>
                <w:rFonts w:ascii="Calibri" w:hAnsi="Calibri" w:cs="Calibri"/>
                <w:noProof/>
                <w:sz w:val="20"/>
              </w:rPr>
            </w:pPr>
          </w:p>
        </w:tc>
        <w:tc>
          <w:tcPr>
            <w:tcW w:w="3230" w:type="dxa"/>
            <w:hideMark/>
          </w:tcPr>
          <w:p w14:paraId="4FDA1D49" w14:textId="77777777" w:rsidR="008D0356" w:rsidRPr="00D41159" w:rsidRDefault="008D0356"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 xml:space="preserve">Vispārpieejams teksta pārlikšanas pakalpojums </w:t>
            </w:r>
          </w:p>
        </w:tc>
        <w:tc>
          <w:tcPr>
            <w:tcW w:w="709" w:type="dxa"/>
            <w:shd w:val="clear" w:color="auto" w:fill="92D050"/>
            <w:noWrap/>
          </w:tcPr>
          <w:p w14:paraId="7DA24F75"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56CF48D1"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692969F1"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4D23197"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3EC57567"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3835BA86"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004172D0"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8D0356" w:rsidRPr="00D41159" w14:paraId="0B376DB3" w14:textId="77777777" w:rsidTr="00F93C5D">
        <w:trPr>
          <w:trHeight w:val="429"/>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0D09F450" w14:textId="77777777" w:rsidR="008D0356" w:rsidRPr="00D41159" w:rsidRDefault="008D0356" w:rsidP="00D0453E">
            <w:pPr>
              <w:spacing w:before="60" w:after="60"/>
              <w:jc w:val="right"/>
              <w:rPr>
                <w:rFonts w:ascii="Calibri" w:hAnsi="Calibri" w:cs="Calibri"/>
                <w:noProof/>
                <w:sz w:val="20"/>
              </w:rPr>
            </w:pPr>
          </w:p>
        </w:tc>
        <w:tc>
          <w:tcPr>
            <w:tcW w:w="3230" w:type="dxa"/>
            <w:hideMark/>
          </w:tcPr>
          <w:p w14:paraId="51EE5F7A" w14:textId="35A0EFA7" w:rsidR="008D0356" w:rsidRPr="00D41159" w:rsidRDefault="008D0356"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 xml:space="preserve">Specializēts teksta pārlikšanas pakalpojums ārkārtējām situācijām </w:t>
            </w:r>
          </w:p>
        </w:tc>
        <w:tc>
          <w:tcPr>
            <w:tcW w:w="709" w:type="dxa"/>
            <w:shd w:val="clear" w:color="auto" w:fill="FFFFFF" w:themeFill="background1"/>
            <w:noWrap/>
          </w:tcPr>
          <w:p w14:paraId="40D1B0EC"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FFFF" w:themeFill="background1"/>
            <w:noWrap/>
          </w:tcPr>
          <w:p w14:paraId="477D3343"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29246FE7"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5E5AD3B"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0733B91B"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FFFF" w:themeFill="background1"/>
            <w:noWrap/>
          </w:tcPr>
          <w:p w14:paraId="66510045"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4C845180"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8D0356" w:rsidRPr="00D41159" w14:paraId="5296BF68" w14:textId="77777777" w:rsidTr="00F93C5D">
        <w:trPr>
          <w:trHeight w:val="429"/>
          <w:jc w:val="center"/>
        </w:trPr>
        <w:tc>
          <w:tcPr>
            <w:cnfStyle w:val="001000000000" w:firstRow="0" w:lastRow="0" w:firstColumn="1" w:lastColumn="0" w:oddVBand="0" w:evenVBand="0" w:oddHBand="0" w:evenHBand="0" w:firstRowFirstColumn="0" w:firstRowLastColumn="0" w:lastRowFirstColumn="0" w:lastRowLastColumn="0"/>
            <w:tcW w:w="534" w:type="dxa"/>
            <w:vMerge/>
          </w:tcPr>
          <w:p w14:paraId="1CC70F40" w14:textId="77777777" w:rsidR="008D0356" w:rsidRPr="00D41159" w:rsidRDefault="008D0356" w:rsidP="00D0453E">
            <w:pPr>
              <w:spacing w:before="60" w:after="60"/>
              <w:jc w:val="right"/>
              <w:rPr>
                <w:rFonts w:ascii="Calibri" w:hAnsi="Calibri" w:cs="Calibri"/>
                <w:noProof/>
                <w:sz w:val="20"/>
              </w:rPr>
            </w:pPr>
          </w:p>
        </w:tc>
        <w:tc>
          <w:tcPr>
            <w:tcW w:w="3230" w:type="dxa"/>
          </w:tcPr>
          <w:p w14:paraId="1BA0D99A" w14:textId="35E16A12" w:rsidR="008D0356" w:rsidRDefault="008D0356"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Specializētas ierīces no fiksētām atrašanās vietām</w:t>
            </w:r>
          </w:p>
        </w:tc>
        <w:tc>
          <w:tcPr>
            <w:tcW w:w="709" w:type="dxa"/>
            <w:shd w:val="clear" w:color="auto" w:fill="92D050"/>
            <w:noWrap/>
          </w:tcPr>
          <w:p w14:paraId="04C8AA23"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2133B53E"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57BCCBA9"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00DDFED2"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5F856B65"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FFFF" w:themeFill="background1"/>
            <w:noWrap/>
          </w:tcPr>
          <w:p w14:paraId="1C75E8DF"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tcPr>
          <w:p w14:paraId="72737685" w14:textId="0B2EEDC2"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0</w:t>
            </w:r>
          </w:p>
        </w:tc>
      </w:tr>
      <w:tr w:rsidR="008D0356" w:rsidRPr="00D41159" w14:paraId="3340A566" w14:textId="77777777" w:rsidTr="00F93C5D">
        <w:trPr>
          <w:trHeight w:val="429"/>
          <w:jc w:val="center"/>
        </w:trPr>
        <w:tc>
          <w:tcPr>
            <w:cnfStyle w:val="001000000000" w:firstRow="0" w:lastRow="0" w:firstColumn="1" w:lastColumn="0" w:oddVBand="0" w:evenVBand="0" w:oddHBand="0" w:evenHBand="0" w:firstRowFirstColumn="0" w:firstRowLastColumn="0" w:lastRowFirstColumn="0" w:lastRowLastColumn="0"/>
            <w:tcW w:w="534" w:type="dxa"/>
            <w:vMerge/>
          </w:tcPr>
          <w:p w14:paraId="7C39D29E" w14:textId="77777777" w:rsidR="008D0356" w:rsidRPr="00D41159" w:rsidRDefault="008D0356" w:rsidP="00D0453E">
            <w:pPr>
              <w:spacing w:before="60" w:after="60"/>
              <w:jc w:val="right"/>
              <w:rPr>
                <w:rFonts w:ascii="Calibri" w:hAnsi="Calibri" w:cs="Calibri"/>
                <w:noProof/>
                <w:sz w:val="20"/>
              </w:rPr>
            </w:pPr>
          </w:p>
        </w:tc>
        <w:tc>
          <w:tcPr>
            <w:tcW w:w="3230" w:type="dxa"/>
          </w:tcPr>
          <w:p w14:paraId="5151EF6F" w14:textId="4C87B349" w:rsidR="008D0356" w:rsidRDefault="008D0356"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Specializētas mobilās ierīces</w:t>
            </w:r>
          </w:p>
        </w:tc>
        <w:tc>
          <w:tcPr>
            <w:tcW w:w="709" w:type="dxa"/>
            <w:shd w:val="clear" w:color="auto" w:fill="92D050"/>
            <w:noWrap/>
          </w:tcPr>
          <w:p w14:paraId="4F5B4EDD"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CED5072"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37340F4A"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633B56AF"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76795861"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FFFF" w:themeFill="background1"/>
            <w:noWrap/>
          </w:tcPr>
          <w:p w14:paraId="28407527"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tcPr>
          <w:p w14:paraId="4BDB3302" w14:textId="0CF5CD2A"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0</w:t>
            </w:r>
          </w:p>
        </w:tc>
      </w:tr>
      <w:tr w:rsidR="008D0356" w:rsidRPr="00D41159" w14:paraId="5C42DA18"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68782977" w14:textId="77777777" w:rsidR="008D0356" w:rsidRPr="00D41159" w:rsidRDefault="008D0356" w:rsidP="00D0453E">
            <w:pPr>
              <w:spacing w:before="60" w:after="60"/>
              <w:jc w:val="right"/>
              <w:rPr>
                <w:rFonts w:ascii="Calibri" w:hAnsi="Calibri" w:cs="Calibri"/>
                <w:noProof/>
                <w:sz w:val="20"/>
              </w:rPr>
            </w:pPr>
          </w:p>
        </w:tc>
        <w:tc>
          <w:tcPr>
            <w:tcW w:w="3230" w:type="dxa"/>
            <w:hideMark/>
          </w:tcPr>
          <w:p w14:paraId="64DBB855" w14:textId="77777777" w:rsidR="008D0356" w:rsidRPr="00D41159" w:rsidRDefault="008D0356"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E-pasts</w:t>
            </w:r>
          </w:p>
        </w:tc>
        <w:tc>
          <w:tcPr>
            <w:tcW w:w="709" w:type="dxa"/>
            <w:shd w:val="clear" w:color="auto" w:fill="92D050"/>
            <w:noWrap/>
          </w:tcPr>
          <w:p w14:paraId="5C3B899E"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731B4C16"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7942D216"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13829DFD"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noWrap/>
          </w:tcPr>
          <w:p w14:paraId="14F3C077"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662B48A1"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258E398F"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8D0356" w:rsidRPr="00D41159" w14:paraId="6222BDD8"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0BB5BEF0" w14:textId="77777777" w:rsidR="008D0356" w:rsidRPr="00D41159" w:rsidRDefault="008D0356" w:rsidP="00D0453E">
            <w:pPr>
              <w:spacing w:before="60" w:after="60"/>
              <w:jc w:val="right"/>
              <w:rPr>
                <w:rFonts w:ascii="Calibri" w:hAnsi="Calibri" w:cs="Calibri"/>
                <w:noProof/>
                <w:sz w:val="20"/>
              </w:rPr>
            </w:pPr>
          </w:p>
        </w:tc>
        <w:tc>
          <w:tcPr>
            <w:tcW w:w="3230" w:type="dxa"/>
            <w:hideMark/>
          </w:tcPr>
          <w:p w14:paraId="566AA619" w14:textId="68D089C8" w:rsidR="008D0356" w:rsidRPr="00D41159" w:rsidRDefault="008D0356"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Fakss uz garo numuru</w:t>
            </w:r>
          </w:p>
        </w:tc>
        <w:tc>
          <w:tcPr>
            <w:tcW w:w="709" w:type="dxa"/>
            <w:shd w:val="clear" w:color="auto" w:fill="92D050"/>
            <w:noWrap/>
          </w:tcPr>
          <w:p w14:paraId="5472EDAA"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581471C4"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235D5255"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4E2C5075"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noWrap/>
          </w:tcPr>
          <w:p w14:paraId="15178095"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41AC9312"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1492E332"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8D0356" w:rsidRPr="00D41159" w14:paraId="13B5D94C"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tcPr>
          <w:p w14:paraId="293F2826" w14:textId="77777777" w:rsidR="008D0356" w:rsidRPr="00D41159" w:rsidRDefault="008D0356" w:rsidP="00D0453E">
            <w:pPr>
              <w:spacing w:before="60" w:after="60"/>
              <w:jc w:val="right"/>
              <w:rPr>
                <w:rFonts w:ascii="Calibri" w:hAnsi="Calibri" w:cs="Calibri"/>
                <w:noProof/>
                <w:sz w:val="20"/>
              </w:rPr>
            </w:pPr>
          </w:p>
        </w:tc>
        <w:tc>
          <w:tcPr>
            <w:tcW w:w="3230" w:type="dxa"/>
          </w:tcPr>
          <w:p w14:paraId="76F40D0C" w14:textId="3E139B25" w:rsidR="008D0356" w:rsidRPr="00D41159" w:rsidRDefault="008D0356"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Cits</w:t>
            </w:r>
          </w:p>
        </w:tc>
        <w:tc>
          <w:tcPr>
            <w:tcW w:w="709" w:type="dxa"/>
            <w:shd w:val="clear" w:color="auto" w:fill="92D050"/>
            <w:noWrap/>
          </w:tcPr>
          <w:p w14:paraId="0BA57DFF"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66DF6432"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2313B3B9"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45E286B7"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1E56F166"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0877A482" w14:textId="77777777" w:rsidR="008D0356" w:rsidRPr="00D41159" w:rsidRDefault="008D0356"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tcPr>
          <w:p w14:paraId="70EEC985" w14:textId="63570732" w:rsidR="008D0356" w:rsidRPr="00D41159"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361186D7"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69D9E8A6" w14:textId="77777777" w:rsidR="001F6D55" w:rsidRPr="00D41159" w:rsidRDefault="001F6D55" w:rsidP="00D0453E">
            <w:pPr>
              <w:spacing w:before="60" w:after="60"/>
              <w:rPr>
                <w:rFonts w:ascii="Calibri" w:hAnsi="Calibri" w:cs="Calibri"/>
                <w:noProof/>
                <w:sz w:val="20"/>
              </w:rPr>
            </w:pPr>
            <w:r>
              <w:rPr>
                <w:rFonts w:ascii="Calibri" w:hAnsi="Calibri"/>
                <w:noProof/>
                <w:sz w:val="20"/>
              </w:rPr>
              <w:t>DE</w:t>
            </w:r>
          </w:p>
        </w:tc>
        <w:tc>
          <w:tcPr>
            <w:tcW w:w="3230" w:type="dxa"/>
            <w:hideMark/>
          </w:tcPr>
          <w:p w14:paraId="67BF18B2" w14:textId="002DE9C9"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Fakss uz numuru 112</w:t>
            </w:r>
          </w:p>
        </w:tc>
        <w:tc>
          <w:tcPr>
            <w:tcW w:w="709" w:type="dxa"/>
            <w:shd w:val="clear" w:color="auto" w:fill="FF0000"/>
            <w:noWrap/>
          </w:tcPr>
          <w:p w14:paraId="2923503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4AC80E0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77CE7B5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475F2BF9"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2926C819"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4FD73C5A" w14:textId="6C67770C"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0F33174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2FC8FDD0"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noWrap/>
          </w:tcPr>
          <w:p w14:paraId="66EA8A67" w14:textId="77777777" w:rsidR="00E70C4F" w:rsidRPr="00D41159" w:rsidRDefault="00E70C4F" w:rsidP="00D0453E">
            <w:pPr>
              <w:spacing w:before="60" w:after="60"/>
              <w:rPr>
                <w:rFonts w:ascii="Calibri" w:hAnsi="Calibri" w:cs="Calibri"/>
                <w:noProof/>
                <w:sz w:val="20"/>
              </w:rPr>
            </w:pPr>
          </w:p>
        </w:tc>
        <w:tc>
          <w:tcPr>
            <w:tcW w:w="3230" w:type="dxa"/>
          </w:tcPr>
          <w:p w14:paraId="4ECC7CA4" w14:textId="21526A10" w:rsidR="00E70C4F" w:rsidRPr="00D41159" w:rsidRDefault="00E70C4F"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Lietotne</w:t>
            </w:r>
          </w:p>
        </w:tc>
        <w:tc>
          <w:tcPr>
            <w:tcW w:w="709" w:type="dxa"/>
            <w:shd w:val="clear" w:color="auto" w:fill="92D050"/>
            <w:noWrap/>
          </w:tcPr>
          <w:p w14:paraId="15D676A6" w14:textId="77777777" w:rsidR="00E70C4F" w:rsidRPr="00D41159"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5F927454" w14:textId="77777777" w:rsidR="00E70C4F" w:rsidRPr="00D41159"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108592EF" w14:textId="77777777" w:rsidR="00E70C4F" w:rsidRPr="00D41159"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6F629B2F" w14:textId="77777777" w:rsidR="00E70C4F" w:rsidRPr="00D41159"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34E85B67" w14:textId="77777777" w:rsidR="00E70C4F" w:rsidRPr="00D41159"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510745AD" w14:textId="77777777" w:rsidR="00E70C4F"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tcPr>
          <w:p w14:paraId="1F08CDB9" w14:textId="73E6F799" w:rsidR="00E70C4F" w:rsidRPr="00D41159"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 xml:space="preserve">4597* </w:t>
            </w:r>
          </w:p>
        </w:tc>
      </w:tr>
      <w:tr w:rsidR="00E70C4F" w:rsidRPr="00D41159" w14:paraId="166BBFEE"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noWrap/>
          </w:tcPr>
          <w:p w14:paraId="6F8C9097" w14:textId="77777777" w:rsidR="00E70C4F" w:rsidRPr="00D41159" w:rsidRDefault="00E70C4F" w:rsidP="00D0453E">
            <w:pPr>
              <w:spacing w:before="60" w:after="60"/>
              <w:rPr>
                <w:rFonts w:ascii="Calibri" w:hAnsi="Calibri" w:cs="Calibri"/>
                <w:noProof/>
                <w:sz w:val="20"/>
              </w:rPr>
            </w:pPr>
          </w:p>
        </w:tc>
        <w:tc>
          <w:tcPr>
            <w:tcW w:w="3230" w:type="dxa"/>
          </w:tcPr>
          <w:p w14:paraId="7E93DAE0" w14:textId="6A38D8FA" w:rsidR="00E70C4F" w:rsidRPr="00D41159" w:rsidRDefault="00E70C4F"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Vispārējs teksta pārlikšanas pakalpojums</w:t>
            </w:r>
          </w:p>
        </w:tc>
        <w:tc>
          <w:tcPr>
            <w:tcW w:w="709" w:type="dxa"/>
            <w:shd w:val="clear" w:color="auto" w:fill="92D050"/>
            <w:noWrap/>
          </w:tcPr>
          <w:p w14:paraId="0940C47B" w14:textId="77777777" w:rsidR="00E70C4F" w:rsidRPr="00D41159"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14BE54F7" w14:textId="77777777" w:rsidR="00E70C4F" w:rsidRPr="00D41159"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64CE36A2" w14:textId="77777777" w:rsidR="00E70C4F" w:rsidRPr="00D41159"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0000"/>
            <w:noWrap/>
          </w:tcPr>
          <w:p w14:paraId="5612D9D0" w14:textId="77777777" w:rsidR="00E70C4F" w:rsidRPr="00D41159"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2C3AEF28" w14:textId="77777777" w:rsidR="00E70C4F" w:rsidRPr="00D41159"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6BF5AF44" w14:textId="77777777" w:rsidR="00E70C4F"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tcPr>
          <w:p w14:paraId="4B51A675" w14:textId="374141DD" w:rsidR="00E70C4F" w:rsidRPr="00D41159"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7AB5468F"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596EC3D7"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095BF1DD" w14:textId="25E7305C" w:rsidR="001F6D55" w:rsidRPr="00D41159" w:rsidRDefault="00E70C4F"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Specializēts teksta pārlikšanas pakalpojums</w:t>
            </w:r>
          </w:p>
        </w:tc>
        <w:tc>
          <w:tcPr>
            <w:tcW w:w="709" w:type="dxa"/>
            <w:shd w:val="clear" w:color="auto" w:fill="92D050"/>
            <w:noWrap/>
          </w:tcPr>
          <w:p w14:paraId="275A6E3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534255D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32E5207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1B1AF72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4896EE8"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5770BA4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1AA6591C" w14:textId="7BE28FE1" w:rsidR="001F6D55" w:rsidRPr="00D41159"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650</w:t>
            </w:r>
          </w:p>
        </w:tc>
      </w:tr>
      <w:tr w:rsidR="00E70C4F" w:rsidRPr="00D41159" w14:paraId="747C32F8"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1760CF6B" w14:textId="77777777" w:rsidR="001F6D55" w:rsidRPr="00D41159" w:rsidRDefault="001F6D55" w:rsidP="00D0453E">
            <w:pPr>
              <w:spacing w:before="60" w:after="60"/>
              <w:rPr>
                <w:rFonts w:ascii="Calibri" w:hAnsi="Calibri" w:cs="Calibri"/>
                <w:noProof/>
                <w:sz w:val="20"/>
              </w:rPr>
            </w:pPr>
            <w:r>
              <w:rPr>
                <w:rFonts w:ascii="Calibri" w:hAnsi="Calibri"/>
                <w:noProof/>
                <w:sz w:val="20"/>
              </w:rPr>
              <w:t>DK</w:t>
            </w:r>
          </w:p>
        </w:tc>
        <w:tc>
          <w:tcPr>
            <w:tcW w:w="3230" w:type="dxa"/>
            <w:hideMark/>
          </w:tcPr>
          <w:p w14:paraId="7801EBE6"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garo numuru</w:t>
            </w:r>
          </w:p>
        </w:tc>
        <w:tc>
          <w:tcPr>
            <w:tcW w:w="709" w:type="dxa"/>
            <w:shd w:val="clear" w:color="auto" w:fill="92D050"/>
            <w:noWrap/>
          </w:tcPr>
          <w:p w14:paraId="7CC3C0F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7CCE27C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0BD9071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0000"/>
            <w:noWrap/>
          </w:tcPr>
          <w:p w14:paraId="1FF1B25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16532A78" w14:textId="01A2B8AB"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0F90EAE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45915BD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22A42E76" w14:textId="77777777" w:rsidTr="00F93C5D">
        <w:trPr>
          <w:trHeight w:val="6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5BBC5053"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62626049"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 xml:space="preserve">Vispārpieejams teksta pārlikšanas pakalpojums </w:t>
            </w:r>
          </w:p>
        </w:tc>
        <w:tc>
          <w:tcPr>
            <w:tcW w:w="709" w:type="dxa"/>
            <w:shd w:val="clear" w:color="auto" w:fill="92D050"/>
            <w:noWrap/>
          </w:tcPr>
          <w:p w14:paraId="7314AC1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FFFF" w:themeFill="background1"/>
            <w:noWrap/>
          </w:tcPr>
          <w:p w14:paraId="7B1A7A1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FFFF" w:themeFill="background1"/>
            <w:noWrap/>
          </w:tcPr>
          <w:p w14:paraId="41CBBEA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FFFF" w:themeFill="background1"/>
            <w:noWrap/>
          </w:tcPr>
          <w:p w14:paraId="405E840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FFFF" w:themeFill="background1"/>
            <w:noWrap/>
          </w:tcPr>
          <w:p w14:paraId="04FB0B0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FFFF" w:themeFill="background1"/>
            <w:noWrap/>
          </w:tcPr>
          <w:p w14:paraId="2DE3F91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1DD8D65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66A1812C"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0F9730B3"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3633EF9C"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Neatliekamās palīdzības lietotne</w:t>
            </w:r>
          </w:p>
        </w:tc>
        <w:tc>
          <w:tcPr>
            <w:tcW w:w="709" w:type="dxa"/>
            <w:shd w:val="clear" w:color="auto" w:fill="FF0000"/>
            <w:noWrap/>
          </w:tcPr>
          <w:p w14:paraId="017C107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0F8F4739" w14:textId="5BA5F6A0"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06AC0178"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FFFF" w:themeFill="background1"/>
            <w:noWrap/>
          </w:tcPr>
          <w:p w14:paraId="0FC11A9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FFFF" w:themeFill="background1"/>
            <w:noWrap/>
          </w:tcPr>
          <w:p w14:paraId="7E25172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6FF75AD9"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7F65274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1A3DFB15"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noWrap/>
            <w:hideMark/>
          </w:tcPr>
          <w:p w14:paraId="5CE56AD8" w14:textId="77777777" w:rsidR="001F6D55" w:rsidRPr="00D41159" w:rsidRDefault="001F6D55" w:rsidP="00D0453E">
            <w:pPr>
              <w:spacing w:before="60" w:after="60"/>
              <w:rPr>
                <w:rFonts w:ascii="Calibri" w:hAnsi="Calibri" w:cs="Calibri"/>
                <w:noProof/>
                <w:sz w:val="20"/>
              </w:rPr>
            </w:pPr>
            <w:r>
              <w:rPr>
                <w:rFonts w:ascii="Calibri" w:hAnsi="Calibri"/>
                <w:noProof/>
                <w:sz w:val="20"/>
              </w:rPr>
              <w:t>EE</w:t>
            </w:r>
          </w:p>
        </w:tc>
        <w:tc>
          <w:tcPr>
            <w:tcW w:w="3230" w:type="dxa"/>
            <w:hideMark/>
          </w:tcPr>
          <w:p w14:paraId="6840D5F4"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112</w:t>
            </w:r>
          </w:p>
        </w:tc>
        <w:tc>
          <w:tcPr>
            <w:tcW w:w="709" w:type="dxa"/>
            <w:shd w:val="clear" w:color="auto" w:fill="92D050"/>
            <w:noWrap/>
          </w:tcPr>
          <w:p w14:paraId="1A5CEAA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9A2C98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751B31F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2F58A16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7635C49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07C2ACB8"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5268D19B" w14:textId="2524EE38" w:rsidR="001F6D55" w:rsidRPr="00D41159" w:rsidRDefault="00E70C4F"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891</w:t>
            </w:r>
          </w:p>
        </w:tc>
      </w:tr>
      <w:tr w:rsidR="00E70C4F" w:rsidRPr="00D41159" w14:paraId="1E3DF8C0"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56D60AF3" w14:textId="77777777" w:rsidR="001F6D55" w:rsidRPr="00D41159" w:rsidRDefault="001F6D55" w:rsidP="00D0453E">
            <w:pPr>
              <w:spacing w:before="60" w:after="60"/>
              <w:rPr>
                <w:rFonts w:ascii="Calibri" w:hAnsi="Calibri" w:cs="Calibri"/>
                <w:noProof/>
                <w:sz w:val="20"/>
              </w:rPr>
            </w:pPr>
            <w:r>
              <w:rPr>
                <w:rFonts w:ascii="Calibri" w:hAnsi="Calibri"/>
                <w:noProof/>
                <w:sz w:val="20"/>
              </w:rPr>
              <w:t>EL</w:t>
            </w:r>
          </w:p>
        </w:tc>
        <w:tc>
          <w:tcPr>
            <w:tcW w:w="3230" w:type="dxa"/>
            <w:hideMark/>
          </w:tcPr>
          <w:p w14:paraId="6C6F0090"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112</w:t>
            </w:r>
          </w:p>
        </w:tc>
        <w:tc>
          <w:tcPr>
            <w:tcW w:w="709" w:type="dxa"/>
            <w:shd w:val="clear" w:color="auto" w:fill="92D050"/>
            <w:noWrap/>
          </w:tcPr>
          <w:p w14:paraId="797590E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2E4563E9"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3716A1B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A46823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7DFE02D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14BFFF59"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24B3BBF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57DF9B98"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4A7C9C51"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29859C9B"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E-vēstule</w:t>
            </w:r>
          </w:p>
        </w:tc>
        <w:tc>
          <w:tcPr>
            <w:tcW w:w="709" w:type="dxa"/>
            <w:shd w:val="clear" w:color="auto" w:fill="92D050"/>
            <w:noWrap/>
          </w:tcPr>
          <w:p w14:paraId="05D59D3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6EFDBFB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17B1B7A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FFFF" w:themeFill="background1"/>
            <w:noWrap/>
          </w:tcPr>
          <w:p w14:paraId="17DFADE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FFFF" w:themeFill="background1"/>
            <w:noWrap/>
          </w:tcPr>
          <w:p w14:paraId="7B204DA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FFFF" w:themeFill="background1"/>
            <w:noWrap/>
          </w:tcPr>
          <w:p w14:paraId="214F5FA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7D16344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6E7CF134"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38610B55"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7DFC920B"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Fakss uz īso numuru</w:t>
            </w:r>
          </w:p>
        </w:tc>
        <w:tc>
          <w:tcPr>
            <w:tcW w:w="709" w:type="dxa"/>
            <w:shd w:val="clear" w:color="auto" w:fill="92D050"/>
            <w:noWrap/>
          </w:tcPr>
          <w:p w14:paraId="5D7BABD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FFFF" w:themeFill="background1"/>
            <w:noWrap/>
          </w:tcPr>
          <w:p w14:paraId="6C7CADC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06236E2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FFFF" w:themeFill="background1"/>
            <w:noWrap/>
          </w:tcPr>
          <w:p w14:paraId="1844C2B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FFFF" w:themeFill="background1"/>
            <w:noWrap/>
          </w:tcPr>
          <w:p w14:paraId="20EF322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FFFF" w:themeFill="background1"/>
            <w:noWrap/>
          </w:tcPr>
          <w:p w14:paraId="1363370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6042672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456CC6A1" w14:textId="77777777" w:rsidTr="00F93C5D">
        <w:trPr>
          <w:trHeight w:val="265"/>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4A3E3926" w14:textId="77777777" w:rsidR="001F6D55" w:rsidRPr="00D41159" w:rsidRDefault="001F6D55" w:rsidP="00D0453E">
            <w:pPr>
              <w:spacing w:before="60" w:after="60"/>
              <w:rPr>
                <w:rFonts w:ascii="Calibri" w:hAnsi="Calibri" w:cs="Calibri"/>
                <w:noProof/>
                <w:sz w:val="20"/>
              </w:rPr>
            </w:pPr>
            <w:r>
              <w:rPr>
                <w:rFonts w:ascii="Calibri" w:hAnsi="Calibri"/>
                <w:noProof/>
                <w:sz w:val="20"/>
              </w:rPr>
              <w:t>ES</w:t>
            </w:r>
          </w:p>
        </w:tc>
        <w:tc>
          <w:tcPr>
            <w:tcW w:w="3230" w:type="dxa"/>
            <w:hideMark/>
          </w:tcPr>
          <w:p w14:paraId="502337F4"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garajiem numuriem reģionos</w:t>
            </w:r>
          </w:p>
        </w:tc>
        <w:tc>
          <w:tcPr>
            <w:tcW w:w="709" w:type="dxa"/>
            <w:shd w:val="clear" w:color="auto" w:fill="92D050"/>
            <w:noWrap/>
          </w:tcPr>
          <w:p w14:paraId="72265A9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446F241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76C90F6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FFFF" w:themeFill="background1"/>
            <w:noWrap/>
          </w:tcPr>
          <w:p w14:paraId="1A5FC17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668E128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FFFF" w:themeFill="background1"/>
            <w:noWrap/>
          </w:tcPr>
          <w:p w14:paraId="7368A6A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10CDE23C" w14:textId="60F0543F" w:rsidR="001F6D55" w:rsidRPr="00D41159" w:rsidRDefault="00C52F6A"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451</w:t>
            </w:r>
          </w:p>
        </w:tc>
      </w:tr>
      <w:tr w:rsidR="00E70C4F" w:rsidRPr="00D41159" w14:paraId="24627BE9" w14:textId="77777777" w:rsidTr="00F93C5D">
        <w:trPr>
          <w:trHeight w:val="6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6F0B2742"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19EDF974"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 xml:space="preserve">Specializēts teksta pārlikšanas pakalpojums (videozvans) ārkārtējām situācijām </w:t>
            </w:r>
          </w:p>
        </w:tc>
        <w:tc>
          <w:tcPr>
            <w:tcW w:w="709" w:type="dxa"/>
            <w:shd w:val="clear" w:color="auto" w:fill="92D050"/>
            <w:noWrap/>
          </w:tcPr>
          <w:p w14:paraId="59878EF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4084599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306D069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FFFF" w:themeFill="background1"/>
            <w:noWrap/>
          </w:tcPr>
          <w:p w14:paraId="61A28C7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33F2D718"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FFFF" w:themeFill="background1"/>
            <w:noWrap/>
          </w:tcPr>
          <w:p w14:paraId="063279D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59797AA2" w14:textId="30813812" w:rsidR="001F6D55" w:rsidRPr="00D41159" w:rsidRDefault="00C52F6A"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200</w:t>
            </w:r>
          </w:p>
        </w:tc>
      </w:tr>
      <w:tr w:rsidR="00E70C4F" w:rsidRPr="00D41159" w14:paraId="1FEF65F4" w14:textId="77777777" w:rsidTr="00F93C5D">
        <w:trPr>
          <w:trHeight w:val="487"/>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71385210"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18B12767" w14:textId="1B4568CE" w:rsidR="001F6D55" w:rsidRPr="00D41159" w:rsidRDefault="00C52F6A"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Reģionāli specializēti teksta pārlikšanas pakalpojumi ārkārtējām situācijām (izsaukums uz bezmaksas tālruni + īsziņas/tērzēšana)</w:t>
            </w:r>
          </w:p>
        </w:tc>
        <w:tc>
          <w:tcPr>
            <w:tcW w:w="709" w:type="dxa"/>
            <w:shd w:val="clear" w:color="auto" w:fill="92D050"/>
            <w:noWrap/>
          </w:tcPr>
          <w:p w14:paraId="5F4149F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66C0A29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072A445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FFFF" w:themeFill="background1"/>
            <w:noWrap/>
          </w:tcPr>
          <w:p w14:paraId="7B8D5E8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9704A7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FFFF" w:themeFill="background1"/>
            <w:noWrap/>
          </w:tcPr>
          <w:p w14:paraId="63E5A6F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7C428B85" w14:textId="5D5E2672" w:rsidR="001F6D55" w:rsidRPr="00D41159" w:rsidRDefault="00C52F6A"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350</w:t>
            </w:r>
          </w:p>
        </w:tc>
      </w:tr>
      <w:tr w:rsidR="00E70C4F" w:rsidRPr="00D41159" w14:paraId="239B0114" w14:textId="77777777" w:rsidTr="00F93C5D">
        <w:trPr>
          <w:trHeight w:val="552"/>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3E270633"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7A25B415" w14:textId="574C739D" w:rsidR="001F6D55" w:rsidRPr="00D41159" w:rsidRDefault="00C52F6A"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Reģionāls specializēts teksta pārlikšanas pakalpojums ārkārtējām situācijām (izsaukums uz 112 + īsziņas/tērzēšana)</w:t>
            </w:r>
          </w:p>
        </w:tc>
        <w:tc>
          <w:tcPr>
            <w:tcW w:w="709" w:type="dxa"/>
            <w:shd w:val="clear" w:color="auto" w:fill="92D050"/>
            <w:noWrap/>
          </w:tcPr>
          <w:p w14:paraId="137A768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5C20E37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74C42E3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FFFF" w:themeFill="background1"/>
            <w:noWrap/>
          </w:tcPr>
          <w:p w14:paraId="252CEA5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4726CBA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FFFF" w:themeFill="background1"/>
            <w:noWrap/>
          </w:tcPr>
          <w:p w14:paraId="3660449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263392FF" w14:textId="333563CA" w:rsidR="001F6D55" w:rsidRPr="00D41159" w:rsidRDefault="00C52F6A"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2000</w:t>
            </w:r>
          </w:p>
        </w:tc>
      </w:tr>
      <w:tr w:rsidR="00C52F6A" w:rsidRPr="00D41159" w14:paraId="18A14F19" w14:textId="77777777" w:rsidTr="00F93C5D">
        <w:trPr>
          <w:trHeight w:val="552"/>
          <w:jc w:val="center"/>
        </w:trPr>
        <w:tc>
          <w:tcPr>
            <w:cnfStyle w:val="001000000000" w:firstRow="0" w:lastRow="0" w:firstColumn="1" w:lastColumn="0" w:oddVBand="0" w:evenVBand="0" w:oddHBand="0" w:evenHBand="0" w:firstRowFirstColumn="0" w:firstRowLastColumn="0" w:lastRowFirstColumn="0" w:lastRowLastColumn="0"/>
            <w:tcW w:w="534" w:type="dxa"/>
            <w:vMerge/>
          </w:tcPr>
          <w:p w14:paraId="21329612" w14:textId="77777777" w:rsidR="00C52F6A" w:rsidRPr="00D41159" w:rsidRDefault="00C52F6A" w:rsidP="00D0453E">
            <w:pPr>
              <w:spacing w:before="60" w:after="60"/>
              <w:jc w:val="right"/>
              <w:rPr>
                <w:rFonts w:ascii="Calibri" w:hAnsi="Calibri" w:cs="Calibri"/>
                <w:noProof/>
                <w:sz w:val="20"/>
              </w:rPr>
            </w:pPr>
          </w:p>
        </w:tc>
        <w:tc>
          <w:tcPr>
            <w:tcW w:w="3230" w:type="dxa"/>
          </w:tcPr>
          <w:p w14:paraId="2CB3F2B4" w14:textId="24BB9050" w:rsidR="00C52F6A" w:rsidRDefault="00C52F6A"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Reģionālas specializētas ierīces no fiksētas atrašanās vietas</w:t>
            </w:r>
          </w:p>
        </w:tc>
        <w:tc>
          <w:tcPr>
            <w:tcW w:w="709" w:type="dxa"/>
            <w:shd w:val="clear" w:color="auto" w:fill="92D050"/>
            <w:noWrap/>
          </w:tcPr>
          <w:p w14:paraId="0E72A5C8" w14:textId="77777777" w:rsidR="00C52F6A" w:rsidRPr="00D41159" w:rsidRDefault="00C52F6A"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5F4E9A95" w14:textId="77777777" w:rsidR="00C52F6A" w:rsidRPr="00D41159" w:rsidRDefault="00C52F6A"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658D376B" w14:textId="77777777" w:rsidR="00C52F6A" w:rsidRPr="00D41159" w:rsidRDefault="00C52F6A"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593F649" w14:textId="77777777" w:rsidR="00C52F6A" w:rsidRPr="00D41159" w:rsidRDefault="00C52F6A"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485C365F" w14:textId="77777777" w:rsidR="00C52F6A" w:rsidRPr="00D41159" w:rsidRDefault="00C52F6A"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FFFF" w:themeFill="background1"/>
            <w:noWrap/>
          </w:tcPr>
          <w:p w14:paraId="149EAB10" w14:textId="77777777" w:rsidR="00C52F6A" w:rsidRPr="00D41159" w:rsidRDefault="00C52F6A"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tcPr>
          <w:p w14:paraId="26154268" w14:textId="3A45BB98" w:rsidR="00C52F6A" w:rsidRPr="00D41159" w:rsidDel="00C52F6A" w:rsidRDefault="00C52F6A"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36D417CB" w14:textId="77777777" w:rsidTr="00F93C5D">
        <w:trPr>
          <w:trHeight w:val="6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0C8517D6"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68F02FBA" w14:textId="448E9087" w:rsidR="001F6D55" w:rsidRPr="00D41159" w:rsidRDefault="00C52F6A"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 xml:space="preserve">Lietotne </w:t>
            </w:r>
          </w:p>
        </w:tc>
        <w:tc>
          <w:tcPr>
            <w:tcW w:w="709" w:type="dxa"/>
            <w:shd w:val="clear" w:color="auto" w:fill="92D050"/>
            <w:noWrap/>
          </w:tcPr>
          <w:p w14:paraId="6163DB3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4EDED03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54E676A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auto"/>
            <w:noWrap/>
          </w:tcPr>
          <w:p w14:paraId="286349C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0413027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FFFF" w:themeFill="background1"/>
            <w:noWrap/>
          </w:tcPr>
          <w:p w14:paraId="68530DA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5540ED15" w14:textId="189C872C" w:rsidR="001F6D55" w:rsidRPr="00D41159" w:rsidRDefault="00C52F6A"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200</w:t>
            </w:r>
          </w:p>
        </w:tc>
      </w:tr>
      <w:tr w:rsidR="00E70C4F" w:rsidRPr="00D41159" w14:paraId="359DEB5A"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noWrap/>
            <w:hideMark/>
          </w:tcPr>
          <w:p w14:paraId="01A1A66F" w14:textId="77777777" w:rsidR="001F6D55" w:rsidRPr="00D41159" w:rsidRDefault="001F6D55" w:rsidP="00D0453E">
            <w:pPr>
              <w:spacing w:before="60" w:after="60"/>
              <w:rPr>
                <w:rFonts w:ascii="Calibri" w:hAnsi="Calibri" w:cs="Calibri"/>
                <w:noProof/>
                <w:sz w:val="20"/>
              </w:rPr>
            </w:pPr>
            <w:r>
              <w:rPr>
                <w:rFonts w:ascii="Calibri" w:hAnsi="Calibri"/>
                <w:noProof/>
                <w:sz w:val="20"/>
              </w:rPr>
              <w:t>FI</w:t>
            </w:r>
          </w:p>
        </w:tc>
        <w:tc>
          <w:tcPr>
            <w:tcW w:w="3230" w:type="dxa"/>
            <w:hideMark/>
          </w:tcPr>
          <w:p w14:paraId="317AA214"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112</w:t>
            </w:r>
          </w:p>
        </w:tc>
        <w:tc>
          <w:tcPr>
            <w:tcW w:w="709" w:type="dxa"/>
            <w:shd w:val="clear" w:color="auto" w:fill="92D050"/>
            <w:noWrap/>
          </w:tcPr>
          <w:p w14:paraId="48A8A41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08AD09D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715F9E0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C3F38D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2075053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44552EB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12ED5336" w14:textId="50D2767C" w:rsidR="001F6D55" w:rsidRPr="00D41159" w:rsidRDefault="00C52F6A"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4520</w:t>
            </w:r>
          </w:p>
        </w:tc>
      </w:tr>
      <w:tr w:rsidR="006E3138" w:rsidRPr="00D41159" w14:paraId="12814778"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46394C07" w14:textId="77777777" w:rsidR="006E3138" w:rsidRPr="00D41159" w:rsidRDefault="006E3138" w:rsidP="00D0453E">
            <w:pPr>
              <w:spacing w:before="60" w:after="60"/>
              <w:rPr>
                <w:rFonts w:ascii="Calibri" w:hAnsi="Calibri" w:cs="Calibri"/>
                <w:noProof/>
                <w:sz w:val="20"/>
              </w:rPr>
            </w:pPr>
            <w:r>
              <w:rPr>
                <w:rFonts w:ascii="Calibri" w:hAnsi="Calibri"/>
                <w:noProof/>
                <w:sz w:val="20"/>
              </w:rPr>
              <w:t>FR</w:t>
            </w:r>
          </w:p>
        </w:tc>
        <w:tc>
          <w:tcPr>
            <w:tcW w:w="3230" w:type="dxa"/>
            <w:hideMark/>
          </w:tcPr>
          <w:p w14:paraId="1F267B31" w14:textId="77777777" w:rsidR="006E3138" w:rsidRPr="00D41159" w:rsidRDefault="006E3138"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114</w:t>
            </w:r>
          </w:p>
        </w:tc>
        <w:tc>
          <w:tcPr>
            <w:tcW w:w="709" w:type="dxa"/>
            <w:shd w:val="clear" w:color="auto" w:fill="92D050"/>
            <w:noWrap/>
          </w:tcPr>
          <w:p w14:paraId="2250C7B1"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10099052"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59F2440C"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3E296B48"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56058AB6" w14:textId="05CA85ED"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2DA754FD" w14:textId="0CED470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077444D5" w14:textId="3518501C"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13 000</w:t>
            </w:r>
          </w:p>
        </w:tc>
      </w:tr>
      <w:tr w:rsidR="006E3138" w:rsidRPr="00D41159" w14:paraId="2DDF4EBB"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049F80E4" w14:textId="77777777" w:rsidR="006E3138" w:rsidRPr="00D41159" w:rsidRDefault="006E3138" w:rsidP="00D0453E">
            <w:pPr>
              <w:spacing w:before="60" w:after="60"/>
              <w:jc w:val="right"/>
              <w:rPr>
                <w:rFonts w:ascii="Calibri" w:hAnsi="Calibri" w:cs="Calibri"/>
                <w:noProof/>
                <w:sz w:val="20"/>
              </w:rPr>
            </w:pPr>
          </w:p>
        </w:tc>
        <w:tc>
          <w:tcPr>
            <w:tcW w:w="3230" w:type="dxa"/>
            <w:hideMark/>
          </w:tcPr>
          <w:p w14:paraId="76206A70" w14:textId="77777777" w:rsidR="006E3138" w:rsidRPr="00D41159" w:rsidRDefault="006E3138"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Fakss uz numuru 114</w:t>
            </w:r>
          </w:p>
        </w:tc>
        <w:tc>
          <w:tcPr>
            <w:tcW w:w="709" w:type="dxa"/>
            <w:shd w:val="clear" w:color="auto" w:fill="92D050"/>
            <w:noWrap/>
          </w:tcPr>
          <w:p w14:paraId="54A0530E"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259F3068"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6710C3F8"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093AF829"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364EE20F" w14:textId="7185443B"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0B4336E3" w14:textId="45809948"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2C9D6959" w14:textId="75F9F835"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6E3138" w:rsidRPr="00D41159" w14:paraId="510B8405"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6ADC15C7" w14:textId="77777777" w:rsidR="006E3138" w:rsidRPr="00D41159" w:rsidRDefault="006E3138" w:rsidP="00D0453E">
            <w:pPr>
              <w:spacing w:before="60" w:after="60"/>
              <w:jc w:val="right"/>
              <w:rPr>
                <w:rFonts w:ascii="Calibri" w:hAnsi="Calibri" w:cs="Calibri"/>
                <w:noProof/>
                <w:sz w:val="20"/>
              </w:rPr>
            </w:pPr>
          </w:p>
        </w:tc>
        <w:tc>
          <w:tcPr>
            <w:tcW w:w="3230" w:type="dxa"/>
            <w:hideMark/>
          </w:tcPr>
          <w:p w14:paraId="183C55D4" w14:textId="77777777" w:rsidR="006E3138" w:rsidRPr="00D41159" w:rsidRDefault="006E3138"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E-pasts</w:t>
            </w:r>
          </w:p>
        </w:tc>
        <w:tc>
          <w:tcPr>
            <w:tcW w:w="709" w:type="dxa"/>
            <w:shd w:val="clear" w:color="auto" w:fill="92D050"/>
            <w:noWrap/>
          </w:tcPr>
          <w:p w14:paraId="5DB55418"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106811C3"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037E0EAE"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1605DC77" w14:textId="71059BAF"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9E77DFE"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40D98564" w14:textId="20978CE9"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73DF1A94"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6E3138" w:rsidRPr="00D41159" w14:paraId="7EADA31A"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41D48F27" w14:textId="77777777" w:rsidR="006E3138" w:rsidRPr="00D41159" w:rsidRDefault="006E3138" w:rsidP="00D0453E">
            <w:pPr>
              <w:spacing w:before="60" w:after="60"/>
              <w:jc w:val="right"/>
              <w:rPr>
                <w:rFonts w:ascii="Calibri" w:hAnsi="Calibri" w:cs="Calibri"/>
                <w:noProof/>
                <w:sz w:val="20"/>
              </w:rPr>
            </w:pPr>
          </w:p>
        </w:tc>
        <w:tc>
          <w:tcPr>
            <w:tcW w:w="3230" w:type="dxa"/>
            <w:hideMark/>
          </w:tcPr>
          <w:p w14:paraId="1284B51F" w14:textId="3C898BA9" w:rsidR="006E3138" w:rsidRPr="00D41159" w:rsidRDefault="006E3138"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Lietotne</w:t>
            </w:r>
          </w:p>
        </w:tc>
        <w:tc>
          <w:tcPr>
            <w:tcW w:w="709" w:type="dxa"/>
            <w:shd w:val="clear" w:color="auto" w:fill="92D050"/>
            <w:noWrap/>
          </w:tcPr>
          <w:p w14:paraId="08251399"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116D83F1"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316B603C"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F57B3A9"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629460BD"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715026B9" w14:textId="7F328EFE"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2AEA6EE9" w14:textId="3519E616"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6E3138" w:rsidRPr="00D41159" w14:paraId="5E3AA128"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66572111" w14:textId="77777777" w:rsidR="006E3138" w:rsidRPr="00D41159" w:rsidRDefault="006E3138" w:rsidP="00D0453E">
            <w:pPr>
              <w:spacing w:before="60" w:after="60"/>
              <w:jc w:val="right"/>
              <w:rPr>
                <w:rFonts w:ascii="Calibri" w:hAnsi="Calibri" w:cs="Calibri"/>
                <w:noProof/>
                <w:sz w:val="20"/>
              </w:rPr>
            </w:pPr>
          </w:p>
        </w:tc>
        <w:tc>
          <w:tcPr>
            <w:tcW w:w="3230" w:type="dxa"/>
            <w:hideMark/>
          </w:tcPr>
          <w:p w14:paraId="379C767F" w14:textId="58559CE3" w:rsidR="006E3138" w:rsidRPr="00D41159" w:rsidRDefault="006E3138"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Tīmekļpiekļuve ārkārtējā situācijā</w:t>
            </w:r>
          </w:p>
        </w:tc>
        <w:tc>
          <w:tcPr>
            <w:tcW w:w="709" w:type="dxa"/>
            <w:shd w:val="clear" w:color="auto" w:fill="92D050"/>
            <w:noWrap/>
          </w:tcPr>
          <w:p w14:paraId="087AC081"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6837CA96"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3F63BF66"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0B27CE6"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0A6E8363" w14:textId="77777777"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4CB31BF2" w14:textId="51A4A161"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Align w:val="center"/>
            <w:hideMark/>
          </w:tcPr>
          <w:p w14:paraId="0E43E87C" w14:textId="13470E20" w:rsidR="006E3138"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6E3138" w:rsidRPr="00D41159" w14:paraId="488538D6"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tcPr>
          <w:p w14:paraId="7EE8F147" w14:textId="77777777" w:rsidR="006E3138" w:rsidRPr="00D41159" w:rsidRDefault="006E3138" w:rsidP="006E3138">
            <w:pPr>
              <w:spacing w:before="60" w:after="60"/>
              <w:jc w:val="right"/>
              <w:rPr>
                <w:rFonts w:ascii="Calibri" w:hAnsi="Calibri" w:cs="Calibri"/>
                <w:noProof/>
                <w:sz w:val="20"/>
              </w:rPr>
            </w:pPr>
          </w:p>
        </w:tc>
        <w:tc>
          <w:tcPr>
            <w:tcW w:w="3230" w:type="dxa"/>
          </w:tcPr>
          <w:p w14:paraId="497D3DE2" w14:textId="277F828A" w:rsidR="006E3138" w:rsidRPr="00D41159" w:rsidRDefault="006E3138" w:rsidP="006E3138">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RTT kā tīkla pakalpojums (www.info.urgence114.fr)</w:t>
            </w:r>
          </w:p>
        </w:tc>
        <w:tc>
          <w:tcPr>
            <w:tcW w:w="709" w:type="dxa"/>
            <w:shd w:val="clear" w:color="auto" w:fill="92D050"/>
            <w:noWrap/>
          </w:tcPr>
          <w:p w14:paraId="64BBE223" w14:textId="4E6CFAC5"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16DF4D28" w14:textId="5AA5C936"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0F9FB55A" w14:textId="57E45797"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CFCEB8C" w14:textId="48ECA6AC"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0DE5605C" w14:textId="5DF63218"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33AE5EB2" w14:textId="33CFF0DD" w:rsidR="006E3138"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Align w:val="center"/>
          </w:tcPr>
          <w:p w14:paraId="4373B21F" w14:textId="195BB265" w:rsidR="006E3138"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rPr>
              <w:t>Neattiecas</w:t>
            </w:r>
          </w:p>
        </w:tc>
      </w:tr>
      <w:tr w:rsidR="006E3138" w:rsidRPr="00D41159" w14:paraId="0360AB93"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tcPr>
          <w:p w14:paraId="39E240F6" w14:textId="77777777" w:rsidR="006E3138" w:rsidRPr="00D41159" w:rsidRDefault="006E3138" w:rsidP="006E3138">
            <w:pPr>
              <w:spacing w:before="60" w:after="60"/>
              <w:jc w:val="right"/>
              <w:rPr>
                <w:rFonts w:ascii="Calibri" w:hAnsi="Calibri" w:cs="Calibri"/>
                <w:noProof/>
                <w:sz w:val="20"/>
              </w:rPr>
            </w:pPr>
          </w:p>
        </w:tc>
        <w:tc>
          <w:tcPr>
            <w:tcW w:w="3230" w:type="dxa"/>
          </w:tcPr>
          <w:p w14:paraId="37E2E154" w14:textId="6DD79B5D" w:rsidR="006E3138" w:rsidRPr="00D41159" w:rsidRDefault="006E3138" w:rsidP="006E3138">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RTT kā lietotnes pakalpojums (www.info.urgence114.fr)</w:t>
            </w:r>
          </w:p>
        </w:tc>
        <w:tc>
          <w:tcPr>
            <w:tcW w:w="709" w:type="dxa"/>
            <w:shd w:val="clear" w:color="auto" w:fill="92D050"/>
            <w:noWrap/>
          </w:tcPr>
          <w:p w14:paraId="15EB23B1" w14:textId="45DD4809"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78C4FE69" w14:textId="25250991"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3860FC6E" w14:textId="6E011E4F"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BC0CC38" w14:textId="18374DC5"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2E676C64" w14:textId="0803E365"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50B60F78" w14:textId="4B5813F8" w:rsidR="006E3138"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Align w:val="center"/>
          </w:tcPr>
          <w:p w14:paraId="737C51F2" w14:textId="4BBF483B" w:rsidR="006E3138"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rPr>
              <w:t>Neattiecas</w:t>
            </w:r>
          </w:p>
        </w:tc>
      </w:tr>
      <w:tr w:rsidR="006E3138" w:rsidRPr="00D41159" w14:paraId="723F7C29"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tcPr>
          <w:p w14:paraId="2EA2E737" w14:textId="77777777" w:rsidR="006E3138" w:rsidRPr="00D41159" w:rsidRDefault="006E3138" w:rsidP="006E3138">
            <w:pPr>
              <w:spacing w:before="60" w:after="60"/>
              <w:jc w:val="right"/>
              <w:rPr>
                <w:rFonts w:ascii="Calibri" w:hAnsi="Calibri" w:cs="Calibri"/>
                <w:noProof/>
                <w:sz w:val="20"/>
              </w:rPr>
            </w:pPr>
          </w:p>
        </w:tc>
        <w:tc>
          <w:tcPr>
            <w:tcW w:w="3230" w:type="dxa"/>
          </w:tcPr>
          <w:p w14:paraId="3A8D0764" w14:textId="0442D861" w:rsidR="006E3138" w:rsidRPr="00D41159" w:rsidRDefault="006E3138" w:rsidP="006E3138">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Specializēts teksta pārlikšanas pakalpojums ārkārtējām situācijām</w:t>
            </w:r>
          </w:p>
        </w:tc>
        <w:tc>
          <w:tcPr>
            <w:tcW w:w="709" w:type="dxa"/>
            <w:shd w:val="clear" w:color="auto" w:fill="92D050"/>
            <w:noWrap/>
          </w:tcPr>
          <w:p w14:paraId="4F615C12" w14:textId="55214D65"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65160916" w14:textId="18ECB733"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19677613" w14:textId="3BF4B077"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31296BA7" w14:textId="3C5ED710"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1D13BAB7" w14:textId="098131C4"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18EEB82E" w14:textId="0D02E817" w:rsidR="006E3138"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Align w:val="center"/>
          </w:tcPr>
          <w:p w14:paraId="191C6AF2" w14:textId="28BC7F26" w:rsidR="006E3138"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rPr>
              <w:t>Neattiecas</w:t>
            </w:r>
          </w:p>
        </w:tc>
      </w:tr>
      <w:tr w:rsidR="006E3138" w:rsidRPr="00D41159" w14:paraId="279B97A9"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tcPr>
          <w:p w14:paraId="088B1E38" w14:textId="77777777" w:rsidR="006E3138" w:rsidRPr="00D41159" w:rsidRDefault="006E3138" w:rsidP="006E3138">
            <w:pPr>
              <w:spacing w:before="60" w:after="60"/>
              <w:jc w:val="right"/>
              <w:rPr>
                <w:rFonts w:ascii="Calibri" w:hAnsi="Calibri" w:cs="Calibri"/>
                <w:noProof/>
                <w:sz w:val="20"/>
              </w:rPr>
            </w:pPr>
          </w:p>
        </w:tc>
        <w:tc>
          <w:tcPr>
            <w:tcW w:w="3230" w:type="dxa"/>
          </w:tcPr>
          <w:p w14:paraId="5C12FE6B" w14:textId="626693BE" w:rsidR="006E3138" w:rsidRPr="00D41159" w:rsidRDefault="006E3138" w:rsidP="006E3138">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Specializētas ierīces no fiksētām atrašanās vietām (114)</w:t>
            </w:r>
          </w:p>
        </w:tc>
        <w:tc>
          <w:tcPr>
            <w:tcW w:w="709" w:type="dxa"/>
            <w:shd w:val="clear" w:color="auto" w:fill="FFFFFF" w:themeFill="background1"/>
            <w:noWrap/>
          </w:tcPr>
          <w:p w14:paraId="5FB731ED" w14:textId="50A3BDB3" w:rsidR="006E3138" w:rsidRPr="006E3138"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12032FE3" w14:textId="4C3CE9DB"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FFFF" w:themeFill="background1"/>
            <w:noWrap/>
          </w:tcPr>
          <w:p w14:paraId="1F50C253" w14:textId="4CACF768"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FFFF" w:themeFill="background1"/>
            <w:noWrap/>
          </w:tcPr>
          <w:p w14:paraId="783BC018" w14:textId="5A17588D"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FFFF" w:themeFill="background1"/>
            <w:noWrap/>
          </w:tcPr>
          <w:p w14:paraId="27453FAC" w14:textId="34C08E14" w:rsidR="006E3138" w:rsidRPr="00D41159"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FFFF" w:themeFill="background1"/>
            <w:noWrap/>
          </w:tcPr>
          <w:p w14:paraId="26A87324" w14:textId="0CBC7426" w:rsidR="006E3138"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Align w:val="center"/>
          </w:tcPr>
          <w:p w14:paraId="2755F4C3" w14:textId="18C5ECB3" w:rsidR="006E3138" w:rsidRDefault="006E3138" w:rsidP="006E3138">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rPr>
              <w:t>Neattiecas</w:t>
            </w:r>
          </w:p>
        </w:tc>
      </w:tr>
      <w:tr w:rsidR="00E70C4F" w:rsidRPr="00D41159" w14:paraId="31F1D308"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0A4559A5" w14:textId="77777777" w:rsidR="001F6D55" w:rsidRPr="00D41159" w:rsidRDefault="001F6D55" w:rsidP="00D0453E">
            <w:pPr>
              <w:spacing w:before="60" w:after="60"/>
              <w:rPr>
                <w:rFonts w:ascii="Calibri" w:hAnsi="Calibri" w:cs="Calibri"/>
                <w:noProof/>
                <w:sz w:val="20"/>
              </w:rPr>
            </w:pPr>
            <w:r>
              <w:rPr>
                <w:rFonts w:ascii="Calibri" w:hAnsi="Calibri"/>
                <w:noProof/>
                <w:sz w:val="20"/>
              </w:rPr>
              <w:t>HR</w:t>
            </w:r>
          </w:p>
        </w:tc>
        <w:tc>
          <w:tcPr>
            <w:tcW w:w="3230" w:type="dxa"/>
            <w:hideMark/>
          </w:tcPr>
          <w:p w14:paraId="218CC7D0"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112</w:t>
            </w:r>
          </w:p>
        </w:tc>
        <w:tc>
          <w:tcPr>
            <w:tcW w:w="709" w:type="dxa"/>
            <w:shd w:val="clear" w:color="auto" w:fill="92D050"/>
            <w:noWrap/>
          </w:tcPr>
          <w:p w14:paraId="30DA4B3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4184FA0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25782E4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0E94A7A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77EF575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33F5FFD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7F63C7B8" w14:textId="0AEFA799" w:rsidR="001F6D55" w:rsidRPr="00D41159" w:rsidRDefault="006E3138"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14</w:t>
            </w:r>
          </w:p>
        </w:tc>
      </w:tr>
      <w:tr w:rsidR="00E70C4F" w:rsidRPr="00D41159" w14:paraId="5740A5DB"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2539B70B"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322FF25F"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Fakss uz numuru 112</w:t>
            </w:r>
          </w:p>
        </w:tc>
        <w:tc>
          <w:tcPr>
            <w:tcW w:w="709" w:type="dxa"/>
            <w:shd w:val="clear" w:color="auto" w:fill="FF0000"/>
            <w:noWrap/>
          </w:tcPr>
          <w:p w14:paraId="7471E40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5045BF4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1EC6EAD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502D20B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6E4CCCB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135595B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555C76A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0</w:t>
            </w:r>
          </w:p>
        </w:tc>
      </w:tr>
      <w:tr w:rsidR="00E70C4F" w:rsidRPr="00D41159" w14:paraId="5605F6F3"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66279D72" w14:textId="77777777" w:rsidR="001F6D55" w:rsidRPr="00D41159" w:rsidRDefault="001F6D55" w:rsidP="00D0453E">
            <w:pPr>
              <w:spacing w:before="60" w:after="60"/>
              <w:rPr>
                <w:rFonts w:ascii="Calibri" w:hAnsi="Calibri" w:cs="Calibri"/>
                <w:noProof/>
                <w:sz w:val="20"/>
              </w:rPr>
            </w:pPr>
            <w:r>
              <w:rPr>
                <w:rFonts w:ascii="Calibri" w:hAnsi="Calibri"/>
                <w:noProof/>
                <w:sz w:val="20"/>
              </w:rPr>
              <w:t>HU</w:t>
            </w:r>
          </w:p>
        </w:tc>
        <w:tc>
          <w:tcPr>
            <w:tcW w:w="3230" w:type="dxa"/>
            <w:hideMark/>
          </w:tcPr>
          <w:p w14:paraId="18D004EB"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112</w:t>
            </w:r>
          </w:p>
        </w:tc>
        <w:tc>
          <w:tcPr>
            <w:tcW w:w="709" w:type="dxa"/>
            <w:shd w:val="clear" w:color="auto" w:fill="92D050"/>
            <w:noWrap/>
          </w:tcPr>
          <w:p w14:paraId="7F59716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25615C6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2323CF4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2FD40FD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7571842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1EE7911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Merge w:val="restart"/>
            <w:vAlign w:val="center"/>
            <w:hideMark/>
          </w:tcPr>
          <w:p w14:paraId="34B6707B" w14:textId="00C60C94" w:rsidR="001F6D55" w:rsidRPr="00D41159" w:rsidRDefault="00DD08C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20 523</w:t>
            </w:r>
          </w:p>
        </w:tc>
      </w:tr>
      <w:tr w:rsidR="00E70C4F" w:rsidRPr="00D41159" w14:paraId="72571EAA"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3DDFA111"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4732EC61" w14:textId="625811CC" w:rsidR="001F6D55" w:rsidRPr="00D41159" w:rsidRDefault="00DD08C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 xml:space="preserve">Lietotne (112-SOS) </w:t>
            </w:r>
          </w:p>
        </w:tc>
        <w:tc>
          <w:tcPr>
            <w:tcW w:w="709" w:type="dxa"/>
            <w:shd w:val="clear" w:color="auto" w:fill="92D050"/>
            <w:noWrap/>
          </w:tcPr>
          <w:p w14:paraId="07A331F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1AC0735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6415F40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393F6A1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50D5BB0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327446F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Merge/>
            <w:vAlign w:val="center"/>
            <w:hideMark/>
          </w:tcPr>
          <w:p w14:paraId="31D2782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r>
      <w:tr w:rsidR="00E70C4F" w:rsidRPr="00D41159" w14:paraId="4A5875EB"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1340650F" w14:textId="77777777" w:rsidR="001F6D55" w:rsidRPr="00D41159" w:rsidRDefault="001F6D55" w:rsidP="00D0453E">
            <w:pPr>
              <w:spacing w:before="60" w:after="60"/>
              <w:rPr>
                <w:rFonts w:ascii="Calibri" w:hAnsi="Calibri" w:cs="Calibri"/>
                <w:noProof/>
                <w:sz w:val="20"/>
              </w:rPr>
            </w:pPr>
            <w:r>
              <w:rPr>
                <w:rFonts w:ascii="Calibri" w:hAnsi="Calibri"/>
                <w:noProof/>
                <w:sz w:val="20"/>
              </w:rPr>
              <w:t>IE</w:t>
            </w:r>
          </w:p>
        </w:tc>
        <w:tc>
          <w:tcPr>
            <w:tcW w:w="3230" w:type="dxa"/>
            <w:hideMark/>
          </w:tcPr>
          <w:p w14:paraId="2871A952" w14:textId="48DD4B6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112</w:t>
            </w:r>
          </w:p>
        </w:tc>
        <w:tc>
          <w:tcPr>
            <w:tcW w:w="709" w:type="dxa"/>
            <w:shd w:val="clear" w:color="auto" w:fill="92D050"/>
            <w:noWrap/>
          </w:tcPr>
          <w:p w14:paraId="2B79837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6FB5031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0E4425D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676C10C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37CB94A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1813A584" w14:textId="438E6969"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44C16550" w14:textId="6CA28CC0" w:rsidR="001F6D55" w:rsidRPr="00D41159" w:rsidRDefault="00DD08C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1279</w:t>
            </w:r>
          </w:p>
        </w:tc>
      </w:tr>
      <w:tr w:rsidR="00E70C4F" w:rsidRPr="00D41159" w14:paraId="75F7DC1B" w14:textId="77777777" w:rsidTr="00F93C5D">
        <w:trPr>
          <w:trHeight w:val="415"/>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3EB099A1"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1802867D"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Specializēts teksta pārlikšanas pakalpojums ārkārtējām situācijām</w:t>
            </w:r>
          </w:p>
        </w:tc>
        <w:tc>
          <w:tcPr>
            <w:tcW w:w="709" w:type="dxa"/>
            <w:shd w:val="clear" w:color="auto" w:fill="92D050"/>
            <w:noWrap/>
          </w:tcPr>
          <w:p w14:paraId="33EE2A7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FFFF" w:themeFill="background1"/>
            <w:noWrap/>
          </w:tcPr>
          <w:p w14:paraId="52DF4AB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5B42B05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2872D8B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FFFF" w:themeFill="background1"/>
            <w:noWrap/>
          </w:tcPr>
          <w:p w14:paraId="58F17EC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439AB539"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2127265F" w14:textId="2F792746" w:rsidR="001F6D55" w:rsidRPr="00D41159" w:rsidRDefault="00DD08C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0</w:t>
            </w:r>
          </w:p>
        </w:tc>
      </w:tr>
      <w:tr w:rsidR="00E70C4F" w:rsidRPr="00D41159" w14:paraId="20712314" w14:textId="77777777" w:rsidTr="00F93C5D">
        <w:trPr>
          <w:trHeight w:val="225"/>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40C3F098"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37F1C991"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Vispārpieejams teksta pārlikšanas pakalpojums</w:t>
            </w:r>
          </w:p>
        </w:tc>
        <w:tc>
          <w:tcPr>
            <w:tcW w:w="709" w:type="dxa"/>
            <w:shd w:val="clear" w:color="auto" w:fill="92D050"/>
            <w:noWrap/>
          </w:tcPr>
          <w:p w14:paraId="51CE8B0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FFFF" w:themeFill="background1"/>
            <w:noWrap/>
          </w:tcPr>
          <w:p w14:paraId="7BB9679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12C7B49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1268E40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FFFF" w:themeFill="background1"/>
            <w:noWrap/>
          </w:tcPr>
          <w:p w14:paraId="5D01613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18FC934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2CAA6854" w14:textId="153D88C9" w:rsidR="001F6D55" w:rsidRPr="00D41159" w:rsidRDefault="00DD08C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0</w:t>
            </w:r>
          </w:p>
        </w:tc>
      </w:tr>
      <w:tr w:rsidR="00E70C4F" w:rsidRPr="00D41159" w14:paraId="72094E65" w14:textId="77777777" w:rsidTr="00F93C5D">
        <w:trPr>
          <w:trHeight w:val="227"/>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2F5B7176" w14:textId="77777777" w:rsidR="001F6D55" w:rsidRPr="00D41159" w:rsidRDefault="001F6D55" w:rsidP="00D0453E">
            <w:pPr>
              <w:spacing w:before="60" w:after="60"/>
              <w:rPr>
                <w:rFonts w:ascii="Calibri" w:hAnsi="Calibri" w:cs="Calibri"/>
                <w:noProof/>
                <w:sz w:val="20"/>
              </w:rPr>
            </w:pPr>
            <w:r>
              <w:rPr>
                <w:rFonts w:ascii="Calibri" w:hAnsi="Calibri"/>
                <w:noProof/>
                <w:sz w:val="20"/>
              </w:rPr>
              <w:t>IT</w:t>
            </w:r>
          </w:p>
        </w:tc>
        <w:tc>
          <w:tcPr>
            <w:tcW w:w="3230" w:type="dxa"/>
            <w:hideMark/>
          </w:tcPr>
          <w:p w14:paraId="621C825F" w14:textId="07043E2E" w:rsidR="001F6D55" w:rsidRPr="00D41159" w:rsidRDefault="00DD08C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Lietotne ("Flag Mii")</w:t>
            </w:r>
          </w:p>
        </w:tc>
        <w:tc>
          <w:tcPr>
            <w:tcW w:w="709" w:type="dxa"/>
            <w:shd w:val="clear" w:color="auto" w:fill="92D050"/>
            <w:noWrap/>
          </w:tcPr>
          <w:p w14:paraId="7AC273C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10E1013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22F7BBE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0000"/>
            <w:noWrap/>
          </w:tcPr>
          <w:p w14:paraId="14F02D2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5D007599"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75AC5F4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70CFE17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38DD0857" w14:textId="77777777" w:rsidTr="00F93C5D">
        <w:trPr>
          <w:trHeight w:val="26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6A11737F"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3A88C440" w14:textId="0B8D8DBC" w:rsidR="001F6D55" w:rsidRPr="00D41159" w:rsidRDefault="00DD08C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Lietotne ("Where ARE U")</w:t>
            </w:r>
          </w:p>
        </w:tc>
        <w:tc>
          <w:tcPr>
            <w:tcW w:w="709" w:type="dxa"/>
            <w:shd w:val="clear" w:color="auto" w:fill="92D050"/>
            <w:noWrap/>
          </w:tcPr>
          <w:p w14:paraId="2BDDA16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0865B5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6D6BE24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0000"/>
            <w:noWrap/>
          </w:tcPr>
          <w:p w14:paraId="5ED5131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2F4B1E78"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6FDCC0C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02DB79D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71D4033B" w14:textId="77777777" w:rsidTr="00F93C5D">
        <w:trPr>
          <w:trHeight w:val="277"/>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1295BB0A"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1535396A" w14:textId="3690C40A" w:rsidR="001F6D55" w:rsidRPr="00D41159" w:rsidRDefault="00DD08C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Specializēts teksta pārlikšanas pakalpojums ārkārtējām situācijām</w:t>
            </w:r>
          </w:p>
        </w:tc>
        <w:tc>
          <w:tcPr>
            <w:tcW w:w="709" w:type="dxa"/>
            <w:shd w:val="clear" w:color="auto" w:fill="92D050"/>
            <w:noWrap/>
          </w:tcPr>
          <w:p w14:paraId="35E855A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2D29A4D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31A6353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0000"/>
            <w:noWrap/>
          </w:tcPr>
          <w:p w14:paraId="50540F5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43DC60D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787B8D0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36DDB0CA" w14:textId="5DB69FE2" w:rsidR="001F6D55"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350</w:t>
            </w:r>
          </w:p>
        </w:tc>
      </w:tr>
      <w:tr w:rsidR="00D820F1" w:rsidRPr="00D41159" w14:paraId="4173D156" w14:textId="77777777" w:rsidTr="00F93C5D">
        <w:trPr>
          <w:trHeight w:val="268"/>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6D8CE412" w14:textId="77777777" w:rsidR="00D820F1" w:rsidRPr="00D41159" w:rsidRDefault="00D820F1" w:rsidP="00D0453E">
            <w:pPr>
              <w:spacing w:before="60" w:after="60"/>
              <w:rPr>
                <w:rFonts w:ascii="Calibri" w:hAnsi="Calibri" w:cs="Calibri"/>
                <w:noProof/>
                <w:sz w:val="20"/>
              </w:rPr>
            </w:pPr>
            <w:r>
              <w:rPr>
                <w:rFonts w:ascii="Calibri" w:hAnsi="Calibri"/>
                <w:noProof/>
                <w:sz w:val="20"/>
              </w:rPr>
              <w:t>LT</w:t>
            </w:r>
          </w:p>
        </w:tc>
        <w:tc>
          <w:tcPr>
            <w:tcW w:w="3230" w:type="dxa"/>
            <w:hideMark/>
          </w:tcPr>
          <w:p w14:paraId="51166745" w14:textId="77777777" w:rsidR="00D820F1" w:rsidRPr="00D41159" w:rsidRDefault="00D820F1"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112</w:t>
            </w:r>
          </w:p>
        </w:tc>
        <w:tc>
          <w:tcPr>
            <w:tcW w:w="709" w:type="dxa"/>
            <w:shd w:val="clear" w:color="auto" w:fill="92D050"/>
            <w:noWrap/>
          </w:tcPr>
          <w:p w14:paraId="6384AF16" w14:textId="77777777" w:rsidR="00D820F1"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43DC3D8" w14:textId="77777777" w:rsidR="00D820F1"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008F220B" w14:textId="77777777" w:rsidR="00D820F1"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0E19BB1E" w14:textId="77777777" w:rsidR="00D820F1"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0C2C2D71" w14:textId="77777777" w:rsidR="00D820F1"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15D8083B" w14:textId="77777777" w:rsidR="00D820F1"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1BC075CC" w14:textId="32FEA15B" w:rsidR="00D820F1"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36 630</w:t>
            </w:r>
          </w:p>
        </w:tc>
      </w:tr>
      <w:tr w:rsidR="00D820F1" w:rsidRPr="00D41159" w14:paraId="08A2ADD9" w14:textId="77777777" w:rsidTr="00F93C5D">
        <w:trPr>
          <w:trHeight w:val="268"/>
          <w:jc w:val="center"/>
        </w:trPr>
        <w:tc>
          <w:tcPr>
            <w:cnfStyle w:val="001000000000" w:firstRow="0" w:lastRow="0" w:firstColumn="1" w:lastColumn="0" w:oddVBand="0" w:evenVBand="0" w:oddHBand="0" w:evenHBand="0" w:firstRowFirstColumn="0" w:firstRowLastColumn="0" w:lastRowFirstColumn="0" w:lastRowLastColumn="0"/>
            <w:tcW w:w="534" w:type="dxa"/>
            <w:vMerge/>
            <w:noWrap/>
          </w:tcPr>
          <w:p w14:paraId="771EF894" w14:textId="77777777" w:rsidR="00D820F1" w:rsidRPr="00D41159" w:rsidRDefault="00D820F1" w:rsidP="00D0453E">
            <w:pPr>
              <w:spacing w:before="60" w:after="60"/>
              <w:rPr>
                <w:rFonts w:ascii="Calibri" w:hAnsi="Calibri" w:cs="Calibri"/>
                <w:noProof/>
                <w:sz w:val="20"/>
              </w:rPr>
            </w:pPr>
          </w:p>
        </w:tc>
        <w:tc>
          <w:tcPr>
            <w:tcW w:w="3230" w:type="dxa"/>
          </w:tcPr>
          <w:p w14:paraId="7A333BD9" w14:textId="6D80E06B" w:rsidR="00D820F1" w:rsidRPr="00D41159" w:rsidRDefault="00D820F1"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Lietotne ("112 app")</w:t>
            </w:r>
          </w:p>
        </w:tc>
        <w:tc>
          <w:tcPr>
            <w:tcW w:w="709" w:type="dxa"/>
            <w:shd w:val="clear" w:color="auto" w:fill="92D050"/>
            <w:noWrap/>
          </w:tcPr>
          <w:p w14:paraId="1A8BFE3A" w14:textId="77777777" w:rsidR="00D820F1"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07A4BD6F" w14:textId="77777777" w:rsidR="00D820F1"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5603EDF1" w14:textId="77777777" w:rsidR="00D820F1"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6FCC0D3D" w14:textId="77777777" w:rsidR="00D820F1"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0224E370" w14:textId="77777777" w:rsidR="00D820F1"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5C35DFFB" w14:textId="77777777" w:rsidR="00D820F1"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tcPr>
          <w:p w14:paraId="19DE850B" w14:textId="763D36C1" w:rsidR="00D820F1"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157</w:t>
            </w:r>
          </w:p>
        </w:tc>
      </w:tr>
      <w:tr w:rsidR="00E70C4F" w:rsidRPr="00D41159" w14:paraId="2ACFD196"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1332B79C" w14:textId="77777777" w:rsidR="001F6D55" w:rsidRPr="00D41159" w:rsidRDefault="001F6D55" w:rsidP="00D0453E">
            <w:pPr>
              <w:spacing w:before="60" w:after="60"/>
              <w:rPr>
                <w:rFonts w:ascii="Calibri" w:hAnsi="Calibri" w:cs="Calibri"/>
                <w:noProof/>
                <w:sz w:val="20"/>
              </w:rPr>
            </w:pPr>
            <w:r>
              <w:rPr>
                <w:rFonts w:ascii="Calibri" w:hAnsi="Calibri"/>
                <w:noProof/>
                <w:sz w:val="20"/>
              </w:rPr>
              <w:t>LU</w:t>
            </w:r>
          </w:p>
        </w:tc>
        <w:tc>
          <w:tcPr>
            <w:tcW w:w="3230" w:type="dxa"/>
            <w:hideMark/>
          </w:tcPr>
          <w:p w14:paraId="1BBA91EC"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112 un 113</w:t>
            </w:r>
          </w:p>
        </w:tc>
        <w:tc>
          <w:tcPr>
            <w:tcW w:w="709" w:type="dxa"/>
            <w:shd w:val="clear" w:color="auto" w:fill="92D050"/>
            <w:noWrap/>
          </w:tcPr>
          <w:p w14:paraId="5F7CD1B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52854DA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5F014ED8"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503A976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72CE0EB8"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6617A8A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34AEA3D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2C8477C5" w14:textId="77777777" w:rsidTr="00F93C5D">
        <w:trPr>
          <w:trHeight w:val="362"/>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01A82B9B"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2B9D910F" w14:textId="6AC75C0D" w:rsidR="001F6D55" w:rsidRPr="00D41159" w:rsidRDefault="00D820F1"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Lietotnes ("GouvAlert", "Echo 112")</w:t>
            </w:r>
          </w:p>
        </w:tc>
        <w:tc>
          <w:tcPr>
            <w:tcW w:w="709" w:type="dxa"/>
            <w:noWrap/>
          </w:tcPr>
          <w:p w14:paraId="56D2A55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noWrap/>
          </w:tcPr>
          <w:p w14:paraId="6A1D1AF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noWrap/>
          </w:tcPr>
          <w:p w14:paraId="79A01B3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FFFF" w:themeFill="background1"/>
            <w:noWrap/>
          </w:tcPr>
          <w:p w14:paraId="0E40201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noWrap/>
          </w:tcPr>
          <w:p w14:paraId="4D1CAF0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6072BB9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2C935DD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718F0003" w14:textId="77777777" w:rsidTr="00F93C5D">
        <w:trPr>
          <w:trHeight w:val="281"/>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70F398E7"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4C3DDC0A"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 xml:space="preserve">Specializētas fiksētās ierīces </w:t>
            </w:r>
          </w:p>
        </w:tc>
        <w:tc>
          <w:tcPr>
            <w:tcW w:w="709" w:type="dxa"/>
            <w:shd w:val="clear" w:color="auto" w:fill="92D050"/>
            <w:noWrap/>
          </w:tcPr>
          <w:p w14:paraId="7C2F4AD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noWrap/>
          </w:tcPr>
          <w:p w14:paraId="3D57FB5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7351362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0000"/>
            <w:noWrap/>
          </w:tcPr>
          <w:p w14:paraId="0D976D4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noWrap/>
          </w:tcPr>
          <w:p w14:paraId="05491BF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60C3536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4064AEB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20CA3715"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16005E04"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27237AB9"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E-pasts</w:t>
            </w:r>
          </w:p>
        </w:tc>
        <w:tc>
          <w:tcPr>
            <w:tcW w:w="709" w:type="dxa"/>
            <w:shd w:val="clear" w:color="auto" w:fill="92D050"/>
            <w:noWrap/>
          </w:tcPr>
          <w:p w14:paraId="1727D8B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noWrap/>
          </w:tcPr>
          <w:p w14:paraId="6EB0845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04D2FF5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2D9A636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noWrap/>
          </w:tcPr>
          <w:p w14:paraId="16E3519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29BEB18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13AE4CE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7F270205"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08AFD455"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5C718117" w14:textId="0C2E47C3"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Fakss uz numuru 112</w:t>
            </w:r>
          </w:p>
        </w:tc>
        <w:tc>
          <w:tcPr>
            <w:tcW w:w="709" w:type="dxa"/>
            <w:shd w:val="clear" w:color="auto" w:fill="92D050"/>
            <w:noWrap/>
          </w:tcPr>
          <w:p w14:paraId="097242C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noWrap/>
          </w:tcPr>
          <w:p w14:paraId="7F7768B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22F9DBD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0000"/>
            <w:noWrap/>
          </w:tcPr>
          <w:p w14:paraId="6673EED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noWrap/>
          </w:tcPr>
          <w:p w14:paraId="089FAF1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710CC32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11A8433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12BADF6F"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16857BBF" w14:textId="77777777" w:rsidR="001F6D55" w:rsidRPr="00D41159" w:rsidRDefault="001F6D55" w:rsidP="00D0453E">
            <w:pPr>
              <w:spacing w:before="60" w:after="60"/>
              <w:rPr>
                <w:rFonts w:ascii="Calibri" w:hAnsi="Calibri" w:cs="Calibri"/>
                <w:noProof/>
                <w:sz w:val="20"/>
              </w:rPr>
            </w:pPr>
            <w:r>
              <w:rPr>
                <w:rFonts w:ascii="Calibri" w:hAnsi="Calibri"/>
                <w:noProof/>
                <w:sz w:val="20"/>
              </w:rPr>
              <w:t>LV</w:t>
            </w:r>
          </w:p>
        </w:tc>
        <w:tc>
          <w:tcPr>
            <w:tcW w:w="3230" w:type="dxa"/>
            <w:hideMark/>
          </w:tcPr>
          <w:p w14:paraId="19E900AB"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112</w:t>
            </w:r>
          </w:p>
        </w:tc>
        <w:tc>
          <w:tcPr>
            <w:tcW w:w="709" w:type="dxa"/>
            <w:shd w:val="clear" w:color="auto" w:fill="92D050"/>
            <w:noWrap/>
          </w:tcPr>
          <w:p w14:paraId="1ACB4F0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04A38E2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1190E9A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F61493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5242CC19"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679CC481" w14:textId="496EBDAE"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042B7883" w14:textId="600C1FB5" w:rsidR="001F6D55" w:rsidRPr="00D41159" w:rsidRDefault="00D820F1"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5965</w:t>
            </w:r>
          </w:p>
        </w:tc>
      </w:tr>
      <w:tr w:rsidR="00E70C4F" w:rsidRPr="00D41159" w14:paraId="083E72A4"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261A4E63"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5A3DF41F"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Neatliekamās palīdzības lietotne</w:t>
            </w:r>
          </w:p>
        </w:tc>
        <w:tc>
          <w:tcPr>
            <w:tcW w:w="709" w:type="dxa"/>
            <w:shd w:val="clear" w:color="auto" w:fill="92D050"/>
            <w:noWrap/>
          </w:tcPr>
          <w:p w14:paraId="15CB2008"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2C98936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745C58C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15C662C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6C8EED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1580B4C9"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05A4397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AE01A0" w:rsidRPr="00D41159" w14:paraId="7EBA5050"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tcPr>
          <w:p w14:paraId="04875E42" w14:textId="77777777" w:rsidR="00AE01A0" w:rsidRPr="00D41159" w:rsidRDefault="00AE01A0" w:rsidP="00D0453E">
            <w:pPr>
              <w:spacing w:before="60" w:after="60"/>
              <w:rPr>
                <w:rFonts w:ascii="Calibri" w:hAnsi="Calibri" w:cs="Calibri"/>
                <w:b w:val="0"/>
                <w:noProof/>
                <w:sz w:val="20"/>
              </w:rPr>
            </w:pPr>
            <w:r>
              <w:rPr>
                <w:rFonts w:ascii="Calibri" w:hAnsi="Calibri"/>
                <w:noProof/>
                <w:sz w:val="20"/>
              </w:rPr>
              <w:t>MT</w:t>
            </w:r>
          </w:p>
          <w:p w14:paraId="314C1C6C" w14:textId="1A8F8FBB" w:rsidR="00AE01A0" w:rsidRPr="00D41159" w:rsidRDefault="00AE01A0" w:rsidP="00D0453E">
            <w:pPr>
              <w:spacing w:before="60" w:after="60"/>
              <w:rPr>
                <w:rFonts w:ascii="Calibri" w:hAnsi="Calibri" w:cs="Calibri"/>
                <w:noProof/>
                <w:sz w:val="20"/>
              </w:rPr>
            </w:pPr>
          </w:p>
        </w:tc>
        <w:tc>
          <w:tcPr>
            <w:tcW w:w="3230" w:type="dxa"/>
          </w:tcPr>
          <w:p w14:paraId="4FEB203E" w14:textId="5D564D92" w:rsidR="00AE01A0" w:rsidRPr="00D41159" w:rsidRDefault="00AE01A0"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garo numuru</w:t>
            </w:r>
          </w:p>
        </w:tc>
        <w:tc>
          <w:tcPr>
            <w:tcW w:w="709" w:type="dxa"/>
            <w:shd w:val="clear" w:color="auto" w:fill="92D050"/>
            <w:noWrap/>
          </w:tcPr>
          <w:p w14:paraId="0A40CF88"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366422F"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3506049A"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0000"/>
            <w:noWrap/>
          </w:tcPr>
          <w:p w14:paraId="42EB67C7"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5BF92358"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7FCDCFF1"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tcPr>
          <w:p w14:paraId="15AF3CC0" w14:textId="0DAB651F"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6</w:t>
            </w:r>
          </w:p>
        </w:tc>
      </w:tr>
      <w:tr w:rsidR="00AE01A0" w:rsidRPr="00D41159" w14:paraId="3DC6E566"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noWrap/>
            <w:hideMark/>
          </w:tcPr>
          <w:p w14:paraId="5EC0A537" w14:textId="26453267" w:rsidR="00AE01A0" w:rsidRPr="00D41159" w:rsidRDefault="00AE01A0" w:rsidP="00D0453E">
            <w:pPr>
              <w:spacing w:before="60" w:after="60"/>
              <w:rPr>
                <w:rFonts w:ascii="Calibri" w:hAnsi="Calibri" w:cs="Calibri"/>
                <w:noProof/>
                <w:sz w:val="20"/>
              </w:rPr>
            </w:pPr>
          </w:p>
        </w:tc>
        <w:tc>
          <w:tcPr>
            <w:tcW w:w="3230" w:type="dxa"/>
            <w:hideMark/>
          </w:tcPr>
          <w:p w14:paraId="1F8F0C32" w14:textId="77777777" w:rsidR="00AE01A0" w:rsidRPr="00D41159" w:rsidRDefault="00AE01A0"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Lietotne "112.mt"</w:t>
            </w:r>
          </w:p>
        </w:tc>
        <w:tc>
          <w:tcPr>
            <w:tcW w:w="709" w:type="dxa"/>
            <w:shd w:val="clear" w:color="auto" w:fill="92D050"/>
            <w:noWrap/>
          </w:tcPr>
          <w:p w14:paraId="4DD38C24"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47B420D6"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645C90D3"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4E2CDBBF"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29F71A36"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07B54BB5"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Merge w:val="restart"/>
            <w:noWrap/>
            <w:vAlign w:val="center"/>
            <w:hideMark/>
          </w:tcPr>
          <w:p w14:paraId="51261A2C" w14:textId="0D027B85"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228</w:t>
            </w:r>
          </w:p>
        </w:tc>
      </w:tr>
      <w:tr w:rsidR="00AE01A0" w:rsidRPr="00D41159" w14:paraId="558EF2EA"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125B449D" w14:textId="77777777" w:rsidR="00AE01A0" w:rsidRPr="00D41159" w:rsidRDefault="00AE01A0" w:rsidP="00D0453E">
            <w:pPr>
              <w:spacing w:before="60" w:after="60"/>
              <w:jc w:val="right"/>
              <w:rPr>
                <w:rFonts w:ascii="Calibri" w:hAnsi="Calibri" w:cs="Calibri"/>
                <w:noProof/>
                <w:sz w:val="20"/>
              </w:rPr>
            </w:pPr>
          </w:p>
        </w:tc>
        <w:tc>
          <w:tcPr>
            <w:tcW w:w="3230" w:type="dxa"/>
            <w:hideMark/>
          </w:tcPr>
          <w:p w14:paraId="5263E43F" w14:textId="77777777" w:rsidR="00AE01A0" w:rsidRPr="00D41159" w:rsidRDefault="00AE01A0"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Tīmekļa pakalpojums "112.mt"</w:t>
            </w:r>
          </w:p>
        </w:tc>
        <w:tc>
          <w:tcPr>
            <w:tcW w:w="709" w:type="dxa"/>
            <w:shd w:val="clear" w:color="auto" w:fill="92D050"/>
            <w:noWrap/>
          </w:tcPr>
          <w:p w14:paraId="5D381AFA"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4C6FDDB5"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7A995060"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66AD7B18"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28582A40"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5959AD9E"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Merge/>
            <w:vAlign w:val="center"/>
            <w:hideMark/>
          </w:tcPr>
          <w:p w14:paraId="60667477" w14:textId="4A963F5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r>
      <w:tr w:rsidR="00AE01A0" w:rsidRPr="00D41159" w14:paraId="4B80B6D4"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6809D43F" w14:textId="77777777" w:rsidR="00AE01A0" w:rsidRPr="00D41159" w:rsidRDefault="00AE01A0" w:rsidP="00D0453E">
            <w:pPr>
              <w:spacing w:before="60" w:after="60"/>
              <w:jc w:val="right"/>
              <w:rPr>
                <w:rFonts w:ascii="Calibri" w:hAnsi="Calibri" w:cs="Calibri"/>
                <w:noProof/>
                <w:sz w:val="20"/>
              </w:rPr>
            </w:pPr>
          </w:p>
        </w:tc>
        <w:tc>
          <w:tcPr>
            <w:tcW w:w="3230" w:type="dxa"/>
            <w:hideMark/>
          </w:tcPr>
          <w:p w14:paraId="5C205B89" w14:textId="084C5AE4" w:rsidR="00AE01A0" w:rsidRPr="00D41159" w:rsidRDefault="00AE01A0"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RTT tīklā (garais numurs)</w:t>
            </w:r>
          </w:p>
        </w:tc>
        <w:tc>
          <w:tcPr>
            <w:tcW w:w="709" w:type="dxa"/>
            <w:shd w:val="clear" w:color="auto" w:fill="92D050"/>
            <w:noWrap/>
          </w:tcPr>
          <w:p w14:paraId="60649120"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0D206A38"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2F97A7E8"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0000"/>
            <w:noWrap/>
          </w:tcPr>
          <w:p w14:paraId="681146A5"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9D02033"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407032D2"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Merge/>
            <w:noWrap/>
            <w:vAlign w:val="center"/>
            <w:hideMark/>
          </w:tcPr>
          <w:p w14:paraId="2B5A8A84" w14:textId="36DC8104"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r>
      <w:tr w:rsidR="00AE01A0" w:rsidRPr="00D41159" w14:paraId="37BC9CEC"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tcPr>
          <w:p w14:paraId="6C80817E" w14:textId="77777777" w:rsidR="00AE01A0" w:rsidRPr="00D41159" w:rsidRDefault="00AE01A0" w:rsidP="00D0453E">
            <w:pPr>
              <w:spacing w:before="60" w:after="60"/>
              <w:jc w:val="right"/>
              <w:rPr>
                <w:rFonts w:ascii="Calibri" w:hAnsi="Calibri" w:cs="Calibri"/>
                <w:noProof/>
                <w:sz w:val="20"/>
              </w:rPr>
            </w:pPr>
          </w:p>
        </w:tc>
        <w:tc>
          <w:tcPr>
            <w:tcW w:w="3230" w:type="dxa"/>
          </w:tcPr>
          <w:p w14:paraId="18F4B7B6" w14:textId="6B5FE10B" w:rsidR="00AE01A0" w:rsidRPr="00D41159" w:rsidRDefault="00AE01A0"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RTT lietotnē</w:t>
            </w:r>
          </w:p>
        </w:tc>
        <w:tc>
          <w:tcPr>
            <w:tcW w:w="709" w:type="dxa"/>
            <w:shd w:val="clear" w:color="auto" w:fill="92D050"/>
            <w:noWrap/>
          </w:tcPr>
          <w:p w14:paraId="7F387B2F"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34DAB183"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44D8B6BF"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48E79427"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72B830B"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5B4F25E5"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Merge/>
            <w:noWrap/>
            <w:vAlign w:val="center"/>
          </w:tcPr>
          <w:p w14:paraId="066DA76C"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r>
      <w:tr w:rsidR="00AE01A0" w:rsidRPr="00D41159" w14:paraId="0744C0BC"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tcPr>
          <w:p w14:paraId="59DCD689" w14:textId="77777777" w:rsidR="00AE01A0" w:rsidRPr="00D41159" w:rsidRDefault="00AE01A0" w:rsidP="00D0453E">
            <w:pPr>
              <w:spacing w:before="60" w:after="60"/>
              <w:jc w:val="right"/>
              <w:rPr>
                <w:rFonts w:ascii="Calibri" w:hAnsi="Calibri" w:cs="Calibri"/>
                <w:noProof/>
                <w:sz w:val="20"/>
              </w:rPr>
            </w:pPr>
          </w:p>
        </w:tc>
        <w:tc>
          <w:tcPr>
            <w:tcW w:w="3230" w:type="dxa"/>
          </w:tcPr>
          <w:p w14:paraId="081F2695" w14:textId="22BA9F3D" w:rsidR="00AE01A0" w:rsidRPr="00D41159" w:rsidRDefault="00AE01A0"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Ziņošana pa "112.mt"</w:t>
            </w:r>
          </w:p>
        </w:tc>
        <w:tc>
          <w:tcPr>
            <w:tcW w:w="709" w:type="dxa"/>
            <w:shd w:val="clear" w:color="auto" w:fill="92D050"/>
            <w:noWrap/>
          </w:tcPr>
          <w:p w14:paraId="2E17C951"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61930230"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5FC7DC81"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11631E61"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229116BA"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3321ACD8"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Merge/>
            <w:noWrap/>
            <w:vAlign w:val="center"/>
          </w:tcPr>
          <w:p w14:paraId="2DF0BB0E" w14:textId="77777777" w:rsidR="00AE01A0"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r>
      <w:tr w:rsidR="00E70C4F" w:rsidRPr="00D41159" w14:paraId="74C5DB46"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23F2CACB" w14:textId="77777777" w:rsidR="001F6D55" w:rsidRPr="00D41159" w:rsidRDefault="001F6D55" w:rsidP="00D0453E">
            <w:pPr>
              <w:spacing w:before="60" w:after="60"/>
              <w:rPr>
                <w:rFonts w:ascii="Calibri" w:hAnsi="Calibri" w:cs="Calibri"/>
                <w:noProof/>
                <w:sz w:val="20"/>
              </w:rPr>
            </w:pPr>
            <w:r>
              <w:rPr>
                <w:rFonts w:ascii="Calibri" w:hAnsi="Calibri"/>
                <w:noProof/>
                <w:sz w:val="20"/>
              </w:rPr>
              <w:t>NL</w:t>
            </w:r>
          </w:p>
        </w:tc>
        <w:tc>
          <w:tcPr>
            <w:tcW w:w="3230" w:type="dxa"/>
            <w:hideMark/>
          </w:tcPr>
          <w:p w14:paraId="345A972D" w14:textId="4320CB47" w:rsidR="001F6D55" w:rsidRPr="00D41159" w:rsidRDefault="00AE01A0"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RTT lietotnē ("112NL")</w:t>
            </w:r>
          </w:p>
        </w:tc>
        <w:tc>
          <w:tcPr>
            <w:tcW w:w="709" w:type="dxa"/>
            <w:shd w:val="clear" w:color="auto" w:fill="92D050"/>
            <w:noWrap/>
          </w:tcPr>
          <w:p w14:paraId="1266737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F69499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0539152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9EC3C6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6D6E63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2D4B4DF6" w14:textId="386FA290"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3CFA98D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4CF4B4D2" w14:textId="77777777" w:rsidTr="00F93C5D">
        <w:trPr>
          <w:trHeight w:val="382"/>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6579F999"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13695573"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Tīmekļpiekļuve ārkārtējās situācijās</w:t>
            </w:r>
          </w:p>
        </w:tc>
        <w:tc>
          <w:tcPr>
            <w:tcW w:w="709" w:type="dxa"/>
            <w:shd w:val="clear" w:color="auto" w:fill="92D050"/>
            <w:noWrap/>
          </w:tcPr>
          <w:p w14:paraId="4AFFE1B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5582E12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19046D7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59E7141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10FB7FB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1B60626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5BAB129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45EC5DCF" w14:textId="77777777" w:rsidTr="00F93C5D">
        <w:trPr>
          <w:trHeight w:val="26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62C9BC32"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7045B72F"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112</w:t>
            </w:r>
          </w:p>
        </w:tc>
        <w:tc>
          <w:tcPr>
            <w:tcW w:w="709" w:type="dxa"/>
            <w:shd w:val="clear" w:color="auto" w:fill="92D050"/>
            <w:noWrap/>
          </w:tcPr>
          <w:p w14:paraId="3D916AE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0EBFF2D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74D32B4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642FCCC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18CF0E76" w14:textId="2DBC4CCC"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5A6A927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4582CC8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6F202A78" w14:textId="77777777" w:rsidTr="00F93C5D">
        <w:trPr>
          <w:trHeight w:val="419"/>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17D7AC16"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47F19252"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Specializēts teksta pārlikšanas pakalpojums ārkārtējām situācijām</w:t>
            </w:r>
          </w:p>
        </w:tc>
        <w:tc>
          <w:tcPr>
            <w:tcW w:w="709" w:type="dxa"/>
            <w:shd w:val="clear" w:color="auto" w:fill="92D050"/>
            <w:noWrap/>
          </w:tcPr>
          <w:p w14:paraId="198734D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3023EB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382DF2C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55C7FB49"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3FFF96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3E10EFF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2AD2AC13"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6DF2E536" w14:textId="77777777" w:rsidTr="00F93C5D">
        <w:trPr>
          <w:trHeight w:val="356"/>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400A2811"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60AFF25C"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Vispārpieejams teksta pārlikšanas pakalpojums</w:t>
            </w:r>
          </w:p>
        </w:tc>
        <w:tc>
          <w:tcPr>
            <w:tcW w:w="709" w:type="dxa"/>
            <w:shd w:val="clear" w:color="auto" w:fill="92D050"/>
            <w:noWrap/>
          </w:tcPr>
          <w:p w14:paraId="58F1999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479F5FA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48262D7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7BAA075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44E96748"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492C0F98"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3A5F1D4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73E48C52"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noWrap/>
            <w:hideMark/>
          </w:tcPr>
          <w:p w14:paraId="1A504035" w14:textId="77777777" w:rsidR="001F6D55" w:rsidRPr="00D41159" w:rsidRDefault="001F6D55" w:rsidP="00D0453E">
            <w:pPr>
              <w:spacing w:before="60" w:after="60"/>
              <w:rPr>
                <w:rFonts w:ascii="Calibri" w:hAnsi="Calibri" w:cs="Calibri"/>
                <w:noProof/>
                <w:sz w:val="20"/>
              </w:rPr>
            </w:pPr>
            <w:r>
              <w:rPr>
                <w:rFonts w:ascii="Calibri" w:hAnsi="Calibri"/>
                <w:noProof/>
                <w:sz w:val="20"/>
              </w:rPr>
              <w:t>PL</w:t>
            </w:r>
          </w:p>
        </w:tc>
        <w:tc>
          <w:tcPr>
            <w:tcW w:w="3230" w:type="dxa"/>
            <w:hideMark/>
          </w:tcPr>
          <w:p w14:paraId="13BBE0D6" w14:textId="459665EF" w:rsidR="001F6D55" w:rsidRPr="00D41159" w:rsidRDefault="00AE01A0"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Lietotne ("Alarm 112")</w:t>
            </w:r>
          </w:p>
        </w:tc>
        <w:tc>
          <w:tcPr>
            <w:tcW w:w="709" w:type="dxa"/>
            <w:shd w:val="clear" w:color="auto" w:fill="92D050"/>
            <w:noWrap/>
          </w:tcPr>
          <w:p w14:paraId="29AD325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470B06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222B80B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0000"/>
            <w:noWrap/>
          </w:tcPr>
          <w:p w14:paraId="79F5892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5B9C72F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1BF446A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Align w:val="center"/>
            <w:hideMark/>
          </w:tcPr>
          <w:p w14:paraId="0546457D" w14:textId="042E6A34" w:rsidR="001F6D55"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1475</w:t>
            </w:r>
          </w:p>
        </w:tc>
      </w:tr>
      <w:tr w:rsidR="00E70C4F" w:rsidRPr="00D41159" w14:paraId="6D203F29"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21E823AC" w14:textId="77777777" w:rsidR="001F6D55" w:rsidRPr="00D41159" w:rsidRDefault="001F6D55" w:rsidP="00D0453E">
            <w:pPr>
              <w:spacing w:before="60" w:after="60"/>
              <w:rPr>
                <w:rFonts w:ascii="Calibri" w:hAnsi="Calibri" w:cs="Calibri"/>
                <w:noProof/>
                <w:sz w:val="20"/>
              </w:rPr>
            </w:pPr>
            <w:r>
              <w:rPr>
                <w:rFonts w:ascii="Calibri" w:hAnsi="Calibri"/>
                <w:noProof/>
                <w:sz w:val="20"/>
              </w:rPr>
              <w:t>PT</w:t>
            </w:r>
          </w:p>
        </w:tc>
        <w:tc>
          <w:tcPr>
            <w:tcW w:w="3230" w:type="dxa"/>
            <w:hideMark/>
          </w:tcPr>
          <w:p w14:paraId="61AD36F4"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garo numuru</w:t>
            </w:r>
          </w:p>
        </w:tc>
        <w:tc>
          <w:tcPr>
            <w:tcW w:w="709" w:type="dxa"/>
            <w:shd w:val="clear" w:color="auto" w:fill="92D050"/>
            <w:noWrap/>
          </w:tcPr>
          <w:p w14:paraId="4D2214B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2F80B34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776A70A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0000"/>
            <w:noWrap/>
          </w:tcPr>
          <w:p w14:paraId="496F8F0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57CFD95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5BD19C7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136D8F5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0ABF63FF"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09240A33"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46A7F535"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Neatliekamās palīdzības lietotne</w:t>
            </w:r>
          </w:p>
        </w:tc>
        <w:tc>
          <w:tcPr>
            <w:tcW w:w="709" w:type="dxa"/>
            <w:shd w:val="clear" w:color="auto" w:fill="92D050"/>
            <w:noWrap/>
          </w:tcPr>
          <w:p w14:paraId="3476D25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4D6F1BA8"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3A84D8A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1577F8E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369469E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76B0387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6172C368" w14:textId="6AE1EE23" w:rsidR="001F6D55"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38</w:t>
            </w:r>
          </w:p>
        </w:tc>
      </w:tr>
      <w:tr w:rsidR="00E70C4F" w:rsidRPr="00D41159" w14:paraId="468B72F2"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noWrap/>
            <w:hideMark/>
          </w:tcPr>
          <w:p w14:paraId="6B6BE0BC" w14:textId="77777777" w:rsidR="001F6D55" w:rsidRPr="00D41159" w:rsidRDefault="001F6D55" w:rsidP="00D0453E">
            <w:pPr>
              <w:spacing w:before="60" w:after="60"/>
              <w:rPr>
                <w:rFonts w:ascii="Calibri" w:hAnsi="Calibri" w:cs="Calibri"/>
                <w:noProof/>
                <w:sz w:val="20"/>
              </w:rPr>
            </w:pPr>
            <w:r>
              <w:rPr>
                <w:rFonts w:ascii="Calibri" w:hAnsi="Calibri"/>
                <w:noProof/>
                <w:sz w:val="20"/>
              </w:rPr>
              <w:t>RO</w:t>
            </w:r>
          </w:p>
        </w:tc>
        <w:tc>
          <w:tcPr>
            <w:tcW w:w="3230" w:type="dxa"/>
            <w:hideMark/>
          </w:tcPr>
          <w:p w14:paraId="249987DB"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113</w:t>
            </w:r>
          </w:p>
        </w:tc>
        <w:tc>
          <w:tcPr>
            <w:tcW w:w="709" w:type="dxa"/>
            <w:shd w:val="clear" w:color="auto" w:fill="92D050"/>
            <w:noWrap/>
          </w:tcPr>
          <w:p w14:paraId="30FDA44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0D93980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723BF76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018FAA8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7F8DAAD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78DF39D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26B9F22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51</w:t>
            </w:r>
          </w:p>
        </w:tc>
      </w:tr>
      <w:tr w:rsidR="00E70C4F" w:rsidRPr="00D41159" w14:paraId="41515337"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6EC59144" w14:textId="77777777" w:rsidR="001F6D55" w:rsidRPr="00D41159" w:rsidRDefault="001F6D55" w:rsidP="00D0453E">
            <w:pPr>
              <w:spacing w:before="60" w:after="60"/>
              <w:rPr>
                <w:rFonts w:ascii="Calibri" w:hAnsi="Calibri" w:cs="Calibri"/>
                <w:noProof/>
                <w:sz w:val="20"/>
              </w:rPr>
            </w:pPr>
            <w:r>
              <w:rPr>
                <w:rFonts w:ascii="Calibri" w:hAnsi="Calibri"/>
                <w:noProof/>
                <w:sz w:val="20"/>
              </w:rPr>
              <w:t>SE</w:t>
            </w:r>
          </w:p>
        </w:tc>
        <w:tc>
          <w:tcPr>
            <w:tcW w:w="3230" w:type="dxa"/>
            <w:hideMark/>
          </w:tcPr>
          <w:p w14:paraId="2C62D85D"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112</w:t>
            </w:r>
          </w:p>
        </w:tc>
        <w:tc>
          <w:tcPr>
            <w:tcW w:w="709" w:type="dxa"/>
            <w:shd w:val="clear" w:color="auto" w:fill="92D050"/>
            <w:noWrap/>
          </w:tcPr>
          <w:p w14:paraId="67132899"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650953F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31E80C05"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2E21E00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649B451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33B5EB61" w14:textId="2BDB09D3"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6513BD48" w14:textId="16CF2405" w:rsidR="001F6D55" w:rsidRPr="00D41159" w:rsidRDefault="00AE01A0"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112</w:t>
            </w:r>
          </w:p>
        </w:tc>
      </w:tr>
      <w:tr w:rsidR="00E70C4F" w:rsidRPr="00D41159" w14:paraId="092587AE" w14:textId="77777777" w:rsidTr="00F93C5D">
        <w:trPr>
          <w:trHeight w:val="39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67F23993"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52979903"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Specializētas fiksētās ierīces</w:t>
            </w:r>
          </w:p>
        </w:tc>
        <w:tc>
          <w:tcPr>
            <w:tcW w:w="709" w:type="dxa"/>
            <w:shd w:val="clear" w:color="auto" w:fill="92D050"/>
            <w:noWrap/>
          </w:tcPr>
          <w:p w14:paraId="1CD5F56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5734978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17A53251"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378809F8"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8F33FF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26E8DA04" w14:textId="0D14A3B8"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4E00A0C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0</w:t>
            </w:r>
          </w:p>
        </w:tc>
      </w:tr>
      <w:tr w:rsidR="00E70C4F" w:rsidRPr="00D41159" w14:paraId="5A5B60AC" w14:textId="77777777" w:rsidTr="00F93C5D">
        <w:trPr>
          <w:trHeight w:val="6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7FD2E251"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584141E6"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Vispārējs teksta pārlikšanas pakalpojums</w:t>
            </w:r>
          </w:p>
        </w:tc>
        <w:tc>
          <w:tcPr>
            <w:tcW w:w="709" w:type="dxa"/>
            <w:shd w:val="clear" w:color="auto" w:fill="92D050"/>
            <w:noWrap/>
          </w:tcPr>
          <w:p w14:paraId="5A89F3CA"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795A610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1B4A134E"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03D35A4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5E3A049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72CF0FA9" w14:textId="6BD988EE"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vAlign w:val="center"/>
            <w:hideMark/>
          </w:tcPr>
          <w:p w14:paraId="0C98BB70" w14:textId="3401C098" w:rsidR="001F6D55"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792</w:t>
            </w:r>
          </w:p>
        </w:tc>
      </w:tr>
      <w:tr w:rsidR="0092347D" w:rsidRPr="00D41159" w14:paraId="3EB344B3"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7E988E08" w14:textId="77777777" w:rsidR="0092347D" w:rsidRPr="00D41159" w:rsidRDefault="0092347D" w:rsidP="00D0453E">
            <w:pPr>
              <w:spacing w:before="60" w:after="60"/>
              <w:rPr>
                <w:rFonts w:ascii="Calibri" w:hAnsi="Calibri" w:cs="Calibri"/>
                <w:noProof/>
                <w:sz w:val="20"/>
              </w:rPr>
            </w:pPr>
            <w:r>
              <w:rPr>
                <w:rFonts w:ascii="Calibri" w:hAnsi="Calibri"/>
                <w:noProof/>
                <w:sz w:val="20"/>
              </w:rPr>
              <w:t>SI</w:t>
            </w:r>
          </w:p>
        </w:tc>
        <w:tc>
          <w:tcPr>
            <w:tcW w:w="3230" w:type="dxa"/>
            <w:hideMark/>
          </w:tcPr>
          <w:p w14:paraId="3D8DCA28" w14:textId="77777777" w:rsidR="0092347D" w:rsidRPr="00D41159" w:rsidRDefault="0092347D"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112</w:t>
            </w:r>
          </w:p>
        </w:tc>
        <w:tc>
          <w:tcPr>
            <w:tcW w:w="709" w:type="dxa"/>
            <w:shd w:val="clear" w:color="auto" w:fill="92D050"/>
            <w:noWrap/>
          </w:tcPr>
          <w:p w14:paraId="0391471D" w14:textId="77777777" w:rsidR="0092347D"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761CA32" w14:textId="77777777" w:rsidR="0092347D"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7D96D5DF" w14:textId="77777777" w:rsidR="0092347D"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1E97DA01" w14:textId="77777777" w:rsidR="0092347D"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429313EE" w14:textId="73ED9962" w:rsidR="0092347D"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92D050"/>
            <w:noWrap/>
          </w:tcPr>
          <w:p w14:paraId="1F707AD0" w14:textId="1367106B" w:rsidR="0092347D"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39243FE0" w14:textId="03ACEDCA" w:rsidR="0092347D"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36 739</w:t>
            </w:r>
          </w:p>
        </w:tc>
      </w:tr>
      <w:tr w:rsidR="0092347D" w:rsidRPr="00D41159" w14:paraId="73281F3D"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noWrap/>
          </w:tcPr>
          <w:p w14:paraId="279DFE5F" w14:textId="77777777" w:rsidR="0092347D" w:rsidRPr="00D41159" w:rsidRDefault="0092347D" w:rsidP="00D0453E">
            <w:pPr>
              <w:spacing w:before="60" w:after="60"/>
              <w:rPr>
                <w:rFonts w:ascii="Calibri" w:hAnsi="Calibri" w:cs="Calibri"/>
                <w:noProof/>
                <w:sz w:val="20"/>
              </w:rPr>
            </w:pPr>
          </w:p>
        </w:tc>
        <w:tc>
          <w:tcPr>
            <w:tcW w:w="3230" w:type="dxa"/>
          </w:tcPr>
          <w:p w14:paraId="73344AF7" w14:textId="1C0ABD95" w:rsidR="0092347D" w:rsidRPr="00D41159" w:rsidRDefault="0092347D"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Tīmekļpiekļuve ārkārtējās situācijās</w:t>
            </w:r>
          </w:p>
        </w:tc>
        <w:tc>
          <w:tcPr>
            <w:tcW w:w="709" w:type="dxa"/>
            <w:shd w:val="clear" w:color="auto" w:fill="92D050"/>
            <w:noWrap/>
          </w:tcPr>
          <w:p w14:paraId="382CD85F" w14:textId="77777777" w:rsidR="0092347D"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2B758B0E" w14:textId="77777777" w:rsidR="0092347D"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57646A0E" w14:textId="77777777" w:rsidR="0092347D"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42459059" w14:textId="77777777" w:rsidR="0092347D"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FFFF" w:themeFill="background1"/>
            <w:noWrap/>
          </w:tcPr>
          <w:p w14:paraId="01BF8A71" w14:textId="77777777" w:rsidR="0092347D"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FFFF" w:themeFill="background1"/>
            <w:noWrap/>
          </w:tcPr>
          <w:p w14:paraId="2C2EB7F1" w14:textId="77777777" w:rsidR="0092347D"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tcPr>
          <w:p w14:paraId="17535672" w14:textId="6E4248F0" w:rsidR="0092347D"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2CBAC68A"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val="restart"/>
            <w:noWrap/>
            <w:hideMark/>
          </w:tcPr>
          <w:p w14:paraId="7E5F5613" w14:textId="77777777" w:rsidR="001F6D55" w:rsidRPr="00D41159" w:rsidRDefault="001F6D55" w:rsidP="00D0453E">
            <w:pPr>
              <w:spacing w:before="60" w:after="60"/>
              <w:rPr>
                <w:rFonts w:ascii="Calibri" w:hAnsi="Calibri" w:cs="Calibri"/>
                <w:noProof/>
                <w:sz w:val="20"/>
              </w:rPr>
            </w:pPr>
            <w:r>
              <w:rPr>
                <w:rFonts w:ascii="Calibri" w:hAnsi="Calibri"/>
                <w:noProof/>
                <w:sz w:val="20"/>
              </w:rPr>
              <w:t>SK</w:t>
            </w:r>
          </w:p>
        </w:tc>
        <w:tc>
          <w:tcPr>
            <w:tcW w:w="3230" w:type="dxa"/>
            <w:hideMark/>
          </w:tcPr>
          <w:p w14:paraId="2A7608F2"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112</w:t>
            </w:r>
          </w:p>
        </w:tc>
        <w:tc>
          <w:tcPr>
            <w:tcW w:w="709" w:type="dxa"/>
            <w:shd w:val="clear" w:color="auto" w:fill="92D050"/>
            <w:noWrap/>
          </w:tcPr>
          <w:p w14:paraId="0D41F11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35CA327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28FF6496"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68C2A86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0EC3766D"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7BA2E28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32D83D77" w14:textId="542D1598" w:rsidR="001F6D55"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r w:rsidR="00E70C4F" w:rsidRPr="00D41159" w14:paraId="40AF586F" w14:textId="77777777" w:rsidTr="00F93C5D">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145F5A7A" w14:textId="77777777" w:rsidR="001F6D55" w:rsidRPr="00D41159" w:rsidRDefault="001F6D55" w:rsidP="00D0453E">
            <w:pPr>
              <w:spacing w:before="60" w:after="60"/>
              <w:jc w:val="right"/>
              <w:rPr>
                <w:rFonts w:ascii="Calibri" w:hAnsi="Calibri" w:cs="Calibri"/>
                <w:noProof/>
                <w:sz w:val="20"/>
              </w:rPr>
            </w:pPr>
          </w:p>
        </w:tc>
        <w:tc>
          <w:tcPr>
            <w:tcW w:w="3230" w:type="dxa"/>
            <w:hideMark/>
          </w:tcPr>
          <w:p w14:paraId="291EB298" w14:textId="79F025EE"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Lietotne ("155.sk")</w:t>
            </w:r>
          </w:p>
        </w:tc>
        <w:tc>
          <w:tcPr>
            <w:tcW w:w="709" w:type="dxa"/>
            <w:shd w:val="clear" w:color="auto" w:fill="92D050"/>
            <w:noWrap/>
          </w:tcPr>
          <w:p w14:paraId="19B63482"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7E09170B"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92D050"/>
            <w:noWrap/>
          </w:tcPr>
          <w:p w14:paraId="3DC60D9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FF0000"/>
            <w:noWrap/>
          </w:tcPr>
          <w:p w14:paraId="72031DD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7C9D64D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shd w:val="clear" w:color="auto" w:fill="FF0000"/>
            <w:noWrap/>
          </w:tcPr>
          <w:p w14:paraId="3D33CB3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07075E0A" w14:textId="16C537AA" w:rsidR="001F6D55" w:rsidRPr="00D41159" w:rsidRDefault="0092347D"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31</w:t>
            </w:r>
          </w:p>
        </w:tc>
      </w:tr>
      <w:tr w:rsidR="00E70C4F" w:rsidRPr="00D41159" w14:paraId="3F1B1C29" w14:textId="77777777" w:rsidTr="00F93C5D">
        <w:trPr>
          <w:trHeight w:val="315"/>
          <w:jc w:val="center"/>
        </w:trPr>
        <w:tc>
          <w:tcPr>
            <w:cnfStyle w:val="001000000000" w:firstRow="0" w:lastRow="0" w:firstColumn="1" w:lastColumn="0" w:oddVBand="0" w:evenVBand="0" w:oddHBand="0" w:evenHBand="0" w:firstRowFirstColumn="0" w:firstRowLastColumn="0" w:lastRowFirstColumn="0" w:lastRowLastColumn="0"/>
            <w:tcW w:w="534" w:type="dxa"/>
            <w:noWrap/>
            <w:hideMark/>
          </w:tcPr>
          <w:p w14:paraId="7E512E09" w14:textId="77777777" w:rsidR="001F6D55" w:rsidRPr="00D41159" w:rsidRDefault="001F6D55" w:rsidP="00D0453E">
            <w:pPr>
              <w:spacing w:before="60" w:after="60"/>
              <w:rPr>
                <w:rFonts w:ascii="Calibri" w:hAnsi="Calibri" w:cs="Calibri"/>
                <w:noProof/>
                <w:sz w:val="20"/>
              </w:rPr>
            </w:pPr>
            <w:r>
              <w:rPr>
                <w:rFonts w:ascii="Calibri" w:hAnsi="Calibri"/>
                <w:noProof/>
                <w:sz w:val="20"/>
              </w:rPr>
              <w:t>NO</w:t>
            </w:r>
          </w:p>
        </w:tc>
        <w:tc>
          <w:tcPr>
            <w:tcW w:w="3230" w:type="dxa"/>
            <w:hideMark/>
          </w:tcPr>
          <w:p w14:paraId="0B600E20" w14:textId="77777777" w:rsidR="001F6D55" w:rsidRPr="00D41159" w:rsidRDefault="001F6D55" w:rsidP="00D0453E">
            <w:pPr>
              <w:spacing w:before="60" w:after="60"/>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Īsziņa uz numuru 112</w:t>
            </w:r>
          </w:p>
        </w:tc>
        <w:tc>
          <w:tcPr>
            <w:tcW w:w="709" w:type="dxa"/>
            <w:shd w:val="clear" w:color="auto" w:fill="92D050"/>
            <w:noWrap/>
          </w:tcPr>
          <w:p w14:paraId="7F0AA90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92D050"/>
            <w:noWrap/>
          </w:tcPr>
          <w:p w14:paraId="570375B7"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93" w:type="dxa"/>
            <w:shd w:val="clear" w:color="auto" w:fill="FF0000"/>
            <w:noWrap/>
          </w:tcPr>
          <w:p w14:paraId="3AC7D73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709" w:type="dxa"/>
            <w:shd w:val="clear" w:color="auto" w:fill="92D050"/>
            <w:noWrap/>
          </w:tcPr>
          <w:p w14:paraId="1F97CB0C"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50" w:type="dxa"/>
            <w:shd w:val="clear" w:color="auto" w:fill="FF0000"/>
            <w:noWrap/>
          </w:tcPr>
          <w:p w14:paraId="1D554714"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898" w:type="dxa"/>
            <w:noWrap/>
          </w:tcPr>
          <w:p w14:paraId="6B949B30"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p>
        </w:tc>
        <w:tc>
          <w:tcPr>
            <w:tcW w:w="977" w:type="dxa"/>
            <w:noWrap/>
            <w:vAlign w:val="center"/>
            <w:hideMark/>
          </w:tcPr>
          <w:p w14:paraId="3F1260DF" w14:textId="77777777" w:rsidR="001F6D55" w:rsidRPr="00D41159" w:rsidRDefault="001F6D55" w:rsidP="00D0453E">
            <w:pPr>
              <w:spacing w:before="60" w:after="60"/>
              <w:jc w:val="center"/>
              <w:cnfStyle w:val="000000000000" w:firstRow="0" w:lastRow="0" w:firstColumn="0" w:lastColumn="0" w:oddVBand="0" w:evenVBand="0" w:oddHBand="0" w:evenHBand="0" w:firstRowFirstColumn="0" w:firstRowLastColumn="0" w:lastRowFirstColumn="0" w:lastRowLastColumn="0"/>
              <w:rPr>
                <w:rFonts w:cs="Calibri"/>
                <w:noProof/>
                <w:sz w:val="20"/>
              </w:rPr>
            </w:pPr>
            <w:r>
              <w:rPr>
                <w:noProof/>
                <w:sz w:val="20"/>
              </w:rPr>
              <w:t>Neattiecas</w:t>
            </w:r>
          </w:p>
        </w:tc>
      </w:tr>
    </w:tbl>
    <w:p w14:paraId="0B1C0844" w14:textId="2B7F5756" w:rsidR="00090BB0" w:rsidRPr="00997803" w:rsidRDefault="00486E3C">
      <w:pPr>
        <w:rPr>
          <w:noProof/>
        </w:rPr>
      </w:pPr>
      <w:r>
        <w:rPr>
          <w:noProof/>
        </w:rPr>
        <w:t>*Kopš</w:t>
      </w:r>
      <w:r>
        <w:rPr>
          <w:noProof/>
          <w:sz w:val="20"/>
        </w:rPr>
        <w:t xml:space="preserve"> 28.09.2021.</w:t>
      </w:r>
    </w:p>
    <w:sectPr w:rsidR="00090BB0" w:rsidRPr="00997803">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3D783" w14:textId="77777777" w:rsidR="00C508F1" w:rsidRDefault="00C508F1">
      <w:pPr>
        <w:spacing w:after="0" w:line="240" w:lineRule="auto"/>
      </w:pPr>
      <w:r>
        <w:separator/>
      </w:r>
    </w:p>
  </w:endnote>
  <w:endnote w:type="continuationSeparator" w:id="0">
    <w:p w14:paraId="3C2E7EE7" w14:textId="77777777" w:rsidR="00C508F1" w:rsidRDefault="00C508F1">
      <w:pPr>
        <w:spacing w:after="0" w:line="240" w:lineRule="auto"/>
      </w:pPr>
      <w:r>
        <w:continuationSeparator/>
      </w:r>
    </w:p>
  </w:endnote>
  <w:endnote w:type="continuationNotice" w:id="1">
    <w:p w14:paraId="1C906D8A" w14:textId="77777777" w:rsidR="00C508F1" w:rsidRDefault="00C50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5527F" w14:textId="77777777" w:rsidR="007D2656" w:rsidRPr="007D2656" w:rsidRDefault="007D2656" w:rsidP="007D2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2860" w14:textId="21ABFEB0" w:rsidR="000D7985" w:rsidRPr="007D2656" w:rsidRDefault="007D2656" w:rsidP="007D2656">
    <w:pPr>
      <w:pStyle w:val="FooterCoverPage"/>
      <w:rPr>
        <w:rFonts w:ascii="Arial" w:hAnsi="Arial" w:cs="Arial"/>
        <w:b/>
        <w:sz w:val="48"/>
      </w:rPr>
    </w:pPr>
    <w:r w:rsidRPr="007D2656">
      <w:rPr>
        <w:rFonts w:ascii="Arial" w:hAnsi="Arial" w:cs="Arial"/>
        <w:b/>
        <w:sz w:val="48"/>
      </w:rPr>
      <w:t>LV</w:t>
    </w:r>
    <w:r w:rsidRPr="007D2656">
      <w:rPr>
        <w:rFonts w:ascii="Arial" w:hAnsi="Arial" w:cs="Arial"/>
        <w:b/>
        <w:sz w:val="48"/>
      </w:rPr>
      <w:tab/>
    </w:r>
    <w:r w:rsidRPr="007D2656">
      <w:rPr>
        <w:rFonts w:ascii="Arial" w:hAnsi="Arial" w:cs="Arial"/>
        <w:b/>
        <w:sz w:val="48"/>
      </w:rPr>
      <w:tab/>
    </w:r>
    <w:r w:rsidRPr="007D2656">
      <w:tab/>
    </w:r>
    <w:r w:rsidRPr="007D2656">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49A87" w14:textId="77777777" w:rsidR="007D2656" w:rsidRPr="007D2656" w:rsidRDefault="007D2656" w:rsidP="007D265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0868" w14:textId="77777777" w:rsidR="00C508F1" w:rsidRDefault="00C508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891407"/>
      <w:docPartObj>
        <w:docPartGallery w:val="Page Numbers (Bottom of Page)"/>
        <w:docPartUnique/>
      </w:docPartObj>
    </w:sdtPr>
    <w:sdtEndPr/>
    <w:sdtContent>
      <w:p w14:paraId="0B1C0869" w14:textId="114530D7" w:rsidR="00C508F1" w:rsidRDefault="00C508F1">
        <w:pPr>
          <w:pStyle w:val="Footer"/>
          <w:jc w:val="right"/>
        </w:pPr>
        <w:r>
          <w:fldChar w:fldCharType="begin"/>
        </w:r>
        <w:r>
          <w:instrText xml:space="preserve"> PAGE   \* MERGEFORMAT </w:instrText>
        </w:r>
        <w:r>
          <w:fldChar w:fldCharType="separate"/>
        </w:r>
        <w:r w:rsidR="007D2656">
          <w:rPr>
            <w:noProof/>
          </w:rPr>
          <w:t>1</w:t>
        </w:r>
        <w:r>
          <w:fldChar w:fldCharType="end"/>
        </w:r>
      </w:p>
    </w:sdtContent>
  </w:sdt>
  <w:p w14:paraId="0B1C086A" w14:textId="77777777" w:rsidR="00C508F1" w:rsidRDefault="00C508F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086C" w14:textId="77777777" w:rsidR="00C508F1" w:rsidRDefault="00C50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DBB89" w14:textId="77777777" w:rsidR="00C508F1" w:rsidRDefault="00C508F1">
      <w:pPr>
        <w:spacing w:after="0" w:line="240" w:lineRule="auto"/>
      </w:pPr>
      <w:r>
        <w:separator/>
      </w:r>
    </w:p>
  </w:footnote>
  <w:footnote w:type="continuationSeparator" w:id="0">
    <w:p w14:paraId="1CF8F9C1" w14:textId="77777777" w:rsidR="00C508F1" w:rsidRDefault="00C508F1">
      <w:pPr>
        <w:spacing w:after="0" w:line="240" w:lineRule="auto"/>
      </w:pPr>
      <w:r>
        <w:continuationSeparator/>
      </w:r>
    </w:p>
  </w:footnote>
  <w:footnote w:type="continuationNotice" w:id="1">
    <w:p w14:paraId="7FA7F9F1" w14:textId="77777777" w:rsidR="00C508F1" w:rsidRDefault="00C508F1">
      <w:pPr>
        <w:spacing w:after="0" w:line="240" w:lineRule="auto"/>
      </w:pPr>
    </w:p>
  </w:footnote>
  <w:footnote w:id="2">
    <w:p w14:paraId="0B1C086D" w14:textId="10CB9EE2" w:rsidR="00C508F1" w:rsidRDefault="00C508F1" w:rsidP="00D0453E">
      <w:pPr>
        <w:pStyle w:val="FootnoteText"/>
        <w:spacing w:after="0"/>
        <w:ind w:left="0" w:firstLine="0"/>
      </w:pPr>
      <w:r>
        <w:rPr>
          <w:rStyle w:val="FootnoteReference"/>
        </w:rPr>
        <w:footnoteRef/>
      </w:r>
      <w:r>
        <w:t>Eiropas Parlamenta un Padomes Direktīva (ES) 2018/1972 (2018. gada 11. decembris) par Eiropas Elektronisko sakaru kodeksa izveidi (OV L 321, 17.12.2018., 36. lpp.).</w:t>
      </w:r>
    </w:p>
  </w:footnote>
  <w:footnote w:id="3">
    <w:p w14:paraId="0B1C086F" w14:textId="657985CD" w:rsidR="00C508F1" w:rsidRDefault="00C508F1" w:rsidP="00D0453E">
      <w:pPr>
        <w:pStyle w:val="FootnoteText"/>
        <w:spacing w:after="0"/>
        <w:ind w:left="0" w:firstLine="0"/>
      </w:pPr>
      <w:r>
        <w:rPr>
          <w:rStyle w:val="FootnoteReference"/>
        </w:rPr>
        <w:footnoteRef/>
      </w:r>
      <w:r>
        <w:tab/>
        <w:t>Sakaru komiteja, kas izveidota uz EESK 118. panta pamata.</w:t>
      </w:r>
    </w:p>
  </w:footnote>
  <w:footnote w:id="4">
    <w:p w14:paraId="0B1C086E" w14:textId="020EE749" w:rsidR="00C508F1" w:rsidRDefault="00C508F1" w:rsidP="00D0453E">
      <w:pPr>
        <w:pStyle w:val="FootnoteText"/>
        <w:spacing w:after="0"/>
        <w:ind w:left="0" w:firstLine="0"/>
      </w:pPr>
      <w:r>
        <w:rPr>
          <w:rStyle w:val="FootnoteReference"/>
        </w:rPr>
        <w:footnoteRef/>
      </w:r>
      <w:r>
        <w:tab/>
        <w:t>COCOM22-01.</w:t>
      </w:r>
    </w:p>
  </w:footnote>
  <w:footnote w:id="5">
    <w:p w14:paraId="78FC18BE" w14:textId="303467A9" w:rsidR="00C508F1" w:rsidRPr="00EA1A06" w:rsidRDefault="00C508F1" w:rsidP="00442136">
      <w:pPr>
        <w:pStyle w:val="FootnoteText"/>
        <w:spacing w:after="0"/>
        <w:ind w:left="0" w:firstLine="0"/>
      </w:pPr>
      <w:r>
        <w:rPr>
          <w:rStyle w:val="FootnoteReference"/>
        </w:rPr>
        <w:footnoteRef/>
      </w:r>
      <w:r>
        <w:t>https://digital-strategy.ec.europa.eu/en/library/2020-report-effectiveness-implementation-european-emergency-number-112.</w:t>
      </w:r>
    </w:p>
  </w:footnote>
  <w:footnote w:id="6">
    <w:p w14:paraId="617B9559" w14:textId="6925FE5C" w:rsidR="00C508F1" w:rsidRPr="000E33B9" w:rsidRDefault="00C508F1" w:rsidP="00D0453E">
      <w:pPr>
        <w:pStyle w:val="FootnoteText"/>
        <w:ind w:left="0" w:firstLine="0"/>
      </w:pPr>
      <w:r>
        <w:rPr>
          <w:rStyle w:val="FootnoteReference"/>
        </w:rPr>
        <w:footnoteRef/>
      </w:r>
      <w:r>
        <w:tab/>
        <w:t>Kvantitatīvie dati tiek apkopoti katru otro gadu un attiecas tikai uz gadu tieši pirms ziņojuma, lai atvieglotu administratīvo slogu ziņotājām iestādēm.</w:t>
      </w:r>
    </w:p>
  </w:footnote>
  <w:footnote w:id="7">
    <w:p w14:paraId="0EF238E6" w14:textId="4BCADDE9" w:rsidR="00C508F1" w:rsidRPr="00BE0A0B" w:rsidRDefault="00C508F1" w:rsidP="00442136">
      <w:pPr>
        <w:pStyle w:val="FootnoteText"/>
        <w:ind w:left="0" w:firstLine="0"/>
      </w:pPr>
      <w:r>
        <w:rPr>
          <w:rStyle w:val="FootnoteReference"/>
        </w:rPr>
        <w:footnoteRef/>
      </w:r>
      <w:r>
        <w:tab/>
        <w:t>Eiropas Parlamenta un Padomes Direktīva 2002/22/EK (2002. gada 7. marts) par universālo pakalpojumu un lietotāju tiesībām attiecībā uz elektronisko sakaru tīkliem un pakalpojumiem (Universālā pakalpojuma direktīva) (OV L 108, 24.4.2002., 51.–77. lpp.).</w:t>
      </w:r>
    </w:p>
  </w:footnote>
  <w:footnote w:id="8">
    <w:p w14:paraId="0B1C0871" w14:textId="08589E19" w:rsidR="00C508F1" w:rsidRDefault="00C508F1" w:rsidP="00D0453E">
      <w:pPr>
        <w:pStyle w:val="FootnoteText"/>
        <w:spacing w:after="0"/>
        <w:ind w:left="0" w:firstLine="0"/>
      </w:pPr>
      <w:r>
        <w:rPr>
          <w:rStyle w:val="FootnoteReference"/>
        </w:rPr>
        <w:footnoteRef/>
      </w:r>
      <w:r>
        <w:tab/>
        <w:t>Nepamatoti izsaukumi ir izsaukumi, pēc kuriem ĀIC vai neatliekamās palīdzības dienesti neiesaistās un nesniedz palīdzību. Par nepamatotiem neuzskata izsaukumus, kuros ziņo par ārkārtēju situāciju, kurā ĀIC jau ir iesaistījusies vai nodrošinājusi palīdzību, un kuri tādējādi neved pie atsevišķas iesaistes vai palīdzības sniegšanas.</w:t>
      </w:r>
    </w:p>
  </w:footnote>
  <w:footnote w:id="9">
    <w:p w14:paraId="0B1C0872" w14:textId="400FFC8B" w:rsidR="00C508F1" w:rsidRDefault="00C508F1" w:rsidP="00D0453E">
      <w:pPr>
        <w:spacing w:after="0" w:line="240" w:lineRule="auto"/>
        <w:jc w:val="both"/>
        <w:rPr>
          <w:sz w:val="20"/>
        </w:rPr>
      </w:pPr>
      <w:r>
        <w:rPr>
          <w:rStyle w:val="FootnoteReference"/>
          <w:sz w:val="20"/>
        </w:rPr>
        <w:footnoteRef/>
      </w:r>
      <w:r>
        <w:tab/>
      </w:r>
      <w:r>
        <w:rPr>
          <w:rFonts w:ascii="Times New Roman" w:hAnsi="Times New Roman"/>
          <w:sz w:val="20"/>
        </w:rPr>
        <w:t>Informāciju par nepamatotiem izsaukumiem sniedza 19 dalībvalstis.</w:t>
      </w:r>
    </w:p>
  </w:footnote>
  <w:footnote w:id="10">
    <w:p w14:paraId="0B1C0873" w14:textId="4058317E" w:rsidR="00C508F1" w:rsidRDefault="00C508F1" w:rsidP="00D0453E">
      <w:pPr>
        <w:pStyle w:val="FootnoteText"/>
        <w:spacing w:after="0"/>
        <w:ind w:left="0" w:firstLine="0"/>
      </w:pPr>
      <w:r>
        <w:rPr>
          <w:rStyle w:val="FootnoteReference"/>
        </w:rPr>
        <w:footnoteRef/>
      </w:r>
      <w:r>
        <w:tab/>
        <w:t>AT, CY, CZ, DK, EE, EL, ES, FI, HU, IE, IT, LT, LU, LV, MT, NL, PL, PT, SE, SK.</w:t>
      </w:r>
    </w:p>
  </w:footnote>
  <w:footnote w:id="11">
    <w:p w14:paraId="0B1C0874" w14:textId="126F962D" w:rsidR="00C508F1" w:rsidRDefault="00C508F1" w:rsidP="00D0453E">
      <w:pPr>
        <w:pStyle w:val="FootnoteText"/>
        <w:spacing w:after="0"/>
        <w:ind w:left="0" w:firstLine="0"/>
      </w:pPr>
      <w:r>
        <w:rPr>
          <w:rStyle w:val="FootnoteReference"/>
        </w:rPr>
        <w:footnoteRef/>
      </w:r>
      <w:r>
        <w:tab/>
        <w:t>Dažās dalībvalstīs saziņa ar īsziņām tiek nodrošināta tikai galalietotājiem invalīdiem, kā norādīts 8. iedaļā.</w:t>
      </w:r>
    </w:p>
  </w:footnote>
  <w:footnote w:id="12">
    <w:p w14:paraId="0B1C0875" w14:textId="5DE1094C" w:rsidR="00C508F1" w:rsidRDefault="00C508F1" w:rsidP="00D0453E">
      <w:pPr>
        <w:pStyle w:val="FootnoteText"/>
        <w:spacing w:after="0"/>
        <w:ind w:left="0" w:firstLine="0"/>
      </w:pPr>
      <w:r>
        <w:rPr>
          <w:rStyle w:val="FootnoteReference"/>
        </w:rPr>
        <w:footnoteRef/>
      </w:r>
      <w:r>
        <w:tab/>
        <w:t>EE, EL, FI, HR, IE, IS, LT, LU, LV, SI, SK.</w:t>
      </w:r>
    </w:p>
  </w:footnote>
  <w:footnote w:id="13">
    <w:p w14:paraId="35E84FD7" w14:textId="1D2E975B" w:rsidR="00C508F1" w:rsidRPr="00925C28" w:rsidRDefault="00C508F1" w:rsidP="00D0453E">
      <w:pPr>
        <w:pStyle w:val="FootnoteText"/>
        <w:spacing w:after="0"/>
      </w:pPr>
      <w:r>
        <w:rPr>
          <w:rStyle w:val="FootnoteReference"/>
        </w:rPr>
        <w:footnoteRef/>
      </w:r>
      <w:r>
        <w:tab/>
        <w:t>AT, BE, CY, EE, EL, HR, HU, IE, LT, LU, LV, SI, SK.</w:t>
      </w:r>
    </w:p>
  </w:footnote>
  <w:footnote w:id="14">
    <w:p w14:paraId="0B1C0876" w14:textId="1F71435F" w:rsidR="00C508F1" w:rsidRDefault="00C508F1" w:rsidP="00D0453E">
      <w:pPr>
        <w:pStyle w:val="FootnoteText"/>
        <w:spacing w:after="0"/>
        <w:ind w:left="0" w:firstLine="0"/>
      </w:pPr>
      <w:r>
        <w:rPr>
          <w:rStyle w:val="FootnoteReference"/>
        </w:rPr>
        <w:footnoteRef/>
      </w:r>
      <w:r>
        <w:tab/>
        <w:t>AT (reģionālā mērogā), BE, CY, CZ, DK, FI, IT, LU, LV, MT, PL, RO, SE, SK.</w:t>
      </w:r>
    </w:p>
  </w:footnote>
  <w:footnote w:id="15">
    <w:p w14:paraId="0B1C0877" w14:textId="573247A9" w:rsidR="00C508F1" w:rsidRDefault="00C508F1" w:rsidP="00D0453E">
      <w:pPr>
        <w:pStyle w:val="FootnoteText"/>
        <w:spacing w:after="0"/>
        <w:ind w:left="0" w:firstLine="0"/>
      </w:pPr>
      <w:r>
        <w:rPr>
          <w:rStyle w:val="FootnoteReference"/>
        </w:rPr>
        <w:footnoteRef/>
      </w:r>
      <w:r>
        <w:tab/>
        <w:t>Dažās dalībvalstīs saziņa lietotnē tiek nodrošināta tikai galalietotājiem invalīdiem, kā norādīts 8. iedaļā.</w:t>
      </w:r>
    </w:p>
  </w:footnote>
  <w:footnote w:id="16">
    <w:p w14:paraId="0B1C087A" w14:textId="3EF4086B" w:rsidR="00C508F1" w:rsidRDefault="00C508F1" w:rsidP="00D0453E">
      <w:pPr>
        <w:pStyle w:val="FootnoteText"/>
        <w:spacing w:after="0"/>
        <w:ind w:left="0" w:firstLine="0"/>
      </w:pPr>
      <w:r>
        <w:rPr>
          <w:rStyle w:val="FootnoteReference"/>
        </w:rPr>
        <w:footnoteRef/>
      </w:r>
      <w:r>
        <w:tab/>
        <w:t>Laiks no brīža, kad ārkārtējais izsaukums ienāk 1. līmeņa ĀIC komutatorā, līdz brīdim, kad uz izsaukumu atbild ĀIC operators (cilvēks).</w:t>
      </w:r>
    </w:p>
  </w:footnote>
  <w:footnote w:id="17">
    <w:p w14:paraId="0B1C087B" w14:textId="32F3CB89" w:rsidR="00C508F1" w:rsidRDefault="00C508F1" w:rsidP="00D0453E">
      <w:pPr>
        <w:pStyle w:val="FootnoteText"/>
        <w:spacing w:after="0"/>
      </w:pPr>
      <w:r>
        <w:rPr>
          <w:rStyle w:val="FootnoteReference"/>
        </w:rPr>
        <w:footnoteRef/>
      </w:r>
      <w:r>
        <w:tab/>
        <w:t>Austrija tādus datus neiesniedza.</w:t>
      </w:r>
    </w:p>
  </w:footnote>
  <w:footnote w:id="18">
    <w:p w14:paraId="0B1C087D" w14:textId="67B762DA" w:rsidR="00C508F1" w:rsidRDefault="00C508F1" w:rsidP="00D0453E">
      <w:pPr>
        <w:pStyle w:val="FootnoteText"/>
        <w:spacing w:after="0"/>
        <w:ind w:left="0" w:firstLine="0"/>
      </w:pPr>
      <w:r>
        <w:rPr>
          <w:rStyle w:val="FootnoteReference"/>
        </w:rPr>
        <w:footnoteRef/>
      </w:r>
      <w:r>
        <w:tab/>
        <w:t>No tīkla iegūtas atrašanās vietas informācijas precizitāte var svārstīties no 50 m līdz 40 000 m, savukārt no mobilā tālruņa atrašanās vietu var noteikt ar daudz lielāku precizitāti </w:t>
      </w:r>
      <w:r w:rsidR="004C1284">
        <w:t>–</w:t>
      </w:r>
      <w:r>
        <w:t xml:space="preserve"> līdz 5 m.</w:t>
      </w:r>
    </w:p>
  </w:footnote>
  <w:footnote w:id="19">
    <w:p w14:paraId="0B1C087E" w14:textId="5CB7A091" w:rsidR="00C508F1" w:rsidRDefault="00C508F1" w:rsidP="00442136">
      <w:pPr>
        <w:pStyle w:val="FootnoteText"/>
        <w:spacing w:after="0"/>
        <w:ind w:left="0" w:firstLine="0"/>
      </w:pPr>
      <w:r>
        <w:rPr>
          <w:rStyle w:val="FootnoteReference"/>
        </w:rPr>
        <w:footnoteRef/>
      </w:r>
      <w:r>
        <w:tab/>
        <w:t>Attiecīgos datus iesniegušas 18 dalībvalstis: CZ, BG, DK, EE, ES, FR, HR, HU, IE, IT, LT, LV, MT, NL, PT, RO, SE un SI.</w:t>
      </w:r>
    </w:p>
  </w:footnote>
  <w:footnote w:id="20">
    <w:p w14:paraId="34F58FBB" w14:textId="297664A1" w:rsidR="00C508F1" w:rsidRPr="00FE477B" w:rsidRDefault="00C508F1" w:rsidP="00442136">
      <w:pPr>
        <w:pStyle w:val="FootnoteText"/>
        <w:spacing w:after="0"/>
        <w:ind w:left="0" w:firstLine="0"/>
      </w:pPr>
      <w:r>
        <w:rPr>
          <w:rStyle w:val="FootnoteReference"/>
        </w:rPr>
        <w:footnoteRef/>
      </w:r>
      <w:r>
        <w:tab/>
        <w:t>No mobilā tālruņa iegūtā izsaucēja atrašanās vietas informācija nav pieejama šādā daļā gadījumu: PT (1 %), HR (2 %), HU (2,9 %), SI (5 %), SE (20 %), DK (23,7 %), NO (30 %), RO (33,9 %), LT (38 %), MT (40,4 %), EE (46 %), IE (48 %), CZ (50 %), BG (68,2 %), IT (94,2 %).</w:t>
      </w:r>
    </w:p>
  </w:footnote>
  <w:footnote w:id="21">
    <w:p w14:paraId="0B1C087F" w14:textId="2C052778" w:rsidR="00C508F1" w:rsidRDefault="00C508F1" w:rsidP="00D0453E">
      <w:pPr>
        <w:pStyle w:val="FootnoteText"/>
        <w:spacing w:after="0"/>
        <w:ind w:left="720" w:hanging="720"/>
      </w:pPr>
      <w:r>
        <w:rPr>
          <w:rStyle w:val="FootnoteReference"/>
        </w:rPr>
        <w:footnoteRef/>
      </w:r>
      <w:r>
        <w:tab/>
        <w:t>https://ec.europa.eu/digital-single-market/en/news/112-112-day-locating-emergency-calls-aml-technology-rise.</w:t>
      </w:r>
    </w:p>
  </w:footnote>
  <w:footnote w:id="22">
    <w:p w14:paraId="40A8A68E" w14:textId="7E2A667C" w:rsidR="00C508F1" w:rsidRPr="00E36E50" w:rsidRDefault="00C508F1" w:rsidP="00D0453E">
      <w:pPr>
        <w:pStyle w:val="FootnoteText"/>
        <w:spacing w:after="0"/>
      </w:pPr>
      <w:r>
        <w:rPr>
          <w:rStyle w:val="FootnoteReference"/>
        </w:rPr>
        <w:footnoteRef/>
      </w:r>
      <w:r>
        <w:tab/>
        <w:t>EL, FI, LU, RO un daļēji BE un SE.</w:t>
      </w:r>
    </w:p>
  </w:footnote>
  <w:footnote w:id="23">
    <w:p w14:paraId="169DF5D3" w14:textId="1E4828ED" w:rsidR="00C508F1" w:rsidRPr="007A19E3" w:rsidRDefault="00C508F1" w:rsidP="00442136">
      <w:pPr>
        <w:pStyle w:val="FootnoteText"/>
        <w:spacing w:after="0"/>
        <w:ind w:left="0" w:firstLine="0"/>
      </w:pPr>
      <w:r>
        <w:rPr>
          <w:rStyle w:val="FootnoteReference"/>
        </w:rPr>
        <w:footnoteRef/>
      </w:r>
      <w:r>
        <w:tab/>
        <w:t>Eiropas Parlamenta un Padomes Regulas (ES) Nr. 2022/612 (2022. gada 6. aprīlis) par viesabonēšanu publiskajos mobilo sakaru tīklos Savienībā 3. panta 6. punkts.</w:t>
      </w:r>
    </w:p>
  </w:footnote>
  <w:footnote w:id="24">
    <w:p w14:paraId="50F2E761" w14:textId="08B553EE" w:rsidR="00C508F1" w:rsidRPr="00CF7FF1" w:rsidRDefault="00C508F1" w:rsidP="00D0453E">
      <w:pPr>
        <w:pStyle w:val="FootnoteText"/>
        <w:spacing w:after="0"/>
      </w:pPr>
      <w:r>
        <w:rPr>
          <w:rStyle w:val="FootnoteReference"/>
        </w:rPr>
        <w:footnoteRef/>
      </w:r>
      <w:r>
        <w:tab/>
        <w:t>BE, BG, CY, CZ, DE, ES, HU, IT, LT, LV, MT, NL, PL, PT, RO, SE, SI, SK.</w:t>
      </w:r>
    </w:p>
  </w:footnote>
  <w:footnote w:id="25">
    <w:p w14:paraId="0B1C0882" w14:textId="4C7A8E3F" w:rsidR="00C508F1" w:rsidRDefault="00C508F1" w:rsidP="00442136">
      <w:pPr>
        <w:pStyle w:val="FootnoteText"/>
        <w:spacing w:after="0"/>
        <w:ind w:left="0" w:firstLine="0"/>
      </w:pPr>
      <w:r>
        <w:rPr>
          <w:rStyle w:val="FootnoteReference"/>
        </w:rPr>
        <w:footnoteRef/>
      </w:r>
      <w:r>
        <w:tab/>
        <w:t>Komisijas Deleģētā regula (ES) 2019/320 (2018. gada 12. decembris), ar ko Eiropas Parlamenta un Padomes Direktīvu 2014/53/ES papildina attiecībā uz minētās direktīvas 3. panta 3. punkta g) apakšpunktā minēto pamatprasību piemērošanu, lai nodrošinātu izsaucēja atrašanās vietas noteikšanu ārkārtēja gadījuma saziņā no mobilajām ierīcēm, OV L 55, 25.2.2019., 1.–3. lpp.</w:t>
      </w:r>
    </w:p>
  </w:footnote>
  <w:footnote w:id="26">
    <w:p w14:paraId="0B1C0883" w14:textId="14AFDAF6" w:rsidR="00C508F1" w:rsidRDefault="00C508F1" w:rsidP="00D0453E">
      <w:pPr>
        <w:pStyle w:val="FootnoteText"/>
        <w:spacing w:after="0"/>
        <w:ind w:left="0" w:firstLine="0"/>
      </w:pPr>
      <w:r>
        <w:rPr>
          <w:rStyle w:val="FootnoteReference"/>
        </w:rPr>
        <w:footnoteRef/>
      </w:r>
      <w:r>
        <w:tab/>
        <w:t>https://ec.europa.eu/digital-single-market/en/news/112-112-day-locating-emergency-calls-aml-technology-rise.</w:t>
      </w:r>
    </w:p>
  </w:footnote>
  <w:footnote w:id="27">
    <w:p w14:paraId="72E596BD" w14:textId="396FBB33" w:rsidR="00C508F1" w:rsidRPr="00D0453E" w:rsidRDefault="00C508F1" w:rsidP="00D0453E">
      <w:pPr>
        <w:pStyle w:val="FootnoteText"/>
        <w:spacing w:after="0"/>
      </w:pPr>
      <w:r>
        <w:rPr>
          <w:rStyle w:val="FootnoteReference"/>
        </w:rPr>
        <w:footnoteRef/>
      </w:r>
      <w:r>
        <w:tab/>
        <w:t>BE, BG, CZ, DE, DK, EE, EL, ES, FI, FR, HR, HU, IE, IT, LT, LV, MT, NL, PT, RO, SE, SI.</w:t>
      </w:r>
    </w:p>
  </w:footnote>
  <w:footnote w:id="28">
    <w:p w14:paraId="0B1C0884" w14:textId="0E6D7756" w:rsidR="00C508F1" w:rsidRDefault="00C508F1" w:rsidP="00D0453E">
      <w:pPr>
        <w:pStyle w:val="FootnoteText"/>
        <w:spacing w:after="0"/>
        <w:ind w:left="0" w:firstLine="0"/>
      </w:pPr>
      <w:r>
        <w:rPr>
          <w:rStyle w:val="FootnoteReference"/>
        </w:rPr>
        <w:footnoteRef/>
      </w:r>
      <w:r>
        <w:tab/>
        <w:t>LU, HR, MT, SI, SE, CY, EE, CZ, RO, IT, BG.</w:t>
      </w:r>
    </w:p>
  </w:footnote>
  <w:footnote w:id="29">
    <w:p w14:paraId="20F3DDE8" w14:textId="607F6C92" w:rsidR="00C508F1" w:rsidRPr="007A19E3" w:rsidRDefault="00C508F1" w:rsidP="00442136">
      <w:pPr>
        <w:pStyle w:val="FootnoteText"/>
        <w:spacing w:after="0"/>
        <w:ind w:left="0" w:firstLine="0"/>
      </w:pPr>
      <w:r>
        <w:rPr>
          <w:rStyle w:val="FootnoteReference"/>
        </w:rPr>
        <w:footnoteRef/>
      </w:r>
      <w:r>
        <w:tab/>
        <w:t>Eiropas Parlamenta un Padomes Regulas (ES) 2022/612 (2022. gada 6. aprīlī) par viesabonēšanu publiskajos mobilo sakaru tīklos Savienībā 16. pants.</w:t>
      </w:r>
    </w:p>
  </w:footnote>
  <w:footnote w:id="30">
    <w:p w14:paraId="0B1C0887" w14:textId="2694C5B4" w:rsidR="00C508F1" w:rsidRDefault="00C508F1" w:rsidP="00D0453E">
      <w:pPr>
        <w:pStyle w:val="FootnoteText"/>
        <w:spacing w:after="0"/>
        <w:ind w:left="0" w:firstLine="0"/>
      </w:pPr>
      <w:r>
        <w:rPr>
          <w:rStyle w:val="FootnoteReference"/>
        </w:rPr>
        <w:footnoteRef/>
      </w:r>
      <w:r>
        <w:tab/>
        <w:t xml:space="preserve">Kā definēts </w:t>
      </w:r>
      <w:r w:rsidR="00257F01" w:rsidRPr="00257F01">
        <w:rPr>
          <w:iCs/>
        </w:rPr>
        <w:t>EESK</w:t>
      </w:r>
      <w:r>
        <w:t xml:space="preserve"> 2. pantā: “35) “vispusīgās sarunas pakalpojums” ir multimediāls reāllaika sarunas pakalpojums, kas nodrošina video, reāllaika teksta un balss divvirzienu simetrisku reāllaika pārsūtīšanu starp lietotājiem divās vai vairākās atrašanās vietās.”</w:t>
      </w:r>
    </w:p>
  </w:footnote>
  <w:footnote w:id="31">
    <w:p w14:paraId="44BE4FE0" w14:textId="5EE17967" w:rsidR="00C508F1" w:rsidRPr="00442136" w:rsidRDefault="00C508F1" w:rsidP="00205580">
      <w:pPr>
        <w:pStyle w:val="FootnoteText"/>
        <w:spacing w:after="0"/>
        <w:ind w:left="0" w:firstLine="0"/>
      </w:pPr>
      <w:r>
        <w:rPr>
          <w:rStyle w:val="FootnoteReference"/>
        </w:rPr>
        <w:footnoteRef/>
      </w:r>
      <w:r>
        <w:tab/>
        <w:t>AT, BE, CY, CZ, DK, EE, EL, FI, FR, HR, HU, IE, LT, LU, LV, MT, NL, PT, RO, SE, SI, SK.</w:t>
      </w:r>
    </w:p>
  </w:footnote>
  <w:footnote w:id="32">
    <w:p w14:paraId="0B1C0889" w14:textId="0AFB4E85" w:rsidR="00C508F1" w:rsidRPr="00EC4C2D" w:rsidRDefault="00C508F1" w:rsidP="00503DEF">
      <w:pPr>
        <w:pStyle w:val="FootnoteText"/>
        <w:spacing w:after="0"/>
        <w:ind w:left="0" w:firstLine="0"/>
      </w:pPr>
      <w:r>
        <w:rPr>
          <w:rStyle w:val="FootnoteReference"/>
        </w:rPr>
        <w:footnoteRef/>
      </w:r>
      <w:r>
        <w:tab/>
        <w:t>AT, BE, BG, CY, CZ, DE, DK, ES, FR, HU, IT, LT, LU, LV, MT, NL, PL, PT, SK.</w:t>
      </w:r>
    </w:p>
  </w:footnote>
  <w:footnote w:id="33">
    <w:p w14:paraId="0B1C088A" w14:textId="3D2AB8A8" w:rsidR="00C508F1" w:rsidRDefault="00C508F1" w:rsidP="00503DEF">
      <w:pPr>
        <w:pStyle w:val="FootnoteText"/>
        <w:spacing w:after="0"/>
        <w:ind w:left="0" w:firstLine="0"/>
      </w:pPr>
      <w:r>
        <w:rPr>
          <w:rStyle w:val="FootnoteReference"/>
        </w:rPr>
        <w:footnoteRef/>
      </w:r>
      <w:r>
        <w:tab/>
        <w:t>Eiropas Piekļūstamības akts (</w:t>
      </w:r>
      <w:r>
        <w:rPr>
          <w:i/>
          <w:iCs/>
        </w:rPr>
        <w:t>EPA</w:t>
      </w:r>
      <w:r w:rsidR="004C1284">
        <w:t xml:space="preserve">) – </w:t>
      </w:r>
      <w:r>
        <w:t>Eiropas Parlamenta un Padomes Direktīva (ES) 2019/882 (2019. gada 17. aprīlis) par produktu un pakalpojumu piekļūstamības prasībām (OV L 151, 7.6.2019., 70. lpp.).</w:t>
      </w:r>
    </w:p>
  </w:footnote>
  <w:footnote w:id="34">
    <w:p w14:paraId="0B1C088B" w14:textId="28FCEAF8" w:rsidR="00C508F1" w:rsidRDefault="00C508F1" w:rsidP="00503DEF">
      <w:pPr>
        <w:pStyle w:val="FootnoteText"/>
        <w:spacing w:after="0"/>
        <w:ind w:left="0" w:firstLine="0"/>
      </w:pPr>
      <w:r>
        <w:rPr>
          <w:rStyle w:val="FootnoteReference"/>
        </w:rPr>
        <w:footnoteRef/>
      </w:r>
      <w:r>
        <w:tab/>
      </w:r>
      <w:r>
        <w:rPr>
          <w:i/>
          <w:iCs/>
        </w:rPr>
        <w:t>EPA</w:t>
      </w:r>
      <w:r>
        <w:t xml:space="preserve"> 4. panta 1. punkts un I pielikuma IV iedaļas a) punkts.</w:t>
      </w:r>
    </w:p>
  </w:footnote>
  <w:footnote w:id="35">
    <w:p w14:paraId="43EC3742" w14:textId="09CEFEE5" w:rsidR="00C508F1" w:rsidRPr="00191FF9" w:rsidRDefault="00C508F1" w:rsidP="00503DEF">
      <w:pPr>
        <w:pStyle w:val="FootnoteText"/>
        <w:spacing w:after="0"/>
      </w:pPr>
      <w:r>
        <w:rPr>
          <w:rStyle w:val="FootnoteReference"/>
        </w:rPr>
        <w:footnoteRef/>
      </w:r>
      <w:r>
        <w:tab/>
        <w:t xml:space="preserve">Dalībvalstīm </w:t>
      </w:r>
      <w:r>
        <w:rPr>
          <w:i/>
          <w:iCs/>
        </w:rPr>
        <w:t>EPA</w:t>
      </w:r>
      <w:r>
        <w:t xml:space="preserve"> bija jātransponē līdz 2022. gada 28. jūnijam.</w:t>
      </w:r>
    </w:p>
  </w:footnote>
  <w:footnote w:id="36">
    <w:p w14:paraId="0B1C088C" w14:textId="65153FA7" w:rsidR="00C508F1" w:rsidRDefault="00C508F1" w:rsidP="00503DEF">
      <w:pPr>
        <w:pStyle w:val="FootnoteText"/>
        <w:spacing w:after="0"/>
        <w:ind w:left="0" w:firstLine="0"/>
      </w:pPr>
      <w:r>
        <w:rPr>
          <w:rStyle w:val="FootnoteReference"/>
        </w:rPr>
        <w:footnoteRef/>
      </w:r>
      <w:r>
        <w:tab/>
      </w:r>
      <w:r>
        <w:rPr>
          <w:i/>
          <w:iCs/>
        </w:rPr>
        <w:t>EPA</w:t>
      </w:r>
      <w:r>
        <w:t xml:space="preserve"> 4. panta 8. punkts un I pielikuma V iedaļa.</w:t>
      </w:r>
    </w:p>
  </w:footnote>
  <w:footnote w:id="37">
    <w:p w14:paraId="1AD17104" w14:textId="7B37C6CD" w:rsidR="00C508F1" w:rsidRDefault="00C508F1" w:rsidP="008344F4">
      <w:pPr>
        <w:pStyle w:val="FootnoteText"/>
        <w:spacing w:after="0"/>
      </w:pPr>
      <w:r>
        <w:rPr>
          <w:rStyle w:val="FootnoteReference"/>
        </w:rPr>
        <w:footnoteRef/>
      </w:r>
      <w:r>
        <w:tab/>
        <w:t>https://www.etsi.org/deliver/etsi_ts/103400_103499/103478/01.01.01_60/ts_103478v010101p.pdf.</w:t>
      </w:r>
    </w:p>
  </w:footnote>
  <w:footnote w:id="38">
    <w:p w14:paraId="36F2F8B1" w14:textId="43CFC8AE" w:rsidR="00C508F1" w:rsidRPr="007A19E3" w:rsidRDefault="00C508F1" w:rsidP="00442136">
      <w:pPr>
        <w:pStyle w:val="FootnoteText"/>
        <w:spacing w:after="0"/>
        <w:ind w:left="0" w:firstLine="0"/>
      </w:pPr>
      <w:r>
        <w:rPr>
          <w:rStyle w:val="FootnoteReference"/>
        </w:rPr>
        <w:footnoteRef/>
      </w:r>
      <w:r>
        <w:tab/>
        <w:t>Eiropas Parlamenta un Padomes Regulas (ES) 2022/612 (2022. gada 6. aprīlī) par viesabonēšanu publiskajos mobilo sakaru tīklos Savienībā 15. pants.</w:t>
      </w:r>
    </w:p>
  </w:footnote>
  <w:footnote w:id="39">
    <w:p w14:paraId="51B38056" w14:textId="1C0C3B49" w:rsidR="00C508F1" w:rsidRDefault="00C508F1" w:rsidP="00092835">
      <w:pPr>
        <w:pStyle w:val="FootnoteText"/>
        <w:spacing w:after="0"/>
        <w:ind w:left="0" w:firstLine="0"/>
      </w:pPr>
      <w:r>
        <w:rPr>
          <w:rStyle w:val="FootnoteReference"/>
        </w:rPr>
        <w:footnoteRef/>
      </w:r>
      <w:r>
        <w:tab/>
        <w:t>91/396/EEK: Padomes Lēmums (1991. gada 29. jūlijs) par vienota Eiropas neatliekamās palīdzības numura ieviešanu (OV L 217, 6.8.1991.).</w:t>
      </w:r>
    </w:p>
  </w:footnote>
  <w:footnote w:id="40">
    <w:p w14:paraId="3820ACF7" w14:textId="77777777" w:rsidR="00C508F1" w:rsidRPr="00021CCC" w:rsidRDefault="00C508F1" w:rsidP="00C40CC3">
      <w:pPr>
        <w:pStyle w:val="FootnoteText"/>
        <w:ind w:left="709"/>
      </w:pPr>
      <w:r>
        <w:rPr>
          <w:rStyle w:val="FootnoteReference"/>
        </w:rPr>
        <w:footnoteRef/>
      </w:r>
      <w:r>
        <w:tab/>
        <w:t>https://joinup.ec.europa.eu/collection/open-source-observatory-osor/news/eu-gateway-eu-digital-covid-certificate.</w:t>
      </w:r>
    </w:p>
  </w:footnote>
  <w:footnote w:id="41">
    <w:p w14:paraId="59AA5712" w14:textId="1C4B25CE" w:rsidR="00C508F1" w:rsidRPr="00704972" w:rsidRDefault="00C508F1" w:rsidP="00442136">
      <w:pPr>
        <w:pStyle w:val="FootnoteText"/>
        <w:spacing w:after="0"/>
        <w:ind w:left="0" w:firstLine="0"/>
      </w:pPr>
      <w:r>
        <w:rPr>
          <w:rStyle w:val="FootnoteReference"/>
        </w:rPr>
        <w:footnoteRef/>
      </w:r>
      <w:r>
        <w:tab/>
        <w:t>Eiropas Parlamenta un Padomes Regulas (ES) 2022/612 (2022. gada 6. aprīlis) par viesabonēšanu publiskajos mobilo sakaru tīklos Savienībā 3. panta 6.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955F5" w14:textId="77777777" w:rsidR="007D2656" w:rsidRPr="007D2656" w:rsidRDefault="007D2656" w:rsidP="007D2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FBBB" w14:textId="77777777" w:rsidR="007D2656" w:rsidRPr="007D2656" w:rsidRDefault="007D2656" w:rsidP="007D265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858D" w14:textId="77777777" w:rsidR="007D2656" w:rsidRPr="007D2656" w:rsidRDefault="007D2656" w:rsidP="007D265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0866" w14:textId="77777777" w:rsidR="00C508F1" w:rsidRDefault="00C508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0867" w14:textId="77777777" w:rsidR="00C508F1" w:rsidRDefault="00C508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086B" w14:textId="77777777" w:rsidR="00C508F1" w:rsidRDefault="00C50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5461"/>
        </w:tabs>
        <w:ind w:left="5461" w:hanging="360"/>
      </w:pPr>
      <w:rPr>
        <w:rFonts w:cs="Times New Roman"/>
      </w:r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13"/>
    <w:multiLevelType w:val="singleLevel"/>
    <w:tmpl w:val="00000013"/>
    <w:name w:val="WW8Num31"/>
    <w:lvl w:ilvl="0">
      <w:numFmt w:val="bullet"/>
      <w:lvlText w:val="-"/>
      <w:lvlJc w:val="left"/>
      <w:pPr>
        <w:tabs>
          <w:tab w:val="num" w:pos="786"/>
        </w:tabs>
        <w:ind w:left="786" w:hanging="360"/>
      </w:pPr>
      <w:rPr>
        <w:rFonts w:ascii="Times New Roman" w:hAnsi="Times New Roman" w:cs="Times New Roman"/>
      </w:rPr>
    </w:lvl>
  </w:abstractNum>
  <w:abstractNum w:abstractNumId="3" w15:restartNumberingAfterBreak="0">
    <w:nsid w:val="07546484"/>
    <w:multiLevelType w:val="hybridMultilevel"/>
    <w:tmpl w:val="C8E2FAAE"/>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AA3DF5"/>
    <w:multiLevelType w:val="hybridMultilevel"/>
    <w:tmpl w:val="40C65A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D5423"/>
    <w:multiLevelType w:val="hybridMultilevel"/>
    <w:tmpl w:val="211E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F734306"/>
    <w:multiLevelType w:val="multilevel"/>
    <w:tmpl w:val="5BA8B9F6"/>
    <w:lvl w:ilvl="0">
      <w:start w:val="1"/>
      <w:numFmt w:val="decimal"/>
      <w:pStyle w:val="Heading1"/>
      <w:lvlText w:val="%1."/>
      <w:lvlJc w:val="left"/>
      <w:pPr>
        <w:tabs>
          <w:tab w:val="num" w:pos="480"/>
        </w:tabs>
        <w:ind w:left="480" w:hanging="480"/>
      </w:pPr>
      <w:rPr>
        <w:rFonts w:cs="Times New Roman"/>
        <w:b/>
      </w:rPr>
    </w:lvl>
    <w:lvl w:ilvl="1">
      <w:start w:val="1"/>
      <w:numFmt w:val="decimal"/>
      <w:pStyle w:val="Heading2"/>
      <w:lvlText w:val="%1.%2."/>
      <w:lvlJc w:val="left"/>
      <w:pPr>
        <w:tabs>
          <w:tab w:val="num" w:pos="1145"/>
        </w:tabs>
        <w:ind w:left="1145" w:hanging="720"/>
      </w:pPr>
      <w:rPr>
        <w:rFonts w:cs="Times New Roman"/>
      </w:rPr>
    </w:lvl>
    <w:lvl w:ilvl="2">
      <w:start w:val="1"/>
      <w:numFmt w:val="decimal"/>
      <w:pStyle w:val="Heading3"/>
      <w:lvlText w:val="%1.%2.%3."/>
      <w:lvlJc w:val="left"/>
      <w:pPr>
        <w:tabs>
          <w:tab w:val="num" w:pos="1920"/>
        </w:tabs>
        <w:ind w:left="1920" w:hanging="720"/>
      </w:pPr>
      <w:rPr>
        <w:rFonts w:cs="Times New Roman"/>
        <w:b w:val="0"/>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22DD3599"/>
    <w:multiLevelType w:val="multilevel"/>
    <w:tmpl w:val="4EAA5BA6"/>
    <w:lvl w:ilvl="0">
      <w:start w:val="1"/>
      <w:numFmt w:val="decimal"/>
      <w:pStyle w:val="ListNumber"/>
      <w:lvlText w:val="(%1)"/>
      <w:lvlJc w:val="left"/>
      <w:pPr>
        <w:tabs>
          <w:tab w:val="num" w:pos="1069"/>
        </w:tabs>
        <w:ind w:left="1069" w:hanging="709"/>
      </w:pPr>
      <w:rPr>
        <w:rFonts w:cs="Times New Roman"/>
      </w:rPr>
    </w:lvl>
    <w:lvl w:ilvl="1">
      <w:start w:val="1"/>
      <w:numFmt w:val="lowerLetter"/>
      <w:pStyle w:val="ListNumberLevel2"/>
      <w:lvlText w:val="(%2)"/>
      <w:lvlJc w:val="left"/>
      <w:pPr>
        <w:tabs>
          <w:tab w:val="num" w:pos="1777"/>
        </w:tabs>
        <w:ind w:left="1777" w:hanging="708"/>
      </w:pPr>
      <w:rPr>
        <w:rFonts w:cs="Times New Roman"/>
      </w:rPr>
    </w:lvl>
    <w:lvl w:ilvl="2">
      <w:start w:val="1"/>
      <w:numFmt w:val="bullet"/>
      <w:pStyle w:val="ListNumberLevel3"/>
      <w:lvlText w:val="–"/>
      <w:lvlJc w:val="left"/>
      <w:pPr>
        <w:tabs>
          <w:tab w:val="num" w:pos="2486"/>
        </w:tabs>
        <w:ind w:left="2486" w:hanging="709"/>
      </w:pPr>
      <w:rPr>
        <w:rFonts w:ascii="Times New Roman" w:hAnsi="Times New Roman"/>
      </w:rPr>
    </w:lvl>
    <w:lvl w:ilvl="3">
      <w:start w:val="1"/>
      <w:numFmt w:val="bullet"/>
      <w:pStyle w:val="ListNumberLevel4"/>
      <w:lvlText w:val=""/>
      <w:lvlJc w:val="left"/>
      <w:pPr>
        <w:tabs>
          <w:tab w:val="num" w:pos="3195"/>
        </w:tabs>
        <w:ind w:left="3195" w:hanging="709"/>
      </w:pPr>
      <w:rPr>
        <w:rFonts w:ascii="Symbol" w:hAnsi="Symbol"/>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15:restartNumberingAfterBreak="0">
    <w:nsid w:val="260F5503"/>
    <w:multiLevelType w:val="hybridMultilevel"/>
    <w:tmpl w:val="242E5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18B685C"/>
    <w:multiLevelType w:val="hybridMultilevel"/>
    <w:tmpl w:val="7090E878"/>
    <w:lvl w:ilvl="0" w:tplc="2DCC5580">
      <w:start w:val="1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349E4F8A"/>
    <w:multiLevelType w:val="hybridMultilevel"/>
    <w:tmpl w:val="7B2600C2"/>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394D0BE3"/>
    <w:multiLevelType w:val="hybridMultilevel"/>
    <w:tmpl w:val="9D1CB138"/>
    <w:lvl w:ilvl="0" w:tplc="08090001">
      <w:start w:val="1"/>
      <w:numFmt w:val="bullet"/>
      <w:lvlText w:val=""/>
      <w:lvlJc w:val="left"/>
      <w:pPr>
        <w:tabs>
          <w:tab w:val="num" w:pos="2291"/>
        </w:tabs>
        <w:ind w:left="2291"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8" w15:restartNumberingAfterBreak="0">
    <w:nsid w:val="3C0D7AE7"/>
    <w:multiLevelType w:val="hybridMultilevel"/>
    <w:tmpl w:val="86FC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17777F"/>
    <w:multiLevelType w:val="hybridMultilevel"/>
    <w:tmpl w:val="23C481A0"/>
    <w:lvl w:ilvl="0" w:tplc="09F0998A">
      <w:start w:val="1"/>
      <w:numFmt w:val="bullet"/>
      <w:lvlText w:val=""/>
      <w:lvlJc w:val="left"/>
      <w:pPr>
        <w:tabs>
          <w:tab w:val="num" w:pos="283"/>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4101061B"/>
    <w:multiLevelType w:val="multilevel"/>
    <w:tmpl w:val="568A4C1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ascii="Arial" w:hAnsi="Arial" w:cs="Arial" w:hint="default"/>
        <w:color w:val="223344"/>
        <w:sz w:val="19"/>
      </w:rPr>
    </w:lvl>
    <w:lvl w:ilvl="2">
      <w:start w:val="1000"/>
      <w:numFmt w:val="bullet"/>
      <w:lvlText w:val="-"/>
      <w:lvlJc w:val="left"/>
      <w:pPr>
        <w:ind w:left="1800" w:hanging="360"/>
      </w:pPr>
      <w:rPr>
        <w:rFonts w:ascii="Arial" w:eastAsia="Times New Roman" w:hAnsi="Arial" w:cs="Arial"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5DD68C1"/>
    <w:multiLevelType w:val="hybridMultilevel"/>
    <w:tmpl w:val="388A7D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15:restartNumberingAfterBreak="0">
    <w:nsid w:val="47D15D19"/>
    <w:multiLevelType w:val="hybridMultilevel"/>
    <w:tmpl w:val="A21238B6"/>
    <w:lvl w:ilvl="0" w:tplc="09F0998A">
      <w:start w:val="1"/>
      <w:numFmt w:val="bullet"/>
      <w:lvlText w:val=""/>
      <w:lvlJc w:val="left"/>
      <w:pPr>
        <w:tabs>
          <w:tab w:val="num" w:pos="283"/>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E4484D"/>
    <w:multiLevelType w:val="hybridMultilevel"/>
    <w:tmpl w:val="44829928"/>
    <w:lvl w:ilvl="0" w:tplc="04090005">
      <w:start w:val="1"/>
      <w:numFmt w:val="bullet"/>
      <w:lvlText w:val=""/>
      <w:lvlJc w:val="left"/>
      <w:pPr>
        <w:tabs>
          <w:tab w:val="num" w:pos="2100"/>
        </w:tabs>
        <w:ind w:left="2100" w:hanging="360"/>
      </w:pPr>
      <w:rPr>
        <w:rFonts w:ascii="Wingdings" w:hAnsi="Wingdings" w:hint="default"/>
      </w:rPr>
    </w:lvl>
    <w:lvl w:ilvl="1" w:tplc="04090003" w:tentative="1">
      <w:start w:val="1"/>
      <w:numFmt w:val="bullet"/>
      <w:lvlText w:val="o"/>
      <w:lvlJc w:val="left"/>
      <w:pPr>
        <w:tabs>
          <w:tab w:val="num" w:pos="2820"/>
        </w:tabs>
        <w:ind w:left="2820" w:hanging="360"/>
      </w:pPr>
      <w:rPr>
        <w:rFonts w:ascii="Courier New" w:hAnsi="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26" w15:restartNumberingAfterBreak="0">
    <w:nsid w:val="48E0093C"/>
    <w:multiLevelType w:val="hybridMultilevel"/>
    <w:tmpl w:val="DCE4A406"/>
    <w:lvl w:ilvl="0" w:tplc="04180005">
      <w:start w:val="1"/>
      <w:numFmt w:val="bullet"/>
      <w:lvlText w:val=""/>
      <w:lvlJc w:val="left"/>
      <w:pPr>
        <w:tabs>
          <w:tab w:val="num" w:pos="1500"/>
        </w:tabs>
        <w:ind w:left="1500" w:hanging="360"/>
      </w:pPr>
      <w:rPr>
        <w:rFonts w:ascii="Wingdings" w:hAnsi="Wingdings" w:hint="default"/>
      </w:rPr>
    </w:lvl>
    <w:lvl w:ilvl="1" w:tplc="04180003" w:tentative="1">
      <w:start w:val="1"/>
      <w:numFmt w:val="bullet"/>
      <w:lvlText w:val="o"/>
      <w:lvlJc w:val="left"/>
      <w:pPr>
        <w:tabs>
          <w:tab w:val="num" w:pos="2220"/>
        </w:tabs>
        <w:ind w:left="2220" w:hanging="360"/>
      </w:pPr>
      <w:rPr>
        <w:rFonts w:ascii="Courier New" w:hAnsi="Courier New" w:cs="Courier New" w:hint="default"/>
      </w:rPr>
    </w:lvl>
    <w:lvl w:ilvl="2" w:tplc="04180005" w:tentative="1">
      <w:start w:val="1"/>
      <w:numFmt w:val="bullet"/>
      <w:lvlText w:val=""/>
      <w:lvlJc w:val="left"/>
      <w:pPr>
        <w:tabs>
          <w:tab w:val="num" w:pos="2940"/>
        </w:tabs>
        <w:ind w:left="2940" w:hanging="360"/>
      </w:pPr>
      <w:rPr>
        <w:rFonts w:ascii="Wingdings" w:hAnsi="Wingdings" w:hint="default"/>
      </w:rPr>
    </w:lvl>
    <w:lvl w:ilvl="3" w:tplc="04180001" w:tentative="1">
      <w:start w:val="1"/>
      <w:numFmt w:val="bullet"/>
      <w:lvlText w:val=""/>
      <w:lvlJc w:val="left"/>
      <w:pPr>
        <w:tabs>
          <w:tab w:val="num" w:pos="3660"/>
        </w:tabs>
        <w:ind w:left="3660" w:hanging="360"/>
      </w:pPr>
      <w:rPr>
        <w:rFonts w:ascii="Symbol" w:hAnsi="Symbol" w:hint="default"/>
      </w:rPr>
    </w:lvl>
    <w:lvl w:ilvl="4" w:tplc="04180003" w:tentative="1">
      <w:start w:val="1"/>
      <w:numFmt w:val="bullet"/>
      <w:lvlText w:val="o"/>
      <w:lvlJc w:val="left"/>
      <w:pPr>
        <w:tabs>
          <w:tab w:val="num" w:pos="4380"/>
        </w:tabs>
        <w:ind w:left="4380" w:hanging="360"/>
      </w:pPr>
      <w:rPr>
        <w:rFonts w:ascii="Courier New" w:hAnsi="Courier New" w:cs="Courier New" w:hint="default"/>
      </w:rPr>
    </w:lvl>
    <w:lvl w:ilvl="5" w:tplc="04180005" w:tentative="1">
      <w:start w:val="1"/>
      <w:numFmt w:val="bullet"/>
      <w:lvlText w:val=""/>
      <w:lvlJc w:val="left"/>
      <w:pPr>
        <w:tabs>
          <w:tab w:val="num" w:pos="5100"/>
        </w:tabs>
        <w:ind w:left="5100" w:hanging="360"/>
      </w:pPr>
      <w:rPr>
        <w:rFonts w:ascii="Wingdings" w:hAnsi="Wingdings" w:hint="default"/>
      </w:rPr>
    </w:lvl>
    <w:lvl w:ilvl="6" w:tplc="04180001" w:tentative="1">
      <w:start w:val="1"/>
      <w:numFmt w:val="bullet"/>
      <w:lvlText w:val=""/>
      <w:lvlJc w:val="left"/>
      <w:pPr>
        <w:tabs>
          <w:tab w:val="num" w:pos="5820"/>
        </w:tabs>
        <w:ind w:left="5820" w:hanging="360"/>
      </w:pPr>
      <w:rPr>
        <w:rFonts w:ascii="Symbol" w:hAnsi="Symbol" w:hint="default"/>
      </w:rPr>
    </w:lvl>
    <w:lvl w:ilvl="7" w:tplc="04180003" w:tentative="1">
      <w:start w:val="1"/>
      <w:numFmt w:val="bullet"/>
      <w:lvlText w:val="o"/>
      <w:lvlJc w:val="left"/>
      <w:pPr>
        <w:tabs>
          <w:tab w:val="num" w:pos="6540"/>
        </w:tabs>
        <w:ind w:left="6540" w:hanging="360"/>
      </w:pPr>
      <w:rPr>
        <w:rFonts w:ascii="Courier New" w:hAnsi="Courier New" w:cs="Courier New" w:hint="default"/>
      </w:rPr>
    </w:lvl>
    <w:lvl w:ilvl="8" w:tplc="0418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50312E28"/>
    <w:multiLevelType w:val="hybridMultilevel"/>
    <w:tmpl w:val="D8D4D7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5C4929"/>
    <w:multiLevelType w:val="hybridMultilevel"/>
    <w:tmpl w:val="C694D4A0"/>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0" w15:restartNumberingAfterBreak="0">
    <w:nsid w:val="55074819"/>
    <w:multiLevelType w:val="hybridMultilevel"/>
    <w:tmpl w:val="C68ED810"/>
    <w:lvl w:ilvl="0" w:tplc="2A4036C0">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82543C2"/>
    <w:multiLevelType w:val="hybridMultilevel"/>
    <w:tmpl w:val="8F7876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6" w15:restartNumberingAfterBreak="0">
    <w:nsid w:val="7074745F"/>
    <w:multiLevelType w:val="hybridMultilevel"/>
    <w:tmpl w:val="B7F6CF58"/>
    <w:lvl w:ilvl="0" w:tplc="9E8C11FE">
      <w:start w:val="1000"/>
      <w:numFmt w:val="bullet"/>
      <w:lvlText w:val="-"/>
      <w:lvlJc w:val="left"/>
      <w:pPr>
        <w:ind w:left="360" w:hanging="360"/>
      </w:pPr>
      <w:rPr>
        <w:rFonts w:ascii="Arial" w:eastAsia="Times New Roman"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7" w15:restartNumberingAfterBreak="0">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4F36528"/>
    <w:multiLevelType w:val="hybridMultilevel"/>
    <w:tmpl w:val="37C6F2D4"/>
    <w:lvl w:ilvl="0" w:tplc="E14A60B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20"/>
  </w:num>
  <w:num w:numId="5">
    <w:abstractNumId w:val="10"/>
  </w:num>
  <w:num w:numId="6">
    <w:abstractNumId w:val="17"/>
  </w:num>
  <w:num w:numId="7">
    <w:abstractNumId w:val="34"/>
  </w:num>
  <w:num w:numId="8">
    <w:abstractNumId w:val="35"/>
  </w:num>
  <w:num w:numId="9">
    <w:abstractNumId w:val="13"/>
  </w:num>
  <w:num w:numId="10">
    <w:abstractNumId w:val="33"/>
  </w:num>
  <w:num w:numId="11">
    <w:abstractNumId w:val="32"/>
  </w:num>
  <w:num w:numId="12">
    <w:abstractNumId w:val="23"/>
  </w:num>
  <w:num w:numId="13">
    <w:abstractNumId w:val="29"/>
  </w:num>
  <w:num w:numId="14">
    <w:abstractNumId w:val="8"/>
  </w:num>
  <w:num w:numId="15">
    <w:abstractNumId w:val="15"/>
  </w:num>
  <w:num w:numId="16">
    <w:abstractNumId w:val="6"/>
  </w:num>
  <w:num w:numId="17">
    <w:abstractNumId w:val="11"/>
  </w:num>
  <w:num w:numId="18">
    <w:abstractNumId w:val="37"/>
  </w:num>
  <w:num w:numId="19">
    <w:abstractNumId w:val="5"/>
  </w:num>
  <w:num w:numId="20">
    <w:abstractNumId w:val="19"/>
  </w:num>
  <w:num w:numId="21">
    <w:abstractNumId w:val="4"/>
  </w:num>
  <w:num w:numId="22">
    <w:abstractNumId w:val="27"/>
  </w:num>
  <w:num w:numId="23">
    <w:abstractNumId w:val="24"/>
  </w:num>
  <w:num w:numId="24">
    <w:abstractNumId w:val="25"/>
  </w:num>
  <w:num w:numId="25">
    <w:abstractNumId w:val="28"/>
  </w:num>
  <w:num w:numId="26">
    <w:abstractNumId w:val="36"/>
  </w:num>
  <w:num w:numId="27">
    <w:abstractNumId w:val="21"/>
  </w:num>
  <w:num w:numId="28">
    <w:abstractNumId w:val="30"/>
  </w:num>
  <w:num w:numId="29">
    <w:abstractNumId w:val="26"/>
  </w:num>
  <w:num w:numId="30">
    <w:abstractNumId w:val="12"/>
  </w:num>
  <w:num w:numId="31">
    <w:abstractNumId w:val="9"/>
  </w:num>
  <w:num w:numId="32">
    <w:abstractNumId w:val="2"/>
  </w:num>
  <w:num w:numId="33">
    <w:abstractNumId w:val="16"/>
  </w:num>
  <w:num w:numId="34">
    <w:abstractNumId w:val="18"/>
  </w:num>
  <w:num w:numId="35">
    <w:abstractNumId w:val="14"/>
  </w:num>
  <w:num w:numId="36">
    <w:abstractNumId w:val="31"/>
  </w:num>
  <w:num w:numId="37">
    <w:abstractNumId w:val="38"/>
  </w:num>
  <w:num w:numId="38">
    <w:abstractNumId w:val="2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s-ES" w:vendorID="64" w:dllVersion="6" w:nlCheck="1" w:checkStyle="0"/>
  <w:activeWritingStyle w:appName="MSWord" w:lang="it-IT" w:vendorID="64" w:dllVersion="6" w:nlCheck="1" w:checkStyle="0"/>
  <w:activeWritingStyle w:appName="MSWord" w:lang="en-GB" w:vendorID="64" w:dllVersion="0" w:nlCheck="1" w:checkStyle="0"/>
  <w:activeWritingStyle w:appName="MSWord" w:lang="es-ES" w:vendorID="64" w:dllVersion="0" w:nlCheck="1" w:checkStyle="0"/>
  <w:activeWritingStyle w:appName="MSWord" w:lang="en-IE"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es-ES" w:vendorID="64" w:dllVersion="131078" w:nlCheck="1" w:checkStyle="0"/>
  <w:activeWritingStyle w:appName="MSWord" w:lang="en-US" w:vendorID="64" w:dllVersion="131078" w:nlCheck="1" w:checkStyle="1"/>
  <w:revisionView w:markup="0"/>
  <w:defaultTabStop w:val="720"/>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21DBE07-65E9-42F2-BB77-71DB9B796050"/>
    <w:docVar w:name="LW_COVERPAGE_TYPE" w:val="1"/>
    <w:docVar w:name="LW_CROSSREFERENCE" w:val="&lt;UNUSED&gt;"/>
    <w:docVar w:name="LW_DocType" w:val="NORMAL"/>
    <w:docVar w:name="LW_EMISSION" w:val="16.12.2022"/>
    <w:docVar w:name="LW_EMISSION_ISODATE" w:val="2022-12-16"/>
    <w:docVar w:name="LW_EMISSION_LOCATION" w:val="BRX"/>
    <w:docVar w:name="LW_EMISSION_PREFIX" w:val="Brisel\u275?, "/>
    <w:docVar w:name="LW_EMISSION_SUFFIX" w:val="."/>
    <w:docVar w:name="LW_ID_DOCTYPE_NONLW" w:val="CP-006"/>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2) 7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par vienotā Eiropas neatliekamās palīdzības numura “112” īstenošanas efektivitāti&lt;/FMT&gt;"/>
    <w:docVar w:name="LW_TYPE.DOC.CP" w:val="KOMISIJAS ZIŅOJUMS EIROPAS PARLAMENTAM UN PADOMEI"/>
    <w:docVar w:name="LwApiVersions" w:val="LW4CoDe 1.23.2.0; LW 8.0, Build 20211117"/>
  </w:docVars>
  <w:rsids>
    <w:rsidRoot w:val="00090BB0"/>
    <w:rsid w:val="000074DA"/>
    <w:rsid w:val="00013E84"/>
    <w:rsid w:val="00023DA2"/>
    <w:rsid w:val="00063A30"/>
    <w:rsid w:val="00090BB0"/>
    <w:rsid w:val="00092835"/>
    <w:rsid w:val="000D492A"/>
    <w:rsid w:val="000D7985"/>
    <w:rsid w:val="000E1DB6"/>
    <w:rsid w:val="000E2731"/>
    <w:rsid w:val="000E54E9"/>
    <w:rsid w:val="00101188"/>
    <w:rsid w:val="001042AE"/>
    <w:rsid w:val="001136D1"/>
    <w:rsid w:val="001139E2"/>
    <w:rsid w:val="001204FC"/>
    <w:rsid w:val="001243C1"/>
    <w:rsid w:val="001342D2"/>
    <w:rsid w:val="0014089D"/>
    <w:rsid w:val="00191FF9"/>
    <w:rsid w:val="00192F06"/>
    <w:rsid w:val="001A4CE4"/>
    <w:rsid w:val="001B0663"/>
    <w:rsid w:val="001B06CF"/>
    <w:rsid w:val="001D4381"/>
    <w:rsid w:val="001F6D55"/>
    <w:rsid w:val="00201AA3"/>
    <w:rsid w:val="00205580"/>
    <w:rsid w:val="002066E1"/>
    <w:rsid w:val="002225BA"/>
    <w:rsid w:val="00240E00"/>
    <w:rsid w:val="002556B5"/>
    <w:rsid w:val="00257F01"/>
    <w:rsid w:val="002770CB"/>
    <w:rsid w:val="00286AB1"/>
    <w:rsid w:val="002A7DC2"/>
    <w:rsid w:val="002B223A"/>
    <w:rsid w:val="003068FF"/>
    <w:rsid w:val="00312EF9"/>
    <w:rsid w:val="003165F6"/>
    <w:rsid w:val="00320D2F"/>
    <w:rsid w:val="003212F8"/>
    <w:rsid w:val="0034675A"/>
    <w:rsid w:val="0035388B"/>
    <w:rsid w:val="003625FA"/>
    <w:rsid w:val="00365E5C"/>
    <w:rsid w:val="00367AF9"/>
    <w:rsid w:val="00376FDA"/>
    <w:rsid w:val="003A3076"/>
    <w:rsid w:val="003A5D92"/>
    <w:rsid w:val="003B0808"/>
    <w:rsid w:val="003B63DC"/>
    <w:rsid w:val="003C3418"/>
    <w:rsid w:val="003E1FA3"/>
    <w:rsid w:val="003F4A16"/>
    <w:rsid w:val="004270B5"/>
    <w:rsid w:val="00441F49"/>
    <w:rsid w:val="00442136"/>
    <w:rsid w:val="004430D7"/>
    <w:rsid w:val="00443C86"/>
    <w:rsid w:val="00445C61"/>
    <w:rsid w:val="00486E3C"/>
    <w:rsid w:val="004B6263"/>
    <w:rsid w:val="004B6D43"/>
    <w:rsid w:val="004C1284"/>
    <w:rsid w:val="004C1C4E"/>
    <w:rsid w:val="004E1732"/>
    <w:rsid w:val="004F180A"/>
    <w:rsid w:val="00503DEF"/>
    <w:rsid w:val="00503FE4"/>
    <w:rsid w:val="00507ACD"/>
    <w:rsid w:val="00512269"/>
    <w:rsid w:val="0051364E"/>
    <w:rsid w:val="00550867"/>
    <w:rsid w:val="00551B41"/>
    <w:rsid w:val="00585BC4"/>
    <w:rsid w:val="005904F9"/>
    <w:rsid w:val="005A2764"/>
    <w:rsid w:val="005B15C6"/>
    <w:rsid w:val="005D29C0"/>
    <w:rsid w:val="00604AC5"/>
    <w:rsid w:val="00647E98"/>
    <w:rsid w:val="00682845"/>
    <w:rsid w:val="006C6E7D"/>
    <w:rsid w:val="006D4FD4"/>
    <w:rsid w:val="006E3138"/>
    <w:rsid w:val="00704972"/>
    <w:rsid w:val="0071323B"/>
    <w:rsid w:val="007976AB"/>
    <w:rsid w:val="007A19E3"/>
    <w:rsid w:val="007B518E"/>
    <w:rsid w:val="007C026D"/>
    <w:rsid w:val="007D2656"/>
    <w:rsid w:val="007E32A1"/>
    <w:rsid w:val="007F693E"/>
    <w:rsid w:val="0081204D"/>
    <w:rsid w:val="008168F4"/>
    <w:rsid w:val="0083317E"/>
    <w:rsid w:val="008344F4"/>
    <w:rsid w:val="0083544F"/>
    <w:rsid w:val="00840E1C"/>
    <w:rsid w:val="0084223A"/>
    <w:rsid w:val="00854C1B"/>
    <w:rsid w:val="0086356F"/>
    <w:rsid w:val="0088454A"/>
    <w:rsid w:val="00885C1C"/>
    <w:rsid w:val="0088729B"/>
    <w:rsid w:val="008A1B83"/>
    <w:rsid w:val="008A675B"/>
    <w:rsid w:val="008B5874"/>
    <w:rsid w:val="008B7C1D"/>
    <w:rsid w:val="008B7C64"/>
    <w:rsid w:val="008C6FC0"/>
    <w:rsid w:val="008D0356"/>
    <w:rsid w:val="008D69DC"/>
    <w:rsid w:val="008E4526"/>
    <w:rsid w:val="008F64C3"/>
    <w:rsid w:val="0092347D"/>
    <w:rsid w:val="0092481C"/>
    <w:rsid w:val="00924DE1"/>
    <w:rsid w:val="00925C28"/>
    <w:rsid w:val="00956A26"/>
    <w:rsid w:val="00981F7C"/>
    <w:rsid w:val="00990AC8"/>
    <w:rsid w:val="0099677E"/>
    <w:rsid w:val="00997803"/>
    <w:rsid w:val="009A5CE5"/>
    <w:rsid w:val="009C5C93"/>
    <w:rsid w:val="009D0F8E"/>
    <w:rsid w:val="009E5ED2"/>
    <w:rsid w:val="009F3758"/>
    <w:rsid w:val="00A61613"/>
    <w:rsid w:val="00A76E99"/>
    <w:rsid w:val="00AA07B7"/>
    <w:rsid w:val="00AC52E8"/>
    <w:rsid w:val="00AD0E98"/>
    <w:rsid w:val="00AD66C2"/>
    <w:rsid w:val="00AE01A0"/>
    <w:rsid w:val="00AF5035"/>
    <w:rsid w:val="00B14640"/>
    <w:rsid w:val="00B1648B"/>
    <w:rsid w:val="00B173C5"/>
    <w:rsid w:val="00B25AD6"/>
    <w:rsid w:val="00B47CB8"/>
    <w:rsid w:val="00B72EA2"/>
    <w:rsid w:val="00B82BFF"/>
    <w:rsid w:val="00B90349"/>
    <w:rsid w:val="00BB793C"/>
    <w:rsid w:val="00BB7A07"/>
    <w:rsid w:val="00BC4380"/>
    <w:rsid w:val="00BE0A0B"/>
    <w:rsid w:val="00BE573D"/>
    <w:rsid w:val="00BF162B"/>
    <w:rsid w:val="00C01732"/>
    <w:rsid w:val="00C40CC3"/>
    <w:rsid w:val="00C44C13"/>
    <w:rsid w:val="00C508F1"/>
    <w:rsid w:val="00C51D1B"/>
    <w:rsid w:val="00C52F6A"/>
    <w:rsid w:val="00C53A91"/>
    <w:rsid w:val="00C72853"/>
    <w:rsid w:val="00C84A05"/>
    <w:rsid w:val="00CA5A07"/>
    <w:rsid w:val="00CB321E"/>
    <w:rsid w:val="00CB758C"/>
    <w:rsid w:val="00CC6592"/>
    <w:rsid w:val="00CD2C31"/>
    <w:rsid w:val="00CD340C"/>
    <w:rsid w:val="00CE3835"/>
    <w:rsid w:val="00CF7FF1"/>
    <w:rsid w:val="00D0453E"/>
    <w:rsid w:val="00D13FCC"/>
    <w:rsid w:val="00D1473D"/>
    <w:rsid w:val="00D15AAC"/>
    <w:rsid w:val="00D21953"/>
    <w:rsid w:val="00D231A6"/>
    <w:rsid w:val="00D412F5"/>
    <w:rsid w:val="00D52D0E"/>
    <w:rsid w:val="00D63B8C"/>
    <w:rsid w:val="00D81065"/>
    <w:rsid w:val="00D820F1"/>
    <w:rsid w:val="00DA2E75"/>
    <w:rsid w:val="00DA7105"/>
    <w:rsid w:val="00DD08C5"/>
    <w:rsid w:val="00DD4465"/>
    <w:rsid w:val="00DE1619"/>
    <w:rsid w:val="00DF00F7"/>
    <w:rsid w:val="00DF79E7"/>
    <w:rsid w:val="00E02054"/>
    <w:rsid w:val="00E04F9C"/>
    <w:rsid w:val="00E27B46"/>
    <w:rsid w:val="00E3359A"/>
    <w:rsid w:val="00E354C3"/>
    <w:rsid w:val="00E356C8"/>
    <w:rsid w:val="00E36E50"/>
    <w:rsid w:val="00E51F7C"/>
    <w:rsid w:val="00E5726B"/>
    <w:rsid w:val="00E61877"/>
    <w:rsid w:val="00E6400C"/>
    <w:rsid w:val="00E70C4F"/>
    <w:rsid w:val="00E71821"/>
    <w:rsid w:val="00E95928"/>
    <w:rsid w:val="00EA1A06"/>
    <w:rsid w:val="00EA1EA0"/>
    <w:rsid w:val="00EC0CDE"/>
    <w:rsid w:val="00EC4C2D"/>
    <w:rsid w:val="00ED6404"/>
    <w:rsid w:val="00F0038A"/>
    <w:rsid w:val="00F027C2"/>
    <w:rsid w:val="00F11004"/>
    <w:rsid w:val="00F15905"/>
    <w:rsid w:val="00F16C9A"/>
    <w:rsid w:val="00F36C79"/>
    <w:rsid w:val="00F5144A"/>
    <w:rsid w:val="00F519ED"/>
    <w:rsid w:val="00F579B1"/>
    <w:rsid w:val="00F759DD"/>
    <w:rsid w:val="00F82190"/>
    <w:rsid w:val="00F85F82"/>
    <w:rsid w:val="00F93C5D"/>
    <w:rsid w:val="00FA35F8"/>
    <w:rsid w:val="00FA4E34"/>
    <w:rsid w:val="00FB254D"/>
    <w:rsid w:val="00FB5CB8"/>
    <w:rsid w:val="00FE477B"/>
    <w:rsid w:val="00FE6348"/>
    <w:rsid w:val="00FF6B38"/>
    <w:rsid w:val="00FF74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B1C0495"/>
  <w15:docId w15:val="{B86B48F6-CC74-4DC6-8FD5-660773CE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lv-LV" w:eastAsia="lv-LV"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A07"/>
  </w:style>
  <w:style w:type="paragraph" w:styleId="Heading1">
    <w:name w:val="heading 1"/>
    <w:basedOn w:val="Normal"/>
    <w:next w:val="Text1"/>
    <w:link w:val="Heading1Char"/>
    <w:qFormat/>
    <w:pPr>
      <w:keepNext/>
      <w:numPr>
        <w:numId w:val="3"/>
      </w:numPr>
      <w:spacing w:before="240" w:after="240" w:line="240" w:lineRule="auto"/>
      <w:jc w:val="both"/>
      <w:outlineLvl w:val="0"/>
    </w:pPr>
    <w:rPr>
      <w:rFonts w:ascii="Times New Roman" w:eastAsia="Times New Roman" w:hAnsi="Times New Roman" w:cs="Times New Roman"/>
      <w:b/>
      <w:smallCaps/>
      <w:sz w:val="24"/>
    </w:rPr>
  </w:style>
  <w:style w:type="paragraph" w:styleId="Heading2">
    <w:name w:val="heading 2"/>
    <w:basedOn w:val="Normal"/>
    <w:next w:val="Text2"/>
    <w:link w:val="Heading2Char"/>
    <w:qFormat/>
    <w:pPr>
      <w:keepNext/>
      <w:numPr>
        <w:ilvl w:val="1"/>
        <w:numId w:val="3"/>
      </w:numPr>
      <w:spacing w:after="240" w:line="240" w:lineRule="auto"/>
      <w:jc w:val="both"/>
      <w:outlineLvl w:val="1"/>
    </w:pPr>
    <w:rPr>
      <w:rFonts w:ascii="Times New Roman" w:eastAsia="Times New Roman" w:hAnsi="Times New Roman" w:cs="Times New Roman"/>
      <w:b/>
      <w:sz w:val="24"/>
    </w:rPr>
  </w:style>
  <w:style w:type="paragraph" w:styleId="Heading3">
    <w:name w:val="heading 3"/>
    <w:basedOn w:val="Normal"/>
    <w:next w:val="Text3"/>
    <w:link w:val="Heading3Char"/>
    <w:qFormat/>
    <w:pPr>
      <w:keepNext/>
      <w:numPr>
        <w:ilvl w:val="2"/>
        <w:numId w:val="3"/>
      </w:numPr>
      <w:spacing w:after="240" w:line="240" w:lineRule="auto"/>
      <w:jc w:val="both"/>
      <w:outlineLvl w:val="2"/>
    </w:pPr>
    <w:rPr>
      <w:rFonts w:ascii="Times New Roman" w:eastAsia="Times New Roman" w:hAnsi="Times New Roman" w:cs="Times New Roman"/>
      <w:i/>
      <w:sz w:val="24"/>
    </w:rPr>
  </w:style>
  <w:style w:type="paragraph" w:styleId="Heading4">
    <w:name w:val="heading 4"/>
    <w:basedOn w:val="Normal"/>
    <w:next w:val="Text4"/>
    <w:link w:val="Heading4Char"/>
    <w:qFormat/>
    <w:pPr>
      <w:keepNext/>
      <w:numPr>
        <w:ilvl w:val="3"/>
        <w:numId w:val="3"/>
      </w:numPr>
      <w:spacing w:after="240" w:line="240" w:lineRule="auto"/>
      <w:jc w:val="both"/>
      <w:outlineLvl w:val="3"/>
    </w:pPr>
    <w:rPr>
      <w:rFonts w:ascii="Times New Roman" w:eastAsia="Times New Roman" w:hAnsi="Times New Roman" w:cs="Times New Roman"/>
      <w:sz w:val="24"/>
    </w:rPr>
  </w:style>
  <w:style w:type="paragraph" w:styleId="Heading5">
    <w:name w:val="heading 5"/>
    <w:basedOn w:val="Normal"/>
    <w:next w:val="Normal"/>
    <w:link w:val="Heading5Char"/>
    <w:qFormat/>
    <w:pPr>
      <w:tabs>
        <w:tab w:val="num" w:pos="0"/>
      </w:tabs>
      <w:spacing w:before="240" w:after="60" w:line="240" w:lineRule="auto"/>
      <w:jc w:val="both"/>
      <w:outlineLvl w:val="4"/>
    </w:pPr>
    <w:rPr>
      <w:rFonts w:ascii="Arial" w:eastAsia="Times New Roman" w:hAnsi="Arial" w:cs="Times New Roman"/>
    </w:rPr>
  </w:style>
  <w:style w:type="paragraph" w:styleId="Heading6">
    <w:name w:val="heading 6"/>
    <w:basedOn w:val="Normal"/>
    <w:next w:val="Normal"/>
    <w:link w:val="Heading6Char"/>
    <w:qFormat/>
    <w:pPr>
      <w:tabs>
        <w:tab w:val="num" w:pos="0"/>
      </w:tabs>
      <w:spacing w:before="240" w:after="60" w:line="240" w:lineRule="auto"/>
      <w:jc w:val="both"/>
      <w:outlineLvl w:val="5"/>
    </w:pPr>
    <w:rPr>
      <w:rFonts w:ascii="Arial" w:eastAsia="Times New Roman" w:hAnsi="Arial" w:cs="Times New Roman"/>
      <w:i/>
    </w:rPr>
  </w:style>
  <w:style w:type="paragraph" w:styleId="Heading7">
    <w:name w:val="heading 7"/>
    <w:basedOn w:val="Normal"/>
    <w:next w:val="Normal"/>
    <w:link w:val="Heading7Char"/>
    <w:qFormat/>
    <w:pPr>
      <w:tabs>
        <w:tab w:val="num" w:pos="0"/>
      </w:tabs>
      <w:spacing w:before="240" w:after="60" w:line="240" w:lineRule="auto"/>
      <w:jc w:val="both"/>
      <w:outlineLvl w:val="6"/>
    </w:pPr>
    <w:rPr>
      <w:rFonts w:ascii="Arial" w:eastAsia="Times New Roman" w:hAnsi="Arial" w:cs="Times New Roman"/>
      <w:sz w:val="20"/>
    </w:rPr>
  </w:style>
  <w:style w:type="paragraph" w:styleId="Heading8">
    <w:name w:val="heading 8"/>
    <w:basedOn w:val="Normal"/>
    <w:next w:val="Normal"/>
    <w:link w:val="Heading8Char"/>
    <w:qFormat/>
    <w:pPr>
      <w:tabs>
        <w:tab w:val="num" w:pos="0"/>
      </w:tabs>
      <w:spacing w:before="240" w:after="60" w:line="240" w:lineRule="auto"/>
      <w:jc w:val="both"/>
      <w:outlineLvl w:val="7"/>
    </w:pPr>
    <w:rPr>
      <w:rFonts w:ascii="Arial" w:eastAsia="Times New Roman" w:hAnsi="Arial" w:cs="Times New Roman"/>
      <w:i/>
      <w:sz w:val="20"/>
    </w:rPr>
  </w:style>
  <w:style w:type="paragraph" w:styleId="Heading9">
    <w:name w:val="heading 9"/>
    <w:basedOn w:val="Normal"/>
    <w:next w:val="Normal"/>
    <w:link w:val="Heading9Char"/>
    <w:qFormat/>
    <w:pPr>
      <w:tabs>
        <w:tab w:val="num" w:pos="0"/>
      </w:tabs>
      <w:spacing w:before="240" w:after="60" w:line="240" w:lineRule="auto"/>
      <w:jc w:val="both"/>
      <w:outlineLvl w:val="8"/>
    </w:pPr>
    <w:rPr>
      <w:rFonts w:ascii="Arial" w:eastAsia="Times New Roman" w:hAnsi="Arial" w:cs="Times New Roman"/>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Times New Roman" w:hAnsi="Times New Roman" w:cs="Times New Roman"/>
      <w:b/>
      <w:smallCaps/>
      <w:sz w:val="24"/>
    </w:rPr>
  </w:style>
  <w:style w:type="character" w:customStyle="1" w:styleId="Heading2Char">
    <w:name w:val="Heading 2 Char"/>
    <w:basedOn w:val="DefaultParagraphFont"/>
    <w:link w:val="Heading2"/>
    <w:rPr>
      <w:rFonts w:ascii="Times New Roman" w:eastAsia="Times New Roman" w:hAnsi="Times New Roman" w:cs="Times New Roman"/>
      <w:b/>
      <w:sz w:val="24"/>
    </w:rPr>
  </w:style>
  <w:style w:type="character" w:customStyle="1" w:styleId="Heading3Char">
    <w:name w:val="Heading 3 Char"/>
    <w:basedOn w:val="DefaultParagraphFont"/>
    <w:link w:val="Heading3"/>
    <w:rPr>
      <w:rFonts w:ascii="Times New Roman" w:eastAsia="Times New Roman" w:hAnsi="Times New Roman" w:cs="Times New Roman"/>
      <w:i/>
      <w:sz w:val="24"/>
    </w:rPr>
  </w:style>
  <w:style w:type="character" w:customStyle="1" w:styleId="Heading4Char">
    <w:name w:val="Heading 4 Char"/>
    <w:basedOn w:val="DefaultParagraphFont"/>
    <w:link w:val="Heading4"/>
    <w:rPr>
      <w:rFonts w:ascii="Times New Roman" w:eastAsia="Times New Roman" w:hAnsi="Times New Roman" w:cs="Times New Roman"/>
      <w:sz w:val="24"/>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i/>
    </w:rPr>
  </w:style>
  <w:style w:type="character" w:customStyle="1" w:styleId="Heading7Char">
    <w:name w:val="Heading 7 Char"/>
    <w:basedOn w:val="DefaultParagraphFont"/>
    <w:link w:val="Heading7"/>
    <w:rPr>
      <w:rFonts w:ascii="Arial" w:eastAsia="Times New Roman" w:hAnsi="Arial" w:cs="Times New Roman"/>
      <w:sz w:val="20"/>
    </w:rPr>
  </w:style>
  <w:style w:type="character" w:customStyle="1" w:styleId="Heading8Char">
    <w:name w:val="Heading 8 Char"/>
    <w:basedOn w:val="DefaultParagraphFont"/>
    <w:link w:val="Heading8"/>
    <w:rPr>
      <w:rFonts w:ascii="Arial" w:eastAsia="Times New Roman" w:hAnsi="Arial" w:cs="Times New Roman"/>
      <w:i/>
      <w:sz w:val="20"/>
    </w:rPr>
  </w:style>
  <w:style w:type="character" w:customStyle="1" w:styleId="Heading9Char">
    <w:name w:val="Heading 9 Char"/>
    <w:basedOn w:val="DefaultParagraphFont"/>
    <w:link w:val="Heading9"/>
    <w:rPr>
      <w:rFonts w:ascii="Arial" w:eastAsia="Times New Roman" w:hAnsi="Arial" w:cs="Times New Roman"/>
      <w:i/>
      <w:sz w:val="18"/>
    </w:rPr>
  </w:style>
  <w:style w:type="numbering" w:customStyle="1" w:styleId="NoList1">
    <w:name w:val="No List1"/>
    <w:next w:val="NoList"/>
    <w:uiPriority w:val="99"/>
    <w:semiHidden/>
    <w:unhideWhenUsed/>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rPr>
  </w:style>
  <w:style w:type="paragraph" w:customStyle="1" w:styleId="Text3">
    <w:name w:val="Text 3"/>
    <w:basedOn w:val="Normal"/>
    <w:pPr>
      <w:tabs>
        <w:tab w:val="left" w:pos="2302"/>
      </w:tabs>
      <w:spacing w:after="240" w:line="240" w:lineRule="auto"/>
      <w:ind w:left="1202"/>
      <w:jc w:val="both"/>
    </w:pPr>
    <w:rPr>
      <w:rFonts w:ascii="Times New Roman" w:eastAsia="Times New Roman" w:hAnsi="Times New Roman" w:cs="Times New Roman"/>
      <w:sz w:val="24"/>
    </w:rPr>
  </w:style>
  <w:style w:type="paragraph" w:customStyle="1" w:styleId="Text4">
    <w:name w:val="Text 4"/>
    <w:basedOn w:val="Normal"/>
    <w:pPr>
      <w:tabs>
        <w:tab w:val="left" w:pos="2302"/>
      </w:tabs>
      <w:spacing w:after="240" w:line="240" w:lineRule="auto"/>
      <w:ind w:left="1202"/>
      <w:jc w:val="both"/>
    </w:pPr>
    <w:rPr>
      <w:rFonts w:ascii="Times New Roman" w:eastAsia="Times New Roman" w:hAnsi="Times New Roman" w:cs="Times New Roman"/>
      <w:sz w:val="24"/>
    </w:rPr>
  </w:style>
  <w:style w:type="paragraph" w:customStyle="1" w:styleId="Address">
    <w:name w:val="Address"/>
    <w:basedOn w:val="Normal"/>
    <w:pPr>
      <w:spacing w:after="0" w:line="240" w:lineRule="auto"/>
    </w:pPr>
    <w:rPr>
      <w:rFonts w:ascii="Times New Roman" w:eastAsia="Times New Roman" w:hAnsi="Times New Roman" w:cs="Times New Roman"/>
      <w:sz w:val="24"/>
    </w:rPr>
  </w:style>
  <w:style w:type="paragraph" w:customStyle="1" w:styleId="AddressTL">
    <w:name w:val="AddressTL"/>
    <w:basedOn w:val="Normal"/>
    <w:next w:val="Normal"/>
    <w:pPr>
      <w:spacing w:after="720" w:line="240" w:lineRule="auto"/>
    </w:pPr>
    <w:rPr>
      <w:rFonts w:ascii="Times New Roman" w:eastAsia="Times New Roman" w:hAnsi="Times New Roman" w:cs="Times New Roman"/>
      <w:sz w:val="24"/>
    </w:rPr>
  </w:style>
  <w:style w:type="paragraph" w:customStyle="1" w:styleId="AddressTR">
    <w:name w:val="AddressTR"/>
    <w:basedOn w:val="Normal"/>
    <w:next w:val="Normal"/>
    <w:pPr>
      <w:spacing w:after="720" w:line="240" w:lineRule="auto"/>
      <w:ind w:left="5103"/>
    </w:pPr>
    <w:rPr>
      <w:rFonts w:ascii="Times New Roman" w:eastAsia="Times New Roman" w:hAnsi="Times New Roman" w:cs="Times New Roman"/>
      <w:sz w:val="24"/>
    </w:rPr>
  </w:style>
  <w:style w:type="paragraph" w:styleId="BlockText">
    <w:name w:val="Block Text"/>
    <w:basedOn w:val="Normal"/>
    <w:pPr>
      <w:spacing w:after="120" w:line="240" w:lineRule="auto"/>
      <w:ind w:left="1440" w:right="1440"/>
      <w:jc w:val="both"/>
    </w:pPr>
    <w:rPr>
      <w:rFonts w:ascii="Times New Roman" w:eastAsia="Times New Roman" w:hAnsi="Times New Roman" w:cs="Times New Roman"/>
      <w:sz w:val="24"/>
    </w:rPr>
  </w:style>
  <w:style w:type="paragraph" w:styleId="BodyText">
    <w:name w:val="Body Text"/>
    <w:basedOn w:val="Normal"/>
    <w:link w:val="BodyTextChar"/>
    <w:pPr>
      <w:spacing w:after="120" w:line="240" w:lineRule="auto"/>
      <w:jc w:val="both"/>
    </w:pPr>
    <w:rPr>
      <w:rFonts w:ascii="Times New Roman" w:eastAsia="Times New Roman" w:hAnsi="Times New Roman" w:cs="Times New Roman"/>
      <w:sz w:val="24"/>
    </w:rPr>
  </w:style>
  <w:style w:type="character" w:customStyle="1" w:styleId="BodyTextChar">
    <w:name w:val="Body Text Char"/>
    <w:basedOn w:val="DefaultParagraphFont"/>
    <w:link w:val="BodyText"/>
    <w:rPr>
      <w:rFonts w:ascii="Times New Roman" w:eastAsia="Times New Roman" w:hAnsi="Times New Roman" w:cs="Times New Roman"/>
      <w:sz w:val="24"/>
    </w:rPr>
  </w:style>
  <w:style w:type="paragraph" w:styleId="BodyText2">
    <w:name w:val="Body Text 2"/>
    <w:basedOn w:val="Normal"/>
    <w:link w:val="BodyText2Char"/>
    <w:pPr>
      <w:spacing w:after="120" w:line="480" w:lineRule="auto"/>
      <w:jc w:val="both"/>
    </w:pPr>
    <w:rPr>
      <w:rFonts w:ascii="Times New Roman" w:eastAsia="Times New Roman" w:hAnsi="Times New Roman" w:cs="Times New Roman"/>
      <w:sz w:val="24"/>
    </w:rPr>
  </w:style>
  <w:style w:type="character" w:customStyle="1" w:styleId="BodyText2Char">
    <w:name w:val="Body Text 2 Char"/>
    <w:basedOn w:val="DefaultParagraphFont"/>
    <w:link w:val="BodyText2"/>
    <w:rPr>
      <w:rFonts w:ascii="Times New Roman" w:eastAsia="Times New Roman" w:hAnsi="Times New Roman" w:cs="Times New Roman"/>
      <w:sz w:val="24"/>
    </w:rPr>
  </w:style>
  <w:style w:type="paragraph" w:styleId="BodyText3">
    <w:name w:val="Body Text 3"/>
    <w:basedOn w:val="Normal"/>
    <w:link w:val="BodyText3Char"/>
    <w:pPr>
      <w:spacing w:after="120" w:line="240" w:lineRule="auto"/>
      <w:jc w:val="both"/>
    </w:pPr>
    <w:rPr>
      <w:rFonts w:ascii="Times New Roman" w:eastAsia="Times New Roman" w:hAnsi="Times New Roman" w:cs="Times New Roman"/>
      <w:sz w:val="16"/>
    </w:rPr>
  </w:style>
  <w:style w:type="character" w:customStyle="1" w:styleId="BodyText3Char">
    <w:name w:val="Body Text 3 Char"/>
    <w:basedOn w:val="DefaultParagraphFont"/>
    <w:link w:val="BodyText3"/>
    <w:rPr>
      <w:rFonts w:ascii="Times New Roman" w:eastAsia="Times New Roman" w:hAnsi="Times New Roman" w:cs="Times New Roman"/>
      <w:sz w:val="16"/>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rPr>
  </w:style>
  <w:style w:type="paragraph" w:styleId="BodyTextIndent">
    <w:name w:val="Body Text Indent"/>
    <w:basedOn w:val="Normal"/>
    <w:link w:val="BodyTextIndentChar"/>
    <w:pPr>
      <w:spacing w:after="120" w:line="240" w:lineRule="auto"/>
      <w:ind w:left="283"/>
      <w:jc w:val="both"/>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rPr>
  </w:style>
  <w:style w:type="paragraph" w:styleId="BodyTextIndent2">
    <w:name w:val="Body Text Indent 2"/>
    <w:basedOn w:val="Normal"/>
    <w:link w:val="BodyTextIndent2Char"/>
    <w:pPr>
      <w:spacing w:after="120" w:line="480" w:lineRule="auto"/>
      <w:ind w:left="283"/>
      <w:jc w:val="both"/>
    </w:pPr>
    <w:rPr>
      <w:rFonts w:ascii="Times New Roman" w:eastAsia="Times New Roman" w:hAnsi="Times New Roman" w:cs="Times New Roman"/>
      <w:sz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rPr>
  </w:style>
  <w:style w:type="paragraph" w:styleId="BodyTextIndent3">
    <w:name w:val="Body Text Indent 3"/>
    <w:basedOn w:val="Normal"/>
    <w:link w:val="BodyTextIndent3Char"/>
    <w:pPr>
      <w:spacing w:after="120" w:line="240" w:lineRule="auto"/>
      <w:ind w:left="283"/>
      <w:jc w:val="both"/>
    </w:pPr>
    <w:rPr>
      <w:rFonts w:ascii="Times New Roman" w:eastAsia="Times New Roman" w:hAnsi="Times New Roman" w:cs="Times New Roman"/>
      <w:sz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sz w:val="24"/>
    </w:rPr>
  </w:style>
  <w:style w:type="paragraph" w:customStyle="1" w:styleId="ChapterTitle">
    <w:name w:val="ChapterTitle"/>
    <w:basedOn w:val="Normal"/>
    <w:next w:val="SectionTitle"/>
    <w:pPr>
      <w:keepNext/>
      <w:spacing w:after="480" w:line="240" w:lineRule="auto"/>
      <w:jc w:val="center"/>
    </w:pPr>
    <w:rPr>
      <w:rFonts w:ascii="Times New Roman" w:eastAsia="Times New Roman" w:hAnsi="Times New Roman" w:cs="Times New Roman"/>
      <w:b/>
      <w:sz w:val="32"/>
    </w:rPr>
  </w:style>
  <w:style w:type="paragraph" w:customStyle="1" w:styleId="SectionTitle">
    <w:name w:val="SectionTitle"/>
    <w:basedOn w:val="Normal"/>
    <w:next w:val="Heading1"/>
    <w:pPr>
      <w:keepNext/>
      <w:spacing w:after="480" w:line="240" w:lineRule="auto"/>
      <w:jc w:val="center"/>
    </w:pPr>
    <w:rPr>
      <w:rFonts w:ascii="Times New Roman" w:eastAsia="Times New Roman" w:hAnsi="Times New Roman" w:cs="Times New Roman"/>
      <w:b/>
      <w:smallCaps/>
      <w:sz w:val="28"/>
    </w:rPr>
  </w:style>
  <w:style w:type="paragraph" w:styleId="Closing">
    <w:name w:val="Closing"/>
    <w:basedOn w:val="Normal"/>
    <w:link w:val="ClosingChar"/>
    <w:pPr>
      <w:spacing w:after="240" w:line="240" w:lineRule="auto"/>
      <w:ind w:left="4252"/>
      <w:jc w:val="both"/>
    </w:pPr>
    <w:rPr>
      <w:rFonts w:ascii="Times New Roman" w:eastAsia="Times New Roman" w:hAnsi="Times New Roman" w:cs="Times New Roman"/>
      <w:sz w:val="24"/>
    </w:rPr>
  </w:style>
  <w:style w:type="character" w:customStyle="1" w:styleId="ClosingChar">
    <w:name w:val="Closing Char"/>
    <w:basedOn w:val="DefaultParagraphFont"/>
    <w:link w:val="Closing"/>
    <w:rPr>
      <w:rFonts w:ascii="Times New Roman" w:eastAsia="Times New Roman" w:hAnsi="Times New Roman" w:cs="Times New Roman"/>
      <w:sz w:val="24"/>
    </w:rPr>
  </w:style>
  <w:style w:type="paragraph" w:styleId="CommentText">
    <w:name w:val="annotation text"/>
    <w:basedOn w:val="Normal"/>
    <w:link w:val="CommentTextChar"/>
    <w:semiHidden/>
    <w:pPr>
      <w:spacing w:after="240" w:line="240" w:lineRule="auto"/>
      <w:jc w:val="both"/>
    </w:pPr>
    <w:rPr>
      <w:rFonts w:ascii="Times New Roman" w:eastAsia="Times New Roman" w:hAnsi="Times New Roman" w:cs="Times New Roman"/>
      <w:sz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rPr>
  </w:style>
  <w:style w:type="paragraph" w:styleId="Date">
    <w:name w:val="Date"/>
    <w:basedOn w:val="Normal"/>
    <w:next w:val="References"/>
    <w:link w:val="DateChar"/>
    <w:pPr>
      <w:spacing w:after="0" w:line="240" w:lineRule="auto"/>
      <w:ind w:left="5103" w:right="-567"/>
    </w:pPr>
    <w:rPr>
      <w:rFonts w:ascii="Times New Roman" w:eastAsia="Times New Roman" w:hAnsi="Times New Roman" w:cs="Times New Roman"/>
      <w:sz w:val="24"/>
    </w:rPr>
  </w:style>
  <w:style w:type="character" w:customStyle="1" w:styleId="DateChar">
    <w:name w:val="Date Char"/>
    <w:basedOn w:val="DefaultParagraphFont"/>
    <w:link w:val="Date"/>
    <w:rPr>
      <w:rFonts w:ascii="Times New Roman" w:eastAsia="Times New Roman" w:hAnsi="Times New Roman" w:cs="Times New Roman"/>
      <w:sz w:val="24"/>
    </w:rPr>
  </w:style>
  <w:style w:type="paragraph" w:customStyle="1" w:styleId="References">
    <w:name w:val="References"/>
    <w:basedOn w:val="Normal"/>
    <w:next w:val="AddressTR"/>
    <w:pPr>
      <w:spacing w:after="240" w:line="240" w:lineRule="auto"/>
      <w:ind w:left="5103"/>
    </w:pPr>
    <w:rPr>
      <w:rFonts w:ascii="Times New Roman" w:eastAsia="Times New Roman" w:hAnsi="Times New Roman" w:cs="Times New Roman"/>
      <w:sz w:val="20"/>
    </w:rPr>
  </w:style>
  <w:style w:type="paragraph" w:styleId="DocumentMap">
    <w:name w:val="Document Map"/>
    <w:basedOn w:val="Normal"/>
    <w:link w:val="DocumentMapChar"/>
    <w:semiHidden/>
    <w:pPr>
      <w:shd w:val="clear" w:color="auto" w:fill="000080"/>
      <w:spacing w:after="240" w:line="240" w:lineRule="auto"/>
      <w:jc w:val="both"/>
    </w:pPr>
    <w:rPr>
      <w:rFonts w:ascii="Tahoma" w:eastAsia="Times New Roman" w:hAnsi="Tahoma" w:cs="Times New Roman"/>
      <w:sz w:val="24"/>
    </w:rPr>
  </w:style>
  <w:style w:type="character" w:customStyle="1" w:styleId="DocumentMapChar">
    <w:name w:val="Document Map Char"/>
    <w:basedOn w:val="DefaultParagraphFont"/>
    <w:link w:val="DocumentMap"/>
    <w:semiHidden/>
    <w:rPr>
      <w:rFonts w:ascii="Tahoma" w:eastAsia="Times New Roman" w:hAnsi="Tahoma" w:cs="Times New Roman"/>
      <w:sz w:val="24"/>
      <w:shd w:val="clear" w:color="auto" w:fill="000080"/>
    </w:rPr>
  </w:style>
  <w:style w:type="paragraph" w:customStyle="1" w:styleId="DoubSign">
    <w:name w:val="DoubSign"/>
    <w:basedOn w:val="Normal"/>
    <w:next w:val="Enclosures"/>
    <w:pPr>
      <w:tabs>
        <w:tab w:val="left" w:pos="5103"/>
      </w:tabs>
      <w:spacing w:before="1200" w:after="0" w:line="240" w:lineRule="auto"/>
    </w:pPr>
    <w:rPr>
      <w:rFonts w:ascii="Times New Roman" w:eastAsia="Times New Roman" w:hAnsi="Times New Roman" w:cs="Times New Roman"/>
      <w:sz w:val="24"/>
    </w:rPr>
  </w:style>
  <w:style w:type="paragraph" w:customStyle="1" w:styleId="Enclosures">
    <w:name w:val="Enclosures"/>
    <w:basedOn w:val="Normal"/>
    <w:pPr>
      <w:keepNext/>
      <w:keepLines/>
      <w:tabs>
        <w:tab w:val="left" w:pos="5642"/>
      </w:tabs>
      <w:spacing w:before="480" w:after="0" w:line="240" w:lineRule="auto"/>
      <w:ind w:left="1191" w:hanging="1191"/>
    </w:pPr>
    <w:rPr>
      <w:rFonts w:ascii="Times New Roman" w:eastAsia="Times New Roman" w:hAnsi="Times New Roman" w:cs="Times New Roman"/>
      <w:sz w:val="24"/>
    </w:rPr>
  </w:style>
  <w:style w:type="paragraph" w:styleId="EndnoteText">
    <w:name w:val="endnote text"/>
    <w:basedOn w:val="Normal"/>
    <w:link w:val="EndnoteTextChar"/>
    <w:semiHidden/>
    <w:pPr>
      <w:spacing w:after="240" w:line="240" w:lineRule="auto"/>
      <w:jc w:val="both"/>
    </w:pPr>
    <w:rPr>
      <w:rFonts w:ascii="Times New Roman" w:eastAsia="Times New Roman" w:hAnsi="Times New Roman" w:cs="Times New Roman"/>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rPr>
  </w:style>
  <w:style w:type="paragraph" w:styleId="EnvelopeAddress">
    <w:name w:val="envelope address"/>
    <w:basedOn w:val="Normal"/>
    <w:pPr>
      <w:framePr w:w="7920" w:h="1980" w:hRule="exact" w:hSpace="180" w:wrap="auto" w:hAnchor="page" w:xAlign="center" w:yAlign="bottom"/>
      <w:spacing w:after="0" w:line="240" w:lineRule="auto"/>
      <w:jc w:val="both"/>
    </w:pPr>
    <w:rPr>
      <w:rFonts w:ascii="Times New Roman" w:eastAsia="Times New Roman" w:hAnsi="Times New Roman" w:cs="Times New Roman"/>
      <w:sz w:val="24"/>
    </w:rPr>
  </w:style>
  <w:style w:type="paragraph" w:styleId="EnvelopeReturn">
    <w:name w:val="envelope return"/>
    <w:basedOn w:val="Normal"/>
    <w:pPr>
      <w:spacing w:after="0" w:line="240" w:lineRule="auto"/>
      <w:jc w:val="both"/>
    </w:pPr>
    <w:rPr>
      <w:rFonts w:ascii="Times New Roman" w:eastAsia="Times New Roman" w:hAnsi="Times New Roman" w:cs="Times New Roman"/>
      <w:sz w:val="20"/>
    </w:rPr>
  </w:style>
  <w:style w:type="paragraph" w:styleId="FootnoteText">
    <w:name w:val="footnote text"/>
    <w:basedOn w:val="Normal"/>
    <w:link w:val="FootnoteTextChar"/>
    <w:pPr>
      <w:spacing w:after="240" w:line="240" w:lineRule="auto"/>
      <w:ind w:left="357" w:hanging="357"/>
      <w:jc w:val="both"/>
    </w:pPr>
    <w:rPr>
      <w:rFonts w:ascii="Times New Roman" w:eastAsia="Times New Roman" w:hAnsi="Times New Roman" w:cs="Times New Roman"/>
      <w:sz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rPr>
  </w:style>
  <w:style w:type="paragraph" w:styleId="Index1">
    <w:name w:val="index 1"/>
    <w:basedOn w:val="Normal"/>
    <w:next w:val="Normal"/>
    <w:autoRedefine/>
    <w:semiHidden/>
    <w:pPr>
      <w:spacing w:after="240" w:line="240" w:lineRule="auto"/>
      <w:ind w:left="240" w:hanging="240"/>
      <w:jc w:val="both"/>
    </w:pPr>
    <w:rPr>
      <w:rFonts w:ascii="Times New Roman" w:eastAsia="Times New Roman" w:hAnsi="Times New Roman" w:cs="Times New Roman"/>
      <w:sz w:val="24"/>
    </w:rPr>
  </w:style>
  <w:style w:type="paragraph" w:styleId="Index2">
    <w:name w:val="index 2"/>
    <w:basedOn w:val="Normal"/>
    <w:next w:val="Normal"/>
    <w:autoRedefine/>
    <w:semiHidden/>
    <w:pPr>
      <w:spacing w:after="240" w:line="240" w:lineRule="auto"/>
      <w:ind w:left="480" w:hanging="240"/>
      <w:jc w:val="both"/>
    </w:pPr>
    <w:rPr>
      <w:rFonts w:ascii="Times New Roman" w:eastAsia="Times New Roman" w:hAnsi="Times New Roman" w:cs="Times New Roman"/>
      <w:sz w:val="24"/>
    </w:rPr>
  </w:style>
  <w:style w:type="paragraph" w:styleId="Index3">
    <w:name w:val="index 3"/>
    <w:basedOn w:val="Normal"/>
    <w:next w:val="Normal"/>
    <w:autoRedefine/>
    <w:semiHidden/>
    <w:pPr>
      <w:spacing w:after="240" w:line="240" w:lineRule="auto"/>
      <w:ind w:left="720" w:hanging="240"/>
      <w:jc w:val="both"/>
    </w:pPr>
    <w:rPr>
      <w:rFonts w:ascii="Times New Roman" w:eastAsia="Times New Roman" w:hAnsi="Times New Roman" w:cs="Times New Roman"/>
      <w:sz w:val="24"/>
    </w:rPr>
  </w:style>
  <w:style w:type="paragraph" w:styleId="Index4">
    <w:name w:val="index 4"/>
    <w:basedOn w:val="Normal"/>
    <w:next w:val="Normal"/>
    <w:autoRedefine/>
    <w:semiHidden/>
    <w:pPr>
      <w:spacing w:after="240" w:line="240" w:lineRule="auto"/>
      <w:ind w:left="960" w:hanging="240"/>
      <w:jc w:val="both"/>
    </w:pPr>
    <w:rPr>
      <w:rFonts w:ascii="Times New Roman" w:eastAsia="Times New Roman" w:hAnsi="Times New Roman" w:cs="Times New Roman"/>
      <w:sz w:val="24"/>
    </w:rPr>
  </w:style>
  <w:style w:type="paragraph" w:styleId="Index5">
    <w:name w:val="index 5"/>
    <w:basedOn w:val="Normal"/>
    <w:next w:val="Normal"/>
    <w:autoRedefine/>
    <w:semiHidden/>
    <w:pPr>
      <w:spacing w:after="240" w:line="240" w:lineRule="auto"/>
      <w:ind w:left="1200" w:hanging="240"/>
      <w:jc w:val="both"/>
    </w:pPr>
    <w:rPr>
      <w:rFonts w:ascii="Times New Roman" w:eastAsia="Times New Roman" w:hAnsi="Times New Roman" w:cs="Times New Roman"/>
      <w:sz w:val="24"/>
    </w:rPr>
  </w:style>
  <w:style w:type="paragraph" w:styleId="Index6">
    <w:name w:val="index 6"/>
    <w:basedOn w:val="Normal"/>
    <w:next w:val="Normal"/>
    <w:autoRedefine/>
    <w:semiHidden/>
    <w:pPr>
      <w:spacing w:after="240" w:line="240" w:lineRule="auto"/>
      <w:ind w:left="1440" w:hanging="240"/>
      <w:jc w:val="both"/>
    </w:pPr>
    <w:rPr>
      <w:rFonts w:ascii="Times New Roman" w:eastAsia="Times New Roman" w:hAnsi="Times New Roman" w:cs="Times New Roman"/>
      <w:sz w:val="24"/>
    </w:rPr>
  </w:style>
  <w:style w:type="paragraph" w:styleId="Index7">
    <w:name w:val="index 7"/>
    <w:basedOn w:val="Normal"/>
    <w:next w:val="Normal"/>
    <w:autoRedefine/>
    <w:semiHidden/>
    <w:pPr>
      <w:spacing w:after="240" w:line="240" w:lineRule="auto"/>
      <w:ind w:left="1680" w:hanging="240"/>
      <w:jc w:val="both"/>
    </w:pPr>
    <w:rPr>
      <w:rFonts w:ascii="Times New Roman" w:eastAsia="Times New Roman" w:hAnsi="Times New Roman" w:cs="Times New Roman"/>
      <w:sz w:val="24"/>
    </w:rPr>
  </w:style>
  <w:style w:type="paragraph" w:styleId="Index8">
    <w:name w:val="index 8"/>
    <w:basedOn w:val="Normal"/>
    <w:next w:val="Normal"/>
    <w:autoRedefine/>
    <w:semiHidden/>
    <w:pPr>
      <w:spacing w:after="240" w:line="240" w:lineRule="auto"/>
      <w:ind w:left="1920" w:hanging="240"/>
      <w:jc w:val="both"/>
    </w:pPr>
    <w:rPr>
      <w:rFonts w:ascii="Times New Roman" w:eastAsia="Times New Roman" w:hAnsi="Times New Roman" w:cs="Times New Roman"/>
      <w:sz w:val="24"/>
    </w:rPr>
  </w:style>
  <w:style w:type="paragraph" w:styleId="Index9">
    <w:name w:val="index 9"/>
    <w:basedOn w:val="Normal"/>
    <w:next w:val="Normal"/>
    <w:autoRedefine/>
    <w:semiHidden/>
    <w:pPr>
      <w:spacing w:after="240" w:line="240" w:lineRule="auto"/>
      <w:ind w:left="2160" w:hanging="240"/>
      <w:jc w:val="both"/>
    </w:pPr>
    <w:rPr>
      <w:rFonts w:ascii="Times New Roman" w:eastAsia="Times New Roman" w:hAnsi="Times New Roman" w:cs="Times New Roman"/>
      <w:sz w:val="24"/>
    </w:rPr>
  </w:style>
  <w:style w:type="paragraph" w:styleId="IndexHeading">
    <w:name w:val="index heading"/>
    <w:basedOn w:val="Normal"/>
    <w:next w:val="Index1"/>
    <w:semiHidden/>
    <w:pPr>
      <w:spacing w:after="240" w:line="240" w:lineRule="auto"/>
      <w:jc w:val="both"/>
    </w:pPr>
    <w:rPr>
      <w:rFonts w:ascii="Arial" w:eastAsia="Times New Roman" w:hAnsi="Arial" w:cs="Times New Roman"/>
      <w:b/>
      <w:sz w:val="24"/>
    </w:rPr>
  </w:style>
  <w:style w:type="paragraph" w:styleId="List">
    <w:name w:val="List"/>
    <w:basedOn w:val="Normal"/>
    <w:pPr>
      <w:spacing w:after="240" w:line="240" w:lineRule="auto"/>
      <w:ind w:left="283" w:hanging="283"/>
      <w:jc w:val="both"/>
    </w:pPr>
    <w:rPr>
      <w:rFonts w:ascii="Times New Roman" w:eastAsia="Times New Roman" w:hAnsi="Times New Roman" w:cs="Times New Roman"/>
      <w:sz w:val="24"/>
    </w:rPr>
  </w:style>
  <w:style w:type="paragraph" w:styleId="List2">
    <w:name w:val="List 2"/>
    <w:basedOn w:val="Normal"/>
    <w:pPr>
      <w:spacing w:after="240" w:line="240" w:lineRule="auto"/>
      <w:ind w:left="566" w:hanging="283"/>
      <w:jc w:val="both"/>
    </w:pPr>
    <w:rPr>
      <w:rFonts w:ascii="Times New Roman" w:eastAsia="Times New Roman" w:hAnsi="Times New Roman" w:cs="Times New Roman"/>
      <w:sz w:val="24"/>
    </w:rPr>
  </w:style>
  <w:style w:type="paragraph" w:styleId="List3">
    <w:name w:val="List 3"/>
    <w:basedOn w:val="Normal"/>
    <w:pPr>
      <w:spacing w:after="240" w:line="240" w:lineRule="auto"/>
      <w:ind w:left="849" w:hanging="283"/>
      <w:jc w:val="both"/>
    </w:pPr>
    <w:rPr>
      <w:rFonts w:ascii="Times New Roman" w:eastAsia="Times New Roman" w:hAnsi="Times New Roman" w:cs="Times New Roman"/>
      <w:sz w:val="24"/>
    </w:rPr>
  </w:style>
  <w:style w:type="paragraph" w:styleId="List4">
    <w:name w:val="List 4"/>
    <w:basedOn w:val="Normal"/>
    <w:pPr>
      <w:spacing w:after="240" w:line="240" w:lineRule="auto"/>
      <w:ind w:left="1132" w:hanging="283"/>
      <w:jc w:val="both"/>
    </w:pPr>
    <w:rPr>
      <w:rFonts w:ascii="Times New Roman" w:eastAsia="Times New Roman" w:hAnsi="Times New Roman" w:cs="Times New Roman"/>
      <w:sz w:val="24"/>
    </w:rPr>
  </w:style>
  <w:style w:type="paragraph" w:styleId="List5">
    <w:name w:val="List 5"/>
    <w:basedOn w:val="Normal"/>
    <w:pPr>
      <w:spacing w:after="240" w:line="240" w:lineRule="auto"/>
      <w:ind w:left="1415" w:hanging="283"/>
      <w:jc w:val="both"/>
    </w:pPr>
    <w:rPr>
      <w:rFonts w:ascii="Times New Roman" w:eastAsia="Times New Roman" w:hAnsi="Times New Roman" w:cs="Times New Roman"/>
      <w:sz w:val="24"/>
    </w:rPr>
  </w:style>
  <w:style w:type="paragraph" w:styleId="ListBullet">
    <w:name w:val="List Bullet"/>
    <w:basedOn w:val="Normal"/>
    <w:pPr>
      <w:numPr>
        <w:numId w:val="4"/>
      </w:numPr>
      <w:spacing w:after="240" w:line="240" w:lineRule="auto"/>
      <w:jc w:val="both"/>
    </w:pPr>
    <w:rPr>
      <w:rFonts w:ascii="Times New Roman" w:eastAsia="Times New Roman" w:hAnsi="Times New Roman" w:cs="Times New Roman"/>
      <w:sz w:val="24"/>
    </w:r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spacing w:after="240" w:line="240" w:lineRule="auto"/>
      <w:jc w:val="both"/>
    </w:pPr>
    <w:rPr>
      <w:rFonts w:ascii="Times New Roman" w:eastAsia="Times New Roman" w:hAnsi="Times New Roman" w:cs="Times New Roman"/>
      <w:sz w:val="24"/>
    </w:rPr>
  </w:style>
  <w:style w:type="paragraph" w:styleId="ListContinue">
    <w:name w:val="List Continue"/>
    <w:basedOn w:val="Normal"/>
    <w:pPr>
      <w:spacing w:after="120" w:line="240" w:lineRule="auto"/>
      <w:ind w:left="283"/>
      <w:jc w:val="both"/>
    </w:pPr>
    <w:rPr>
      <w:rFonts w:ascii="Times New Roman" w:eastAsia="Times New Roman" w:hAnsi="Times New Roman" w:cs="Times New Roman"/>
      <w:sz w:val="24"/>
    </w:rPr>
  </w:style>
  <w:style w:type="paragraph" w:styleId="ListContinue2">
    <w:name w:val="List Continue 2"/>
    <w:basedOn w:val="Normal"/>
    <w:pPr>
      <w:spacing w:after="120" w:line="240" w:lineRule="auto"/>
      <w:ind w:left="566"/>
      <w:jc w:val="both"/>
    </w:pPr>
    <w:rPr>
      <w:rFonts w:ascii="Times New Roman" w:eastAsia="Times New Roman" w:hAnsi="Times New Roman" w:cs="Times New Roman"/>
      <w:sz w:val="24"/>
    </w:rPr>
  </w:style>
  <w:style w:type="paragraph" w:styleId="ListContinue3">
    <w:name w:val="List Continue 3"/>
    <w:basedOn w:val="Normal"/>
    <w:pPr>
      <w:spacing w:after="120" w:line="240" w:lineRule="auto"/>
      <w:ind w:left="849"/>
      <w:jc w:val="both"/>
    </w:pPr>
    <w:rPr>
      <w:rFonts w:ascii="Times New Roman" w:eastAsia="Times New Roman" w:hAnsi="Times New Roman" w:cs="Times New Roman"/>
      <w:sz w:val="24"/>
    </w:rPr>
  </w:style>
  <w:style w:type="paragraph" w:styleId="ListContinue4">
    <w:name w:val="List Continue 4"/>
    <w:basedOn w:val="Normal"/>
    <w:pPr>
      <w:spacing w:after="120" w:line="240" w:lineRule="auto"/>
      <w:ind w:left="1132"/>
      <w:jc w:val="both"/>
    </w:pPr>
    <w:rPr>
      <w:rFonts w:ascii="Times New Roman" w:eastAsia="Times New Roman" w:hAnsi="Times New Roman" w:cs="Times New Roman"/>
      <w:sz w:val="24"/>
    </w:rPr>
  </w:style>
  <w:style w:type="paragraph" w:styleId="ListContinue5">
    <w:name w:val="List Continue 5"/>
    <w:basedOn w:val="Normal"/>
    <w:pPr>
      <w:spacing w:after="120" w:line="240" w:lineRule="auto"/>
      <w:ind w:left="1415"/>
      <w:jc w:val="both"/>
    </w:pPr>
    <w:rPr>
      <w:rFonts w:ascii="Times New Roman" w:eastAsia="Times New Roman" w:hAnsi="Times New Roman" w:cs="Times New Roman"/>
      <w:sz w:val="24"/>
    </w:rPr>
  </w:style>
  <w:style w:type="paragraph" w:styleId="ListNumber">
    <w:name w:val="List Number"/>
    <w:basedOn w:val="Normal"/>
    <w:pPr>
      <w:numPr>
        <w:numId w:val="14"/>
      </w:numPr>
      <w:spacing w:after="240" w:line="240" w:lineRule="auto"/>
      <w:jc w:val="both"/>
    </w:pPr>
    <w:rPr>
      <w:rFonts w:ascii="Times New Roman" w:eastAsia="Times New Roman" w:hAnsi="Times New Roman" w:cs="Times New Roman"/>
      <w:sz w:val="24"/>
    </w:r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spacing w:after="240" w:line="240" w:lineRule="auto"/>
      <w:jc w:val="both"/>
    </w:pPr>
    <w:rPr>
      <w:rFonts w:ascii="Times New Roman" w:eastAsia="Times New Roman" w:hAnsi="Times New Roman" w:cs="Times New Roman"/>
      <w:sz w:val="24"/>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rPr>
  </w:style>
  <w:style w:type="character" w:customStyle="1" w:styleId="MacroTextChar">
    <w:name w:val="Macro Text Char"/>
    <w:basedOn w:val="DefaultParagraphFont"/>
    <w:link w:val="MacroText"/>
    <w:semiHidden/>
    <w:rPr>
      <w:rFonts w:ascii="Courier New" w:eastAsia="Times New Roman" w:hAnsi="Courier New" w:cs="Times New Roman"/>
      <w:sz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rPr>
  </w:style>
  <w:style w:type="character" w:customStyle="1" w:styleId="MessageHeaderChar">
    <w:name w:val="Message Header Char"/>
    <w:basedOn w:val="DefaultParagraphFont"/>
    <w:link w:val="MessageHeader"/>
    <w:rPr>
      <w:rFonts w:ascii="Arial" w:eastAsia="Times New Roman" w:hAnsi="Arial" w:cs="Times New Roman"/>
      <w:sz w:val="24"/>
      <w:shd w:val="pct20" w:color="auto" w:fill="auto"/>
    </w:rPr>
  </w:style>
  <w:style w:type="paragraph" w:styleId="NormalIndent">
    <w:name w:val="Normal Indent"/>
    <w:basedOn w:val="Normal"/>
    <w:pPr>
      <w:spacing w:after="240" w:line="240" w:lineRule="auto"/>
      <w:ind w:left="720"/>
      <w:jc w:val="both"/>
    </w:pPr>
    <w:rPr>
      <w:rFonts w:ascii="Times New Roman" w:eastAsia="Times New Roman" w:hAnsi="Times New Roman" w:cs="Times New Roman"/>
      <w:sz w:val="24"/>
    </w:rPr>
  </w:style>
  <w:style w:type="paragraph" w:styleId="NoteHeading">
    <w:name w:val="Note Heading"/>
    <w:basedOn w:val="Normal"/>
    <w:next w:val="Normal"/>
    <w:link w:val="NoteHeadingChar"/>
    <w:pPr>
      <w:spacing w:after="240" w:line="240" w:lineRule="auto"/>
      <w:jc w:val="both"/>
    </w:pPr>
    <w:rPr>
      <w:rFonts w:ascii="Times New Roman" w:eastAsia="Times New Roman" w:hAnsi="Times New Roman" w:cs="Times New Roman"/>
      <w:sz w:val="24"/>
    </w:rPr>
  </w:style>
  <w:style w:type="character" w:customStyle="1" w:styleId="NoteHeadingChar">
    <w:name w:val="Note Heading Char"/>
    <w:basedOn w:val="DefaultParagraphFont"/>
    <w:link w:val="NoteHeading"/>
    <w:rPr>
      <w:rFonts w:ascii="Times New Roman" w:eastAsia="Times New Roman" w:hAnsi="Times New Roman" w:cs="Times New Roman"/>
      <w:sz w:val="24"/>
    </w:rPr>
  </w:style>
  <w:style w:type="paragraph" w:customStyle="1" w:styleId="NoteHead">
    <w:name w:val="NoteHead"/>
    <w:basedOn w:val="Normal"/>
    <w:next w:val="Subject"/>
    <w:pPr>
      <w:spacing w:before="720" w:after="720" w:line="240" w:lineRule="auto"/>
      <w:jc w:val="center"/>
    </w:pPr>
    <w:rPr>
      <w:rFonts w:ascii="Times New Roman" w:eastAsia="Times New Roman" w:hAnsi="Times New Roman" w:cs="Times New Roman"/>
      <w:b/>
      <w:smallCaps/>
      <w:sz w:val="24"/>
    </w:rPr>
  </w:style>
  <w:style w:type="paragraph" w:customStyle="1" w:styleId="Subject">
    <w:name w:val="Subject"/>
    <w:basedOn w:val="Normal"/>
    <w:next w:val="Normal"/>
    <w:pPr>
      <w:spacing w:after="480" w:line="240" w:lineRule="auto"/>
      <w:ind w:left="1191" w:hanging="1191"/>
    </w:pPr>
    <w:rPr>
      <w:rFonts w:ascii="Times New Roman" w:eastAsia="Times New Roman" w:hAnsi="Times New Roman" w:cs="Times New Roman"/>
      <w:b/>
      <w:sz w:val="24"/>
    </w:rPr>
  </w:style>
  <w:style w:type="paragraph" w:customStyle="1" w:styleId="NoteList">
    <w:name w:val="NoteList"/>
    <w:basedOn w:val="Normal"/>
    <w:next w:val="Subject"/>
    <w:pPr>
      <w:tabs>
        <w:tab w:val="left" w:pos="5823"/>
      </w:tabs>
      <w:spacing w:before="720" w:after="720" w:line="240" w:lineRule="auto"/>
      <w:ind w:left="5104" w:hanging="3119"/>
    </w:pPr>
    <w:rPr>
      <w:rFonts w:ascii="Times New Roman" w:eastAsia="Times New Roman" w:hAnsi="Times New Roman" w:cs="Times New Roman"/>
      <w:b/>
      <w:smallCaps/>
      <w:sz w:val="24"/>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line="240" w:lineRule="auto"/>
      <w:jc w:val="center"/>
    </w:pPr>
    <w:rPr>
      <w:rFonts w:ascii="Times New Roman" w:eastAsia="Times New Roman" w:hAnsi="Times New Roman" w:cs="Times New Roman"/>
      <w:b/>
      <w:sz w:val="36"/>
    </w:rPr>
  </w:style>
  <w:style w:type="paragraph" w:styleId="PlainText">
    <w:name w:val="Plain Text"/>
    <w:basedOn w:val="Normal"/>
    <w:link w:val="PlainTextChar"/>
    <w:pPr>
      <w:spacing w:after="240" w:line="240" w:lineRule="auto"/>
      <w:jc w:val="both"/>
    </w:pPr>
    <w:rPr>
      <w:rFonts w:ascii="Courier New" w:eastAsia="Times New Roman" w:hAnsi="Courier New" w:cs="Times New Roman"/>
      <w:sz w:val="20"/>
    </w:rPr>
  </w:style>
  <w:style w:type="character" w:customStyle="1" w:styleId="PlainTextChar">
    <w:name w:val="Plain Text Char"/>
    <w:basedOn w:val="DefaultParagraphFont"/>
    <w:link w:val="PlainText"/>
    <w:rPr>
      <w:rFonts w:ascii="Courier New" w:eastAsia="Times New Roman" w:hAnsi="Courier New" w:cs="Times New Roman"/>
      <w:sz w:val="20"/>
    </w:rPr>
  </w:style>
  <w:style w:type="paragraph" w:styleId="Salutation">
    <w:name w:val="Salutation"/>
    <w:basedOn w:val="Normal"/>
    <w:next w:val="Normal"/>
    <w:link w:val="SalutationChar"/>
    <w:pPr>
      <w:spacing w:after="240" w:line="240" w:lineRule="auto"/>
      <w:jc w:val="both"/>
    </w:pPr>
    <w:rPr>
      <w:rFonts w:ascii="Times New Roman" w:eastAsia="Times New Roman" w:hAnsi="Times New Roman" w:cs="Times New Roman"/>
      <w:sz w:val="24"/>
    </w:rPr>
  </w:style>
  <w:style w:type="character" w:customStyle="1" w:styleId="SalutationChar">
    <w:name w:val="Salutation Char"/>
    <w:basedOn w:val="DefaultParagraphFont"/>
    <w:link w:val="Salutation"/>
    <w:rPr>
      <w:rFonts w:ascii="Times New Roman" w:eastAsia="Times New Roman" w:hAnsi="Times New Roman" w:cs="Times New Roman"/>
      <w:sz w:val="24"/>
    </w:rPr>
  </w:style>
  <w:style w:type="paragraph" w:styleId="Signature">
    <w:name w:val="Signature"/>
    <w:basedOn w:val="Normal"/>
    <w:next w:val="Enclosures"/>
    <w:link w:val="SignatureChar"/>
    <w:pPr>
      <w:tabs>
        <w:tab w:val="left" w:pos="5103"/>
      </w:tabs>
      <w:spacing w:before="1200" w:after="0" w:line="240" w:lineRule="auto"/>
      <w:ind w:left="5103"/>
      <w:jc w:val="center"/>
    </w:pPr>
    <w:rPr>
      <w:rFonts w:ascii="Times New Roman" w:eastAsia="Times New Roman" w:hAnsi="Times New Roman" w:cs="Times New Roman"/>
      <w:sz w:val="24"/>
    </w:rPr>
  </w:style>
  <w:style w:type="character" w:customStyle="1" w:styleId="SignatureChar">
    <w:name w:val="Signature Char"/>
    <w:basedOn w:val="DefaultParagraphFont"/>
    <w:link w:val="Signature"/>
    <w:rPr>
      <w:rFonts w:ascii="Times New Roman" w:eastAsia="Times New Roman" w:hAnsi="Times New Roman" w:cs="Times New Roman"/>
      <w:sz w:val="24"/>
    </w:rPr>
  </w:style>
  <w:style w:type="paragraph" w:styleId="Subtitle">
    <w:name w:val="Subtitle"/>
    <w:basedOn w:val="Normal"/>
    <w:link w:val="SubtitleChar"/>
    <w:qFormat/>
    <w:pPr>
      <w:spacing w:after="60" w:line="240" w:lineRule="auto"/>
      <w:jc w:val="center"/>
      <w:outlineLvl w:val="1"/>
    </w:pPr>
    <w:rPr>
      <w:rFonts w:ascii="Arial" w:eastAsia="Times New Roman" w:hAnsi="Arial" w:cs="Times New Roman"/>
      <w:sz w:val="24"/>
    </w:rPr>
  </w:style>
  <w:style w:type="character" w:customStyle="1" w:styleId="SubtitleChar">
    <w:name w:val="Subtitle Char"/>
    <w:basedOn w:val="DefaultParagraphFont"/>
    <w:link w:val="Subtitle"/>
    <w:rPr>
      <w:rFonts w:ascii="Arial" w:eastAsia="Times New Roman" w:hAnsi="Arial" w:cs="Times New Roman"/>
      <w:sz w:val="24"/>
    </w:rPr>
  </w:style>
  <w:style w:type="paragraph" w:customStyle="1" w:styleId="SubTitle1">
    <w:name w:val="SubTitle 1"/>
    <w:basedOn w:val="Normal"/>
    <w:next w:val="SubTitle2"/>
    <w:pPr>
      <w:spacing w:after="240" w:line="240" w:lineRule="auto"/>
      <w:jc w:val="center"/>
    </w:pPr>
    <w:rPr>
      <w:rFonts w:ascii="Times New Roman" w:eastAsia="Times New Roman" w:hAnsi="Times New Roman" w:cs="Times New Roman"/>
      <w:b/>
      <w:sz w:val="40"/>
    </w:rPr>
  </w:style>
  <w:style w:type="paragraph" w:customStyle="1" w:styleId="SubTitle2">
    <w:name w:val="SubTitle 2"/>
    <w:basedOn w:val="Normal"/>
    <w:pPr>
      <w:spacing w:after="240" w:line="240" w:lineRule="auto"/>
      <w:jc w:val="center"/>
    </w:pPr>
    <w:rPr>
      <w:rFonts w:ascii="Times New Roman" w:eastAsia="Times New Roman" w:hAnsi="Times New Roman" w:cs="Times New Roman"/>
      <w:b/>
      <w:sz w:val="32"/>
    </w:rPr>
  </w:style>
  <w:style w:type="paragraph" w:styleId="TableofAuthorities">
    <w:name w:val="table of authorities"/>
    <w:basedOn w:val="Normal"/>
    <w:next w:val="Normal"/>
    <w:semiHidden/>
    <w:pPr>
      <w:spacing w:after="240" w:line="240" w:lineRule="auto"/>
      <w:ind w:left="240" w:hanging="240"/>
      <w:jc w:val="both"/>
    </w:pPr>
    <w:rPr>
      <w:rFonts w:ascii="Times New Roman" w:eastAsia="Times New Roman" w:hAnsi="Times New Roman" w:cs="Times New Roman"/>
      <w:sz w:val="24"/>
    </w:rPr>
  </w:style>
  <w:style w:type="paragraph" w:styleId="TableofFigures">
    <w:name w:val="table of figures"/>
    <w:basedOn w:val="Normal"/>
    <w:next w:val="Normal"/>
    <w:semiHidden/>
    <w:pPr>
      <w:spacing w:after="240" w:line="240" w:lineRule="auto"/>
      <w:ind w:left="480" w:hanging="480"/>
      <w:jc w:val="both"/>
    </w:pPr>
    <w:rPr>
      <w:rFonts w:ascii="Times New Roman" w:eastAsia="Times New Roman" w:hAnsi="Times New Roman" w:cs="Times New Roman"/>
      <w:sz w:val="24"/>
    </w:rPr>
  </w:style>
  <w:style w:type="paragraph" w:styleId="Title">
    <w:name w:val="Title"/>
    <w:basedOn w:val="Normal"/>
    <w:next w:val="SubTitle1"/>
    <w:link w:val="TitleChar"/>
    <w:qFormat/>
    <w:pPr>
      <w:spacing w:after="480" w:line="240" w:lineRule="auto"/>
      <w:jc w:val="center"/>
    </w:pPr>
    <w:rPr>
      <w:rFonts w:ascii="Times New Roman" w:eastAsia="Times New Roman" w:hAnsi="Times New Roman" w:cs="Times New Roman"/>
      <w:b/>
      <w:kern w:val="28"/>
      <w:sz w:val="48"/>
    </w:rPr>
  </w:style>
  <w:style w:type="character" w:customStyle="1" w:styleId="TitleChar">
    <w:name w:val="Title Char"/>
    <w:basedOn w:val="DefaultParagraphFont"/>
    <w:link w:val="Title"/>
    <w:rPr>
      <w:rFonts w:ascii="Times New Roman" w:eastAsia="Times New Roman" w:hAnsi="Times New Roman" w:cs="Times New Roman"/>
      <w:b/>
      <w:kern w:val="28"/>
      <w:sz w:val="48"/>
    </w:rPr>
  </w:style>
  <w:style w:type="paragraph" w:styleId="TOAHeading">
    <w:name w:val="toa heading"/>
    <w:basedOn w:val="Normal"/>
    <w:next w:val="Normal"/>
    <w:semiHidden/>
    <w:pPr>
      <w:spacing w:before="120" w:after="240" w:line="240" w:lineRule="auto"/>
      <w:jc w:val="both"/>
    </w:pPr>
    <w:rPr>
      <w:rFonts w:ascii="Arial" w:eastAsia="Times New Roman" w:hAnsi="Arial" w:cs="Times New Roman"/>
      <w:b/>
      <w:sz w:val="24"/>
    </w:rPr>
  </w:style>
  <w:style w:type="paragraph" w:styleId="TOC1">
    <w:name w:val="toc 1"/>
    <w:basedOn w:val="Normal"/>
    <w:next w:val="Normal"/>
    <w:uiPriority w:val="39"/>
    <w:qFormat/>
    <w:pPr>
      <w:tabs>
        <w:tab w:val="right" w:leader="dot" w:pos="8640"/>
      </w:tabs>
      <w:spacing w:before="120" w:after="120" w:line="240" w:lineRule="auto"/>
      <w:ind w:left="482" w:right="720" w:hanging="482"/>
      <w:jc w:val="both"/>
    </w:pPr>
    <w:rPr>
      <w:rFonts w:ascii="Times New Roman" w:eastAsia="Times New Roman" w:hAnsi="Times New Roman" w:cs="Times New Roman"/>
      <w:caps/>
      <w:sz w:val="24"/>
    </w:rPr>
  </w:style>
  <w:style w:type="paragraph" w:styleId="TOC2">
    <w:name w:val="toc 2"/>
    <w:basedOn w:val="Normal"/>
    <w:next w:val="Normal"/>
    <w:uiPriority w:val="39"/>
    <w:qFormat/>
    <w:pPr>
      <w:tabs>
        <w:tab w:val="right" w:leader="dot" w:pos="8640"/>
      </w:tabs>
      <w:spacing w:before="60" w:after="60" w:line="240" w:lineRule="auto"/>
      <w:ind w:left="1077" w:right="720" w:hanging="595"/>
      <w:jc w:val="both"/>
    </w:pPr>
    <w:rPr>
      <w:rFonts w:ascii="Times New Roman" w:eastAsia="Times New Roman" w:hAnsi="Times New Roman" w:cs="Times New Roman"/>
      <w:sz w:val="24"/>
    </w:rPr>
  </w:style>
  <w:style w:type="paragraph" w:styleId="TOC3">
    <w:name w:val="toc 3"/>
    <w:basedOn w:val="Normal"/>
    <w:next w:val="Normal"/>
    <w:uiPriority w:val="39"/>
    <w:qFormat/>
    <w:pPr>
      <w:tabs>
        <w:tab w:val="right" w:leader="dot" w:pos="8640"/>
      </w:tabs>
      <w:spacing w:before="60" w:after="60" w:line="240" w:lineRule="auto"/>
      <w:ind w:left="1916" w:right="720" w:hanging="839"/>
      <w:jc w:val="both"/>
    </w:pPr>
    <w:rPr>
      <w:rFonts w:ascii="Times New Roman" w:eastAsia="Times New Roman" w:hAnsi="Times New Roman" w:cs="Times New Roman"/>
      <w:sz w:val="24"/>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rPr>
  </w:style>
  <w:style w:type="paragraph" w:styleId="TOC6">
    <w:name w:val="toc 6"/>
    <w:basedOn w:val="Normal"/>
    <w:next w:val="Normal"/>
    <w:autoRedefine/>
    <w:semiHidden/>
    <w:pPr>
      <w:spacing w:after="240" w:line="240" w:lineRule="auto"/>
      <w:ind w:left="1200"/>
      <w:jc w:val="both"/>
    </w:pPr>
    <w:rPr>
      <w:rFonts w:ascii="Times New Roman" w:eastAsia="Times New Roman" w:hAnsi="Times New Roman" w:cs="Times New Roman"/>
      <w:sz w:val="24"/>
    </w:rPr>
  </w:style>
  <w:style w:type="paragraph" w:styleId="TOC7">
    <w:name w:val="toc 7"/>
    <w:basedOn w:val="Normal"/>
    <w:next w:val="Normal"/>
    <w:autoRedefine/>
    <w:semiHidden/>
    <w:pPr>
      <w:spacing w:after="240" w:line="240" w:lineRule="auto"/>
      <w:ind w:left="1440"/>
      <w:jc w:val="both"/>
    </w:pPr>
    <w:rPr>
      <w:rFonts w:ascii="Times New Roman" w:eastAsia="Times New Roman" w:hAnsi="Times New Roman" w:cs="Times New Roman"/>
      <w:sz w:val="24"/>
    </w:rPr>
  </w:style>
  <w:style w:type="paragraph" w:styleId="TOC8">
    <w:name w:val="toc 8"/>
    <w:basedOn w:val="Normal"/>
    <w:next w:val="Normal"/>
    <w:autoRedefine/>
    <w:semiHidden/>
    <w:pPr>
      <w:spacing w:after="240" w:line="240" w:lineRule="auto"/>
      <w:ind w:left="1680"/>
      <w:jc w:val="both"/>
    </w:pPr>
    <w:rPr>
      <w:rFonts w:ascii="Times New Roman" w:eastAsia="Times New Roman" w:hAnsi="Times New Roman" w:cs="Times New Roman"/>
      <w:sz w:val="24"/>
    </w:rPr>
  </w:style>
  <w:style w:type="paragraph" w:styleId="TOC9">
    <w:name w:val="toc 9"/>
    <w:basedOn w:val="Normal"/>
    <w:next w:val="Normal"/>
    <w:autoRedefine/>
    <w:semiHidden/>
    <w:pPr>
      <w:spacing w:after="240" w:line="240" w:lineRule="auto"/>
      <w:ind w:left="1920"/>
      <w:jc w:val="both"/>
    </w:pPr>
    <w:rPr>
      <w:rFonts w:ascii="Times New Roman" w:eastAsia="Times New Roman" w:hAnsi="Times New Roman" w:cs="Times New Roman"/>
      <w:sz w:val="24"/>
    </w:rPr>
  </w:style>
  <w:style w:type="paragraph" w:customStyle="1" w:styleId="YReferences">
    <w:name w:val="YReferences"/>
    <w:basedOn w:val="Normal"/>
    <w:next w:val="Normal"/>
    <w:pPr>
      <w:spacing w:after="480" w:line="240" w:lineRule="auto"/>
      <w:ind w:left="1191" w:hanging="1191"/>
      <w:jc w:val="both"/>
    </w:pPr>
    <w:rPr>
      <w:rFonts w:ascii="Times New Roman" w:eastAsia="Times New Roman" w:hAnsi="Times New Roman" w:cs="Times New Roman"/>
      <w:sz w:val="24"/>
    </w:rPr>
  </w:style>
  <w:style w:type="paragraph" w:customStyle="1" w:styleId="ListBullet1">
    <w:name w:val="List Bullet 1"/>
    <w:basedOn w:val="Text1"/>
    <w:pPr>
      <w:numPr>
        <w:numId w:val="5"/>
      </w:numPr>
    </w:pPr>
  </w:style>
  <w:style w:type="paragraph" w:customStyle="1" w:styleId="ListDash">
    <w:name w:val="List Dash"/>
    <w:basedOn w:val="Normal"/>
    <w:pPr>
      <w:numPr>
        <w:numId w:val="9"/>
      </w:numPr>
      <w:spacing w:after="240" w:line="240" w:lineRule="auto"/>
      <w:jc w:val="both"/>
    </w:pPr>
    <w:rPr>
      <w:rFonts w:ascii="Times New Roman" w:eastAsia="Times New Roman" w:hAnsi="Times New Roman" w:cs="Times New Roman"/>
      <w:sz w:val="24"/>
    </w:r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spacing w:after="240" w:line="240" w:lineRule="auto"/>
      <w:jc w:val="both"/>
    </w:pPr>
    <w:rPr>
      <w:rFonts w:ascii="Times New Roman" w:eastAsia="Times New Roman" w:hAnsi="Times New Roman" w:cs="Times New Roman"/>
      <w:sz w:val="24"/>
    </w:rPr>
  </w:style>
  <w:style w:type="paragraph" w:customStyle="1" w:styleId="ListNumberLevel3">
    <w:name w:val="List Number (Level 3)"/>
    <w:basedOn w:val="Normal"/>
    <w:pPr>
      <w:numPr>
        <w:ilvl w:val="2"/>
        <w:numId w:val="14"/>
      </w:numPr>
      <w:spacing w:after="240" w:line="240" w:lineRule="auto"/>
      <w:jc w:val="both"/>
    </w:pPr>
    <w:rPr>
      <w:rFonts w:ascii="Times New Roman" w:eastAsia="Times New Roman" w:hAnsi="Times New Roman" w:cs="Times New Roman"/>
      <w:sz w:val="24"/>
    </w:rPr>
  </w:style>
  <w:style w:type="paragraph" w:customStyle="1" w:styleId="ListNumberLevel4">
    <w:name w:val="List Number (Level 4)"/>
    <w:basedOn w:val="Normal"/>
    <w:pPr>
      <w:numPr>
        <w:ilvl w:val="3"/>
        <w:numId w:val="14"/>
      </w:numPr>
      <w:spacing w:after="240" w:line="240" w:lineRule="auto"/>
      <w:jc w:val="both"/>
    </w:pPr>
    <w:rPr>
      <w:rFonts w:ascii="Times New Roman" w:eastAsia="Times New Roman" w:hAnsi="Times New Roman" w:cs="Times New Roman"/>
      <w:sz w:val="24"/>
    </w:r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after="240" w:line="240" w:lineRule="auto"/>
      <w:jc w:val="center"/>
    </w:pPr>
    <w:rPr>
      <w:rFonts w:ascii="Times New Roman" w:eastAsia="Times New Roman" w:hAnsi="Times New Roman" w:cs="Times New Roman"/>
      <w:b/>
      <w:sz w:val="24"/>
    </w:r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rPr>
  </w:style>
  <w:style w:type="paragraph" w:customStyle="1" w:styleId="ZCom">
    <w:name w:val="Z_Com"/>
    <w:basedOn w:val="Normal"/>
    <w:next w:val="ZDGName"/>
    <w:pPr>
      <w:widowControl w:val="0"/>
      <w:spacing w:after="0" w:line="240" w:lineRule="auto"/>
      <w:ind w:right="85"/>
      <w:jc w:val="both"/>
    </w:pPr>
    <w:rPr>
      <w:rFonts w:ascii="Arial" w:eastAsia="Times New Roman" w:hAnsi="Arial" w:cs="Times New Roman"/>
      <w:sz w:val="24"/>
    </w:rPr>
  </w:style>
  <w:style w:type="paragraph" w:customStyle="1" w:styleId="ZDGName">
    <w:name w:val="Z_DGName"/>
    <w:basedOn w:val="Normal"/>
    <w:pPr>
      <w:widowControl w:val="0"/>
      <w:spacing w:after="0" w:line="240" w:lineRule="auto"/>
      <w:ind w:right="85"/>
      <w:jc w:val="both"/>
    </w:pPr>
    <w:rPr>
      <w:rFonts w:ascii="Arial" w:eastAsia="Times New Roman" w:hAnsi="Arial" w:cs="Times New Roman"/>
      <w:sz w:val="16"/>
    </w:rPr>
  </w:style>
  <w:style w:type="character" w:styleId="FootnoteReference">
    <w:name w:val="footnote reference"/>
    <w:rPr>
      <w:rFonts w:cs="Times New Roman"/>
      <w:vertAlign w:val="superscript"/>
    </w:rPr>
  </w:style>
  <w:style w:type="character" w:styleId="PageNumber">
    <w:name w:val="page number"/>
    <w:rPr>
      <w:rFonts w:cs="Times New Roman"/>
    </w:rPr>
  </w:style>
  <w:style w:type="character" w:styleId="Hyperlink">
    <w:name w:val="Hyperlink"/>
    <w:uiPriority w:val="99"/>
    <w:rPr>
      <w:rFonts w:cs="Times New Roman"/>
      <w:color w:val="0000FF"/>
      <w:u w:val="single"/>
    </w:rPr>
  </w:style>
  <w:style w:type="paragraph" w:customStyle="1" w:styleId="ManualHeading2">
    <w:name w:val="Manual Heading 2"/>
    <w:basedOn w:val="Normal"/>
    <w:next w:val="Text2"/>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rPr>
  </w:style>
  <w:style w:type="character" w:styleId="FollowedHyperlink">
    <w:name w:val="FollowedHyperlink"/>
    <w:rPr>
      <w:rFonts w:cs="Times New Roman"/>
      <w:color w:val="800080"/>
      <w:u w:val="single"/>
    </w:rPr>
  </w:style>
  <w:style w:type="paragraph" w:customStyle="1" w:styleId="Typedudocument">
    <w:name w:val="Type du document"/>
    <w:basedOn w:val="Normal"/>
    <w:next w:val="Normal"/>
    <w:pPr>
      <w:spacing w:before="360" w:after="0" w:line="240" w:lineRule="auto"/>
      <w:jc w:val="center"/>
    </w:pPr>
    <w:rPr>
      <w:rFonts w:ascii="Times New Roman" w:eastAsia="Times New Roman" w:hAnsi="Times New Roman" w:cs="Times New Roman"/>
      <w:b/>
      <w:sz w:val="24"/>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rPr>
  </w:style>
  <w:style w:type="paragraph" w:styleId="BalloonText">
    <w:name w:val="Balloon Text"/>
    <w:basedOn w:val="Normal"/>
    <w:link w:val="BalloonTextChar"/>
    <w:semiHidden/>
    <w:pPr>
      <w:spacing w:after="240" w:line="240" w:lineRule="auto"/>
      <w:jc w:val="both"/>
    </w:pPr>
    <w:rPr>
      <w:rFonts w:ascii="Tahoma" w:eastAsia="Times New Roman" w:hAnsi="Tahoma" w:cs="Tahoma"/>
      <w:sz w:val="16"/>
    </w:rPr>
  </w:style>
  <w:style w:type="character" w:customStyle="1" w:styleId="BalloonTextChar">
    <w:name w:val="Balloon Text Char"/>
    <w:basedOn w:val="DefaultParagraphFont"/>
    <w:link w:val="BalloonText"/>
    <w:semiHidden/>
    <w:rPr>
      <w:rFonts w:ascii="Tahoma" w:eastAsia="Times New Roman" w:hAnsi="Tahoma" w:cs="Tahoma"/>
      <w:sz w:val="16"/>
    </w:rPr>
  </w:style>
  <w:style w:type="character" w:customStyle="1" w:styleId="longtext1">
    <w:name w:val="long_text1"/>
    <w:rPr>
      <w:sz w:val="16"/>
    </w:rPr>
  </w:style>
  <w:style w:type="character" w:styleId="CommentReference">
    <w:name w:val="annotation reference"/>
    <w:semiHidden/>
    <w:rPr>
      <w:sz w:val="16"/>
    </w:rPr>
  </w:style>
  <w:style w:type="paragraph" w:styleId="CommentSubject">
    <w:name w:val="annotation subject"/>
    <w:basedOn w:val="CommentText"/>
    <w:next w:val="CommentText"/>
    <w:link w:val="CommentSubjectChar"/>
    <w:semiHidden/>
    <w:rPr>
      <w:b/>
    </w:rPr>
  </w:style>
  <w:style w:type="character" w:customStyle="1" w:styleId="CommentSubjectChar">
    <w:name w:val="Comment Subject Char"/>
    <w:basedOn w:val="CommentTextChar"/>
    <w:link w:val="CommentSubject"/>
    <w:semiHidden/>
    <w:rPr>
      <w:rFonts w:ascii="Times New Roman" w:eastAsia="Times New Roman" w:hAnsi="Times New Roman" w:cs="Times New Roman"/>
      <w:b/>
      <w:sz w:val="20"/>
    </w:rPr>
  </w:style>
  <w:style w:type="paragraph" w:customStyle="1" w:styleId="CharChar2">
    <w:name w:val="Char Char2"/>
    <w:basedOn w:val="Normal"/>
    <w:pPr>
      <w:spacing w:line="240" w:lineRule="exact"/>
    </w:pPr>
    <w:rPr>
      <w:rFonts w:ascii="Tahoma" w:eastAsia="Times New Roman" w:hAnsi="Tahoma" w:cs="Times New Roman"/>
      <w:sz w:val="20"/>
    </w:rPr>
  </w:style>
  <w:style w:type="character" w:styleId="Strong">
    <w:name w:val="Strong"/>
    <w:qFormat/>
    <w:rPr>
      <w:b/>
    </w:rPr>
  </w:style>
  <w:style w:type="numbering" w:customStyle="1" w:styleId="NoList11">
    <w:name w:val="No List11"/>
    <w:next w:val="NoList"/>
    <w:semiHidden/>
  </w:style>
  <w:style w:type="character" w:customStyle="1" w:styleId="leipateksti1">
    <w:name w:val="leipateksti1"/>
    <w:rPr>
      <w:rFonts w:ascii="Arial" w:hAnsi="Arial" w:cs="Arial"/>
      <w:sz w:val="18"/>
    </w:rPr>
  </w:style>
  <w:style w:type="character" w:customStyle="1" w:styleId="longtext">
    <w:name w:val="long_text"/>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sz w:val="24"/>
    </w:rPr>
  </w:style>
  <w:style w:type="paragraph" w:customStyle="1" w:styleId="Lijstalinea">
    <w:name w:val="Lijstalinea"/>
    <w:basedOn w:val="Normal"/>
    <w:qFormat/>
    <w:pPr>
      <w:spacing w:after="240" w:line="240" w:lineRule="auto"/>
      <w:ind w:left="720"/>
      <w:contextualSpacing/>
      <w:jc w:val="both"/>
    </w:pPr>
    <w:rPr>
      <w:rFonts w:ascii="Times New Roman" w:eastAsia="Times New Roman" w:hAnsi="Times New Roman" w:cs="Times New Roman"/>
      <w:sz w:val="24"/>
    </w:rPr>
  </w:style>
  <w:style w:type="paragraph" w:customStyle="1" w:styleId="Paragraphedeliste">
    <w:name w:val="Paragraphe de liste"/>
    <w:basedOn w:val="Normal"/>
    <w:qFormat/>
    <w:pPr>
      <w:spacing w:after="240" w:line="240" w:lineRule="auto"/>
      <w:ind w:left="720"/>
      <w:contextualSpacing/>
      <w:jc w:val="both"/>
    </w:pPr>
    <w:rPr>
      <w:rFonts w:ascii="Times New Roman" w:eastAsia="Times New Roman" w:hAnsi="Times New Roman" w:cs="Times New Roman"/>
      <w:sz w:val="24"/>
    </w:rPr>
  </w:style>
  <w:style w:type="paragraph" w:customStyle="1" w:styleId="Loendilik">
    <w:name w:val="Loendi lõik"/>
    <w:basedOn w:val="Normal"/>
    <w:qFormat/>
    <w:pPr>
      <w:spacing w:after="240" w:line="240" w:lineRule="auto"/>
      <w:ind w:left="720"/>
      <w:contextualSpacing/>
      <w:jc w:val="both"/>
    </w:pPr>
    <w:rPr>
      <w:rFonts w:ascii="Times New Roman" w:eastAsia="Times New Roman" w:hAnsi="Times New Roman" w:cs="Times New Roman"/>
      <w:sz w:val="24"/>
    </w:rPr>
  </w:style>
  <w:style w:type="character" w:customStyle="1" w:styleId="hps">
    <w:name w:val="hps"/>
  </w:style>
  <w:style w:type="character" w:customStyle="1" w:styleId="shorttext">
    <w:name w:val="short_text"/>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
    <w:name w:val="Zchn Zchn"/>
    <w:basedOn w:val="Normal"/>
    <w:pPr>
      <w:spacing w:line="240" w:lineRule="exact"/>
    </w:pPr>
    <w:rPr>
      <w:rFonts w:ascii="Tahoma" w:eastAsia="Times New Roman" w:hAnsi="Tahoma" w:cs="Times New Roman"/>
      <w:sz w:val="20"/>
    </w:rPr>
  </w:style>
  <w:style w:type="numbering" w:customStyle="1" w:styleId="NoList2">
    <w:name w:val="No List2"/>
    <w:next w:val="NoList"/>
    <w:semiHidden/>
  </w:style>
  <w:style w:type="paragraph" w:styleId="Revision">
    <w:name w:val="Revision"/>
    <w:hidden/>
    <w:uiPriority w:val="99"/>
    <w:semiHidden/>
    <w:pPr>
      <w:spacing w:after="0" w:line="240" w:lineRule="auto"/>
    </w:pPr>
    <w:rPr>
      <w:rFonts w:ascii="Times New Roman" w:eastAsia="Times New Roman" w:hAnsi="Times New Roman" w:cs="Times New Roman"/>
      <w:sz w:val="24"/>
    </w:rPr>
  </w:style>
  <w:style w:type="table" w:customStyle="1" w:styleId="GridTable3-Accent41">
    <w:name w:val="Grid Table 3 - Accent 41"/>
    <w:basedOn w:val="TableNormal"/>
    <w:next w:val="GridTable3-Accent42"/>
    <w:uiPriority w:val="48"/>
    <w:pPr>
      <w:spacing w:after="0" w:line="240" w:lineRule="auto"/>
    </w:pPr>
    <w:rPr>
      <w:rFonts w:ascii="Calibri" w:eastAsia="Calibri" w:hAnsi="Calibri" w:cs="Times New Roma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42">
    <w:name w:val="Grid Table 3 - Accent 42"/>
    <w:basedOn w:val="TableNormal"/>
    <w:uiPriority w:val="48"/>
    <w:pPr>
      <w:spacing w:after="0" w:line="240" w:lineRule="auto"/>
    </w:pPr>
    <w:rPr>
      <w:rFonts w:ascii="Times New Roman" w:eastAsia="Times New Roman" w:hAnsi="Times New Roman" w:cs="Times New Roman"/>
      <w:sz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character" w:customStyle="1" w:styleId="DeltaViewInsertion">
    <w:name w:val="DeltaView Insertion"/>
    <w:uiPriority w:val="99"/>
    <w:rPr>
      <w:b/>
      <w:i/>
    </w:rPr>
  </w:style>
  <w:style w:type="character" w:styleId="Emphasis">
    <w:name w:val="Emphasis"/>
    <w:qFormat/>
    <w:rPr>
      <w:i/>
    </w:rPr>
  </w:style>
  <w:style w:type="table" w:customStyle="1" w:styleId="ListTable7Colorful-Accent41">
    <w:name w:val="List Table 7 Colorful - Accent 41"/>
    <w:basedOn w:val="TableNormal"/>
    <w:next w:val="ListTable7Colorful-Accent42"/>
    <w:uiPriority w:val="52"/>
    <w:pPr>
      <w:spacing w:after="0" w:line="240" w:lineRule="auto"/>
    </w:pPr>
    <w:rPr>
      <w:rFonts w:ascii="Calibri" w:eastAsia="Calibri" w:hAnsi="Calibri" w:cs="Times New Roman"/>
      <w:color w:val="5F497A"/>
    </w:rPr>
    <w:tblPr>
      <w:tblStyleRowBandSize w:val="1"/>
      <w:tblStyleColBandSize w:val="1"/>
    </w:tblPr>
    <w:tblStylePr w:type="firstRow">
      <w:rPr>
        <w:rFonts w:ascii="Cambria" w:eastAsia="Times New Roman" w:hAnsi="Cambria" w:cs="Times New Roman"/>
        <w:i/>
        <w:sz w:val="26"/>
      </w:rPr>
      <w:tblPr/>
      <w:tcPr>
        <w:tcBorders>
          <w:bottom w:val="single" w:sz="4" w:space="0" w:color="8064A2"/>
        </w:tcBorders>
        <w:shd w:val="clear" w:color="auto" w:fill="FFFFFF"/>
      </w:tcPr>
    </w:tblStylePr>
    <w:tblStylePr w:type="lastRow">
      <w:rPr>
        <w:rFonts w:ascii="Cambria" w:eastAsia="Times New Roman" w:hAnsi="Cambria" w:cs="Times New Roman"/>
        <w:i/>
        <w:sz w:val="26"/>
      </w:rPr>
      <w:tblPr/>
      <w:tcPr>
        <w:tcBorders>
          <w:top w:val="single" w:sz="4" w:space="0" w:color="8064A2"/>
        </w:tcBorders>
        <w:shd w:val="clear" w:color="auto" w:fill="FFFFFF"/>
      </w:tcPr>
    </w:tblStylePr>
    <w:tblStylePr w:type="firstCol">
      <w:pPr>
        <w:jc w:val="right"/>
      </w:pPr>
      <w:rPr>
        <w:rFonts w:ascii="Cambria" w:eastAsia="Times New Roman" w:hAnsi="Cambria" w:cs="Times New Roman"/>
        <w:i/>
        <w:sz w:val="26"/>
      </w:rPr>
      <w:tblPr/>
      <w:tcPr>
        <w:tcBorders>
          <w:right w:val="single" w:sz="4" w:space="0" w:color="8064A2"/>
        </w:tcBorders>
        <w:shd w:val="clear" w:color="auto" w:fill="FFFFFF"/>
      </w:tcPr>
    </w:tblStylePr>
    <w:tblStylePr w:type="lastCol">
      <w:rPr>
        <w:rFonts w:ascii="Cambria" w:eastAsia="Times New Roman" w:hAnsi="Cambria" w:cs="Times New Roman"/>
        <w:i/>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uiPriority w:val="52"/>
    <w:pPr>
      <w:spacing w:after="0" w:line="240" w:lineRule="auto"/>
    </w:pPr>
    <w:rPr>
      <w:rFonts w:ascii="Times New Roman" w:eastAsia="Times New Roman" w:hAnsi="Times New Roman" w:cs="Times New Roman"/>
      <w:color w:val="BF8F00" w:themeColor="accent4" w:themeShade="BF"/>
      <w:sz w:val="20"/>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0">
    <w:name w:val="List Table 7 Colorful - Accent 42"/>
    <w:basedOn w:val="TableNormal"/>
    <w:next w:val="ListTable7Colorful-Accent42"/>
    <w:uiPriority w:val="52"/>
    <w:pPr>
      <w:spacing w:after="0" w:line="240" w:lineRule="auto"/>
    </w:pPr>
    <w:rPr>
      <w:rFonts w:ascii="Calibri" w:eastAsia="Calibri" w:hAnsi="Calibri" w:cs="Times New Roman"/>
      <w:color w:val="5F497A"/>
    </w:rPr>
    <w:tblPr>
      <w:tblStyleRowBandSize w:val="1"/>
      <w:tblStyleColBandSize w:val="1"/>
    </w:tblPr>
    <w:tblStylePr w:type="firstRow">
      <w:rPr>
        <w:rFonts w:ascii="Cambria" w:eastAsia="Times New Roman" w:hAnsi="Cambria" w:cs="Times New Roman"/>
        <w:i/>
        <w:sz w:val="26"/>
      </w:rPr>
      <w:tblPr/>
      <w:tcPr>
        <w:tcBorders>
          <w:bottom w:val="single" w:sz="4" w:space="0" w:color="8064A2"/>
        </w:tcBorders>
        <w:shd w:val="clear" w:color="auto" w:fill="FFFFFF"/>
      </w:tcPr>
    </w:tblStylePr>
    <w:tblStylePr w:type="lastRow">
      <w:rPr>
        <w:rFonts w:ascii="Cambria" w:eastAsia="Times New Roman" w:hAnsi="Cambria" w:cs="Times New Roman"/>
        <w:i/>
        <w:sz w:val="26"/>
      </w:rPr>
      <w:tblPr/>
      <w:tcPr>
        <w:tcBorders>
          <w:top w:val="single" w:sz="4" w:space="0" w:color="8064A2"/>
        </w:tcBorders>
        <w:shd w:val="clear" w:color="auto" w:fill="FFFFFF"/>
      </w:tcPr>
    </w:tblStylePr>
    <w:tblStylePr w:type="firstCol">
      <w:pPr>
        <w:jc w:val="right"/>
      </w:pPr>
      <w:rPr>
        <w:rFonts w:ascii="Cambria" w:eastAsia="Times New Roman" w:hAnsi="Cambria" w:cs="Times New Roman"/>
        <w:i/>
        <w:sz w:val="26"/>
      </w:rPr>
      <w:tblPr/>
      <w:tcPr>
        <w:tcBorders>
          <w:right w:val="single" w:sz="4" w:space="0" w:color="8064A2"/>
        </w:tcBorders>
        <w:shd w:val="clear" w:color="auto" w:fill="FFFFFF"/>
      </w:tcPr>
    </w:tblStylePr>
    <w:tblStylePr w:type="lastCol">
      <w:rPr>
        <w:rFonts w:ascii="Cambria" w:eastAsia="Times New Roman" w:hAnsi="Cambria" w:cs="Times New Roman"/>
        <w:i/>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pPr>
      <w:ind w:left="720"/>
      <w:contextualSpacing/>
    </w:p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
    <w:name w:val="Grid Table 1 Light"/>
    <w:basedOn w:val="TableNormal"/>
    <w:uiPriority w:val="46"/>
    <w:rsid w:val="001F6D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paragraph" w:customStyle="1" w:styleId="Titreobjet">
    <w:name w:val="Titre objet"/>
    <w:basedOn w:val="Normal"/>
    <w:next w:val="Normal"/>
    <w:rsid w:val="00257F01"/>
    <w:pPr>
      <w:spacing w:before="360" w:after="360" w:line="240" w:lineRule="auto"/>
      <w:jc w:val="center"/>
    </w:pPr>
    <w:rPr>
      <w:rFonts w:ascii="Times New Roman" w:hAnsi="Times New Roman" w:cs="Times New Roman"/>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chart" Target="charts/chart5.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hart" Target="charts/chart4.xml"/><Relationship Id="rId27" Type="http://schemas.openxmlformats.org/officeDocument/2006/relationships/footer" Target="footer4.xml"/><Relationship Id="rId30" Type="http://schemas.openxmlformats.org/officeDocument/2006/relationships/footer" Target="footer6.xml"/></Relationships>
</file>

<file path=word/charts/_rels/chart1.xml.rels><?xml version="1.0" encoding="UTF-8" standalone="yes"?>
<Relationships xmlns="http://schemas.openxmlformats.org/package/2006/relationships"><Relationship Id="rId3" Type="http://schemas.openxmlformats.org/officeDocument/2006/relationships/oleObject" Target="https://myintracomm-collab.ec.europa.eu/dg/CONNECT/DirectorateB/UnitB2/Shared%20Documents/112/112%20reports/2022%20reporting/Data%20processing/Data%20processing%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'Calls to 112'!$K$4:$K$31</c:f>
              <c:strCache>
                <c:ptCount val="28"/>
                <c:pt idx="0">
                  <c:v>IE</c:v>
                </c:pt>
                <c:pt idx="1">
                  <c:v>MT</c:v>
                </c:pt>
                <c:pt idx="2">
                  <c:v>LU</c:v>
                </c:pt>
                <c:pt idx="3">
                  <c:v>CY</c:v>
                </c:pt>
                <c:pt idx="4">
                  <c:v>SI</c:v>
                </c:pt>
                <c:pt idx="5">
                  <c:v>NO</c:v>
                </c:pt>
                <c:pt idx="6">
                  <c:v>LV</c:v>
                </c:pt>
                <c:pt idx="7">
                  <c:v>SK</c:v>
                </c:pt>
                <c:pt idx="8">
                  <c:v>EE</c:v>
                </c:pt>
                <c:pt idx="9">
                  <c:v>AT</c:v>
                </c:pt>
                <c:pt idx="10">
                  <c:v>DK</c:v>
                </c:pt>
                <c:pt idx="11">
                  <c:v>HR</c:v>
                </c:pt>
                <c:pt idx="12">
                  <c:v>BE</c:v>
                </c:pt>
                <c:pt idx="13">
                  <c:v>CZ</c:v>
                </c:pt>
                <c:pt idx="14">
                  <c:v>LT</c:v>
                </c:pt>
                <c:pt idx="15">
                  <c:v>FI</c:v>
                </c:pt>
                <c:pt idx="16">
                  <c:v>EL</c:v>
                </c:pt>
                <c:pt idx="17">
                  <c:v>SE</c:v>
                </c:pt>
                <c:pt idx="18">
                  <c:v>NL</c:v>
                </c:pt>
                <c:pt idx="19">
                  <c:v>BG</c:v>
                </c:pt>
                <c:pt idx="20">
                  <c:v>HU</c:v>
                </c:pt>
                <c:pt idx="21">
                  <c:v>PT</c:v>
                </c:pt>
                <c:pt idx="22">
                  <c:v>FR</c:v>
                </c:pt>
                <c:pt idx="23">
                  <c:v>RO</c:v>
                </c:pt>
                <c:pt idx="24">
                  <c:v>DE</c:v>
                </c:pt>
                <c:pt idx="25">
                  <c:v>PL</c:v>
                </c:pt>
                <c:pt idx="26">
                  <c:v>ES</c:v>
                </c:pt>
                <c:pt idx="27">
                  <c:v>IT</c:v>
                </c:pt>
              </c:strCache>
            </c:strRef>
          </c:cat>
          <c:val>
            <c:numRef>
              <c:f>'Calls to 112'!$L$4:$L$31</c:f>
              <c:numCache>
                <c:formatCode>#,##0</c:formatCode>
                <c:ptCount val="28"/>
                <c:pt idx="0">
                  <c:v>115000</c:v>
                </c:pt>
                <c:pt idx="1">
                  <c:v>340410</c:v>
                </c:pt>
                <c:pt idx="2">
                  <c:v>360303</c:v>
                </c:pt>
                <c:pt idx="3">
                  <c:v>397609</c:v>
                </c:pt>
                <c:pt idx="4">
                  <c:v>469028</c:v>
                </c:pt>
                <c:pt idx="5" formatCode="_-* #,##0_-;\-* #,##0_-;_-* &quot;-&quot;??_-;_-@_-">
                  <c:v>753183</c:v>
                </c:pt>
                <c:pt idx="6">
                  <c:v>924853</c:v>
                </c:pt>
                <c:pt idx="7">
                  <c:v>1015355</c:v>
                </c:pt>
                <c:pt idx="8">
                  <c:v>1050015</c:v>
                </c:pt>
                <c:pt idx="9">
                  <c:v>1279404</c:v>
                </c:pt>
                <c:pt idx="10">
                  <c:v>1540481</c:v>
                </c:pt>
                <c:pt idx="11">
                  <c:v>1872866</c:v>
                </c:pt>
                <c:pt idx="12">
                  <c:v>2010829</c:v>
                </c:pt>
                <c:pt idx="13">
                  <c:v>2056967</c:v>
                </c:pt>
                <c:pt idx="14">
                  <c:v>2364671</c:v>
                </c:pt>
                <c:pt idx="15">
                  <c:v>2782980</c:v>
                </c:pt>
                <c:pt idx="16">
                  <c:v>3201948</c:v>
                </c:pt>
                <c:pt idx="17">
                  <c:v>3414055</c:v>
                </c:pt>
                <c:pt idx="18">
                  <c:v>3500000</c:v>
                </c:pt>
                <c:pt idx="19">
                  <c:v>4063934</c:v>
                </c:pt>
                <c:pt idx="20">
                  <c:v>5123947</c:v>
                </c:pt>
                <c:pt idx="21">
                  <c:v>7952961</c:v>
                </c:pt>
                <c:pt idx="22">
                  <c:v>9754932</c:v>
                </c:pt>
                <c:pt idx="23">
                  <c:v>10337426</c:v>
                </c:pt>
                <c:pt idx="24">
                  <c:v>16894382</c:v>
                </c:pt>
                <c:pt idx="25">
                  <c:v>21142520</c:v>
                </c:pt>
                <c:pt idx="26">
                  <c:v>21308608</c:v>
                </c:pt>
                <c:pt idx="27">
                  <c:v>27197708</c:v>
                </c:pt>
              </c:numCache>
            </c:numRef>
          </c:val>
          <c:extLst>
            <c:ext xmlns:c16="http://schemas.microsoft.com/office/drawing/2014/chart" uri="{C3380CC4-5D6E-409C-BE32-E72D297353CC}">
              <c16:uniqueId val="{00000000-F535-487C-A439-8BA451D4A251}"/>
            </c:ext>
          </c:extLst>
        </c:ser>
        <c:dLbls>
          <c:dLblPos val="outEnd"/>
          <c:showLegendKey val="0"/>
          <c:showVal val="1"/>
          <c:showCatName val="0"/>
          <c:showSerName val="0"/>
          <c:showPercent val="0"/>
          <c:showBubbleSize val="0"/>
        </c:dLbls>
        <c:gapWidth val="219"/>
        <c:overlap val="-27"/>
        <c:axId val="664658936"/>
        <c:axId val="664666808"/>
      </c:barChart>
      <c:catAx>
        <c:axId val="664658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4666808"/>
        <c:crosses val="autoZero"/>
        <c:auto val="1"/>
        <c:lblAlgn val="ctr"/>
        <c:lblOffset val="100"/>
        <c:noMultiLvlLbl val="0"/>
      </c:catAx>
      <c:valAx>
        <c:axId val="664666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4658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'Calls to 112'!$K$42:$K$67</c:f>
              <c:strCache>
                <c:ptCount val="26"/>
                <c:pt idx="0">
                  <c:v>IE</c:v>
                </c:pt>
                <c:pt idx="1">
                  <c:v>FR</c:v>
                </c:pt>
                <c:pt idx="2">
                  <c:v>AT</c:v>
                </c:pt>
                <c:pt idx="3">
                  <c:v>CZ</c:v>
                </c:pt>
                <c:pt idx="4">
                  <c:v>BE</c:v>
                </c:pt>
                <c:pt idx="5">
                  <c:v>NO</c:v>
                </c:pt>
                <c:pt idx="6">
                  <c:v>SI</c:v>
                </c:pt>
                <c:pt idx="7">
                  <c:v>HR</c:v>
                </c:pt>
                <c:pt idx="8">
                  <c:v>ES</c:v>
                </c:pt>
                <c:pt idx="9">
                  <c:v>SK</c:v>
                </c:pt>
                <c:pt idx="10">
                  <c:v>LV</c:v>
                </c:pt>
                <c:pt idx="11">
                  <c:v>DE</c:v>
                </c:pt>
                <c:pt idx="12">
                  <c:v>PL</c:v>
                </c:pt>
                <c:pt idx="13">
                  <c:v>IT</c:v>
                </c:pt>
                <c:pt idx="14">
                  <c:v>LU</c:v>
                </c:pt>
                <c:pt idx="15">
                  <c:v>HU</c:v>
                </c:pt>
                <c:pt idx="16">
                  <c:v>BG</c:v>
                </c:pt>
                <c:pt idx="17">
                  <c:v>SE</c:v>
                </c:pt>
                <c:pt idx="18">
                  <c:v>DK</c:v>
                </c:pt>
                <c:pt idx="19">
                  <c:v>EE</c:v>
                </c:pt>
                <c:pt idx="20">
                  <c:v>FI</c:v>
                </c:pt>
                <c:pt idx="21">
                  <c:v>LT</c:v>
                </c:pt>
                <c:pt idx="22">
                  <c:v>MT</c:v>
                </c:pt>
                <c:pt idx="23">
                  <c:v>NL</c:v>
                </c:pt>
                <c:pt idx="24">
                  <c:v>PT</c:v>
                </c:pt>
                <c:pt idx="25">
                  <c:v>RO</c:v>
                </c:pt>
              </c:strCache>
            </c:strRef>
          </c:cat>
          <c:val>
            <c:numRef>
              <c:f>'Calls to 112'!$L$42:$L$67</c:f>
              <c:numCache>
                <c:formatCode>0</c:formatCode>
                <c:ptCount val="26"/>
                <c:pt idx="0">
                  <c:v>5</c:v>
                </c:pt>
                <c:pt idx="1">
                  <c:v>12.49121223328323</c:v>
                </c:pt>
                <c:pt idx="2">
                  <c:v>21.048596539775538</c:v>
                </c:pt>
                <c:pt idx="3">
                  <c:v>38.919061999609099</c:v>
                </c:pt>
                <c:pt idx="4">
                  <c:v>45.62560497073224</c:v>
                </c:pt>
                <c:pt idx="5">
                  <c:v>47</c:v>
                </c:pt>
                <c:pt idx="6">
                  <c:v>48.560660965357293</c:v>
                </c:pt>
                <c:pt idx="7">
                  <c:v>51</c:v>
                </c:pt>
                <c:pt idx="8">
                  <c:v>56.514501531414957</c:v>
                </c:pt>
                <c:pt idx="9">
                  <c:v>58.411576520888211</c:v>
                </c:pt>
                <c:pt idx="10">
                  <c:v>62.513594643389439</c:v>
                </c:pt>
                <c:pt idx="11">
                  <c:v>72.520760605127293</c:v>
                </c:pt>
                <c:pt idx="12">
                  <c:v>87.164230447454173</c:v>
                </c:pt>
                <c:pt idx="13">
                  <c:v>88.557008005642075</c:v>
                </c:pt>
                <c:pt idx="14">
                  <c:v>91.933496122903577</c:v>
                </c:pt>
                <c:pt idx="15">
                  <c:v>92.203073431582325</c:v>
                </c:pt>
                <c:pt idx="16">
                  <c:v>96.863862351928049</c:v>
                </c:pt>
                <c:pt idx="17">
                  <c:v>99.999999999999986</c:v>
                </c:pt>
                <c:pt idx="18">
                  <c:v>100</c:v>
                </c:pt>
                <c:pt idx="19">
                  <c:v>100</c:v>
                </c:pt>
                <c:pt idx="20">
                  <c:v>100</c:v>
                </c:pt>
                <c:pt idx="21">
                  <c:v>100</c:v>
                </c:pt>
                <c:pt idx="22">
                  <c:v>100</c:v>
                </c:pt>
                <c:pt idx="23">
                  <c:v>100</c:v>
                </c:pt>
                <c:pt idx="24">
                  <c:v>100</c:v>
                </c:pt>
                <c:pt idx="25">
                  <c:v>100</c:v>
                </c:pt>
              </c:numCache>
            </c:numRef>
          </c:val>
          <c:extLst>
            <c:ext xmlns:c16="http://schemas.microsoft.com/office/drawing/2014/chart" uri="{C3380CC4-5D6E-409C-BE32-E72D297353CC}">
              <c16:uniqueId val="{00000000-826A-444E-BFF4-28364A66BF2F}"/>
            </c:ext>
          </c:extLst>
        </c:ser>
        <c:dLbls>
          <c:dLblPos val="outEnd"/>
          <c:showLegendKey val="0"/>
          <c:showVal val="1"/>
          <c:showCatName val="0"/>
          <c:showSerName val="0"/>
          <c:showPercent val="0"/>
          <c:showBubbleSize val="0"/>
        </c:dLbls>
        <c:gapWidth val="444"/>
        <c:overlap val="-90"/>
        <c:axId val="441928632"/>
        <c:axId val="717645608"/>
      </c:barChart>
      <c:catAx>
        <c:axId val="441928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17645608"/>
        <c:crosses val="autoZero"/>
        <c:auto val="1"/>
        <c:lblAlgn val="ctr"/>
        <c:lblOffset val="100"/>
        <c:noMultiLvlLbl val="0"/>
      </c:catAx>
      <c:valAx>
        <c:axId val="717645608"/>
        <c:scaling>
          <c:orientation val="minMax"/>
        </c:scaling>
        <c:delete val="1"/>
        <c:axPos val="l"/>
        <c:numFmt formatCode="0" sourceLinked="1"/>
        <c:majorTickMark val="none"/>
        <c:minorTickMark val="none"/>
        <c:tickLblPos val="nextTo"/>
        <c:crossAx val="44192863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'False calls'!$J$8:$J$26</c:f>
              <c:strCache>
                <c:ptCount val="19"/>
                <c:pt idx="0">
                  <c:v>LT</c:v>
                </c:pt>
                <c:pt idx="1">
                  <c:v>CY</c:v>
                </c:pt>
                <c:pt idx="2">
                  <c:v>DE</c:v>
                </c:pt>
                <c:pt idx="3">
                  <c:v>SK</c:v>
                </c:pt>
                <c:pt idx="4">
                  <c:v>CZ</c:v>
                </c:pt>
                <c:pt idx="5">
                  <c:v>HR</c:v>
                </c:pt>
                <c:pt idx="6">
                  <c:v>FI</c:v>
                </c:pt>
                <c:pt idx="7">
                  <c:v>BE</c:v>
                </c:pt>
                <c:pt idx="8">
                  <c:v>ES</c:v>
                </c:pt>
                <c:pt idx="9">
                  <c:v>SE</c:v>
                </c:pt>
                <c:pt idx="10">
                  <c:v>BG</c:v>
                </c:pt>
                <c:pt idx="11">
                  <c:v>HU</c:v>
                </c:pt>
                <c:pt idx="12">
                  <c:v>PL</c:v>
                </c:pt>
                <c:pt idx="13">
                  <c:v>RO</c:v>
                </c:pt>
                <c:pt idx="14">
                  <c:v>IT</c:v>
                </c:pt>
                <c:pt idx="15">
                  <c:v>NL</c:v>
                </c:pt>
                <c:pt idx="16">
                  <c:v>DK</c:v>
                </c:pt>
                <c:pt idx="17">
                  <c:v>PT</c:v>
                </c:pt>
                <c:pt idx="18">
                  <c:v>MT</c:v>
                </c:pt>
              </c:strCache>
            </c:strRef>
          </c:cat>
          <c:val>
            <c:numRef>
              <c:f>'False calls'!$L$8:$L$26</c:f>
              <c:numCache>
                <c:formatCode>0</c:formatCode>
                <c:ptCount val="19"/>
                <c:pt idx="0">
                  <c:v>0.73185656693891032</c:v>
                </c:pt>
                <c:pt idx="1">
                  <c:v>1</c:v>
                </c:pt>
                <c:pt idx="2">
                  <c:v>7.6676543215176043</c:v>
                </c:pt>
                <c:pt idx="3">
                  <c:v>12.930677906915871</c:v>
                </c:pt>
                <c:pt idx="4">
                  <c:v>15.891170945214817</c:v>
                </c:pt>
                <c:pt idx="5">
                  <c:v>18.286572557780428</c:v>
                </c:pt>
                <c:pt idx="6">
                  <c:v>22.305945425407298</c:v>
                </c:pt>
                <c:pt idx="7">
                  <c:v>24.329387248884679</c:v>
                </c:pt>
                <c:pt idx="8">
                  <c:v>27.384707626138695</c:v>
                </c:pt>
                <c:pt idx="9">
                  <c:v>32.683275459827094</c:v>
                </c:pt>
                <c:pt idx="10">
                  <c:v>33.34730858767859</c:v>
                </c:pt>
                <c:pt idx="11">
                  <c:v>37.187751979804368</c:v>
                </c:pt>
                <c:pt idx="12">
                  <c:v>38.041451999485986</c:v>
                </c:pt>
                <c:pt idx="13">
                  <c:v>40.729703893406352</c:v>
                </c:pt>
                <c:pt idx="14">
                  <c:v>42.600692430896103</c:v>
                </c:pt>
                <c:pt idx="15">
                  <c:v>54</c:v>
                </c:pt>
                <c:pt idx="16">
                  <c:v>64.345616726204355</c:v>
                </c:pt>
                <c:pt idx="17">
                  <c:v>71.760781927636756</c:v>
                </c:pt>
                <c:pt idx="18">
                  <c:v>76.441056373197029</c:v>
                </c:pt>
              </c:numCache>
            </c:numRef>
          </c:val>
          <c:extLst>
            <c:ext xmlns:c16="http://schemas.microsoft.com/office/drawing/2014/chart" uri="{C3380CC4-5D6E-409C-BE32-E72D297353CC}">
              <c16:uniqueId val="{00000000-2787-4D04-819D-264CFCE94663}"/>
            </c:ext>
          </c:extLst>
        </c:ser>
        <c:dLbls>
          <c:showLegendKey val="0"/>
          <c:showVal val="0"/>
          <c:showCatName val="0"/>
          <c:showSerName val="0"/>
          <c:showPercent val="0"/>
          <c:showBubbleSize val="0"/>
        </c:dLbls>
        <c:gapWidth val="219"/>
        <c:overlap val="-27"/>
        <c:axId val="493995088"/>
        <c:axId val="493992792"/>
      </c:barChart>
      <c:catAx>
        <c:axId val="49399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992792"/>
        <c:crosses val="autoZero"/>
        <c:auto val="1"/>
        <c:lblAlgn val="ctr"/>
        <c:lblOffset val="100"/>
        <c:noMultiLvlLbl val="0"/>
      </c:catAx>
      <c:valAx>
        <c:axId val="493992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995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27"/>
              <c:layout>
                <c:manualLayout>
                  <c:x val="-1.053740779768192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F3-419A-B6FF-106A592DFBC6}"/>
                </c:ext>
              </c:extLst>
            </c:dLbl>
            <c:spPr>
              <a:noFill/>
              <a:ln>
                <a:noFill/>
              </a:ln>
              <a:effectLst/>
            </c:spPr>
            <c:txPr>
              <a:bodyPr rot="-474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eCall!$P$3:$P$30</c:f>
              <c:strCache>
                <c:ptCount val="28"/>
                <c:pt idx="0">
                  <c:v>MT</c:v>
                </c:pt>
                <c:pt idx="1">
                  <c:v>BG</c:v>
                </c:pt>
                <c:pt idx="2">
                  <c:v>LV</c:v>
                </c:pt>
                <c:pt idx="3">
                  <c:v>CY</c:v>
                </c:pt>
                <c:pt idx="4">
                  <c:v>EE</c:v>
                </c:pt>
                <c:pt idx="5">
                  <c:v>LU</c:v>
                </c:pt>
                <c:pt idx="6">
                  <c:v>FI</c:v>
                </c:pt>
                <c:pt idx="7">
                  <c:v>LT</c:v>
                </c:pt>
                <c:pt idx="8">
                  <c:v>SI</c:v>
                </c:pt>
                <c:pt idx="9">
                  <c:v>SK</c:v>
                </c:pt>
                <c:pt idx="10">
                  <c:v>IE</c:v>
                </c:pt>
                <c:pt idx="11">
                  <c:v>HU</c:v>
                </c:pt>
                <c:pt idx="12">
                  <c:v>HR</c:v>
                </c:pt>
                <c:pt idx="13">
                  <c:v>PT</c:v>
                </c:pt>
                <c:pt idx="14">
                  <c:v>EL</c:v>
                </c:pt>
                <c:pt idx="15">
                  <c:v>AT</c:v>
                </c:pt>
                <c:pt idx="16">
                  <c:v>NO</c:v>
                </c:pt>
                <c:pt idx="17">
                  <c:v>BE</c:v>
                </c:pt>
                <c:pt idx="18">
                  <c:v>DK</c:v>
                </c:pt>
                <c:pt idx="19">
                  <c:v>CZ</c:v>
                </c:pt>
                <c:pt idx="20">
                  <c:v>SE</c:v>
                </c:pt>
                <c:pt idx="21">
                  <c:v>RO</c:v>
                </c:pt>
                <c:pt idx="22">
                  <c:v>NL</c:v>
                </c:pt>
                <c:pt idx="23">
                  <c:v>PL</c:v>
                </c:pt>
                <c:pt idx="24">
                  <c:v>DE</c:v>
                </c:pt>
                <c:pt idx="25">
                  <c:v>ES</c:v>
                </c:pt>
                <c:pt idx="26">
                  <c:v>FR</c:v>
                </c:pt>
                <c:pt idx="27">
                  <c:v>IT</c:v>
                </c:pt>
              </c:strCache>
            </c:strRef>
          </c:cat>
          <c:val>
            <c:numRef>
              <c:f>eCall!$Q$3:$Q$30</c:f>
              <c:numCache>
                <c:formatCode>General</c:formatCode>
                <c:ptCount val="28"/>
                <c:pt idx="0">
                  <c:v>23</c:v>
                </c:pt>
                <c:pt idx="1">
                  <c:v>547</c:v>
                </c:pt>
                <c:pt idx="2">
                  <c:v>722</c:v>
                </c:pt>
                <c:pt idx="3">
                  <c:v>751</c:v>
                </c:pt>
                <c:pt idx="4">
                  <c:v>888</c:v>
                </c:pt>
                <c:pt idx="5">
                  <c:v>1371</c:v>
                </c:pt>
                <c:pt idx="6">
                  <c:v>2340</c:v>
                </c:pt>
                <c:pt idx="7">
                  <c:v>2560</c:v>
                </c:pt>
                <c:pt idx="8">
                  <c:v>2668</c:v>
                </c:pt>
                <c:pt idx="9">
                  <c:v>3550</c:v>
                </c:pt>
                <c:pt idx="10">
                  <c:v>4244</c:v>
                </c:pt>
                <c:pt idx="11">
                  <c:v>4593</c:v>
                </c:pt>
                <c:pt idx="12">
                  <c:v>4646</c:v>
                </c:pt>
                <c:pt idx="13">
                  <c:v>5727</c:v>
                </c:pt>
                <c:pt idx="14">
                  <c:v>7514</c:v>
                </c:pt>
                <c:pt idx="15">
                  <c:v>8036</c:v>
                </c:pt>
                <c:pt idx="16">
                  <c:v>8425</c:v>
                </c:pt>
                <c:pt idx="17">
                  <c:v>9402</c:v>
                </c:pt>
                <c:pt idx="18">
                  <c:v>11605</c:v>
                </c:pt>
                <c:pt idx="19">
                  <c:v>13741</c:v>
                </c:pt>
                <c:pt idx="20">
                  <c:v>13958</c:v>
                </c:pt>
                <c:pt idx="21">
                  <c:v>14179</c:v>
                </c:pt>
                <c:pt idx="22">
                  <c:v>14397</c:v>
                </c:pt>
                <c:pt idx="23">
                  <c:v>15649</c:v>
                </c:pt>
                <c:pt idx="24">
                  <c:v>27121</c:v>
                </c:pt>
                <c:pt idx="25">
                  <c:v>33568</c:v>
                </c:pt>
                <c:pt idx="26">
                  <c:v>72213</c:v>
                </c:pt>
                <c:pt idx="27">
                  <c:v>144987</c:v>
                </c:pt>
              </c:numCache>
            </c:numRef>
          </c:val>
          <c:extLst>
            <c:ext xmlns:c16="http://schemas.microsoft.com/office/drawing/2014/chart" uri="{C3380CC4-5D6E-409C-BE32-E72D297353CC}">
              <c16:uniqueId val="{00000001-5FF3-419A-B6FF-106A592DFBC6}"/>
            </c:ext>
          </c:extLst>
        </c:ser>
        <c:dLbls>
          <c:dLblPos val="outEnd"/>
          <c:showLegendKey val="0"/>
          <c:showVal val="1"/>
          <c:showCatName val="0"/>
          <c:showSerName val="0"/>
          <c:showPercent val="0"/>
          <c:showBubbleSize val="0"/>
        </c:dLbls>
        <c:gapWidth val="219"/>
        <c:overlap val="-27"/>
        <c:axId val="555306120"/>
        <c:axId val="555305464"/>
      </c:barChart>
      <c:catAx>
        <c:axId val="555306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305464"/>
        <c:crosses val="autoZero"/>
        <c:auto val="1"/>
        <c:lblAlgn val="ctr"/>
        <c:lblOffset val="100"/>
        <c:noMultiLvlLbl val="0"/>
      </c:catAx>
      <c:valAx>
        <c:axId val="555305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306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1800000" spcFirstLastPara="1" vertOverflow="ellipsis" wrap="square" lIns="38100" tIns="19050" rIns="38100" bIns="19050" anchor="ctr" anchorCtr="1">
                <a:spAutoFit/>
              </a:bodyPr>
              <a:lstStyle/>
              <a:p>
                <a:pPr>
                  <a:defRPr sz="900" b="0" i="0" u="none" strike="noStrike" kern="1200" baseline="0">
                    <a:ln>
                      <a:solidFill>
                        <a:schemeClr val="accent1"/>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'Answer time'!$A$4:$A$30</c:f>
              <c:strCache>
                <c:ptCount val="27"/>
                <c:pt idx="0">
                  <c:v>NL</c:v>
                </c:pt>
                <c:pt idx="1">
                  <c:v>FI</c:v>
                </c:pt>
                <c:pt idx="2">
                  <c:v>EL</c:v>
                </c:pt>
                <c:pt idx="3">
                  <c:v>HU</c:v>
                </c:pt>
                <c:pt idx="4">
                  <c:v>MT</c:v>
                </c:pt>
                <c:pt idx="5">
                  <c:v>CZ</c:v>
                </c:pt>
                <c:pt idx="6">
                  <c:v>LT</c:v>
                </c:pt>
                <c:pt idx="7">
                  <c:v>RO</c:v>
                </c:pt>
                <c:pt idx="8">
                  <c:v>SI</c:v>
                </c:pt>
                <c:pt idx="9">
                  <c:v>BG</c:v>
                </c:pt>
                <c:pt idx="10">
                  <c:v>PT</c:v>
                </c:pt>
                <c:pt idx="11">
                  <c:v>ES</c:v>
                </c:pt>
                <c:pt idx="12">
                  <c:v>EE</c:v>
                </c:pt>
                <c:pt idx="13">
                  <c:v>HR</c:v>
                </c:pt>
                <c:pt idx="14">
                  <c:v>IE</c:v>
                </c:pt>
                <c:pt idx="15">
                  <c:v>LU</c:v>
                </c:pt>
                <c:pt idx="16">
                  <c:v>LV</c:v>
                </c:pt>
                <c:pt idx="17">
                  <c:v>SK</c:v>
                </c:pt>
                <c:pt idx="18">
                  <c:v>IT</c:v>
                </c:pt>
                <c:pt idx="19">
                  <c:v>DK</c:v>
                </c:pt>
                <c:pt idx="20">
                  <c:v>AT</c:v>
                </c:pt>
                <c:pt idx="21">
                  <c:v>DE</c:v>
                </c:pt>
                <c:pt idx="22">
                  <c:v>PL</c:v>
                </c:pt>
                <c:pt idx="23">
                  <c:v>CY</c:v>
                </c:pt>
                <c:pt idx="24">
                  <c:v>FR</c:v>
                </c:pt>
                <c:pt idx="25">
                  <c:v>BE</c:v>
                </c:pt>
                <c:pt idx="26">
                  <c:v>SE</c:v>
                </c:pt>
              </c:strCache>
            </c:strRef>
          </c:cat>
          <c:val>
            <c:numRef>
              <c:f>'Answer time'!$B$4:$B$30</c:f>
              <c:numCache>
                <c:formatCode>#,##0</c:formatCode>
                <c:ptCount val="27"/>
                <c:pt idx="0">
                  <c:v>2.8</c:v>
                </c:pt>
                <c:pt idx="1">
                  <c:v>4</c:v>
                </c:pt>
                <c:pt idx="2">
                  <c:v>4.03</c:v>
                </c:pt>
                <c:pt idx="3" formatCode="#,##0.0">
                  <c:v>4.68</c:v>
                </c:pt>
                <c:pt idx="4" formatCode="#,##0.0">
                  <c:v>4.7300000000000004</c:v>
                </c:pt>
                <c:pt idx="5" formatCode="#,##0.0">
                  <c:v>4.9000000000000004</c:v>
                </c:pt>
                <c:pt idx="6">
                  <c:v>5</c:v>
                </c:pt>
                <c:pt idx="7" formatCode="#,##0.0">
                  <c:v>5.44</c:v>
                </c:pt>
                <c:pt idx="8" formatCode="#,##0.0">
                  <c:v>5.55</c:v>
                </c:pt>
                <c:pt idx="9" formatCode="#,##0.0">
                  <c:v>5.88</c:v>
                </c:pt>
                <c:pt idx="10">
                  <c:v>6</c:v>
                </c:pt>
                <c:pt idx="11" formatCode="#,##0.0">
                  <c:v>6.45</c:v>
                </c:pt>
                <c:pt idx="12">
                  <c:v>6.5</c:v>
                </c:pt>
                <c:pt idx="13" formatCode="#,##0.0">
                  <c:v>6.6</c:v>
                </c:pt>
                <c:pt idx="14" formatCode="#,##0.0">
                  <c:v>7</c:v>
                </c:pt>
                <c:pt idx="15">
                  <c:v>7</c:v>
                </c:pt>
                <c:pt idx="16">
                  <c:v>7</c:v>
                </c:pt>
                <c:pt idx="17" formatCode="#,##0.0">
                  <c:v>7.38</c:v>
                </c:pt>
                <c:pt idx="18">
                  <c:v>7.65</c:v>
                </c:pt>
                <c:pt idx="19">
                  <c:v>8.1</c:v>
                </c:pt>
                <c:pt idx="20" formatCode="#,##0.0">
                  <c:v>9</c:v>
                </c:pt>
                <c:pt idx="21" formatCode="#,##0.0">
                  <c:v>9.5</c:v>
                </c:pt>
                <c:pt idx="22" formatCode="#,##0.0">
                  <c:v>9.89</c:v>
                </c:pt>
                <c:pt idx="23">
                  <c:v>10</c:v>
                </c:pt>
                <c:pt idx="24">
                  <c:v>10</c:v>
                </c:pt>
                <c:pt idx="25" formatCode="#,##0.0">
                  <c:v>12.03</c:v>
                </c:pt>
                <c:pt idx="26" formatCode="#,##0.0">
                  <c:v>15.4</c:v>
                </c:pt>
              </c:numCache>
            </c:numRef>
          </c:val>
          <c:extLst>
            <c:ext xmlns:c16="http://schemas.microsoft.com/office/drawing/2014/chart" uri="{C3380CC4-5D6E-409C-BE32-E72D297353CC}">
              <c16:uniqueId val="{00000000-BA2D-4592-A0DA-C3A1857BE96B}"/>
            </c:ext>
          </c:extLst>
        </c:ser>
        <c:dLbls>
          <c:dLblPos val="outEnd"/>
          <c:showLegendKey val="0"/>
          <c:showVal val="1"/>
          <c:showCatName val="0"/>
          <c:showSerName val="0"/>
          <c:showPercent val="0"/>
          <c:showBubbleSize val="0"/>
        </c:dLbls>
        <c:gapWidth val="219"/>
        <c:overlap val="-27"/>
        <c:axId val="604054360"/>
        <c:axId val="604054688"/>
      </c:barChart>
      <c:catAx>
        <c:axId val="604054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054688"/>
        <c:crosses val="autoZero"/>
        <c:auto val="1"/>
        <c:lblAlgn val="ctr"/>
        <c:lblOffset val="100"/>
        <c:noMultiLvlLbl val="0"/>
      </c:catAx>
      <c:valAx>
        <c:axId val="604054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054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706222048903531E-2"/>
          <c:y val="5.67741935483871E-2"/>
          <c:w val="0.92630319524074245"/>
          <c:h val="0.82349281178562361"/>
        </c:manualLayout>
      </c:layout>
      <c:barChart>
        <c:barDir val="col"/>
        <c:grouping val="clustered"/>
        <c:varyColors val="0"/>
        <c:ser>
          <c:idx val="0"/>
          <c:order val="0"/>
          <c:spPr>
            <a:solidFill>
              <a:schemeClr val="accent1"/>
            </a:solidFill>
            <a:ln>
              <a:noFill/>
            </a:ln>
            <a:effectLst/>
          </c:spPr>
          <c:invertIfNegative val="0"/>
          <c:dLbls>
            <c:dLbl>
              <c:idx val="6"/>
              <c:tx>
                <c:rich>
                  <a:bodyPr/>
                  <a:lstStyle/>
                  <a:p>
                    <a:fld id="{0542C614-2C50-4324-A58F-1B7117EDDBA6}" type="VALUE">
                      <a:rPr lang="en-US"/>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BC9-4929-AAE8-86A9B9DAF8DE}"/>
                </c:ext>
              </c:extLst>
            </c:dLbl>
            <c:spPr>
              <a:noFill/>
              <a:ln>
                <a:noFill/>
              </a:ln>
              <a:effectLst/>
            </c:spPr>
            <c:txPr>
              <a:bodyPr rot="2700000" spcFirstLastPara="1" vertOverflow="overflow" horzOverflow="overflow" wrap="square" lIns="38100" tIns="19050" rIns="38100" bIns="19050" spcCol="288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'Call abandon'!$G$6:$G$33</c:f>
              <c:strCache>
                <c:ptCount val="27"/>
                <c:pt idx="0">
                  <c:v>EL</c:v>
                </c:pt>
                <c:pt idx="1">
                  <c:v>RO</c:v>
                </c:pt>
                <c:pt idx="2">
                  <c:v>FI</c:v>
                </c:pt>
                <c:pt idx="3">
                  <c:v>BE</c:v>
                </c:pt>
                <c:pt idx="4">
                  <c:v>FR</c:v>
                </c:pt>
                <c:pt idx="5">
                  <c:v>NL</c:v>
                </c:pt>
                <c:pt idx="6">
                  <c:v>ES</c:v>
                </c:pt>
                <c:pt idx="7">
                  <c:v>LT</c:v>
                </c:pt>
                <c:pt idx="8">
                  <c:v>HU</c:v>
                </c:pt>
                <c:pt idx="9">
                  <c:v>IE</c:v>
                </c:pt>
                <c:pt idx="10">
                  <c:v>CY</c:v>
                </c:pt>
                <c:pt idx="11">
                  <c:v>SI</c:v>
                </c:pt>
                <c:pt idx="12">
                  <c:v>SK</c:v>
                </c:pt>
                <c:pt idx="13">
                  <c:v>DE</c:v>
                </c:pt>
                <c:pt idx="14">
                  <c:v>DK</c:v>
                </c:pt>
                <c:pt idx="15">
                  <c:v>HR</c:v>
                </c:pt>
                <c:pt idx="16">
                  <c:v>NO</c:v>
                </c:pt>
                <c:pt idx="17">
                  <c:v>EE</c:v>
                </c:pt>
                <c:pt idx="18">
                  <c:v>SE</c:v>
                </c:pt>
                <c:pt idx="19">
                  <c:v>BG</c:v>
                </c:pt>
                <c:pt idx="20">
                  <c:v>PT</c:v>
                </c:pt>
                <c:pt idx="21">
                  <c:v>LU</c:v>
                </c:pt>
                <c:pt idx="22">
                  <c:v>LV</c:v>
                </c:pt>
                <c:pt idx="23">
                  <c:v>IT</c:v>
                </c:pt>
                <c:pt idx="24">
                  <c:v>MT</c:v>
                </c:pt>
                <c:pt idx="25">
                  <c:v>PL</c:v>
                </c:pt>
                <c:pt idx="26">
                  <c:v>CZ</c:v>
                </c:pt>
              </c:strCache>
              <c:extLst/>
            </c:strRef>
          </c:cat>
          <c:val>
            <c:numRef>
              <c:f>'Call abandon'!$H$6:$H$33</c:f>
              <c:numCache>
                <c:formatCode>0.0</c:formatCode>
                <c:ptCount val="27"/>
                <c:pt idx="0">
                  <c:v>0.27350000000000002</c:v>
                </c:pt>
                <c:pt idx="1">
                  <c:v>0.77</c:v>
                </c:pt>
                <c:pt idx="2" formatCode="0">
                  <c:v>4</c:v>
                </c:pt>
                <c:pt idx="3">
                  <c:v>5.3</c:v>
                </c:pt>
                <c:pt idx="4" formatCode="0">
                  <c:v>7</c:v>
                </c:pt>
                <c:pt idx="5" formatCode="0">
                  <c:v>8</c:v>
                </c:pt>
                <c:pt idx="6">
                  <c:v>8.7100000000000009</c:v>
                </c:pt>
                <c:pt idx="7">
                  <c:v>9.42</c:v>
                </c:pt>
                <c:pt idx="8">
                  <c:v>12.3</c:v>
                </c:pt>
                <c:pt idx="9">
                  <c:v>12.5</c:v>
                </c:pt>
                <c:pt idx="10" formatCode="0">
                  <c:v>13</c:v>
                </c:pt>
                <c:pt idx="11" formatCode="0">
                  <c:v>13</c:v>
                </c:pt>
                <c:pt idx="12">
                  <c:v>13.11</c:v>
                </c:pt>
                <c:pt idx="13">
                  <c:v>13.3</c:v>
                </c:pt>
                <c:pt idx="14">
                  <c:v>13.4</c:v>
                </c:pt>
                <c:pt idx="15">
                  <c:v>13.4</c:v>
                </c:pt>
                <c:pt idx="16">
                  <c:v>14.2</c:v>
                </c:pt>
                <c:pt idx="17" formatCode="0">
                  <c:v>15</c:v>
                </c:pt>
                <c:pt idx="18">
                  <c:v>15.16</c:v>
                </c:pt>
                <c:pt idx="19">
                  <c:v>15.56</c:v>
                </c:pt>
                <c:pt idx="20" formatCode="0">
                  <c:v>16</c:v>
                </c:pt>
                <c:pt idx="21" formatCode="0">
                  <c:v>17</c:v>
                </c:pt>
                <c:pt idx="22">
                  <c:v>19.11</c:v>
                </c:pt>
                <c:pt idx="23" formatCode="0">
                  <c:v>21</c:v>
                </c:pt>
                <c:pt idx="24">
                  <c:v>24.51</c:v>
                </c:pt>
                <c:pt idx="25">
                  <c:v>26.88</c:v>
                </c:pt>
                <c:pt idx="26" formatCode="0">
                  <c:v>36</c:v>
                </c:pt>
              </c:numCache>
              <c:extLst/>
            </c:numRef>
          </c:val>
          <c:extLst>
            <c:ext xmlns:c16="http://schemas.microsoft.com/office/drawing/2014/chart" uri="{C3380CC4-5D6E-409C-BE32-E72D297353CC}">
              <c16:uniqueId val="{00000001-6BC9-4929-AAE8-86A9B9DAF8DE}"/>
            </c:ext>
          </c:extLst>
        </c:ser>
        <c:dLbls>
          <c:dLblPos val="outEnd"/>
          <c:showLegendKey val="0"/>
          <c:showVal val="1"/>
          <c:showCatName val="0"/>
          <c:showSerName val="0"/>
          <c:showPercent val="0"/>
          <c:showBubbleSize val="0"/>
        </c:dLbls>
        <c:gapWidth val="219"/>
        <c:overlap val="-27"/>
        <c:axId val="661456992"/>
        <c:axId val="661456336"/>
      </c:barChart>
      <c:catAx>
        <c:axId val="66145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1456336"/>
        <c:crosses val="autoZero"/>
        <c:auto val="1"/>
        <c:lblAlgn val="ctr"/>
        <c:lblOffset val="100"/>
        <c:noMultiLvlLbl val="0"/>
      </c:catAx>
      <c:valAx>
        <c:axId val="661456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1456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F10EE13A8228C42A710A413303C562D" ma:contentTypeVersion="11" ma:contentTypeDescription="Create a new document." ma:contentTypeScope="" ma:versionID="443c88c8721b2b93b6b0856e71ae0531">
  <xsd:schema xmlns:xsd="http://www.w3.org/2001/XMLSchema" xmlns:xs="http://www.w3.org/2001/XMLSchema" xmlns:p="http://schemas.microsoft.com/office/2006/metadata/properties" xmlns:ns3="d3922ed9-8271-468f-aff6-5bda04a65e6a" xmlns:ns4="866aabb8-7ec2-447a-a7ff-f911015037e7" targetNamespace="http://schemas.microsoft.com/office/2006/metadata/properties" ma:root="true" ma:fieldsID="5e27b06ce1d5d7ef7786341675f05bb5" ns3:_="" ns4:_="">
    <xsd:import namespace="d3922ed9-8271-468f-aff6-5bda04a65e6a"/>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3:Finalized"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22ed9-8271-468f-aff6-5bda04a65e6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Finalized" ma:index="14" nillable="true" ma:displayName="Status" ma:format="Dropdown" ma:internalName="Finalized">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d3922ed9-8271-468f-aff6-5bda04a65e6a">EN</EC_Collab_DocumentLanguage>
    <_dlc_DocId xmlns="866aabb8-7ec2-447a-a7ff-f911015037e7">UVNUSV5RWJH5-630244095-3326</_dlc_DocId>
    <Finalized xmlns="d3922ed9-8271-468f-aff6-5bda04a65e6a" xsi:nil="true"/>
    <_dlc_DocIdUrl xmlns="866aabb8-7ec2-447a-a7ff-f911015037e7">
      <Url>https://myintracomm-collab.ec.europa.eu/dg/CONNECT/DirectorateB/UnitB2/_layouts/15/DocIdRedir.aspx?ID=UVNUSV5RWJH5-630244095-3326</Url>
      <Description>UVNUSV5RWJH5-630244095-3326</Description>
    </_dlc_DocIdUrl>
    <EC_Collab_Reference xmlns="d3922ed9-8271-468f-aff6-5bda04a65e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58D1B-E1F1-4F19-A18B-6840F4112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22ed9-8271-468f-aff6-5bda04a65e6a"/>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F42F8-479C-4936-BB6A-9C67517CB5E9}">
  <ds:schemaRefs>
    <ds:schemaRef ds:uri="http://purl.org/dc/terms/"/>
    <ds:schemaRef ds:uri="http://schemas.openxmlformats.org/package/2006/metadata/core-properties"/>
    <ds:schemaRef ds:uri="http://schemas.microsoft.com/office/2006/documentManagement/types"/>
    <ds:schemaRef ds:uri="d3922ed9-8271-468f-aff6-5bda04a65e6a"/>
    <ds:schemaRef ds:uri="http://purl.org/dc/elements/1.1/"/>
    <ds:schemaRef ds:uri="http://schemas.microsoft.com/office/2006/metadata/properties"/>
    <ds:schemaRef ds:uri="http://schemas.microsoft.com/office/infopath/2007/PartnerControls"/>
    <ds:schemaRef ds:uri="866aabb8-7ec2-447a-a7ff-f911015037e7"/>
    <ds:schemaRef ds:uri="http://www.w3.org/XML/1998/namespace"/>
    <ds:schemaRef ds:uri="http://purl.org/dc/dcmitype/"/>
  </ds:schemaRefs>
</ds:datastoreItem>
</file>

<file path=customXml/itemProps3.xml><?xml version="1.0" encoding="utf-8"?>
<ds:datastoreItem xmlns:ds="http://schemas.openxmlformats.org/officeDocument/2006/customXml" ds:itemID="{7EA0530C-8E78-41A8-9419-71D2E52281CD}">
  <ds:schemaRefs>
    <ds:schemaRef ds:uri="http://schemas.microsoft.com/sharepoint/v3/contenttype/forms"/>
  </ds:schemaRefs>
</ds:datastoreItem>
</file>

<file path=customXml/itemProps4.xml><?xml version="1.0" encoding="utf-8"?>
<ds:datastoreItem xmlns:ds="http://schemas.openxmlformats.org/officeDocument/2006/customXml" ds:itemID="{1DD0F95C-659B-4A17-9D15-81FCC329F116}">
  <ds:schemaRefs>
    <ds:schemaRef ds:uri="http://schemas.microsoft.com/sharepoint/events"/>
  </ds:schemaRefs>
</ds:datastoreItem>
</file>

<file path=customXml/itemProps5.xml><?xml version="1.0" encoding="utf-8"?>
<ds:datastoreItem xmlns:ds="http://schemas.openxmlformats.org/officeDocument/2006/customXml" ds:itemID="{505C60EF-15EA-42B5-A9C2-52A99D23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4226</Words>
  <Characters>28658</Characters>
  <Application>Microsoft Office Word</Application>
  <DocSecurity>0</DocSecurity>
  <Lines>1364</Lines>
  <Paragraphs>346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dcterms:created xsi:type="dcterms:W3CDTF">2022-11-08T12:49:00Z</dcterms:created>
  <dcterms:modified xsi:type="dcterms:W3CDTF">2022-12-16T06:55:00Z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8.1, Build 20220902</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_LW_INVALIDATED__LW_INVALIDATED__LW_INVALIDATED__LW_INVALIDATED__LW_INVALIDATED__LW_INVALIDATED__LW_INVALIDATED__LW_INVALIDATED_Formatting">
    <vt:lpwstr>4.1</vt:lpwstr>
  </property>
  <property fmtid="{D5CDD505-2E9C-101B-9397-08002B2CF9AE}" pid="10" name="Language">
    <vt:lpwstr>EN</vt:lpwstr>
  </property>
  <property fmtid="{D5CDD505-2E9C-101B-9397-08002B2CF9AE}" pid="11" name="_LW_INVALIDATED__LW_INVALIDATED__LW_INVALIDATED__LW_INVALIDATED__LW_INVALIDATED__LW_INVALIDATED__LW_INVALIDATED__LW_INVALIDATED__LW_INVALIDATED__LW_INVALIDATED__LW_INVALIDATED__LW_INVALIDATED__LW_INVALIDATED__LW_INVALIDATED__LW_INVALIDATED_ELDocType">
    <vt:lpwstr>rep.dot</vt:lpwstr>
  </property>
  <property fmtid="{D5CDD505-2E9C-101B-9397-08002B2CF9AE}" pid="12" name="_LW_INVALIDATED__LW_INVALIDATED__LW_INVALIDATED__LW_INVALIDATED__LW_INVALIDATED__LW_INVALIDATED__LW_INVALIDATED__LW_INVALIDATED__LW_INVALIDATED__LW_INVALIDATED__LW_INVALIDATED__LW_INVALIDATED__LW_INVALIDATED__LW_INVALIDATED__LW_INVALIDATED_TemplateVersion">
    <vt:lpwstr>4.1.5.7</vt:lpwstr>
  </property>
  <property fmtid="{D5CDD505-2E9C-101B-9397-08002B2CF9AE}" pid="13" name="ContentTypeId">
    <vt:lpwstr>0x010100258AA79CEB83498886A3A08681123250000F10EE13A8228C42A710A413303C562D</vt:lpwstr>
  </property>
  <property fmtid="{D5CDD505-2E9C-101B-9397-08002B2CF9AE}" pid="14" name="_dlc_DocIdItemGuid">
    <vt:lpwstr>68c165b3-2a0c-4899-98da-ac306e1e977a</vt:lpwstr>
  </property>
  <property fmtid="{D5CDD505-2E9C-101B-9397-08002B2CF9AE}" pid="15" name="_LW_INVALIDATED__LW_INVALIDATED__LW_INVALIDATED__LW_INVALIDATED__LW_INVALIDATED__LW_INVALIDATED__LW_INVALIDATED__LW_INVALIDATED__LW_INVALIDATED__LW_INVALIDATED__LW_INVALIDATED__LW_INVALIDATED__LW_INVALIDATED__LW_INVALIDATED__LW_INVALIDATED_ContentTypeId">
    <vt:lpwstr>0x010100258AA79CEB83498886A3A08681123250000F10EE13A8228C42A710A413303C562D</vt:lpwstr>
  </property>
  <property fmtid="{D5CDD505-2E9C-101B-9397-08002B2CF9AE}" pid="16" name="_LW_INVALIDATED__LW_INVALIDATED__LW_INVALIDATED__LW_INVALIDATED__LW_INVALIDATED__LW_INVALIDATED__LW_INVALIDATED__LW_INVALIDATED__LW_INVALIDATED__LW_INVALIDATED__LW_INVALIDATED__LW_INVALIDATED__LW_INVALIDATED__LW_INVALIDATED__LW_INVALIDATED_EL_Language">
    <vt:lpwstr>EN</vt:lpwstr>
  </property>
  <property fmtid="{D5CDD505-2E9C-101B-9397-08002B2CF9AE}" pid="17" name="_LW_INVALIDATED__LW_INVALIDATED__LW_INVALIDATED__LW_INVALIDATED__LW_INVALIDATED__LW_INVALIDATED__LW_INVALIDATED__LW_INVALIDATED__LW_INVALIDATED__LW_INVALIDATED__LW_INVALIDATED__LW_INVALIDATED__LW_INVALIDATED__LW_INVALIDATED__LW_INVALIDATED_EurolookVersion">
    <vt:lpwstr>4.1</vt:lpwstr>
  </property>
  <property fmtid="{D5CDD505-2E9C-101B-9397-08002B2CF9AE}" pid="18" name="_LW_INVALIDATED__LW_INVALIDATED__LW_INVALIDATED__LW_INVALIDATED__LW_INVALIDATED__LW_INVALIDATED__LW_INVALIDATED__LW_INVALIDATED__LW_INVALIDATED__LW_INVALIDATED__LW_INVALIDATED__LW_INVALIDATED__LW_INVALIDATED__LW_INVALIDATED__LW_INVALIDATED_DocID_EU">
    <vt:lpwstr/>
  </property>
  <property fmtid="{D5CDD505-2E9C-101B-9397-08002B2CF9AE}" pid="19" name="_LW_INVALIDATED__LW_INVALIDATED__LW_INVALIDATED__LW_INVALIDATED__LW_INVALIDATED__LW_INVALIDATED__LW_INVALIDATED__LW_INVALIDATED__LW_INVALIDATED__LW_INVALIDATED__LW_INVALIDATED__LW_INVALIDATED__LW_INVALIDATED__LW_INVALIDATED__LW_INVALIDATED_EL_Author">
    <vt:lpwstr>Bernd Langeheine</vt:lpwstr>
  </property>
  <property fmtid="{D5CDD505-2E9C-101B-9397-08002B2CF9AE}" pid="20" name="_LW_INVALIDATED__LW_INVALIDATED__LW_INVALIDATED__LW_INVALIDATED__LW_INVALIDATED__LW_INVALIDATED__LW_INVALIDATED__LW_INVALIDATED__LW_INVALIDATED__LW_INVALIDATED__LW_INVALIDATED__LW_INVALIDATED__LW_INVALIDATED__LW_INVALIDATED__LW_INVALIDATED__LW_INVALIDATED">
    <vt:lpwstr>Eurolook Report</vt:lpwstr>
  </property>
  <property fmtid="{D5CDD505-2E9C-101B-9397-08002B2CF9AE}" pid="21" name="MSIP_Label_6bd9ddd1-4d20-43f6-abfa-fc3c07406f94_Enabled">
    <vt:lpwstr>true</vt:lpwstr>
  </property>
  <property fmtid="{D5CDD505-2E9C-101B-9397-08002B2CF9AE}" pid="22" name="MSIP_Label_6bd9ddd1-4d20-43f6-abfa-fc3c07406f94_SetDate">
    <vt:lpwstr>2022-10-04T08:22:37Z</vt:lpwstr>
  </property>
  <property fmtid="{D5CDD505-2E9C-101B-9397-08002B2CF9AE}" pid="23" name="MSIP_Label_6bd9ddd1-4d20-43f6-abfa-fc3c07406f94_Method">
    <vt:lpwstr>Standard</vt:lpwstr>
  </property>
  <property fmtid="{D5CDD505-2E9C-101B-9397-08002B2CF9AE}" pid="24" name="MSIP_Label_6bd9ddd1-4d20-43f6-abfa-fc3c07406f94_Name">
    <vt:lpwstr>Commission Use</vt:lpwstr>
  </property>
  <property fmtid="{D5CDD505-2E9C-101B-9397-08002B2CF9AE}" pid="25" name="MSIP_Label_6bd9ddd1-4d20-43f6-abfa-fc3c07406f94_SiteId">
    <vt:lpwstr>b24c8b06-522c-46fe-9080-70926f8dddb1</vt:lpwstr>
  </property>
  <property fmtid="{D5CDD505-2E9C-101B-9397-08002B2CF9AE}" pid="26" name="MSIP_Label_6bd9ddd1-4d20-43f6-abfa-fc3c07406f94_ActionId">
    <vt:lpwstr>88bc7287-1df6-493b-8653-dafbeebc45c7</vt:lpwstr>
  </property>
  <property fmtid="{D5CDD505-2E9C-101B-9397-08002B2CF9AE}" pid="27" name="MSIP_Label_6bd9ddd1-4d20-43f6-abfa-fc3c07406f94_ContentBits">
    <vt:lpwstr>0</vt:lpwstr>
  </property>
</Properties>
</file>