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411BA" w14:textId="65404D26" w:rsidR="00DB0479" w:rsidRPr="00476171" w:rsidRDefault="004969B1" w:rsidP="004969B1">
      <w:pPr>
        <w:pStyle w:val="Pagedecouverture"/>
        <w:rPr>
          <w:noProof/>
          <w:lang w:val="de-DE"/>
        </w:rPr>
      </w:pPr>
      <w:bookmarkStart w:id="0" w:name="LW_BM_COVERPAGE"/>
      <w:r>
        <w:rPr>
          <w:noProof/>
          <w:lang w:val="de-DE"/>
        </w:rPr>
        <w:pict w14:anchorId="34D35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B0859AA-69D4-41AB-BAF9-E98B38C322D6" style="width:455.25pt;height:310.5pt">
            <v:imagedata r:id="rId11" o:title=""/>
          </v:shape>
        </w:pict>
      </w:r>
    </w:p>
    <w:bookmarkEnd w:id="0"/>
    <w:p w14:paraId="4EFEADEB" w14:textId="77777777" w:rsidR="00DB0479" w:rsidRPr="00476171" w:rsidRDefault="00DB0479" w:rsidP="00DB0479">
      <w:pPr>
        <w:rPr>
          <w:noProof/>
          <w:lang w:val="de-DE"/>
        </w:rPr>
        <w:sectPr w:rsidR="00DB0479" w:rsidRPr="00476171" w:rsidSect="004969B1">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0C07DB57" w14:textId="45B3F82B" w:rsidR="004560C0" w:rsidRPr="00476171" w:rsidRDefault="004560C0" w:rsidP="00B347EE">
      <w:pPr>
        <w:jc w:val="center"/>
        <w:rPr>
          <w:rFonts w:ascii="Times New Roman" w:eastAsia="Times New Roman" w:hAnsi="Times New Roman" w:cs="Times New Roman"/>
          <w:b/>
          <w:noProof/>
          <w:color w:val="000000" w:themeColor="text1"/>
          <w:sz w:val="24"/>
          <w:lang w:val="de-DE"/>
        </w:rPr>
      </w:pPr>
      <w:bookmarkStart w:id="1" w:name="_GoBack"/>
      <w:bookmarkEnd w:id="1"/>
      <w:r w:rsidRPr="00476171">
        <w:rPr>
          <w:rFonts w:ascii="Times New Roman" w:hAnsi="Times New Roman"/>
          <w:b/>
          <w:noProof/>
          <w:sz w:val="24"/>
          <w:lang w:val="de-DE"/>
        </w:rPr>
        <w:lastRenderedPageBreak/>
        <w:t>Bericht 2022 über die Verwirklichung der Energieeffizienzziele bis 2020</w:t>
      </w:r>
      <w:r w:rsidRPr="00476171">
        <w:rPr>
          <w:rFonts w:ascii="Times New Roman" w:hAnsi="Times New Roman"/>
          <w:b/>
          <w:noProof/>
          <w:color w:val="000000" w:themeColor="text1"/>
          <w:sz w:val="24"/>
          <w:lang w:val="de-DE"/>
        </w:rPr>
        <w:t xml:space="preserve"> </w:t>
      </w:r>
    </w:p>
    <w:p w14:paraId="24763DC6" w14:textId="77777777" w:rsidR="001A0796" w:rsidRPr="00476171" w:rsidRDefault="005E3707" w:rsidP="001A0796">
      <w:pPr>
        <w:pStyle w:val="ListParagraph"/>
        <w:numPr>
          <w:ilvl w:val="0"/>
          <w:numId w:val="8"/>
        </w:numPr>
        <w:rPr>
          <w:rFonts w:eastAsiaTheme="minorEastAsia"/>
          <w:noProof/>
          <w:lang w:val="de-DE"/>
        </w:rPr>
      </w:pPr>
      <w:r w:rsidRPr="00476171">
        <w:rPr>
          <w:rFonts w:ascii="Times New Roman" w:hAnsi="Times New Roman"/>
          <w:noProof/>
          <w:color w:val="000000" w:themeColor="text1"/>
          <w:sz w:val="24"/>
          <w:lang w:val="de-DE"/>
        </w:rPr>
        <w:t>Einleitung und Übersicht</w:t>
      </w:r>
    </w:p>
    <w:p w14:paraId="672C8C00" w14:textId="017F9AF8" w:rsidR="001A0796" w:rsidRPr="00476171" w:rsidRDefault="039E8CC6" w:rsidP="2EB7464E">
      <w:pPr>
        <w:spacing w:line="276" w:lineRule="auto"/>
        <w:jc w:val="both"/>
        <w:rPr>
          <w:rFonts w:ascii="Times New Roman" w:eastAsia="Times New Roman" w:hAnsi="Times New Roman" w:cs="Times New Roman"/>
          <w:noProof/>
          <w:color w:val="000000" w:themeColor="text1"/>
          <w:sz w:val="24"/>
          <w:lang w:val="de-DE"/>
        </w:rPr>
      </w:pPr>
      <w:r w:rsidRPr="00476171">
        <w:rPr>
          <w:rFonts w:ascii="Times New Roman" w:hAnsi="Times New Roman"/>
          <w:noProof/>
          <w:sz w:val="24"/>
          <w:lang w:val="de-DE"/>
        </w:rPr>
        <w:t>Die Richtlinie 2012/27/EU zur Energieeffizienz (EED) und die Richtlinie 2010/31/EU über die Gesamtenergieeffizienz von Gebäuden (EPBD), die durch die Richtlinie (EU) 2018/2002 bzw. die Richtlinie (EU) 2018/844 geändert wurden, sind ein zentraler Bestandteil der Klima- und Energiegesetzgebung der Europäischen Union. Sie legen die Energieeffizienzziele der EU fest und bilden die Grundlage für Maßnahmen zur Ausschöpfung des gesamten Energieeffizienzpotenzials der EU-Wirtschaft.</w:t>
      </w:r>
    </w:p>
    <w:p w14:paraId="3303C93F" w14:textId="51EDF592" w:rsidR="7418C569" w:rsidRPr="00476171" w:rsidRDefault="00B158CE" w:rsidP="00A55A04">
      <w:pPr>
        <w:spacing w:line="276" w:lineRule="auto"/>
        <w:jc w:val="both"/>
        <w:rPr>
          <w:rFonts w:ascii="Times New Roman" w:eastAsia="Times New Roman" w:hAnsi="Times New Roman" w:cs="Times New Roman"/>
          <w:noProof/>
          <w:color w:val="000000" w:themeColor="text1"/>
          <w:sz w:val="24"/>
          <w:lang w:val="de-DE"/>
        </w:rPr>
      </w:pPr>
      <w:r w:rsidRPr="00476171">
        <w:rPr>
          <w:rFonts w:ascii="Times New Roman" w:hAnsi="Times New Roman"/>
          <w:noProof/>
          <w:color w:val="000000" w:themeColor="text1"/>
          <w:sz w:val="24"/>
          <w:lang w:val="de-DE"/>
        </w:rPr>
        <w:t xml:space="preserve">Mit der EED werden alle EU-Mitgliedstaaten dazu verpflichtet, strategische Maßnahmen durchzuführen, um die Energieeffizienz in den unterschiedlichen Abschnitten der Energiekette, von der Erzeugung bis zum Endverbrauch, zu verbessern. Diese Anstrengungen sind ausschlaggebend für die Erreichung der Energieeffizienzziele der EU und ein wesentlicher Beitrag zur Dekarbonisierung der EU-Wirtschaft bis 2050. Das EU-Energieeffizienzziel für 2020 (Artikel 3 der EED) entspricht einer Verringerung des Primärenergie- und des Endenergieverbrauchs der EU um 20 % gegenüber dem Energieverbrauch, der im PRIMES-Referenzszenario 2007 für 2020 prognostiziert wurde. Aufgrund dieser Vorgabe ergibt sich ein Primärenergieverbrauch von 1312 Mio. t RÖE und ein Endenergieverbrauch von 959 Mio. t RÖE. </w:t>
      </w:r>
    </w:p>
    <w:p w14:paraId="334C4948" w14:textId="0E079AC9" w:rsidR="001A0796" w:rsidRPr="00476171" w:rsidRDefault="001A0796" w:rsidP="001A0796">
      <w:pPr>
        <w:spacing w:line="276" w:lineRule="auto"/>
        <w:jc w:val="both"/>
        <w:rPr>
          <w:rFonts w:ascii="Times New Roman" w:eastAsia="Times New Roman" w:hAnsi="Times New Roman" w:cs="Times New Roman"/>
          <w:noProof/>
          <w:color w:val="000000" w:themeColor="text1"/>
          <w:sz w:val="24"/>
          <w:lang w:val="de-DE"/>
        </w:rPr>
      </w:pPr>
      <w:r w:rsidRPr="00476171">
        <w:rPr>
          <w:rFonts w:ascii="Times New Roman" w:hAnsi="Times New Roman"/>
          <w:noProof/>
          <w:color w:val="000000" w:themeColor="text1"/>
          <w:sz w:val="24"/>
          <w:lang w:val="de-DE"/>
        </w:rPr>
        <w:t>Die EPBD sieht eine breite Palette von Strategien und unterstützenden Maßnahmen vor, um die derzeit niedrigen Renovierungsquoten beim Gebäudebestand zu erhöhen. Artikel 2a der EPBD sieht für die Mitgliedstaaten die Verpflichtung vor, umfassende langfristige Renovierungsstrategien festzulegen, um bis 2050 Investitionen in die Dekarbonisierung der nationalen Gebäudebestände zu mobilisieren (mit indikativen Meilensteinen für 2030, 2040 und 2050) und den Umbau in einen in hohem Maße energieeffizienten und dekarbonisierten Gebäudebestand bis 2050 zu unterstützen. In Artikel 5 werden die Mitgliedstaaten verpflichtet, für neue Gebäude und für bestehende Gebäude, die einer größeren Renovierung unterzogen werden, kostenoptimale Niveaus von Mindestanforderungen an die Gesamtenergieeffizienz festzulegen. In Artikel 9 heißt es, dass bis zum 31. Dezember 2020 alle neuen Gebäude (und nach dem 31. Dezember 2018 alle neuen öffentlichen Gebäude) Niedrigstenergiegebäude sein müssen.</w:t>
      </w:r>
    </w:p>
    <w:p w14:paraId="10A42F5E" w14:textId="07EBF6D2" w:rsidR="001A0796" w:rsidRPr="00476171" w:rsidRDefault="001A0796" w:rsidP="001A0796">
      <w:pPr>
        <w:spacing w:line="276" w:lineRule="auto"/>
        <w:jc w:val="both"/>
        <w:rPr>
          <w:rFonts w:ascii="Times New Roman" w:eastAsia="Times New Roman" w:hAnsi="Times New Roman" w:cs="Times New Roman"/>
          <w:noProof/>
          <w:color w:val="000000" w:themeColor="text1"/>
          <w:sz w:val="24"/>
          <w:lang w:val="de-DE"/>
        </w:rPr>
      </w:pPr>
      <w:r w:rsidRPr="00476171">
        <w:rPr>
          <w:rFonts w:ascii="Times New Roman" w:hAnsi="Times New Roman"/>
          <w:noProof/>
          <w:color w:val="000000" w:themeColor="text1"/>
          <w:sz w:val="24"/>
          <w:lang w:val="de-DE"/>
        </w:rPr>
        <w:t>Gemäß Artikel 27 der Verordnung (EU) 2018/1999 über das Governance-System für die Energieunion und für den Klimaschutz (Governance-Verordnung) müssen die Mitgliedstaaten der Kommission bis zum 30. April 2022 die in Anhang IX Teil 2 der Verordnung aufgeführten Informationen übermitteln. In Bezug auf die Energieeffizienzrichtlinie umfasst dies die Fortschritte hinsichtlich Artikel 3 über die Energieeffizienzziele, Artikel 5 über den Vorbildcharakter der Gebäude öffentlicher Einrichtungen, Artikel 7 über die Energieeinsparverpflichtung und Artikel 8 über Energieaudits. Zusätzlich ist in Bezug auf die EPBD gemäß Artikel 9 eine Berichterstattung über neue und renovierte Niedrigstenergiegebäude vorgeschrieben.</w:t>
      </w:r>
      <w:r w:rsidRPr="00476171">
        <w:rPr>
          <w:rStyle w:val="normaltextrun"/>
          <w:noProof/>
          <w:shd w:val="clear" w:color="auto" w:fill="FFFFFF"/>
          <w:lang w:val="de-DE"/>
        </w:rPr>
        <w:t xml:space="preserve"> </w:t>
      </w:r>
      <w:r w:rsidRPr="00476171">
        <w:rPr>
          <w:rFonts w:ascii="Times New Roman" w:hAnsi="Times New Roman"/>
          <w:noProof/>
          <w:color w:val="000000" w:themeColor="text1"/>
          <w:sz w:val="24"/>
          <w:lang w:val="de-DE"/>
        </w:rPr>
        <w:t>Darüber hinaus müssen nach Artikel 21 der Verordnung (EU) 2018/1999 in die integrierten nationalen energie- und klimabezogenen Fortschrittsberichte die Richtwerte der langfristigen Renovierungsstrategie einschließlich der Angabe, wie diese zur Erreichung der Energieeffizienzziele der EU beitragen, sowie die einschlägigen Politiken und Maßnahmen der langfristigen Renovierungsstrategien aufgenommen werden. Ebenfalls anzugeben sind gemäß Anhang I Abschnitt B der Verordnung (EU) 2018/1999 Informationen über kostenoptimale Niveaus von Mindestvorgaben für die Gesamtenergieeffizienz, die sich aus nationalen Berechnungen ergeben, sowie gemäß Anhang IX der Verordnung 2018/1999 die Anzahl und Grundfläche neuer oder renovierter Niedrigstenergiegebäude.</w:t>
      </w:r>
    </w:p>
    <w:p w14:paraId="05B9E552" w14:textId="3C46D2EA" w:rsidR="7418C569" w:rsidRPr="00476171" w:rsidRDefault="007F1C1E" w:rsidP="2EB7464E">
      <w:pPr>
        <w:spacing w:line="276" w:lineRule="auto"/>
        <w:jc w:val="both"/>
        <w:rPr>
          <w:rFonts w:ascii="Times New Roman" w:eastAsia="Times New Roman" w:hAnsi="Times New Roman" w:cs="Times New Roman"/>
          <w:noProof/>
          <w:color w:val="000000" w:themeColor="text1"/>
          <w:sz w:val="24"/>
          <w:lang w:val="de-DE"/>
        </w:rPr>
      </w:pPr>
      <w:r w:rsidRPr="00476171">
        <w:rPr>
          <w:rFonts w:ascii="Times New Roman" w:hAnsi="Times New Roman"/>
          <w:noProof/>
          <w:color w:val="000000" w:themeColor="text1"/>
          <w:sz w:val="24"/>
          <w:lang w:val="de-DE"/>
        </w:rPr>
        <w:t xml:space="preserve">In diesem Bericht werden die von den Mitgliedstaaten in ihren Berichten bereitgestellten Informationen analysiert und durch Eurostat-Daten ergänzt. Darüber hinaus werden die Bewertung der nationalen langfristigen Renovierungsstrategien und die Berichte über die kostenoptimalen Niveaus, die die Mitgliedstaaten der Kommission vorgelegt haben, analysiert. Was die Berichterstattungspflichten für 2022 angeht, haben alle 27 Mitgliedstaaten ihre Berichte vorgelegt. Der Bericht Ungarns enthält jedoch keine Informationen zur Energieeffizienz, und die Berichte Rumäniens und Kroatiens werden als in hohem Maße unvollständig angesehen. </w:t>
      </w:r>
    </w:p>
    <w:p w14:paraId="04162EDB" w14:textId="77777777" w:rsidR="00506D7B" w:rsidRPr="00476171" w:rsidRDefault="00506D7B" w:rsidP="2EB7464E">
      <w:pPr>
        <w:spacing w:line="276" w:lineRule="auto"/>
        <w:jc w:val="both"/>
        <w:rPr>
          <w:rFonts w:ascii="Times New Roman" w:eastAsia="Times New Roman" w:hAnsi="Times New Roman" w:cs="Times New Roman"/>
          <w:noProof/>
          <w:color w:val="000000" w:themeColor="text1"/>
          <w:sz w:val="24"/>
          <w:lang w:val="de-DE"/>
        </w:rPr>
      </w:pPr>
    </w:p>
    <w:p w14:paraId="3FECE1D1" w14:textId="2F327622" w:rsidR="7418C569" w:rsidRPr="00476171" w:rsidRDefault="24032ECE" w:rsidP="00CC7CBE">
      <w:pPr>
        <w:pStyle w:val="ListParagraph"/>
        <w:numPr>
          <w:ilvl w:val="0"/>
          <w:numId w:val="8"/>
        </w:numPr>
        <w:spacing w:line="276" w:lineRule="auto"/>
        <w:rPr>
          <w:rFonts w:eastAsiaTheme="minorEastAsia"/>
          <w:noProof/>
          <w:lang w:val="de-DE"/>
        </w:rPr>
      </w:pPr>
      <w:r w:rsidRPr="00476171">
        <w:rPr>
          <w:rFonts w:ascii="Times New Roman" w:hAnsi="Times New Roman"/>
          <w:noProof/>
          <w:color w:val="000000" w:themeColor="text1"/>
          <w:sz w:val="24"/>
          <w:lang w:val="de-DE"/>
        </w:rPr>
        <w:t>Fortschritte bei der Verwirklichung der Energieeffizienzziele für 2020 – Artikel 3 der Energieeffizienzrichtlinie</w:t>
      </w:r>
    </w:p>
    <w:p w14:paraId="78260248" w14:textId="501DEEA8" w:rsidR="0039247C" w:rsidRDefault="046CD9BE" w:rsidP="00A55A04">
      <w:pPr>
        <w:spacing w:line="276" w:lineRule="auto"/>
        <w:jc w:val="both"/>
        <w:rPr>
          <w:rFonts w:ascii="Times New Roman" w:hAnsi="Times New Roman"/>
          <w:noProof/>
          <w:color w:val="000000" w:themeColor="text1"/>
          <w:sz w:val="24"/>
          <w:lang w:val="de-DE"/>
        </w:rPr>
      </w:pPr>
      <w:r w:rsidRPr="00476171">
        <w:rPr>
          <w:rFonts w:ascii="Times New Roman" w:hAnsi="Times New Roman"/>
          <w:noProof/>
          <w:color w:val="000000" w:themeColor="text1"/>
          <w:sz w:val="24"/>
          <w:lang w:val="de-DE"/>
        </w:rPr>
        <w:t>Wie aus Abbildung 1 hervorgeht, zeigte sich im Zeitraum von 2005 bis 2020 beim Energieverbrauch in der EU ein allgemeiner Abwärtstrend. Dieser Rückgang des Energieverbrauchs ging mit einem allgemeinen Rückgang der Energieintensität und des Energieverbrauchs pro Kopf einher. Im Jahr 2020 wurden die EU-Ziele für den Primärenergieverbrauch und den Endenergieverbrauch übertroffen, mit Werten von 1236 Mio. t RÖE bzw. 907 Mio. t RÖE. Dabei ist zu beachten, dass die Werte des Jahres 2020 in erheblichem Maße durch die COVID-19-Krise und die von den nationalen Behörden verhängten Lockdown-Maßnahmen beeinflusst wurden, da die Gesamttätigkeit erheblich eingeschränkt wurde und sich folglich die Energienachfrage verringerte.</w:t>
      </w:r>
      <w:r w:rsidRPr="00476171">
        <w:rPr>
          <w:rStyle w:val="FootnoteReference"/>
          <w:rFonts w:ascii="Times New Roman" w:eastAsia="Times New Roman" w:hAnsi="Times New Roman" w:cs="Times New Roman"/>
          <w:noProof/>
          <w:color w:val="000000" w:themeColor="text1"/>
          <w:sz w:val="24"/>
          <w:lang w:val="de-DE"/>
        </w:rPr>
        <w:footnoteReference w:id="1"/>
      </w:r>
      <w:r w:rsidRPr="00476171">
        <w:rPr>
          <w:rFonts w:ascii="Times New Roman" w:hAnsi="Times New Roman"/>
          <w:noProof/>
          <w:color w:val="000000" w:themeColor="text1"/>
          <w:sz w:val="24"/>
          <w:lang w:val="de-DE"/>
        </w:rPr>
        <w:t xml:space="preserve"> Allerdings ließen bereits die Energieverbrauchswerte von 2019 (d. h. vor den Auswirkungen der COVID-19-Pandemie in der EU) einen rückläufigen Trend erkennen, auch wenn die Werte des Primär- und des Energieverbrauchs 2019 noch über dem für 2020 festgesetzten Ziel lagen, nämlich bei 1354 Mio. t RÖE bzw. 986 Mio. t RÖE.</w:t>
      </w:r>
    </w:p>
    <w:p w14:paraId="45F91DFC" w14:textId="54752904" w:rsidR="00583C18" w:rsidRPr="00476171" w:rsidRDefault="00583C18" w:rsidP="00A55A04">
      <w:pPr>
        <w:spacing w:line="276" w:lineRule="auto"/>
        <w:jc w:val="both"/>
        <w:rPr>
          <w:rFonts w:ascii="Times New Roman" w:eastAsia="Times New Roman" w:hAnsi="Times New Roman" w:cs="Times New Roman"/>
          <w:noProof/>
          <w:color w:val="000000" w:themeColor="text1"/>
          <w:sz w:val="24"/>
          <w:lang w:val="de-DE"/>
        </w:rPr>
      </w:pPr>
    </w:p>
    <w:p w14:paraId="4AD4E4FE" w14:textId="77777777" w:rsidR="00583C18" w:rsidRDefault="00583C18">
      <w:pPr>
        <w:rPr>
          <w:rFonts w:ascii="Times New Roman" w:hAnsi="Times New Roman"/>
          <w:b/>
          <w:noProof/>
          <w:sz w:val="20"/>
          <w:lang w:val="de-DE"/>
        </w:rPr>
      </w:pPr>
      <w:r>
        <w:rPr>
          <w:rFonts w:ascii="Times New Roman" w:hAnsi="Times New Roman"/>
          <w:b/>
          <w:noProof/>
          <w:sz w:val="20"/>
          <w:lang w:val="de-DE"/>
        </w:rPr>
        <w:br w:type="page"/>
      </w:r>
    </w:p>
    <w:p w14:paraId="79B76420" w14:textId="4D5B839C" w:rsidR="7418C569" w:rsidRPr="00476171" w:rsidRDefault="24032ECE" w:rsidP="00A55A04">
      <w:pPr>
        <w:spacing w:line="276" w:lineRule="auto"/>
        <w:jc w:val="center"/>
        <w:rPr>
          <w:rFonts w:ascii="Times New Roman" w:eastAsia="Verdana" w:hAnsi="Times New Roman" w:cs="Times New Roman"/>
          <w:noProof/>
          <w:sz w:val="20"/>
          <w:lang w:val="de-DE"/>
        </w:rPr>
      </w:pPr>
      <w:r w:rsidRPr="00476171">
        <w:rPr>
          <w:rFonts w:ascii="Times New Roman" w:hAnsi="Times New Roman"/>
          <w:b/>
          <w:noProof/>
          <w:sz w:val="20"/>
          <w:lang w:val="de-DE"/>
        </w:rPr>
        <w:t>Abbildung 1:</w:t>
      </w:r>
      <w:r w:rsidRPr="00476171">
        <w:rPr>
          <w:rFonts w:ascii="Times New Roman" w:hAnsi="Times New Roman"/>
          <w:noProof/>
          <w:sz w:val="20"/>
          <w:lang w:val="de-DE"/>
        </w:rPr>
        <w:t xml:space="preserve"> Trends beim End- und beim Primärenergieverbrauch in der EU-27 (die Linien stellen den Verlauf zwischen dem Verbrauch von 2005 und dem Verbrauch von 2020 dar, die Punkte die Vorgaben für den Primär- und den Endenergieverbrauch für 2020)</w:t>
      </w:r>
    </w:p>
    <w:p w14:paraId="0B89065B" w14:textId="32C2D7BF" w:rsidR="7418C569" w:rsidRPr="00476171" w:rsidRDefault="00272449" w:rsidP="00A55A04">
      <w:pPr>
        <w:spacing w:line="276" w:lineRule="auto"/>
        <w:jc w:val="center"/>
        <w:rPr>
          <w:noProof/>
          <w:lang w:val="de-DE"/>
        </w:rPr>
      </w:pPr>
      <w:r w:rsidRPr="00272449">
        <w:rPr>
          <w:noProof/>
          <w:lang w:val="en-GB" w:eastAsia="en-GB"/>
        </w:rPr>
        <w:drawing>
          <wp:inline distT="0" distB="0" distL="0" distR="0" wp14:anchorId="7DC820A2" wp14:editId="2ACEF714">
            <wp:extent cx="4556760" cy="243355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8144" cy="2444976"/>
                    </a:xfrm>
                    <a:prstGeom prst="rect">
                      <a:avLst/>
                    </a:prstGeom>
                    <a:noFill/>
                    <a:ln>
                      <a:noFill/>
                    </a:ln>
                  </pic:spPr>
                </pic:pic>
              </a:graphicData>
            </a:graphic>
          </wp:inline>
        </w:drawing>
      </w:r>
    </w:p>
    <w:p w14:paraId="22C585BC" w14:textId="597CE4DD" w:rsidR="7418C569" w:rsidRPr="00476171" w:rsidRDefault="008712E1" w:rsidP="00A55A04">
      <w:pPr>
        <w:spacing w:line="276" w:lineRule="auto"/>
        <w:jc w:val="center"/>
        <w:rPr>
          <w:rFonts w:ascii="Times New Roman" w:eastAsiaTheme="minorEastAsia" w:hAnsi="Times New Roman" w:cs="Times New Roman"/>
          <w:i/>
          <w:noProof/>
          <w:sz w:val="16"/>
          <w:lang w:val="de-DE"/>
        </w:rPr>
      </w:pPr>
      <w:r w:rsidRPr="00476171">
        <w:rPr>
          <w:rFonts w:ascii="Times New Roman" w:hAnsi="Times New Roman"/>
          <w:noProof/>
          <w:sz w:val="16"/>
          <w:lang w:val="de-DE"/>
        </w:rPr>
        <w:t>Quelle: Gemeinsame Forschungsstelle (JRC) auf der Grundlage von Eurostat-Daten, Daten vom April 2022.</w:t>
      </w:r>
      <w:r w:rsidRPr="00476171">
        <w:rPr>
          <w:rStyle w:val="FootnoteReference"/>
          <w:rFonts w:ascii="Times New Roman" w:hAnsi="Times New Roman"/>
          <w:noProof/>
          <w:color w:val="000000" w:themeColor="text1"/>
          <w:sz w:val="24"/>
          <w:lang w:val="de-DE"/>
        </w:rPr>
        <w:t xml:space="preserve"> </w:t>
      </w:r>
      <w:r w:rsidRPr="00476171">
        <w:rPr>
          <w:rStyle w:val="FootnoteReference"/>
          <w:rFonts w:ascii="Times New Roman" w:eastAsia="Times New Roman" w:hAnsi="Times New Roman" w:cs="Times New Roman"/>
          <w:noProof/>
          <w:color w:val="000000" w:themeColor="text1"/>
          <w:sz w:val="24"/>
          <w:lang w:val="de-DE"/>
        </w:rPr>
        <w:footnoteReference w:id="2"/>
      </w:r>
    </w:p>
    <w:p w14:paraId="63B98E2B" w14:textId="47C34B70" w:rsidR="00583C18" w:rsidRDefault="7418C569" w:rsidP="00A55A04">
      <w:pPr>
        <w:spacing w:line="276" w:lineRule="auto"/>
        <w:jc w:val="both"/>
        <w:rPr>
          <w:rFonts w:ascii="Times New Roman" w:hAnsi="Times New Roman"/>
          <w:noProof/>
          <w:color w:val="000000" w:themeColor="text1"/>
          <w:sz w:val="24"/>
          <w:lang w:val="de-DE"/>
        </w:rPr>
      </w:pPr>
      <w:r w:rsidRPr="00476171">
        <w:rPr>
          <w:rFonts w:ascii="Times New Roman" w:hAnsi="Times New Roman"/>
          <w:noProof/>
          <w:color w:val="000000" w:themeColor="text1"/>
          <w:sz w:val="24"/>
          <w:lang w:val="de-DE"/>
        </w:rPr>
        <w:t xml:space="preserve">In Abbildung 2 ist mittels additiver Zerlegung der Änderungen im Zeitraum 2014–2020 in der EU-27 dargestellt, welche Faktoren die Einhaltung des Primärenergieverbrauchsziels für 2020 ermöglicht haben. Nach einem leichten Anstieg des Energieverbrauchs in den Jahren 2014–2017 begann die Primärenergieintensität 2018, das Wirtschaftswachstum auszugleichen. Der Verbrauch sank jedoch erst 2020 unter die Werte von 2013, bedingt durch den kombinierten Effekt des Wirtschaftseinbruchs (6 %) infolge der pandemiebedingten Krise und einer kontinuierlichen Verbesserung der Primärenergieintensität (3 %) aufgrund der energie- und klimapolitischen Maßnahmen und Rechtsvorschriften der EU. </w:t>
      </w:r>
    </w:p>
    <w:p w14:paraId="2A31EF64" w14:textId="77777777" w:rsidR="00583C18" w:rsidRDefault="00583C18">
      <w:pPr>
        <w:rPr>
          <w:rFonts w:ascii="Times New Roman" w:hAnsi="Times New Roman"/>
          <w:noProof/>
          <w:color w:val="000000" w:themeColor="text1"/>
          <w:sz w:val="24"/>
          <w:lang w:val="de-DE"/>
        </w:rPr>
      </w:pPr>
      <w:r>
        <w:rPr>
          <w:rFonts w:ascii="Times New Roman" w:hAnsi="Times New Roman"/>
          <w:noProof/>
          <w:color w:val="000000" w:themeColor="text1"/>
          <w:sz w:val="24"/>
          <w:lang w:val="de-DE"/>
        </w:rPr>
        <w:br w:type="page"/>
      </w:r>
    </w:p>
    <w:p w14:paraId="1F4F7EE1" w14:textId="77777777" w:rsidR="00B347EE" w:rsidRPr="00476171" w:rsidRDefault="00B347EE" w:rsidP="00A55A04">
      <w:pPr>
        <w:spacing w:line="276" w:lineRule="auto"/>
        <w:jc w:val="both"/>
        <w:rPr>
          <w:rFonts w:ascii="Times New Roman" w:eastAsia="Times New Roman" w:hAnsi="Times New Roman" w:cs="Times New Roman"/>
          <w:noProof/>
          <w:color w:val="000000" w:themeColor="text1"/>
          <w:sz w:val="24"/>
          <w:lang w:val="de-DE"/>
        </w:rPr>
      </w:pPr>
    </w:p>
    <w:p w14:paraId="69605FB0" w14:textId="6AE4244D" w:rsidR="7418C569" w:rsidRPr="00476171" w:rsidRDefault="00567053" w:rsidP="00A55A04">
      <w:pPr>
        <w:spacing w:line="276" w:lineRule="auto"/>
        <w:jc w:val="center"/>
        <w:rPr>
          <w:rFonts w:ascii="Times New Roman" w:eastAsia="Verdana" w:hAnsi="Times New Roman" w:cs="Times New Roman"/>
          <w:noProof/>
          <w:sz w:val="20"/>
          <w:lang w:val="de-DE"/>
        </w:rPr>
      </w:pPr>
      <w:r w:rsidRPr="00476171">
        <w:rPr>
          <w:rFonts w:ascii="Times New Roman" w:hAnsi="Times New Roman"/>
          <w:b/>
          <w:noProof/>
          <w:sz w:val="20"/>
          <w:lang w:val="de-DE"/>
        </w:rPr>
        <w:t>Abbildung 2:</w:t>
      </w:r>
      <w:r w:rsidRPr="00476171">
        <w:rPr>
          <w:rFonts w:ascii="Times New Roman" w:hAnsi="Times New Roman"/>
          <w:noProof/>
          <w:sz w:val="20"/>
          <w:lang w:val="de-DE"/>
        </w:rPr>
        <w:t xml:space="preserve"> Beitrag unterschiedlicher Effekte zur Veränderung des Primärenergieverbrauchs in der EU-27 im Zeitraum 2014–2020</w:t>
      </w:r>
    </w:p>
    <w:p w14:paraId="3143DD85" w14:textId="62F56454" w:rsidR="7418C569" w:rsidRPr="00476171" w:rsidRDefault="00272449" w:rsidP="00A55A04">
      <w:pPr>
        <w:spacing w:line="276" w:lineRule="auto"/>
        <w:jc w:val="center"/>
        <w:rPr>
          <w:noProof/>
          <w:lang w:val="de-DE"/>
        </w:rPr>
      </w:pPr>
      <w:r w:rsidRPr="00272449">
        <w:rPr>
          <w:noProof/>
          <w:lang w:val="en-GB" w:eastAsia="en-GB"/>
        </w:rPr>
        <w:drawing>
          <wp:inline distT="0" distB="0" distL="0" distR="0" wp14:anchorId="6FC048B6" wp14:editId="04DAF0B4">
            <wp:extent cx="5638800" cy="24845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45317" cy="2487448"/>
                    </a:xfrm>
                    <a:prstGeom prst="rect">
                      <a:avLst/>
                    </a:prstGeom>
                    <a:noFill/>
                    <a:ln>
                      <a:noFill/>
                    </a:ln>
                  </pic:spPr>
                </pic:pic>
              </a:graphicData>
            </a:graphic>
          </wp:inline>
        </w:drawing>
      </w:r>
    </w:p>
    <w:p w14:paraId="13961774" w14:textId="6761FFDA" w:rsidR="7418C569" w:rsidRPr="00476171" w:rsidRDefault="7418C569" w:rsidP="00A55A04">
      <w:pPr>
        <w:spacing w:line="276" w:lineRule="auto"/>
        <w:jc w:val="center"/>
        <w:rPr>
          <w:rFonts w:ascii="Times New Roman" w:eastAsiaTheme="minorEastAsia" w:hAnsi="Times New Roman" w:cs="Times New Roman"/>
          <w:i/>
          <w:noProof/>
          <w:sz w:val="16"/>
          <w:lang w:val="de-DE"/>
        </w:rPr>
      </w:pPr>
      <w:r w:rsidRPr="00476171">
        <w:rPr>
          <w:rFonts w:ascii="Times New Roman" w:hAnsi="Times New Roman"/>
          <w:noProof/>
          <w:sz w:val="16"/>
          <w:lang w:val="de-DE"/>
        </w:rPr>
        <w:t>Quelle: JRC auf der Grundlage von Eurostat-Daten, Daten vom April 2022.</w:t>
      </w:r>
      <w:r w:rsidRPr="00476171">
        <w:rPr>
          <w:noProof/>
          <w:sz w:val="16"/>
          <w:lang w:val="de-DE"/>
        </w:rPr>
        <w:footnoteReference w:id="3"/>
      </w:r>
    </w:p>
    <w:p w14:paraId="000E7258" w14:textId="446C4D3B" w:rsidR="002B4957" w:rsidRPr="00476171" w:rsidRDefault="003A7C2E" w:rsidP="00A55A04">
      <w:pPr>
        <w:spacing w:line="276" w:lineRule="auto"/>
        <w:jc w:val="both"/>
        <w:rPr>
          <w:rFonts w:ascii="Times New Roman" w:eastAsia="Times New Roman" w:hAnsi="Times New Roman" w:cs="Times New Roman"/>
          <w:noProof/>
          <w:color w:val="000000" w:themeColor="text1"/>
          <w:sz w:val="24"/>
          <w:lang w:val="de-DE"/>
        </w:rPr>
      </w:pPr>
      <w:r w:rsidRPr="00476171">
        <w:rPr>
          <w:rFonts w:ascii="Times New Roman" w:hAnsi="Times New Roman"/>
          <w:noProof/>
          <w:color w:val="000000" w:themeColor="text1"/>
          <w:sz w:val="24"/>
          <w:lang w:val="de-DE"/>
        </w:rPr>
        <w:t>Die durch die Pandemie ausgelöste Krise führte 2020 in allen Mitgliedstaaten zu einem Rückgang des Primär- und des Endenergieverbrauchs. Der Primärenergieverbrauch sank um 15 % (Malta) bis 1 % (Litauen). In Abbildung 3 ist zu sehen, in welchem Maße die unterschiedlichen Effekte in der EU-27 und in den Mitgliedstaaten zur Veränderung des Primärenergieverbrauchs zwischen 2019 und 2020 beigetragen haben. In diesem Zeitraum war der außergewöhnliche Konjunktureinbruch ein ausschlaggebender Faktor für den Rückgang des Energieverbrauchs, außer in den beiden Mitgliedstaaten Irland und Litauen.</w:t>
      </w:r>
    </w:p>
    <w:p w14:paraId="334BD57A" w14:textId="7F5A0CC8" w:rsidR="00583C18" w:rsidRDefault="7418C569" w:rsidP="00A55A04">
      <w:pPr>
        <w:spacing w:line="276" w:lineRule="auto"/>
        <w:jc w:val="both"/>
        <w:rPr>
          <w:rFonts w:ascii="Times New Roman" w:hAnsi="Times New Roman"/>
          <w:noProof/>
          <w:color w:val="000000" w:themeColor="text1"/>
          <w:sz w:val="24"/>
          <w:lang w:val="de-DE"/>
        </w:rPr>
      </w:pPr>
      <w:r w:rsidRPr="00476171">
        <w:rPr>
          <w:rFonts w:ascii="Times New Roman" w:hAnsi="Times New Roman"/>
          <w:noProof/>
          <w:color w:val="000000" w:themeColor="text1"/>
          <w:sz w:val="24"/>
          <w:lang w:val="de-DE"/>
        </w:rPr>
        <w:t>Verbesserungen bei der Endenergieintensität</w:t>
      </w:r>
      <w:r w:rsidRPr="00476171">
        <w:rPr>
          <w:rStyle w:val="FootnoteReference"/>
          <w:rFonts w:ascii="Times New Roman" w:eastAsia="Times New Roman" w:hAnsi="Times New Roman" w:cs="Times New Roman"/>
          <w:noProof/>
          <w:color w:val="000000" w:themeColor="text1"/>
          <w:sz w:val="24"/>
          <w:lang w:val="de-DE"/>
        </w:rPr>
        <w:footnoteReference w:id="4"/>
      </w:r>
      <w:r w:rsidRPr="00476171">
        <w:rPr>
          <w:rFonts w:ascii="Times New Roman" w:hAnsi="Times New Roman"/>
          <w:noProof/>
          <w:color w:val="000000" w:themeColor="text1"/>
          <w:sz w:val="24"/>
          <w:lang w:val="de-DE"/>
        </w:rPr>
        <w:t xml:space="preserve"> trugen ebenfalls dazu bei, den Primärenergieverbrauch in der EU-27 insgesamt und in den meisten Mitgliedstaaten um rund 2 % zu senken. In Irland und Malta trugen Verbesserungen der Endenergieintensität zu einem Rückgang des Energieverbrauchs um 15 % bei. Ausnahmen gab es jedoch in Bulgarien, Tschechien, Kroatien, Rumänien, Ungarn und Schweden, wo der Energieverbrauch um bis zu 3 % zunahm. Auch die Tatsache, dass der Winter 2020 wärmer war als 2019, sorgte für einen leichten Rückgang bei der Energienachfrage. </w:t>
      </w:r>
    </w:p>
    <w:p w14:paraId="710090C6" w14:textId="0DE41BB2" w:rsidR="00524FC0" w:rsidRPr="00583C18" w:rsidRDefault="00583C18" w:rsidP="00583C18">
      <w:pPr>
        <w:rPr>
          <w:rFonts w:ascii="Times New Roman" w:hAnsi="Times New Roman"/>
          <w:noProof/>
          <w:color w:val="000000" w:themeColor="text1"/>
          <w:sz w:val="24"/>
          <w:lang w:val="de-DE"/>
        </w:rPr>
      </w:pPr>
      <w:r>
        <w:rPr>
          <w:rFonts w:ascii="Times New Roman" w:hAnsi="Times New Roman"/>
          <w:noProof/>
          <w:color w:val="000000" w:themeColor="text1"/>
          <w:sz w:val="24"/>
          <w:lang w:val="de-DE"/>
        </w:rPr>
        <w:br w:type="page"/>
      </w:r>
    </w:p>
    <w:p w14:paraId="0E85226B" w14:textId="4D0D6A36" w:rsidR="00567053" w:rsidRPr="00476171" w:rsidRDefault="00567053" w:rsidP="00A55A04">
      <w:pPr>
        <w:pStyle w:val="JRCFigurecaption"/>
        <w:spacing w:line="276" w:lineRule="auto"/>
        <w:rPr>
          <w:rFonts w:ascii="Times New Roman" w:hAnsi="Times New Roman"/>
          <w:noProof/>
          <w:sz w:val="20"/>
          <w:lang w:val="de-DE"/>
        </w:rPr>
      </w:pPr>
      <w:bookmarkStart w:id="2" w:name="_Toc106965805"/>
      <w:r w:rsidRPr="00476171">
        <w:rPr>
          <w:rFonts w:ascii="Times New Roman" w:hAnsi="Times New Roman"/>
          <w:b/>
          <w:noProof/>
          <w:sz w:val="20"/>
          <w:lang w:val="de-DE"/>
        </w:rPr>
        <w:t>Abbildung 3:</w:t>
      </w:r>
      <w:r w:rsidRPr="00476171">
        <w:rPr>
          <w:rFonts w:ascii="Times New Roman" w:hAnsi="Times New Roman"/>
          <w:noProof/>
          <w:sz w:val="20"/>
          <w:lang w:val="de-DE"/>
        </w:rPr>
        <w:t xml:space="preserve"> Beitrag unterschiedlicher Effekte zur Veränderung des Primärenergieverbrauchs in der EU-27 und den einzelnen Mitgliedstaaten im Zeitraum 2019–2020</w:t>
      </w:r>
      <w:bookmarkEnd w:id="2"/>
    </w:p>
    <w:p w14:paraId="248620FD" w14:textId="6527169C" w:rsidR="00567053" w:rsidRPr="00476171" w:rsidRDefault="00272449" w:rsidP="00B347EE">
      <w:pPr>
        <w:spacing w:line="276" w:lineRule="auto"/>
        <w:jc w:val="center"/>
        <w:rPr>
          <w:rFonts w:ascii="EC Square Sans Cond Pro" w:hAnsi="EC Square Sans Cond Pro"/>
          <w:noProof/>
          <w:lang w:val="de-DE"/>
        </w:rPr>
      </w:pPr>
      <w:r w:rsidRPr="00272449">
        <w:rPr>
          <w:noProof/>
          <w:lang w:val="en-GB" w:eastAsia="en-GB"/>
        </w:rPr>
        <w:drawing>
          <wp:inline distT="0" distB="0" distL="0" distR="0" wp14:anchorId="22973FFE" wp14:editId="08A83A43">
            <wp:extent cx="5978525" cy="244602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89463" cy="2450495"/>
                    </a:xfrm>
                    <a:prstGeom prst="rect">
                      <a:avLst/>
                    </a:prstGeom>
                    <a:noFill/>
                    <a:ln>
                      <a:noFill/>
                    </a:ln>
                  </pic:spPr>
                </pic:pic>
              </a:graphicData>
            </a:graphic>
          </wp:inline>
        </w:drawing>
      </w:r>
    </w:p>
    <w:p w14:paraId="1BC42DA1" w14:textId="7C7541C3" w:rsidR="00CC7CBE" w:rsidRPr="00476171" w:rsidRDefault="00CC7CBE" w:rsidP="00CC7CBE">
      <w:pPr>
        <w:spacing w:line="276" w:lineRule="auto"/>
        <w:jc w:val="center"/>
        <w:rPr>
          <w:rFonts w:ascii="Times New Roman" w:eastAsiaTheme="minorEastAsia" w:hAnsi="Times New Roman" w:cs="Times New Roman"/>
          <w:i/>
          <w:noProof/>
          <w:sz w:val="16"/>
          <w:lang w:val="de-DE"/>
        </w:rPr>
      </w:pPr>
      <w:r w:rsidRPr="00476171">
        <w:rPr>
          <w:rFonts w:ascii="Times New Roman" w:hAnsi="Times New Roman"/>
          <w:noProof/>
          <w:sz w:val="16"/>
          <w:lang w:val="de-DE"/>
        </w:rPr>
        <w:t>Quelle: JRC auf der Grundlage von Eurostat-Daten, Daten vom April 2022.</w:t>
      </w:r>
      <w:r w:rsidRPr="00476171">
        <w:rPr>
          <w:rStyle w:val="FootnoteReference"/>
          <w:rFonts w:ascii="Times New Roman" w:hAnsi="Times New Roman"/>
          <w:noProof/>
          <w:color w:val="000000" w:themeColor="text1"/>
          <w:sz w:val="24"/>
          <w:lang w:val="de-DE"/>
        </w:rPr>
        <w:t xml:space="preserve"> </w:t>
      </w:r>
      <w:r w:rsidRPr="00476171">
        <w:rPr>
          <w:rStyle w:val="FootnoteReference"/>
          <w:rFonts w:ascii="Times New Roman" w:eastAsia="Times New Roman" w:hAnsi="Times New Roman" w:cs="Times New Roman"/>
          <w:noProof/>
          <w:color w:val="000000" w:themeColor="text1"/>
          <w:sz w:val="24"/>
          <w:lang w:val="de-DE"/>
        </w:rPr>
        <w:footnoteReference w:id="5"/>
      </w:r>
    </w:p>
    <w:p w14:paraId="263E75DC" w14:textId="5F1710A1" w:rsidR="00CC7CBE" w:rsidRPr="00476171" w:rsidRDefault="00B347EE" w:rsidP="00A55A04">
      <w:pPr>
        <w:spacing w:line="276" w:lineRule="auto"/>
        <w:jc w:val="both"/>
        <w:rPr>
          <w:rFonts w:ascii="Times New Roman" w:eastAsia="Times New Roman" w:hAnsi="Times New Roman" w:cs="Times New Roman"/>
          <w:noProof/>
          <w:color w:val="000000" w:themeColor="text1"/>
          <w:sz w:val="24"/>
          <w:lang w:val="de-DE"/>
        </w:rPr>
      </w:pPr>
      <w:r w:rsidRPr="00476171">
        <w:rPr>
          <w:rFonts w:ascii="Times New Roman" w:hAnsi="Times New Roman"/>
          <w:noProof/>
          <w:color w:val="000000" w:themeColor="text1"/>
          <w:sz w:val="24"/>
          <w:lang w:val="de-DE"/>
        </w:rPr>
        <w:t>Bei der Entwicklung des Endenergieverbrauchs werden die Veränderungen nach Sektoren betrachtet. Insgesamt ist der Endenergieverbrauch zwischen 2019 und 2020 um 8,0 % zurückgegangen, nach einem gleichbleibenden Anstieg in den Jahren 2014–2018. Im Jahr 2020 verzeichneten alle Mitgliedstaaten einen Rückgang des Endenergieverbrauchs im Verkehrssektor und einen stabilen (Veränderung in einem Bereich von ± 1 %) oder sinkenden Endenergieverbrauch im Dienstleistungssektor. Wie aus Tabelle 1 hervorgeht, gab es beim Endenergieverbrauch von Industrie und Privathaushalten in den Mitgliedstaaten kein einheitliches Muster.</w:t>
      </w:r>
    </w:p>
    <w:p w14:paraId="39F0B022" w14:textId="1B24FC03" w:rsidR="29AD9265" w:rsidRPr="00476171" w:rsidRDefault="63A1BA76" w:rsidP="00A55A04">
      <w:pPr>
        <w:spacing w:line="276" w:lineRule="auto"/>
        <w:jc w:val="center"/>
        <w:rPr>
          <w:rFonts w:ascii="Times New Roman" w:eastAsia="Times New Roman" w:hAnsi="Times New Roman" w:cs="Times New Roman"/>
          <w:noProof/>
          <w:color w:val="000000" w:themeColor="text1"/>
          <w:sz w:val="20"/>
          <w:lang w:val="de-DE"/>
        </w:rPr>
      </w:pPr>
      <w:r w:rsidRPr="00476171">
        <w:rPr>
          <w:rFonts w:ascii="Times New Roman" w:hAnsi="Times New Roman"/>
          <w:b/>
          <w:noProof/>
          <w:color w:val="000000" w:themeColor="text1"/>
          <w:sz w:val="20"/>
          <w:lang w:val="de-DE"/>
        </w:rPr>
        <w:t xml:space="preserve">Tabelle 1: </w:t>
      </w:r>
      <w:r w:rsidRPr="00476171">
        <w:rPr>
          <w:rFonts w:ascii="Times New Roman" w:hAnsi="Times New Roman"/>
          <w:noProof/>
          <w:color w:val="000000" w:themeColor="text1"/>
          <w:sz w:val="20"/>
          <w:lang w:val="de-DE"/>
        </w:rPr>
        <w:t>Verbrauchstrends in Schlüsselsektoren auf nationaler Ebene im Zeitraum 2019–2020</w:t>
      </w:r>
    </w:p>
    <w:tbl>
      <w:tblPr>
        <w:tblW w:w="3848"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503"/>
        <w:gridCol w:w="1056"/>
        <w:gridCol w:w="1204"/>
        <w:gridCol w:w="1339"/>
        <w:gridCol w:w="1507"/>
        <w:gridCol w:w="1571"/>
      </w:tblGrid>
      <w:tr w:rsidR="002F5989" w:rsidRPr="00476171" w14:paraId="52EB0EF0" w14:textId="77777777" w:rsidTr="002F5989">
        <w:trPr>
          <w:trHeight w:hRule="exact" w:val="284"/>
          <w:jc w:val="center"/>
        </w:trPr>
        <w:tc>
          <w:tcPr>
            <w:tcW w:w="432" w:type="pct"/>
            <w:vMerge w:val="restart"/>
            <w:shd w:val="clear" w:color="auto" w:fill="44546A" w:themeFill="text2"/>
            <w:noWrap/>
            <w:vAlign w:val="center"/>
            <w:hideMark/>
          </w:tcPr>
          <w:p w14:paraId="5D0C8AD7" w14:textId="77777777" w:rsidR="002F5989" w:rsidRPr="00476171" w:rsidRDefault="002F5989" w:rsidP="00577CDE">
            <w:pPr>
              <w:spacing w:before="40" w:after="20"/>
              <w:jc w:val="center"/>
              <w:rPr>
                <w:rFonts w:ascii="EC Square Sans Cond Pro" w:hAnsi="EC Square Sans Cond Pro" w:cs="Arial"/>
                <w:b/>
                <w:noProof/>
                <w:color w:val="FFFFFF" w:themeColor="background1"/>
                <w:sz w:val="18"/>
                <w:lang w:val="de-DE"/>
              </w:rPr>
            </w:pPr>
            <w:r w:rsidRPr="00476171">
              <w:rPr>
                <w:rFonts w:ascii="EC Square Sans Cond Pro" w:hAnsi="EC Square Sans Cond Pro"/>
                <w:b/>
                <w:noProof/>
                <w:color w:val="FFFFFF" w:themeColor="background1"/>
                <w:sz w:val="18"/>
                <w:lang w:val="de-DE"/>
              </w:rPr>
              <w:t>MS</w:t>
            </w:r>
          </w:p>
        </w:tc>
        <w:tc>
          <w:tcPr>
            <w:tcW w:w="4568" w:type="pct"/>
            <w:gridSpan w:val="5"/>
            <w:shd w:val="clear" w:color="auto" w:fill="44546A" w:themeFill="text2"/>
            <w:noWrap/>
            <w:vAlign w:val="bottom"/>
            <w:hideMark/>
          </w:tcPr>
          <w:p w14:paraId="74FE17FC"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Endverbrauch</w:t>
            </w:r>
          </w:p>
        </w:tc>
      </w:tr>
      <w:tr w:rsidR="002F5989" w:rsidRPr="00476171" w14:paraId="5209B3D5" w14:textId="77777777" w:rsidTr="002F5989">
        <w:trPr>
          <w:trHeight w:hRule="exact" w:val="284"/>
          <w:jc w:val="center"/>
        </w:trPr>
        <w:tc>
          <w:tcPr>
            <w:tcW w:w="432" w:type="pct"/>
            <w:vMerge/>
            <w:shd w:val="clear" w:color="auto" w:fill="4472C4" w:themeFill="accent1"/>
            <w:vAlign w:val="center"/>
            <w:hideMark/>
          </w:tcPr>
          <w:p w14:paraId="1EA8F8B6" w14:textId="77777777" w:rsidR="002F5989" w:rsidRPr="00476171" w:rsidRDefault="002F5989" w:rsidP="00577CDE">
            <w:pPr>
              <w:spacing w:before="40" w:after="20"/>
              <w:rPr>
                <w:rFonts w:ascii="EC Square Sans Cond Pro" w:hAnsi="EC Square Sans Cond Pro" w:cs="Arial"/>
                <w:b/>
                <w:noProof/>
                <w:color w:val="FFFFFF" w:themeColor="background1"/>
                <w:sz w:val="18"/>
                <w:lang w:val="de-DE"/>
              </w:rPr>
            </w:pPr>
          </w:p>
        </w:tc>
        <w:tc>
          <w:tcPr>
            <w:tcW w:w="611" w:type="pct"/>
            <w:tcBorders>
              <w:bottom w:val="single" w:sz="12" w:space="0" w:color="FFFFFF" w:themeColor="background1"/>
            </w:tcBorders>
            <w:shd w:val="clear" w:color="auto" w:fill="44546A" w:themeFill="text2"/>
            <w:vAlign w:val="center"/>
            <w:hideMark/>
          </w:tcPr>
          <w:p w14:paraId="4524BA91" w14:textId="77777777" w:rsidR="002F5989" w:rsidRPr="00476171" w:rsidRDefault="002F5989" w:rsidP="00577CDE">
            <w:pPr>
              <w:spacing w:before="40" w:after="20"/>
              <w:jc w:val="center"/>
              <w:rPr>
                <w:rFonts w:ascii="EC Square Sans Cond Pro" w:hAnsi="EC Square Sans Cond Pro" w:cs="Arial"/>
                <w:b/>
                <w:noProof/>
                <w:color w:val="FFFFFF" w:themeColor="background1"/>
                <w:sz w:val="18"/>
                <w:lang w:val="de-DE"/>
              </w:rPr>
            </w:pPr>
            <w:r w:rsidRPr="00476171">
              <w:rPr>
                <w:rFonts w:ascii="EC Square Sans Cond Pro" w:hAnsi="EC Square Sans Cond Pro"/>
                <w:b/>
                <w:noProof/>
                <w:color w:val="FFFFFF" w:themeColor="background1"/>
                <w:sz w:val="18"/>
                <w:lang w:val="de-DE"/>
              </w:rPr>
              <w:t>Insgesamt</w:t>
            </w:r>
          </w:p>
        </w:tc>
        <w:tc>
          <w:tcPr>
            <w:tcW w:w="919" w:type="pct"/>
            <w:tcBorders>
              <w:bottom w:val="single" w:sz="12" w:space="0" w:color="FFFFFF" w:themeColor="background1"/>
            </w:tcBorders>
            <w:shd w:val="clear" w:color="auto" w:fill="44546A" w:themeFill="text2"/>
            <w:vAlign w:val="center"/>
            <w:hideMark/>
          </w:tcPr>
          <w:p w14:paraId="2D162697" w14:textId="77777777" w:rsidR="002F5989" w:rsidRPr="00476171" w:rsidRDefault="002F5989" w:rsidP="00577CDE">
            <w:pPr>
              <w:spacing w:before="40" w:after="20"/>
              <w:jc w:val="center"/>
              <w:rPr>
                <w:rFonts w:ascii="EC Square Sans Cond Pro" w:hAnsi="EC Square Sans Cond Pro" w:cs="Arial"/>
                <w:b/>
                <w:noProof/>
                <w:color w:val="FFFFFF" w:themeColor="background1"/>
                <w:sz w:val="18"/>
                <w:lang w:val="de-DE"/>
              </w:rPr>
            </w:pPr>
            <w:r w:rsidRPr="00476171">
              <w:rPr>
                <w:rFonts w:ascii="EC Square Sans Cond Pro" w:hAnsi="EC Square Sans Cond Pro"/>
                <w:b/>
                <w:noProof/>
                <w:color w:val="FFFFFF" w:themeColor="background1"/>
                <w:sz w:val="18"/>
                <w:lang w:val="de-DE"/>
              </w:rPr>
              <w:t>Industrie</w:t>
            </w:r>
          </w:p>
        </w:tc>
        <w:tc>
          <w:tcPr>
            <w:tcW w:w="1013" w:type="pct"/>
            <w:shd w:val="clear" w:color="auto" w:fill="44546A" w:themeFill="text2"/>
            <w:vAlign w:val="center"/>
            <w:hideMark/>
          </w:tcPr>
          <w:p w14:paraId="45D3477F" w14:textId="77777777" w:rsidR="002F5989" w:rsidRPr="00476171" w:rsidRDefault="002F5989" w:rsidP="00577CDE">
            <w:pPr>
              <w:spacing w:before="40" w:after="20"/>
              <w:jc w:val="center"/>
              <w:rPr>
                <w:rFonts w:ascii="EC Square Sans Cond Pro" w:hAnsi="EC Square Sans Cond Pro" w:cs="Arial"/>
                <w:b/>
                <w:noProof/>
                <w:color w:val="FFFFFF" w:themeColor="background1"/>
                <w:sz w:val="18"/>
                <w:lang w:val="de-DE"/>
              </w:rPr>
            </w:pPr>
            <w:r w:rsidRPr="00476171">
              <w:rPr>
                <w:rFonts w:ascii="EC Square Sans Cond Pro" w:hAnsi="EC Square Sans Cond Pro"/>
                <w:b/>
                <w:noProof/>
                <w:color w:val="FFFFFF" w:themeColor="background1"/>
                <w:sz w:val="18"/>
                <w:lang w:val="de-DE"/>
              </w:rPr>
              <w:t>Verkehr</w:t>
            </w:r>
          </w:p>
        </w:tc>
        <w:tc>
          <w:tcPr>
            <w:tcW w:w="1130" w:type="pct"/>
            <w:tcBorders>
              <w:bottom w:val="single" w:sz="12" w:space="0" w:color="FFFFFF" w:themeColor="background1"/>
            </w:tcBorders>
            <w:shd w:val="clear" w:color="auto" w:fill="44546A" w:themeFill="text2"/>
            <w:vAlign w:val="center"/>
            <w:hideMark/>
          </w:tcPr>
          <w:p w14:paraId="556AA867" w14:textId="77777777" w:rsidR="002F5989" w:rsidRPr="00476171" w:rsidRDefault="002F5989" w:rsidP="00577CDE">
            <w:pPr>
              <w:spacing w:before="40" w:after="20"/>
              <w:jc w:val="center"/>
              <w:rPr>
                <w:rFonts w:ascii="EC Square Sans Cond Pro" w:hAnsi="EC Square Sans Cond Pro" w:cs="Arial"/>
                <w:b/>
                <w:noProof/>
                <w:color w:val="FFFFFF" w:themeColor="background1"/>
                <w:sz w:val="18"/>
                <w:lang w:val="de-DE"/>
              </w:rPr>
            </w:pPr>
            <w:r w:rsidRPr="00476171">
              <w:rPr>
                <w:rFonts w:ascii="EC Square Sans Cond Pro" w:hAnsi="EC Square Sans Cond Pro"/>
                <w:b/>
                <w:noProof/>
                <w:color w:val="FFFFFF" w:themeColor="background1"/>
                <w:sz w:val="18"/>
                <w:lang w:val="de-DE"/>
              </w:rPr>
              <w:t>Haushalte</w:t>
            </w:r>
          </w:p>
        </w:tc>
        <w:tc>
          <w:tcPr>
            <w:tcW w:w="896" w:type="pct"/>
            <w:tcBorders>
              <w:bottom w:val="single" w:sz="12" w:space="0" w:color="FFFFFF" w:themeColor="background1"/>
            </w:tcBorders>
            <w:shd w:val="clear" w:color="auto" w:fill="44546A" w:themeFill="text2"/>
            <w:vAlign w:val="center"/>
            <w:hideMark/>
          </w:tcPr>
          <w:p w14:paraId="77CB6C61" w14:textId="77777777" w:rsidR="002F5989" w:rsidRPr="00476171" w:rsidRDefault="002F5989" w:rsidP="00577CDE">
            <w:pPr>
              <w:spacing w:before="40" w:after="20"/>
              <w:jc w:val="center"/>
              <w:rPr>
                <w:rFonts w:ascii="EC Square Sans Cond Pro" w:hAnsi="EC Square Sans Cond Pro" w:cs="Arial"/>
                <w:b/>
                <w:noProof/>
                <w:color w:val="FFFFFF" w:themeColor="background1"/>
                <w:sz w:val="18"/>
                <w:lang w:val="de-DE"/>
              </w:rPr>
            </w:pPr>
            <w:r w:rsidRPr="00476171">
              <w:rPr>
                <w:rFonts w:ascii="EC Square Sans Cond Pro" w:hAnsi="EC Square Sans Cond Pro"/>
                <w:b/>
                <w:noProof/>
                <w:color w:val="FFFFFF" w:themeColor="background1"/>
                <w:sz w:val="18"/>
                <w:lang w:val="de-DE"/>
              </w:rPr>
              <w:t>Dienstleistungen</w:t>
            </w:r>
          </w:p>
        </w:tc>
      </w:tr>
      <w:tr w:rsidR="002F5989" w:rsidRPr="00476171" w14:paraId="29129FC4" w14:textId="77777777" w:rsidTr="002F5989">
        <w:trPr>
          <w:trHeight w:hRule="exact" w:val="284"/>
          <w:jc w:val="center"/>
        </w:trPr>
        <w:tc>
          <w:tcPr>
            <w:tcW w:w="432" w:type="pct"/>
            <w:shd w:val="clear" w:color="auto" w:fill="44546A" w:themeFill="text2"/>
            <w:noWrap/>
            <w:vAlign w:val="center"/>
            <w:hideMark/>
          </w:tcPr>
          <w:p w14:paraId="5944D01D"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BE</w:t>
            </w:r>
          </w:p>
        </w:tc>
        <w:tc>
          <w:tcPr>
            <w:tcW w:w="611" w:type="pct"/>
            <w:tcBorders>
              <w:bottom w:val="single" w:sz="12" w:space="0" w:color="FFFFFF" w:themeColor="background1"/>
            </w:tcBorders>
            <w:shd w:val="clear" w:color="auto" w:fill="C5E0B3" w:themeFill="accent6" w:themeFillTint="66"/>
            <w:vAlign w:val="bottom"/>
            <w:hideMark/>
          </w:tcPr>
          <w:p w14:paraId="13B3BF29"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C5E0B3" w:themeFill="accent6" w:themeFillTint="66"/>
            <w:vAlign w:val="bottom"/>
            <w:hideMark/>
          </w:tcPr>
          <w:p w14:paraId="71B9433C"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6B554F9A"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FBE4D5" w:themeFill="accent2" w:themeFillTint="33"/>
            <w:vAlign w:val="bottom"/>
            <w:hideMark/>
          </w:tcPr>
          <w:p w14:paraId="42DBBC0F"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Arial" w:hAnsi="Arial"/>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02CA61B2"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636FD268" w14:textId="77777777" w:rsidTr="002F5989">
        <w:trPr>
          <w:trHeight w:hRule="exact" w:val="284"/>
          <w:jc w:val="center"/>
        </w:trPr>
        <w:tc>
          <w:tcPr>
            <w:tcW w:w="432" w:type="pct"/>
            <w:shd w:val="clear" w:color="auto" w:fill="44546A" w:themeFill="text2"/>
            <w:noWrap/>
            <w:vAlign w:val="center"/>
            <w:hideMark/>
          </w:tcPr>
          <w:p w14:paraId="4A87DB3A"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BG</w:t>
            </w:r>
          </w:p>
        </w:tc>
        <w:tc>
          <w:tcPr>
            <w:tcW w:w="611" w:type="pct"/>
            <w:tcBorders>
              <w:bottom w:val="single" w:sz="12" w:space="0" w:color="FFFFFF" w:themeColor="background1"/>
            </w:tcBorders>
            <w:shd w:val="clear" w:color="auto" w:fill="C5E0B3" w:themeFill="accent6" w:themeFillTint="66"/>
            <w:vAlign w:val="bottom"/>
            <w:hideMark/>
          </w:tcPr>
          <w:p w14:paraId="59DBDCB2"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C5E0B3" w:themeFill="accent6" w:themeFillTint="66"/>
            <w:vAlign w:val="bottom"/>
            <w:hideMark/>
          </w:tcPr>
          <w:p w14:paraId="62AE836F"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5BF5334E"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F4B083" w:themeFill="accent2" w:themeFillTint="99"/>
            <w:vAlign w:val="bottom"/>
            <w:hideMark/>
          </w:tcPr>
          <w:p w14:paraId="68BE2C72"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62BC0DF1"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682E9A78" w14:textId="77777777" w:rsidTr="002F5989">
        <w:trPr>
          <w:trHeight w:hRule="exact" w:val="284"/>
          <w:jc w:val="center"/>
        </w:trPr>
        <w:tc>
          <w:tcPr>
            <w:tcW w:w="432" w:type="pct"/>
            <w:shd w:val="clear" w:color="auto" w:fill="44546A" w:themeFill="text2"/>
            <w:noWrap/>
            <w:vAlign w:val="center"/>
            <w:hideMark/>
          </w:tcPr>
          <w:p w14:paraId="53E7C349"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CZ</w:t>
            </w:r>
          </w:p>
        </w:tc>
        <w:tc>
          <w:tcPr>
            <w:tcW w:w="611" w:type="pct"/>
            <w:tcBorders>
              <w:bottom w:val="single" w:sz="12" w:space="0" w:color="FFFFFF" w:themeColor="background1"/>
            </w:tcBorders>
            <w:shd w:val="clear" w:color="auto" w:fill="C5E0B3" w:themeFill="accent6" w:themeFillTint="66"/>
            <w:vAlign w:val="bottom"/>
            <w:hideMark/>
          </w:tcPr>
          <w:p w14:paraId="74EC099B"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shd w:val="clear" w:color="auto" w:fill="FBE4D5" w:themeFill="accent2" w:themeFillTint="33"/>
            <w:vAlign w:val="bottom"/>
            <w:hideMark/>
          </w:tcPr>
          <w:p w14:paraId="1E397E04"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Arial" w:hAnsi="Arial"/>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1EA418ED"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F4B083" w:themeFill="accent2" w:themeFillTint="99"/>
            <w:vAlign w:val="bottom"/>
            <w:hideMark/>
          </w:tcPr>
          <w:p w14:paraId="185CFBCA"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423436FF"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5C23C321" w14:textId="77777777" w:rsidTr="002F5989">
        <w:trPr>
          <w:trHeight w:hRule="exact" w:val="284"/>
          <w:jc w:val="center"/>
        </w:trPr>
        <w:tc>
          <w:tcPr>
            <w:tcW w:w="432" w:type="pct"/>
            <w:shd w:val="clear" w:color="auto" w:fill="44546A" w:themeFill="text2"/>
            <w:noWrap/>
            <w:vAlign w:val="center"/>
            <w:hideMark/>
          </w:tcPr>
          <w:p w14:paraId="5EE8D285"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DK</w:t>
            </w:r>
          </w:p>
        </w:tc>
        <w:tc>
          <w:tcPr>
            <w:tcW w:w="611" w:type="pct"/>
            <w:tcBorders>
              <w:bottom w:val="single" w:sz="12" w:space="0" w:color="FFFFFF" w:themeColor="background1"/>
            </w:tcBorders>
            <w:shd w:val="clear" w:color="auto" w:fill="C5E0B3" w:themeFill="accent6" w:themeFillTint="66"/>
            <w:vAlign w:val="bottom"/>
            <w:hideMark/>
          </w:tcPr>
          <w:p w14:paraId="6D5C4DD8"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F4B083" w:themeFill="accent2" w:themeFillTint="99"/>
            <w:vAlign w:val="bottom"/>
            <w:hideMark/>
          </w:tcPr>
          <w:p w14:paraId="092336C8"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26F94BEF"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C5E0B3" w:themeFill="accent6" w:themeFillTint="66"/>
            <w:vAlign w:val="bottom"/>
            <w:hideMark/>
          </w:tcPr>
          <w:p w14:paraId="44E2C8EB"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4B42C8F2"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59D04FB2" w14:textId="77777777" w:rsidTr="002F5989">
        <w:trPr>
          <w:trHeight w:hRule="exact" w:val="284"/>
          <w:jc w:val="center"/>
        </w:trPr>
        <w:tc>
          <w:tcPr>
            <w:tcW w:w="432" w:type="pct"/>
            <w:shd w:val="clear" w:color="auto" w:fill="44546A" w:themeFill="text2"/>
            <w:noWrap/>
            <w:vAlign w:val="center"/>
            <w:hideMark/>
          </w:tcPr>
          <w:p w14:paraId="6301B34F"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DE</w:t>
            </w:r>
          </w:p>
        </w:tc>
        <w:tc>
          <w:tcPr>
            <w:tcW w:w="611" w:type="pct"/>
            <w:shd w:val="clear" w:color="auto" w:fill="C5E0B3" w:themeFill="accent6" w:themeFillTint="66"/>
            <w:vAlign w:val="bottom"/>
            <w:hideMark/>
          </w:tcPr>
          <w:p w14:paraId="2C02E946"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shd w:val="clear" w:color="auto" w:fill="C5E0B3" w:themeFill="accent6" w:themeFillTint="66"/>
            <w:vAlign w:val="bottom"/>
            <w:hideMark/>
          </w:tcPr>
          <w:p w14:paraId="06BBF65A"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shd w:val="clear" w:color="auto" w:fill="C5E0B3" w:themeFill="accent6" w:themeFillTint="66"/>
            <w:vAlign w:val="bottom"/>
            <w:hideMark/>
          </w:tcPr>
          <w:p w14:paraId="73E69EF4"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FBE4D5" w:themeFill="accent2" w:themeFillTint="33"/>
            <w:vAlign w:val="bottom"/>
            <w:hideMark/>
          </w:tcPr>
          <w:p w14:paraId="716CE2AF"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Arial" w:hAnsi="Arial"/>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79415113"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3159A07E" w14:textId="77777777" w:rsidTr="002F5989">
        <w:trPr>
          <w:trHeight w:hRule="exact" w:val="284"/>
          <w:jc w:val="center"/>
        </w:trPr>
        <w:tc>
          <w:tcPr>
            <w:tcW w:w="432" w:type="pct"/>
            <w:shd w:val="clear" w:color="auto" w:fill="44546A" w:themeFill="text2"/>
            <w:noWrap/>
            <w:vAlign w:val="center"/>
            <w:hideMark/>
          </w:tcPr>
          <w:p w14:paraId="278E3B01"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EE</w:t>
            </w:r>
          </w:p>
        </w:tc>
        <w:tc>
          <w:tcPr>
            <w:tcW w:w="611" w:type="pct"/>
            <w:tcBorders>
              <w:bottom w:val="single" w:sz="12" w:space="0" w:color="FFFFFF" w:themeColor="background1"/>
            </w:tcBorders>
            <w:shd w:val="clear" w:color="auto" w:fill="C5E0B3" w:themeFill="accent6" w:themeFillTint="66"/>
            <w:vAlign w:val="bottom"/>
            <w:hideMark/>
          </w:tcPr>
          <w:p w14:paraId="6EB335F8"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C5E0B3" w:themeFill="accent6" w:themeFillTint="66"/>
            <w:vAlign w:val="bottom"/>
            <w:hideMark/>
          </w:tcPr>
          <w:p w14:paraId="6C2A672C"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31C4FB65"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000000" w:fill="FBE4D5" w:themeFill="accent2" w:themeFillTint="33"/>
            <w:vAlign w:val="center"/>
            <w:hideMark/>
          </w:tcPr>
          <w:p w14:paraId="6CED27A2"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Arial" w:hAnsi="Arial"/>
                <w:noProof/>
                <w:sz w:val="18"/>
                <w:lang w:val="de-DE"/>
              </w:rPr>
              <w:t>→</w:t>
            </w:r>
          </w:p>
        </w:tc>
        <w:tc>
          <w:tcPr>
            <w:tcW w:w="896" w:type="pct"/>
            <w:tcBorders>
              <w:bottom w:val="single" w:sz="12" w:space="0" w:color="FFFFFF" w:themeColor="background1"/>
            </w:tcBorders>
            <w:shd w:val="clear" w:color="000000" w:fill="FBE4D5" w:themeFill="accent2" w:themeFillTint="33"/>
            <w:vAlign w:val="center"/>
            <w:hideMark/>
          </w:tcPr>
          <w:p w14:paraId="611658CD"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Arial" w:hAnsi="Arial"/>
                <w:noProof/>
                <w:sz w:val="18"/>
                <w:lang w:val="de-DE"/>
              </w:rPr>
              <w:t>→</w:t>
            </w:r>
          </w:p>
        </w:tc>
      </w:tr>
      <w:tr w:rsidR="002F5989" w:rsidRPr="00476171" w14:paraId="7547F4E4" w14:textId="77777777" w:rsidTr="002F5989">
        <w:trPr>
          <w:trHeight w:hRule="exact" w:val="284"/>
          <w:jc w:val="center"/>
        </w:trPr>
        <w:tc>
          <w:tcPr>
            <w:tcW w:w="432" w:type="pct"/>
            <w:shd w:val="clear" w:color="auto" w:fill="44546A" w:themeFill="text2"/>
            <w:noWrap/>
            <w:vAlign w:val="center"/>
            <w:hideMark/>
          </w:tcPr>
          <w:p w14:paraId="566ECA74"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IE</w:t>
            </w:r>
          </w:p>
        </w:tc>
        <w:tc>
          <w:tcPr>
            <w:tcW w:w="611" w:type="pct"/>
            <w:tcBorders>
              <w:bottom w:val="single" w:sz="12" w:space="0" w:color="FFFFFF" w:themeColor="background1"/>
            </w:tcBorders>
            <w:shd w:val="clear" w:color="auto" w:fill="C5E0B3" w:themeFill="accent6" w:themeFillTint="66"/>
            <w:vAlign w:val="bottom"/>
            <w:hideMark/>
          </w:tcPr>
          <w:p w14:paraId="51282B2E"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C5E0B3" w:themeFill="accent6" w:themeFillTint="66"/>
            <w:vAlign w:val="bottom"/>
            <w:hideMark/>
          </w:tcPr>
          <w:p w14:paraId="0D0D6F3D"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57711D5F"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F4B083" w:themeFill="accent2" w:themeFillTint="99"/>
            <w:vAlign w:val="bottom"/>
            <w:hideMark/>
          </w:tcPr>
          <w:p w14:paraId="2980B7C7"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tcBorders>
              <w:bottom w:val="single" w:sz="12" w:space="0" w:color="FFFFFF" w:themeColor="background1"/>
            </w:tcBorders>
            <w:shd w:val="clear" w:color="000000" w:fill="FBE4D5" w:themeFill="accent2" w:themeFillTint="33"/>
            <w:vAlign w:val="bottom"/>
            <w:hideMark/>
          </w:tcPr>
          <w:p w14:paraId="4A172735"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Arial" w:hAnsi="Arial"/>
                <w:noProof/>
                <w:sz w:val="18"/>
                <w:lang w:val="de-DE"/>
              </w:rPr>
              <w:t>→</w:t>
            </w:r>
          </w:p>
        </w:tc>
      </w:tr>
      <w:tr w:rsidR="002F5989" w:rsidRPr="00476171" w14:paraId="4EA3ED36" w14:textId="77777777" w:rsidTr="002F5989">
        <w:trPr>
          <w:trHeight w:hRule="exact" w:val="284"/>
          <w:jc w:val="center"/>
        </w:trPr>
        <w:tc>
          <w:tcPr>
            <w:tcW w:w="432" w:type="pct"/>
            <w:shd w:val="clear" w:color="auto" w:fill="44546A" w:themeFill="text2"/>
            <w:noWrap/>
            <w:vAlign w:val="center"/>
            <w:hideMark/>
          </w:tcPr>
          <w:p w14:paraId="648ACA75"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EL</w:t>
            </w:r>
          </w:p>
        </w:tc>
        <w:tc>
          <w:tcPr>
            <w:tcW w:w="611" w:type="pct"/>
            <w:shd w:val="clear" w:color="auto" w:fill="C5E0B3" w:themeFill="accent6" w:themeFillTint="66"/>
            <w:vAlign w:val="bottom"/>
            <w:hideMark/>
          </w:tcPr>
          <w:p w14:paraId="19E08692"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C5E0B3" w:themeFill="accent6" w:themeFillTint="66"/>
            <w:vAlign w:val="bottom"/>
            <w:hideMark/>
          </w:tcPr>
          <w:p w14:paraId="55973E2B"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2638DB21"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000000" w:fill="FBE4D5" w:themeFill="accent2" w:themeFillTint="33"/>
            <w:vAlign w:val="bottom"/>
            <w:hideMark/>
          </w:tcPr>
          <w:p w14:paraId="6E3B3CDA"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Arial" w:hAnsi="Arial"/>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719A7C6A"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12837423" w14:textId="77777777" w:rsidTr="002F5989">
        <w:trPr>
          <w:trHeight w:hRule="exact" w:val="284"/>
          <w:jc w:val="center"/>
        </w:trPr>
        <w:tc>
          <w:tcPr>
            <w:tcW w:w="432" w:type="pct"/>
            <w:shd w:val="clear" w:color="auto" w:fill="44546A" w:themeFill="text2"/>
            <w:noWrap/>
            <w:vAlign w:val="center"/>
            <w:hideMark/>
          </w:tcPr>
          <w:p w14:paraId="01D01074"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ES</w:t>
            </w:r>
          </w:p>
        </w:tc>
        <w:tc>
          <w:tcPr>
            <w:tcW w:w="611" w:type="pct"/>
            <w:tcBorders>
              <w:bottom w:val="single" w:sz="12" w:space="0" w:color="FFFFFF" w:themeColor="background1"/>
            </w:tcBorders>
            <w:shd w:val="clear" w:color="auto" w:fill="C5E0B3" w:themeFill="accent6" w:themeFillTint="66"/>
            <w:vAlign w:val="bottom"/>
            <w:hideMark/>
          </w:tcPr>
          <w:p w14:paraId="66313AFE"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C5E0B3" w:themeFill="accent6" w:themeFillTint="66"/>
            <w:vAlign w:val="bottom"/>
            <w:hideMark/>
          </w:tcPr>
          <w:p w14:paraId="09B0FF1D"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6637B108"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000000" w:fill="FBE4D5" w:themeFill="accent2" w:themeFillTint="33"/>
            <w:vAlign w:val="bottom"/>
            <w:hideMark/>
          </w:tcPr>
          <w:p w14:paraId="018F7446"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Arial" w:hAnsi="Arial"/>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776C5846"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13248E95" w14:textId="77777777" w:rsidTr="002F5989">
        <w:trPr>
          <w:trHeight w:hRule="exact" w:val="284"/>
          <w:jc w:val="center"/>
        </w:trPr>
        <w:tc>
          <w:tcPr>
            <w:tcW w:w="432" w:type="pct"/>
            <w:shd w:val="clear" w:color="auto" w:fill="44546A" w:themeFill="text2"/>
            <w:noWrap/>
            <w:vAlign w:val="center"/>
            <w:hideMark/>
          </w:tcPr>
          <w:p w14:paraId="580B27B9"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FR</w:t>
            </w:r>
          </w:p>
        </w:tc>
        <w:tc>
          <w:tcPr>
            <w:tcW w:w="611" w:type="pct"/>
            <w:tcBorders>
              <w:bottom w:val="single" w:sz="12" w:space="0" w:color="FFFFFF" w:themeColor="background1"/>
            </w:tcBorders>
            <w:shd w:val="clear" w:color="auto" w:fill="C5E0B3" w:themeFill="accent6" w:themeFillTint="66"/>
            <w:vAlign w:val="bottom"/>
            <w:hideMark/>
          </w:tcPr>
          <w:p w14:paraId="75D6F0C2"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C5E0B3" w:themeFill="accent6" w:themeFillTint="66"/>
            <w:vAlign w:val="bottom"/>
            <w:hideMark/>
          </w:tcPr>
          <w:p w14:paraId="51DF4201"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shd w:val="clear" w:color="auto" w:fill="C5E0B3" w:themeFill="accent6" w:themeFillTint="66"/>
            <w:vAlign w:val="bottom"/>
            <w:hideMark/>
          </w:tcPr>
          <w:p w14:paraId="7CF40031"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C5E0B3" w:themeFill="accent6" w:themeFillTint="66"/>
            <w:vAlign w:val="bottom"/>
            <w:hideMark/>
          </w:tcPr>
          <w:p w14:paraId="37B86438"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shd w:val="clear" w:color="auto" w:fill="C5E0B3" w:themeFill="accent6" w:themeFillTint="66"/>
            <w:vAlign w:val="bottom"/>
            <w:hideMark/>
          </w:tcPr>
          <w:p w14:paraId="37E97B1B"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67C99B32" w14:textId="77777777" w:rsidTr="002F5989">
        <w:trPr>
          <w:trHeight w:hRule="exact" w:val="284"/>
          <w:jc w:val="center"/>
        </w:trPr>
        <w:tc>
          <w:tcPr>
            <w:tcW w:w="432" w:type="pct"/>
            <w:shd w:val="clear" w:color="auto" w:fill="44546A" w:themeFill="text2"/>
            <w:noWrap/>
            <w:vAlign w:val="center"/>
            <w:hideMark/>
          </w:tcPr>
          <w:p w14:paraId="7C7EA073"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HR</w:t>
            </w:r>
          </w:p>
        </w:tc>
        <w:tc>
          <w:tcPr>
            <w:tcW w:w="611" w:type="pct"/>
            <w:tcBorders>
              <w:bottom w:val="single" w:sz="12" w:space="0" w:color="FFFFFF" w:themeColor="background1"/>
            </w:tcBorders>
            <w:shd w:val="clear" w:color="auto" w:fill="C5E0B3" w:themeFill="accent6" w:themeFillTint="66"/>
            <w:vAlign w:val="bottom"/>
            <w:hideMark/>
          </w:tcPr>
          <w:p w14:paraId="0BB2726C"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FBE4D5" w:themeFill="accent2" w:themeFillTint="33"/>
            <w:vAlign w:val="bottom"/>
            <w:hideMark/>
          </w:tcPr>
          <w:p w14:paraId="57DC4F55"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Arial" w:hAnsi="Arial"/>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39DC4F43"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F4B083" w:themeFill="accent2" w:themeFillTint="99"/>
            <w:vAlign w:val="bottom"/>
            <w:hideMark/>
          </w:tcPr>
          <w:p w14:paraId="53D99FF2"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shd w:val="clear" w:color="auto" w:fill="C5E0B3" w:themeFill="accent6" w:themeFillTint="66"/>
            <w:vAlign w:val="bottom"/>
            <w:hideMark/>
          </w:tcPr>
          <w:p w14:paraId="5ED9E240"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61CB7BCA" w14:textId="77777777" w:rsidTr="002F5989">
        <w:trPr>
          <w:trHeight w:hRule="exact" w:val="284"/>
          <w:jc w:val="center"/>
        </w:trPr>
        <w:tc>
          <w:tcPr>
            <w:tcW w:w="432" w:type="pct"/>
            <w:shd w:val="clear" w:color="auto" w:fill="44546A" w:themeFill="text2"/>
            <w:noWrap/>
            <w:vAlign w:val="center"/>
            <w:hideMark/>
          </w:tcPr>
          <w:p w14:paraId="3C53C739"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IT</w:t>
            </w:r>
          </w:p>
        </w:tc>
        <w:tc>
          <w:tcPr>
            <w:tcW w:w="611" w:type="pct"/>
            <w:tcBorders>
              <w:bottom w:val="single" w:sz="12" w:space="0" w:color="FFFFFF" w:themeColor="background1"/>
            </w:tcBorders>
            <w:shd w:val="clear" w:color="auto" w:fill="C5E0B3" w:themeFill="accent6" w:themeFillTint="66"/>
            <w:vAlign w:val="bottom"/>
            <w:hideMark/>
          </w:tcPr>
          <w:p w14:paraId="4ED346A5"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C5E0B3" w:themeFill="accent6" w:themeFillTint="66"/>
            <w:vAlign w:val="bottom"/>
            <w:hideMark/>
          </w:tcPr>
          <w:p w14:paraId="1A49FDE3"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239DAE0E"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shd w:val="clear" w:color="auto" w:fill="C5E0B3" w:themeFill="accent6" w:themeFillTint="66"/>
            <w:vAlign w:val="bottom"/>
            <w:hideMark/>
          </w:tcPr>
          <w:p w14:paraId="732B1896"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575B39F6"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672E3FB4" w14:textId="77777777" w:rsidTr="002F5989">
        <w:trPr>
          <w:trHeight w:hRule="exact" w:val="284"/>
          <w:jc w:val="center"/>
        </w:trPr>
        <w:tc>
          <w:tcPr>
            <w:tcW w:w="432" w:type="pct"/>
            <w:shd w:val="clear" w:color="auto" w:fill="44546A" w:themeFill="text2"/>
            <w:noWrap/>
            <w:vAlign w:val="center"/>
            <w:hideMark/>
          </w:tcPr>
          <w:p w14:paraId="5658E406"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CY</w:t>
            </w:r>
          </w:p>
        </w:tc>
        <w:tc>
          <w:tcPr>
            <w:tcW w:w="611" w:type="pct"/>
            <w:tcBorders>
              <w:bottom w:val="single" w:sz="12" w:space="0" w:color="FFFFFF" w:themeColor="background1"/>
            </w:tcBorders>
            <w:shd w:val="clear" w:color="auto" w:fill="C5E0B3" w:themeFill="accent6" w:themeFillTint="66"/>
            <w:vAlign w:val="bottom"/>
            <w:hideMark/>
          </w:tcPr>
          <w:p w14:paraId="055FEAD1"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F4B083" w:themeFill="accent2" w:themeFillTint="99"/>
            <w:vAlign w:val="bottom"/>
            <w:hideMark/>
          </w:tcPr>
          <w:p w14:paraId="4BBFF5B8"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1E426A9D"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FBE4D5" w:themeFill="accent2" w:themeFillTint="33"/>
            <w:vAlign w:val="bottom"/>
            <w:hideMark/>
          </w:tcPr>
          <w:p w14:paraId="7500C98C"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Arial" w:hAnsi="Arial"/>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3A40E8C2"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0CF5B78C" w14:textId="77777777" w:rsidTr="002F5989">
        <w:trPr>
          <w:trHeight w:hRule="exact" w:val="284"/>
          <w:jc w:val="center"/>
        </w:trPr>
        <w:tc>
          <w:tcPr>
            <w:tcW w:w="432" w:type="pct"/>
            <w:shd w:val="clear" w:color="auto" w:fill="44546A" w:themeFill="text2"/>
            <w:noWrap/>
            <w:vAlign w:val="center"/>
            <w:hideMark/>
          </w:tcPr>
          <w:p w14:paraId="744EC570"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LV</w:t>
            </w:r>
          </w:p>
        </w:tc>
        <w:tc>
          <w:tcPr>
            <w:tcW w:w="611" w:type="pct"/>
            <w:tcBorders>
              <w:bottom w:val="single" w:sz="12" w:space="0" w:color="FFFFFF" w:themeColor="background1"/>
            </w:tcBorders>
            <w:shd w:val="clear" w:color="auto" w:fill="C5E0B3" w:themeFill="accent6" w:themeFillTint="66"/>
            <w:vAlign w:val="bottom"/>
            <w:hideMark/>
          </w:tcPr>
          <w:p w14:paraId="53062814"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F4B083" w:themeFill="accent2" w:themeFillTint="99"/>
            <w:vAlign w:val="bottom"/>
            <w:hideMark/>
          </w:tcPr>
          <w:p w14:paraId="2E3C5BC9"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5C9A03A9"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C5E0B3" w:themeFill="accent6" w:themeFillTint="66"/>
            <w:vAlign w:val="bottom"/>
            <w:hideMark/>
          </w:tcPr>
          <w:p w14:paraId="1B8B5BD7"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shd w:val="clear" w:color="auto" w:fill="C5E0B3" w:themeFill="accent6" w:themeFillTint="66"/>
            <w:vAlign w:val="bottom"/>
            <w:hideMark/>
          </w:tcPr>
          <w:p w14:paraId="4C4EFABB"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7E55C061" w14:textId="77777777" w:rsidTr="002F5989">
        <w:trPr>
          <w:trHeight w:hRule="exact" w:val="284"/>
          <w:jc w:val="center"/>
        </w:trPr>
        <w:tc>
          <w:tcPr>
            <w:tcW w:w="432" w:type="pct"/>
            <w:shd w:val="clear" w:color="auto" w:fill="44546A" w:themeFill="text2"/>
            <w:noWrap/>
            <w:vAlign w:val="center"/>
            <w:hideMark/>
          </w:tcPr>
          <w:p w14:paraId="498F20A5"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LT</w:t>
            </w:r>
          </w:p>
        </w:tc>
        <w:tc>
          <w:tcPr>
            <w:tcW w:w="611" w:type="pct"/>
            <w:tcBorders>
              <w:bottom w:val="single" w:sz="12" w:space="0" w:color="FFFFFF" w:themeColor="background1"/>
            </w:tcBorders>
            <w:shd w:val="clear" w:color="auto" w:fill="C5E0B3" w:themeFill="accent6" w:themeFillTint="66"/>
            <w:vAlign w:val="bottom"/>
            <w:hideMark/>
          </w:tcPr>
          <w:p w14:paraId="56028414"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C5E0B3" w:themeFill="accent6" w:themeFillTint="66"/>
            <w:vAlign w:val="bottom"/>
            <w:hideMark/>
          </w:tcPr>
          <w:p w14:paraId="3991E2C2"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2CB5111B"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FBE4D5" w:themeFill="accent2" w:themeFillTint="33"/>
            <w:vAlign w:val="bottom"/>
            <w:hideMark/>
          </w:tcPr>
          <w:p w14:paraId="395E107A"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Arial" w:hAnsi="Arial"/>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68AADFBA"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76C044E6" w14:textId="77777777" w:rsidTr="002F5989">
        <w:trPr>
          <w:trHeight w:hRule="exact" w:val="284"/>
          <w:jc w:val="center"/>
        </w:trPr>
        <w:tc>
          <w:tcPr>
            <w:tcW w:w="432" w:type="pct"/>
            <w:shd w:val="clear" w:color="auto" w:fill="44546A" w:themeFill="text2"/>
            <w:noWrap/>
            <w:vAlign w:val="center"/>
            <w:hideMark/>
          </w:tcPr>
          <w:p w14:paraId="3AC232F6"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LU</w:t>
            </w:r>
          </w:p>
        </w:tc>
        <w:tc>
          <w:tcPr>
            <w:tcW w:w="611" w:type="pct"/>
            <w:tcBorders>
              <w:bottom w:val="single" w:sz="12" w:space="0" w:color="FFFFFF" w:themeColor="background1"/>
            </w:tcBorders>
            <w:shd w:val="clear" w:color="auto" w:fill="C5E0B3" w:themeFill="accent6" w:themeFillTint="66"/>
            <w:vAlign w:val="bottom"/>
            <w:hideMark/>
          </w:tcPr>
          <w:p w14:paraId="2E666C45"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C5E0B3" w:themeFill="accent6" w:themeFillTint="66"/>
            <w:vAlign w:val="bottom"/>
            <w:hideMark/>
          </w:tcPr>
          <w:p w14:paraId="2A545FDF"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01EEA876"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F4B083" w:themeFill="accent2" w:themeFillTint="99"/>
            <w:vAlign w:val="bottom"/>
            <w:hideMark/>
          </w:tcPr>
          <w:p w14:paraId="3BC15E0E"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044218DB"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29547EB2" w14:textId="77777777" w:rsidTr="002F5989">
        <w:trPr>
          <w:trHeight w:hRule="exact" w:val="284"/>
          <w:jc w:val="center"/>
        </w:trPr>
        <w:tc>
          <w:tcPr>
            <w:tcW w:w="432" w:type="pct"/>
            <w:shd w:val="clear" w:color="auto" w:fill="44546A" w:themeFill="text2"/>
            <w:noWrap/>
            <w:vAlign w:val="center"/>
            <w:hideMark/>
          </w:tcPr>
          <w:p w14:paraId="4920265D"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HU</w:t>
            </w:r>
          </w:p>
        </w:tc>
        <w:tc>
          <w:tcPr>
            <w:tcW w:w="611" w:type="pct"/>
            <w:tcBorders>
              <w:bottom w:val="single" w:sz="12" w:space="0" w:color="FFFFFF" w:themeColor="background1"/>
            </w:tcBorders>
            <w:shd w:val="clear" w:color="auto" w:fill="C5E0B3" w:themeFill="accent6" w:themeFillTint="66"/>
            <w:vAlign w:val="bottom"/>
            <w:hideMark/>
          </w:tcPr>
          <w:p w14:paraId="6C5839EF"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FBE4D5" w:themeFill="accent2" w:themeFillTint="33"/>
            <w:vAlign w:val="bottom"/>
            <w:hideMark/>
          </w:tcPr>
          <w:p w14:paraId="0FB381D5"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Arial" w:hAnsi="Arial"/>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74889387"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F4B083" w:themeFill="accent2" w:themeFillTint="99"/>
            <w:vAlign w:val="bottom"/>
            <w:hideMark/>
          </w:tcPr>
          <w:p w14:paraId="3690A95D"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shd w:val="clear" w:color="auto" w:fill="C5E0B3" w:themeFill="accent6" w:themeFillTint="66"/>
            <w:vAlign w:val="bottom"/>
            <w:hideMark/>
          </w:tcPr>
          <w:p w14:paraId="66BE306C"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3A254449" w14:textId="77777777" w:rsidTr="002F5989">
        <w:trPr>
          <w:trHeight w:hRule="exact" w:val="284"/>
          <w:jc w:val="center"/>
        </w:trPr>
        <w:tc>
          <w:tcPr>
            <w:tcW w:w="432" w:type="pct"/>
            <w:shd w:val="clear" w:color="auto" w:fill="44546A" w:themeFill="text2"/>
            <w:noWrap/>
            <w:vAlign w:val="center"/>
            <w:hideMark/>
          </w:tcPr>
          <w:p w14:paraId="298D35E0"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MT</w:t>
            </w:r>
          </w:p>
        </w:tc>
        <w:tc>
          <w:tcPr>
            <w:tcW w:w="611" w:type="pct"/>
            <w:tcBorders>
              <w:bottom w:val="single" w:sz="12" w:space="0" w:color="FFFFFF" w:themeColor="background1"/>
            </w:tcBorders>
            <w:shd w:val="clear" w:color="auto" w:fill="C5E0B3" w:themeFill="accent6" w:themeFillTint="66"/>
            <w:vAlign w:val="bottom"/>
            <w:hideMark/>
          </w:tcPr>
          <w:p w14:paraId="496EF02E"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F4B083" w:themeFill="accent2" w:themeFillTint="99"/>
            <w:vAlign w:val="bottom"/>
            <w:hideMark/>
          </w:tcPr>
          <w:p w14:paraId="4000E4E2"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7D599993"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F4B083" w:themeFill="accent2" w:themeFillTint="99"/>
            <w:vAlign w:val="bottom"/>
            <w:hideMark/>
          </w:tcPr>
          <w:p w14:paraId="716596AF"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6152A232"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1ED065EE" w14:textId="77777777" w:rsidTr="002F5989">
        <w:trPr>
          <w:trHeight w:hRule="exact" w:val="284"/>
          <w:jc w:val="center"/>
        </w:trPr>
        <w:tc>
          <w:tcPr>
            <w:tcW w:w="432" w:type="pct"/>
            <w:shd w:val="clear" w:color="auto" w:fill="44546A" w:themeFill="text2"/>
            <w:noWrap/>
            <w:vAlign w:val="center"/>
            <w:hideMark/>
          </w:tcPr>
          <w:p w14:paraId="42B9827B"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NL</w:t>
            </w:r>
          </w:p>
        </w:tc>
        <w:tc>
          <w:tcPr>
            <w:tcW w:w="611" w:type="pct"/>
            <w:tcBorders>
              <w:bottom w:val="single" w:sz="12" w:space="0" w:color="FFFFFF" w:themeColor="background1"/>
            </w:tcBorders>
            <w:shd w:val="clear" w:color="auto" w:fill="C5E0B3" w:themeFill="accent6" w:themeFillTint="66"/>
            <w:vAlign w:val="bottom"/>
            <w:hideMark/>
          </w:tcPr>
          <w:p w14:paraId="6F876F18"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000000" w:fill="FBE4D5" w:themeFill="accent2" w:themeFillTint="33"/>
            <w:vAlign w:val="bottom"/>
            <w:hideMark/>
          </w:tcPr>
          <w:p w14:paraId="39BDCE8D"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Arial" w:hAnsi="Arial"/>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41A9C12D"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C5E0B3" w:themeFill="accent6" w:themeFillTint="66"/>
            <w:vAlign w:val="bottom"/>
            <w:hideMark/>
          </w:tcPr>
          <w:p w14:paraId="2864BFE7"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3C22D19E"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5022A325" w14:textId="77777777" w:rsidTr="002F5989">
        <w:trPr>
          <w:trHeight w:hRule="exact" w:val="284"/>
          <w:jc w:val="center"/>
        </w:trPr>
        <w:tc>
          <w:tcPr>
            <w:tcW w:w="432" w:type="pct"/>
            <w:shd w:val="clear" w:color="auto" w:fill="44546A" w:themeFill="text2"/>
            <w:noWrap/>
            <w:vAlign w:val="center"/>
            <w:hideMark/>
          </w:tcPr>
          <w:p w14:paraId="3BE31289"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AT</w:t>
            </w:r>
          </w:p>
        </w:tc>
        <w:tc>
          <w:tcPr>
            <w:tcW w:w="611" w:type="pct"/>
            <w:shd w:val="clear" w:color="auto" w:fill="C5E0B3" w:themeFill="accent6" w:themeFillTint="66"/>
            <w:vAlign w:val="bottom"/>
            <w:hideMark/>
          </w:tcPr>
          <w:p w14:paraId="7F66520F"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C5E0B3" w:themeFill="accent6" w:themeFillTint="66"/>
            <w:vAlign w:val="bottom"/>
            <w:hideMark/>
          </w:tcPr>
          <w:p w14:paraId="13671006"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73DE7258"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shd w:val="clear" w:color="auto" w:fill="FBE4D5" w:themeFill="accent2" w:themeFillTint="33"/>
            <w:vAlign w:val="bottom"/>
            <w:hideMark/>
          </w:tcPr>
          <w:p w14:paraId="37D594B4"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Arial" w:hAnsi="Arial"/>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17B68540"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1CCA8263" w14:textId="77777777" w:rsidTr="002F5989">
        <w:trPr>
          <w:trHeight w:hRule="exact" w:val="284"/>
          <w:jc w:val="center"/>
        </w:trPr>
        <w:tc>
          <w:tcPr>
            <w:tcW w:w="432" w:type="pct"/>
            <w:shd w:val="clear" w:color="auto" w:fill="44546A" w:themeFill="text2"/>
            <w:noWrap/>
            <w:vAlign w:val="center"/>
            <w:hideMark/>
          </w:tcPr>
          <w:p w14:paraId="5BD99370"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PL</w:t>
            </w:r>
          </w:p>
        </w:tc>
        <w:tc>
          <w:tcPr>
            <w:tcW w:w="611" w:type="pct"/>
            <w:tcBorders>
              <w:bottom w:val="single" w:sz="12" w:space="0" w:color="FFFFFF" w:themeColor="background1"/>
            </w:tcBorders>
            <w:shd w:val="clear" w:color="auto" w:fill="C5E0B3" w:themeFill="accent6" w:themeFillTint="66"/>
            <w:vAlign w:val="bottom"/>
            <w:hideMark/>
          </w:tcPr>
          <w:p w14:paraId="49549A4E"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C5E0B3" w:themeFill="accent6" w:themeFillTint="66"/>
            <w:vAlign w:val="bottom"/>
            <w:hideMark/>
          </w:tcPr>
          <w:p w14:paraId="4DB09114"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09BA97F1"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shd w:val="clear" w:color="auto" w:fill="FBE4D5" w:themeFill="accent2" w:themeFillTint="33"/>
            <w:vAlign w:val="bottom"/>
            <w:hideMark/>
          </w:tcPr>
          <w:p w14:paraId="5663ACB3"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Arial" w:hAnsi="Arial"/>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48E5390D"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6DC59FC3" w14:textId="77777777" w:rsidTr="002F5989">
        <w:trPr>
          <w:trHeight w:hRule="exact" w:val="284"/>
          <w:jc w:val="center"/>
        </w:trPr>
        <w:tc>
          <w:tcPr>
            <w:tcW w:w="432" w:type="pct"/>
            <w:shd w:val="clear" w:color="auto" w:fill="44546A" w:themeFill="text2"/>
            <w:noWrap/>
            <w:vAlign w:val="center"/>
            <w:hideMark/>
          </w:tcPr>
          <w:p w14:paraId="1FF8E190"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PT</w:t>
            </w:r>
          </w:p>
        </w:tc>
        <w:tc>
          <w:tcPr>
            <w:tcW w:w="611" w:type="pct"/>
            <w:tcBorders>
              <w:bottom w:val="single" w:sz="12" w:space="0" w:color="FFFFFF" w:themeColor="background1"/>
            </w:tcBorders>
            <w:shd w:val="clear" w:color="auto" w:fill="C5E0B3" w:themeFill="accent6" w:themeFillTint="66"/>
            <w:vAlign w:val="bottom"/>
            <w:hideMark/>
          </w:tcPr>
          <w:p w14:paraId="4951B5A5"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C5E0B3" w:themeFill="accent6" w:themeFillTint="66"/>
            <w:vAlign w:val="bottom"/>
            <w:hideMark/>
          </w:tcPr>
          <w:p w14:paraId="5EB24651"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78408749"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F4B083" w:themeFill="accent2" w:themeFillTint="99"/>
            <w:vAlign w:val="bottom"/>
            <w:hideMark/>
          </w:tcPr>
          <w:p w14:paraId="5E92F101"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4634AC5F"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79677D31" w14:textId="77777777" w:rsidTr="002F5989">
        <w:trPr>
          <w:trHeight w:hRule="exact" w:val="284"/>
          <w:jc w:val="center"/>
        </w:trPr>
        <w:tc>
          <w:tcPr>
            <w:tcW w:w="432" w:type="pct"/>
            <w:shd w:val="clear" w:color="auto" w:fill="44546A" w:themeFill="text2"/>
            <w:noWrap/>
            <w:vAlign w:val="center"/>
            <w:hideMark/>
          </w:tcPr>
          <w:p w14:paraId="518EE138"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RO</w:t>
            </w:r>
          </w:p>
        </w:tc>
        <w:tc>
          <w:tcPr>
            <w:tcW w:w="611" w:type="pct"/>
            <w:tcBorders>
              <w:bottom w:val="single" w:sz="12" w:space="0" w:color="FFFFFF" w:themeColor="background1"/>
            </w:tcBorders>
            <w:shd w:val="clear" w:color="auto" w:fill="C5E0B3" w:themeFill="accent6" w:themeFillTint="66"/>
            <w:vAlign w:val="bottom"/>
            <w:hideMark/>
          </w:tcPr>
          <w:p w14:paraId="7BEC5B85"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000000" w:fill="FBE4D5" w:themeFill="accent2" w:themeFillTint="33"/>
            <w:vAlign w:val="center"/>
            <w:hideMark/>
          </w:tcPr>
          <w:p w14:paraId="3580011E"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Arial" w:hAnsi="Arial"/>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0AB7A2DC"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F4B083" w:themeFill="accent2" w:themeFillTint="99"/>
            <w:vAlign w:val="bottom"/>
            <w:hideMark/>
          </w:tcPr>
          <w:p w14:paraId="41EF85EC"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1CF18AD3"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7CCEB19B" w14:textId="77777777" w:rsidTr="002F5989">
        <w:trPr>
          <w:trHeight w:hRule="exact" w:val="284"/>
          <w:jc w:val="center"/>
        </w:trPr>
        <w:tc>
          <w:tcPr>
            <w:tcW w:w="432" w:type="pct"/>
            <w:shd w:val="clear" w:color="auto" w:fill="44546A" w:themeFill="text2"/>
            <w:noWrap/>
            <w:vAlign w:val="center"/>
            <w:hideMark/>
          </w:tcPr>
          <w:p w14:paraId="123AB804"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SI</w:t>
            </w:r>
          </w:p>
        </w:tc>
        <w:tc>
          <w:tcPr>
            <w:tcW w:w="611" w:type="pct"/>
            <w:tcBorders>
              <w:bottom w:val="single" w:sz="12" w:space="0" w:color="FFFFFF" w:themeColor="background1"/>
            </w:tcBorders>
            <w:shd w:val="clear" w:color="auto" w:fill="C5E0B3" w:themeFill="accent6" w:themeFillTint="66"/>
            <w:vAlign w:val="bottom"/>
            <w:hideMark/>
          </w:tcPr>
          <w:p w14:paraId="5A3410A6"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C5E0B3" w:themeFill="accent6" w:themeFillTint="66"/>
            <w:vAlign w:val="bottom"/>
            <w:hideMark/>
          </w:tcPr>
          <w:p w14:paraId="1A6F9A55"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4680632E"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F4B083" w:themeFill="accent2" w:themeFillTint="99"/>
            <w:vAlign w:val="bottom"/>
            <w:hideMark/>
          </w:tcPr>
          <w:p w14:paraId="4669AD4F"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5F2A821E"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5766890A" w14:textId="77777777" w:rsidTr="002F5989">
        <w:trPr>
          <w:trHeight w:hRule="exact" w:val="284"/>
          <w:jc w:val="center"/>
        </w:trPr>
        <w:tc>
          <w:tcPr>
            <w:tcW w:w="432" w:type="pct"/>
            <w:shd w:val="clear" w:color="auto" w:fill="44546A" w:themeFill="text2"/>
            <w:noWrap/>
            <w:vAlign w:val="center"/>
            <w:hideMark/>
          </w:tcPr>
          <w:p w14:paraId="2080790D"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SK</w:t>
            </w:r>
          </w:p>
        </w:tc>
        <w:tc>
          <w:tcPr>
            <w:tcW w:w="611" w:type="pct"/>
            <w:shd w:val="clear" w:color="auto" w:fill="C5E0B3" w:themeFill="accent6" w:themeFillTint="66"/>
            <w:vAlign w:val="bottom"/>
            <w:hideMark/>
          </w:tcPr>
          <w:p w14:paraId="45779493"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shd w:val="clear" w:color="auto" w:fill="C5E0B3" w:themeFill="accent6" w:themeFillTint="66"/>
            <w:vAlign w:val="bottom"/>
            <w:hideMark/>
          </w:tcPr>
          <w:p w14:paraId="178B95F5"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shd w:val="clear" w:color="auto" w:fill="C5E0B3" w:themeFill="accent6" w:themeFillTint="66"/>
            <w:vAlign w:val="bottom"/>
            <w:hideMark/>
          </w:tcPr>
          <w:p w14:paraId="6104A793"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F4B083" w:themeFill="accent2" w:themeFillTint="99"/>
            <w:vAlign w:val="bottom"/>
            <w:hideMark/>
          </w:tcPr>
          <w:p w14:paraId="0A9DAEDD"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tcBorders>
              <w:bottom w:val="single" w:sz="12" w:space="0" w:color="FFFFFF" w:themeColor="background1"/>
            </w:tcBorders>
            <w:shd w:val="clear" w:color="auto" w:fill="C5E0B3" w:themeFill="accent6" w:themeFillTint="66"/>
            <w:vAlign w:val="bottom"/>
            <w:hideMark/>
          </w:tcPr>
          <w:p w14:paraId="5E49FC72"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18DB4B1B" w14:textId="77777777" w:rsidTr="002F5989">
        <w:trPr>
          <w:trHeight w:hRule="exact" w:val="284"/>
          <w:jc w:val="center"/>
        </w:trPr>
        <w:tc>
          <w:tcPr>
            <w:tcW w:w="432" w:type="pct"/>
            <w:shd w:val="clear" w:color="auto" w:fill="44546A" w:themeFill="text2"/>
            <w:noWrap/>
            <w:vAlign w:val="center"/>
            <w:hideMark/>
          </w:tcPr>
          <w:p w14:paraId="13A4267E"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FI</w:t>
            </w:r>
          </w:p>
        </w:tc>
        <w:tc>
          <w:tcPr>
            <w:tcW w:w="611" w:type="pct"/>
            <w:shd w:val="clear" w:color="auto" w:fill="C5E0B3" w:themeFill="accent6" w:themeFillTint="66"/>
            <w:vAlign w:val="bottom"/>
            <w:hideMark/>
          </w:tcPr>
          <w:p w14:paraId="1CE5112E"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shd w:val="clear" w:color="auto" w:fill="C5E0B3" w:themeFill="accent6" w:themeFillTint="66"/>
            <w:vAlign w:val="bottom"/>
            <w:hideMark/>
          </w:tcPr>
          <w:p w14:paraId="1AD0E1A9"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shd w:val="clear" w:color="auto" w:fill="C5E0B3" w:themeFill="accent6" w:themeFillTint="66"/>
            <w:vAlign w:val="bottom"/>
            <w:hideMark/>
          </w:tcPr>
          <w:p w14:paraId="5A6DE2F7"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C5E0B3" w:themeFill="accent6" w:themeFillTint="66"/>
            <w:vAlign w:val="bottom"/>
            <w:hideMark/>
          </w:tcPr>
          <w:p w14:paraId="44A8FE03"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shd w:val="clear" w:color="auto" w:fill="C5E0B3" w:themeFill="accent6" w:themeFillTint="66"/>
            <w:vAlign w:val="bottom"/>
            <w:hideMark/>
          </w:tcPr>
          <w:p w14:paraId="2225A297"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r>
      <w:tr w:rsidR="002F5989" w:rsidRPr="00476171" w14:paraId="4D6D3D08" w14:textId="77777777" w:rsidTr="002F5989">
        <w:trPr>
          <w:trHeight w:hRule="exact" w:val="284"/>
          <w:jc w:val="center"/>
        </w:trPr>
        <w:tc>
          <w:tcPr>
            <w:tcW w:w="432" w:type="pct"/>
            <w:shd w:val="clear" w:color="auto" w:fill="44546A" w:themeFill="text2"/>
            <w:noWrap/>
            <w:vAlign w:val="center"/>
            <w:hideMark/>
          </w:tcPr>
          <w:p w14:paraId="2FDD12E4"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SE</w:t>
            </w:r>
          </w:p>
        </w:tc>
        <w:tc>
          <w:tcPr>
            <w:tcW w:w="611" w:type="pct"/>
            <w:tcBorders>
              <w:bottom w:val="single" w:sz="12" w:space="0" w:color="FFFFFF" w:themeColor="background1"/>
            </w:tcBorders>
            <w:shd w:val="clear" w:color="auto" w:fill="C5E0B3" w:themeFill="accent6" w:themeFillTint="66"/>
            <w:vAlign w:val="bottom"/>
            <w:hideMark/>
          </w:tcPr>
          <w:p w14:paraId="2D2ED920"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shd w:val="clear" w:color="000000" w:fill="F4B083" w:themeFill="accent2" w:themeFillTint="99"/>
            <w:vAlign w:val="bottom"/>
            <w:hideMark/>
          </w:tcPr>
          <w:p w14:paraId="794C62C9" w14:textId="77777777" w:rsidR="002F5989" w:rsidRPr="00476171" w:rsidRDefault="002F5989" w:rsidP="00577CDE">
            <w:pPr>
              <w:spacing w:before="40" w:after="20"/>
              <w:jc w:val="center"/>
              <w:rPr>
                <w:rFonts w:ascii="EC Square Sans Cond Pro" w:hAnsi="EC Square Sans Cond Pro" w:cs="Cambria Math"/>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hideMark/>
          </w:tcPr>
          <w:p w14:paraId="0276A1C6"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tcBorders>
              <w:bottom w:val="single" w:sz="12" w:space="0" w:color="FFFFFF" w:themeColor="background1"/>
            </w:tcBorders>
            <w:shd w:val="clear" w:color="auto" w:fill="C5E0B3" w:themeFill="accent6" w:themeFillTint="66"/>
            <w:vAlign w:val="bottom"/>
            <w:hideMark/>
          </w:tcPr>
          <w:p w14:paraId="1C28DA03"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896" w:type="pct"/>
            <w:shd w:val="clear" w:color="000000" w:fill="FBE4D5" w:themeFill="accent2" w:themeFillTint="33"/>
            <w:vAlign w:val="bottom"/>
            <w:hideMark/>
          </w:tcPr>
          <w:p w14:paraId="66405798" w14:textId="77777777" w:rsidR="002F5989" w:rsidRPr="00476171" w:rsidRDefault="002F5989" w:rsidP="00577CDE">
            <w:pPr>
              <w:spacing w:before="40" w:after="20"/>
              <w:jc w:val="center"/>
              <w:rPr>
                <w:rFonts w:ascii="EC Square Sans Cond Pro" w:hAnsi="EC Square Sans Cond Pro" w:cs="Cambria Math"/>
                <w:noProof/>
                <w:sz w:val="18"/>
                <w:lang w:val="de-DE"/>
              </w:rPr>
            </w:pPr>
            <w:r w:rsidRPr="00476171">
              <w:rPr>
                <w:rFonts w:ascii="Arial" w:hAnsi="Arial"/>
                <w:noProof/>
                <w:sz w:val="18"/>
                <w:lang w:val="de-DE"/>
              </w:rPr>
              <w:t>→</w:t>
            </w:r>
          </w:p>
        </w:tc>
      </w:tr>
      <w:tr w:rsidR="002F5989" w:rsidRPr="00476171" w14:paraId="50C91A48" w14:textId="77777777" w:rsidTr="002F5989">
        <w:trPr>
          <w:trHeight w:hRule="exact" w:val="284"/>
          <w:jc w:val="center"/>
        </w:trPr>
        <w:tc>
          <w:tcPr>
            <w:tcW w:w="432" w:type="pct"/>
            <w:shd w:val="clear" w:color="auto" w:fill="44546A" w:themeFill="text2"/>
            <w:noWrap/>
            <w:vAlign w:val="center"/>
          </w:tcPr>
          <w:p w14:paraId="72CB3B70" w14:textId="77777777" w:rsidR="002F5989" w:rsidRPr="00476171" w:rsidRDefault="002F5989" w:rsidP="00577CDE">
            <w:pPr>
              <w:spacing w:before="40" w:after="20"/>
              <w:jc w:val="center"/>
              <w:rPr>
                <w:rFonts w:ascii="EC Square Sans Cond Pro" w:hAnsi="EC Square Sans Cond Pro"/>
                <w:b/>
                <w:noProof/>
                <w:color w:val="FFFFFF" w:themeColor="background1"/>
                <w:sz w:val="18"/>
                <w:lang w:val="de-DE"/>
              </w:rPr>
            </w:pPr>
            <w:r w:rsidRPr="00476171">
              <w:rPr>
                <w:rFonts w:ascii="EC Square Sans Cond Pro" w:hAnsi="EC Square Sans Cond Pro"/>
                <w:b/>
                <w:noProof/>
                <w:color w:val="FFFFFF" w:themeColor="background1"/>
                <w:sz w:val="18"/>
                <w:lang w:val="de-DE"/>
              </w:rPr>
              <w:t>EU</w:t>
            </w:r>
          </w:p>
        </w:tc>
        <w:tc>
          <w:tcPr>
            <w:tcW w:w="611" w:type="pct"/>
            <w:tcBorders>
              <w:bottom w:val="single" w:sz="12" w:space="0" w:color="FFFFFF" w:themeColor="background1"/>
            </w:tcBorders>
            <w:shd w:val="clear" w:color="auto" w:fill="C5E0B3" w:themeFill="accent6" w:themeFillTint="66"/>
            <w:vAlign w:val="bottom"/>
          </w:tcPr>
          <w:p w14:paraId="0F7832AF"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919" w:type="pct"/>
            <w:tcBorders>
              <w:bottom w:val="single" w:sz="12" w:space="0" w:color="FFFFFF" w:themeColor="background1"/>
            </w:tcBorders>
            <w:shd w:val="clear" w:color="auto" w:fill="C5E0B3" w:themeFill="accent6" w:themeFillTint="66"/>
            <w:vAlign w:val="bottom"/>
          </w:tcPr>
          <w:p w14:paraId="113D0F8F"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013" w:type="pct"/>
            <w:tcBorders>
              <w:bottom w:val="single" w:sz="12" w:space="0" w:color="FFFFFF" w:themeColor="background1"/>
            </w:tcBorders>
            <w:shd w:val="clear" w:color="auto" w:fill="C5E0B3" w:themeFill="accent6" w:themeFillTint="66"/>
            <w:vAlign w:val="bottom"/>
          </w:tcPr>
          <w:p w14:paraId="6E8AAC53" w14:textId="77777777" w:rsidR="002F5989" w:rsidRPr="00476171" w:rsidRDefault="002F5989" w:rsidP="00577CDE">
            <w:pPr>
              <w:spacing w:before="40" w:after="20"/>
              <w:jc w:val="center"/>
              <w:rPr>
                <w:rFonts w:ascii="EC Square Sans Cond Pro" w:hAnsi="EC Square Sans Cond Pro"/>
                <w:noProof/>
                <w:sz w:val="18"/>
                <w:lang w:val="de-DE"/>
              </w:rPr>
            </w:pPr>
            <w:r w:rsidRPr="00476171">
              <w:rPr>
                <w:rFonts w:ascii="Cambria Math" w:hAnsi="Cambria Math"/>
                <w:noProof/>
                <w:sz w:val="18"/>
                <w:lang w:val="de-DE"/>
              </w:rPr>
              <w:t>↘</w:t>
            </w:r>
          </w:p>
        </w:tc>
        <w:tc>
          <w:tcPr>
            <w:tcW w:w="1130" w:type="pct"/>
            <w:shd w:val="clear" w:color="000000" w:fill="FBE4D5" w:themeFill="accent2" w:themeFillTint="33"/>
            <w:vAlign w:val="bottom"/>
          </w:tcPr>
          <w:p w14:paraId="5901E203" w14:textId="77777777" w:rsidR="002F5989" w:rsidRPr="00476171" w:rsidRDefault="002F5989" w:rsidP="00577CDE">
            <w:pPr>
              <w:spacing w:before="40" w:after="20"/>
              <w:jc w:val="center"/>
              <w:rPr>
                <w:rFonts w:ascii="EC Square Sans Cond Pro" w:hAnsi="EC Square Sans Cond Pro" w:cs="Cambria Math"/>
                <w:noProof/>
                <w:sz w:val="18"/>
                <w:lang w:val="de-DE"/>
              </w:rPr>
            </w:pPr>
            <w:r w:rsidRPr="00476171">
              <w:rPr>
                <w:rFonts w:ascii="Arial" w:hAnsi="Arial"/>
                <w:noProof/>
                <w:sz w:val="18"/>
                <w:lang w:val="de-DE"/>
              </w:rPr>
              <w:t>→</w:t>
            </w:r>
          </w:p>
        </w:tc>
        <w:tc>
          <w:tcPr>
            <w:tcW w:w="896" w:type="pct"/>
            <w:shd w:val="clear" w:color="auto" w:fill="C5E0B3" w:themeFill="accent6" w:themeFillTint="66"/>
            <w:vAlign w:val="bottom"/>
          </w:tcPr>
          <w:p w14:paraId="384882A7" w14:textId="77777777" w:rsidR="002F5989" w:rsidRPr="00476171" w:rsidRDefault="002F5989" w:rsidP="00577CDE">
            <w:pPr>
              <w:spacing w:before="40" w:after="20"/>
              <w:jc w:val="center"/>
              <w:rPr>
                <w:rFonts w:ascii="EC Square Sans Cond Pro" w:hAnsi="EC Square Sans Cond Pro" w:cs="Cambria Math"/>
                <w:noProof/>
                <w:sz w:val="18"/>
                <w:lang w:val="de-DE"/>
              </w:rPr>
            </w:pPr>
            <w:r w:rsidRPr="00476171">
              <w:rPr>
                <w:rFonts w:ascii="Cambria Math" w:hAnsi="Cambria Math"/>
                <w:noProof/>
                <w:sz w:val="18"/>
                <w:lang w:val="de-DE"/>
              </w:rPr>
              <w:t>↘</w:t>
            </w:r>
          </w:p>
        </w:tc>
      </w:tr>
    </w:tbl>
    <w:p w14:paraId="142B2953" w14:textId="508A8DAF" w:rsidR="29AD9265" w:rsidRPr="00476171" w:rsidRDefault="66F01AF8" w:rsidP="00A55A04">
      <w:pPr>
        <w:spacing w:line="276" w:lineRule="auto"/>
        <w:jc w:val="center"/>
        <w:rPr>
          <w:rFonts w:ascii="Times New Roman" w:eastAsia="Verdana" w:hAnsi="Times New Roman" w:cs="Times New Roman"/>
          <w:noProof/>
          <w:sz w:val="16"/>
          <w:lang w:val="de-DE"/>
        </w:rPr>
      </w:pPr>
      <w:r w:rsidRPr="00476171">
        <w:rPr>
          <w:rFonts w:ascii="Times New Roman" w:hAnsi="Times New Roman"/>
          <w:noProof/>
          <w:sz w:val="16"/>
          <w:lang w:val="de-DE"/>
        </w:rPr>
        <w:t>Quelle: JRC auf der Grundlage von Eurostat-Daten, Daten vom April 2022.</w:t>
      </w:r>
      <w:r w:rsidRPr="00476171">
        <w:rPr>
          <w:rStyle w:val="FootnoteReference"/>
          <w:rFonts w:ascii="Times New Roman" w:hAnsi="Times New Roman"/>
          <w:noProof/>
          <w:color w:val="000000" w:themeColor="text1"/>
          <w:sz w:val="24"/>
          <w:lang w:val="de-DE"/>
        </w:rPr>
        <w:t xml:space="preserve"> </w:t>
      </w:r>
      <w:r w:rsidRPr="00476171">
        <w:rPr>
          <w:rStyle w:val="FootnoteReference"/>
          <w:rFonts w:ascii="Times New Roman" w:eastAsia="Times New Roman" w:hAnsi="Times New Roman" w:cs="Times New Roman"/>
          <w:noProof/>
          <w:color w:val="000000" w:themeColor="text1"/>
          <w:sz w:val="24"/>
          <w:lang w:val="de-DE"/>
        </w:rPr>
        <w:footnoteReference w:id="6"/>
      </w:r>
    </w:p>
    <w:p w14:paraId="66A0B62E" w14:textId="2B5215BC" w:rsidR="001C6547" w:rsidRPr="00476171" w:rsidRDefault="3F4C8E0C" w:rsidP="00A55A04">
      <w:pPr>
        <w:spacing w:line="276" w:lineRule="auto"/>
        <w:jc w:val="both"/>
        <w:rPr>
          <w:rFonts w:ascii="Times New Roman" w:eastAsia="Times New Roman" w:hAnsi="Times New Roman" w:cs="Times New Roman"/>
          <w:noProof/>
          <w:sz w:val="24"/>
          <w:lang w:val="de-DE"/>
        </w:rPr>
      </w:pPr>
      <w:r w:rsidRPr="00476171">
        <w:rPr>
          <w:rFonts w:ascii="Times New Roman" w:hAnsi="Times New Roman"/>
          <w:noProof/>
          <w:sz w:val="24"/>
          <w:lang w:val="de-DE"/>
        </w:rPr>
        <w:t>Bei den Privathaushalten führte die Ausnahmesituation der COVID-19-Pandemie aufgrund von Lockdowns und Telearbeit zu einem leichten Anstieg des Endenergieverbrauchs. Abbildung 4 zeigt, dass die kombinierten Auswirkungen von Wetter- und Vermögenseffekten</w:t>
      </w:r>
      <w:r w:rsidRPr="00476171">
        <w:rPr>
          <w:rStyle w:val="FootnoteReference"/>
          <w:rFonts w:ascii="Times New Roman" w:eastAsia="Times New Roman" w:hAnsi="Times New Roman" w:cs="Times New Roman"/>
          <w:noProof/>
          <w:color w:val="000000" w:themeColor="text1"/>
          <w:sz w:val="24"/>
          <w:lang w:val="de-DE"/>
        </w:rPr>
        <w:footnoteReference w:id="7"/>
      </w:r>
      <w:r w:rsidRPr="00476171">
        <w:rPr>
          <w:rFonts w:ascii="Times New Roman" w:hAnsi="Times New Roman"/>
          <w:noProof/>
          <w:sz w:val="24"/>
          <w:lang w:val="de-DE"/>
        </w:rPr>
        <w:t xml:space="preserve"> im Sektor der Haushalte die positiven Effekte sowohl der Bevölkerung als auch der Intensität auf EU-Ebene ausgleichen. Durch die wärmeren Temperaturen des Winters 2020 (gegenüber 2019) ging in allen Mitgliedstaaten der Verbrauch zurück, mit Ausnahme Bulgariens, Tschechiens, Irlands, Kroatiens, Ungarns, Sloweniens, der Slowakei, Polens, Griechenlands, Österreichs und Rumäniens. Die Vermögenseffekte im Zusammenhang mit dem Wachstum der Grundfläche und des verfügbaren Einkommens pro Kopf übten in der Hälfte der Mitgliedstaaten eine entgegengesetzte Wirkung aus und trieben den Konsum in Belgien, Tschechien, Frankreich, Irland, Litauen, Lettland, Luxemburg, den Niederlanden, Österreich, Polen, Slowenien, der Slowakei, Finnland und Schweden in die Höhe. Die Zunahme der Intensität</w:t>
      </w:r>
      <w:r w:rsidRPr="00476171">
        <w:rPr>
          <w:rStyle w:val="FootnoteReference"/>
          <w:rFonts w:ascii="Times New Roman" w:eastAsia="Times New Roman" w:hAnsi="Times New Roman" w:cs="Times New Roman"/>
          <w:noProof/>
          <w:color w:val="000000" w:themeColor="text1"/>
          <w:sz w:val="24"/>
          <w:lang w:val="de-DE"/>
        </w:rPr>
        <w:footnoteReference w:id="8"/>
      </w:r>
      <w:r w:rsidRPr="00476171">
        <w:rPr>
          <w:rFonts w:ascii="Times New Roman" w:hAnsi="Times New Roman"/>
          <w:noProof/>
          <w:sz w:val="24"/>
          <w:lang w:val="de-DE"/>
        </w:rPr>
        <w:t xml:space="preserve"> führte in allen Mitgliedstaaten außer in Tschechien, Lettland, Österreich, Polen und der Slowakei zu einem Anstieg des Verbrauchs. </w:t>
      </w:r>
    </w:p>
    <w:p w14:paraId="303888CB" w14:textId="33EE1BD4" w:rsidR="005D4740" w:rsidRPr="00476171" w:rsidRDefault="00583C18" w:rsidP="00583C18">
      <w:pPr>
        <w:rPr>
          <w:rFonts w:ascii="Times New Roman" w:eastAsia="Times New Roman" w:hAnsi="Times New Roman" w:cs="Times New Roman"/>
          <w:noProof/>
          <w:sz w:val="24"/>
          <w:lang w:val="de-DE"/>
        </w:rPr>
      </w:pPr>
      <w:r>
        <w:rPr>
          <w:rFonts w:ascii="Times New Roman" w:eastAsia="Times New Roman" w:hAnsi="Times New Roman" w:cs="Times New Roman"/>
          <w:noProof/>
          <w:sz w:val="24"/>
          <w:lang w:val="de-DE"/>
        </w:rPr>
        <w:br w:type="page"/>
      </w:r>
    </w:p>
    <w:p w14:paraId="78D777B3" w14:textId="364C4F6E" w:rsidR="63A1BA76" w:rsidRPr="00476171" w:rsidRDefault="002B4EF7" w:rsidP="00A55A04">
      <w:pPr>
        <w:spacing w:line="276" w:lineRule="auto"/>
        <w:jc w:val="center"/>
        <w:rPr>
          <w:rFonts w:ascii="Times New Roman" w:eastAsia="Verdana" w:hAnsi="Times New Roman" w:cs="Times New Roman"/>
          <w:noProof/>
          <w:sz w:val="20"/>
          <w:lang w:val="de-DE"/>
        </w:rPr>
      </w:pPr>
      <w:r w:rsidRPr="00476171">
        <w:rPr>
          <w:rFonts w:ascii="Times New Roman" w:hAnsi="Times New Roman"/>
          <w:b/>
          <w:noProof/>
          <w:sz w:val="20"/>
          <w:lang w:val="de-DE"/>
        </w:rPr>
        <w:t>Abbildung 4:</w:t>
      </w:r>
      <w:r w:rsidRPr="00476171">
        <w:rPr>
          <w:rFonts w:ascii="Times New Roman" w:hAnsi="Times New Roman"/>
          <w:noProof/>
          <w:sz w:val="20"/>
          <w:lang w:val="de-DE"/>
        </w:rPr>
        <w:t xml:space="preserve"> Beitrag unterschiedlicher Effekte zur Veränderung des Primärenergieverbrauchs der Haushalte im Zeitraum 2019–2020</w:t>
      </w:r>
    </w:p>
    <w:p w14:paraId="379CFCFF" w14:textId="54561930" w:rsidR="00EB62BA" w:rsidRPr="00476171" w:rsidRDefault="00272449" w:rsidP="005D4740">
      <w:pPr>
        <w:spacing w:line="276" w:lineRule="auto"/>
        <w:jc w:val="center"/>
        <w:rPr>
          <w:rFonts w:ascii="Times New Roman" w:eastAsia="Verdana" w:hAnsi="Times New Roman" w:cs="Times New Roman"/>
          <w:noProof/>
          <w:sz w:val="20"/>
          <w:lang w:val="de-DE"/>
        </w:rPr>
      </w:pPr>
      <w:r w:rsidRPr="00272449">
        <w:rPr>
          <w:noProof/>
          <w:lang w:val="en-GB" w:eastAsia="en-GB"/>
        </w:rPr>
        <w:drawing>
          <wp:inline distT="0" distB="0" distL="0" distR="0" wp14:anchorId="2F022066" wp14:editId="7E4B9C5E">
            <wp:extent cx="6349147"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2223" cy="2744529"/>
                    </a:xfrm>
                    <a:prstGeom prst="rect">
                      <a:avLst/>
                    </a:prstGeom>
                    <a:noFill/>
                    <a:ln>
                      <a:noFill/>
                    </a:ln>
                  </pic:spPr>
                </pic:pic>
              </a:graphicData>
            </a:graphic>
          </wp:inline>
        </w:drawing>
      </w:r>
    </w:p>
    <w:p w14:paraId="7D180C34" w14:textId="1373E4ED" w:rsidR="63A1BA76" w:rsidRPr="00FF3E37" w:rsidRDefault="63A1BA76" w:rsidP="00A55A04">
      <w:pPr>
        <w:spacing w:line="276" w:lineRule="auto"/>
        <w:jc w:val="center"/>
        <w:rPr>
          <w:rFonts w:ascii="Times New Roman" w:hAnsi="Times New Roman" w:cs="Times New Roman"/>
          <w:noProof/>
          <w:sz w:val="16"/>
          <w:lang w:val="fr-BE"/>
        </w:rPr>
      </w:pPr>
      <w:r w:rsidRPr="00FF3E37">
        <w:rPr>
          <w:rFonts w:ascii="Times New Roman" w:hAnsi="Times New Roman"/>
          <w:noProof/>
          <w:sz w:val="16"/>
          <w:lang w:val="fr-BE"/>
        </w:rPr>
        <w:t>Quelle: Eurostat, JRC und Odyssee-Mure, 2022.</w:t>
      </w:r>
      <w:r w:rsidRPr="00FF3E37">
        <w:rPr>
          <w:rStyle w:val="FootnoteReference"/>
          <w:rFonts w:ascii="Times New Roman" w:hAnsi="Times New Roman"/>
          <w:noProof/>
          <w:color w:val="000000" w:themeColor="text1"/>
          <w:sz w:val="24"/>
          <w:lang w:val="fr-BE"/>
        </w:rPr>
        <w:t xml:space="preserve"> </w:t>
      </w:r>
      <w:r w:rsidRPr="00476171">
        <w:rPr>
          <w:rStyle w:val="FootnoteReference"/>
          <w:rFonts w:ascii="Times New Roman" w:eastAsia="Times New Roman" w:hAnsi="Times New Roman" w:cs="Times New Roman"/>
          <w:noProof/>
          <w:color w:val="000000" w:themeColor="text1"/>
          <w:sz w:val="24"/>
          <w:lang w:val="de-DE"/>
        </w:rPr>
        <w:footnoteReference w:id="9"/>
      </w:r>
    </w:p>
    <w:p w14:paraId="1E992299" w14:textId="380E4CDA" w:rsidR="00E17D3B" w:rsidRPr="00476171" w:rsidRDefault="3F4C8E0C" w:rsidP="00A55A04">
      <w:pPr>
        <w:spacing w:line="276" w:lineRule="auto"/>
        <w:jc w:val="both"/>
        <w:rPr>
          <w:rFonts w:ascii="Times New Roman" w:eastAsia="Times New Roman" w:hAnsi="Times New Roman" w:cs="Times New Roman"/>
          <w:noProof/>
          <w:sz w:val="24"/>
          <w:lang w:val="de-DE"/>
        </w:rPr>
      </w:pPr>
      <w:r w:rsidRPr="00476171">
        <w:rPr>
          <w:rFonts w:ascii="Times New Roman" w:hAnsi="Times New Roman"/>
          <w:noProof/>
          <w:sz w:val="24"/>
          <w:lang w:val="de-DE"/>
        </w:rPr>
        <w:t>Der Anstieg des Endenergieverbrauchs der Haushalte wurde durch einen Rückgang des Endenergieverbrauchs im Verkehrssektor kompensiert. Im Verkehrssektor wurde der Rückgang des Endenergieverbrauchs durch den Effekt der Wirtschaftstätigkeit verursacht, insbesondere weil sich aufgrund der pandemiebedingten Verkehrsbeschränkungen das Fahrgastaufkommen erheblich verringerte.</w:t>
      </w:r>
    </w:p>
    <w:p w14:paraId="73D11D39" w14:textId="386034F5" w:rsidR="3F4C8E0C" w:rsidRPr="00476171" w:rsidRDefault="00E17D3B" w:rsidP="00A55A04">
      <w:pPr>
        <w:spacing w:line="276" w:lineRule="auto"/>
        <w:jc w:val="both"/>
        <w:rPr>
          <w:rFonts w:ascii="Times New Roman" w:eastAsia="Times New Roman" w:hAnsi="Times New Roman" w:cs="Times New Roman"/>
          <w:noProof/>
          <w:sz w:val="24"/>
          <w:lang w:val="de-DE"/>
        </w:rPr>
      </w:pPr>
      <w:r w:rsidRPr="00476171">
        <w:rPr>
          <w:rFonts w:ascii="Times New Roman" w:hAnsi="Times New Roman"/>
          <w:noProof/>
          <w:sz w:val="24"/>
          <w:lang w:val="de-DE"/>
        </w:rPr>
        <w:t>Wie aus Abbildung 5 hervorgeht, haben in der Industrie und im Dienstleistungssektor der Beschäftigungseffekt und die Zahl der geleisteten Arbeitsstunden 2020 den Rückgang des Endenergieverbrauchs bewirkt. Der Beschäftigungseffekt ist der wichtigste Faktor für den Rückgang des Energieverbrauchs der Mitgliedstaaten. Dagegen trug der Intensitätsfaktor in den Produktionssektoren zu einem Anstieg des Endenergieverbrauchs bei. Diese Ergebnisse lassen sich durch die außergewöhnlichen Umstände der COVID-19-Pandemie erklären. Selbst wenn die Mitgliedstaaten recht unterschiedlich mit der COVID-19-Krise umgegangen sind, kann es sein, dass es durch Lockdowns zu einer drastischen Verringerung der Arbeitszeiten und zu einem Anstieg der Arbeitslosigkeit gekommen ist, wenn auch möglicherweise nur vorübergehend. Der Effekt struktureller Veränderungen resultierte in einer Verlagerung von Teilsektoren mit höherer Energieintensität hin zu Teilsektoren mit niedrigerer Intensität in den acht Mitgliedstaaten Bulgarien, Tschechien, Estland, Frankreich, Italien, Zypern, Luxemburg und Slowakei. Schließlich hemmte der Intensitätseffekt den Endenergieverbrauch in neun Mitgliedstaaten, nämlich Belgien, Dänemark, Estland, Griechenland, Luxemburg, den Niederlanden, Polen, Rumänien und Finnland. In den anderen Mitgliedstaaten hingegen war ein Anstieg des Endenergieverbrauchs je Wertschöpfung (in Geldwert ausgedrückt) zu verzeichnen.</w:t>
      </w:r>
    </w:p>
    <w:p w14:paraId="385B0526" w14:textId="4BB15CCB" w:rsidR="00E17D3B" w:rsidRPr="00476171" w:rsidRDefault="00E17D3B" w:rsidP="00A55A04">
      <w:pPr>
        <w:pStyle w:val="JRCFigurecaption"/>
        <w:keepNext/>
        <w:spacing w:line="276" w:lineRule="auto"/>
        <w:rPr>
          <w:rFonts w:ascii="Times New Roman" w:hAnsi="Times New Roman"/>
          <w:noProof/>
          <w:sz w:val="20"/>
          <w:lang w:val="de-DE"/>
        </w:rPr>
      </w:pPr>
      <w:bookmarkStart w:id="3" w:name="_Toc106965810"/>
      <w:r w:rsidRPr="00476171">
        <w:rPr>
          <w:rFonts w:ascii="Times New Roman" w:hAnsi="Times New Roman"/>
          <w:b/>
          <w:noProof/>
          <w:sz w:val="20"/>
          <w:lang w:val="de-DE"/>
        </w:rPr>
        <w:t>Abbildung 5:</w:t>
      </w:r>
      <w:r w:rsidRPr="00476171">
        <w:rPr>
          <w:rFonts w:ascii="Times New Roman" w:hAnsi="Times New Roman"/>
          <w:noProof/>
          <w:sz w:val="20"/>
          <w:lang w:val="de-DE"/>
        </w:rPr>
        <w:t xml:space="preserve"> Beitrag unterschiedlicher Effekte zur Veränderung des Primärenergieverbrauchs der Produktionssektoren im Zeitraum 2019–2020</w:t>
      </w:r>
      <w:bookmarkEnd w:id="3"/>
    </w:p>
    <w:p w14:paraId="16E15CF2" w14:textId="339FDC93" w:rsidR="00E17D3B" w:rsidRPr="00476171" w:rsidRDefault="00272449" w:rsidP="00A55A04">
      <w:pPr>
        <w:pStyle w:val="JRCText"/>
        <w:spacing w:line="276" w:lineRule="auto"/>
        <w:rPr>
          <w:rFonts w:ascii="EC Square Sans Cond Pro" w:hAnsi="EC Square Sans Cond Pro"/>
          <w:b/>
          <w:noProof/>
          <w:lang w:val="de-DE"/>
        </w:rPr>
      </w:pPr>
      <w:r w:rsidRPr="00272449">
        <w:rPr>
          <w:noProof/>
          <w:lang w:val="en-GB" w:eastAsia="en-GB"/>
        </w:rPr>
        <w:drawing>
          <wp:inline distT="0" distB="0" distL="0" distR="0" wp14:anchorId="742066B2" wp14:editId="26E135EC">
            <wp:extent cx="5943600" cy="29399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2939970"/>
                    </a:xfrm>
                    <a:prstGeom prst="rect">
                      <a:avLst/>
                    </a:prstGeom>
                    <a:noFill/>
                    <a:ln>
                      <a:noFill/>
                    </a:ln>
                  </pic:spPr>
                </pic:pic>
              </a:graphicData>
            </a:graphic>
          </wp:inline>
        </w:drawing>
      </w:r>
    </w:p>
    <w:p w14:paraId="4870A123" w14:textId="0EE4C086" w:rsidR="00992061" w:rsidRPr="00476171" w:rsidRDefault="00E17D3B" w:rsidP="004B2371">
      <w:pPr>
        <w:pStyle w:val="JRCTablesource"/>
        <w:spacing w:line="276" w:lineRule="auto"/>
        <w:jc w:val="center"/>
        <w:rPr>
          <w:rFonts w:ascii="Times New Roman" w:hAnsi="Times New Roman"/>
          <w:noProof/>
          <w:lang w:val="de-DE"/>
        </w:rPr>
      </w:pPr>
      <w:r w:rsidRPr="00476171">
        <w:rPr>
          <w:rFonts w:ascii="Times New Roman" w:hAnsi="Times New Roman"/>
          <w:noProof/>
          <w:lang w:val="de-DE"/>
        </w:rPr>
        <w:t>Quelle: Eurostat, JRC, Daten von April 2022.</w:t>
      </w:r>
      <w:r w:rsidRPr="00476171">
        <w:rPr>
          <w:rStyle w:val="FootnoteReference"/>
          <w:rFonts w:ascii="Times New Roman" w:hAnsi="Times New Roman"/>
          <w:noProof/>
          <w:color w:val="000000" w:themeColor="text1"/>
          <w:sz w:val="24"/>
          <w:lang w:val="de-DE"/>
        </w:rPr>
        <w:t xml:space="preserve"> </w:t>
      </w:r>
      <w:r w:rsidRPr="00476171">
        <w:rPr>
          <w:rStyle w:val="FootnoteReference"/>
          <w:rFonts w:ascii="Times New Roman" w:hAnsi="Times New Roman"/>
          <w:noProof/>
          <w:color w:val="000000" w:themeColor="text1"/>
          <w:sz w:val="24"/>
          <w:lang w:val="de-DE"/>
        </w:rPr>
        <w:footnoteReference w:id="10"/>
      </w:r>
    </w:p>
    <w:p w14:paraId="5A17A016" w14:textId="77777777" w:rsidR="004B2371" w:rsidRPr="00476171" w:rsidRDefault="004B2371" w:rsidP="004B2371">
      <w:pPr>
        <w:pStyle w:val="JRCText"/>
        <w:rPr>
          <w:noProof/>
          <w:lang w:val="de-DE"/>
        </w:rPr>
      </w:pPr>
    </w:p>
    <w:p w14:paraId="3F60C2FD" w14:textId="4D316D08" w:rsidR="63A1BA76" w:rsidRPr="00476171" w:rsidRDefault="24032ECE" w:rsidP="00173BB6">
      <w:pPr>
        <w:pStyle w:val="ListParagraph"/>
        <w:numPr>
          <w:ilvl w:val="0"/>
          <w:numId w:val="8"/>
        </w:numPr>
        <w:spacing w:line="276" w:lineRule="auto"/>
        <w:rPr>
          <w:rFonts w:ascii="Times New Roman" w:eastAsiaTheme="minorEastAsia" w:hAnsi="Times New Roman" w:cs="Times New Roman"/>
          <w:noProof/>
          <w:lang w:val="de-DE"/>
        </w:rPr>
      </w:pPr>
      <w:r w:rsidRPr="00476171">
        <w:rPr>
          <w:rFonts w:ascii="Times New Roman" w:hAnsi="Times New Roman"/>
          <w:noProof/>
          <w:color w:val="000000" w:themeColor="text1"/>
          <w:sz w:val="24"/>
          <w:lang w:val="de-DE"/>
        </w:rPr>
        <w:t>Fortschritte im Hinblick auf die Energieeffizienzziele für 2030</w:t>
      </w:r>
    </w:p>
    <w:p w14:paraId="7E2533A1" w14:textId="79DD5044" w:rsidR="002B4EF7" w:rsidRPr="00476171" w:rsidRDefault="004A2FF6" w:rsidP="00A55A04">
      <w:pPr>
        <w:spacing w:line="276" w:lineRule="auto"/>
        <w:jc w:val="both"/>
        <w:rPr>
          <w:rFonts w:ascii="Times New Roman" w:eastAsia="Times New Roman" w:hAnsi="Times New Roman" w:cs="Times New Roman"/>
          <w:noProof/>
          <w:color w:val="000000" w:themeColor="text1"/>
          <w:sz w:val="24"/>
          <w:lang w:val="de-DE"/>
        </w:rPr>
      </w:pPr>
      <w:r w:rsidRPr="00476171">
        <w:rPr>
          <w:rFonts w:ascii="Times New Roman" w:hAnsi="Times New Roman"/>
          <w:noProof/>
          <w:color w:val="000000" w:themeColor="text1"/>
          <w:sz w:val="24"/>
          <w:lang w:val="de-DE"/>
        </w:rPr>
        <w:t>Bei der Analyse der Fortschritte bei der Verwirklichung der Vorgaben für 2030 ergab sich, dass der Endenergieverbrauch und der Primärenergieverbrauch der EU im Jahr 2020 um 7,2 % bzw. 9,6 % über den Zielvorgaben für 2030 lagen. Das Ziel für 2030 entspricht einer Verringerung um 32,5 % gegenüber dem Referenzszenario 2007. 2020 schien das Tempo der Verbrauchssenkung hin zu den Zielvorgaben für 2030 sowohl beim Primärenergieverbrauch als auch beim Endenergieverbrauch ausreichend zu sein, was hauptsächlich auf die durch die COVID-19-Pandemie zufällig verursachte Situation zurückzuführen war. Es sind weitaus größere Anstrengungen erforderlich, um eine strukturelle Senkung des Energieverbrauchs zu erreichen und zu vermeiden, dass es nach dem Abklingen der Auswirkungen der COVID-19-Pandemie zu einem erholungsbedingten Wiederanstieg in den Volkswirtschaften kommt.</w:t>
      </w:r>
    </w:p>
    <w:p w14:paraId="0AC6F176" w14:textId="1939B7A9" w:rsidR="001F7B4F" w:rsidRPr="00476171" w:rsidRDefault="0B851A1B" w:rsidP="00992061">
      <w:pPr>
        <w:spacing w:line="276" w:lineRule="auto"/>
        <w:jc w:val="both"/>
        <w:rPr>
          <w:rFonts w:ascii="Times New Roman" w:eastAsia="Times New Roman" w:hAnsi="Times New Roman" w:cs="Times New Roman"/>
          <w:noProof/>
          <w:color w:val="000000" w:themeColor="text1"/>
          <w:sz w:val="24"/>
          <w:lang w:val="de-DE"/>
        </w:rPr>
      </w:pPr>
      <w:r w:rsidRPr="00476171">
        <w:rPr>
          <w:rFonts w:ascii="Times New Roman" w:hAnsi="Times New Roman"/>
          <w:noProof/>
          <w:color w:val="000000" w:themeColor="text1"/>
          <w:sz w:val="24"/>
          <w:lang w:val="de-DE"/>
        </w:rPr>
        <w:t>Wie Abbildung 6 zeigt, hat die Kommission als Teil ihres Vorschlags vom Juli 2021 für eine Neufassung der Energieeffizienzrichtlinie</w:t>
      </w:r>
      <w:r w:rsidRPr="00476171">
        <w:rPr>
          <w:rStyle w:val="FootnoteReference"/>
          <w:rFonts w:ascii="Times New Roman" w:eastAsia="Times New Roman" w:hAnsi="Times New Roman" w:cs="Times New Roman"/>
          <w:noProof/>
          <w:color w:val="000000" w:themeColor="text1"/>
          <w:sz w:val="20"/>
          <w:lang w:val="de-DE"/>
        </w:rPr>
        <w:footnoteReference w:id="11"/>
      </w:r>
      <w:r w:rsidRPr="00476171">
        <w:rPr>
          <w:rFonts w:ascii="Times New Roman" w:hAnsi="Times New Roman"/>
          <w:noProof/>
          <w:color w:val="000000" w:themeColor="text1"/>
          <w:sz w:val="24"/>
          <w:lang w:val="de-DE"/>
        </w:rPr>
        <w:t xml:space="preserve"> für 2030 ein EU-Ziel von 9 % Verbrauchssenkung gegenüber dem Referenzszenario 2020 vorgeschlagen. Dies kommt einer Verringerung des Endenergieverbrauchs um 36 % und des Primärenergieverbrauchs um 39 % gegenüber dem Referenzszenario 2007 gleich, was wiederum einem Primärenergieverbrauch von 1023 Mio. t RÖE und einem Endenergieverbrauch von 787 Mio. t RÖE entspricht. Mit dem im Mai 2022 verabschiedeten REPowerEU-Paket erfuhr dieses Ziel eine weitere Erhöhung auf 13 %, was einem maximalen Primärenergieverbrauch von 980 Mio. t RÖE und einem maximalen Endenergieverbrauch von 750 Mio. t RÖE in der EU entsprechen würde.</w:t>
      </w:r>
    </w:p>
    <w:p w14:paraId="579EED97" w14:textId="77777777" w:rsidR="00762E0D" w:rsidRPr="00476171" w:rsidRDefault="00762E0D" w:rsidP="00992061">
      <w:pPr>
        <w:spacing w:line="276" w:lineRule="auto"/>
        <w:jc w:val="both"/>
        <w:rPr>
          <w:rFonts w:ascii="Times New Roman" w:eastAsia="Times New Roman" w:hAnsi="Times New Roman" w:cs="Times New Roman"/>
          <w:noProof/>
          <w:color w:val="000000" w:themeColor="text1"/>
          <w:sz w:val="24"/>
          <w:lang w:val="de-DE"/>
        </w:rPr>
      </w:pPr>
    </w:p>
    <w:p w14:paraId="0ACF67D1" w14:textId="5DE46872" w:rsidR="7418C569" w:rsidRPr="00476171" w:rsidRDefault="24032ECE" w:rsidP="00A55A04">
      <w:pPr>
        <w:spacing w:line="276" w:lineRule="auto"/>
        <w:jc w:val="center"/>
        <w:rPr>
          <w:rFonts w:ascii="Times New Roman" w:eastAsia="Times New Roman" w:hAnsi="Times New Roman" w:cs="Times New Roman"/>
          <w:noProof/>
          <w:color w:val="000000" w:themeColor="text1"/>
          <w:sz w:val="20"/>
          <w:lang w:val="de-DE"/>
        </w:rPr>
      </w:pPr>
      <w:r w:rsidRPr="00476171">
        <w:rPr>
          <w:rFonts w:ascii="Times New Roman" w:hAnsi="Times New Roman"/>
          <w:b/>
          <w:noProof/>
          <w:color w:val="000000" w:themeColor="text1"/>
          <w:sz w:val="20"/>
          <w:lang w:val="de-DE"/>
        </w:rPr>
        <w:t>Abbildung 6:</w:t>
      </w:r>
      <w:r w:rsidRPr="00476171">
        <w:rPr>
          <w:rFonts w:ascii="Times New Roman" w:hAnsi="Times New Roman"/>
          <w:noProof/>
          <w:color w:val="000000" w:themeColor="text1"/>
          <w:sz w:val="20"/>
          <w:lang w:val="de-DE"/>
        </w:rPr>
        <w:t xml:space="preserve"> Verringerung des Primär- und des Endenergieverbrauchs im Vergleich zu den Prognosen des Referenzszenarios 2007</w:t>
      </w:r>
    </w:p>
    <w:p w14:paraId="1E87D839" w14:textId="49753448" w:rsidR="007A3253" w:rsidRPr="00476171" w:rsidRDefault="007A3253" w:rsidP="00294406">
      <w:pPr>
        <w:spacing w:after="0" w:line="240" w:lineRule="auto"/>
        <w:rPr>
          <w:rFonts w:ascii="Times New Roman" w:eastAsia="Times New Roman" w:hAnsi="Times New Roman" w:cs="Times New Roman"/>
          <w:noProof/>
          <w:color w:val="000000" w:themeColor="text1"/>
          <w:sz w:val="20"/>
          <w:lang w:val="de-DE"/>
        </w:rPr>
      </w:pPr>
    </w:p>
    <w:p w14:paraId="65609997" w14:textId="3FB20863" w:rsidR="005523B5" w:rsidRPr="00476171" w:rsidRDefault="00FF3E37" w:rsidP="00294406">
      <w:pPr>
        <w:pStyle w:val="JRCTablesource"/>
        <w:spacing w:line="276" w:lineRule="auto"/>
        <w:rPr>
          <w:rFonts w:ascii="Times New Roman" w:hAnsi="Times New Roman"/>
          <w:noProof/>
          <w:lang w:val="de-DE"/>
        </w:rPr>
      </w:pPr>
      <w:r>
        <w:rPr>
          <w:noProof/>
          <w:lang w:val="en-GB" w:eastAsia="en-GB"/>
        </w:rPr>
        <mc:AlternateContent>
          <mc:Choice Requires="wps">
            <w:drawing>
              <wp:anchor distT="0" distB="0" distL="114300" distR="114300" simplePos="0" relativeHeight="251664384" behindDoc="0" locked="0" layoutInCell="1" allowOverlap="1" wp14:anchorId="0F74F1F2" wp14:editId="7667140E">
                <wp:simplePos x="0" y="0"/>
                <wp:positionH relativeFrom="column">
                  <wp:posOffset>4988966</wp:posOffset>
                </wp:positionH>
                <wp:positionV relativeFrom="paragraph">
                  <wp:posOffset>2345004</wp:posOffset>
                </wp:positionV>
                <wp:extent cx="708660" cy="577901"/>
                <wp:effectExtent l="0" t="0" r="0" b="0"/>
                <wp:wrapNone/>
                <wp:docPr id="18" name="Text Box 18"/>
                <wp:cNvGraphicFramePr/>
                <a:graphic xmlns:a="http://schemas.openxmlformats.org/drawingml/2006/main">
                  <a:graphicData uri="http://schemas.microsoft.com/office/word/2010/wordprocessingShape">
                    <wps:wsp>
                      <wps:cNvSpPr txBox="1"/>
                      <wps:spPr>
                        <a:xfrm>
                          <a:off x="0" y="0"/>
                          <a:ext cx="708660" cy="577901"/>
                        </a:xfrm>
                        <a:prstGeom prst="rect">
                          <a:avLst/>
                        </a:prstGeom>
                        <a:noFill/>
                        <a:ln w="6350">
                          <a:noFill/>
                        </a:ln>
                      </wps:spPr>
                      <wps:txbx>
                        <w:txbxContent>
                          <w:p w14:paraId="75501A91" w14:textId="4AFA1870" w:rsidR="00FF3E37" w:rsidRPr="00FF3E37" w:rsidRDefault="00FF3E37" w:rsidP="00932843">
                            <w:pPr>
                              <w:rPr>
                                <w:color w:val="FF0000"/>
                                <w:sz w:val="14"/>
                                <w:szCs w:val="14"/>
                                <w:lang w:val="de-DE"/>
                              </w:rPr>
                            </w:pPr>
                            <w:r w:rsidRPr="00FF3E37">
                              <w:rPr>
                                <w:color w:val="FF0000"/>
                                <w:sz w:val="14"/>
                                <w:szCs w:val="14"/>
                                <w:lang w:val="de-DE"/>
                              </w:rPr>
                              <w:t>13 % im Vergleich zum Referenz-szenario 2020</w:t>
                            </w:r>
                          </w:p>
                          <w:p w14:paraId="1D182384" w14:textId="77777777" w:rsidR="00FF3E37" w:rsidRPr="00583C18" w:rsidRDefault="00FF3E37" w:rsidP="00932843">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4F1F2" id="_x0000_t202" coordsize="21600,21600" o:spt="202" path="m,l,21600r21600,l21600,xe">
                <v:stroke joinstyle="miter"/>
                <v:path gradientshapeok="t" o:connecttype="rect"/>
              </v:shapetype>
              <v:shape id="Text Box 18" o:spid="_x0000_s1026" type="#_x0000_t202" style="position:absolute;left:0;text-align:left;margin-left:392.85pt;margin-top:184.65pt;width:55.8pt;height: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" filled="f" stroked="f" strokeweight=".5pt">
                <v:textbox>
                  <w:txbxContent>
                    <w:p w14:paraId="75501A91" w14:textId="4AFA1870" w:rsidR="00FF3E37" w:rsidRPr="00FF3E37" w:rsidRDefault="00FF3E37" w:rsidP="00932843">
                      <w:pPr>
                        <w:rPr>
                          <w:color w:val="FF0000"/>
                          <w:sz w:val="14"/>
                          <w:szCs w:val="14"/>
                          <w:lang w:val="de-DE"/>
                        </w:rPr>
                      </w:pPr>
                      <w:r w:rsidRPr="00FF3E37">
                        <w:rPr>
                          <w:color w:val="FF0000"/>
                          <w:sz w:val="14"/>
                          <w:szCs w:val="14"/>
                          <w:lang w:val="de-DE"/>
                        </w:rPr>
                        <w:t>13 % im Vergleich zum Referenz-szenario 2020</w:t>
                      </w:r>
                    </w:p>
                    <w:p w14:paraId="1D182384" w14:textId="77777777" w:rsidR="00FF3E37" w:rsidRPr="00583C18" w:rsidRDefault="00FF3E37" w:rsidP="00932843">
                      <w:pPr>
                        <w:rPr>
                          <w:lang w:val="de-DE"/>
                        </w:rPr>
                      </w:pPr>
                    </w:p>
                  </w:txbxContent>
                </v:textbox>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4966AF06" wp14:editId="51CE6107">
                <wp:simplePos x="0" y="0"/>
                <wp:positionH relativeFrom="column">
                  <wp:posOffset>1506931</wp:posOffset>
                </wp:positionH>
                <wp:positionV relativeFrom="paragraph">
                  <wp:posOffset>2315743</wp:posOffset>
                </wp:positionV>
                <wp:extent cx="1104900" cy="364541"/>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104900" cy="364541"/>
                        </a:xfrm>
                        <a:prstGeom prst="rect">
                          <a:avLst/>
                        </a:prstGeom>
                        <a:noFill/>
                        <a:ln w="6350">
                          <a:noFill/>
                        </a:ln>
                      </wps:spPr>
                      <wps:txbx>
                        <w:txbxContent>
                          <w:p w14:paraId="39A4B839" w14:textId="0D5A1BCB" w:rsidR="00FF3E37" w:rsidRPr="00FF3E37" w:rsidRDefault="00FF3E37" w:rsidP="00932843">
                            <w:pPr>
                              <w:rPr>
                                <w:color w:val="FF0000"/>
                                <w:sz w:val="14"/>
                                <w:szCs w:val="14"/>
                              </w:rPr>
                            </w:pPr>
                            <w:r w:rsidRPr="00FF3E37">
                              <w:rPr>
                                <w:color w:val="FF0000"/>
                                <w:sz w:val="14"/>
                                <w:szCs w:val="14"/>
                              </w:rPr>
                              <w:t>9 % im Vergleich zum Referenzszenario 2020</w:t>
                            </w:r>
                          </w:p>
                          <w:p w14:paraId="1628269F" w14:textId="77777777" w:rsidR="00FF3E37" w:rsidRDefault="00FF3E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6AF06" id="Text Box 16" o:spid="_x0000_s1027" type="#_x0000_t202" style="position:absolute;left:0;text-align:left;margin-left:118.65pt;margin-top:182.35pt;width:87pt;height:28.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" filled="f" stroked="f" strokeweight=".5pt">
                <v:textbox>
                  <w:txbxContent>
                    <w:p w14:paraId="39A4B839" w14:textId="0D5A1BCB" w:rsidR="00FF3E37" w:rsidRPr="00FF3E37" w:rsidRDefault="00FF3E37" w:rsidP="00932843">
                      <w:pPr>
                        <w:rPr>
                          <w:color w:val="FF0000"/>
                          <w:sz w:val="14"/>
                          <w:szCs w:val="14"/>
                        </w:rPr>
                      </w:pPr>
                      <w:r w:rsidRPr="00FF3E37">
                        <w:rPr>
                          <w:color w:val="FF0000"/>
                          <w:sz w:val="14"/>
                          <w:szCs w:val="14"/>
                        </w:rPr>
                        <w:t>9 % im Vergleich zum Referenzszenario 2020</w:t>
                      </w:r>
                    </w:p>
                    <w:p w14:paraId="1628269F" w14:textId="77777777" w:rsidR="00FF3E37" w:rsidRDefault="00FF3E37"/>
                  </w:txbxContent>
                </v:textbox>
              </v:shape>
            </w:pict>
          </mc:Fallback>
        </mc:AlternateContent>
      </w:r>
      <w:r w:rsidR="00932843">
        <w:rPr>
          <w:noProof/>
          <w:lang w:val="en-GB" w:eastAsia="en-GB"/>
        </w:rPr>
        <mc:AlternateContent>
          <mc:Choice Requires="wps">
            <w:drawing>
              <wp:anchor distT="0" distB="0" distL="114300" distR="114300" simplePos="0" relativeHeight="251668480" behindDoc="0" locked="0" layoutInCell="1" allowOverlap="1" wp14:anchorId="5CF3817B" wp14:editId="71AB18B8">
                <wp:simplePos x="0" y="0"/>
                <wp:positionH relativeFrom="column">
                  <wp:posOffset>4838700</wp:posOffset>
                </wp:positionH>
                <wp:positionV relativeFrom="paragraph">
                  <wp:posOffset>2529841</wp:posOffset>
                </wp:positionV>
                <wp:extent cx="259080" cy="152400"/>
                <wp:effectExtent l="0" t="0" r="64770" b="57150"/>
                <wp:wrapNone/>
                <wp:docPr id="21" name="Straight Connector 11">
                  <a:extLst xmlns:a="http://schemas.openxmlformats.org/drawingml/2006/main">
                    <a:ext uri="{FF2B5EF4-FFF2-40B4-BE49-F238E27FC236}">
                      <a16:creationId xmlns:a16="http://schemas.microsoft.com/office/drawing/2014/main" id="{ADCA9E61-E072-B586-9CBD-732641CEBE8E}"/>
                    </a:ext>
                    <a:ext uri="{147F2762-F138-4A5C-976F-8EAC2B608ADB}">
                      <a16:predDERef xmlns:a16="http://schemas.microsoft.com/office/drawing/2014/main" pred="{B2C04862-8006-48C6-975E-EFBE03ECFC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 cy="152400"/>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89115"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199.2pt" to="401.4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" strokecolor="#4472c4 [3204]" strokeweight=".5pt">
                <v:stroke endarrow="block" joinstyle="miter"/>
                <o:lock v:ext="edit" shapetype="f"/>
              </v:line>
            </w:pict>
          </mc:Fallback>
        </mc:AlternateContent>
      </w:r>
      <w:r w:rsidR="00932843">
        <w:rPr>
          <w:noProof/>
          <w:lang w:val="en-GB" w:eastAsia="en-GB"/>
        </w:rPr>
        <mc:AlternateContent>
          <mc:Choice Requires="wps">
            <w:drawing>
              <wp:anchor distT="0" distB="0" distL="114300" distR="114300" simplePos="0" relativeHeight="251666432" behindDoc="0" locked="0" layoutInCell="1" allowOverlap="1" wp14:anchorId="0529ECBA" wp14:editId="66AC399B">
                <wp:simplePos x="0" y="0"/>
                <wp:positionH relativeFrom="column">
                  <wp:posOffset>2598420</wp:posOffset>
                </wp:positionH>
                <wp:positionV relativeFrom="paragraph">
                  <wp:posOffset>2346960</wp:posOffset>
                </wp:positionV>
                <wp:extent cx="213360" cy="152400"/>
                <wp:effectExtent l="38100" t="0" r="15240" b="57150"/>
                <wp:wrapNone/>
                <wp:docPr id="20" name="Straight Connector 13">
                  <a:extLst xmlns:a="http://schemas.openxmlformats.org/drawingml/2006/main">
                    <a:ext uri="{FF2B5EF4-FFF2-40B4-BE49-F238E27FC236}">
                      <a16:creationId xmlns:a16="http://schemas.microsoft.com/office/drawing/2014/main" id="{D70DB9BC-0684-43BE-AF1B-6EC8D6849187}"/>
                    </a:ext>
                    <a:ext uri="{147F2762-F138-4A5C-976F-8EAC2B608ADB}">
                      <a16:predDERef xmlns:a16="http://schemas.microsoft.com/office/drawing/2014/main" pred="{F8BA5F8C-037A-9846-12C4-8110657F83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3360" cy="152400"/>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99C2D4" id="Straight Connector 13"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04.6pt,184.8pt" to="221.4pt,1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" strokecolor="#4472c4 [3204]" strokeweight=".5pt">
                <v:stroke endarrow="block" joinstyle="miter"/>
                <o:lock v:ext="edit" shapetype="f"/>
              </v:line>
            </w:pict>
          </mc:Fallback>
        </mc:AlternateContent>
      </w:r>
      <w:r w:rsidR="00932843">
        <w:rPr>
          <w:noProof/>
          <w:lang w:val="en-GB" w:eastAsia="en-GB"/>
        </w:rPr>
        <mc:AlternateContent>
          <mc:Choice Requires="wps">
            <w:drawing>
              <wp:anchor distT="0" distB="0" distL="114300" distR="114300" simplePos="0" relativeHeight="251659264" behindDoc="0" locked="0" layoutInCell="1" allowOverlap="1" wp14:anchorId="3B88C370" wp14:editId="522747A4">
                <wp:simplePos x="0" y="0"/>
                <wp:positionH relativeFrom="column">
                  <wp:posOffset>2849880</wp:posOffset>
                </wp:positionH>
                <wp:positionV relativeFrom="paragraph">
                  <wp:posOffset>2095500</wp:posOffset>
                </wp:positionV>
                <wp:extent cx="899160" cy="563880"/>
                <wp:effectExtent l="0" t="0" r="15240" b="26670"/>
                <wp:wrapNone/>
                <wp:docPr id="9" name="Rectangle 8">
                  <a:extLst xmlns:a="http://schemas.openxmlformats.org/drawingml/2006/main">
                    <a:ext uri="{FF2B5EF4-FFF2-40B4-BE49-F238E27FC236}">
                      <a16:creationId xmlns:a16="http://schemas.microsoft.com/office/drawing/2014/main" id="{D5E4DEBD-5E3B-4AEA-26AF-60DD930E8C3A}"/>
                    </a:ext>
                    <a:ext uri="{147F2762-F138-4A5C-976F-8EAC2B608ADB}">
                      <a16:predDERef xmlns:a16="http://schemas.microsoft.com/office/drawing/2014/main" pred="{53289DE3-0054-C9CE-0CFF-E5ADB25AF700}"/>
                    </a:ext>
                  </a:extLst>
                </wp:docPr>
                <wp:cNvGraphicFramePr/>
                <a:graphic xmlns:a="http://schemas.openxmlformats.org/drawingml/2006/main">
                  <a:graphicData uri="http://schemas.microsoft.com/office/word/2010/wordprocessingShape">
                    <wps:wsp>
                      <wps:cNvSpPr/>
                      <wps:spPr>
                        <a:xfrm>
                          <a:off x="0" y="0"/>
                          <a:ext cx="899160" cy="563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417550FA" id="Rectangle 8" o:spid="_x0000_s1026" style="position:absolute;margin-left:224.4pt;margin-top:165pt;width:7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" filled="f" strokecolor="#1f3763 [1604]" strokeweight="1pt"/>
            </w:pict>
          </mc:Fallback>
        </mc:AlternateContent>
      </w:r>
      <w:r w:rsidR="00932843">
        <w:rPr>
          <w:noProof/>
          <w:lang w:val="en-GB" w:eastAsia="en-GB"/>
        </w:rPr>
        <mc:AlternateContent>
          <mc:Choice Requires="wps">
            <w:drawing>
              <wp:anchor distT="0" distB="0" distL="114300" distR="114300" simplePos="0" relativeHeight="251661312" behindDoc="0" locked="0" layoutInCell="1" allowOverlap="1" wp14:anchorId="42928BAB" wp14:editId="546D05BE">
                <wp:simplePos x="0" y="0"/>
                <wp:positionH relativeFrom="column">
                  <wp:posOffset>3916680</wp:posOffset>
                </wp:positionH>
                <wp:positionV relativeFrom="paragraph">
                  <wp:posOffset>2217420</wp:posOffset>
                </wp:positionV>
                <wp:extent cx="906780" cy="594360"/>
                <wp:effectExtent l="0" t="0" r="26670" b="15240"/>
                <wp:wrapNone/>
                <wp:docPr id="14" name="Rectangle 8">
                  <a:extLst xmlns:a="http://schemas.openxmlformats.org/drawingml/2006/main">
                    <a:ext uri="{FF2B5EF4-FFF2-40B4-BE49-F238E27FC236}">
                      <a16:creationId xmlns:a16="http://schemas.microsoft.com/office/drawing/2014/main" id="{D5E4DEBD-5E3B-4AEA-26AF-60DD930E8C3A}"/>
                    </a:ext>
                    <a:ext uri="{147F2762-F138-4A5C-976F-8EAC2B608ADB}">
                      <a16:predDERef xmlns:a16="http://schemas.microsoft.com/office/drawing/2014/main" pred="{53289DE3-0054-C9CE-0CFF-E5ADB25AF700}"/>
                    </a:ext>
                  </a:extLst>
                </wp:docPr>
                <wp:cNvGraphicFramePr/>
                <a:graphic xmlns:a="http://schemas.openxmlformats.org/drawingml/2006/main">
                  <a:graphicData uri="http://schemas.microsoft.com/office/word/2010/wordprocessingShape">
                    <wps:wsp>
                      <wps:cNvSpPr/>
                      <wps:spPr>
                        <a:xfrm>
                          <a:off x="0" y="0"/>
                          <a:ext cx="906780" cy="5943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4B9CAAE5" id="Rectangle 8" o:spid="_x0000_s1026" style="position:absolute;margin-left:308.4pt;margin-top:174.6pt;width:71.4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" filled="f" strokecolor="#1f3763 [1604]" strokeweight="1pt"/>
            </w:pict>
          </mc:Fallback>
        </mc:AlternateContent>
      </w:r>
      <w:r w:rsidR="00294406" w:rsidRPr="00294406">
        <w:rPr>
          <w:noProof/>
          <w:lang w:val="en-GB" w:eastAsia="en-GB"/>
        </w:rPr>
        <w:drawing>
          <wp:inline distT="0" distB="0" distL="0" distR="0" wp14:anchorId="0A3411ED" wp14:editId="6DDFFF71">
            <wp:extent cx="5692140" cy="3111539"/>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03376" cy="3117681"/>
                    </a:xfrm>
                    <a:prstGeom prst="rect">
                      <a:avLst/>
                    </a:prstGeom>
                    <a:noFill/>
                    <a:ln>
                      <a:noFill/>
                    </a:ln>
                  </pic:spPr>
                </pic:pic>
              </a:graphicData>
            </a:graphic>
          </wp:inline>
        </w:drawing>
      </w:r>
    </w:p>
    <w:p w14:paraId="354FF2A5" w14:textId="1FA0112B" w:rsidR="0039247C" w:rsidRPr="00476171" w:rsidRDefault="76C1E14B" w:rsidP="00992061">
      <w:pPr>
        <w:pStyle w:val="JRCTablesource"/>
        <w:spacing w:line="276" w:lineRule="auto"/>
        <w:jc w:val="center"/>
        <w:rPr>
          <w:rFonts w:ascii="Times New Roman" w:hAnsi="Times New Roman"/>
          <w:noProof/>
          <w:lang w:val="de-DE"/>
        </w:rPr>
      </w:pPr>
      <w:r w:rsidRPr="00476171">
        <w:rPr>
          <w:rFonts w:ascii="Times New Roman" w:hAnsi="Times New Roman"/>
          <w:noProof/>
          <w:lang w:val="de-DE"/>
        </w:rPr>
        <w:t>Quelle: Europäische Kommission, Generaldirektion Energie, 2022.</w:t>
      </w:r>
      <w:r w:rsidRPr="00476171">
        <w:rPr>
          <w:noProof/>
          <w:sz w:val="20"/>
          <w:lang w:val="de-DE"/>
        </w:rPr>
        <w:t xml:space="preserve"> </w:t>
      </w:r>
    </w:p>
    <w:p w14:paraId="0C115505" w14:textId="7948D362" w:rsidR="00992061" w:rsidRPr="00476171" w:rsidRDefault="00992061" w:rsidP="00992061">
      <w:pPr>
        <w:pStyle w:val="JRCText"/>
        <w:rPr>
          <w:noProof/>
          <w:lang w:val="de-DE"/>
        </w:rPr>
      </w:pPr>
    </w:p>
    <w:p w14:paraId="0325EB60" w14:textId="5BAA463B" w:rsidR="7418C569" w:rsidRPr="00476171" w:rsidRDefault="24032ECE" w:rsidP="00173BB6">
      <w:pPr>
        <w:pStyle w:val="ListParagraph"/>
        <w:numPr>
          <w:ilvl w:val="0"/>
          <w:numId w:val="8"/>
        </w:numPr>
        <w:spacing w:line="276" w:lineRule="auto"/>
        <w:rPr>
          <w:rFonts w:asciiTheme="minorEastAsia" w:eastAsiaTheme="minorEastAsia" w:hAnsiTheme="minorEastAsia" w:cstheme="minorEastAsia"/>
          <w:noProof/>
          <w:lang w:val="de-DE"/>
        </w:rPr>
      </w:pPr>
      <w:r w:rsidRPr="00476171">
        <w:rPr>
          <w:rFonts w:ascii="Times New Roman" w:hAnsi="Times New Roman"/>
          <w:noProof/>
          <w:color w:val="000000" w:themeColor="text1"/>
          <w:sz w:val="24"/>
          <w:lang w:val="de-DE"/>
        </w:rPr>
        <w:t xml:space="preserve">Erreichung der Energieeffizienzziele für 2020 je Mitgliedstaat </w:t>
      </w:r>
    </w:p>
    <w:p w14:paraId="29C08C09" w14:textId="4EA21118" w:rsidR="006B2352" w:rsidRDefault="004A2FF6" w:rsidP="0039247C">
      <w:pPr>
        <w:spacing w:line="276" w:lineRule="auto"/>
        <w:jc w:val="both"/>
        <w:rPr>
          <w:rStyle w:val="normaltextrun"/>
          <w:noProof/>
          <w:shd w:val="clear" w:color="auto" w:fill="FFFFFF"/>
          <w:lang w:val="de-DE"/>
        </w:rPr>
      </w:pPr>
      <w:r w:rsidRPr="00476171">
        <w:rPr>
          <w:rFonts w:ascii="Times New Roman" w:hAnsi="Times New Roman"/>
          <w:noProof/>
          <w:sz w:val="24"/>
          <w:lang w:val="de-DE"/>
        </w:rPr>
        <w:t>Tabelle 2 enthält einen Überblick über die Vorgaben für den Primärenergieverbrauch und den Endenergieverbrauch. Von den 27 Mitgliedstaaten haben 24 ihr Primärenergieverbrauchsziel und 21 ihr Endenergieverbrauchsziel für 2020 erreicht. Das Ausmaß des Rückstands hinter den Zielvorgaben war im Allgemeinen gering. Nur Bulgarien und Belgien verfehlten ihre Primär- bzw. Endenergieverbrauchsziele. Abgesehen von Litauen, das den Endenergieverbrauch um 19 % verfehlte, wurden im Durchschnitt die Primärenergieverbrauchsziele um 0,9 % und die Endenergieverbrauchsziele um 6,7 % verfehlt.</w:t>
      </w:r>
      <w:r w:rsidRPr="00476171">
        <w:rPr>
          <w:rStyle w:val="normaltextrun"/>
          <w:noProof/>
          <w:shd w:val="clear" w:color="auto" w:fill="FFFFFF"/>
          <w:lang w:val="de-DE"/>
        </w:rPr>
        <w:t xml:space="preserve"> </w:t>
      </w:r>
      <w:bookmarkStart w:id="4" w:name="_Toc106965831"/>
    </w:p>
    <w:p w14:paraId="3A76AD58" w14:textId="77777777" w:rsidR="006B2352" w:rsidRDefault="006B2352">
      <w:pPr>
        <w:rPr>
          <w:rStyle w:val="normaltextrun"/>
          <w:noProof/>
          <w:shd w:val="clear" w:color="auto" w:fill="FFFFFF"/>
          <w:lang w:val="de-DE"/>
        </w:rPr>
      </w:pPr>
      <w:r>
        <w:rPr>
          <w:rStyle w:val="normaltextrun"/>
          <w:noProof/>
          <w:shd w:val="clear" w:color="auto" w:fill="FFFFFF"/>
          <w:lang w:val="de-DE"/>
        </w:rPr>
        <w:br w:type="page"/>
      </w:r>
    </w:p>
    <w:p w14:paraId="6D78CECA" w14:textId="77777777" w:rsidR="00524FC0" w:rsidRPr="00476171" w:rsidRDefault="00524FC0" w:rsidP="0039247C">
      <w:pPr>
        <w:spacing w:line="276" w:lineRule="auto"/>
        <w:jc w:val="both"/>
        <w:rPr>
          <w:rStyle w:val="normaltextrun"/>
          <w:noProof/>
          <w:shd w:val="clear" w:color="auto" w:fill="FFFFFF"/>
          <w:lang w:val="de-DE"/>
        </w:rPr>
      </w:pPr>
    </w:p>
    <w:p w14:paraId="65D22C0C" w14:textId="24F334CA" w:rsidR="000C09F5" w:rsidRPr="00476171" w:rsidRDefault="6A9DA4B6" w:rsidP="004B01D5">
      <w:pPr>
        <w:spacing w:line="276" w:lineRule="auto"/>
        <w:jc w:val="center"/>
        <w:rPr>
          <w:rFonts w:ascii="Times New Roman" w:hAnsi="Times New Roman" w:cs="Times New Roman"/>
          <w:noProof/>
          <w:sz w:val="20"/>
          <w:lang w:val="de-DE"/>
        </w:rPr>
      </w:pPr>
      <w:r w:rsidRPr="00476171">
        <w:rPr>
          <w:rFonts w:ascii="Times New Roman" w:hAnsi="Times New Roman"/>
          <w:b/>
          <w:noProof/>
          <w:sz w:val="20"/>
          <w:lang w:val="de-DE"/>
        </w:rPr>
        <w:t>Tabelle 2:</w:t>
      </w:r>
      <w:r w:rsidRPr="00476171">
        <w:rPr>
          <w:rFonts w:ascii="Times New Roman" w:hAnsi="Times New Roman"/>
          <w:noProof/>
          <w:sz w:val="20"/>
          <w:lang w:val="de-DE"/>
        </w:rPr>
        <w:t xml:space="preserve"> Erreichung der Ziele für den Endenergieverbrauch und den Primärenergieverbrauch je Mitglieds</w:t>
      </w:r>
      <w:bookmarkEnd w:id="4"/>
      <w:r w:rsidRPr="00476171">
        <w:rPr>
          <w:rFonts w:ascii="Times New Roman" w:hAnsi="Times New Roman"/>
          <w:noProof/>
          <w:sz w:val="20"/>
          <w:lang w:val="de-DE"/>
        </w:rPr>
        <w:t>taat</w:t>
      </w:r>
    </w:p>
    <w:tbl>
      <w:tblPr>
        <w:tblW w:w="934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7"/>
        <w:gridCol w:w="1358"/>
        <w:gridCol w:w="1664"/>
        <w:gridCol w:w="1515"/>
        <w:gridCol w:w="1459"/>
        <w:gridCol w:w="1459"/>
        <w:gridCol w:w="1328"/>
      </w:tblGrid>
      <w:tr w:rsidR="004C1A4E" w:rsidRPr="00476171" w14:paraId="29DFAB21" w14:textId="77777777" w:rsidTr="006B2352">
        <w:trPr>
          <w:trHeight w:hRule="exact" w:val="871"/>
          <w:jc w:val="center"/>
        </w:trPr>
        <w:tc>
          <w:tcPr>
            <w:tcW w:w="557"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hideMark/>
          </w:tcPr>
          <w:p w14:paraId="1A181D1C" w14:textId="1F0C3E90" w:rsidR="004C1A4E" w:rsidRPr="00476171" w:rsidRDefault="004C1A4E" w:rsidP="004B01D5">
            <w:pPr>
              <w:jc w:val="center"/>
              <w:textAlignment w:val="baseline"/>
              <w:rPr>
                <w:rFonts w:ascii="Times New Roman" w:hAnsi="Times New Roman" w:cs="Times New Roman"/>
                <w:noProof/>
                <w:sz w:val="24"/>
                <w:lang w:val="de-DE"/>
              </w:rPr>
            </w:pPr>
            <w:r w:rsidRPr="00476171">
              <w:rPr>
                <w:rFonts w:ascii="Times New Roman" w:hAnsi="Times New Roman"/>
                <w:b/>
                <w:noProof/>
                <w:color w:val="FFFFFF"/>
                <w:lang w:val="de-DE"/>
              </w:rPr>
              <w:t>MS</w:t>
            </w:r>
          </w:p>
        </w:tc>
        <w:tc>
          <w:tcPr>
            <w:tcW w:w="1358"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2A218833" w14:textId="0169ECFC" w:rsidR="004C1A4E" w:rsidRPr="00476171" w:rsidRDefault="004C1A4E" w:rsidP="004B01D5">
            <w:pPr>
              <w:jc w:val="center"/>
              <w:textAlignment w:val="baseline"/>
              <w:rPr>
                <w:rFonts w:ascii="Times New Roman" w:hAnsi="Times New Roman" w:cs="Times New Roman"/>
                <w:noProof/>
                <w:sz w:val="24"/>
                <w:lang w:val="de-DE"/>
              </w:rPr>
            </w:pPr>
            <w:r w:rsidRPr="00476171">
              <w:rPr>
                <w:rFonts w:ascii="Times New Roman" w:hAnsi="Times New Roman"/>
                <w:b/>
                <w:noProof/>
                <w:color w:val="FFFFFF"/>
                <w:lang w:val="de-DE"/>
              </w:rPr>
              <w:t>Primärener</w:t>
            </w:r>
            <w:r w:rsidR="00686CD0">
              <w:rPr>
                <w:rFonts w:ascii="Times New Roman" w:hAnsi="Times New Roman"/>
                <w:b/>
                <w:noProof/>
                <w:color w:val="FFFFFF"/>
                <w:lang w:val="de-DE"/>
              </w:rPr>
              <w:softHyphen/>
            </w:r>
            <w:r w:rsidRPr="00476171">
              <w:rPr>
                <w:rFonts w:ascii="Times New Roman" w:hAnsi="Times New Roman"/>
                <w:b/>
                <w:noProof/>
                <w:color w:val="FFFFFF"/>
                <w:lang w:val="de-DE"/>
              </w:rPr>
              <w:t>gieverbrauch</w:t>
            </w:r>
          </w:p>
        </w:tc>
        <w:tc>
          <w:tcPr>
            <w:tcW w:w="1664"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6372DBE0" w14:textId="4B0A37C0" w:rsidR="004C1A4E" w:rsidRPr="00476171" w:rsidRDefault="004C1A4E" w:rsidP="004B01D5">
            <w:pPr>
              <w:jc w:val="center"/>
              <w:textAlignment w:val="baseline"/>
              <w:rPr>
                <w:rFonts w:ascii="Times New Roman" w:hAnsi="Times New Roman" w:cs="Times New Roman"/>
                <w:noProof/>
                <w:sz w:val="24"/>
                <w:lang w:val="de-DE"/>
              </w:rPr>
            </w:pPr>
            <w:r w:rsidRPr="00476171">
              <w:rPr>
                <w:rFonts w:ascii="Times New Roman" w:hAnsi="Times New Roman"/>
                <w:b/>
                <w:noProof/>
                <w:color w:val="FFFFFF"/>
                <w:lang w:val="de-DE"/>
              </w:rPr>
              <w:t>Vorgabe Primärenergie</w:t>
            </w:r>
            <w:r w:rsidR="006B2352">
              <w:rPr>
                <w:rFonts w:ascii="Times New Roman" w:hAnsi="Times New Roman"/>
                <w:b/>
                <w:noProof/>
                <w:color w:val="FFFFFF"/>
                <w:lang w:val="de-DE"/>
              </w:rPr>
              <w:softHyphen/>
            </w:r>
            <w:r w:rsidRPr="00476171">
              <w:rPr>
                <w:rFonts w:ascii="Times New Roman" w:hAnsi="Times New Roman"/>
                <w:b/>
                <w:noProof/>
                <w:color w:val="FFFFFF"/>
                <w:lang w:val="de-DE"/>
              </w:rPr>
              <w:t>verbrauch</w:t>
            </w:r>
          </w:p>
        </w:tc>
        <w:tc>
          <w:tcPr>
            <w:tcW w:w="1515"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486A07ED" w14:textId="235A38DE" w:rsidR="004C1A4E" w:rsidRPr="00476171" w:rsidRDefault="004C1A4E" w:rsidP="004B01D5">
            <w:pPr>
              <w:jc w:val="center"/>
              <w:textAlignment w:val="baseline"/>
              <w:rPr>
                <w:rFonts w:ascii="Times New Roman" w:hAnsi="Times New Roman" w:cs="Times New Roman"/>
                <w:noProof/>
                <w:sz w:val="24"/>
                <w:lang w:val="de-DE"/>
              </w:rPr>
            </w:pPr>
            <w:r w:rsidRPr="00476171">
              <w:rPr>
                <w:rFonts w:ascii="Times New Roman" w:hAnsi="Times New Roman"/>
                <w:b/>
                <w:noProof/>
                <w:color w:val="FFFFFF"/>
                <w:sz w:val="20"/>
                <w:lang w:val="de-DE"/>
              </w:rPr>
              <w:t>% erreicht, Primärenergie</w:t>
            </w:r>
            <w:r w:rsidR="006B2352">
              <w:rPr>
                <w:rFonts w:ascii="Times New Roman" w:hAnsi="Times New Roman"/>
                <w:b/>
                <w:noProof/>
                <w:color w:val="FFFFFF"/>
                <w:sz w:val="20"/>
                <w:lang w:val="de-DE"/>
              </w:rPr>
              <w:softHyphen/>
            </w:r>
            <w:r w:rsidRPr="00476171">
              <w:rPr>
                <w:rFonts w:ascii="Times New Roman" w:hAnsi="Times New Roman"/>
                <w:b/>
                <w:noProof/>
                <w:color w:val="FFFFFF"/>
                <w:sz w:val="20"/>
                <w:lang w:val="de-DE"/>
              </w:rPr>
              <w:t>verbrauch</w:t>
            </w:r>
          </w:p>
        </w:tc>
        <w:tc>
          <w:tcPr>
            <w:tcW w:w="1459"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26BEE9FD" w14:textId="4EB6CAAC" w:rsidR="004C1A4E" w:rsidRPr="00476171" w:rsidRDefault="004C1A4E" w:rsidP="004B01D5">
            <w:pPr>
              <w:jc w:val="center"/>
              <w:textAlignment w:val="baseline"/>
              <w:rPr>
                <w:rFonts w:ascii="Times New Roman" w:hAnsi="Times New Roman" w:cs="Times New Roman"/>
                <w:noProof/>
                <w:sz w:val="24"/>
                <w:lang w:val="de-DE"/>
              </w:rPr>
            </w:pPr>
            <w:r w:rsidRPr="00476171">
              <w:rPr>
                <w:rFonts w:ascii="Times New Roman" w:hAnsi="Times New Roman"/>
                <w:b/>
                <w:noProof/>
                <w:color w:val="FFFFFF"/>
                <w:lang w:val="de-DE"/>
              </w:rPr>
              <w:t>Endenergie</w:t>
            </w:r>
            <w:r w:rsidR="006B2352">
              <w:rPr>
                <w:rFonts w:ascii="Times New Roman" w:hAnsi="Times New Roman"/>
                <w:b/>
                <w:noProof/>
                <w:color w:val="FFFFFF"/>
                <w:lang w:val="de-DE"/>
              </w:rPr>
              <w:softHyphen/>
            </w:r>
            <w:r w:rsidRPr="00476171">
              <w:rPr>
                <w:rFonts w:ascii="Times New Roman" w:hAnsi="Times New Roman"/>
                <w:b/>
                <w:noProof/>
                <w:color w:val="FFFFFF"/>
                <w:lang w:val="de-DE"/>
              </w:rPr>
              <w:t>verbrauch</w:t>
            </w:r>
          </w:p>
        </w:tc>
        <w:tc>
          <w:tcPr>
            <w:tcW w:w="1459"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05234F0D" w14:textId="70341E9A" w:rsidR="004C1A4E" w:rsidRPr="00476171" w:rsidRDefault="004C1A4E" w:rsidP="004B01D5">
            <w:pPr>
              <w:jc w:val="center"/>
              <w:textAlignment w:val="baseline"/>
              <w:rPr>
                <w:rFonts w:ascii="Times New Roman" w:hAnsi="Times New Roman" w:cs="Times New Roman"/>
                <w:noProof/>
                <w:sz w:val="24"/>
                <w:lang w:val="de-DE"/>
              </w:rPr>
            </w:pPr>
            <w:r w:rsidRPr="00476171">
              <w:rPr>
                <w:rFonts w:ascii="Times New Roman" w:hAnsi="Times New Roman"/>
                <w:b/>
                <w:noProof/>
                <w:color w:val="FFFFFF"/>
                <w:lang w:val="de-DE"/>
              </w:rPr>
              <w:t>Vorgabe Endenergie</w:t>
            </w:r>
            <w:r w:rsidR="006B2352">
              <w:rPr>
                <w:rFonts w:ascii="Times New Roman" w:hAnsi="Times New Roman"/>
                <w:b/>
                <w:noProof/>
                <w:color w:val="FFFFFF"/>
                <w:lang w:val="de-DE"/>
              </w:rPr>
              <w:softHyphen/>
            </w:r>
            <w:r w:rsidRPr="00476171">
              <w:rPr>
                <w:rFonts w:ascii="Times New Roman" w:hAnsi="Times New Roman"/>
                <w:b/>
                <w:noProof/>
                <w:color w:val="FFFFFF"/>
                <w:lang w:val="de-DE"/>
              </w:rPr>
              <w:t>verbrauch</w:t>
            </w:r>
          </w:p>
        </w:tc>
        <w:tc>
          <w:tcPr>
            <w:tcW w:w="1328"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369C6BC8" w14:textId="668E7946" w:rsidR="004C1A4E" w:rsidRPr="00476171" w:rsidRDefault="004C1A4E" w:rsidP="004B01D5">
            <w:pPr>
              <w:jc w:val="center"/>
              <w:textAlignment w:val="baseline"/>
              <w:rPr>
                <w:rFonts w:ascii="Times New Roman" w:hAnsi="Times New Roman" w:cs="Times New Roman"/>
                <w:noProof/>
                <w:sz w:val="24"/>
                <w:lang w:val="de-DE"/>
              </w:rPr>
            </w:pPr>
            <w:r w:rsidRPr="00476171">
              <w:rPr>
                <w:rFonts w:ascii="Times New Roman" w:hAnsi="Times New Roman"/>
                <w:b/>
                <w:noProof/>
                <w:color w:val="FFFFFF"/>
                <w:sz w:val="20"/>
                <w:lang w:val="de-DE"/>
              </w:rPr>
              <w:t>% erreicht, Endenergie</w:t>
            </w:r>
            <w:r w:rsidR="006B2352">
              <w:rPr>
                <w:rFonts w:ascii="Times New Roman" w:hAnsi="Times New Roman"/>
                <w:b/>
                <w:noProof/>
                <w:color w:val="FFFFFF"/>
                <w:sz w:val="20"/>
                <w:lang w:val="de-DE"/>
              </w:rPr>
              <w:softHyphen/>
            </w:r>
            <w:r w:rsidRPr="00476171">
              <w:rPr>
                <w:rFonts w:ascii="Times New Roman" w:hAnsi="Times New Roman"/>
                <w:b/>
                <w:noProof/>
                <w:color w:val="FFFFFF"/>
                <w:sz w:val="20"/>
                <w:lang w:val="de-DE"/>
              </w:rPr>
              <w:t>verbrauch</w:t>
            </w:r>
          </w:p>
        </w:tc>
      </w:tr>
      <w:tr w:rsidR="004C1A4E" w:rsidRPr="00476171" w14:paraId="6F11AA5E"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04B4D1CE" w14:textId="77777777"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BE</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27E183E2" w14:textId="2774EACB" w:rsidR="004C1A4E" w:rsidRPr="00476171" w:rsidRDefault="004C1A4E"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43,9 </w:t>
            </w:r>
          </w:p>
        </w:tc>
        <w:tc>
          <w:tcPr>
            <w:tcW w:w="1664" w:type="dxa"/>
            <w:tcBorders>
              <w:top w:val="nil"/>
              <w:left w:val="nil"/>
              <w:bottom w:val="single" w:sz="8" w:space="0" w:color="auto"/>
              <w:right w:val="single" w:sz="8" w:space="0" w:color="auto"/>
            </w:tcBorders>
            <w:vAlign w:val="center"/>
            <w:hideMark/>
          </w:tcPr>
          <w:p w14:paraId="118D49D9" w14:textId="647CFA86"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43,7 </w:t>
            </w:r>
          </w:p>
        </w:tc>
        <w:tc>
          <w:tcPr>
            <w:tcW w:w="1515" w:type="dxa"/>
            <w:tcBorders>
              <w:top w:val="nil"/>
              <w:left w:val="nil"/>
              <w:bottom w:val="single" w:sz="8" w:space="0" w:color="auto"/>
              <w:right w:val="single" w:sz="8" w:space="0" w:color="auto"/>
            </w:tcBorders>
            <w:vAlign w:val="center"/>
            <w:hideMark/>
          </w:tcPr>
          <w:p w14:paraId="7456CE04" w14:textId="3B192500"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99,6 % </w:t>
            </w:r>
          </w:p>
        </w:tc>
        <w:tc>
          <w:tcPr>
            <w:tcW w:w="1459" w:type="dxa"/>
            <w:tcBorders>
              <w:top w:val="nil"/>
              <w:left w:val="nil"/>
              <w:bottom w:val="single" w:sz="8" w:space="0" w:color="auto"/>
              <w:right w:val="single" w:sz="8" w:space="0" w:color="auto"/>
            </w:tcBorders>
            <w:vAlign w:val="center"/>
            <w:hideMark/>
          </w:tcPr>
          <w:p w14:paraId="412A5488" w14:textId="288C522A"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33,3 </w:t>
            </w:r>
          </w:p>
        </w:tc>
        <w:tc>
          <w:tcPr>
            <w:tcW w:w="1459" w:type="dxa"/>
            <w:tcBorders>
              <w:top w:val="nil"/>
              <w:left w:val="nil"/>
              <w:bottom w:val="single" w:sz="8" w:space="0" w:color="auto"/>
              <w:right w:val="single" w:sz="8" w:space="0" w:color="auto"/>
            </w:tcBorders>
            <w:vAlign w:val="center"/>
            <w:hideMark/>
          </w:tcPr>
          <w:p w14:paraId="0FF9C099" w14:textId="3BD39507" w:rsidR="004C1A4E" w:rsidRPr="00476171" w:rsidRDefault="004C1A4E"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32,5 </w:t>
            </w:r>
          </w:p>
        </w:tc>
        <w:tc>
          <w:tcPr>
            <w:tcW w:w="1328" w:type="dxa"/>
            <w:tcBorders>
              <w:top w:val="nil"/>
              <w:left w:val="nil"/>
              <w:bottom w:val="single" w:sz="8" w:space="0" w:color="auto"/>
              <w:right w:val="single" w:sz="8" w:space="0" w:color="auto"/>
            </w:tcBorders>
            <w:vAlign w:val="center"/>
            <w:hideMark/>
          </w:tcPr>
          <w:p w14:paraId="7B5E633A" w14:textId="68E638FA"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97,6 % </w:t>
            </w:r>
          </w:p>
        </w:tc>
      </w:tr>
      <w:tr w:rsidR="004C1A4E" w:rsidRPr="00476171" w14:paraId="18C437DE"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13C1D38F" w14:textId="77777777"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BG</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0DDDCEB9" w14:textId="42366331"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17,2 </w:t>
            </w:r>
          </w:p>
        </w:tc>
        <w:tc>
          <w:tcPr>
            <w:tcW w:w="1664" w:type="dxa"/>
            <w:tcBorders>
              <w:top w:val="nil"/>
              <w:left w:val="nil"/>
              <w:bottom w:val="single" w:sz="8" w:space="0" w:color="auto"/>
              <w:right w:val="single" w:sz="8" w:space="0" w:color="auto"/>
            </w:tcBorders>
            <w:vAlign w:val="center"/>
            <w:hideMark/>
          </w:tcPr>
          <w:p w14:paraId="11504469" w14:textId="4C544BC2"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16,9 </w:t>
            </w:r>
          </w:p>
        </w:tc>
        <w:tc>
          <w:tcPr>
            <w:tcW w:w="1515" w:type="dxa"/>
            <w:tcBorders>
              <w:top w:val="nil"/>
              <w:left w:val="nil"/>
              <w:bottom w:val="single" w:sz="8" w:space="0" w:color="auto"/>
              <w:right w:val="single" w:sz="8" w:space="0" w:color="auto"/>
            </w:tcBorders>
            <w:vAlign w:val="center"/>
            <w:hideMark/>
          </w:tcPr>
          <w:p w14:paraId="4F5D2245" w14:textId="36F68A28"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98,1 % </w:t>
            </w:r>
          </w:p>
        </w:tc>
        <w:tc>
          <w:tcPr>
            <w:tcW w:w="1459" w:type="dxa"/>
            <w:tcBorders>
              <w:top w:val="nil"/>
              <w:left w:val="nil"/>
              <w:bottom w:val="single" w:sz="8" w:space="0" w:color="auto"/>
              <w:right w:val="single" w:sz="8" w:space="0" w:color="auto"/>
            </w:tcBorders>
            <w:vAlign w:val="center"/>
            <w:hideMark/>
          </w:tcPr>
          <w:p w14:paraId="42F89EC3" w14:textId="5E633CBC"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9,5 </w:t>
            </w:r>
          </w:p>
        </w:tc>
        <w:tc>
          <w:tcPr>
            <w:tcW w:w="1459" w:type="dxa"/>
            <w:tcBorders>
              <w:top w:val="nil"/>
              <w:left w:val="nil"/>
              <w:bottom w:val="single" w:sz="8" w:space="0" w:color="auto"/>
              <w:right w:val="single" w:sz="8" w:space="0" w:color="auto"/>
            </w:tcBorders>
            <w:vAlign w:val="center"/>
            <w:hideMark/>
          </w:tcPr>
          <w:p w14:paraId="56EF75AE" w14:textId="4D6A78DF" w:rsidR="004C1A4E" w:rsidRPr="00476171" w:rsidRDefault="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8,6 </w:t>
            </w:r>
          </w:p>
        </w:tc>
        <w:tc>
          <w:tcPr>
            <w:tcW w:w="1328" w:type="dxa"/>
            <w:tcBorders>
              <w:top w:val="nil"/>
              <w:left w:val="nil"/>
              <w:bottom w:val="single" w:sz="8" w:space="0" w:color="auto"/>
              <w:right w:val="single" w:sz="8" w:space="0" w:color="auto"/>
            </w:tcBorders>
            <w:vAlign w:val="center"/>
            <w:hideMark/>
          </w:tcPr>
          <w:p w14:paraId="3B82820E" w14:textId="4CF05F79" w:rsidR="004C1A4E" w:rsidRPr="00476171" w:rsidRDefault="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90,6 % </w:t>
            </w:r>
          </w:p>
        </w:tc>
      </w:tr>
      <w:tr w:rsidR="004C1A4E" w:rsidRPr="00476171" w14:paraId="3DB30BF5"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3A9FFEE3" w14:textId="77777777"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CZ</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27022FFF" w14:textId="314A9095"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37,5 </w:t>
            </w:r>
          </w:p>
        </w:tc>
        <w:tc>
          <w:tcPr>
            <w:tcW w:w="1664" w:type="dxa"/>
            <w:tcBorders>
              <w:top w:val="nil"/>
              <w:left w:val="nil"/>
              <w:bottom w:val="single" w:sz="8" w:space="0" w:color="auto"/>
              <w:right w:val="single" w:sz="8" w:space="0" w:color="auto"/>
            </w:tcBorders>
            <w:vAlign w:val="center"/>
            <w:hideMark/>
          </w:tcPr>
          <w:p w14:paraId="19F801D6" w14:textId="3F938D21"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44,3 </w:t>
            </w:r>
          </w:p>
        </w:tc>
        <w:tc>
          <w:tcPr>
            <w:tcW w:w="1515" w:type="dxa"/>
            <w:tcBorders>
              <w:top w:val="nil"/>
              <w:left w:val="nil"/>
              <w:bottom w:val="single" w:sz="8" w:space="0" w:color="auto"/>
              <w:right w:val="single" w:sz="8" w:space="0" w:color="auto"/>
            </w:tcBorders>
            <w:vAlign w:val="center"/>
            <w:hideMark/>
          </w:tcPr>
          <w:p w14:paraId="5A6B2B0F" w14:textId="00A0A5BB"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118,2 % </w:t>
            </w:r>
          </w:p>
        </w:tc>
        <w:tc>
          <w:tcPr>
            <w:tcW w:w="1459" w:type="dxa"/>
            <w:tcBorders>
              <w:top w:val="nil"/>
              <w:left w:val="nil"/>
              <w:bottom w:val="single" w:sz="8" w:space="0" w:color="auto"/>
              <w:right w:val="single" w:sz="8" w:space="0" w:color="auto"/>
            </w:tcBorders>
            <w:vAlign w:val="center"/>
            <w:hideMark/>
          </w:tcPr>
          <w:p w14:paraId="5C5FC0C1" w14:textId="00C2A807" w:rsidR="004C1A4E" w:rsidRPr="00476171" w:rsidRDefault="004C1A4E"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24,5 </w:t>
            </w:r>
          </w:p>
        </w:tc>
        <w:tc>
          <w:tcPr>
            <w:tcW w:w="1459" w:type="dxa"/>
            <w:tcBorders>
              <w:top w:val="nil"/>
              <w:left w:val="nil"/>
              <w:bottom w:val="single" w:sz="8" w:space="0" w:color="auto"/>
              <w:right w:val="single" w:sz="8" w:space="0" w:color="auto"/>
            </w:tcBorders>
            <w:vAlign w:val="center"/>
            <w:hideMark/>
          </w:tcPr>
          <w:p w14:paraId="607291F0" w14:textId="01854198" w:rsidR="004C1A4E" w:rsidRPr="00476171" w:rsidRDefault="004C1A4E"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25,3 </w:t>
            </w:r>
          </w:p>
        </w:tc>
        <w:tc>
          <w:tcPr>
            <w:tcW w:w="1328" w:type="dxa"/>
            <w:tcBorders>
              <w:top w:val="nil"/>
              <w:left w:val="nil"/>
              <w:bottom w:val="single" w:sz="8" w:space="0" w:color="auto"/>
              <w:right w:val="single" w:sz="8" w:space="0" w:color="auto"/>
            </w:tcBorders>
            <w:vAlign w:val="center"/>
            <w:hideMark/>
          </w:tcPr>
          <w:p w14:paraId="26559E9F" w14:textId="6F7DDF96"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103,4 % </w:t>
            </w:r>
          </w:p>
        </w:tc>
      </w:tr>
      <w:tr w:rsidR="004C1A4E" w:rsidRPr="00476171" w14:paraId="34F2F71D"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18DE99D0" w14:textId="77777777"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DK</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2EBF71F1" w14:textId="61AD3677"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15,3 </w:t>
            </w:r>
          </w:p>
        </w:tc>
        <w:tc>
          <w:tcPr>
            <w:tcW w:w="1664" w:type="dxa"/>
            <w:tcBorders>
              <w:top w:val="nil"/>
              <w:left w:val="nil"/>
              <w:bottom w:val="single" w:sz="8" w:space="0" w:color="auto"/>
              <w:right w:val="single" w:sz="8" w:space="0" w:color="auto"/>
            </w:tcBorders>
            <w:vAlign w:val="center"/>
            <w:hideMark/>
          </w:tcPr>
          <w:p w14:paraId="0182F8EE" w14:textId="46CCE34F"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17,5 </w:t>
            </w:r>
          </w:p>
        </w:tc>
        <w:tc>
          <w:tcPr>
            <w:tcW w:w="1515" w:type="dxa"/>
            <w:tcBorders>
              <w:top w:val="nil"/>
              <w:left w:val="nil"/>
              <w:bottom w:val="single" w:sz="8" w:space="0" w:color="auto"/>
              <w:right w:val="single" w:sz="8" w:space="0" w:color="auto"/>
            </w:tcBorders>
            <w:vAlign w:val="center"/>
            <w:hideMark/>
          </w:tcPr>
          <w:p w14:paraId="189475CA" w14:textId="56687635"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114,3 % </w:t>
            </w:r>
          </w:p>
        </w:tc>
        <w:tc>
          <w:tcPr>
            <w:tcW w:w="1459" w:type="dxa"/>
            <w:tcBorders>
              <w:top w:val="nil"/>
              <w:left w:val="nil"/>
              <w:bottom w:val="single" w:sz="8" w:space="0" w:color="auto"/>
              <w:right w:val="single" w:sz="8" w:space="0" w:color="auto"/>
            </w:tcBorders>
            <w:vAlign w:val="center"/>
            <w:hideMark/>
          </w:tcPr>
          <w:p w14:paraId="12778A1F" w14:textId="46FC4FE4"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13,1 </w:t>
            </w:r>
          </w:p>
        </w:tc>
        <w:tc>
          <w:tcPr>
            <w:tcW w:w="1459" w:type="dxa"/>
            <w:tcBorders>
              <w:top w:val="nil"/>
              <w:left w:val="nil"/>
              <w:bottom w:val="single" w:sz="8" w:space="0" w:color="auto"/>
              <w:right w:val="single" w:sz="8" w:space="0" w:color="auto"/>
            </w:tcBorders>
            <w:vAlign w:val="center"/>
            <w:hideMark/>
          </w:tcPr>
          <w:p w14:paraId="0EFA8E09" w14:textId="372EA2BF" w:rsidR="004C1A4E" w:rsidRPr="00476171" w:rsidRDefault="004C1A4E"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15,2 </w:t>
            </w:r>
          </w:p>
        </w:tc>
        <w:tc>
          <w:tcPr>
            <w:tcW w:w="1328" w:type="dxa"/>
            <w:tcBorders>
              <w:top w:val="nil"/>
              <w:left w:val="nil"/>
              <w:bottom w:val="single" w:sz="8" w:space="0" w:color="auto"/>
              <w:right w:val="single" w:sz="8" w:space="0" w:color="auto"/>
            </w:tcBorders>
            <w:vAlign w:val="center"/>
            <w:hideMark/>
          </w:tcPr>
          <w:p w14:paraId="3D27A508" w14:textId="71777BF0" w:rsidR="004C1A4E" w:rsidRPr="00476171" w:rsidRDefault="004C1A4E"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115,4 % </w:t>
            </w:r>
          </w:p>
        </w:tc>
      </w:tr>
      <w:tr w:rsidR="004C1A4E" w:rsidRPr="00476171" w14:paraId="12C6E6E7"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67FEF58A" w14:textId="77777777"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DE</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3B1E9F73" w14:textId="663F6A76"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262,3 </w:t>
            </w:r>
          </w:p>
        </w:tc>
        <w:tc>
          <w:tcPr>
            <w:tcW w:w="1664" w:type="dxa"/>
            <w:tcBorders>
              <w:top w:val="nil"/>
              <w:left w:val="nil"/>
              <w:bottom w:val="single" w:sz="8" w:space="0" w:color="auto"/>
              <w:right w:val="single" w:sz="8" w:space="0" w:color="auto"/>
            </w:tcBorders>
            <w:vAlign w:val="center"/>
            <w:hideMark/>
          </w:tcPr>
          <w:p w14:paraId="20D7E355" w14:textId="256C5AB5" w:rsidR="004C1A4E" w:rsidRPr="00476171" w:rsidRDefault="004C1A4E"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276,6 </w:t>
            </w:r>
          </w:p>
        </w:tc>
        <w:tc>
          <w:tcPr>
            <w:tcW w:w="1515" w:type="dxa"/>
            <w:tcBorders>
              <w:top w:val="nil"/>
              <w:left w:val="nil"/>
              <w:bottom w:val="single" w:sz="8" w:space="0" w:color="auto"/>
              <w:right w:val="single" w:sz="8" w:space="0" w:color="auto"/>
            </w:tcBorders>
            <w:vAlign w:val="center"/>
            <w:hideMark/>
          </w:tcPr>
          <w:p w14:paraId="15390494" w14:textId="1363463E"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105,4 % </w:t>
            </w:r>
          </w:p>
        </w:tc>
        <w:tc>
          <w:tcPr>
            <w:tcW w:w="1459" w:type="dxa"/>
            <w:tcBorders>
              <w:top w:val="nil"/>
              <w:left w:val="nil"/>
              <w:bottom w:val="single" w:sz="8" w:space="0" w:color="auto"/>
              <w:right w:val="single" w:sz="8" w:space="0" w:color="auto"/>
            </w:tcBorders>
            <w:vAlign w:val="center"/>
            <w:hideMark/>
          </w:tcPr>
          <w:p w14:paraId="47716D4B" w14:textId="0D6ED5BA" w:rsidR="004C1A4E" w:rsidRPr="00476171" w:rsidRDefault="004C1A4E"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201,7 </w:t>
            </w:r>
          </w:p>
        </w:tc>
        <w:tc>
          <w:tcPr>
            <w:tcW w:w="1459" w:type="dxa"/>
            <w:tcBorders>
              <w:top w:val="nil"/>
              <w:left w:val="nil"/>
              <w:bottom w:val="single" w:sz="8" w:space="0" w:color="auto"/>
              <w:right w:val="single" w:sz="8" w:space="0" w:color="auto"/>
            </w:tcBorders>
            <w:vAlign w:val="center"/>
            <w:hideMark/>
          </w:tcPr>
          <w:p w14:paraId="657AB3AE" w14:textId="1D61DB1D" w:rsidR="004C1A4E" w:rsidRPr="00476171" w:rsidRDefault="004C1A4E"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194,3 </w:t>
            </w:r>
          </w:p>
        </w:tc>
        <w:tc>
          <w:tcPr>
            <w:tcW w:w="1328" w:type="dxa"/>
            <w:tcBorders>
              <w:top w:val="nil"/>
              <w:left w:val="nil"/>
              <w:bottom w:val="single" w:sz="8" w:space="0" w:color="auto"/>
              <w:right w:val="single" w:sz="8" w:space="0" w:color="auto"/>
            </w:tcBorders>
            <w:vAlign w:val="center"/>
            <w:hideMark/>
          </w:tcPr>
          <w:p w14:paraId="2F4C0775" w14:textId="4535ECF4"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96,4 % </w:t>
            </w:r>
          </w:p>
        </w:tc>
      </w:tr>
      <w:tr w:rsidR="004C1A4E" w:rsidRPr="00476171" w14:paraId="5A31590F"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7394E5C3" w14:textId="77777777"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EE</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323F4C5F" w14:textId="57C59BC3"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4,3 </w:t>
            </w:r>
          </w:p>
        </w:tc>
        <w:tc>
          <w:tcPr>
            <w:tcW w:w="1664" w:type="dxa"/>
            <w:tcBorders>
              <w:top w:val="nil"/>
              <w:left w:val="nil"/>
              <w:bottom w:val="single" w:sz="8" w:space="0" w:color="auto"/>
              <w:right w:val="single" w:sz="8" w:space="0" w:color="auto"/>
            </w:tcBorders>
            <w:vAlign w:val="center"/>
            <w:hideMark/>
          </w:tcPr>
          <w:p w14:paraId="4161ACF5" w14:textId="17D5A27D" w:rsidR="004C1A4E" w:rsidRPr="00476171" w:rsidRDefault="00E37DB7">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5,5 </w:t>
            </w:r>
          </w:p>
        </w:tc>
        <w:tc>
          <w:tcPr>
            <w:tcW w:w="1515" w:type="dxa"/>
            <w:tcBorders>
              <w:top w:val="nil"/>
              <w:left w:val="nil"/>
              <w:bottom w:val="single" w:sz="8" w:space="0" w:color="auto"/>
              <w:right w:val="single" w:sz="8" w:space="0" w:color="auto"/>
            </w:tcBorders>
            <w:vAlign w:val="center"/>
            <w:hideMark/>
          </w:tcPr>
          <w:p w14:paraId="5B3501AD" w14:textId="52A8F253"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127,5 % </w:t>
            </w:r>
          </w:p>
        </w:tc>
        <w:tc>
          <w:tcPr>
            <w:tcW w:w="1459" w:type="dxa"/>
            <w:tcBorders>
              <w:top w:val="nil"/>
              <w:left w:val="nil"/>
              <w:bottom w:val="single" w:sz="8" w:space="0" w:color="auto"/>
              <w:right w:val="single" w:sz="8" w:space="0" w:color="auto"/>
            </w:tcBorders>
            <w:vAlign w:val="center"/>
            <w:hideMark/>
          </w:tcPr>
          <w:p w14:paraId="1B8E3F6A" w14:textId="4A7A3975"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2,8 </w:t>
            </w:r>
          </w:p>
        </w:tc>
        <w:tc>
          <w:tcPr>
            <w:tcW w:w="1459" w:type="dxa"/>
            <w:tcBorders>
              <w:top w:val="nil"/>
              <w:left w:val="nil"/>
              <w:bottom w:val="single" w:sz="8" w:space="0" w:color="auto"/>
              <w:right w:val="single" w:sz="8" w:space="0" w:color="auto"/>
            </w:tcBorders>
            <w:vAlign w:val="center"/>
            <w:hideMark/>
          </w:tcPr>
          <w:p w14:paraId="3B2378C2" w14:textId="4A2415ED"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2,9</w:t>
            </w:r>
          </w:p>
        </w:tc>
        <w:tc>
          <w:tcPr>
            <w:tcW w:w="1328" w:type="dxa"/>
            <w:tcBorders>
              <w:top w:val="nil"/>
              <w:left w:val="nil"/>
              <w:bottom w:val="single" w:sz="8" w:space="0" w:color="auto"/>
              <w:right w:val="single" w:sz="8" w:space="0" w:color="auto"/>
            </w:tcBorders>
            <w:vAlign w:val="center"/>
            <w:hideMark/>
          </w:tcPr>
          <w:p w14:paraId="5ADC8D9B" w14:textId="53B6A722" w:rsidR="004C1A4E" w:rsidRPr="00476171" w:rsidRDefault="00E37DB7" w:rsidP="00E37DB7">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105,4 % </w:t>
            </w:r>
          </w:p>
        </w:tc>
      </w:tr>
      <w:tr w:rsidR="004C1A4E" w:rsidRPr="00476171" w14:paraId="3C537D12"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323287EA" w14:textId="77777777"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IE</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5794F253" w14:textId="114E11FB" w:rsidR="004C1A4E" w:rsidRPr="00476171" w:rsidRDefault="004C1A4E"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13,4 </w:t>
            </w:r>
          </w:p>
        </w:tc>
        <w:tc>
          <w:tcPr>
            <w:tcW w:w="1664" w:type="dxa"/>
            <w:tcBorders>
              <w:top w:val="nil"/>
              <w:left w:val="nil"/>
              <w:bottom w:val="single" w:sz="8" w:space="0" w:color="auto"/>
              <w:right w:val="single" w:sz="8" w:space="0" w:color="auto"/>
            </w:tcBorders>
            <w:vAlign w:val="center"/>
            <w:hideMark/>
          </w:tcPr>
          <w:p w14:paraId="08213D96" w14:textId="2B5D03EC" w:rsidR="004C1A4E" w:rsidRPr="00476171" w:rsidRDefault="004C1A4E"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13,9 </w:t>
            </w:r>
          </w:p>
        </w:tc>
        <w:tc>
          <w:tcPr>
            <w:tcW w:w="1515" w:type="dxa"/>
            <w:tcBorders>
              <w:top w:val="nil"/>
              <w:left w:val="nil"/>
              <w:bottom w:val="single" w:sz="8" w:space="0" w:color="auto"/>
              <w:right w:val="single" w:sz="8" w:space="0" w:color="auto"/>
            </w:tcBorders>
            <w:vAlign w:val="center"/>
            <w:hideMark/>
          </w:tcPr>
          <w:p w14:paraId="7E445863" w14:textId="1ABEC557"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103,5 % </w:t>
            </w:r>
          </w:p>
        </w:tc>
        <w:tc>
          <w:tcPr>
            <w:tcW w:w="1459" w:type="dxa"/>
            <w:tcBorders>
              <w:top w:val="nil"/>
              <w:left w:val="nil"/>
              <w:bottom w:val="single" w:sz="8" w:space="0" w:color="auto"/>
              <w:right w:val="single" w:sz="8" w:space="0" w:color="auto"/>
            </w:tcBorders>
            <w:vAlign w:val="center"/>
            <w:hideMark/>
          </w:tcPr>
          <w:p w14:paraId="1EFFD750" w14:textId="4F8F9294" w:rsidR="004C1A4E" w:rsidRPr="00476171" w:rsidRDefault="004C1A4E"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11,2 </w:t>
            </w:r>
          </w:p>
        </w:tc>
        <w:tc>
          <w:tcPr>
            <w:tcW w:w="1459" w:type="dxa"/>
            <w:tcBorders>
              <w:top w:val="nil"/>
              <w:left w:val="nil"/>
              <w:bottom w:val="single" w:sz="8" w:space="0" w:color="auto"/>
              <w:right w:val="single" w:sz="8" w:space="0" w:color="auto"/>
            </w:tcBorders>
            <w:vAlign w:val="center"/>
            <w:hideMark/>
          </w:tcPr>
          <w:p w14:paraId="57F3C997" w14:textId="43FEEA30" w:rsidR="004C1A4E" w:rsidRPr="00476171" w:rsidRDefault="004C1A4E"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11,7 </w:t>
            </w:r>
          </w:p>
        </w:tc>
        <w:tc>
          <w:tcPr>
            <w:tcW w:w="1328" w:type="dxa"/>
            <w:tcBorders>
              <w:top w:val="nil"/>
              <w:left w:val="nil"/>
              <w:bottom w:val="single" w:sz="8" w:space="0" w:color="auto"/>
              <w:right w:val="single" w:sz="8" w:space="0" w:color="auto"/>
            </w:tcBorders>
            <w:vAlign w:val="center"/>
            <w:hideMark/>
          </w:tcPr>
          <w:p w14:paraId="3E89822B" w14:textId="6546B631"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104,7 % </w:t>
            </w:r>
          </w:p>
        </w:tc>
      </w:tr>
      <w:tr w:rsidR="004C1A4E" w:rsidRPr="00476171" w14:paraId="5E8EBA47"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69F1E005" w14:textId="77777777"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EL</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7F2C20C4" w14:textId="2326FA34"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19,2 </w:t>
            </w:r>
          </w:p>
        </w:tc>
        <w:tc>
          <w:tcPr>
            <w:tcW w:w="1664" w:type="dxa"/>
            <w:tcBorders>
              <w:top w:val="nil"/>
              <w:left w:val="nil"/>
              <w:bottom w:val="single" w:sz="8" w:space="0" w:color="auto"/>
              <w:right w:val="single" w:sz="8" w:space="0" w:color="auto"/>
            </w:tcBorders>
            <w:vAlign w:val="center"/>
            <w:hideMark/>
          </w:tcPr>
          <w:p w14:paraId="5AF1F032" w14:textId="6BB738DB"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24,7 </w:t>
            </w:r>
          </w:p>
        </w:tc>
        <w:tc>
          <w:tcPr>
            <w:tcW w:w="1515" w:type="dxa"/>
            <w:tcBorders>
              <w:top w:val="nil"/>
              <w:left w:val="nil"/>
              <w:bottom w:val="single" w:sz="8" w:space="0" w:color="auto"/>
              <w:right w:val="single" w:sz="8" w:space="0" w:color="auto"/>
            </w:tcBorders>
            <w:vAlign w:val="center"/>
            <w:hideMark/>
          </w:tcPr>
          <w:p w14:paraId="0E9884B6" w14:textId="5C6C730A"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128,4 % </w:t>
            </w:r>
          </w:p>
        </w:tc>
        <w:tc>
          <w:tcPr>
            <w:tcW w:w="1459" w:type="dxa"/>
            <w:tcBorders>
              <w:top w:val="nil"/>
              <w:left w:val="nil"/>
              <w:bottom w:val="single" w:sz="8" w:space="0" w:color="auto"/>
              <w:right w:val="single" w:sz="8" w:space="0" w:color="auto"/>
            </w:tcBorders>
            <w:vAlign w:val="center"/>
            <w:hideMark/>
          </w:tcPr>
          <w:p w14:paraId="0C27E5BB" w14:textId="0E01727C"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14,5 </w:t>
            </w:r>
          </w:p>
        </w:tc>
        <w:tc>
          <w:tcPr>
            <w:tcW w:w="1459" w:type="dxa"/>
            <w:tcBorders>
              <w:top w:val="nil"/>
              <w:left w:val="nil"/>
              <w:bottom w:val="single" w:sz="8" w:space="0" w:color="auto"/>
              <w:right w:val="single" w:sz="8" w:space="0" w:color="auto"/>
            </w:tcBorders>
            <w:vAlign w:val="center"/>
            <w:hideMark/>
          </w:tcPr>
          <w:p w14:paraId="71A4DF78" w14:textId="60AE5D01" w:rsidR="004C1A4E" w:rsidRPr="00476171" w:rsidRDefault="004C1A4E"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18,4 </w:t>
            </w:r>
          </w:p>
        </w:tc>
        <w:tc>
          <w:tcPr>
            <w:tcW w:w="1328" w:type="dxa"/>
            <w:tcBorders>
              <w:top w:val="nil"/>
              <w:left w:val="nil"/>
              <w:bottom w:val="single" w:sz="8" w:space="0" w:color="auto"/>
              <w:right w:val="single" w:sz="8" w:space="0" w:color="auto"/>
            </w:tcBorders>
            <w:vAlign w:val="center"/>
            <w:hideMark/>
          </w:tcPr>
          <w:p w14:paraId="5D1DE2B2" w14:textId="34B9BFEF"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127,3 % </w:t>
            </w:r>
          </w:p>
        </w:tc>
      </w:tr>
      <w:tr w:rsidR="004C1A4E" w:rsidRPr="00476171" w14:paraId="65D85801"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248D1A0D" w14:textId="77777777"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ES</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542D198C" w14:textId="0C77718A" w:rsidR="004C1A4E" w:rsidRPr="00476171" w:rsidRDefault="004C1A4E"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105,0 </w:t>
            </w:r>
          </w:p>
        </w:tc>
        <w:tc>
          <w:tcPr>
            <w:tcW w:w="1664" w:type="dxa"/>
            <w:tcBorders>
              <w:top w:val="nil"/>
              <w:left w:val="nil"/>
              <w:bottom w:val="single" w:sz="8" w:space="0" w:color="auto"/>
              <w:right w:val="single" w:sz="8" w:space="0" w:color="auto"/>
            </w:tcBorders>
            <w:vAlign w:val="center"/>
            <w:hideMark/>
          </w:tcPr>
          <w:p w14:paraId="6139EBDF" w14:textId="456D00AC" w:rsidR="004C1A4E" w:rsidRPr="00476171" w:rsidRDefault="004C1A4E"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123,4 </w:t>
            </w:r>
          </w:p>
        </w:tc>
        <w:tc>
          <w:tcPr>
            <w:tcW w:w="1515" w:type="dxa"/>
            <w:tcBorders>
              <w:top w:val="nil"/>
              <w:left w:val="nil"/>
              <w:bottom w:val="single" w:sz="8" w:space="0" w:color="auto"/>
              <w:right w:val="single" w:sz="8" w:space="0" w:color="auto"/>
            </w:tcBorders>
            <w:vAlign w:val="center"/>
            <w:hideMark/>
          </w:tcPr>
          <w:p w14:paraId="061AA5F4" w14:textId="22A44256"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117,5 % </w:t>
            </w:r>
          </w:p>
        </w:tc>
        <w:tc>
          <w:tcPr>
            <w:tcW w:w="1459" w:type="dxa"/>
            <w:tcBorders>
              <w:top w:val="nil"/>
              <w:left w:val="nil"/>
              <w:bottom w:val="single" w:sz="8" w:space="0" w:color="auto"/>
              <w:right w:val="single" w:sz="8" w:space="0" w:color="auto"/>
            </w:tcBorders>
            <w:vAlign w:val="center"/>
            <w:hideMark/>
          </w:tcPr>
          <w:p w14:paraId="475D303F" w14:textId="0CB5D44E"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73,8 </w:t>
            </w:r>
          </w:p>
        </w:tc>
        <w:tc>
          <w:tcPr>
            <w:tcW w:w="1459" w:type="dxa"/>
            <w:tcBorders>
              <w:top w:val="nil"/>
              <w:left w:val="nil"/>
              <w:bottom w:val="single" w:sz="8" w:space="0" w:color="auto"/>
              <w:right w:val="single" w:sz="8" w:space="0" w:color="auto"/>
            </w:tcBorders>
            <w:vAlign w:val="center"/>
            <w:hideMark/>
          </w:tcPr>
          <w:p w14:paraId="5D10B9FA" w14:textId="06E27DDC" w:rsidR="004C1A4E" w:rsidRPr="00476171" w:rsidRDefault="004C1A4E"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86,3 </w:t>
            </w:r>
          </w:p>
        </w:tc>
        <w:tc>
          <w:tcPr>
            <w:tcW w:w="1328" w:type="dxa"/>
            <w:tcBorders>
              <w:top w:val="nil"/>
              <w:left w:val="nil"/>
              <w:bottom w:val="single" w:sz="8" w:space="0" w:color="auto"/>
              <w:right w:val="single" w:sz="8" w:space="0" w:color="auto"/>
            </w:tcBorders>
            <w:vAlign w:val="center"/>
            <w:hideMark/>
          </w:tcPr>
          <w:p w14:paraId="65BB8489" w14:textId="516AEBE3" w:rsidR="004C1A4E" w:rsidRPr="00476171" w:rsidRDefault="004C1A4E" w:rsidP="0020258B">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117,0 % </w:t>
            </w:r>
          </w:p>
        </w:tc>
      </w:tr>
      <w:tr w:rsidR="004C1A4E" w:rsidRPr="00476171" w14:paraId="362CF511"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37B50F35" w14:textId="77777777"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FR</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38152CDC" w14:textId="0849FEF3" w:rsidR="004C1A4E" w:rsidRPr="00476171" w:rsidRDefault="004C1A4E"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208,4 </w:t>
            </w:r>
          </w:p>
        </w:tc>
        <w:tc>
          <w:tcPr>
            <w:tcW w:w="1664" w:type="dxa"/>
            <w:tcBorders>
              <w:top w:val="nil"/>
              <w:left w:val="nil"/>
              <w:bottom w:val="single" w:sz="8" w:space="0" w:color="auto"/>
              <w:right w:val="single" w:sz="8" w:space="0" w:color="auto"/>
            </w:tcBorders>
            <w:vAlign w:val="center"/>
            <w:hideMark/>
          </w:tcPr>
          <w:p w14:paraId="1F66CE23" w14:textId="704B5492"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226,40 </w:t>
            </w:r>
          </w:p>
        </w:tc>
        <w:tc>
          <w:tcPr>
            <w:tcW w:w="1515" w:type="dxa"/>
            <w:tcBorders>
              <w:top w:val="nil"/>
              <w:left w:val="nil"/>
              <w:bottom w:val="single" w:sz="8" w:space="0" w:color="auto"/>
              <w:right w:val="single" w:sz="8" w:space="0" w:color="auto"/>
            </w:tcBorders>
            <w:vAlign w:val="center"/>
            <w:hideMark/>
          </w:tcPr>
          <w:p w14:paraId="45FEE2DD" w14:textId="33F4C42B"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108,6 % </w:t>
            </w:r>
          </w:p>
        </w:tc>
        <w:tc>
          <w:tcPr>
            <w:tcW w:w="1459" w:type="dxa"/>
            <w:tcBorders>
              <w:top w:val="nil"/>
              <w:left w:val="nil"/>
              <w:bottom w:val="single" w:sz="8" w:space="0" w:color="auto"/>
              <w:right w:val="single" w:sz="8" w:space="0" w:color="auto"/>
            </w:tcBorders>
            <w:vAlign w:val="center"/>
            <w:hideMark/>
          </w:tcPr>
          <w:p w14:paraId="5E52236E" w14:textId="60E536D6" w:rsidR="004C1A4E" w:rsidRPr="00476171" w:rsidRDefault="004C1A4E"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130,1 </w:t>
            </w:r>
          </w:p>
        </w:tc>
        <w:tc>
          <w:tcPr>
            <w:tcW w:w="1459" w:type="dxa"/>
            <w:tcBorders>
              <w:top w:val="nil"/>
              <w:left w:val="nil"/>
              <w:bottom w:val="single" w:sz="8" w:space="0" w:color="auto"/>
              <w:right w:val="single" w:sz="8" w:space="0" w:color="auto"/>
            </w:tcBorders>
            <w:vAlign w:val="center"/>
            <w:hideMark/>
          </w:tcPr>
          <w:p w14:paraId="1026296D" w14:textId="7072AB9C" w:rsidR="004C1A4E" w:rsidRPr="00476171" w:rsidRDefault="004C1A4E"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137,9 </w:t>
            </w:r>
          </w:p>
        </w:tc>
        <w:tc>
          <w:tcPr>
            <w:tcW w:w="1328" w:type="dxa"/>
            <w:tcBorders>
              <w:top w:val="nil"/>
              <w:left w:val="nil"/>
              <w:bottom w:val="single" w:sz="8" w:space="0" w:color="auto"/>
              <w:right w:val="single" w:sz="8" w:space="0" w:color="auto"/>
            </w:tcBorders>
            <w:vAlign w:val="center"/>
            <w:hideMark/>
          </w:tcPr>
          <w:p w14:paraId="230FF4BE" w14:textId="375386E1"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106,0 % </w:t>
            </w:r>
          </w:p>
        </w:tc>
      </w:tr>
      <w:tr w:rsidR="004C1A4E" w:rsidRPr="00476171" w14:paraId="0622352D"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75C2510F" w14:textId="77777777" w:rsidR="004C1A4E" w:rsidRPr="00476171" w:rsidRDefault="004C1A4E">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HR</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3AAC9C05" w14:textId="15551BDA"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7,8 </w:t>
            </w:r>
          </w:p>
        </w:tc>
        <w:tc>
          <w:tcPr>
            <w:tcW w:w="1664" w:type="dxa"/>
            <w:tcBorders>
              <w:top w:val="nil"/>
              <w:left w:val="nil"/>
              <w:bottom w:val="single" w:sz="8" w:space="0" w:color="auto"/>
              <w:right w:val="single" w:sz="8" w:space="0" w:color="auto"/>
            </w:tcBorders>
            <w:vAlign w:val="center"/>
            <w:hideMark/>
          </w:tcPr>
          <w:p w14:paraId="0AEA3121" w14:textId="639E29B4"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10,7 </w:t>
            </w:r>
          </w:p>
        </w:tc>
        <w:tc>
          <w:tcPr>
            <w:tcW w:w="1515" w:type="dxa"/>
            <w:tcBorders>
              <w:top w:val="nil"/>
              <w:left w:val="nil"/>
              <w:bottom w:val="single" w:sz="8" w:space="0" w:color="auto"/>
              <w:right w:val="single" w:sz="8" w:space="0" w:color="auto"/>
            </w:tcBorders>
            <w:vAlign w:val="center"/>
            <w:hideMark/>
          </w:tcPr>
          <w:p w14:paraId="556B7323" w14:textId="68BC480E"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137,9 % </w:t>
            </w:r>
          </w:p>
        </w:tc>
        <w:tc>
          <w:tcPr>
            <w:tcW w:w="1459" w:type="dxa"/>
            <w:tcBorders>
              <w:top w:val="nil"/>
              <w:left w:val="nil"/>
              <w:bottom w:val="single" w:sz="8" w:space="0" w:color="auto"/>
              <w:right w:val="single" w:sz="8" w:space="0" w:color="auto"/>
            </w:tcBorders>
            <w:vAlign w:val="center"/>
            <w:hideMark/>
          </w:tcPr>
          <w:p w14:paraId="162CEFBE" w14:textId="30647278" w:rsidR="004C1A4E" w:rsidRPr="00476171" w:rsidRDefault="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6,5 </w:t>
            </w:r>
          </w:p>
        </w:tc>
        <w:tc>
          <w:tcPr>
            <w:tcW w:w="1459" w:type="dxa"/>
            <w:tcBorders>
              <w:top w:val="nil"/>
              <w:left w:val="nil"/>
              <w:bottom w:val="single" w:sz="8" w:space="0" w:color="auto"/>
              <w:right w:val="single" w:sz="8" w:space="0" w:color="auto"/>
            </w:tcBorders>
            <w:vAlign w:val="center"/>
            <w:hideMark/>
          </w:tcPr>
          <w:p w14:paraId="54F60053" w14:textId="6B6B388B" w:rsidR="004C1A4E" w:rsidRPr="00476171" w:rsidRDefault="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7,0 </w:t>
            </w:r>
          </w:p>
        </w:tc>
        <w:tc>
          <w:tcPr>
            <w:tcW w:w="1328" w:type="dxa"/>
            <w:tcBorders>
              <w:top w:val="nil"/>
              <w:left w:val="nil"/>
              <w:bottom w:val="single" w:sz="8" w:space="0" w:color="auto"/>
              <w:right w:val="single" w:sz="8" w:space="0" w:color="auto"/>
            </w:tcBorders>
            <w:vAlign w:val="center"/>
            <w:hideMark/>
          </w:tcPr>
          <w:p w14:paraId="7C7741BF" w14:textId="70B6D122" w:rsidR="004C1A4E" w:rsidRPr="00476171" w:rsidRDefault="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107,6 % </w:t>
            </w:r>
          </w:p>
        </w:tc>
      </w:tr>
      <w:tr w:rsidR="00173BB6" w:rsidRPr="00476171" w14:paraId="243190FA"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695EAB54"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IT</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6FDFA741" w14:textId="35DA36A6"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132,3 </w:t>
            </w:r>
          </w:p>
        </w:tc>
        <w:tc>
          <w:tcPr>
            <w:tcW w:w="1664" w:type="dxa"/>
            <w:tcBorders>
              <w:top w:val="nil"/>
              <w:left w:val="nil"/>
              <w:bottom w:val="single" w:sz="8" w:space="0" w:color="auto"/>
              <w:right w:val="single" w:sz="8" w:space="0" w:color="auto"/>
            </w:tcBorders>
            <w:vAlign w:val="center"/>
            <w:hideMark/>
          </w:tcPr>
          <w:p w14:paraId="72205E79" w14:textId="1388F9CD"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158,0 </w:t>
            </w:r>
          </w:p>
        </w:tc>
        <w:tc>
          <w:tcPr>
            <w:tcW w:w="1515" w:type="dxa"/>
            <w:tcBorders>
              <w:top w:val="nil"/>
              <w:left w:val="nil"/>
              <w:bottom w:val="single" w:sz="8" w:space="0" w:color="auto"/>
              <w:right w:val="single" w:sz="8" w:space="0" w:color="auto"/>
            </w:tcBorders>
            <w:vAlign w:val="center"/>
            <w:hideMark/>
          </w:tcPr>
          <w:p w14:paraId="5ED53D85" w14:textId="1F863E0B"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119,4 % </w:t>
            </w:r>
          </w:p>
        </w:tc>
        <w:tc>
          <w:tcPr>
            <w:tcW w:w="1459" w:type="dxa"/>
            <w:tcBorders>
              <w:top w:val="nil"/>
              <w:left w:val="nil"/>
              <w:bottom w:val="single" w:sz="8" w:space="0" w:color="auto"/>
              <w:right w:val="single" w:sz="8" w:space="0" w:color="auto"/>
            </w:tcBorders>
            <w:vAlign w:val="center"/>
            <w:hideMark/>
          </w:tcPr>
          <w:p w14:paraId="35A5F102" w14:textId="12C9222F"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102,7 </w:t>
            </w:r>
          </w:p>
        </w:tc>
        <w:tc>
          <w:tcPr>
            <w:tcW w:w="1459" w:type="dxa"/>
            <w:tcBorders>
              <w:top w:val="nil"/>
              <w:left w:val="nil"/>
              <w:bottom w:val="single" w:sz="8" w:space="0" w:color="auto"/>
              <w:right w:val="single" w:sz="8" w:space="0" w:color="auto"/>
            </w:tcBorders>
            <w:vAlign w:val="center"/>
            <w:hideMark/>
          </w:tcPr>
          <w:p w14:paraId="3A1B9D76" w14:textId="7087062C" w:rsidR="00173BB6" w:rsidRPr="00476171" w:rsidRDefault="00173BB6"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124,0 </w:t>
            </w:r>
          </w:p>
        </w:tc>
        <w:tc>
          <w:tcPr>
            <w:tcW w:w="1328" w:type="dxa"/>
            <w:tcBorders>
              <w:top w:val="nil"/>
              <w:left w:val="nil"/>
              <w:bottom w:val="single" w:sz="8" w:space="0" w:color="auto"/>
              <w:right w:val="single" w:sz="8" w:space="0" w:color="auto"/>
            </w:tcBorders>
            <w:vAlign w:val="center"/>
            <w:hideMark/>
          </w:tcPr>
          <w:p w14:paraId="50749980" w14:textId="20A51E72"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120,7 % </w:t>
            </w:r>
          </w:p>
        </w:tc>
      </w:tr>
      <w:tr w:rsidR="00173BB6" w:rsidRPr="00476171" w14:paraId="1CF7A3E8"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1C93999E"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CY</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65791139" w14:textId="496D838D"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2,2 </w:t>
            </w:r>
          </w:p>
        </w:tc>
        <w:tc>
          <w:tcPr>
            <w:tcW w:w="1664" w:type="dxa"/>
            <w:tcBorders>
              <w:top w:val="nil"/>
              <w:left w:val="nil"/>
              <w:bottom w:val="single" w:sz="8" w:space="0" w:color="auto"/>
              <w:right w:val="single" w:sz="8" w:space="0" w:color="auto"/>
            </w:tcBorders>
            <w:vAlign w:val="center"/>
            <w:hideMark/>
          </w:tcPr>
          <w:p w14:paraId="709694D7" w14:textId="2F6718C0"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2,2 </w:t>
            </w:r>
          </w:p>
        </w:tc>
        <w:tc>
          <w:tcPr>
            <w:tcW w:w="1515" w:type="dxa"/>
            <w:tcBorders>
              <w:top w:val="nil"/>
              <w:left w:val="nil"/>
              <w:bottom w:val="single" w:sz="8" w:space="0" w:color="auto"/>
              <w:right w:val="single" w:sz="8" w:space="0" w:color="auto"/>
            </w:tcBorders>
            <w:vAlign w:val="center"/>
            <w:hideMark/>
          </w:tcPr>
          <w:p w14:paraId="5BD8F3D7" w14:textId="316843CE"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101,6 % </w:t>
            </w:r>
          </w:p>
        </w:tc>
        <w:tc>
          <w:tcPr>
            <w:tcW w:w="1459" w:type="dxa"/>
            <w:tcBorders>
              <w:top w:val="nil"/>
              <w:left w:val="nil"/>
              <w:bottom w:val="single" w:sz="8" w:space="0" w:color="auto"/>
              <w:right w:val="single" w:sz="8" w:space="0" w:color="auto"/>
            </w:tcBorders>
            <w:vAlign w:val="center"/>
            <w:hideMark/>
          </w:tcPr>
          <w:p w14:paraId="2D0F6323" w14:textId="2987D43C"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1,6 </w:t>
            </w:r>
          </w:p>
        </w:tc>
        <w:tc>
          <w:tcPr>
            <w:tcW w:w="1459" w:type="dxa"/>
            <w:tcBorders>
              <w:top w:val="nil"/>
              <w:left w:val="nil"/>
              <w:bottom w:val="single" w:sz="8" w:space="0" w:color="auto"/>
              <w:right w:val="single" w:sz="8" w:space="0" w:color="auto"/>
            </w:tcBorders>
            <w:vAlign w:val="center"/>
            <w:hideMark/>
          </w:tcPr>
          <w:p w14:paraId="425AFBFF" w14:textId="5A97B3F3" w:rsidR="00173BB6" w:rsidRPr="00476171" w:rsidRDefault="00F7654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1,9 </w:t>
            </w:r>
          </w:p>
        </w:tc>
        <w:tc>
          <w:tcPr>
            <w:tcW w:w="1328" w:type="dxa"/>
            <w:tcBorders>
              <w:top w:val="nil"/>
              <w:left w:val="nil"/>
              <w:bottom w:val="single" w:sz="8" w:space="0" w:color="auto"/>
              <w:right w:val="single" w:sz="8" w:space="0" w:color="auto"/>
            </w:tcBorders>
            <w:vAlign w:val="center"/>
            <w:hideMark/>
          </w:tcPr>
          <w:p w14:paraId="37824E03" w14:textId="601DCC38" w:rsidR="00173BB6" w:rsidRPr="00476171" w:rsidRDefault="00F7654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121,8 % </w:t>
            </w:r>
          </w:p>
        </w:tc>
      </w:tr>
      <w:tr w:rsidR="00173BB6" w:rsidRPr="00476171" w14:paraId="4AB6B77A"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6357B473"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LV</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36B29052" w14:textId="2F75B2B4"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4,3 </w:t>
            </w:r>
          </w:p>
        </w:tc>
        <w:tc>
          <w:tcPr>
            <w:tcW w:w="1664" w:type="dxa"/>
            <w:tcBorders>
              <w:top w:val="nil"/>
              <w:left w:val="nil"/>
              <w:bottom w:val="single" w:sz="8" w:space="0" w:color="auto"/>
              <w:right w:val="single" w:sz="8" w:space="0" w:color="auto"/>
            </w:tcBorders>
            <w:vAlign w:val="center"/>
            <w:hideMark/>
          </w:tcPr>
          <w:p w14:paraId="7B576CE2" w14:textId="36FE61E0"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5,4 </w:t>
            </w:r>
          </w:p>
        </w:tc>
        <w:tc>
          <w:tcPr>
            <w:tcW w:w="1515" w:type="dxa"/>
            <w:tcBorders>
              <w:top w:val="nil"/>
              <w:left w:val="nil"/>
              <w:bottom w:val="single" w:sz="8" w:space="0" w:color="auto"/>
              <w:right w:val="single" w:sz="8" w:space="0" w:color="auto"/>
            </w:tcBorders>
            <w:vAlign w:val="center"/>
            <w:hideMark/>
          </w:tcPr>
          <w:p w14:paraId="63F904CC" w14:textId="0E4D681B"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126,0 % </w:t>
            </w:r>
          </w:p>
        </w:tc>
        <w:tc>
          <w:tcPr>
            <w:tcW w:w="1459" w:type="dxa"/>
            <w:tcBorders>
              <w:top w:val="nil"/>
              <w:left w:val="nil"/>
              <w:bottom w:val="single" w:sz="8" w:space="0" w:color="auto"/>
              <w:right w:val="single" w:sz="8" w:space="0" w:color="auto"/>
            </w:tcBorders>
            <w:vAlign w:val="center"/>
            <w:hideMark/>
          </w:tcPr>
          <w:p w14:paraId="6339F91F" w14:textId="1333112E"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3,9 </w:t>
            </w:r>
          </w:p>
        </w:tc>
        <w:tc>
          <w:tcPr>
            <w:tcW w:w="1459" w:type="dxa"/>
            <w:tcBorders>
              <w:top w:val="nil"/>
              <w:left w:val="nil"/>
              <w:bottom w:val="single" w:sz="8" w:space="0" w:color="auto"/>
              <w:right w:val="single" w:sz="8" w:space="0" w:color="auto"/>
            </w:tcBorders>
            <w:vAlign w:val="center"/>
            <w:hideMark/>
          </w:tcPr>
          <w:p w14:paraId="4217137F" w14:textId="6B13ECD3" w:rsidR="00173BB6" w:rsidRPr="00476171" w:rsidRDefault="00F7654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4,5 </w:t>
            </w:r>
          </w:p>
        </w:tc>
        <w:tc>
          <w:tcPr>
            <w:tcW w:w="1328" w:type="dxa"/>
            <w:tcBorders>
              <w:top w:val="nil"/>
              <w:left w:val="nil"/>
              <w:bottom w:val="single" w:sz="8" w:space="0" w:color="auto"/>
              <w:right w:val="single" w:sz="8" w:space="0" w:color="auto"/>
            </w:tcBorders>
            <w:vAlign w:val="center"/>
            <w:hideMark/>
          </w:tcPr>
          <w:p w14:paraId="0A53C4EF" w14:textId="0A97F9A0" w:rsidR="00173BB6" w:rsidRPr="00476171" w:rsidRDefault="00173BB6"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115,9 % </w:t>
            </w:r>
          </w:p>
        </w:tc>
      </w:tr>
      <w:tr w:rsidR="00173BB6" w:rsidRPr="00476171" w14:paraId="704284D0"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5EA99511"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LT</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2AC88D89" w14:textId="4820AD07"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6,2 </w:t>
            </w:r>
          </w:p>
        </w:tc>
        <w:tc>
          <w:tcPr>
            <w:tcW w:w="1664" w:type="dxa"/>
            <w:tcBorders>
              <w:top w:val="nil"/>
              <w:left w:val="nil"/>
              <w:bottom w:val="single" w:sz="8" w:space="0" w:color="auto"/>
              <w:right w:val="single" w:sz="8" w:space="0" w:color="auto"/>
            </w:tcBorders>
            <w:vAlign w:val="center"/>
            <w:hideMark/>
          </w:tcPr>
          <w:p w14:paraId="6AEA8ADF" w14:textId="3B835C35"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6,5 </w:t>
            </w:r>
          </w:p>
        </w:tc>
        <w:tc>
          <w:tcPr>
            <w:tcW w:w="1515" w:type="dxa"/>
            <w:tcBorders>
              <w:top w:val="nil"/>
              <w:left w:val="nil"/>
              <w:bottom w:val="single" w:sz="8" w:space="0" w:color="auto"/>
              <w:right w:val="single" w:sz="8" w:space="0" w:color="auto"/>
            </w:tcBorders>
            <w:vAlign w:val="center"/>
            <w:hideMark/>
          </w:tcPr>
          <w:p w14:paraId="42DE7F81" w14:textId="245A3112"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104,4 % </w:t>
            </w:r>
          </w:p>
        </w:tc>
        <w:tc>
          <w:tcPr>
            <w:tcW w:w="1459" w:type="dxa"/>
            <w:tcBorders>
              <w:top w:val="nil"/>
              <w:left w:val="nil"/>
              <w:bottom w:val="single" w:sz="8" w:space="0" w:color="auto"/>
              <w:right w:val="single" w:sz="8" w:space="0" w:color="auto"/>
            </w:tcBorders>
            <w:vAlign w:val="center"/>
            <w:hideMark/>
          </w:tcPr>
          <w:p w14:paraId="6CCE4051" w14:textId="274E69B8"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5,3 </w:t>
            </w:r>
          </w:p>
        </w:tc>
        <w:tc>
          <w:tcPr>
            <w:tcW w:w="1459" w:type="dxa"/>
            <w:tcBorders>
              <w:top w:val="nil"/>
              <w:left w:val="nil"/>
              <w:bottom w:val="single" w:sz="8" w:space="0" w:color="auto"/>
              <w:right w:val="single" w:sz="8" w:space="0" w:color="auto"/>
            </w:tcBorders>
            <w:vAlign w:val="center"/>
            <w:hideMark/>
          </w:tcPr>
          <w:p w14:paraId="3F865611" w14:textId="106F8525" w:rsidR="00173BB6" w:rsidRPr="00476171" w:rsidRDefault="00F7654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4,3 </w:t>
            </w:r>
          </w:p>
        </w:tc>
        <w:tc>
          <w:tcPr>
            <w:tcW w:w="1328" w:type="dxa"/>
            <w:tcBorders>
              <w:top w:val="nil"/>
              <w:left w:val="nil"/>
              <w:bottom w:val="single" w:sz="8" w:space="0" w:color="auto"/>
              <w:right w:val="single" w:sz="8" w:space="0" w:color="auto"/>
            </w:tcBorders>
            <w:vAlign w:val="center"/>
            <w:hideMark/>
          </w:tcPr>
          <w:p w14:paraId="1FA0A0B8" w14:textId="354C4B62" w:rsidR="00173BB6" w:rsidRPr="00476171" w:rsidRDefault="00F7654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81,0 % </w:t>
            </w:r>
          </w:p>
        </w:tc>
      </w:tr>
      <w:tr w:rsidR="00173BB6" w:rsidRPr="00476171" w14:paraId="456A65DE"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42EE14D3"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LU</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42A1C6D5" w14:textId="183824EA"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3,9 </w:t>
            </w:r>
          </w:p>
        </w:tc>
        <w:tc>
          <w:tcPr>
            <w:tcW w:w="1664" w:type="dxa"/>
            <w:tcBorders>
              <w:top w:val="nil"/>
              <w:left w:val="nil"/>
              <w:bottom w:val="single" w:sz="8" w:space="0" w:color="auto"/>
              <w:right w:val="single" w:sz="8" w:space="0" w:color="auto"/>
            </w:tcBorders>
            <w:vAlign w:val="center"/>
            <w:hideMark/>
          </w:tcPr>
          <w:p w14:paraId="5355AD99" w14:textId="5A5BDB85"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4,5 </w:t>
            </w:r>
          </w:p>
        </w:tc>
        <w:tc>
          <w:tcPr>
            <w:tcW w:w="1515" w:type="dxa"/>
            <w:tcBorders>
              <w:top w:val="nil"/>
              <w:left w:val="nil"/>
              <w:bottom w:val="single" w:sz="8" w:space="0" w:color="auto"/>
              <w:right w:val="single" w:sz="8" w:space="0" w:color="auto"/>
            </w:tcBorders>
            <w:vAlign w:val="center"/>
            <w:hideMark/>
          </w:tcPr>
          <w:p w14:paraId="18F1A6B8" w14:textId="315BD997"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113,9 % </w:t>
            </w:r>
          </w:p>
        </w:tc>
        <w:tc>
          <w:tcPr>
            <w:tcW w:w="1459" w:type="dxa"/>
            <w:tcBorders>
              <w:top w:val="nil"/>
              <w:left w:val="nil"/>
              <w:bottom w:val="single" w:sz="8" w:space="0" w:color="auto"/>
              <w:right w:val="single" w:sz="8" w:space="0" w:color="auto"/>
            </w:tcBorders>
            <w:vAlign w:val="center"/>
            <w:hideMark/>
          </w:tcPr>
          <w:p w14:paraId="0995960C" w14:textId="1A51FC1F"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3,8 </w:t>
            </w:r>
          </w:p>
        </w:tc>
        <w:tc>
          <w:tcPr>
            <w:tcW w:w="1459" w:type="dxa"/>
            <w:tcBorders>
              <w:top w:val="nil"/>
              <w:left w:val="nil"/>
              <w:bottom w:val="single" w:sz="8" w:space="0" w:color="auto"/>
              <w:right w:val="single" w:sz="8" w:space="0" w:color="auto"/>
            </w:tcBorders>
            <w:vAlign w:val="center"/>
            <w:hideMark/>
          </w:tcPr>
          <w:p w14:paraId="4AA9FC7C" w14:textId="2049CDC0" w:rsidR="00173BB6" w:rsidRPr="00476171" w:rsidRDefault="00F7654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4,2 </w:t>
            </w:r>
          </w:p>
        </w:tc>
        <w:tc>
          <w:tcPr>
            <w:tcW w:w="1328" w:type="dxa"/>
            <w:tcBorders>
              <w:top w:val="nil"/>
              <w:left w:val="nil"/>
              <w:bottom w:val="single" w:sz="8" w:space="0" w:color="auto"/>
              <w:right w:val="single" w:sz="8" w:space="0" w:color="auto"/>
            </w:tcBorders>
            <w:vAlign w:val="center"/>
            <w:hideMark/>
          </w:tcPr>
          <w:p w14:paraId="76480EBD" w14:textId="43241AF2" w:rsidR="00173BB6" w:rsidRPr="00476171" w:rsidRDefault="00F7654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111,2 % </w:t>
            </w:r>
          </w:p>
        </w:tc>
      </w:tr>
      <w:tr w:rsidR="00173BB6" w:rsidRPr="00476171" w14:paraId="12D1F46D"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1DD2BD35"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HU</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38B15FA3" w14:textId="0E3B4DFE"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23,9 </w:t>
            </w:r>
          </w:p>
        </w:tc>
        <w:tc>
          <w:tcPr>
            <w:tcW w:w="1664" w:type="dxa"/>
            <w:tcBorders>
              <w:top w:val="nil"/>
              <w:left w:val="nil"/>
              <w:bottom w:val="single" w:sz="8" w:space="0" w:color="auto"/>
              <w:right w:val="single" w:sz="8" w:space="0" w:color="auto"/>
            </w:tcBorders>
            <w:vAlign w:val="center"/>
            <w:hideMark/>
          </w:tcPr>
          <w:p w14:paraId="07AED1B3" w14:textId="6A3851C2"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26,6 </w:t>
            </w:r>
          </w:p>
        </w:tc>
        <w:tc>
          <w:tcPr>
            <w:tcW w:w="1515" w:type="dxa"/>
            <w:tcBorders>
              <w:top w:val="nil"/>
              <w:left w:val="nil"/>
              <w:bottom w:val="single" w:sz="8" w:space="0" w:color="auto"/>
              <w:right w:val="single" w:sz="8" w:space="0" w:color="auto"/>
            </w:tcBorders>
            <w:vAlign w:val="center"/>
            <w:hideMark/>
          </w:tcPr>
          <w:p w14:paraId="58AF7F91" w14:textId="66D24549"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111,4 % </w:t>
            </w:r>
          </w:p>
        </w:tc>
        <w:tc>
          <w:tcPr>
            <w:tcW w:w="1459" w:type="dxa"/>
            <w:tcBorders>
              <w:top w:val="nil"/>
              <w:left w:val="nil"/>
              <w:bottom w:val="single" w:sz="8" w:space="0" w:color="auto"/>
              <w:right w:val="single" w:sz="8" w:space="0" w:color="auto"/>
            </w:tcBorders>
            <w:vAlign w:val="center"/>
            <w:hideMark/>
          </w:tcPr>
          <w:p w14:paraId="5FBDB8B6" w14:textId="4EE0371C"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18,0 </w:t>
            </w:r>
          </w:p>
        </w:tc>
        <w:tc>
          <w:tcPr>
            <w:tcW w:w="1459" w:type="dxa"/>
            <w:tcBorders>
              <w:top w:val="nil"/>
              <w:left w:val="nil"/>
              <w:bottom w:val="single" w:sz="8" w:space="0" w:color="auto"/>
              <w:right w:val="single" w:sz="8" w:space="0" w:color="auto"/>
            </w:tcBorders>
            <w:vAlign w:val="center"/>
            <w:hideMark/>
          </w:tcPr>
          <w:p w14:paraId="0C64128F" w14:textId="571C4D90" w:rsidR="00173BB6" w:rsidRPr="00476171" w:rsidRDefault="00173BB6"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18,2 </w:t>
            </w:r>
          </w:p>
        </w:tc>
        <w:tc>
          <w:tcPr>
            <w:tcW w:w="1328" w:type="dxa"/>
            <w:tcBorders>
              <w:top w:val="nil"/>
              <w:left w:val="nil"/>
              <w:bottom w:val="single" w:sz="8" w:space="0" w:color="auto"/>
              <w:right w:val="single" w:sz="8" w:space="0" w:color="auto"/>
            </w:tcBorders>
            <w:vAlign w:val="center"/>
            <w:hideMark/>
          </w:tcPr>
          <w:p w14:paraId="7628B5C3" w14:textId="158D2638"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101,1 % </w:t>
            </w:r>
          </w:p>
        </w:tc>
      </w:tr>
      <w:tr w:rsidR="00173BB6" w:rsidRPr="00476171" w14:paraId="0EADFA82"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1B9AB35F"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MT</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18DFF8B7" w14:textId="22662A08"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0,7 </w:t>
            </w:r>
          </w:p>
        </w:tc>
        <w:tc>
          <w:tcPr>
            <w:tcW w:w="1664" w:type="dxa"/>
            <w:tcBorders>
              <w:top w:val="nil"/>
              <w:left w:val="nil"/>
              <w:bottom w:val="single" w:sz="8" w:space="0" w:color="auto"/>
              <w:right w:val="single" w:sz="8" w:space="0" w:color="auto"/>
            </w:tcBorders>
            <w:vAlign w:val="center"/>
            <w:hideMark/>
          </w:tcPr>
          <w:p w14:paraId="6355369B" w14:textId="7B8FE53F"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0,8 </w:t>
            </w:r>
          </w:p>
        </w:tc>
        <w:tc>
          <w:tcPr>
            <w:tcW w:w="1515" w:type="dxa"/>
            <w:tcBorders>
              <w:top w:val="nil"/>
              <w:left w:val="nil"/>
              <w:bottom w:val="single" w:sz="8" w:space="0" w:color="auto"/>
              <w:right w:val="single" w:sz="8" w:space="0" w:color="auto"/>
            </w:tcBorders>
            <w:vAlign w:val="center"/>
            <w:hideMark/>
          </w:tcPr>
          <w:p w14:paraId="571CC601" w14:textId="1AD5F612"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111,1 % </w:t>
            </w:r>
          </w:p>
        </w:tc>
        <w:tc>
          <w:tcPr>
            <w:tcW w:w="1459" w:type="dxa"/>
            <w:tcBorders>
              <w:top w:val="nil"/>
              <w:left w:val="nil"/>
              <w:bottom w:val="single" w:sz="8" w:space="0" w:color="auto"/>
              <w:right w:val="single" w:sz="8" w:space="0" w:color="auto"/>
            </w:tcBorders>
            <w:vAlign w:val="center"/>
            <w:hideMark/>
          </w:tcPr>
          <w:p w14:paraId="05E4EB36" w14:textId="6BF837C4"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0,5 </w:t>
            </w:r>
          </w:p>
        </w:tc>
        <w:tc>
          <w:tcPr>
            <w:tcW w:w="1459" w:type="dxa"/>
            <w:tcBorders>
              <w:top w:val="nil"/>
              <w:left w:val="nil"/>
              <w:bottom w:val="single" w:sz="8" w:space="0" w:color="auto"/>
              <w:right w:val="single" w:sz="8" w:space="0" w:color="auto"/>
            </w:tcBorders>
            <w:vAlign w:val="center"/>
            <w:hideMark/>
          </w:tcPr>
          <w:p w14:paraId="3A2017BC" w14:textId="74892EA5" w:rsidR="00173BB6" w:rsidRPr="00476171" w:rsidRDefault="00F7654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0,6 </w:t>
            </w:r>
          </w:p>
        </w:tc>
        <w:tc>
          <w:tcPr>
            <w:tcW w:w="1328" w:type="dxa"/>
            <w:tcBorders>
              <w:top w:val="nil"/>
              <w:left w:val="nil"/>
              <w:bottom w:val="single" w:sz="8" w:space="0" w:color="auto"/>
              <w:right w:val="single" w:sz="8" w:space="0" w:color="auto"/>
            </w:tcBorders>
            <w:vAlign w:val="center"/>
            <w:hideMark/>
          </w:tcPr>
          <w:p w14:paraId="7C3B6C12" w14:textId="32B501C4" w:rsidR="00173BB6" w:rsidRPr="00476171" w:rsidRDefault="00F7654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116,4 % </w:t>
            </w:r>
          </w:p>
        </w:tc>
      </w:tr>
      <w:tr w:rsidR="00173BB6" w:rsidRPr="00476171" w14:paraId="5DE5282D"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43700C64"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NL</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3C9836E3" w14:textId="38C3C065"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58,4 </w:t>
            </w:r>
          </w:p>
        </w:tc>
        <w:tc>
          <w:tcPr>
            <w:tcW w:w="1664" w:type="dxa"/>
            <w:tcBorders>
              <w:top w:val="nil"/>
              <w:left w:val="nil"/>
              <w:bottom w:val="single" w:sz="8" w:space="0" w:color="auto"/>
              <w:right w:val="single" w:sz="8" w:space="0" w:color="auto"/>
            </w:tcBorders>
            <w:vAlign w:val="center"/>
            <w:hideMark/>
          </w:tcPr>
          <w:p w14:paraId="367E8525" w14:textId="45432129"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60,7 </w:t>
            </w:r>
          </w:p>
        </w:tc>
        <w:tc>
          <w:tcPr>
            <w:tcW w:w="1515" w:type="dxa"/>
            <w:tcBorders>
              <w:top w:val="nil"/>
              <w:left w:val="nil"/>
              <w:bottom w:val="single" w:sz="8" w:space="0" w:color="auto"/>
              <w:right w:val="single" w:sz="8" w:space="0" w:color="auto"/>
            </w:tcBorders>
            <w:vAlign w:val="center"/>
            <w:hideMark/>
          </w:tcPr>
          <w:p w14:paraId="2EC6BEC0" w14:textId="504A9521"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103,9 % </w:t>
            </w:r>
          </w:p>
        </w:tc>
        <w:tc>
          <w:tcPr>
            <w:tcW w:w="1459" w:type="dxa"/>
            <w:tcBorders>
              <w:top w:val="nil"/>
              <w:left w:val="nil"/>
              <w:bottom w:val="single" w:sz="8" w:space="0" w:color="auto"/>
              <w:right w:val="single" w:sz="8" w:space="0" w:color="auto"/>
            </w:tcBorders>
            <w:vAlign w:val="center"/>
            <w:hideMark/>
          </w:tcPr>
          <w:p w14:paraId="19908B38" w14:textId="7A4C123F"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45,5 </w:t>
            </w:r>
          </w:p>
        </w:tc>
        <w:tc>
          <w:tcPr>
            <w:tcW w:w="1459" w:type="dxa"/>
            <w:tcBorders>
              <w:top w:val="nil"/>
              <w:left w:val="nil"/>
              <w:bottom w:val="single" w:sz="8" w:space="0" w:color="auto"/>
              <w:right w:val="single" w:sz="8" w:space="0" w:color="auto"/>
            </w:tcBorders>
            <w:vAlign w:val="center"/>
            <w:hideMark/>
          </w:tcPr>
          <w:p w14:paraId="5939910C" w14:textId="649A3555" w:rsidR="00173BB6" w:rsidRPr="00476171" w:rsidRDefault="00173BB6"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52,2 </w:t>
            </w:r>
          </w:p>
        </w:tc>
        <w:tc>
          <w:tcPr>
            <w:tcW w:w="1328" w:type="dxa"/>
            <w:tcBorders>
              <w:top w:val="nil"/>
              <w:left w:val="nil"/>
              <w:bottom w:val="single" w:sz="8" w:space="0" w:color="auto"/>
              <w:right w:val="single" w:sz="8" w:space="0" w:color="auto"/>
            </w:tcBorders>
            <w:vAlign w:val="center"/>
            <w:hideMark/>
          </w:tcPr>
          <w:p w14:paraId="107E71EC" w14:textId="15B1FAB2" w:rsidR="00173BB6" w:rsidRPr="00476171" w:rsidRDefault="00173BB6"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114,7 % </w:t>
            </w:r>
          </w:p>
        </w:tc>
      </w:tr>
      <w:tr w:rsidR="00173BB6" w:rsidRPr="00476171" w14:paraId="7FA9B77E"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3B431E17"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AT</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18E626BC" w14:textId="61110D15"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29,7 </w:t>
            </w:r>
          </w:p>
        </w:tc>
        <w:tc>
          <w:tcPr>
            <w:tcW w:w="1664" w:type="dxa"/>
            <w:tcBorders>
              <w:top w:val="nil"/>
              <w:left w:val="nil"/>
              <w:bottom w:val="single" w:sz="8" w:space="0" w:color="auto"/>
              <w:right w:val="single" w:sz="8" w:space="0" w:color="auto"/>
            </w:tcBorders>
            <w:vAlign w:val="center"/>
            <w:hideMark/>
          </w:tcPr>
          <w:p w14:paraId="5068AD9F" w14:textId="29173564"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31,5 </w:t>
            </w:r>
          </w:p>
        </w:tc>
        <w:tc>
          <w:tcPr>
            <w:tcW w:w="1515" w:type="dxa"/>
            <w:tcBorders>
              <w:top w:val="nil"/>
              <w:left w:val="nil"/>
              <w:bottom w:val="single" w:sz="8" w:space="0" w:color="auto"/>
              <w:right w:val="single" w:sz="8" w:space="0" w:color="auto"/>
            </w:tcBorders>
            <w:vAlign w:val="center"/>
            <w:hideMark/>
          </w:tcPr>
          <w:p w14:paraId="5AD996DC" w14:textId="740BC9A0"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106,1 % </w:t>
            </w:r>
          </w:p>
        </w:tc>
        <w:tc>
          <w:tcPr>
            <w:tcW w:w="1459" w:type="dxa"/>
            <w:tcBorders>
              <w:top w:val="nil"/>
              <w:left w:val="nil"/>
              <w:bottom w:val="single" w:sz="8" w:space="0" w:color="auto"/>
              <w:right w:val="single" w:sz="8" w:space="0" w:color="auto"/>
            </w:tcBorders>
            <w:vAlign w:val="center"/>
            <w:hideMark/>
          </w:tcPr>
          <w:p w14:paraId="687D578D" w14:textId="3D917A25"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26,1 </w:t>
            </w:r>
          </w:p>
        </w:tc>
        <w:tc>
          <w:tcPr>
            <w:tcW w:w="1459" w:type="dxa"/>
            <w:tcBorders>
              <w:top w:val="nil"/>
              <w:left w:val="nil"/>
              <w:bottom w:val="single" w:sz="8" w:space="0" w:color="auto"/>
              <w:right w:val="single" w:sz="8" w:space="0" w:color="auto"/>
            </w:tcBorders>
            <w:vAlign w:val="center"/>
            <w:hideMark/>
          </w:tcPr>
          <w:p w14:paraId="2B94B010" w14:textId="56D71E9C" w:rsidR="00173BB6" w:rsidRPr="00476171" w:rsidRDefault="00173BB6"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25,1 </w:t>
            </w:r>
          </w:p>
        </w:tc>
        <w:tc>
          <w:tcPr>
            <w:tcW w:w="1328" w:type="dxa"/>
            <w:tcBorders>
              <w:top w:val="nil"/>
              <w:left w:val="nil"/>
              <w:bottom w:val="single" w:sz="8" w:space="0" w:color="auto"/>
              <w:right w:val="single" w:sz="8" w:space="0" w:color="auto"/>
            </w:tcBorders>
            <w:vAlign w:val="center"/>
            <w:hideMark/>
          </w:tcPr>
          <w:p w14:paraId="0233289D" w14:textId="7631F454"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96,2 % </w:t>
            </w:r>
          </w:p>
        </w:tc>
      </w:tr>
      <w:tr w:rsidR="00173BB6" w:rsidRPr="00476171" w14:paraId="698EEFBA"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2CF16047"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PL</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430745CE" w14:textId="173929DB"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96,9 </w:t>
            </w:r>
          </w:p>
        </w:tc>
        <w:tc>
          <w:tcPr>
            <w:tcW w:w="1664" w:type="dxa"/>
            <w:tcBorders>
              <w:top w:val="nil"/>
              <w:left w:val="nil"/>
              <w:bottom w:val="single" w:sz="8" w:space="0" w:color="auto"/>
              <w:right w:val="single" w:sz="8" w:space="0" w:color="auto"/>
            </w:tcBorders>
            <w:vAlign w:val="center"/>
            <w:hideMark/>
          </w:tcPr>
          <w:p w14:paraId="090DCAA7" w14:textId="5633035C"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96,4 </w:t>
            </w:r>
          </w:p>
        </w:tc>
        <w:tc>
          <w:tcPr>
            <w:tcW w:w="1515" w:type="dxa"/>
            <w:tcBorders>
              <w:top w:val="nil"/>
              <w:left w:val="nil"/>
              <w:bottom w:val="single" w:sz="8" w:space="0" w:color="auto"/>
              <w:right w:val="single" w:sz="8" w:space="0" w:color="auto"/>
            </w:tcBorders>
            <w:vAlign w:val="center"/>
            <w:hideMark/>
          </w:tcPr>
          <w:p w14:paraId="712421D6" w14:textId="2C58474D"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99,5 % </w:t>
            </w:r>
          </w:p>
        </w:tc>
        <w:tc>
          <w:tcPr>
            <w:tcW w:w="1459" w:type="dxa"/>
            <w:tcBorders>
              <w:top w:val="nil"/>
              <w:left w:val="nil"/>
              <w:bottom w:val="single" w:sz="8" w:space="0" w:color="auto"/>
              <w:right w:val="single" w:sz="8" w:space="0" w:color="auto"/>
            </w:tcBorders>
            <w:vAlign w:val="center"/>
            <w:hideMark/>
          </w:tcPr>
          <w:p w14:paraId="1232FF4A" w14:textId="6D94B499"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71,1 </w:t>
            </w:r>
          </w:p>
        </w:tc>
        <w:tc>
          <w:tcPr>
            <w:tcW w:w="1459" w:type="dxa"/>
            <w:tcBorders>
              <w:top w:val="nil"/>
              <w:left w:val="nil"/>
              <w:bottom w:val="single" w:sz="8" w:space="0" w:color="auto"/>
              <w:right w:val="single" w:sz="8" w:space="0" w:color="auto"/>
            </w:tcBorders>
            <w:vAlign w:val="center"/>
            <w:hideMark/>
          </w:tcPr>
          <w:p w14:paraId="497866C4" w14:textId="7446FA55" w:rsidR="00173BB6" w:rsidRPr="00476171" w:rsidRDefault="00173BB6"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71,6 </w:t>
            </w:r>
          </w:p>
        </w:tc>
        <w:tc>
          <w:tcPr>
            <w:tcW w:w="1328" w:type="dxa"/>
            <w:tcBorders>
              <w:top w:val="nil"/>
              <w:left w:val="nil"/>
              <w:bottom w:val="single" w:sz="8" w:space="0" w:color="auto"/>
              <w:right w:val="single" w:sz="8" w:space="0" w:color="auto"/>
            </w:tcBorders>
            <w:vAlign w:val="center"/>
            <w:hideMark/>
          </w:tcPr>
          <w:p w14:paraId="2B0B3F7A" w14:textId="6341103E"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100,6 % </w:t>
            </w:r>
          </w:p>
        </w:tc>
      </w:tr>
      <w:tr w:rsidR="00173BB6" w:rsidRPr="00476171" w14:paraId="0B425955"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2B8FAC8E"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PT</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41DB9256" w14:textId="46D8576E"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19,5 </w:t>
            </w:r>
          </w:p>
        </w:tc>
        <w:tc>
          <w:tcPr>
            <w:tcW w:w="1664" w:type="dxa"/>
            <w:tcBorders>
              <w:top w:val="nil"/>
              <w:left w:val="nil"/>
              <w:bottom w:val="single" w:sz="8" w:space="0" w:color="auto"/>
              <w:right w:val="single" w:sz="8" w:space="0" w:color="auto"/>
            </w:tcBorders>
            <w:vAlign w:val="center"/>
            <w:hideMark/>
          </w:tcPr>
          <w:p w14:paraId="1F89C369" w14:textId="5B8FB9C8"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22,5 </w:t>
            </w:r>
          </w:p>
        </w:tc>
        <w:tc>
          <w:tcPr>
            <w:tcW w:w="1515" w:type="dxa"/>
            <w:tcBorders>
              <w:top w:val="nil"/>
              <w:left w:val="nil"/>
              <w:bottom w:val="single" w:sz="8" w:space="0" w:color="auto"/>
              <w:right w:val="single" w:sz="8" w:space="0" w:color="auto"/>
            </w:tcBorders>
            <w:vAlign w:val="center"/>
            <w:hideMark/>
          </w:tcPr>
          <w:p w14:paraId="031A68A4" w14:textId="374D1E39"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115,1 % </w:t>
            </w:r>
          </w:p>
        </w:tc>
        <w:tc>
          <w:tcPr>
            <w:tcW w:w="1459" w:type="dxa"/>
            <w:tcBorders>
              <w:top w:val="nil"/>
              <w:left w:val="nil"/>
              <w:bottom w:val="single" w:sz="8" w:space="0" w:color="auto"/>
              <w:right w:val="single" w:sz="8" w:space="0" w:color="auto"/>
            </w:tcBorders>
            <w:vAlign w:val="center"/>
            <w:hideMark/>
          </w:tcPr>
          <w:p w14:paraId="272D18B9" w14:textId="61683CB3"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15,0 </w:t>
            </w:r>
          </w:p>
        </w:tc>
        <w:tc>
          <w:tcPr>
            <w:tcW w:w="1459" w:type="dxa"/>
            <w:tcBorders>
              <w:top w:val="nil"/>
              <w:left w:val="nil"/>
              <w:bottom w:val="single" w:sz="8" w:space="0" w:color="auto"/>
              <w:right w:val="single" w:sz="8" w:space="0" w:color="auto"/>
            </w:tcBorders>
            <w:vAlign w:val="center"/>
            <w:hideMark/>
          </w:tcPr>
          <w:p w14:paraId="081A2D15" w14:textId="00339446" w:rsidR="00173BB6" w:rsidRPr="00476171" w:rsidRDefault="00173BB6"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17,4 </w:t>
            </w:r>
          </w:p>
        </w:tc>
        <w:tc>
          <w:tcPr>
            <w:tcW w:w="1328" w:type="dxa"/>
            <w:tcBorders>
              <w:top w:val="nil"/>
              <w:left w:val="nil"/>
              <w:bottom w:val="single" w:sz="8" w:space="0" w:color="auto"/>
              <w:right w:val="single" w:sz="8" w:space="0" w:color="auto"/>
            </w:tcBorders>
            <w:vAlign w:val="center"/>
            <w:hideMark/>
          </w:tcPr>
          <w:p w14:paraId="6F4027C3" w14:textId="653795EE"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115,8 % </w:t>
            </w:r>
          </w:p>
        </w:tc>
      </w:tr>
      <w:tr w:rsidR="00173BB6" w:rsidRPr="00476171" w14:paraId="0EC471A0"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0B69BE2A"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RO</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72B11225" w14:textId="307396E7"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30,9 </w:t>
            </w:r>
          </w:p>
        </w:tc>
        <w:tc>
          <w:tcPr>
            <w:tcW w:w="1664" w:type="dxa"/>
            <w:tcBorders>
              <w:top w:val="nil"/>
              <w:left w:val="nil"/>
              <w:bottom w:val="single" w:sz="8" w:space="0" w:color="auto"/>
              <w:right w:val="single" w:sz="8" w:space="0" w:color="auto"/>
            </w:tcBorders>
            <w:vAlign w:val="center"/>
            <w:hideMark/>
          </w:tcPr>
          <w:p w14:paraId="0E11FAD3" w14:textId="772D22BF"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43,0 </w:t>
            </w:r>
          </w:p>
        </w:tc>
        <w:tc>
          <w:tcPr>
            <w:tcW w:w="1515" w:type="dxa"/>
            <w:tcBorders>
              <w:top w:val="nil"/>
              <w:left w:val="nil"/>
              <w:bottom w:val="single" w:sz="8" w:space="0" w:color="auto"/>
              <w:right w:val="single" w:sz="8" w:space="0" w:color="auto"/>
            </w:tcBorders>
            <w:vAlign w:val="center"/>
            <w:hideMark/>
          </w:tcPr>
          <w:p w14:paraId="62D01AFC" w14:textId="407B9CC4"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139,1 % </w:t>
            </w:r>
          </w:p>
        </w:tc>
        <w:tc>
          <w:tcPr>
            <w:tcW w:w="1459" w:type="dxa"/>
            <w:tcBorders>
              <w:top w:val="nil"/>
              <w:left w:val="nil"/>
              <w:bottom w:val="single" w:sz="8" w:space="0" w:color="auto"/>
              <w:right w:val="single" w:sz="8" w:space="0" w:color="auto"/>
            </w:tcBorders>
            <w:vAlign w:val="center"/>
            <w:hideMark/>
          </w:tcPr>
          <w:p w14:paraId="64A82770" w14:textId="213B1E89"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23,5 </w:t>
            </w:r>
          </w:p>
        </w:tc>
        <w:tc>
          <w:tcPr>
            <w:tcW w:w="1459" w:type="dxa"/>
            <w:tcBorders>
              <w:top w:val="nil"/>
              <w:left w:val="nil"/>
              <w:bottom w:val="single" w:sz="8" w:space="0" w:color="auto"/>
              <w:right w:val="single" w:sz="8" w:space="0" w:color="auto"/>
            </w:tcBorders>
            <w:vAlign w:val="center"/>
            <w:hideMark/>
          </w:tcPr>
          <w:p w14:paraId="21FDD120" w14:textId="695F0B4C" w:rsidR="00173BB6" w:rsidRPr="00476171" w:rsidRDefault="00173BB6"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30,3 </w:t>
            </w:r>
          </w:p>
        </w:tc>
        <w:tc>
          <w:tcPr>
            <w:tcW w:w="1328" w:type="dxa"/>
            <w:tcBorders>
              <w:top w:val="nil"/>
              <w:left w:val="nil"/>
              <w:bottom w:val="single" w:sz="8" w:space="0" w:color="auto"/>
              <w:right w:val="single" w:sz="8" w:space="0" w:color="auto"/>
            </w:tcBorders>
            <w:vAlign w:val="center"/>
            <w:hideMark/>
          </w:tcPr>
          <w:p w14:paraId="214C7F82" w14:textId="298C2C29"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128,9 % </w:t>
            </w:r>
          </w:p>
        </w:tc>
      </w:tr>
      <w:tr w:rsidR="00173BB6" w:rsidRPr="00476171" w14:paraId="1A9F4C60" w14:textId="77777777" w:rsidTr="006B2352">
        <w:trPr>
          <w:trHeight w:hRule="exact" w:val="340"/>
          <w:jc w:val="center"/>
        </w:trPr>
        <w:tc>
          <w:tcPr>
            <w:tcW w:w="557" w:type="dxa"/>
            <w:tcBorders>
              <w:top w:val="nil"/>
              <w:left w:val="single" w:sz="8" w:space="0" w:color="auto"/>
              <w:bottom w:val="single" w:sz="8" w:space="0" w:color="auto"/>
              <w:right w:val="single" w:sz="8" w:space="0" w:color="auto"/>
            </w:tcBorders>
            <w:vAlign w:val="center"/>
            <w:hideMark/>
          </w:tcPr>
          <w:p w14:paraId="2147C0F9"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SI</w:t>
            </w:r>
            <w:r w:rsidRPr="00476171">
              <w:rPr>
                <w:rFonts w:ascii="Times New Roman" w:hAnsi="Times New Roman"/>
                <w:noProof/>
                <w:sz w:val="18"/>
                <w:lang w:val="de-DE"/>
              </w:rPr>
              <w:t xml:space="preserve"> </w:t>
            </w:r>
          </w:p>
        </w:tc>
        <w:tc>
          <w:tcPr>
            <w:tcW w:w="1358" w:type="dxa"/>
            <w:tcBorders>
              <w:top w:val="nil"/>
              <w:left w:val="nil"/>
              <w:bottom w:val="single" w:sz="8" w:space="0" w:color="auto"/>
              <w:right w:val="single" w:sz="8" w:space="0" w:color="auto"/>
            </w:tcBorders>
            <w:vAlign w:val="center"/>
            <w:hideMark/>
          </w:tcPr>
          <w:p w14:paraId="58C2CCA0" w14:textId="1BD63E16"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6,1 </w:t>
            </w:r>
          </w:p>
        </w:tc>
        <w:tc>
          <w:tcPr>
            <w:tcW w:w="1664" w:type="dxa"/>
            <w:tcBorders>
              <w:top w:val="nil"/>
              <w:left w:val="nil"/>
              <w:bottom w:val="single" w:sz="8" w:space="0" w:color="auto"/>
              <w:right w:val="single" w:sz="8" w:space="0" w:color="auto"/>
            </w:tcBorders>
            <w:vAlign w:val="center"/>
            <w:hideMark/>
          </w:tcPr>
          <w:p w14:paraId="4430EA7F" w14:textId="155205C4"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7,1 </w:t>
            </w:r>
          </w:p>
        </w:tc>
        <w:tc>
          <w:tcPr>
            <w:tcW w:w="1515" w:type="dxa"/>
            <w:tcBorders>
              <w:top w:val="nil"/>
              <w:left w:val="nil"/>
              <w:bottom w:val="single" w:sz="8" w:space="0" w:color="auto"/>
              <w:right w:val="single" w:sz="8" w:space="0" w:color="auto"/>
            </w:tcBorders>
            <w:vAlign w:val="center"/>
            <w:hideMark/>
          </w:tcPr>
          <w:p w14:paraId="23A0D1D8" w14:textId="0B52FD85"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115,8 % </w:t>
            </w:r>
          </w:p>
        </w:tc>
        <w:tc>
          <w:tcPr>
            <w:tcW w:w="1459" w:type="dxa"/>
            <w:tcBorders>
              <w:top w:val="nil"/>
              <w:left w:val="nil"/>
              <w:bottom w:val="single" w:sz="8" w:space="0" w:color="auto"/>
              <w:right w:val="single" w:sz="8" w:space="0" w:color="auto"/>
            </w:tcBorders>
            <w:vAlign w:val="center"/>
            <w:hideMark/>
          </w:tcPr>
          <w:p w14:paraId="6B9F1EC9" w14:textId="454378D4"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4,4 </w:t>
            </w:r>
          </w:p>
        </w:tc>
        <w:tc>
          <w:tcPr>
            <w:tcW w:w="1459" w:type="dxa"/>
            <w:tcBorders>
              <w:top w:val="nil"/>
              <w:left w:val="nil"/>
              <w:bottom w:val="single" w:sz="8" w:space="0" w:color="auto"/>
              <w:right w:val="single" w:sz="8" w:space="0" w:color="auto"/>
            </w:tcBorders>
            <w:vAlign w:val="center"/>
            <w:hideMark/>
          </w:tcPr>
          <w:p w14:paraId="526D049F" w14:textId="46DDFCCE" w:rsidR="00173BB6" w:rsidRPr="00476171" w:rsidRDefault="00F7654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5,1 </w:t>
            </w:r>
          </w:p>
        </w:tc>
        <w:tc>
          <w:tcPr>
            <w:tcW w:w="1328" w:type="dxa"/>
            <w:tcBorders>
              <w:top w:val="nil"/>
              <w:left w:val="nil"/>
              <w:bottom w:val="single" w:sz="8" w:space="0" w:color="auto"/>
              <w:right w:val="single" w:sz="8" w:space="0" w:color="auto"/>
            </w:tcBorders>
            <w:vAlign w:val="center"/>
            <w:hideMark/>
          </w:tcPr>
          <w:p w14:paraId="3B572E7D" w14:textId="03F6BDAD" w:rsidR="00173BB6" w:rsidRPr="00476171" w:rsidRDefault="00F7654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116,6 % </w:t>
            </w:r>
          </w:p>
        </w:tc>
      </w:tr>
      <w:tr w:rsidR="00173BB6" w:rsidRPr="00476171" w14:paraId="6A688EA4"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6C41C5FB"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SK</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3255167C" w14:textId="2C8E3654"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15,2 </w:t>
            </w:r>
          </w:p>
        </w:tc>
        <w:tc>
          <w:tcPr>
            <w:tcW w:w="1664" w:type="dxa"/>
            <w:tcBorders>
              <w:top w:val="nil"/>
              <w:left w:val="nil"/>
              <w:bottom w:val="single" w:sz="8" w:space="0" w:color="auto"/>
              <w:right w:val="single" w:sz="8" w:space="0" w:color="auto"/>
            </w:tcBorders>
            <w:vAlign w:val="center"/>
            <w:hideMark/>
          </w:tcPr>
          <w:p w14:paraId="054C66E5" w14:textId="734EB0E1"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16,4 </w:t>
            </w:r>
          </w:p>
        </w:tc>
        <w:tc>
          <w:tcPr>
            <w:tcW w:w="1515" w:type="dxa"/>
            <w:tcBorders>
              <w:top w:val="nil"/>
              <w:left w:val="nil"/>
              <w:bottom w:val="single" w:sz="8" w:space="0" w:color="auto"/>
              <w:right w:val="single" w:sz="8" w:space="0" w:color="auto"/>
            </w:tcBorders>
            <w:vAlign w:val="center"/>
            <w:hideMark/>
          </w:tcPr>
          <w:p w14:paraId="5F141C7B"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108,0 % </w:t>
            </w:r>
          </w:p>
        </w:tc>
        <w:tc>
          <w:tcPr>
            <w:tcW w:w="1459" w:type="dxa"/>
            <w:tcBorders>
              <w:top w:val="nil"/>
              <w:left w:val="nil"/>
              <w:bottom w:val="single" w:sz="8" w:space="0" w:color="auto"/>
              <w:right w:val="single" w:sz="8" w:space="0" w:color="auto"/>
            </w:tcBorders>
            <w:vAlign w:val="center"/>
            <w:hideMark/>
          </w:tcPr>
          <w:p w14:paraId="21958ADA" w14:textId="42BB1B6C"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10,4 </w:t>
            </w:r>
          </w:p>
        </w:tc>
        <w:tc>
          <w:tcPr>
            <w:tcW w:w="1459" w:type="dxa"/>
            <w:tcBorders>
              <w:top w:val="nil"/>
              <w:left w:val="nil"/>
              <w:bottom w:val="single" w:sz="8" w:space="0" w:color="auto"/>
              <w:right w:val="single" w:sz="8" w:space="0" w:color="auto"/>
            </w:tcBorders>
            <w:vAlign w:val="center"/>
            <w:hideMark/>
          </w:tcPr>
          <w:p w14:paraId="00FCA3D1" w14:textId="4A6E9B32" w:rsidR="00173BB6" w:rsidRPr="00476171" w:rsidRDefault="00173BB6"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10,4 </w:t>
            </w:r>
          </w:p>
        </w:tc>
        <w:tc>
          <w:tcPr>
            <w:tcW w:w="1328" w:type="dxa"/>
            <w:tcBorders>
              <w:top w:val="nil"/>
              <w:left w:val="nil"/>
              <w:bottom w:val="single" w:sz="8" w:space="0" w:color="auto"/>
              <w:right w:val="single" w:sz="8" w:space="0" w:color="auto"/>
            </w:tcBorders>
            <w:vAlign w:val="center"/>
            <w:hideMark/>
          </w:tcPr>
          <w:p w14:paraId="77253B80" w14:textId="5E0180CF" w:rsidR="00173BB6" w:rsidRPr="00476171" w:rsidRDefault="00173BB6" w:rsidP="00F7654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100,2 % </w:t>
            </w:r>
          </w:p>
        </w:tc>
      </w:tr>
      <w:tr w:rsidR="00173BB6" w:rsidRPr="00476171" w14:paraId="44F76B6C"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48351999"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FI</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3823CB43" w14:textId="13152500"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29,9 </w:t>
            </w:r>
          </w:p>
        </w:tc>
        <w:tc>
          <w:tcPr>
            <w:tcW w:w="1664" w:type="dxa"/>
            <w:tcBorders>
              <w:top w:val="nil"/>
              <w:left w:val="nil"/>
              <w:bottom w:val="single" w:sz="8" w:space="0" w:color="auto"/>
              <w:right w:val="single" w:sz="8" w:space="0" w:color="auto"/>
            </w:tcBorders>
            <w:vAlign w:val="center"/>
            <w:hideMark/>
          </w:tcPr>
          <w:p w14:paraId="5039AA85" w14:textId="2614CD38"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35,9 </w:t>
            </w:r>
          </w:p>
        </w:tc>
        <w:tc>
          <w:tcPr>
            <w:tcW w:w="1515" w:type="dxa"/>
            <w:tcBorders>
              <w:top w:val="nil"/>
              <w:left w:val="nil"/>
              <w:bottom w:val="single" w:sz="8" w:space="0" w:color="auto"/>
              <w:right w:val="single" w:sz="8" w:space="0" w:color="auto"/>
            </w:tcBorders>
            <w:vAlign w:val="center"/>
            <w:hideMark/>
          </w:tcPr>
          <w:p w14:paraId="4F4FA0B5"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120,0 % </w:t>
            </w:r>
          </w:p>
        </w:tc>
        <w:tc>
          <w:tcPr>
            <w:tcW w:w="1459" w:type="dxa"/>
            <w:tcBorders>
              <w:top w:val="nil"/>
              <w:left w:val="nil"/>
              <w:bottom w:val="single" w:sz="8" w:space="0" w:color="auto"/>
              <w:right w:val="single" w:sz="8" w:space="0" w:color="auto"/>
            </w:tcBorders>
            <w:vAlign w:val="center"/>
            <w:hideMark/>
          </w:tcPr>
          <w:p w14:paraId="3CD52B47" w14:textId="7D0822B4"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23,3 </w:t>
            </w:r>
          </w:p>
        </w:tc>
        <w:tc>
          <w:tcPr>
            <w:tcW w:w="1459" w:type="dxa"/>
            <w:tcBorders>
              <w:top w:val="nil"/>
              <w:left w:val="nil"/>
              <w:bottom w:val="single" w:sz="8" w:space="0" w:color="auto"/>
              <w:right w:val="single" w:sz="8" w:space="0" w:color="auto"/>
            </w:tcBorders>
            <w:vAlign w:val="center"/>
            <w:hideMark/>
          </w:tcPr>
          <w:p w14:paraId="58EA0F5E" w14:textId="5E479A9B"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 xml:space="preserve">26,7 </w:t>
            </w:r>
          </w:p>
        </w:tc>
        <w:tc>
          <w:tcPr>
            <w:tcW w:w="1328" w:type="dxa"/>
            <w:tcBorders>
              <w:top w:val="nil"/>
              <w:left w:val="nil"/>
              <w:bottom w:val="single" w:sz="8" w:space="0" w:color="auto"/>
              <w:right w:val="single" w:sz="8" w:space="0" w:color="auto"/>
            </w:tcBorders>
            <w:vAlign w:val="center"/>
            <w:hideMark/>
          </w:tcPr>
          <w:p w14:paraId="265C7B6A" w14:textId="6846582E"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114,5 % </w:t>
            </w:r>
          </w:p>
        </w:tc>
      </w:tr>
      <w:tr w:rsidR="00173BB6" w:rsidRPr="00476171" w14:paraId="2FCCAF16" w14:textId="77777777" w:rsidTr="006B2352">
        <w:trPr>
          <w:trHeight w:hRule="exact" w:val="340"/>
          <w:jc w:val="center"/>
        </w:trPr>
        <w:tc>
          <w:tcPr>
            <w:tcW w:w="557" w:type="dxa"/>
            <w:tcBorders>
              <w:top w:val="nil"/>
              <w:left w:val="single" w:sz="8" w:space="0" w:color="auto"/>
              <w:bottom w:val="single" w:sz="8" w:space="0" w:color="auto"/>
              <w:right w:val="nil"/>
            </w:tcBorders>
            <w:vAlign w:val="center"/>
            <w:hideMark/>
          </w:tcPr>
          <w:p w14:paraId="62E0E6DF"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b/>
                <w:noProof/>
                <w:sz w:val="18"/>
                <w:lang w:val="de-DE"/>
              </w:rPr>
              <w:t>SE</w:t>
            </w:r>
            <w:r w:rsidRPr="00476171">
              <w:rPr>
                <w:rFonts w:ascii="Times New Roman" w:hAnsi="Times New Roman"/>
                <w:noProof/>
                <w:sz w:val="18"/>
                <w:lang w:val="de-DE"/>
              </w:rPr>
              <w:t xml:space="preserve"> </w:t>
            </w:r>
          </w:p>
        </w:tc>
        <w:tc>
          <w:tcPr>
            <w:tcW w:w="1358" w:type="dxa"/>
            <w:tcBorders>
              <w:top w:val="nil"/>
              <w:left w:val="single" w:sz="8" w:space="0" w:color="auto"/>
              <w:bottom w:val="single" w:sz="8" w:space="0" w:color="auto"/>
              <w:right w:val="single" w:sz="8" w:space="0" w:color="auto"/>
            </w:tcBorders>
            <w:vAlign w:val="center"/>
            <w:hideMark/>
          </w:tcPr>
          <w:p w14:paraId="6905F4A4"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41,7 </w:t>
            </w:r>
          </w:p>
        </w:tc>
        <w:tc>
          <w:tcPr>
            <w:tcW w:w="1664" w:type="dxa"/>
            <w:tcBorders>
              <w:top w:val="nil"/>
              <w:left w:val="nil"/>
              <w:bottom w:val="single" w:sz="8" w:space="0" w:color="auto"/>
              <w:right w:val="single" w:sz="8" w:space="0" w:color="auto"/>
            </w:tcBorders>
            <w:vAlign w:val="center"/>
            <w:hideMark/>
          </w:tcPr>
          <w:p w14:paraId="24872C8B"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43,4 </w:t>
            </w:r>
          </w:p>
        </w:tc>
        <w:tc>
          <w:tcPr>
            <w:tcW w:w="1515" w:type="dxa"/>
            <w:tcBorders>
              <w:top w:val="nil"/>
              <w:left w:val="nil"/>
              <w:bottom w:val="single" w:sz="8" w:space="0" w:color="auto"/>
              <w:right w:val="single" w:sz="8" w:space="0" w:color="auto"/>
            </w:tcBorders>
            <w:vAlign w:val="center"/>
            <w:hideMark/>
          </w:tcPr>
          <w:p w14:paraId="70C498B9" w14:textId="77777777" w:rsidR="00173BB6" w:rsidRPr="00476171" w:rsidRDefault="00173BB6"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104,1 % </w:t>
            </w:r>
          </w:p>
        </w:tc>
        <w:tc>
          <w:tcPr>
            <w:tcW w:w="1459" w:type="dxa"/>
            <w:tcBorders>
              <w:top w:val="nil"/>
              <w:left w:val="nil"/>
              <w:bottom w:val="single" w:sz="8" w:space="0" w:color="auto"/>
              <w:right w:val="single" w:sz="8" w:space="0" w:color="auto"/>
            </w:tcBorders>
            <w:vAlign w:val="center"/>
            <w:hideMark/>
          </w:tcPr>
          <w:p w14:paraId="4123F54E" w14:textId="42A32151" w:rsidR="00173BB6" w:rsidRPr="00476171" w:rsidRDefault="005523B5" w:rsidP="00173BB6">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30,9 </w:t>
            </w:r>
          </w:p>
        </w:tc>
        <w:tc>
          <w:tcPr>
            <w:tcW w:w="1459" w:type="dxa"/>
            <w:tcBorders>
              <w:top w:val="nil"/>
              <w:left w:val="nil"/>
              <w:bottom w:val="single" w:sz="8" w:space="0" w:color="auto"/>
              <w:right w:val="single" w:sz="8" w:space="0" w:color="auto"/>
            </w:tcBorders>
            <w:vAlign w:val="center"/>
            <w:hideMark/>
          </w:tcPr>
          <w:p w14:paraId="1B86942B" w14:textId="5757ED1D"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30,3 </w:t>
            </w:r>
          </w:p>
        </w:tc>
        <w:tc>
          <w:tcPr>
            <w:tcW w:w="1328" w:type="dxa"/>
            <w:tcBorders>
              <w:top w:val="nil"/>
              <w:left w:val="nil"/>
              <w:bottom w:val="single" w:sz="8" w:space="0" w:color="auto"/>
              <w:right w:val="single" w:sz="8" w:space="0" w:color="auto"/>
            </w:tcBorders>
            <w:vAlign w:val="center"/>
            <w:hideMark/>
          </w:tcPr>
          <w:p w14:paraId="14EEFF81" w14:textId="6797B03E" w:rsidR="00173BB6" w:rsidRPr="00476171" w:rsidRDefault="00173BB6" w:rsidP="005523B5">
            <w:pPr>
              <w:jc w:val="center"/>
              <w:textAlignment w:val="baseline"/>
              <w:rPr>
                <w:rFonts w:ascii="Times New Roman" w:hAnsi="Times New Roman" w:cs="Times New Roman"/>
                <w:noProof/>
                <w:sz w:val="24"/>
                <w:lang w:val="de-DE"/>
              </w:rPr>
            </w:pPr>
            <w:r w:rsidRPr="00476171">
              <w:rPr>
                <w:rFonts w:ascii="Times New Roman" w:hAnsi="Times New Roman"/>
                <w:noProof/>
                <w:sz w:val="18"/>
                <w:lang w:val="de-DE"/>
              </w:rPr>
              <w:t>97,8 % </w:t>
            </w:r>
          </w:p>
        </w:tc>
      </w:tr>
    </w:tbl>
    <w:p w14:paraId="38D6E20A" w14:textId="0EC47C81" w:rsidR="00687A6E" w:rsidRPr="00476171" w:rsidRDefault="000C09F5" w:rsidP="00992061">
      <w:pPr>
        <w:pStyle w:val="JRCTablesource"/>
        <w:spacing w:line="276" w:lineRule="auto"/>
        <w:jc w:val="center"/>
        <w:rPr>
          <w:rFonts w:ascii="Times New Roman" w:hAnsi="Times New Roman"/>
          <w:noProof/>
          <w:lang w:val="de-DE"/>
        </w:rPr>
      </w:pPr>
      <w:r w:rsidRPr="00476171">
        <w:rPr>
          <w:rFonts w:ascii="Times New Roman" w:hAnsi="Times New Roman"/>
          <w:noProof/>
          <w:lang w:val="de-DE"/>
        </w:rPr>
        <w:t>Quelle: JRC auf der Grundlage der Berichterstattung der Mitgliedstaaten, Eurostat, Daten vom April 2022.</w:t>
      </w:r>
      <w:r w:rsidRPr="00476171">
        <w:rPr>
          <w:rStyle w:val="FootnoteReference"/>
          <w:rFonts w:ascii="Times New Roman" w:hAnsi="Times New Roman"/>
          <w:noProof/>
          <w:lang w:val="de-DE"/>
        </w:rPr>
        <w:footnoteReference w:id="12"/>
      </w:r>
    </w:p>
    <w:p w14:paraId="7EE75F37" w14:textId="5923C538" w:rsidR="006B2352" w:rsidRDefault="006B2352">
      <w:pPr>
        <w:rPr>
          <w:rFonts w:ascii="Verdana" w:eastAsia="Calibri" w:hAnsi="Verdana" w:cs="Times New Roman"/>
          <w:noProof/>
          <w:sz w:val="20"/>
          <w:lang w:val="de-DE"/>
        </w:rPr>
      </w:pPr>
      <w:r>
        <w:rPr>
          <w:noProof/>
          <w:lang w:val="de-DE"/>
        </w:rPr>
        <w:br w:type="page"/>
      </w:r>
    </w:p>
    <w:p w14:paraId="78AF8401" w14:textId="22E913AB" w:rsidR="5875308E" w:rsidRPr="00476171" w:rsidRDefault="5875308E" w:rsidP="00173BB6">
      <w:pPr>
        <w:pStyle w:val="ListParagraph"/>
        <w:numPr>
          <w:ilvl w:val="0"/>
          <w:numId w:val="8"/>
        </w:numPr>
        <w:spacing w:line="276" w:lineRule="auto"/>
        <w:rPr>
          <w:noProof/>
          <w:sz w:val="24"/>
          <w:lang w:val="de-DE"/>
        </w:rPr>
      </w:pPr>
      <w:r w:rsidRPr="00476171">
        <w:rPr>
          <w:rFonts w:ascii="Times New Roman" w:hAnsi="Times New Roman"/>
          <w:noProof/>
          <w:color w:val="000000" w:themeColor="text1"/>
          <w:sz w:val="24"/>
          <w:lang w:val="de-DE"/>
        </w:rPr>
        <w:t>Vorbildcharakter der Gebäude öffentlicher Einrichtungen – Artikel 5 der Energieeffizienzrichtlinie</w:t>
      </w:r>
    </w:p>
    <w:p w14:paraId="56019EB5" w14:textId="3D95EA70" w:rsidR="006B2352" w:rsidRDefault="24032ECE" w:rsidP="006B2352">
      <w:pPr>
        <w:spacing w:line="276" w:lineRule="auto"/>
        <w:jc w:val="both"/>
        <w:rPr>
          <w:rFonts w:ascii="Times New Roman" w:hAnsi="Times New Roman"/>
          <w:noProof/>
          <w:sz w:val="24"/>
          <w:lang w:val="de-DE"/>
        </w:rPr>
      </w:pPr>
      <w:r w:rsidRPr="00476171">
        <w:rPr>
          <w:rFonts w:ascii="Times New Roman" w:hAnsi="Times New Roman"/>
          <w:noProof/>
          <w:sz w:val="24"/>
          <w:lang w:val="de-DE"/>
        </w:rPr>
        <w:t>Gemäß Artikel 5 Absatz 1 der Energieeffizienzrichtlinie müssen die Mitgliedstaaten dafür Sorge tragen, dass ab dem 1. Januar 2014 jährlich 3 % der Gesamtfläche beheizter und/oder gekühlter Gebäude, die sich im Eigentum ihrer jeweiligen Zentralregierung befinden und von dieser genutzt werden und den Mindestanforderungen an die Gesamtenergieeffizienz nicht entsprechen, renoviert werden. Die Zielvorgabe für die Mitgliedstaaten ist, mindestens die in Artikel 4 der EPBD festgelegten Mindestanforderungen an die Gesamtenergieeffizienz zu erreichen. Die Mitgliedstaaten können sich auch für einen alternativen Ansatz entscheiden (gemäß Artikel 5 Absatz 6 der Energieeffizienzrichtlinie), um bis 2020 Energieeinsparungen zu erzielen, die dem in Artikel 5 Absatz 1 für denselben Gebäudebestand vorgeschriebenen Umfang entsprechen oder höher sind. Die Tabellen 3 und 4 geben einen Überblick über die aktuellen Fortschritte, die die Mitgliedstaaten in Bezug auf Artikel 5 Absatz 1 mit dem Standardansatz bzw. mit dem alternativen Ansatz erzielt haben.</w:t>
      </w:r>
    </w:p>
    <w:p w14:paraId="29B4D604" w14:textId="321A618E" w:rsidR="006B2352" w:rsidRDefault="006B2352">
      <w:pPr>
        <w:rPr>
          <w:rFonts w:ascii="Times New Roman" w:eastAsia="Times New Roman" w:hAnsi="Times New Roman" w:cs="Times New Roman"/>
          <w:noProof/>
          <w:sz w:val="24"/>
          <w:lang w:val="de-DE"/>
        </w:rPr>
      </w:pPr>
      <w:r>
        <w:rPr>
          <w:rFonts w:ascii="Times New Roman" w:eastAsia="Times New Roman" w:hAnsi="Times New Roman" w:cs="Times New Roman"/>
          <w:noProof/>
          <w:sz w:val="24"/>
          <w:lang w:val="de-DE"/>
        </w:rPr>
        <w:br w:type="page"/>
      </w:r>
    </w:p>
    <w:p w14:paraId="6ED95E19" w14:textId="797F2DFE" w:rsidR="0014314E" w:rsidRPr="00476171" w:rsidRDefault="0014314E" w:rsidP="00173BB6">
      <w:pPr>
        <w:pStyle w:val="JRCTabletitle"/>
        <w:rPr>
          <w:noProof/>
          <w:lang w:val="de-DE"/>
        </w:rPr>
      </w:pPr>
      <w:r w:rsidRPr="00476171">
        <w:rPr>
          <w:b/>
          <w:noProof/>
          <w:lang w:val="de-DE"/>
        </w:rPr>
        <w:t>Tabelle 3:</w:t>
      </w:r>
      <w:r w:rsidRPr="00476171">
        <w:rPr>
          <w:noProof/>
          <w:lang w:val="de-DE"/>
        </w:rPr>
        <w:t xml:space="preserve"> Stand der Umsetzung von Artikel 5 der EED durch die Mitgliedstaaten, die sich für den Standardansatz entschieden haben</w:t>
      </w:r>
      <w:r w:rsidRPr="00476171">
        <w:rPr>
          <w:rStyle w:val="FootnoteReference"/>
          <w:b/>
          <w:noProof/>
          <w:lang w:val="de-DE"/>
        </w:rPr>
        <w:footnoteReference w:id="13"/>
      </w:r>
      <w:r w:rsidRPr="00476171">
        <w:rPr>
          <w:noProof/>
          <w:lang w:val="de-DE"/>
        </w:rPr>
        <w:t xml:space="preserve"> </w:t>
      </w:r>
      <w:r w:rsidRPr="00476171">
        <w:rPr>
          <w:rStyle w:val="FootnoteReference"/>
          <w:b/>
          <w:noProof/>
          <w:lang w:val="de-DE"/>
        </w:rPr>
        <w:footnoteReference w:id="14"/>
      </w:r>
      <w:r w:rsidRPr="00476171">
        <w:rPr>
          <w:noProof/>
          <w:lang w:val="de-DE"/>
        </w:rPr>
        <w:t xml:space="preserve"> </w:t>
      </w:r>
      <w:r w:rsidRPr="00476171">
        <w:rPr>
          <w:rStyle w:val="FootnoteReference"/>
          <w:b/>
          <w:noProof/>
          <w:lang w:val="de-DE"/>
        </w:rPr>
        <w:footnoteReference w:id="15"/>
      </w:r>
      <w:r w:rsidRPr="00476171">
        <w:rPr>
          <w:noProof/>
          <w:lang w:val="de-DE"/>
        </w:rPr>
        <w:t xml:space="preserve"> </w:t>
      </w:r>
      <w:r w:rsidRPr="00476171">
        <w:rPr>
          <w:rStyle w:val="FootnoteReference"/>
          <w:b/>
          <w:noProof/>
          <w:lang w:val="de-DE"/>
        </w:rPr>
        <w:footnoteReference w:id="16"/>
      </w:r>
      <w:r w:rsidRPr="00476171">
        <w:rPr>
          <w:noProof/>
          <w:lang w:val="de-DE"/>
        </w:rPr>
        <w:t xml:space="preserve"> </w:t>
      </w:r>
      <w:r w:rsidRPr="00476171">
        <w:rPr>
          <w:rStyle w:val="FootnoteReference"/>
          <w:noProof/>
          <w:lang w:val="de-DE"/>
        </w:rPr>
        <w:footnoteReference w:id="17"/>
      </w:r>
      <w:r w:rsidRPr="00476171">
        <w:rPr>
          <w:noProof/>
          <w:lang w:val="de-DE"/>
        </w:rPr>
        <w:t xml:space="preserve"> </w:t>
      </w:r>
    </w:p>
    <w:tbl>
      <w:tblPr>
        <w:tblW w:w="11761" w:type="dxa"/>
        <w:jc w:val="center"/>
        <w:tblLayout w:type="fixed"/>
        <w:tblLook w:val="04A0" w:firstRow="1" w:lastRow="0" w:firstColumn="1" w:lastColumn="0" w:noHBand="0" w:noVBand="1"/>
      </w:tblPr>
      <w:tblGrid>
        <w:gridCol w:w="1271"/>
        <w:gridCol w:w="1309"/>
        <w:gridCol w:w="1384"/>
        <w:gridCol w:w="1418"/>
        <w:gridCol w:w="1276"/>
        <w:gridCol w:w="1164"/>
        <w:gridCol w:w="1309"/>
        <w:gridCol w:w="1309"/>
        <w:gridCol w:w="1309"/>
        <w:gridCol w:w="12"/>
      </w:tblGrid>
      <w:tr w:rsidR="00E83042" w:rsidRPr="00476171" w14:paraId="26C71F37" w14:textId="77777777" w:rsidTr="00E83042">
        <w:trPr>
          <w:trHeight w:val="1200"/>
          <w:jc w:val="center"/>
        </w:trPr>
        <w:tc>
          <w:tcPr>
            <w:tcW w:w="1271" w:type="dxa"/>
            <w:vMerge w:val="restart"/>
            <w:tcBorders>
              <w:top w:val="single" w:sz="4" w:space="0" w:color="FFFFFF"/>
              <w:left w:val="single" w:sz="4" w:space="0" w:color="FFFFFF"/>
              <w:bottom w:val="single" w:sz="4" w:space="0" w:color="FFFFFF"/>
              <w:right w:val="single" w:sz="4" w:space="0" w:color="FFFFFF"/>
            </w:tcBorders>
            <w:shd w:val="clear" w:color="000000" w:fill="1F497D"/>
            <w:vAlign w:val="center"/>
            <w:hideMark/>
          </w:tcPr>
          <w:p w14:paraId="1C2051D6" w14:textId="4A827561" w:rsidR="00E83042" w:rsidRDefault="00E83042" w:rsidP="002657AC">
            <w:pPr>
              <w:spacing w:after="0" w:line="240" w:lineRule="auto"/>
              <w:ind w:left="3228"/>
              <w:jc w:val="center"/>
              <w:rPr>
                <w:rFonts w:ascii="Times New Roman" w:eastAsia="Times New Roman" w:hAnsi="Times New Roman" w:cs="Times New Roman"/>
                <w:noProof/>
                <w:color w:val="FFFFFF"/>
                <w:lang w:val="de-DE"/>
              </w:rPr>
            </w:pPr>
            <w:r w:rsidRPr="00E83042">
              <w:rPr>
                <w:rFonts w:ascii="Times New Roman" w:hAnsi="Times New Roman"/>
                <w:noProof/>
                <w:color w:val="FFFFFF" w:themeColor="background1"/>
                <w:lang w:val="de-DE"/>
              </w:rPr>
              <w:t>M</w:t>
            </w:r>
            <w:r>
              <w:rPr>
                <w:rFonts w:ascii="Times New Roman" w:hAnsi="Times New Roman"/>
                <w:noProof/>
                <w:color w:val="FFFFFF"/>
                <w:lang w:val="de-DE"/>
              </w:rPr>
              <w:t>i</w:t>
            </w:r>
          </w:p>
          <w:p w14:paraId="6DD6B468" w14:textId="6628DD49" w:rsidR="0014314E" w:rsidRPr="00E83042" w:rsidRDefault="00E83042" w:rsidP="00E83042">
            <w:pPr>
              <w:jc w:val="center"/>
              <w:rPr>
                <w:rFonts w:ascii="Times New Roman" w:eastAsia="Times New Roman" w:hAnsi="Times New Roman" w:cs="Times New Roman"/>
                <w:noProof/>
                <w:color w:val="FFFFFF" w:themeColor="background1"/>
                <w:lang w:val="de-DE"/>
              </w:rPr>
            </w:pPr>
            <w:r w:rsidRPr="00E83042">
              <w:rPr>
                <w:rFonts w:ascii="Times New Roman" w:eastAsia="Times New Roman" w:hAnsi="Times New Roman" w:cs="Times New Roman"/>
                <w:noProof/>
                <w:color w:val="FFFFFF" w:themeColor="background1"/>
                <w:lang w:val="de-DE"/>
              </w:rPr>
              <w:t>Mit</w:t>
            </w:r>
            <w:r>
              <w:rPr>
                <w:rFonts w:ascii="Times New Roman" w:eastAsia="Times New Roman" w:hAnsi="Times New Roman" w:cs="Times New Roman"/>
                <w:noProof/>
                <w:color w:val="FFFFFF" w:themeColor="background1"/>
                <w:lang w:val="de-DE"/>
              </w:rPr>
              <w:t>glied</w:t>
            </w:r>
            <w:r>
              <w:rPr>
                <w:rFonts w:ascii="Times New Roman" w:eastAsia="Times New Roman" w:hAnsi="Times New Roman" w:cs="Times New Roman"/>
                <w:noProof/>
                <w:color w:val="FFFFFF" w:themeColor="background1"/>
                <w:lang w:val="de-DE"/>
              </w:rPr>
              <w:softHyphen/>
              <w:t>staat</w:t>
            </w:r>
          </w:p>
        </w:tc>
        <w:tc>
          <w:tcPr>
            <w:tcW w:w="2693" w:type="dxa"/>
            <w:gridSpan w:val="2"/>
            <w:tcBorders>
              <w:top w:val="single" w:sz="4" w:space="0" w:color="FFFFFF"/>
              <w:left w:val="nil"/>
              <w:bottom w:val="single" w:sz="4" w:space="0" w:color="FFFFFF"/>
              <w:right w:val="single" w:sz="4" w:space="0" w:color="FFFFFF"/>
            </w:tcBorders>
            <w:shd w:val="clear" w:color="000000" w:fill="1F497D"/>
            <w:vAlign w:val="center"/>
            <w:hideMark/>
          </w:tcPr>
          <w:p w14:paraId="1EF0355E" w14:textId="77777777"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Gebäude der Zentralregierung mit einer Grundfläche von mehr als 250 m² am 1. Januar 2021</w:t>
            </w:r>
          </w:p>
        </w:tc>
        <w:tc>
          <w:tcPr>
            <w:tcW w:w="1418" w:type="dxa"/>
            <w:tcBorders>
              <w:top w:val="single" w:sz="4" w:space="0" w:color="FFFFFF"/>
              <w:left w:val="nil"/>
              <w:bottom w:val="single" w:sz="4" w:space="0" w:color="FFFFFF"/>
              <w:right w:val="single" w:sz="4" w:space="0" w:color="FFFFFF"/>
            </w:tcBorders>
            <w:shd w:val="clear" w:color="000000" w:fill="1F497D"/>
            <w:vAlign w:val="center"/>
            <w:hideMark/>
          </w:tcPr>
          <w:p w14:paraId="003C1A97" w14:textId="77777777"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Artikel 5: Jährliche Vorgabe</w:t>
            </w:r>
          </w:p>
        </w:tc>
        <w:tc>
          <w:tcPr>
            <w:tcW w:w="6379" w:type="dxa"/>
            <w:gridSpan w:val="6"/>
            <w:tcBorders>
              <w:top w:val="nil"/>
              <w:left w:val="nil"/>
              <w:bottom w:val="single" w:sz="4" w:space="0" w:color="FFFFFF"/>
              <w:right w:val="single" w:sz="4" w:space="0" w:color="FFFFFF"/>
            </w:tcBorders>
            <w:shd w:val="clear" w:color="000000" w:fill="1F497D"/>
            <w:noWrap/>
            <w:vAlign w:val="center"/>
            <w:hideMark/>
          </w:tcPr>
          <w:p w14:paraId="1CD4B241" w14:textId="77777777"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Artikel 5: Fortschritt 2020</w:t>
            </w:r>
          </w:p>
        </w:tc>
      </w:tr>
      <w:tr w:rsidR="002657AC" w:rsidRPr="00FF3E37" w14:paraId="2B5A4834" w14:textId="77777777" w:rsidTr="00E83042">
        <w:trPr>
          <w:gridAfter w:val="1"/>
          <w:wAfter w:w="12" w:type="dxa"/>
          <w:trHeight w:val="1321"/>
          <w:jc w:val="center"/>
        </w:trPr>
        <w:tc>
          <w:tcPr>
            <w:tcW w:w="1271" w:type="dxa"/>
            <w:vMerge/>
            <w:tcBorders>
              <w:top w:val="single" w:sz="4" w:space="0" w:color="FFFFFF"/>
              <w:left w:val="single" w:sz="4" w:space="0" w:color="FFFFFF"/>
              <w:bottom w:val="single" w:sz="4" w:space="0" w:color="FFFFFF"/>
              <w:right w:val="single" w:sz="4" w:space="0" w:color="FFFFFF"/>
            </w:tcBorders>
            <w:vAlign w:val="center"/>
            <w:hideMark/>
          </w:tcPr>
          <w:p w14:paraId="40053A4D" w14:textId="77777777" w:rsidR="0014314E" w:rsidRPr="00476171" w:rsidRDefault="0014314E" w:rsidP="00173BB6">
            <w:pPr>
              <w:spacing w:after="0" w:line="240" w:lineRule="auto"/>
              <w:rPr>
                <w:rFonts w:ascii="Times New Roman" w:eastAsia="Times New Roman" w:hAnsi="Times New Roman" w:cs="Times New Roman"/>
                <w:noProof/>
                <w:color w:val="FFFFFF"/>
                <w:lang w:val="de-DE"/>
              </w:rPr>
            </w:pPr>
          </w:p>
        </w:tc>
        <w:tc>
          <w:tcPr>
            <w:tcW w:w="1309" w:type="dxa"/>
            <w:tcBorders>
              <w:top w:val="nil"/>
              <w:left w:val="nil"/>
              <w:bottom w:val="single" w:sz="4" w:space="0" w:color="FFFFFF"/>
              <w:right w:val="single" w:sz="4" w:space="0" w:color="FFFFFF"/>
            </w:tcBorders>
            <w:shd w:val="clear" w:color="000000" w:fill="1F497D"/>
            <w:vAlign w:val="center"/>
            <w:hideMark/>
          </w:tcPr>
          <w:p w14:paraId="239A7417" w14:textId="77777777"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Insgesamt [m</w:t>
            </w:r>
            <w:r w:rsidRPr="00476171">
              <w:rPr>
                <w:rFonts w:ascii="Times New Roman" w:hAnsi="Times New Roman"/>
                <w:noProof/>
                <w:color w:val="FFFFFF"/>
                <w:vertAlign w:val="superscript"/>
                <w:lang w:val="de-DE"/>
              </w:rPr>
              <w:t>2</w:t>
            </w:r>
            <w:r w:rsidRPr="00476171">
              <w:rPr>
                <w:rFonts w:ascii="Times New Roman" w:hAnsi="Times New Roman"/>
                <w:noProof/>
                <w:color w:val="FFFFFF"/>
                <w:lang w:val="de-DE"/>
              </w:rPr>
              <w:t>]</w:t>
            </w:r>
          </w:p>
        </w:tc>
        <w:tc>
          <w:tcPr>
            <w:tcW w:w="1384" w:type="dxa"/>
            <w:tcBorders>
              <w:top w:val="nil"/>
              <w:left w:val="nil"/>
              <w:bottom w:val="single" w:sz="4" w:space="0" w:color="FFFFFF"/>
              <w:right w:val="single" w:sz="4" w:space="0" w:color="FFFFFF"/>
            </w:tcBorders>
            <w:shd w:val="clear" w:color="000000" w:fill="1F497D"/>
            <w:vAlign w:val="center"/>
            <w:hideMark/>
          </w:tcPr>
          <w:p w14:paraId="77646135" w14:textId="08CFA9D0"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Nichtein</w:t>
            </w:r>
            <w:r w:rsidR="00E83042">
              <w:rPr>
                <w:rFonts w:ascii="Times New Roman" w:hAnsi="Times New Roman"/>
                <w:noProof/>
                <w:color w:val="FFFFFF"/>
                <w:lang w:val="de-DE"/>
              </w:rPr>
              <w:softHyphen/>
            </w:r>
            <w:r w:rsidRPr="00476171">
              <w:rPr>
                <w:rFonts w:ascii="Times New Roman" w:hAnsi="Times New Roman"/>
                <w:noProof/>
                <w:color w:val="FFFFFF"/>
                <w:lang w:val="de-DE"/>
              </w:rPr>
              <w:t>haltung der Mindestan</w:t>
            </w:r>
            <w:r w:rsidR="00E83042">
              <w:rPr>
                <w:rFonts w:ascii="Times New Roman" w:hAnsi="Times New Roman"/>
                <w:noProof/>
                <w:color w:val="FFFFFF"/>
                <w:lang w:val="de-DE"/>
              </w:rPr>
              <w:softHyphen/>
            </w:r>
            <w:r w:rsidRPr="00476171">
              <w:rPr>
                <w:rFonts w:ascii="Times New Roman" w:hAnsi="Times New Roman"/>
                <w:noProof/>
                <w:color w:val="FFFFFF"/>
                <w:lang w:val="de-DE"/>
              </w:rPr>
              <w:t>forderungen an die Gesamtener</w:t>
            </w:r>
            <w:r w:rsidR="00E83042">
              <w:rPr>
                <w:rFonts w:ascii="Times New Roman" w:hAnsi="Times New Roman"/>
                <w:noProof/>
                <w:color w:val="FFFFFF"/>
                <w:lang w:val="de-DE"/>
              </w:rPr>
              <w:softHyphen/>
            </w:r>
            <w:r w:rsidRPr="00476171">
              <w:rPr>
                <w:rFonts w:ascii="Times New Roman" w:hAnsi="Times New Roman"/>
                <w:noProof/>
                <w:color w:val="FFFFFF"/>
                <w:lang w:val="de-DE"/>
              </w:rPr>
              <w:t>gieeffizienz</w:t>
            </w:r>
            <w:r w:rsidRPr="00476171">
              <w:rPr>
                <w:noProof/>
                <w:lang w:val="de-DE"/>
              </w:rPr>
              <w:t xml:space="preserve"> </w:t>
            </w:r>
            <w:r w:rsidRPr="00476171">
              <w:rPr>
                <w:noProof/>
                <w:lang w:val="de-DE"/>
              </w:rPr>
              <w:cr/>
            </w:r>
            <w:r w:rsidRPr="00476171">
              <w:rPr>
                <w:noProof/>
                <w:lang w:val="de-DE"/>
              </w:rPr>
              <w:br/>
            </w:r>
            <w:r w:rsidRPr="00476171">
              <w:rPr>
                <w:rFonts w:ascii="Times New Roman" w:hAnsi="Times New Roman"/>
                <w:noProof/>
                <w:color w:val="FFFFFF"/>
                <w:lang w:val="de-DE"/>
              </w:rPr>
              <w:t xml:space="preserve"> [m</w:t>
            </w:r>
            <w:r w:rsidRPr="00476171">
              <w:rPr>
                <w:rFonts w:ascii="Times New Roman" w:hAnsi="Times New Roman"/>
                <w:noProof/>
                <w:color w:val="FFFFFF"/>
                <w:vertAlign w:val="superscript"/>
                <w:lang w:val="de-DE"/>
              </w:rPr>
              <w:t>2</w:t>
            </w:r>
            <w:r w:rsidRPr="00476171">
              <w:rPr>
                <w:rFonts w:ascii="Times New Roman" w:hAnsi="Times New Roman"/>
                <w:noProof/>
                <w:color w:val="FFFFFF"/>
                <w:lang w:val="de-DE"/>
              </w:rPr>
              <w:t>]</w:t>
            </w:r>
          </w:p>
        </w:tc>
        <w:tc>
          <w:tcPr>
            <w:tcW w:w="1418" w:type="dxa"/>
            <w:tcBorders>
              <w:top w:val="nil"/>
              <w:left w:val="nil"/>
              <w:bottom w:val="single" w:sz="4" w:space="0" w:color="FFFFFF"/>
              <w:right w:val="single" w:sz="4" w:space="0" w:color="FFFFFF"/>
            </w:tcBorders>
            <w:shd w:val="clear" w:color="000000" w:fill="1F497D"/>
            <w:vAlign w:val="center"/>
            <w:hideMark/>
          </w:tcPr>
          <w:p w14:paraId="60F219B3" w14:textId="50597896"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Renovie</w:t>
            </w:r>
            <w:r w:rsidR="00E83042">
              <w:rPr>
                <w:rFonts w:ascii="Times New Roman" w:hAnsi="Times New Roman"/>
                <w:noProof/>
                <w:color w:val="FFFFFF"/>
                <w:lang w:val="de-DE"/>
              </w:rPr>
              <w:softHyphen/>
            </w:r>
            <w:r w:rsidRPr="00476171">
              <w:rPr>
                <w:rFonts w:ascii="Times New Roman" w:hAnsi="Times New Roman"/>
                <w:noProof/>
                <w:color w:val="FFFFFF"/>
                <w:lang w:val="de-DE"/>
              </w:rPr>
              <w:t>rungspflicht Grundfläche [m</w:t>
            </w:r>
            <w:r w:rsidRPr="00476171">
              <w:rPr>
                <w:rFonts w:ascii="Times New Roman" w:hAnsi="Times New Roman"/>
                <w:noProof/>
                <w:color w:val="FFFFFF"/>
                <w:vertAlign w:val="superscript"/>
                <w:lang w:val="de-DE"/>
              </w:rPr>
              <w:t>2</w:t>
            </w:r>
            <w:r w:rsidRPr="00476171">
              <w:rPr>
                <w:rFonts w:ascii="Times New Roman" w:hAnsi="Times New Roman"/>
                <w:noProof/>
                <w:color w:val="FFFFFF"/>
                <w:lang w:val="de-DE"/>
              </w:rPr>
              <w:t>]</w:t>
            </w:r>
          </w:p>
        </w:tc>
        <w:tc>
          <w:tcPr>
            <w:tcW w:w="1276" w:type="dxa"/>
            <w:tcBorders>
              <w:top w:val="nil"/>
              <w:left w:val="nil"/>
              <w:bottom w:val="single" w:sz="4" w:space="0" w:color="FFFFFF"/>
              <w:right w:val="single" w:sz="4" w:space="0" w:color="FFFFFF"/>
            </w:tcBorders>
            <w:shd w:val="clear" w:color="000000" w:fill="1F497D"/>
            <w:vAlign w:val="center"/>
            <w:hideMark/>
          </w:tcPr>
          <w:p w14:paraId="42D0D426" w14:textId="308E415C"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Renovierte Grund</w:t>
            </w:r>
            <w:r w:rsidR="00FF3E37">
              <w:rPr>
                <w:rFonts w:ascii="Times New Roman" w:hAnsi="Times New Roman"/>
                <w:noProof/>
                <w:color w:val="FFFFFF"/>
                <w:lang w:val="de-DE"/>
              </w:rPr>
              <w:softHyphen/>
            </w:r>
            <w:r w:rsidRPr="00476171">
              <w:rPr>
                <w:rFonts w:ascii="Times New Roman" w:hAnsi="Times New Roman"/>
                <w:noProof/>
                <w:color w:val="FFFFFF"/>
                <w:lang w:val="de-DE"/>
              </w:rPr>
              <w:t>fläche</w:t>
            </w:r>
            <w:r w:rsidRPr="00476171">
              <w:rPr>
                <w:noProof/>
                <w:lang w:val="de-DE"/>
              </w:rPr>
              <w:t xml:space="preserve"> </w:t>
            </w:r>
            <w:r w:rsidRPr="00476171">
              <w:rPr>
                <w:noProof/>
                <w:lang w:val="de-DE"/>
              </w:rPr>
              <w:cr/>
            </w:r>
            <w:r w:rsidRPr="00476171">
              <w:rPr>
                <w:noProof/>
                <w:lang w:val="de-DE"/>
              </w:rPr>
              <w:br/>
            </w:r>
            <w:r w:rsidRPr="00476171">
              <w:rPr>
                <w:rFonts w:ascii="Times New Roman" w:hAnsi="Times New Roman"/>
                <w:noProof/>
                <w:color w:val="FFFFFF"/>
                <w:lang w:val="de-DE"/>
              </w:rPr>
              <w:t>[m</w:t>
            </w:r>
            <w:r w:rsidRPr="00476171">
              <w:rPr>
                <w:rFonts w:ascii="Times New Roman" w:hAnsi="Times New Roman"/>
                <w:noProof/>
                <w:color w:val="FFFFFF"/>
                <w:vertAlign w:val="superscript"/>
                <w:lang w:val="de-DE"/>
              </w:rPr>
              <w:t>2</w:t>
            </w:r>
            <w:r w:rsidRPr="00476171">
              <w:rPr>
                <w:rFonts w:ascii="Times New Roman" w:hAnsi="Times New Roman"/>
                <w:noProof/>
                <w:color w:val="FFFFFF"/>
                <w:lang w:val="de-DE"/>
              </w:rPr>
              <w:t>]</w:t>
            </w:r>
          </w:p>
        </w:tc>
        <w:tc>
          <w:tcPr>
            <w:tcW w:w="1164" w:type="dxa"/>
            <w:tcBorders>
              <w:top w:val="nil"/>
              <w:left w:val="nil"/>
              <w:bottom w:val="single" w:sz="4" w:space="0" w:color="FFFFFF"/>
              <w:right w:val="single" w:sz="4" w:space="0" w:color="FFFFFF"/>
            </w:tcBorders>
            <w:shd w:val="clear" w:color="000000" w:fill="1F497D"/>
            <w:vAlign w:val="center"/>
            <w:hideMark/>
          </w:tcPr>
          <w:p w14:paraId="606793C3" w14:textId="524B2AA7"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Im Jahr 2020 erzielte jährliche Verpflich</w:t>
            </w:r>
            <w:r w:rsidR="00E83042">
              <w:rPr>
                <w:rFonts w:ascii="Times New Roman" w:hAnsi="Times New Roman"/>
                <w:noProof/>
                <w:color w:val="FFFFFF"/>
                <w:lang w:val="de-DE"/>
              </w:rPr>
              <w:softHyphen/>
            </w:r>
            <w:r w:rsidRPr="00476171">
              <w:rPr>
                <w:rFonts w:ascii="Times New Roman" w:hAnsi="Times New Roman"/>
                <w:noProof/>
                <w:color w:val="FFFFFF"/>
                <w:lang w:val="de-DE"/>
              </w:rPr>
              <w:t>tung in Bezug auf die Grund</w:t>
            </w:r>
            <w:r w:rsidR="00E83042">
              <w:rPr>
                <w:rFonts w:ascii="Times New Roman" w:hAnsi="Times New Roman"/>
                <w:noProof/>
                <w:color w:val="FFFFFF"/>
                <w:lang w:val="de-DE"/>
              </w:rPr>
              <w:softHyphen/>
            </w:r>
            <w:r w:rsidRPr="00476171">
              <w:rPr>
                <w:rFonts w:ascii="Times New Roman" w:hAnsi="Times New Roman"/>
                <w:noProof/>
                <w:color w:val="FFFFFF"/>
                <w:lang w:val="de-DE"/>
              </w:rPr>
              <w:t>fläche [%]</w:t>
            </w:r>
          </w:p>
        </w:tc>
        <w:tc>
          <w:tcPr>
            <w:tcW w:w="1309" w:type="dxa"/>
            <w:tcBorders>
              <w:top w:val="nil"/>
              <w:left w:val="nil"/>
              <w:bottom w:val="single" w:sz="4" w:space="0" w:color="FFFFFF"/>
              <w:right w:val="single" w:sz="4" w:space="0" w:color="FFFFFF"/>
            </w:tcBorders>
            <w:shd w:val="clear" w:color="000000" w:fill="1F497D"/>
            <w:vAlign w:val="center"/>
            <w:hideMark/>
          </w:tcPr>
          <w:p w14:paraId="009C9781" w14:textId="501AEFBB"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Summe der Einspa</w:t>
            </w:r>
            <w:r w:rsidR="00E83042">
              <w:rPr>
                <w:rFonts w:ascii="Times New Roman" w:hAnsi="Times New Roman"/>
                <w:noProof/>
                <w:color w:val="FFFFFF"/>
                <w:lang w:val="de-DE"/>
              </w:rPr>
              <w:softHyphen/>
            </w:r>
            <w:r w:rsidRPr="00476171">
              <w:rPr>
                <w:rFonts w:ascii="Times New Roman" w:hAnsi="Times New Roman"/>
                <w:noProof/>
                <w:color w:val="FFFFFF"/>
                <w:lang w:val="de-DE"/>
              </w:rPr>
              <w:t>rungen im Zeitraum 2014–2020</w:t>
            </w:r>
          </w:p>
        </w:tc>
        <w:tc>
          <w:tcPr>
            <w:tcW w:w="1309" w:type="dxa"/>
            <w:tcBorders>
              <w:top w:val="nil"/>
              <w:left w:val="nil"/>
              <w:bottom w:val="single" w:sz="4" w:space="0" w:color="FFFFFF"/>
              <w:right w:val="single" w:sz="4" w:space="0" w:color="FFFFFF"/>
            </w:tcBorders>
            <w:shd w:val="clear" w:color="000000" w:fill="1F497D"/>
            <w:vAlign w:val="center"/>
            <w:hideMark/>
          </w:tcPr>
          <w:p w14:paraId="126CE66A" w14:textId="756053A3"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Renovierte Gesamt</w:t>
            </w:r>
            <w:r w:rsidR="00E83042">
              <w:rPr>
                <w:rFonts w:ascii="Times New Roman" w:hAnsi="Times New Roman"/>
                <w:noProof/>
                <w:color w:val="FFFFFF"/>
                <w:lang w:val="de-DE"/>
              </w:rPr>
              <w:softHyphen/>
            </w:r>
            <w:r w:rsidRPr="00476171">
              <w:rPr>
                <w:rFonts w:ascii="Times New Roman" w:hAnsi="Times New Roman"/>
                <w:noProof/>
                <w:color w:val="FFFFFF"/>
                <w:lang w:val="de-DE"/>
              </w:rPr>
              <w:t>fläche im Zeitraum 2014–2020</w:t>
            </w:r>
          </w:p>
        </w:tc>
        <w:tc>
          <w:tcPr>
            <w:tcW w:w="1309" w:type="dxa"/>
            <w:tcBorders>
              <w:top w:val="nil"/>
              <w:left w:val="nil"/>
              <w:bottom w:val="single" w:sz="4" w:space="0" w:color="FFFFFF"/>
              <w:right w:val="single" w:sz="4" w:space="0" w:color="FFFFFF"/>
            </w:tcBorders>
            <w:shd w:val="clear" w:color="000000" w:fill="1F497D"/>
            <w:vAlign w:val="center"/>
            <w:hideMark/>
          </w:tcPr>
          <w:p w14:paraId="76D02CF9" w14:textId="6F142761"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Im Zeitraum 2014–2020 erzielte Gesamtver</w:t>
            </w:r>
            <w:r w:rsidR="00E83042">
              <w:rPr>
                <w:rFonts w:ascii="Times New Roman" w:hAnsi="Times New Roman"/>
                <w:noProof/>
                <w:color w:val="FFFFFF"/>
                <w:lang w:val="de-DE"/>
              </w:rPr>
              <w:softHyphen/>
            </w:r>
            <w:r w:rsidRPr="00476171">
              <w:rPr>
                <w:rFonts w:ascii="Times New Roman" w:hAnsi="Times New Roman"/>
                <w:noProof/>
                <w:color w:val="FFFFFF"/>
                <w:lang w:val="de-DE"/>
              </w:rPr>
              <w:t>pflichtung in Bezug auf die Grund</w:t>
            </w:r>
            <w:r w:rsidR="00E83042">
              <w:rPr>
                <w:rFonts w:ascii="Times New Roman" w:hAnsi="Times New Roman"/>
                <w:noProof/>
                <w:color w:val="FFFFFF"/>
                <w:lang w:val="de-DE"/>
              </w:rPr>
              <w:softHyphen/>
            </w:r>
            <w:r w:rsidRPr="00476171">
              <w:rPr>
                <w:rFonts w:ascii="Times New Roman" w:hAnsi="Times New Roman"/>
                <w:noProof/>
                <w:color w:val="FFFFFF"/>
                <w:lang w:val="de-DE"/>
              </w:rPr>
              <w:t>fläche [%]</w:t>
            </w:r>
          </w:p>
        </w:tc>
      </w:tr>
      <w:tr w:rsidR="002657AC" w:rsidRPr="00476171" w14:paraId="6447DD86" w14:textId="77777777" w:rsidTr="00E83042">
        <w:trPr>
          <w:gridAfter w:val="1"/>
          <w:wAfter w:w="12" w:type="dxa"/>
          <w:trHeight w:val="283"/>
          <w:jc w:val="center"/>
        </w:trPr>
        <w:tc>
          <w:tcPr>
            <w:tcW w:w="1271" w:type="dxa"/>
            <w:tcBorders>
              <w:top w:val="nil"/>
              <w:left w:val="single" w:sz="4" w:space="0" w:color="FFFFFF"/>
              <w:bottom w:val="single" w:sz="4" w:space="0" w:color="FFFFFF"/>
              <w:right w:val="single" w:sz="4" w:space="0" w:color="FFFFFF"/>
            </w:tcBorders>
            <w:shd w:val="clear" w:color="000000" w:fill="1F497D"/>
            <w:noWrap/>
            <w:vAlign w:val="center"/>
            <w:hideMark/>
          </w:tcPr>
          <w:p w14:paraId="4190B8CD" w14:textId="77777777"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BG</w:t>
            </w:r>
          </w:p>
        </w:tc>
        <w:tc>
          <w:tcPr>
            <w:tcW w:w="1309" w:type="dxa"/>
            <w:tcBorders>
              <w:top w:val="nil"/>
              <w:left w:val="nil"/>
              <w:bottom w:val="single" w:sz="4" w:space="0" w:color="FFFFFF"/>
              <w:right w:val="single" w:sz="4" w:space="0" w:color="FFFFFF"/>
            </w:tcBorders>
            <w:shd w:val="clear" w:color="000000" w:fill="C5D9F1"/>
            <w:noWrap/>
            <w:vAlign w:val="center"/>
            <w:hideMark/>
          </w:tcPr>
          <w:p w14:paraId="680E5601" w14:textId="1B69C2A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2 571 112</w:t>
            </w:r>
          </w:p>
        </w:tc>
        <w:tc>
          <w:tcPr>
            <w:tcW w:w="1384" w:type="dxa"/>
            <w:tcBorders>
              <w:top w:val="nil"/>
              <w:left w:val="nil"/>
              <w:bottom w:val="single" w:sz="4" w:space="0" w:color="FFFFFF"/>
              <w:right w:val="single" w:sz="4" w:space="0" w:color="FFFFFF"/>
            </w:tcBorders>
            <w:shd w:val="clear" w:color="000000" w:fill="C5D9F1"/>
            <w:noWrap/>
            <w:vAlign w:val="center"/>
            <w:hideMark/>
          </w:tcPr>
          <w:p w14:paraId="090653C9" w14:textId="5BB1477E"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1 761 062</w:t>
            </w:r>
          </w:p>
        </w:tc>
        <w:tc>
          <w:tcPr>
            <w:tcW w:w="1418" w:type="dxa"/>
            <w:tcBorders>
              <w:top w:val="nil"/>
              <w:left w:val="nil"/>
              <w:bottom w:val="single" w:sz="4" w:space="0" w:color="FFFFFF"/>
              <w:right w:val="single" w:sz="4" w:space="0" w:color="FFFFFF"/>
            </w:tcBorders>
            <w:shd w:val="clear" w:color="000000" w:fill="C5D9F1"/>
            <w:noWrap/>
            <w:vAlign w:val="center"/>
            <w:hideMark/>
          </w:tcPr>
          <w:p w14:paraId="52C8FD51" w14:textId="151B81B4"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54 903</w:t>
            </w:r>
          </w:p>
        </w:tc>
        <w:tc>
          <w:tcPr>
            <w:tcW w:w="1276" w:type="dxa"/>
            <w:tcBorders>
              <w:top w:val="nil"/>
              <w:left w:val="nil"/>
              <w:bottom w:val="single" w:sz="4" w:space="0" w:color="FFFFFF"/>
              <w:right w:val="single" w:sz="4" w:space="0" w:color="FFFFFF"/>
            </w:tcBorders>
            <w:shd w:val="clear" w:color="000000" w:fill="C5D9F1"/>
            <w:noWrap/>
            <w:vAlign w:val="center"/>
            <w:hideMark/>
          </w:tcPr>
          <w:p w14:paraId="03AAE838" w14:textId="1E27B616"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91 796</w:t>
            </w:r>
          </w:p>
        </w:tc>
        <w:tc>
          <w:tcPr>
            <w:tcW w:w="1164" w:type="dxa"/>
            <w:tcBorders>
              <w:top w:val="nil"/>
              <w:left w:val="nil"/>
              <w:bottom w:val="single" w:sz="4" w:space="0" w:color="FFFFFF"/>
              <w:right w:val="single" w:sz="4" w:space="0" w:color="FFFFFF"/>
            </w:tcBorders>
            <w:shd w:val="clear" w:color="000000" w:fill="C5D9F1"/>
            <w:noWrap/>
            <w:vAlign w:val="center"/>
            <w:hideMark/>
          </w:tcPr>
          <w:p w14:paraId="4E9B4D03" w14:textId="0E114BEE" w:rsidR="0014314E" w:rsidRPr="00476171" w:rsidRDefault="0014314E"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167,2 %</w:t>
            </w:r>
          </w:p>
        </w:tc>
        <w:tc>
          <w:tcPr>
            <w:tcW w:w="1309" w:type="dxa"/>
            <w:tcBorders>
              <w:top w:val="nil"/>
              <w:left w:val="nil"/>
              <w:bottom w:val="single" w:sz="4" w:space="0" w:color="FFFFFF"/>
              <w:right w:val="single" w:sz="4" w:space="0" w:color="FFFFFF"/>
            </w:tcBorders>
            <w:shd w:val="clear" w:color="000000" w:fill="C5D9F1"/>
            <w:noWrap/>
            <w:vAlign w:val="center"/>
            <w:hideMark/>
          </w:tcPr>
          <w:p w14:paraId="36E64D6C"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09" w:type="dxa"/>
            <w:tcBorders>
              <w:top w:val="nil"/>
              <w:left w:val="nil"/>
              <w:bottom w:val="single" w:sz="4" w:space="0" w:color="FFFFFF"/>
              <w:right w:val="single" w:sz="4" w:space="0" w:color="FFFFFF"/>
            </w:tcBorders>
            <w:shd w:val="clear" w:color="000000" w:fill="C5D9F1"/>
            <w:noWrap/>
            <w:vAlign w:val="center"/>
            <w:hideMark/>
          </w:tcPr>
          <w:p w14:paraId="3C350033" w14:textId="0E23DC35"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480 595</w:t>
            </w:r>
          </w:p>
        </w:tc>
        <w:tc>
          <w:tcPr>
            <w:tcW w:w="1309" w:type="dxa"/>
            <w:tcBorders>
              <w:top w:val="nil"/>
              <w:left w:val="nil"/>
              <w:bottom w:val="single" w:sz="4" w:space="0" w:color="FFFFFF"/>
              <w:right w:val="single" w:sz="4" w:space="0" w:color="FFFFFF"/>
            </w:tcBorders>
            <w:shd w:val="clear" w:color="000000" w:fill="C5D9F1"/>
            <w:noWrap/>
            <w:vAlign w:val="center"/>
            <w:hideMark/>
          </w:tcPr>
          <w:p w14:paraId="585587CE" w14:textId="1886FA58" w:rsidR="0014314E" w:rsidRPr="00476171" w:rsidRDefault="00F76546"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59,3 %</w:t>
            </w:r>
          </w:p>
        </w:tc>
      </w:tr>
      <w:tr w:rsidR="002657AC" w:rsidRPr="00476171" w14:paraId="4ABAB6EA" w14:textId="77777777" w:rsidTr="00E83042">
        <w:trPr>
          <w:gridAfter w:val="1"/>
          <w:wAfter w:w="12" w:type="dxa"/>
          <w:trHeight w:val="283"/>
          <w:jc w:val="center"/>
        </w:trPr>
        <w:tc>
          <w:tcPr>
            <w:tcW w:w="1271" w:type="dxa"/>
            <w:tcBorders>
              <w:top w:val="nil"/>
              <w:left w:val="single" w:sz="4" w:space="0" w:color="FFFFFF"/>
              <w:bottom w:val="single" w:sz="4" w:space="0" w:color="FFFFFF"/>
              <w:right w:val="single" w:sz="4" w:space="0" w:color="FFFFFF"/>
            </w:tcBorders>
            <w:shd w:val="clear" w:color="000000" w:fill="1F497D"/>
            <w:noWrap/>
            <w:vAlign w:val="center"/>
            <w:hideMark/>
          </w:tcPr>
          <w:p w14:paraId="340A48E7" w14:textId="77777777" w:rsidR="0014314E" w:rsidRPr="00476171" w:rsidRDefault="0014314E" w:rsidP="00173BB6">
            <w:pPr>
              <w:spacing w:after="0" w:line="240" w:lineRule="auto"/>
              <w:jc w:val="center"/>
              <w:rPr>
                <w:rFonts w:ascii="Times New Roman" w:eastAsia="Times New Roman" w:hAnsi="Times New Roman" w:cs="Times New Roman"/>
                <w:noProof/>
                <w:color w:val="F2F2F2"/>
                <w:lang w:val="de-DE"/>
              </w:rPr>
            </w:pPr>
            <w:r w:rsidRPr="00476171">
              <w:rPr>
                <w:rFonts w:ascii="Times New Roman" w:hAnsi="Times New Roman"/>
                <w:noProof/>
                <w:color w:val="F2F2F2"/>
                <w:lang w:val="de-DE"/>
              </w:rPr>
              <w:t>EE</w:t>
            </w:r>
          </w:p>
        </w:tc>
        <w:tc>
          <w:tcPr>
            <w:tcW w:w="1309" w:type="dxa"/>
            <w:tcBorders>
              <w:top w:val="nil"/>
              <w:left w:val="nil"/>
              <w:bottom w:val="single" w:sz="4" w:space="0" w:color="FFFFFF"/>
              <w:right w:val="single" w:sz="4" w:space="0" w:color="FFFFFF"/>
            </w:tcBorders>
            <w:shd w:val="clear" w:color="000000" w:fill="C5D9F1"/>
            <w:noWrap/>
            <w:vAlign w:val="center"/>
            <w:hideMark/>
          </w:tcPr>
          <w:p w14:paraId="099B9CFD" w14:textId="56418E99"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1 386 400</w:t>
            </w:r>
          </w:p>
        </w:tc>
        <w:tc>
          <w:tcPr>
            <w:tcW w:w="1384" w:type="dxa"/>
            <w:tcBorders>
              <w:top w:val="nil"/>
              <w:left w:val="nil"/>
              <w:bottom w:val="single" w:sz="4" w:space="0" w:color="FFFFFF"/>
              <w:right w:val="single" w:sz="4" w:space="0" w:color="FFFFFF"/>
            </w:tcBorders>
            <w:shd w:val="clear" w:color="000000" w:fill="C5D9F1"/>
            <w:noWrap/>
            <w:vAlign w:val="center"/>
            <w:hideMark/>
          </w:tcPr>
          <w:p w14:paraId="31E24BEF" w14:textId="680978CB"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853 951</w:t>
            </w:r>
          </w:p>
        </w:tc>
        <w:tc>
          <w:tcPr>
            <w:tcW w:w="1418" w:type="dxa"/>
            <w:tcBorders>
              <w:top w:val="nil"/>
              <w:left w:val="nil"/>
              <w:bottom w:val="single" w:sz="4" w:space="0" w:color="FFFFFF"/>
              <w:right w:val="single" w:sz="4" w:space="0" w:color="FFFFFF"/>
            </w:tcBorders>
            <w:shd w:val="clear" w:color="000000" w:fill="C5D9F1"/>
            <w:noWrap/>
            <w:vAlign w:val="center"/>
            <w:hideMark/>
          </w:tcPr>
          <w:p w14:paraId="5187E83D" w14:textId="27A5AF2F"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26 600</w:t>
            </w:r>
          </w:p>
        </w:tc>
        <w:tc>
          <w:tcPr>
            <w:tcW w:w="1276" w:type="dxa"/>
            <w:tcBorders>
              <w:top w:val="nil"/>
              <w:left w:val="nil"/>
              <w:bottom w:val="single" w:sz="4" w:space="0" w:color="FFFFFF"/>
              <w:right w:val="single" w:sz="4" w:space="0" w:color="FFFFFF"/>
            </w:tcBorders>
            <w:shd w:val="clear" w:color="000000" w:fill="C5D9F1"/>
            <w:noWrap/>
            <w:vAlign w:val="center"/>
            <w:hideMark/>
          </w:tcPr>
          <w:p w14:paraId="65E552E3" w14:textId="7ABE6E6E"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9 471</w:t>
            </w:r>
          </w:p>
        </w:tc>
        <w:tc>
          <w:tcPr>
            <w:tcW w:w="1164" w:type="dxa"/>
            <w:tcBorders>
              <w:top w:val="nil"/>
              <w:left w:val="nil"/>
              <w:bottom w:val="single" w:sz="4" w:space="0" w:color="FFFFFF"/>
              <w:right w:val="single" w:sz="4" w:space="0" w:color="FFFFFF"/>
            </w:tcBorders>
            <w:shd w:val="clear" w:color="000000" w:fill="C5D9F1"/>
            <w:noWrap/>
            <w:vAlign w:val="center"/>
            <w:hideMark/>
          </w:tcPr>
          <w:p w14:paraId="29A9A96E" w14:textId="584741D0" w:rsidR="0014314E" w:rsidRPr="00476171" w:rsidRDefault="0014314E"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35,6 %</w:t>
            </w:r>
          </w:p>
        </w:tc>
        <w:tc>
          <w:tcPr>
            <w:tcW w:w="1309" w:type="dxa"/>
            <w:tcBorders>
              <w:top w:val="nil"/>
              <w:left w:val="nil"/>
              <w:bottom w:val="single" w:sz="4" w:space="0" w:color="FFFFFF"/>
              <w:right w:val="single" w:sz="4" w:space="0" w:color="FFFFFF"/>
            </w:tcBorders>
            <w:shd w:val="clear" w:color="000000" w:fill="C5D9F1"/>
            <w:noWrap/>
            <w:vAlign w:val="center"/>
            <w:hideMark/>
          </w:tcPr>
          <w:p w14:paraId="6CD5A811"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09" w:type="dxa"/>
            <w:tcBorders>
              <w:top w:val="nil"/>
              <w:left w:val="nil"/>
              <w:bottom w:val="single" w:sz="4" w:space="0" w:color="FFFFFF"/>
              <w:right w:val="single" w:sz="4" w:space="0" w:color="FFFFFF"/>
            </w:tcBorders>
            <w:shd w:val="clear" w:color="000000" w:fill="C5D9F1"/>
            <w:noWrap/>
            <w:vAlign w:val="center"/>
            <w:hideMark/>
          </w:tcPr>
          <w:p w14:paraId="5B9D7C79" w14:textId="1B0BF2F8"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209 041</w:t>
            </w:r>
          </w:p>
        </w:tc>
        <w:tc>
          <w:tcPr>
            <w:tcW w:w="1309" w:type="dxa"/>
            <w:tcBorders>
              <w:top w:val="nil"/>
              <w:left w:val="nil"/>
              <w:bottom w:val="single" w:sz="4" w:space="0" w:color="FFFFFF"/>
              <w:right w:val="single" w:sz="4" w:space="0" w:color="FFFFFF"/>
            </w:tcBorders>
            <w:shd w:val="clear" w:color="000000" w:fill="C5D9F1"/>
            <w:noWrap/>
            <w:vAlign w:val="center"/>
            <w:hideMark/>
          </w:tcPr>
          <w:p w14:paraId="43BD282A" w14:textId="27399251" w:rsidR="0014314E" w:rsidRPr="00476171" w:rsidRDefault="0014314E"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105,4 %</w:t>
            </w:r>
          </w:p>
        </w:tc>
      </w:tr>
      <w:tr w:rsidR="002657AC" w:rsidRPr="00476171" w14:paraId="58E7FAC9" w14:textId="77777777" w:rsidTr="00E83042">
        <w:trPr>
          <w:gridAfter w:val="1"/>
          <w:wAfter w:w="12" w:type="dxa"/>
          <w:trHeight w:val="283"/>
          <w:jc w:val="center"/>
        </w:trPr>
        <w:tc>
          <w:tcPr>
            <w:tcW w:w="1271" w:type="dxa"/>
            <w:tcBorders>
              <w:top w:val="nil"/>
              <w:left w:val="single" w:sz="4" w:space="0" w:color="FFFFFF"/>
              <w:bottom w:val="single" w:sz="4" w:space="0" w:color="FFFFFF"/>
              <w:right w:val="single" w:sz="4" w:space="0" w:color="FFFFFF"/>
            </w:tcBorders>
            <w:shd w:val="clear" w:color="000000" w:fill="1F497D"/>
            <w:noWrap/>
            <w:vAlign w:val="center"/>
            <w:hideMark/>
          </w:tcPr>
          <w:p w14:paraId="7807F8CF" w14:textId="77777777"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EL</w:t>
            </w:r>
          </w:p>
        </w:tc>
        <w:tc>
          <w:tcPr>
            <w:tcW w:w="1309" w:type="dxa"/>
            <w:tcBorders>
              <w:top w:val="nil"/>
              <w:left w:val="nil"/>
              <w:bottom w:val="single" w:sz="4" w:space="0" w:color="FFFFFF"/>
              <w:right w:val="single" w:sz="4" w:space="0" w:color="FFFFFF"/>
            </w:tcBorders>
            <w:shd w:val="clear" w:color="000000" w:fill="C5D9F1"/>
            <w:vAlign w:val="center"/>
            <w:hideMark/>
          </w:tcPr>
          <w:p w14:paraId="64E11A2D" w14:textId="38C407CF"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212 725</w:t>
            </w:r>
          </w:p>
        </w:tc>
        <w:tc>
          <w:tcPr>
            <w:tcW w:w="1384" w:type="dxa"/>
            <w:tcBorders>
              <w:top w:val="nil"/>
              <w:left w:val="nil"/>
              <w:bottom w:val="single" w:sz="4" w:space="0" w:color="FFFFFF"/>
              <w:right w:val="single" w:sz="4" w:space="0" w:color="FFFFFF"/>
            </w:tcBorders>
            <w:shd w:val="clear" w:color="000000" w:fill="C5D9F1"/>
            <w:vAlign w:val="center"/>
            <w:hideMark/>
          </w:tcPr>
          <w:p w14:paraId="2AB62FA7" w14:textId="7915249E"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200 725</w:t>
            </w:r>
          </w:p>
        </w:tc>
        <w:tc>
          <w:tcPr>
            <w:tcW w:w="1418" w:type="dxa"/>
            <w:tcBorders>
              <w:top w:val="nil"/>
              <w:left w:val="nil"/>
              <w:bottom w:val="single" w:sz="4" w:space="0" w:color="FFFFFF"/>
              <w:right w:val="single" w:sz="4" w:space="0" w:color="FFFFFF"/>
            </w:tcBorders>
            <w:shd w:val="clear" w:color="000000" w:fill="C5D9F1"/>
            <w:noWrap/>
            <w:vAlign w:val="center"/>
            <w:hideMark/>
          </w:tcPr>
          <w:p w14:paraId="2A4EE473" w14:textId="16E6E871"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6 030</w:t>
            </w:r>
          </w:p>
        </w:tc>
        <w:tc>
          <w:tcPr>
            <w:tcW w:w="1276" w:type="dxa"/>
            <w:tcBorders>
              <w:top w:val="nil"/>
              <w:left w:val="nil"/>
              <w:bottom w:val="single" w:sz="4" w:space="0" w:color="FFFFFF"/>
              <w:right w:val="single" w:sz="4" w:space="0" w:color="FFFFFF"/>
            </w:tcBorders>
            <w:shd w:val="clear" w:color="000000" w:fill="C5D9F1"/>
            <w:noWrap/>
            <w:vAlign w:val="center"/>
            <w:hideMark/>
          </w:tcPr>
          <w:p w14:paraId="2F9ECDE5"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w:t>
            </w:r>
          </w:p>
        </w:tc>
        <w:tc>
          <w:tcPr>
            <w:tcW w:w="1164" w:type="dxa"/>
            <w:tcBorders>
              <w:top w:val="nil"/>
              <w:left w:val="nil"/>
              <w:bottom w:val="single" w:sz="4" w:space="0" w:color="FFFFFF"/>
              <w:right w:val="single" w:sz="4" w:space="0" w:color="FFFFFF"/>
            </w:tcBorders>
            <w:shd w:val="clear" w:color="000000" w:fill="C5D9F1"/>
            <w:noWrap/>
            <w:vAlign w:val="center"/>
            <w:hideMark/>
          </w:tcPr>
          <w:p w14:paraId="7A4D93EB" w14:textId="3E454C2F" w:rsidR="0014314E" w:rsidRPr="00476171" w:rsidRDefault="00F76546"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0,0 %</w:t>
            </w:r>
          </w:p>
        </w:tc>
        <w:tc>
          <w:tcPr>
            <w:tcW w:w="1309" w:type="dxa"/>
            <w:tcBorders>
              <w:top w:val="nil"/>
              <w:left w:val="nil"/>
              <w:bottom w:val="single" w:sz="4" w:space="0" w:color="FFFFFF"/>
              <w:right w:val="single" w:sz="4" w:space="0" w:color="FFFFFF"/>
            </w:tcBorders>
            <w:shd w:val="clear" w:color="000000" w:fill="C5D9F1"/>
            <w:noWrap/>
            <w:vAlign w:val="center"/>
            <w:hideMark/>
          </w:tcPr>
          <w:p w14:paraId="0D309463"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0,25</w:t>
            </w:r>
          </w:p>
        </w:tc>
        <w:tc>
          <w:tcPr>
            <w:tcW w:w="1309" w:type="dxa"/>
            <w:tcBorders>
              <w:top w:val="nil"/>
              <w:left w:val="nil"/>
              <w:bottom w:val="single" w:sz="4" w:space="0" w:color="FFFFFF"/>
              <w:right w:val="single" w:sz="4" w:space="0" w:color="FFFFFF"/>
            </w:tcBorders>
            <w:shd w:val="clear" w:color="000000" w:fill="C5D9F1"/>
            <w:noWrap/>
            <w:vAlign w:val="center"/>
            <w:hideMark/>
          </w:tcPr>
          <w:p w14:paraId="1BB950BD" w14:textId="3D446D3F"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12 000</w:t>
            </w:r>
          </w:p>
        </w:tc>
        <w:tc>
          <w:tcPr>
            <w:tcW w:w="1309" w:type="dxa"/>
            <w:tcBorders>
              <w:top w:val="nil"/>
              <w:left w:val="nil"/>
              <w:bottom w:val="single" w:sz="4" w:space="0" w:color="FFFFFF"/>
              <w:right w:val="single" w:sz="4" w:space="0" w:color="FFFFFF"/>
            </w:tcBorders>
            <w:shd w:val="clear" w:color="000000" w:fill="C5D9F1"/>
            <w:noWrap/>
            <w:vAlign w:val="center"/>
            <w:hideMark/>
          </w:tcPr>
          <w:p w14:paraId="2F5B3409" w14:textId="0CD04AF7" w:rsidR="0014314E" w:rsidRPr="00476171" w:rsidRDefault="00F76546"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27,7 %</w:t>
            </w:r>
          </w:p>
        </w:tc>
      </w:tr>
      <w:tr w:rsidR="002657AC" w:rsidRPr="00476171" w14:paraId="72BF4D2D" w14:textId="77777777" w:rsidTr="00E83042">
        <w:trPr>
          <w:gridAfter w:val="1"/>
          <w:wAfter w:w="12" w:type="dxa"/>
          <w:trHeight w:val="283"/>
          <w:jc w:val="center"/>
        </w:trPr>
        <w:tc>
          <w:tcPr>
            <w:tcW w:w="1271" w:type="dxa"/>
            <w:tcBorders>
              <w:top w:val="nil"/>
              <w:left w:val="single" w:sz="4" w:space="0" w:color="FFFFFF"/>
              <w:bottom w:val="single" w:sz="4" w:space="0" w:color="FFFFFF"/>
              <w:right w:val="single" w:sz="4" w:space="0" w:color="FFFFFF"/>
            </w:tcBorders>
            <w:shd w:val="clear" w:color="000000" w:fill="1F497D"/>
            <w:noWrap/>
            <w:vAlign w:val="center"/>
            <w:hideMark/>
          </w:tcPr>
          <w:p w14:paraId="568CCFBA" w14:textId="77777777"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ES</w:t>
            </w:r>
          </w:p>
        </w:tc>
        <w:tc>
          <w:tcPr>
            <w:tcW w:w="1309" w:type="dxa"/>
            <w:tcBorders>
              <w:top w:val="nil"/>
              <w:left w:val="nil"/>
              <w:bottom w:val="single" w:sz="4" w:space="0" w:color="FFFFFF"/>
              <w:right w:val="single" w:sz="4" w:space="0" w:color="FFFFFF"/>
            </w:tcBorders>
            <w:shd w:val="clear" w:color="000000" w:fill="C5D9F1"/>
            <w:noWrap/>
            <w:vAlign w:val="center"/>
            <w:hideMark/>
          </w:tcPr>
          <w:p w14:paraId="730A032F" w14:textId="329BC6C1"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11 273 677</w:t>
            </w:r>
          </w:p>
        </w:tc>
        <w:tc>
          <w:tcPr>
            <w:tcW w:w="1384" w:type="dxa"/>
            <w:tcBorders>
              <w:top w:val="nil"/>
              <w:left w:val="nil"/>
              <w:bottom w:val="single" w:sz="4" w:space="0" w:color="FFFFFF"/>
              <w:right w:val="single" w:sz="4" w:space="0" w:color="FFFFFF"/>
            </w:tcBorders>
            <w:shd w:val="clear" w:color="000000" w:fill="C5D9F1"/>
            <w:noWrap/>
            <w:vAlign w:val="center"/>
            <w:hideMark/>
          </w:tcPr>
          <w:p w14:paraId="62292280" w14:textId="2AB23C80"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9 198 323</w:t>
            </w:r>
          </w:p>
        </w:tc>
        <w:tc>
          <w:tcPr>
            <w:tcW w:w="1418" w:type="dxa"/>
            <w:tcBorders>
              <w:top w:val="nil"/>
              <w:left w:val="nil"/>
              <w:bottom w:val="single" w:sz="4" w:space="0" w:color="FFFFFF"/>
              <w:right w:val="single" w:sz="4" w:space="0" w:color="FFFFFF"/>
            </w:tcBorders>
            <w:shd w:val="clear" w:color="000000" w:fill="C5D9F1"/>
            <w:noWrap/>
            <w:vAlign w:val="center"/>
            <w:hideMark/>
          </w:tcPr>
          <w:p w14:paraId="5F1D6F3A" w14:textId="371DCC63"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279 902</w:t>
            </w:r>
          </w:p>
        </w:tc>
        <w:tc>
          <w:tcPr>
            <w:tcW w:w="1276" w:type="dxa"/>
            <w:tcBorders>
              <w:top w:val="nil"/>
              <w:left w:val="nil"/>
              <w:bottom w:val="single" w:sz="4" w:space="0" w:color="FFFFFF"/>
              <w:right w:val="single" w:sz="4" w:space="0" w:color="FFFFFF"/>
            </w:tcBorders>
            <w:shd w:val="clear" w:color="000000" w:fill="C5D9F1"/>
            <w:noWrap/>
            <w:vAlign w:val="center"/>
            <w:hideMark/>
          </w:tcPr>
          <w:p w14:paraId="0740DF09" w14:textId="14209931"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304 763</w:t>
            </w:r>
          </w:p>
        </w:tc>
        <w:tc>
          <w:tcPr>
            <w:tcW w:w="1164" w:type="dxa"/>
            <w:tcBorders>
              <w:top w:val="nil"/>
              <w:left w:val="nil"/>
              <w:bottom w:val="single" w:sz="4" w:space="0" w:color="FFFFFF"/>
              <w:right w:val="single" w:sz="4" w:space="0" w:color="FFFFFF"/>
            </w:tcBorders>
            <w:shd w:val="clear" w:color="000000" w:fill="C5D9F1"/>
            <w:noWrap/>
            <w:vAlign w:val="center"/>
            <w:hideMark/>
          </w:tcPr>
          <w:p w14:paraId="5EB92360" w14:textId="7C6D7BAA" w:rsidR="0014314E" w:rsidRPr="00476171" w:rsidRDefault="0014314E"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108,9 %</w:t>
            </w:r>
          </w:p>
        </w:tc>
        <w:tc>
          <w:tcPr>
            <w:tcW w:w="1309" w:type="dxa"/>
            <w:tcBorders>
              <w:top w:val="nil"/>
              <w:left w:val="nil"/>
              <w:bottom w:val="single" w:sz="4" w:space="0" w:color="FFFFFF"/>
              <w:right w:val="single" w:sz="4" w:space="0" w:color="FFFFFF"/>
            </w:tcBorders>
            <w:shd w:val="clear" w:color="000000" w:fill="C5D9F1"/>
            <w:noWrap/>
            <w:vAlign w:val="center"/>
            <w:hideMark/>
          </w:tcPr>
          <w:p w14:paraId="7F8F022C"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09" w:type="dxa"/>
            <w:tcBorders>
              <w:top w:val="nil"/>
              <w:left w:val="nil"/>
              <w:bottom w:val="nil"/>
              <w:right w:val="single" w:sz="4" w:space="0" w:color="FFFFFF"/>
            </w:tcBorders>
            <w:shd w:val="clear" w:color="000000" w:fill="C5D9F1"/>
            <w:noWrap/>
            <w:vAlign w:val="center"/>
            <w:hideMark/>
          </w:tcPr>
          <w:p w14:paraId="2C534C32" w14:textId="61038186"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1 930 977</w:t>
            </w:r>
          </w:p>
        </w:tc>
        <w:tc>
          <w:tcPr>
            <w:tcW w:w="1309" w:type="dxa"/>
            <w:tcBorders>
              <w:top w:val="nil"/>
              <w:left w:val="nil"/>
              <w:bottom w:val="nil"/>
              <w:right w:val="single" w:sz="4" w:space="0" w:color="FFFFFF"/>
            </w:tcBorders>
            <w:shd w:val="clear" w:color="000000" w:fill="C5D9F1"/>
            <w:noWrap/>
            <w:vAlign w:val="center"/>
            <w:hideMark/>
          </w:tcPr>
          <w:p w14:paraId="129ED789" w14:textId="1AAE5D6A" w:rsidR="0014314E" w:rsidRPr="00476171" w:rsidRDefault="00F76546"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95,7 %</w:t>
            </w:r>
          </w:p>
        </w:tc>
      </w:tr>
      <w:tr w:rsidR="002657AC" w:rsidRPr="00476171" w14:paraId="5B7B4BBB" w14:textId="77777777" w:rsidTr="00E83042">
        <w:trPr>
          <w:gridAfter w:val="1"/>
          <w:wAfter w:w="12" w:type="dxa"/>
          <w:trHeight w:val="283"/>
          <w:jc w:val="center"/>
        </w:trPr>
        <w:tc>
          <w:tcPr>
            <w:tcW w:w="1271" w:type="dxa"/>
            <w:tcBorders>
              <w:top w:val="nil"/>
              <w:left w:val="single" w:sz="4" w:space="0" w:color="FFFFFF"/>
              <w:bottom w:val="single" w:sz="4" w:space="0" w:color="FFFFFF"/>
              <w:right w:val="single" w:sz="4" w:space="0" w:color="FFFFFF"/>
            </w:tcBorders>
            <w:shd w:val="clear" w:color="000000" w:fill="1F497D"/>
            <w:noWrap/>
            <w:vAlign w:val="center"/>
            <w:hideMark/>
          </w:tcPr>
          <w:p w14:paraId="3000B035" w14:textId="77777777"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HU</w:t>
            </w:r>
          </w:p>
        </w:tc>
        <w:tc>
          <w:tcPr>
            <w:tcW w:w="1309" w:type="dxa"/>
            <w:tcBorders>
              <w:top w:val="nil"/>
              <w:left w:val="nil"/>
              <w:bottom w:val="single" w:sz="4" w:space="0" w:color="FFFFFF"/>
              <w:right w:val="single" w:sz="4" w:space="0" w:color="FFFFFF"/>
            </w:tcBorders>
            <w:shd w:val="clear" w:color="000000" w:fill="C5D9F1"/>
            <w:noWrap/>
            <w:vAlign w:val="center"/>
            <w:hideMark/>
          </w:tcPr>
          <w:p w14:paraId="2574BAA5"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84" w:type="dxa"/>
            <w:tcBorders>
              <w:top w:val="nil"/>
              <w:left w:val="nil"/>
              <w:bottom w:val="single" w:sz="4" w:space="0" w:color="FFFFFF"/>
              <w:right w:val="single" w:sz="4" w:space="0" w:color="FFFFFF"/>
            </w:tcBorders>
            <w:shd w:val="clear" w:color="000000" w:fill="C5D9F1"/>
            <w:noWrap/>
            <w:vAlign w:val="center"/>
            <w:hideMark/>
          </w:tcPr>
          <w:p w14:paraId="0A291A2C"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418" w:type="dxa"/>
            <w:tcBorders>
              <w:top w:val="nil"/>
              <w:left w:val="nil"/>
              <w:bottom w:val="single" w:sz="4" w:space="0" w:color="FFFFFF"/>
              <w:right w:val="single" w:sz="4" w:space="0" w:color="FFFFFF"/>
            </w:tcBorders>
            <w:shd w:val="clear" w:color="000000" w:fill="C5D9F1"/>
            <w:noWrap/>
            <w:vAlign w:val="center"/>
            <w:hideMark/>
          </w:tcPr>
          <w:p w14:paraId="65DDAF5F"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276" w:type="dxa"/>
            <w:tcBorders>
              <w:top w:val="nil"/>
              <w:left w:val="nil"/>
              <w:bottom w:val="single" w:sz="4" w:space="0" w:color="FFFFFF"/>
              <w:right w:val="single" w:sz="4" w:space="0" w:color="FFFFFF"/>
            </w:tcBorders>
            <w:shd w:val="clear" w:color="000000" w:fill="C5D9F1"/>
            <w:noWrap/>
            <w:vAlign w:val="center"/>
            <w:hideMark/>
          </w:tcPr>
          <w:p w14:paraId="049DC1DB"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164" w:type="dxa"/>
            <w:tcBorders>
              <w:top w:val="nil"/>
              <w:left w:val="nil"/>
              <w:bottom w:val="single" w:sz="4" w:space="0" w:color="FFFFFF"/>
              <w:right w:val="single" w:sz="4" w:space="0" w:color="FFFFFF"/>
            </w:tcBorders>
            <w:shd w:val="clear" w:color="000000" w:fill="C5D9F1"/>
            <w:noWrap/>
            <w:vAlign w:val="center"/>
            <w:hideMark/>
          </w:tcPr>
          <w:p w14:paraId="3322A914"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09" w:type="dxa"/>
            <w:tcBorders>
              <w:top w:val="nil"/>
              <w:left w:val="nil"/>
              <w:bottom w:val="single" w:sz="4" w:space="0" w:color="FFFFFF"/>
              <w:right w:val="single" w:sz="4" w:space="0" w:color="FFFFFF"/>
            </w:tcBorders>
            <w:shd w:val="clear" w:color="000000" w:fill="C5D9F1"/>
            <w:noWrap/>
            <w:vAlign w:val="center"/>
            <w:hideMark/>
          </w:tcPr>
          <w:p w14:paraId="53BD38C9"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09" w:type="dxa"/>
            <w:tcBorders>
              <w:top w:val="single" w:sz="4" w:space="0" w:color="FFFFFF"/>
              <w:left w:val="nil"/>
              <w:bottom w:val="single" w:sz="4" w:space="0" w:color="FFFFFF"/>
              <w:right w:val="single" w:sz="4" w:space="0" w:color="FFFFFF"/>
            </w:tcBorders>
            <w:shd w:val="clear" w:color="000000" w:fill="C5D9F1"/>
            <w:noWrap/>
            <w:vAlign w:val="center"/>
            <w:hideMark/>
          </w:tcPr>
          <w:p w14:paraId="1D384CAA"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09" w:type="dxa"/>
            <w:tcBorders>
              <w:top w:val="single" w:sz="4" w:space="0" w:color="FFFFFF"/>
              <w:left w:val="nil"/>
              <w:bottom w:val="single" w:sz="4" w:space="0" w:color="FFFFFF"/>
              <w:right w:val="single" w:sz="4" w:space="0" w:color="FFFFFF"/>
            </w:tcBorders>
            <w:shd w:val="clear" w:color="000000" w:fill="C5D9F1"/>
            <w:noWrap/>
            <w:vAlign w:val="center"/>
            <w:hideMark/>
          </w:tcPr>
          <w:p w14:paraId="13E1E0D7"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r>
      <w:tr w:rsidR="002657AC" w:rsidRPr="00476171" w14:paraId="1CD26BF7" w14:textId="77777777" w:rsidTr="00E83042">
        <w:trPr>
          <w:gridAfter w:val="1"/>
          <w:wAfter w:w="12" w:type="dxa"/>
          <w:trHeight w:val="283"/>
          <w:jc w:val="center"/>
        </w:trPr>
        <w:tc>
          <w:tcPr>
            <w:tcW w:w="1271" w:type="dxa"/>
            <w:tcBorders>
              <w:top w:val="nil"/>
              <w:left w:val="single" w:sz="4" w:space="0" w:color="FFFFFF"/>
              <w:bottom w:val="single" w:sz="4" w:space="0" w:color="FFFFFF"/>
              <w:right w:val="single" w:sz="4" w:space="0" w:color="FFFFFF"/>
            </w:tcBorders>
            <w:shd w:val="clear" w:color="000000" w:fill="1F497D"/>
            <w:noWrap/>
            <w:vAlign w:val="center"/>
            <w:hideMark/>
          </w:tcPr>
          <w:p w14:paraId="2415248B" w14:textId="77777777"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IT</w:t>
            </w:r>
          </w:p>
        </w:tc>
        <w:tc>
          <w:tcPr>
            <w:tcW w:w="1309" w:type="dxa"/>
            <w:tcBorders>
              <w:top w:val="nil"/>
              <w:left w:val="nil"/>
              <w:bottom w:val="single" w:sz="4" w:space="0" w:color="FFFFFF"/>
              <w:right w:val="single" w:sz="4" w:space="0" w:color="FFFFFF"/>
            </w:tcBorders>
            <w:shd w:val="clear" w:color="000000" w:fill="C5D9F1"/>
            <w:vAlign w:val="center"/>
            <w:hideMark/>
          </w:tcPr>
          <w:p w14:paraId="5A27B9A4" w14:textId="674AF28E"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16 485 850</w:t>
            </w:r>
          </w:p>
        </w:tc>
        <w:tc>
          <w:tcPr>
            <w:tcW w:w="1384" w:type="dxa"/>
            <w:tcBorders>
              <w:top w:val="nil"/>
              <w:left w:val="nil"/>
              <w:bottom w:val="single" w:sz="4" w:space="0" w:color="FFFFFF"/>
              <w:right w:val="single" w:sz="4" w:space="0" w:color="FFFFFF"/>
            </w:tcBorders>
            <w:shd w:val="clear" w:color="000000" w:fill="C5D9F1"/>
            <w:vAlign w:val="center"/>
            <w:hideMark/>
          </w:tcPr>
          <w:p w14:paraId="4109BDEB" w14:textId="0E382E22"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13 401 778</w:t>
            </w:r>
          </w:p>
        </w:tc>
        <w:tc>
          <w:tcPr>
            <w:tcW w:w="1418" w:type="dxa"/>
            <w:tcBorders>
              <w:top w:val="nil"/>
              <w:left w:val="nil"/>
              <w:bottom w:val="single" w:sz="4" w:space="0" w:color="FFFFFF"/>
              <w:right w:val="single" w:sz="4" w:space="0" w:color="FFFFFF"/>
            </w:tcBorders>
            <w:shd w:val="clear" w:color="000000" w:fill="C5D9F1"/>
            <w:noWrap/>
            <w:vAlign w:val="center"/>
            <w:hideMark/>
          </w:tcPr>
          <w:p w14:paraId="2DC7A515" w14:textId="3761E484"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404 023</w:t>
            </w:r>
          </w:p>
        </w:tc>
        <w:tc>
          <w:tcPr>
            <w:tcW w:w="1276" w:type="dxa"/>
            <w:tcBorders>
              <w:top w:val="nil"/>
              <w:left w:val="nil"/>
              <w:bottom w:val="single" w:sz="4" w:space="0" w:color="FFFFFF"/>
              <w:right w:val="single" w:sz="4" w:space="0" w:color="FFFFFF"/>
            </w:tcBorders>
            <w:shd w:val="clear" w:color="000000" w:fill="C5D9F1"/>
            <w:noWrap/>
            <w:vAlign w:val="center"/>
            <w:hideMark/>
          </w:tcPr>
          <w:p w14:paraId="5F14DFC2" w14:textId="1D1984FB"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89 180</w:t>
            </w:r>
          </w:p>
        </w:tc>
        <w:tc>
          <w:tcPr>
            <w:tcW w:w="1164" w:type="dxa"/>
            <w:tcBorders>
              <w:top w:val="nil"/>
              <w:left w:val="nil"/>
              <w:bottom w:val="single" w:sz="4" w:space="0" w:color="FFFFFF"/>
              <w:right w:val="single" w:sz="4" w:space="0" w:color="FFFFFF"/>
            </w:tcBorders>
            <w:shd w:val="clear" w:color="000000" w:fill="C5D9F1"/>
            <w:noWrap/>
            <w:vAlign w:val="center"/>
            <w:hideMark/>
          </w:tcPr>
          <w:p w14:paraId="3ED8FA1B" w14:textId="3B6602D3" w:rsidR="0014314E" w:rsidRPr="00476171" w:rsidRDefault="00F76546"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22,1 %</w:t>
            </w:r>
          </w:p>
        </w:tc>
        <w:tc>
          <w:tcPr>
            <w:tcW w:w="1309" w:type="dxa"/>
            <w:tcBorders>
              <w:top w:val="nil"/>
              <w:left w:val="nil"/>
              <w:bottom w:val="single" w:sz="4" w:space="0" w:color="FFFFFF"/>
              <w:right w:val="nil"/>
            </w:tcBorders>
            <w:shd w:val="clear" w:color="000000" w:fill="C5D9F1"/>
            <w:noWrap/>
            <w:vAlign w:val="center"/>
            <w:hideMark/>
          </w:tcPr>
          <w:p w14:paraId="24FFB57A"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09" w:type="dxa"/>
            <w:tcBorders>
              <w:top w:val="nil"/>
              <w:left w:val="single" w:sz="4" w:space="0" w:color="FFFFFF"/>
              <w:bottom w:val="single" w:sz="4" w:space="0" w:color="FFFFFF"/>
              <w:right w:val="single" w:sz="4" w:space="0" w:color="FFFFFF"/>
            </w:tcBorders>
            <w:shd w:val="clear" w:color="000000" w:fill="C5D9F1"/>
            <w:noWrap/>
            <w:vAlign w:val="center"/>
            <w:hideMark/>
          </w:tcPr>
          <w:p w14:paraId="00E1D0BB" w14:textId="1D35A432"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3 107 612</w:t>
            </w:r>
          </w:p>
        </w:tc>
        <w:tc>
          <w:tcPr>
            <w:tcW w:w="1309" w:type="dxa"/>
            <w:tcBorders>
              <w:top w:val="nil"/>
              <w:left w:val="nil"/>
              <w:bottom w:val="single" w:sz="4" w:space="0" w:color="FFFFFF"/>
              <w:right w:val="single" w:sz="4" w:space="0" w:color="FFFFFF"/>
            </w:tcBorders>
            <w:shd w:val="clear" w:color="000000" w:fill="C5D9F1"/>
            <w:noWrap/>
            <w:vAlign w:val="center"/>
            <w:hideMark/>
          </w:tcPr>
          <w:p w14:paraId="72114D61" w14:textId="5132966C" w:rsidR="0014314E" w:rsidRPr="00476171" w:rsidRDefault="00F76546"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99,6 %</w:t>
            </w:r>
          </w:p>
        </w:tc>
      </w:tr>
      <w:tr w:rsidR="002657AC" w:rsidRPr="00476171" w14:paraId="6F12F7EB" w14:textId="77777777" w:rsidTr="00E83042">
        <w:trPr>
          <w:gridAfter w:val="1"/>
          <w:wAfter w:w="12" w:type="dxa"/>
          <w:trHeight w:val="283"/>
          <w:jc w:val="center"/>
        </w:trPr>
        <w:tc>
          <w:tcPr>
            <w:tcW w:w="1271" w:type="dxa"/>
            <w:tcBorders>
              <w:top w:val="nil"/>
              <w:left w:val="single" w:sz="4" w:space="0" w:color="FFFFFF"/>
              <w:bottom w:val="single" w:sz="4" w:space="0" w:color="FFFFFF"/>
              <w:right w:val="single" w:sz="4" w:space="0" w:color="FFFFFF"/>
            </w:tcBorders>
            <w:shd w:val="clear" w:color="000000" w:fill="1F497D"/>
            <w:noWrap/>
            <w:vAlign w:val="center"/>
            <w:hideMark/>
          </w:tcPr>
          <w:p w14:paraId="4F84AD22" w14:textId="77777777"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LT</w:t>
            </w:r>
          </w:p>
        </w:tc>
        <w:tc>
          <w:tcPr>
            <w:tcW w:w="1309" w:type="dxa"/>
            <w:tcBorders>
              <w:top w:val="nil"/>
              <w:left w:val="nil"/>
              <w:bottom w:val="single" w:sz="4" w:space="0" w:color="FFFFFF"/>
              <w:right w:val="single" w:sz="4" w:space="0" w:color="FFFFFF"/>
            </w:tcBorders>
            <w:shd w:val="clear" w:color="000000" w:fill="C5D9F1"/>
            <w:vAlign w:val="center"/>
            <w:hideMark/>
          </w:tcPr>
          <w:p w14:paraId="2FF2D95A"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84" w:type="dxa"/>
            <w:tcBorders>
              <w:top w:val="nil"/>
              <w:left w:val="nil"/>
              <w:bottom w:val="single" w:sz="4" w:space="0" w:color="FFFFFF"/>
              <w:right w:val="single" w:sz="4" w:space="0" w:color="FFFFFF"/>
            </w:tcBorders>
            <w:shd w:val="clear" w:color="000000" w:fill="C5D9F1"/>
            <w:vAlign w:val="center"/>
            <w:hideMark/>
          </w:tcPr>
          <w:p w14:paraId="12893008" w14:textId="0F573334"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1 996 799 </w:t>
            </w:r>
          </w:p>
        </w:tc>
        <w:tc>
          <w:tcPr>
            <w:tcW w:w="1418" w:type="dxa"/>
            <w:tcBorders>
              <w:top w:val="nil"/>
              <w:left w:val="nil"/>
              <w:bottom w:val="single" w:sz="4" w:space="0" w:color="FFFFFF"/>
              <w:right w:val="single" w:sz="4" w:space="0" w:color="FFFFFF"/>
            </w:tcBorders>
            <w:shd w:val="clear" w:color="000000" w:fill="C5D9F1"/>
            <w:noWrap/>
            <w:vAlign w:val="center"/>
            <w:hideMark/>
          </w:tcPr>
          <w:p w14:paraId="340470AF" w14:textId="29987EEC"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62 541</w:t>
            </w:r>
          </w:p>
        </w:tc>
        <w:tc>
          <w:tcPr>
            <w:tcW w:w="1276" w:type="dxa"/>
            <w:tcBorders>
              <w:top w:val="nil"/>
              <w:left w:val="nil"/>
              <w:bottom w:val="single" w:sz="4" w:space="0" w:color="FFFFFF"/>
              <w:right w:val="single" w:sz="4" w:space="0" w:color="FFFFFF"/>
            </w:tcBorders>
            <w:shd w:val="clear" w:color="000000" w:fill="C5D9F1"/>
            <w:noWrap/>
            <w:vAlign w:val="center"/>
            <w:hideMark/>
          </w:tcPr>
          <w:p w14:paraId="2963B1E2" w14:textId="56E28521"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2 720</w:t>
            </w:r>
          </w:p>
        </w:tc>
        <w:tc>
          <w:tcPr>
            <w:tcW w:w="1164" w:type="dxa"/>
            <w:tcBorders>
              <w:top w:val="nil"/>
              <w:left w:val="nil"/>
              <w:bottom w:val="single" w:sz="4" w:space="0" w:color="FFFFFF"/>
              <w:right w:val="single" w:sz="4" w:space="0" w:color="FFFFFF"/>
            </w:tcBorders>
            <w:shd w:val="clear" w:color="000000" w:fill="C5D9F1"/>
            <w:noWrap/>
            <w:vAlign w:val="center"/>
            <w:hideMark/>
          </w:tcPr>
          <w:p w14:paraId="70ABE970" w14:textId="6EE66871" w:rsidR="0014314E" w:rsidRPr="00476171" w:rsidRDefault="00F76546"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4,3 %</w:t>
            </w:r>
          </w:p>
        </w:tc>
        <w:tc>
          <w:tcPr>
            <w:tcW w:w="1309" w:type="dxa"/>
            <w:tcBorders>
              <w:top w:val="nil"/>
              <w:left w:val="nil"/>
              <w:bottom w:val="single" w:sz="4" w:space="0" w:color="FFFFFF"/>
              <w:right w:val="nil"/>
            </w:tcBorders>
            <w:shd w:val="clear" w:color="000000" w:fill="C5D9F1"/>
            <w:noWrap/>
            <w:vAlign w:val="center"/>
            <w:hideMark/>
          </w:tcPr>
          <w:p w14:paraId="0E2772B0"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09" w:type="dxa"/>
            <w:tcBorders>
              <w:top w:val="nil"/>
              <w:left w:val="single" w:sz="4" w:space="0" w:color="FFFFFF"/>
              <w:bottom w:val="single" w:sz="4" w:space="0" w:color="FFFFFF"/>
              <w:right w:val="single" w:sz="4" w:space="0" w:color="FFFFFF"/>
            </w:tcBorders>
            <w:shd w:val="clear" w:color="000000" w:fill="C5D9F1"/>
            <w:noWrap/>
            <w:vAlign w:val="center"/>
            <w:hideMark/>
          </w:tcPr>
          <w:p w14:paraId="1A678D4D" w14:textId="5B50DCBA"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504 249</w:t>
            </w:r>
          </w:p>
        </w:tc>
        <w:tc>
          <w:tcPr>
            <w:tcW w:w="1309" w:type="dxa"/>
            <w:tcBorders>
              <w:top w:val="nil"/>
              <w:left w:val="nil"/>
              <w:bottom w:val="single" w:sz="4" w:space="0" w:color="FFFFFF"/>
              <w:right w:val="single" w:sz="4" w:space="0" w:color="FFFFFF"/>
            </w:tcBorders>
            <w:shd w:val="clear" w:color="000000" w:fill="C5D9F1"/>
            <w:noWrap/>
            <w:vAlign w:val="center"/>
            <w:hideMark/>
          </w:tcPr>
          <w:p w14:paraId="11A481C4" w14:textId="7D940485" w:rsidR="0014314E" w:rsidRPr="00476171" w:rsidRDefault="0014314E"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113,8 %</w:t>
            </w:r>
          </w:p>
        </w:tc>
      </w:tr>
      <w:tr w:rsidR="002657AC" w:rsidRPr="00476171" w14:paraId="24F6AEAE" w14:textId="77777777" w:rsidTr="00E83042">
        <w:trPr>
          <w:gridAfter w:val="1"/>
          <w:wAfter w:w="12" w:type="dxa"/>
          <w:trHeight w:val="283"/>
          <w:jc w:val="center"/>
        </w:trPr>
        <w:tc>
          <w:tcPr>
            <w:tcW w:w="1271" w:type="dxa"/>
            <w:tcBorders>
              <w:top w:val="nil"/>
              <w:left w:val="single" w:sz="4" w:space="0" w:color="FFFFFF"/>
              <w:bottom w:val="single" w:sz="4" w:space="0" w:color="FFFFFF"/>
              <w:right w:val="single" w:sz="4" w:space="0" w:color="FFFFFF"/>
            </w:tcBorders>
            <w:shd w:val="clear" w:color="000000" w:fill="1F497D"/>
            <w:noWrap/>
            <w:vAlign w:val="center"/>
            <w:hideMark/>
          </w:tcPr>
          <w:p w14:paraId="45BDE9A8" w14:textId="77777777" w:rsidR="0014314E" w:rsidRPr="00476171" w:rsidRDefault="0014314E" w:rsidP="00173BB6">
            <w:pPr>
              <w:spacing w:after="0" w:line="240" w:lineRule="auto"/>
              <w:jc w:val="center"/>
              <w:rPr>
                <w:rFonts w:ascii="Times New Roman" w:eastAsia="Times New Roman" w:hAnsi="Times New Roman" w:cs="Times New Roman"/>
                <w:noProof/>
                <w:color w:val="F2F2F2"/>
                <w:lang w:val="de-DE"/>
              </w:rPr>
            </w:pPr>
            <w:r w:rsidRPr="00476171">
              <w:rPr>
                <w:rFonts w:ascii="Times New Roman" w:hAnsi="Times New Roman"/>
                <w:noProof/>
                <w:color w:val="F2F2F2"/>
                <w:lang w:val="de-DE"/>
              </w:rPr>
              <w:t>LU</w:t>
            </w:r>
          </w:p>
        </w:tc>
        <w:tc>
          <w:tcPr>
            <w:tcW w:w="1309" w:type="dxa"/>
            <w:tcBorders>
              <w:top w:val="nil"/>
              <w:left w:val="nil"/>
              <w:bottom w:val="single" w:sz="4" w:space="0" w:color="FFFFFF"/>
              <w:right w:val="single" w:sz="4" w:space="0" w:color="FFFFFF"/>
            </w:tcBorders>
            <w:shd w:val="clear" w:color="000000" w:fill="C5D9F1"/>
            <w:noWrap/>
            <w:vAlign w:val="center"/>
            <w:hideMark/>
          </w:tcPr>
          <w:p w14:paraId="21B9B277" w14:textId="20607ADD"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126 253</w:t>
            </w:r>
          </w:p>
        </w:tc>
        <w:tc>
          <w:tcPr>
            <w:tcW w:w="1384" w:type="dxa"/>
            <w:tcBorders>
              <w:top w:val="nil"/>
              <w:left w:val="nil"/>
              <w:bottom w:val="single" w:sz="4" w:space="0" w:color="FFFFFF"/>
              <w:right w:val="single" w:sz="4" w:space="0" w:color="FFFFFF"/>
            </w:tcBorders>
            <w:shd w:val="clear" w:color="000000" w:fill="C5D9F1"/>
            <w:noWrap/>
            <w:vAlign w:val="center"/>
            <w:hideMark/>
          </w:tcPr>
          <w:p w14:paraId="6C00504D" w14:textId="36B2575A"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61 050</w:t>
            </w:r>
          </w:p>
        </w:tc>
        <w:tc>
          <w:tcPr>
            <w:tcW w:w="1418" w:type="dxa"/>
            <w:tcBorders>
              <w:top w:val="nil"/>
              <w:left w:val="nil"/>
              <w:bottom w:val="single" w:sz="4" w:space="0" w:color="FFFFFF"/>
              <w:right w:val="single" w:sz="4" w:space="0" w:color="FFFFFF"/>
            </w:tcBorders>
            <w:shd w:val="clear" w:color="000000" w:fill="C5D9F1"/>
            <w:noWrap/>
            <w:vAlign w:val="center"/>
            <w:hideMark/>
          </w:tcPr>
          <w:p w14:paraId="63158857" w14:textId="734370BF"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1 832</w:t>
            </w:r>
          </w:p>
        </w:tc>
        <w:tc>
          <w:tcPr>
            <w:tcW w:w="1276" w:type="dxa"/>
            <w:tcBorders>
              <w:top w:val="nil"/>
              <w:left w:val="nil"/>
              <w:bottom w:val="single" w:sz="4" w:space="0" w:color="FFFFFF"/>
              <w:right w:val="single" w:sz="4" w:space="0" w:color="FFFFFF"/>
            </w:tcBorders>
            <w:shd w:val="clear" w:color="000000" w:fill="C5D9F1"/>
            <w:noWrap/>
            <w:vAlign w:val="center"/>
            <w:hideMark/>
          </w:tcPr>
          <w:p w14:paraId="4C1C60E0"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w:t>
            </w:r>
          </w:p>
        </w:tc>
        <w:tc>
          <w:tcPr>
            <w:tcW w:w="1164" w:type="dxa"/>
            <w:tcBorders>
              <w:top w:val="nil"/>
              <w:left w:val="nil"/>
              <w:bottom w:val="single" w:sz="4" w:space="0" w:color="FFFFFF"/>
              <w:right w:val="single" w:sz="4" w:space="0" w:color="FFFFFF"/>
            </w:tcBorders>
            <w:shd w:val="clear" w:color="000000" w:fill="C5D9F1"/>
            <w:noWrap/>
            <w:vAlign w:val="center"/>
            <w:hideMark/>
          </w:tcPr>
          <w:p w14:paraId="77BD4118" w14:textId="1E0BB6F4" w:rsidR="0014314E" w:rsidRPr="00476171" w:rsidRDefault="00F76546"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0,0 %</w:t>
            </w:r>
          </w:p>
        </w:tc>
        <w:tc>
          <w:tcPr>
            <w:tcW w:w="1309" w:type="dxa"/>
            <w:tcBorders>
              <w:top w:val="nil"/>
              <w:left w:val="nil"/>
              <w:bottom w:val="single" w:sz="4" w:space="0" w:color="FFFFFF"/>
              <w:right w:val="single" w:sz="4" w:space="0" w:color="FFFFFF"/>
            </w:tcBorders>
            <w:shd w:val="clear" w:color="000000" w:fill="C5D9F1"/>
            <w:noWrap/>
            <w:vAlign w:val="center"/>
            <w:hideMark/>
          </w:tcPr>
          <w:p w14:paraId="3277401D"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09" w:type="dxa"/>
            <w:tcBorders>
              <w:top w:val="nil"/>
              <w:left w:val="nil"/>
              <w:bottom w:val="single" w:sz="4" w:space="0" w:color="FFFFFF"/>
              <w:right w:val="single" w:sz="4" w:space="0" w:color="FFFFFF"/>
            </w:tcBorders>
            <w:shd w:val="clear" w:color="000000" w:fill="C5D9F1"/>
            <w:noWrap/>
            <w:vAlign w:val="center"/>
            <w:hideMark/>
          </w:tcPr>
          <w:p w14:paraId="23E35EE5" w14:textId="614EB15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23 013</w:t>
            </w:r>
          </w:p>
        </w:tc>
        <w:tc>
          <w:tcPr>
            <w:tcW w:w="1309" w:type="dxa"/>
            <w:tcBorders>
              <w:top w:val="nil"/>
              <w:left w:val="nil"/>
              <w:bottom w:val="single" w:sz="4" w:space="0" w:color="FFFFFF"/>
              <w:right w:val="single" w:sz="4" w:space="0" w:color="FFFFFF"/>
            </w:tcBorders>
            <w:shd w:val="clear" w:color="000000" w:fill="C5D9F1"/>
            <w:noWrap/>
            <w:vAlign w:val="center"/>
            <w:hideMark/>
          </w:tcPr>
          <w:p w14:paraId="64BC402B" w14:textId="36F446DF" w:rsidR="0014314E" w:rsidRPr="00476171" w:rsidRDefault="00F76546"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148,9 %</w:t>
            </w:r>
          </w:p>
        </w:tc>
      </w:tr>
      <w:tr w:rsidR="002657AC" w:rsidRPr="00476171" w14:paraId="2C78E920" w14:textId="77777777" w:rsidTr="00E83042">
        <w:trPr>
          <w:gridAfter w:val="1"/>
          <w:wAfter w:w="12" w:type="dxa"/>
          <w:trHeight w:val="283"/>
          <w:jc w:val="center"/>
        </w:trPr>
        <w:tc>
          <w:tcPr>
            <w:tcW w:w="1271" w:type="dxa"/>
            <w:tcBorders>
              <w:top w:val="nil"/>
              <w:left w:val="single" w:sz="4" w:space="0" w:color="FFFFFF"/>
              <w:bottom w:val="single" w:sz="4" w:space="0" w:color="FFFFFF"/>
              <w:right w:val="single" w:sz="4" w:space="0" w:color="FFFFFF"/>
            </w:tcBorders>
            <w:shd w:val="clear" w:color="000000" w:fill="1F497D"/>
            <w:noWrap/>
            <w:vAlign w:val="center"/>
            <w:hideMark/>
          </w:tcPr>
          <w:p w14:paraId="269802C2" w14:textId="77777777"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LV</w:t>
            </w:r>
          </w:p>
        </w:tc>
        <w:tc>
          <w:tcPr>
            <w:tcW w:w="1309" w:type="dxa"/>
            <w:tcBorders>
              <w:top w:val="nil"/>
              <w:left w:val="nil"/>
              <w:bottom w:val="single" w:sz="4" w:space="0" w:color="FFFFFF"/>
              <w:right w:val="single" w:sz="4" w:space="0" w:color="FFFFFF"/>
            </w:tcBorders>
            <w:shd w:val="clear" w:color="000000" w:fill="C5D9F1"/>
            <w:noWrap/>
            <w:vAlign w:val="center"/>
            <w:hideMark/>
          </w:tcPr>
          <w:p w14:paraId="30AE9323" w14:textId="56F1D39F"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1 862 320</w:t>
            </w:r>
          </w:p>
        </w:tc>
        <w:tc>
          <w:tcPr>
            <w:tcW w:w="1384" w:type="dxa"/>
            <w:tcBorders>
              <w:top w:val="nil"/>
              <w:left w:val="nil"/>
              <w:bottom w:val="single" w:sz="4" w:space="0" w:color="FFFFFF"/>
              <w:right w:val="single" w:sz="4" w:space="0" w:color="FFFFFF"/>
            </w:tcBorders>
            <w:shd w:val="clear" w:color="000000" w:fill="C5D9F1"/>
            <w:noWrap/>
            <w:vAlign w:val="center"/>
            <w:hideMark/>
          </w:tcPr>
          <w:p w14:paraId="344F6435" w14:textId="020BADB4"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1 862 320</w:t>
            </w:r>
          </w:p>
        </w:tc>
        <w:tc>
          <w:tcPr>
            <w:tcW w:w="1418" w:type="dxa"/>
            <w:tcBorders>
              <w:top w:val="nil"/>
              <w:left w:val="nil"/>
              <w:bottom w:val="single" w:sz="4" w:space="0" w:color="FFFFFF"/>
              <w:right w:val="single" w:sz="4" w:space="0" w:color="FFFFFF"/>
            </w:tcBorders>
            <w:shd w:val="clear" w:color="000000" w:fill="C5D9F1"/>
            <w:noWrap/>
            <w:vAlign w:val="center"/>
            <w:hideMark/>
          </w:tcPr>
          <w:p w14:paraId="64C40B76" w14:textId="400D7790"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53 550</w:t>
            </w:r>
          </w:p>
        </w:tc>
        <w:tc>
          <w:tcPr>
            <w:tcW w:w="1276" w:type="dxa"/>
            <w:tcBorders>
              <w:top w:val="nil"/>
              <w:left w:val="nil"/>
              <w:bottom w:val="single" w:sz="4" w:space="0" w:color="FFFFFF"/>
              <w:right w:val="single" w:sz="4" w:space="0" w:color="FFFFFF"/>
            </w:tcBorders>
            <w:shd w:val="clear" w:color="000000" w:fill="C5D9F1"/>
            <w:noWrap/>
            <w:vAlign w:val="center"/>
            <w:hideMark/>
          </w:tcPr>
          <w:p w14:paraId="4FF88F46" w14:textId="4482D212"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98 102</w:t>
            </w:r>
          </w:p>
        </w:tc>
        <w:tc>
          <w:tcPr>
            <w:tcW w:w="1164" w:type="dxa"/>
            <w:tcBorders>
              <w:top w:val="nil"/>
              <w:left w:val="nil"/>
              <w:bottom w:val="single" w:sz="4" w:space="0" w:color="FFFFFF"/>
              <w:right w:val="single" w:sz="4" w:space="0" w:color="FFFFFF"/>
            </w:tcBorders>
            <w:shd w:val="clear" w:color="000000" w:fill="C5D9F1"/>
            <w:noWrap/>
            <w:vAlign w:val="center"/>
            <w:hideMark/>
          </w:tcPr>
          <w:p w14:paraId="0D9D4F5E" w14:textId="12796F96" w:rsidR="0014314E" w:rsidRPr="00476171" w:rsidRDefault="0014314E"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183,2 %</w:t>
            </w:r>
          </w:p>
        </w:tc>
        <w:tc>
          <w:tcPr>
            <w:tcW w:w="1309" w:type="dxa"/>
            <w:tcBorders>
              <w:top w:val="nil"/>
              <w:left w:val="nil"/>
              <w:bottom w:val="single" w:sz="4" w:space="0" w:color="FFFFFF"/>
              <w:right w:val="single" w:sz="4" w:space="0" w:color="FFFFFF"/>
            </w:tcBorders>
            <w:shd w:val="clear" w:color="000000" w:fill="C5D9F1"/>
            <w:noWrap/>
            <w:vAlign w:val="center"/>
            <w:hideMark/>
          </w:tcPr>
          <w:p w14:paraId="66FA81F1"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09" w:type="dxa"/>
            <w:tcBorders>
              <w:top w:val="nil"/>
              <w:left w:val="nil"/>
              <w:bottom w:val="single" w:sz="4" w:space="0" w:color="FFFFFF"/>
              <w:right w:val="single" w:sz="4" w:space="0" w:color="FFFFFF"/>
            </w:tcBorders>
            <w:shd w:val="clear" w:color="000000" w:fill="C5D9F1"/>
            <w:noWrap/>
            <w:vAlign w:val="center"/>
            <w:hideMark/>
          </w:tcPr>
          <w:p w14:paraId="3357EE9E" w14:textId="26252F85"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409 659</w:t>
            </w:r>
          </w:p>
        </w:tc>
        <w:tc>
          <w:tcPr>
            <w:tcW w:w="1309" w:type="dxa"/>
            <w:tcBorders>
              <w:top w:val="nil"/>
              <w:left w:val="nil"/>
              <w:bottom w:val="single" w:sz="4" w:space="0" w:color="FFFFFF"/>
              <w:right w:val="single" w:sz="4" w:space="0" w:color="FFFFFF"/>
            </w:tcBorders>
            <w:shd w:val="clear" w:color="000000" w:fill="C5D9F1"/>
            <w:noWrap/>
            <w:vAlign w:val="center"/>
            <w:hideMark/>
          </w:tcPr>
          <w:p w14:paraId="4F69E4BC" w14:textId="7878A09A" w:rsidR="0014314E" w:rsidRPr="00476171" w:rsidRDefault="00F76546"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91,9 %</w:t>
            </w:r>
          </w:p>
        </w:tc>
      </w:tr>
      <w:tr w:rsidR="002657AC" w:rsidRPr="00476171" w14:paraId="14680E00" w14:textId="77777777" w:rsidTr="00E83042">
        <w:trPr>
          <w:gridAfter w:val="1"/>
          <w:wAfter w:w="12" w:type="dxa"/>
          <w:trHeight w:val="283"/>
          <w:jc w:val="center"/>
        </w:trPr>
        <w:tc>
          <w:tcPr>
            <w:tcW w:w="1271" w:type="dxa"/>
            <w:tcBorders>
              <w:top w:val="nil"/>
              <w:left w:val="single" w:sz="4" w:space="0" w:color="FFFFFF"/>
              <w:bottom w:val="single" w:sz="4" w:space="0" w:color="FFFFFF"/>
              <w:right w:val="single" w:sz="4" w:space="0" w:color="FFFFFF"/>
            </w:tcBorders>
            <w:shd w:val="clear" w:color="000000" w:fill="1F497D"/>
            <w:noWrap/>
            <w:vAlign w:val="center"/>
            <w:hideMark/>
          </w:tcPr>
          <w:p w14:paraId="35942886" w14:textId="77777777"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PT</w:t>
            </w:r>
          </w:p>
        </w:tc>
        <w:tc>
          <w:tcPr>
            <w:tcW w:w="1309" w:type="dxa"/>
            <w:tcBorders>
              <w:top w:val="nil"/>
              <w:left w:val="nil"/>
              <w:bottom w:val="single" w:sz="4" w:space="0" w:color="FFFFFF"/>
              <w:right w:val="single" w:sz="4" w:space="0" w:color="FFFFFF"/>
            </w:tcBorders>
            <w:shd w:val="clear" w:color="000000" w:fill="C5D9F1"/>
            <w:noWrap/>
            <w:vAlign w:val="center"/>
            <w:hideMark/>
          </w:tcPr>
          <w:p w14:paraId="0FE3637D" w14:textId="64157506"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4 478 805</w:t>
            </w:r>
          </w:p>
        </w:tc>
        <w:tc>
          <w:tcPr>
            <w:tcW w:w="1384" w:type="dxa"/>
            <w:tcBorders>
              <w:top w:val="nil"/>
              <w:left w:val="nil"/>
              <w:bottom w:val="single" w:sz="4" w:space="0" w:color="FFFFFF"/>
              <w:right w:val="single" w:sz="4" w:space="0" w:color="FFFFFF"/>
            </w:tcBorders>
            <w:shd w:val="clear" w:color="000000" w:fill="C5D9F1"/>
            <w:noWrap/>
            <w:vAlign w:val="center"/>
            <w:hideMark/>
          </w:tcPr>
          <w:p w14:paraId="216C7ED7" w14:textId="4DF3BABF"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849 415</w:t>
            </w:r>
          </w:p>
        </w:tc>
        <w:tc>
          <w:tcPr>
            <w:tcW w:w="1418" w:type="dxa"/>
            <w:tcBorders>
              <w:top w:val="nil"/>
              <w:left w:val="nil"/>
              <w:bottom w:val="single" w:sz="4" w:space="0" w:color="FFFFFF"/>
              <w:right w:val="single" w:sz="4" w:space="0" w:color="FFFFFF"/>
            </w:tcBorders>
            <w:shd w:val="clear" w:color="000000" w:fill="C5D9F1"/>
            <w:noWrap/>
            <w:vAlign w:val="center"/>
            <w:hideMark/>
          </w:tcPr>
          <w:p w14:paraId="5A4ABC12" w14:textId="6933D4BB"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24 967</w:t>
            </w:r>
          </w:p>
        </w:tc>
        <w:tc>
          <w:tcPr>
            <w:tcW w:w="1276" w:type="dxa"/>
            <w:tcBorders>
              <w:top w:val="nil"/>
              <w:left w:val="nil"/>
              <w:bottom w:val="single" w:sz="4" w:space="0" w:color="FFFFFF"/>
              <w:right w:val="single" w:sz="4" w:space="0" w:color="FFFFFF"/>
            </w:tcBorders>
            <w:shd w:val="clear" w:color="000000" w:fill="C5D9F1"/>
            <w:noWrap/>
            <w:vAlign w:val="center"/>
            <w:hideMark/>
          </w:tcPr>
          <w:p w14:paraId="001DE0B3" w14:textId="4DE1699C"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3 107</w:t>
            </w:r>
          </w:p>
        </w:tc>
        <w:tc>
          <w:tcPr>
            <w:tcW w:w="1164" w:type="dxa"/>
            <w:tcBorders>
              <w:top w:val="nil"/>
              <w:left w:val="nil"/>
              <w:bottom w:val="single" w:sz="4" w:space="0" w:color="FFFFFF"/>
              <w:right w:val="single" w:sz="4" w:space="0" w:color="FFFFFF"/>
            </w:tcBorders>
            <w:shd w:val="clear" w:color="000000" w:fill="C5D9F1"/>
            <w:noWrap/>
            <w:vAlign w:val="center"/>
            <w:hideMark/>
          </w:tcPr>
          <w:p w14:paraId="1541E48F" w14:textId="0B96436F" w:rsidR="0014314E" w:rsidRPr="00476171" w:rsidRDefault="00F76546"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12,4 %</w:t>
            </w:r>
          </w:p>
        </w:tc>
        <w:tc>
          <w:tcPr>
            <w:tcW w:w="1309" w:type="dxa"/>
            <w:tcBorders>
              <w:top w:val="nil"/>
              <w:left w:val="nil"/>
              <w:bottom w:val="single" w:sz="4" w:space="0" w:color="FFFFFF"/>
              <w:right w:val="single" w:sz="4" w:space="0" w:color="FFFFFF"/>
            </w:tcBorders>
            <w:shd w:val="clear" w:color="000000" w:fill="C5D9F1"/>
            <w:noWrap/>
            <w:vAlign w:val="center"/>
            <w:hideMark/>
          </w:tcPr>
          <w:p w14:paraId="1BE9F7E7"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09" w:type="dxa"/>
            <w:tcBorders>
              <w:top w:val="nil"/>
              <w:left w:val="nil"/>
              <w:bottom w:val="single" w:sz="4" w:space="0" w:color="FFFFFF"/>
              <w:right w:val="single" w:sz="4" w:space="0" w:color="FFFFFF"/>
            </w:tcBorders>
            <w:shd w:val="clear" w:color="000000" w:fill="C5D9F1"/>
            <w:noWrap/>
            <w:vAlign w:val="center"/>
            <w:hideMark/>
          </w:tcPr>
          <w:p w14:paraId="79D8125E" w14:textId="63366FAA"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28 034</w:t>
            </w:r>
          </w:p>
        </w:tc>
        <w:tc>
          <w:tcPr>
            <w:tcW w:w="1309" w:type="dxa"/>
            <w:tcBorders>
              <w:top w:val="nil"/>
              <w:left w:val="nil"/>
              <w:bottom w:val="single" w:sz="4" w:space="0" w:color="FFFFFF"/>
              <w:right w:val="single" w:sz="4" w:space="0" w:color="FFFFFF"/>
            </w:tcBorders>
            <w:shd w:val="clear" w:color="000000" w:fill="C5D9F1"/>
            <w:noWrap/>
            <w:vAlign w:val="center"/>
            <w:hideMark/>
          </w:tcPr>
          <w:p w14:paraId="71458E11" w14:textId="4DAB4491" w:rsidR="0014314E" w:rsidRPr="00476171" w:rsidRDefault="00F76546"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27,2 %</w:t>
            </w:r>
          </w:p>
        </w:tc>
      </w:tr>
      <w:tr w:rsidR="002657AC" w:rsidRPr="00476171" w14:paraId="5646762A" w14:textId="77777777" w:rsidTr="00E83042">
        <w:trPr>
          <w:gridAfter w:val="1"/>
          <w:wAfter w:w="12" w:type="dxa"/>
          <w:trHeight w:val="283"/>
          <w:jc w:val="center"/>
        </w:trPr>
        <w:tc>
          <w:tcPr>
            <w:tcW w:w="1271" w:type="dxa"/>
            <w:tcBorders>
              <w:top w:val="nil"/>
              <w:left w:val="single" w:sz="4" w:space="0" w:color="FFFFFF"/>
              <w:bottom w:val="single" w:sz="4" w:space="0" w:color="FFFFFF"/>
              <w:right w:val="single" w:sz="4" w:space="0" w:color="FFFFFF"/>
            </w:tcBorders>
            <w:shd w:val="clear" w:color="000000" w:fill="1F497D"/>
            <w:noWrap/>
            <w:vAlign w:val="center"/>
            <w:hideMark/>
          </w:tcPr>
          <w:p w14:paraId="76EDD829" w14:textId="77777777"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RO</w:t>
            </w:r>
          </w:p>
        </w:tc>
        <w:tc>
          <w:tcPr>
            <w:tcW w:w="1309" w:type="dxa"/>
            <w:tcBorders>
              <w:top w:val="nil"/>
              <w:left w:val="nil"/>
              <w:bottom w:val="single" w:sz="4" w:space="0" w:color="FFFFFF"/>
              <w:right w:val="single" w:sz="4" w:space="0" w:color="FFFFFF"/>
            </w:tcBorders>
            <w:shd w:val="clear" w:color="000000" w:fill="C5D9F1"/>
            <w:noWrap/>
            <w:vAlign w:val="center"/>
            <w:hideMark/>
          </w:tcPr>
          <w:p w14:paraId="1D8A85A6"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84" w:type="dxa"/>
            <w:tcBorders>
              <w:top w:val="nil"/>
              <w:left w:val="nil"/>
              <w:bottom w:val="single" w:sz="4" w:space="0" w:color="FFFFFF"/>
              <w:right w:val="single" w:sz="4" w:space="0" w:color="FFFFFF"/>
            </w:tcBorders>
            <w:shd w:val="clear" w:color="000000" w:fill="C5D9F1"/>
            <w:noWrap/>
            <w:vAlign w:val="center"/>
            <w:hideMark/>
          </w:tcPr>
          <w:p w14:paraId="6635E261"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418" w:type="dxa"/>
            <w:tcBorders>
              <w:top w:val="nil"/>
              <w:left w:val="nil"/>
              <w:bottom w:val="single" w:sz="4" w:space="0" w:color="FFFFFF"/>
              <w:right w:val="single" w:sz="4" w:space="0" w:color="FFFFFF"/>
            </w:tcBorders>
            <w:shd w:val="clear" w:color="000000" w:fill="C5D9F1"/>
            <w:noWrap/>
            <w:vAlign w:val="center"/>
            <w:hideMark/>
          </w:tcPr>
          <w:p w14:paraId="3C3AA278"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276" w:type="dxa"/>
            <w:tcBorders>
              <w:top w:val="nil"/>
              <w:left w:val="nil"/>
              <w:bottom w:val="single" w:sz="4" w:space="0" w:color="FFFFFF"/>
              <w:right w:val="single" w:sz="4" w:space="0" w:color="FFFFFF"/>
            </w:tcBorders>
            <w:shd w:val="clear" w:color="000000" w:fill="C5D9F1"/>
            <w:noWrap/>
            <w:vAlign w:val="center"/>
            <w:hideMark/>
          </w:tcPr>
          <w:p w14:paraId="30779968"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164" w:type="dxa"/>
            <w:tcBorders>
              <w:top w:val="nil"/>
              <w:left w:val="nil"/>
              <w:bottom w:val="single" w:sz="4" w:space="0" w:color="FFFFFF"/>
              <w:right w:val="single" w:sz="4" w:space="0" w:color="FFFFFF"/>
            </w:tcBorders>
            <w:shd w:val="clear" w:color="000000" w:fill="C5D9F1"/>
            <w:noWrap/>
            <w:vAlign w:val="center"/>
            <w:hideMark/>
          </w:tcPr>
          <w:p w14:paraId="7744ED04"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09" w:type="dxa"/>
            <w:tcBorders>
              <w:top w:val="nil"/>
              <w:left w:val="nil"/>
              <w:bottom w:val="single" w:sz="4" w:space="0" w:color="FFFFFF"/>
              <w:right w:val="single" w:sz="4" w:space="0" w:color="FFFFFF"/>
            </w:tcBorders>
            <w:shd w:val="clear" w:color="000000" w:fill="C5D9F1"/>
            <w:noWrap/>
            <w:vAlign w:val="center"/>
            <w:hideMark/>
          </w:tcPr>
          <w:p w14:paraId="2A45A22C"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09" w:type="dxa"/>
            <w:tcBorders>
              <w:top w:val="nil"/>
              <w:left w:val="nil"/>
              <w:bottom w:val="single" w:sz="4" w:space="0" w:color="FFFFFF"/>
              <w:right w:val="single" w:sz="4" w:space="0" w:color="FFFFFF"/>
            </w:tcBorders>
            <w:shd w:val="clear" w:color="000000" w:fill="C5D9F1"/>
            <w:noWrap/>
            <w:vAlign w:val="center"/>
            <w:hideMark/>
          </w:tcPr>
          <w:p w14:paraId="4C6B453B"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09" w:type="dxa"/>
            <w:tcBorders>
              <w:top w:val="nil"/>
              <w:left w:val="nil"/>
              <w:bottom w:val="single" w:sz="4" w:space="0" w:color="FFFFFF"/>
              <w:right w:val="single" w:sz="4" w:space="0" w:color="FFFFFF"/>
            </w:tcBorders>
            <w:shd w:val="clear" w:color="000000" w:fill="C5D9F1"/>
            <w:noWrap/>
            <w:vAlign w:val="center"/>
            <w:hideMark/>
          </w:tcPr>
          <w:p w14:paraId="4A4BBAB4"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r>
      <w:tr w:rsidR="002657AC" w:rsidRPr="00476171" w14:paraId="74F9445E" w14:textId="77777777" w:rsidTr="00E83042">
        <w:trPr>
          <w:gridAfter w:val="1"/>
          <w:wAfter w:w="12" w:type="dxa"/>
          <w:trHeight w:val="283"/>
          <w:jc w:val="center"/>
        </w:trPr>
        <w:tc>
          <w:tcPr>
            <w:tcW w:w="1271" w:type="dxa"/>
            <w:tcBorders>
              <w:top w:val="nil"/>
              <w:left w:val="single" w:sz="4" w:space="0" w:color="FFFFFF"/>
              <w:bottom w:val="single" w:sz="4" w:space="0" w:color="FFFFFF"/>
              <w:right w:val="single" w:sz="4" w:space="0" w:color="FFFFFF"/>
            </w:tcBorders>
            <w:shd w:val="clear" w:color="000000" w:fill="1F497D"/>
            <w:noWrap/>
            <w:vAlign w:val="center"/>
            <w:hideMark/>
          </w:tcPr>
          <w:p w14:paraId="682FFCE0" w14:textId="77777777" w:rsidR="0014314E" w:rsidRPr="00476171" w:rsidRDefault="0014314E" w:rsidP="00173BB6">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SI</w:t>
            </w:r>
          </w:p>
        </w:tc>
        <w:tc>
          <w:tcPr>
            <w:tcW w:w="1309" w:type="dxa"/>
            <w:tcBorders>
              <w:top w:val="nil"/>
              <w:left w:val="nil"/>
              <w:bottom w:val="single" w:sz="4" w:space="0" w:color="FFFFFF"/>
              <w:right w:val="single" w:sz="4" w:space="0" w:color="FFFFFF"/>
            </w:tcBorders>
            <w:shd w:val="clear" w:color="000000" w:fill="C5D9F1"/>
            <w:noWrap/>
            <w:vAlign w:val="center"/>
            <w:hideMark/>
          </w:tcPr>
          <w:p w14:paraId="1405127E" w14:textId="72AB90C3"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957 014</w:t>
            </w:r>
          </w:p>
        </w:tc>
        <w:tc>
          <w:tcPr>
            <w:tcW w:w="1384" w:type="dxa"/>
            <w:tcBorders>
              <w:top w:val="nil"/>
              <w:left w:val="nil"/>
              <w:bottom w:val="single" w:sz="4" w:space="0" w:color="FFFFFF"/>
              <w:right w:val="single" w:sz="4" w:space="0" w:color="FFFFFF"/>
            </w:tcBorders>
            <w:shd w:val="clear" w:color="000000" w:fill="C5D9F1"/>
            <w:noWrap/>
            <w:vAlign w:val="center"/>
            <w:hideMark/>
          </w:tcPr>
          <w:p w14:paraId="21A31B94" w14:textId="28461375"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890 992</w:t>
            </w:r>
          </w:p>
        </w:tc>
        <w:tc>
          <w:tcPr>
            <w:tcW w:w="1418" w:type="dxa"/>
            <w:tcBorders>
              <w:top w:val="nil"/>
              <w:left w:val="nil"/>
              <w:bottom w:val="single" w:sz="4" w:space="0" w:color="FFFFFF"/>
              <w:right w:val="single" w:sz="4" w:space="0" w:color="FFFFFF"/>
            </w:tcBorders>
            <w:shd w:val="clear" w:color="000000" w:fill="C5D9F1"/>
            <w:noWrap/>
            <w:vAlign w:val="center"/>
            <w:hideMark/>
          </w:tcPr>
          <w:p w14:paraId="0965D243" w14:textId="02787F06"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24 822</w:t>
            </w:r>
          </w:p>
        </w:tc>
        <w:tc>
          <w:tcPr>
            <w:tcW w:w="1276" w:type="dxa"/>
            <w:tcBorders>
              <w:top w:val="nil"/>
              <w:left w:val="nil"/>
              <w:bottom w:val="single" w:sz="4" w:space="0" w:color="FFFFFF"/>
              <w:right w:val="single" w:sz="4" w:space="0" w:color="FFFFFF"/>
            </w:tcBorders>
            <w:shd w:val="clear" w:color="000000" w:fill="C5D9F1"/>
            <w:noWrap/>
            <w:vAlign w:val="center"/>
            <w:hideMark/>
          </w:tcPr>
          <w:p w14:paraId="2240117C" w14:textId="707296A5"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2 528</w:t>
            </w:r>
          </w:p>
        </w:tc>
        <w:tc>
          <w:tcPr>
            <w:tcW w:w="1164" w:type="dxa"/>
            <w:tcBorders>
              <w:top w:val="nil"/>
              <w:left w:val="nil"/>
              <w:bottom w:val="single" w:sz="4" w:space="0" w:color="FFFFFF"/>
              <w:right w:val="single" w:sz="4" w:space="0" w:color="FFFFFF"/>
            </w:tcBorders>
            <w:shd w:val="clear" w:color="000000" w:fill="C5D9F1"/>
            <w:noWrap/>
            <w:vAlign w:val="center"/>
            <w:hideMark/>
          </w:tcPr>
          <w:p w14:paraId="0EEB7DEB" w14:textId="3B7A4EF3" w:rsidR="0014314E" w:rsidRPr="00476171" w:rsidRDefault="00F76546"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10,2 %</w:t>
            </w:r>
          </w:p>
        </w:tc>
        <w:tc>
          <w:tcPr>
            <w:tcW w:w="1309" w:type="dxa"/>
            <w:tcBorders>
              <w:top w:val="nil"/>
              <w:left w:val="nil"/>
              <w:bottom w:val="single" w:sz="4" w:space="0" w:color="FFFFFF"/>
              <w:right w:val="single" w:sz="4" w:space="0" w:color="FFFFFF"/>
            </w:tcBorders>
            <w:shd w:val="clear" w:color="000000" w:fill="C5D9F1"/>
            <w:noWrap/>
            <w:vAlign w:val="center"/>
            <w:hideMark/>
          </w:tcPr>
          <w:p w14:paraId="7B4A58DD" w14:textId="287D7EBD" w:rsidR="0014314E" w:rsidRPr="00476171" w:rsidRDefault="00F76546"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0,33</w:t>
            </w:r>
          </w:p>
        </w:tc>
        <w:tc>
          <w:tcPr>
            <w:tcW w:w="1309" w:type="dxa"/>
            <w:tcBorders>
              <w:top w:val="nil"/>
              <w:left w:val="nil"/>
              <w:bottom w:val="single" w:sz="4" w:space="0" w:color="FFFFFF"/>
              <w:right w:val="single" w:sz="4" w:space="0" w:color="FFFFFF"/>
            </w:tcBorders>
            <w:shd w:val="clear" w:color="000000" w:fill="C5D9F1"/>
            <w:noWrap/>
            <w:vAlign w:val="center"/>
            <w:hideMark/>
          </w:tcPr>
          <w:p w14:paraId="6E4014D6" w14:textId="36278218"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59 717</w:t>
            </w:r>
          </w:p>
        </w:tc>
        <w:tc>
          <w:tcPr>
            <w:tcW w:w="1309" w:type="dxa"/>
            <w:tcBorders>
              <w:top w:val="nil"/>
              <w:left w:val="nil"/>
              <w:bottom w:val="single" w:sz="4" w:space="0" w:color="FFFFFF"/>
              <w:right w:val="single" w:sz="4" w:space="0" w:color="FFFFFF"/>
            </w:tcBorders>
            <w:shd w:val="clear" w:color="000000" w:fill="C5D9F1"/>
            <w:noWrap/>
            <w:vAlign w:val="center"/>
            <w:hideMark/>
          </w:tcPr>
          <w:p w14:paraId="2B6C4E01" w14:textId="77777777" w:rsidR="0014314E" w:rsidRPr="00476171" w:rsidRDefault="0014314E" w:rsidP="00173BB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r>
    </w:tbl>
    <w:p w14:paraId="13E24971" w14:textId="3C9EDDAB" w:rsidR="00173BB6" w:rsidRPr="00476171" w:rsidRDefault="00173BB6" w:rsidP="00173BB6">
      <w:pPr>
        <w:pStyle w:val="JRCTablesource"/>
        <w:spacing w:line="276" w:lineRule="auto"/>
        <w:jc w:val="center"/>
        <w:rPr>
          <w:rFonts w:ascii="Times New Roman" w:hAnsi="Times New Roman"/>
          <w:noProof/>
          <w:lang w:val="de-DE"/>
        </w:rPr>
      </w:pPr>
      <w:r w:rsidRPr="00476171">
        <w:rPr>
          <w:rFonts w:ascii="Times New Roman" w:hAnsi="Times New Roman"/>
          <w:noProof/>
          <w:lang w:val="de-DE"/>
        </w:rPr>
        <w:t>Quelle: JRC auf der Grundlage der Berichterstattung der Mitgliedstaaten, Eurostat, Daten vom April 2022.</w:t>
      </w:r>
      <w:r w:rsidRPr="00476171">
        <w:rPr>
          <w:rStyle w:val="FootnoteReference"/>
          <w:rFonts w:ascii="Times New Roman" w:hAnsi="Times New Roman"/>
          <w:noProof/>
          <w:color w:val="000000" w:themeColor="text1"/>
          <w:sz w:val="24"/>
          <w:lang w:val="de-DE"/>
        </w:rPr>
        <w:t xml:space="preserve"> </w:t>
      </w:r>
      <w:r w:rsidRPr="00476171">
        <w:rPr>
          <w:rStyle w:val="FootnoteReference"/>
          <w:rFonts w:ascii="Times New Roman" w:hAnsi="Times New Roman"/>
          <w:noProof/>
          <w:color w:val="000000" w:themeColor="text1"/>
          <w:sz w:val="24"/>
          <w:lang w:val="de-DE"/>
        </w:rPr>
        <w:footnoteReference w:id="18"/>
      </w:r>
    </w:p>
    <w:p w14:paraId="73B88CDF" w14:textId="38D42C6A" w:rsidR="0098370A" w:rsidRPr="00476171" w:rsidRDefault="0098370A" w:rsidP="0098370A">
      <w:pPr>
        <w:pStyle w:val="JRCText"/>
        <w:ind w:left="720"/>
        <w:jc w:val="center"/>
        <w:rPr>
          <w:rFonts w:ascii="Times New Roman" w:hAnsi="Times New Roman"/>
          <w:b/>
          <w:noProof/>
          <w:lang w:val="de-DE"/>
        </w:rPr>
      </w:pPr>
      <w:r w:rsidRPr="00476171">
        <w:rPr>
          <w:rFonts w:ascii="Times New Roman" w:hAnsi="Times New Roman"/>
          <w:b/>
          <w:noProof/>
          <w:lang w:val="de-DE"/>
        </w:rPr>
        <w:t>Tabelle 4:</w:t>
      </w:r>
      <w:r w:rsidRPr="00476171">
        <w:rPr>
          <w:rFonts w:ascii="Times New Roman" w:hAnsi="Times New Roman"/>
          <w:noProof/>
          <w:lang w:val="de-DE"/>
        </w:rPr>
        <w:t xml:space="preserve"> Stand der Umsetzung von Artikel 5 der EED durch die Mitgliedstaaten, die sich für den alternativen Ansatz entschieden haben</w:t>
      </w:r>
      <w:r w:rsidRPr="00476171">
        <w:rPr>
          <w:rStyle w:val="FootnoteReference"/>
          <w:rFonts w:ascii="Times New Roman" w:hAnsi="Times New Roman"/>
          <w:noProof/>
          <w:lang w:val="de-DE"/>
        </w:rPr>
        <w:footnoteReference w:id="19"/>
      </w:r>
      <w:r w:rsidRPr="00476171">
        <w:rPr>
          <w:rFonts w:ascii="Times New Roman" w:hAnsi="Times New Roman"/>
          <w:noProof/>
          <w:lang w:val="de-DE"/>
        </w:rPr>
        <w:t xml:space="preserve"> </w:t>
      </w:r>
      <w:r w:rsidRPr="00476171">
        <w:rPr>
          <w:rStyle w:val="FootnoteReference"/>
          <w:rFonts w:ascii="Times New Roman" w:hAnsi="Times New Roman"/>
          <w:b/>
          <w:noProof/>
          <w:lang w:val="de-DE"/>
        </w:rPr>
        <w:footnoteReference w:id="20"/>
      </w:r>
      <w:r w:rsidRPr="00476171">
        <w:rPr>
          <w:rFonts w:ascii="Times New Roman" w:hAnsi="Times New Roman"/>
          <w:noProof/>
          <w:lang w:val="de-DE"/>
        </w:rPr>
        <w:t xml:space="preserve"> </w:t>
      </w:r>
      <w:r w:rsidRPr="00476171">
        <w:rPr>
          <w:rStyle w:val="FootnoteReference"/>
          <w:rFonts w:ascii="Times New Roman" w:hAnsi="Times New Roman"/>
          <w:b/>
          <w:noProof/>
          <w:lang w:val="de-DE"/>
        </w:rPr>
        <w:footnoteReference w:id="21"/>
      </w:r>
      <w:r w:rsidRPr="00476171">
        <w:rPr>
          <w:rFonts w:ascii="Times New Roman" w:hAnsi="Times New Roman"/>
          <w:noProof/>
          <w:lang w:val="de-DE"/>
        </w:rPr>
        <w:t xml:space="preserve"> </w:t>
      </w:r>
      <w:r w:rsidRPr="00476171">
        <w:rPr>
          <w:rStyle w:val="FootnoteReference"/>
          <w:rFonts w:ascii="Times New Roman" w:hAnsi="Times New Roman"/>
          <w:b/>
          <w:noProof/>
          <w:lang w:val="de-DE"/>
        </w:rPr>
        <w:footnoteReference w:id="22"/>
      </w:r>
      <w:r w:rsidRPr="00476171">
        <w:rPr>
          <w:rStyle w:val="FootnoteReference"/>
          <w:rFonts w:ascii="Times New Roman" w:hAnsi="Times New Roman"/>
          <w:b/>
          <w:noProof/>
          <w:lang w:val="de-DE"/>
        </w:rPr>
        <w:t xml:space="preserve"> </w:t>
      </w:r>
      <w:r w:rsidRPr="00476171">
        <w:rPr>
          <w:rStyle w:val="FootnoteReference"/>
          <w:rFonts w:ascii="Times New Roman" w:hAnsi="Times New Roman"/>
          <w:b/>
          <w:noProof/>
          <w:lang w:val="de-DE"/>
        </w:rPr>
        <w:footnoteReference w:id="23"/>
      </w:r>
      <w:r w:rsidR="002657AC">
        <w:rPr>
          <w:rFonts w:ascii="Times New Roman" w:hAnsi="Times New Roman"/>
          <w:b/>
          <w:noProof/>
          <w:lang w:val="de-DE"/>
        </w:rPr>
        <w:t xml:space="preserve"> </w:t>
      </w:r>
      <w:r w:rsidRPr="00476171">
        <w:rPr>
          <w:rStyle w:val="FootnoteReference"/>
          <w:rFonts w:ascii="Times New Roman" w:hAnsi="Times New Roman"/>
          <w:b/>
          <w:noProof/>
          <w:lang w:val="de-DE"/>
        </w:rPr>
        <w:footnoteReference w:id="24"/>
      </w:r>
      <w:r w:rsidRPr="00476171">
        <w:rPr>
          <w:rFonts w:ascii="Times New Roman" w:hAnsi="Times New Roman"/>
          <w:noProof/>
          <w:sz w:val="16"/>
          <w:lang w:val="de-DE"/>
        </w:rPr>
        <w:t xml:space="preserve"> </w:t>
      </w:r>
    </w:p>
    <w:tbl>
      <w:tblPr>
        <w:tblW w:w="11743" w:type="dxa"/>
        <w:jc w:val="center"/>
        <w:tblLayout w:type="fixed"/>
        <w:tblLook w:val="04A0" w:firstRow="1" w:lastRow="0" w:firstColumn="1" w:lastColumn="0" w:noHBand="0" w:noVBand="1"/>
      </w:tblPr>
      <w:tblGrid>
        <w:gridCol w:w="1129"/>
        <w:gridCol w:w="1326"/>
        <w:gridCol w:w="1368"/>
        <w:gridCol w:w="1417"/>
        <w:gridCol w:w="1196"/>
        <w:gridCol w:w="1326"/>
        <w:gridCol w:w="1327"/>
        <w:gridCol w:w="1327"/>
        <w:gridCol w:w="1327"/>
      </w:tblGrid>
      <w:tr w:rsidR="00013A3D" w:rsidRPr="00476171" w14:paraId="62A7A5AE" w14:textId="77777777" w:rsidTr="006B2352">
        <w:trPr>
          <w:trHeight w:val="821"/>
          <w:jc w:val="center"/>
        </w:trPr>
        <w:tc>
          <w:tcPr>
            <w:tcW w:w="1129" w:type="dxa"/>
            <w:vMerge w:val="restart"/>
            <w:tcBorders>
              <w:top w:val="single" w:sz="4" w:space="0" w:color="FFFFFF"/>
              <w:left w:val="single" w:sz="4" w:space="0" w:color="FFFFFF"/>
              <w:bottom w:val="single" w:sz="4" w:space="0" w:color="FFFFFF"/>
              <w:right w:val="single" w:sz="4" w:space="0" w:color="FFFFFF"/>
            </w:tcBorders>
            <w:shd w:val="clear" w:color="000000" w:fill="1F497D"/>
            <w:vAlign w:val="center"/>
            <w:hideMark/>
          </w:tcPr>
          <w:p w14:paraId="436F68DE" w14:textId="166121C5"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Mitglied</w:t>
            </w:r>
            <w:r w:rsidR="00E83042">
              <w:rPr>
                <w:rFonts w:ascii="Times New Roman" w:hAnsi="Times New Roman"/>
                <w:noProof/>
                <w:color w:val="FFFFFF"/>
                <w:sz w:val="20"/>
                <w:lang w:val="de-DE"/>
              </w:rPr>
              <w:softHyphen/>
            </w:r>
            <w:r w:rsidRPr="00476171">
              <w:rPr>
                <w:rFonts w:ascii="Times New Roman" w:hAnsi="Times New Roman"/>
                <w:noProof/>
                <w:color w:val="FFFFFF"/>
                <w:sz w:val="20"/>
                <w:lang w:val="de-DE"/>
              </w:rPr>
              <w:t>staat</w:t>
            </w:r>
          </w:p>
        </w:tc>
        <w:tc>
          <w:tcPr>
            <w:tcW w:w="2694" w:type="dxa"/>
            <w:gridSpan w:val="2"/>
            <w:tcBorders>
              <w:top w:val="single" w:sz="4" w:space="0" w:color="FFFFFF"/>
              <w:left w:val="nil"/>
              <w:bottom w:val="single" w:sz="4" w:space="0" w:color="FFFFFF"/>
              <w:right w:val="single" w:sz="4" w:space="0" w:color="FFFFFF"/>
            </w:tcBorders>
            <w:shd w:val="clear" w:color="000000" w:fill="1F497D"/>
            <w:vAlign w:val="center"/>
            <w:hideMark/>
          </w:tcPr>
          <w:p w14:paraId="2416ED02" w14:textId="77777777" w:rsidR="00013A3D" w:rsidRPr="00476171" w:rsidRDefault="00013A3D" w:rsidP="00D41708">
            <w:pPr>
              <w:spacing w:after="0" w:line="240" w:lineRule="auto"/>
              <w:ind w:left="180" w:hanging="180"/>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Gebäude der Zentralregierung mit einer Grundfläche von mehr als 250 m² am 1. Januar 2021</w:t>
            </w:r>
          </w:p>
        </w:tc>
        <w:tc>
          <w:tcPr>
            <w:tcW w:w="1417" w:type="dxa"/>
            <w:tcBorders>
              <w:top w:val="single" w:sz="4" w:space="0" w:color="FFFFFF"/>
              <w:left w:val="nil"/>
              <w:bottom w:val="single" w:sz="4" w:space="0" w:color="FFFFFF"/>
              <w:right w:val="single" w:sz="4" w:space="0" w:color="FFFFFF"/>
            </w:tcBorders>
            <w:shd w:val="clear" w:color="000000" w:fill="1F497D"/>
            <w:vAlign w:val="center"/>
            <w:hideMark/>
          </w:tcPr>
          <w:p w14:paraId="1E8F2FD5"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Artikel 5: Jährliche Vorgabe</w:t>
            </w:r>
          </w:p>
        </w:tc>
        <w:tc>
          <w:tcPr>
            <w:tcW w:w="6503" w:type="dxa"/>
            <w:gridSpan w:val="5"/>
            <w:tcBorders>
              <w:top w:val="single" w:sz="4" w:space="0" w:color="FFFFFF"/>
              <w:left w:val="nil"/>
              <w:bottom w:val="single" w:sz="4" w:space="0" w:color="FFFFFF"/>
              <w:right w:val="single" w:sz="4" w:space="0" w:color="FFFFFF"/>
            </w:tcBorders>
            <w:shd w:val="clear" w:color="000000" w:fill="1F497D"/>
            <w:vAlign w:val="center"/>
            <w:hideMark/>
          </w:tcPr>
          <w:p w14:paraId="762ACA81"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Artikel 5: Fortschritt 2020</w:t>
            </w:r>
          </w:p>
        </w:tc>
      </w:tr>
      <w:tr w:rsidR="002657AC" w:rsidRPr="00FF3E37" w14:paraId="6AE410C0" w14:textId="77777777" w:rsidTr="006B2352">
        <w:trPr>
          <w:trHeight w:val="2561"/>
          <w:jc w:val="center"/>
        </w:trPr>
        <w:tc>
          <w:tcPr>
            <w:tcW w:w="1129" w:type="dxa"/>
            <w:vMerge/>
            <w:tcBorders>
              <w:top w:val="single" w:sz="4" w:space="0" w:color="FFFFFF"/>
              <w:left w:val="single" w:sz="4" w:space="0" w:color="FFFFFF"/>
              <w:bottom w:val="single" w:sz="4" w:space="0" w:color="FFFFFF"/>
              <w:right w:val="single" w:sz="4" w:space="0" w:color="FFFFFF"/>
            </w:tcBorders>
            <w:vAlign w:val="center"/>
            <w:hideMark/>
          </w:tcPr>
          <w:p w14:paraId="548BF6ED" w14:textId="77777777" w:rsidR="00013A3D" w:rsidRPr="00476171" w:rsidRDefault="00013A3D" w:rsidP="00DC7EB3">
            <w:pPr>
              <w:spacing w:after="0" w:line="240" w:lineRule="auto"/>
              <w:rPr>
                <w:rFonts w:ascii="Times New Roman" w:eastAsia="Times New Roman" w:hAnsi="Times New Roman" w:cs="Times New Roman"/>
                <w:noProof/>
                <w:color w:val="FFFFFF"/>
                <w:sz w:val="20"/>
                <w:lang w:val="de-DE"/>
              </w:rPr>
            </w:pPr>
          </w:p>
        </w:tc>
        <w:tc>
          <w:tcPr>
            <w:tcW w:w="1326" w:type="dxa"/>
            <w:tcBorders>
              <w:top w:val="nil"/>
              <w:left w:val="nil"/>
              <w:bottom w:val="single" w:sz="4" w:space="0" w:color="FFFFFF"/>
              <w:right w:val="single" w:sz="4" w:space="0" w:color="FFFFFF"/>
            </w:tcBorders>
            <w:shd w:val="clear" w:color="000000" w:fill="1F497D"/>
            <w:vAlign w:val="center"/>
            <w:hideMark/>
          </w:tcPr>
          <w:p w14:paraId="188CBF76"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Insgesamt</w:t>
            </w:r>
            <w:r w:rsidRPr="00476171">
              <w:rPr>
                <w:noProof/>
                <w:lang w:val="de-DE"/>
              </w:rPr>
              <w:t xml:space="preserve"> </w:t>
            </w:r>
            <w:r w:rsidRPr="00476171">
              <w:rPr>
                <w:noProof/>
                <w:lang w:val="de-DE"/>
              </w:rPr>
              <w:cr/>
            </w:r>
            <w:r w:rsidRPr="00476171">
              <w:rPr>
                <w:noProof/>
                <w:lang w:val="de-DE"/>
              </w:rPr>
              <w:br/>
            </w:r>
            <w:r w:rsidRPr="00476171">
              <w:rPr>
                <w:rFonts w:ascii="Times New Roman" w:hAnsi="Times New Roman"/>
                <w:noProof/>
                <w:color w:val="FFFFFF"/>
                <w:sz w:val="20"/>
                <w:lang w:val="de-DE"/>
              </w:rPr>
              <w:t>[m</w:t>
            </w:r>
            <w:r w:rsidRPr="00476171">
              <w:rPr>
                <w:rFonts w:ascii="Times New Roman" w:hAnsi="Times New Roman"/>
                <w:noProof/>
                <w:color w:val="FFFFFF"/>
                <w:sz w:val="20"/>
                <w:vertAlign w:val="superscript"/>
                <w:lang w:val="de-DE"/>
              </w:rPr>
              <w:t>2</w:t>
            </w:r>
            <w:r w:rsidRPr="00476171">
              <w:rPr>
                <w:rFonts w:ascii="Times New Roman" w:hAnsi="Times New Roman"/>
                <w:noProof/>
                <w:color w:val="FFFFFF"/>
                <w:sz w:val="20"/>
                <w:lang w:val="de-DE"/>
              </w:rPr>
              <w:t>]</w:t>
            </w:r>
          </w:p>
        </w:tc>
        <w:tc>
          <w:tcPr>
            <w:tcW w:w="1368" w:type="dxa"/>
            <w:tcBorders>
              <w:top w:val="nil"/>
              <w:left w:val="nil"/>
              <w:bottom w:val="single" w:sz="4" w:space="0" w:color="FFFFFF"/>
              <w:right w:val="single" w:sz="4" w:space="0" w:color="FFFFFF"/>
            </w:tcBorders>
            <w:shd w:val="clear" w:color="000000" w:fill="1F497D"/>
            <w:vAlign w:val="center"/>
            <w:hideMark/>
          </w:tcPr>
          <w:p w14:paraId="6A99D1C7" w14:textId="686CE67C"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Nichteinhal</w:t>
            </w:r>
            <w:r w:rsidR="00E83042">
              <w:rPr>
                <w:rFonts w:ascii="Times New Roman" w:hAnsi="Times New Roman"/>
                <w:noProof/>
                <w:color w:val="FFFFFF"/>
                <w:sz w:val="20"/>
                <w:lang w:val="de-DE"/>
              </w:rPr>
              <w:softHyphen/>
            </w:r>
            <w:r w:rsidRPr="00476171">
              <w:rPr>
                <w:rFonts w:ascii="Times New Roman" w:hAnsi="Times New Roman"/>
                <w:noProof/>
                <w:color w:val="FFFFFF"/>
                <w:sz w:val="20"/>
                <w:lang w:val="de-DE"/>
              </w:rPr>
              <w:t>tung der Mindestan</w:t>
            </w:r>
            <w:r w:rsidR="00E83042">
              <w:rPr>
                <w:rFonts w:ascii="Times New Roman" w:hAnsi="Times New Roman"/>
                <w:noProof/>
                <w:color w:val="FFFFFF"/>
                <w:sz w:val="20"/>
                <w:lang w:val="de-DE"/>
              </w:rPr>
              <w:softHyphen/>
            </w:r>
            <w:r w:rsidRPr="00476171">
              <w:rPr>
                <w:rFonts w:ascii="Times New Roman" w:hAnsi="Times New Roman"/>
                <w:noProof/>
                <w:color w:val="FFFFFF"/>
                <w:sz w:val="20"/>
                <w:lang w:val="de-DE"/>
              </w:rPr>
              <w:t>forderungen an die Gesamtener</w:t>
            </w:r>
            <w:r w:rsidR="00E83042">
              <w:rPr>
                <w:rFonts w:ascii="Times New Roman" w:hAnsi="Times New Roman"/>
                <w:noProof/>
                <w:color w:val="FFFFFF"/>
                <w:sz w:val="20"/>
                <w:lang w:val="de-DE"/>
              </w:rPr>
              <w:softHyphen/>
            </w:r>
            <w:r w:rsidRPr="00476171">
              <w:rPr>
                <w:rFonts w:ascii="Times New Roman" w:hAnsi="Times New Roman"/>
                <w:noProof/>
                <w:color w:val="FFFFFF"/>
                <w:sz w:val="20"/>
                <w:lang w:val="de-DE"/>
              </w:rPr>
              <w:t>gieeffizienz</w:t>
            </w:r>
            <w:r w:rsidRPr="00476171">
              <w:rPr>
                <w:noProof/>
                <w:lang w:val="de-DE"/>
              </w:rPr>
              <w:t xml:space="preserve"> </w:t>
            </w:r>
            <w:r w:rsidRPr="00476171">
              <w:rPr>
                <w:noProof/>
                <w:lang w:val="de-DE"/>
              </w:rPr>
              <w:cr/>
            </w:r>
            <w:r w:rsidRPr="00476171">
              <w:rPr>
                <w:noProof/>
                <w:lang w:val="de-DE"/>
              </w:rPr>
              <w:br/>
            </w:r>
            <w:r w:rsidRPr="00476171">
              <w:rPr>
                <w:rFonts w:ascii="Times New Roman" w:hAnsi="Times New Roman"/>
                <w:noProof/>
                <w:color w:val="FFFFFF"/>
                <w:sz w:val="20"/>
                <w:lang w:val="de-DE"/>
              </w:rPr>
              <w:t>[m</w:t>
            </w:r>
            <w:r w:rsidRPr="00476171">
              <w:rPr>
                <w:rFonts w:ascii="Times New Roman" w:hAnsi="Times New Roman"/>
                <w:noProof/>
                <w:color w:val="FFFFFF"/>
                <w:sz w:val="20"/>
                <w:vertAlign w:val="superscript"/>
                <w:lang w:val="de-DE"/>
              </w:rPr>
              <w:t>2</w:t>
            </w:r>
            <w:r w:rsidRPr="00476171">
              <w:rPr>
                <w:rFonts w:ascii="Times New Roman" w:hAnsi="Times New Roman"/>
                <w:noProof/>
                <w:color w:val="FFFFFF"/>
                <w:sz w:val="20"/>
                <w:lang w:val="de-DE"/>
              </w:rPr>
              <w:t>]</w:t>
            </w:r>
          </w:p>
        </w:tc>
        <w:tc>
          <w:tcPr>
            <w:tcW w:w="1417" w:type="dxa"/>
            <w:tcBorders>
              <w:top w:val="nil"/>
              <w:left w:val="nil"/>
              <w:bottom w:val="single" w:sz="4" w:space="0" w:color="FFFFFF"/>
              <w:right w:val="single" w:sz="4" w:space="0" w:color="FFFFFF"/>
            </w:tcBorders>
            <w:shd w:val="clear" w:color="000000" w:fill="1F497D"/>
            <w:vAlign w:val="center"/>
            <w:hideMark/>
          </w:tcPr>
          <w:p w14:paraId="2A11BD2D" w14:textId="079E3CF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Jährliche Energieein</w:t>
            </w:r>
            <w:r w:rsidR="00E83042">
              <w:rPr>
                <w:rFonts w:ascii="Times New Roman" w:hAnsi="Times New Roman"/>
                <w:noProof/>
                <w:color w:val="FFFFFF"/>
                <w:sz w:val="20"/>
                <w:lang w:val="de-DE"/>
              </w:rPr>
              <w:softHyphen/>
            </w:r>
            <w:r w:rsidRPr="00476171">
              <w:rPr>
                <w:rFonts w:ascii="Times New Roman" w:hAnsi="Times New Roman"/>
                <w:noProof/>
                <w:color w:val="FFFFFF"/>
                <w:sz w:val="20"/>
                <w:lang w:val="de-DE"/>
              </w:rPr>
              <w:t>sparver</w:t>
            </w:r>
            <w:r w:rsidR="00E83042">
              <w:rPr>
                <w:rFonts w:ascii="Times New Roman" w:hAnsi="Times New Roman"/>
                <w:noProof/>
                <w:color w:val="FFFFFF"/>
                <w:sz w:val="20"/>
                <w:lang w:val="de-DE"/>
              </w:rPr>
              <w:softHyphen/>
            </w:r>
            <w:r w:rsidRPr="00476171">
              <w:rPr>
                <w:rFonts w:ascii="Times New Roman" w:hAnsi="Times New Roman"/>
                <w:noProof/>
                <w:color w:val="FFFFFF"/>
                <w:sz w:val="20"/>
                <w:lang w:val="de-DE"/>
              </w:rPr>
              <w:t>pflichtung</w:t>
            </w:r>
            <w:r w:rsidRPr="00476171">
              <w:rPr>
                <w:noProof/>
                <w:lang w:val="de-DE"/>
              </w:rPr>
              <w:t xml:space="preserve"> </w:t>
            </w:r>
            <w:r w:rsidRPr="00476171">
              <w:rPr>
                <w:noProof/>
                <w:lang w:val="de-DE"/>
              </w:rPr>
              <w:cr/>
            </w:r>
            <w:r w:rsidRPr="00476171">
              <w:rPr>
                <w:noProof/>
                <w:lang w:val="de-DE"/>
              </w:rPr>
              <w:br/>
            </w:r>
            <w:r w:rsidRPr="00476171">
              <w:rPr>
                <w:rFonts w:ascii="Times New Roman" w:hAnsi="Times New Roman"/>
                <w:noProof/>
                <w:color w:val="FFFFFF"/>
                <w:sz w:val="20"/>
                <w:lang w:val="de-DE"/>
              </w:rPr>
              <w:t>[kt RÖE]</w:t>
            </w:r>
          </w:p>
        </w:tc>
        <w:tc>
          <w:tcPr>
            <w:tcW w:w="1196" w:type="dxa"/>
            <w:tcBorders>
              <w:top w:val="nil"/>
              <w:left w:val="nil"/>
              <w:bottom w:val="single" w:sz="4" w:space="0" w:color="FFFFFF"/>
              <w:right w:val="single" w:sz="4" w:space="0" w:color="FFFFFF"/>
            </w:tcBorders>
            <w:shd w:val="clear" w:color="000000" w:fill="1F497D"/>
            <w:vAlign w:val="center"/>
            <w:hideMark/>
          </w:tcPr>
          <w:p w14:paraId="059320D2" w14:textId="41115BDA"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Erzielte Einspa</w:t>
            </w:r>
            <w:r w:rsidR="00E83042">
              <w:rPr>
                <w:rFonts w:ascii="Times New Roman" w:hAnsi="Times New Roman"/>
                <w:noProof/>
                <w:color w:val="FFFFFF"/>
                <w:sz w:val="20"/>
                <w:lang w:val="de-DE"/>
              </w:rPr>
              <w:softHyphen/>
            </w:r>
            <w:r w:rsidRPr="00476171">
              <w:rPr>
                <w:rFonts w:ascii="Times New Roman" w:hAnsi="Times New Roman"/>
                <w:noProof/>
                <w:color w:val="FFFFFF"/>
                <w:sz w:val="20"/>
                <w:lang w:val="de-DE"/>
              </w:rPr>
              <w:t>rungen</w:t>
            </w:r>
            <w:r w:rsidRPr="00476171">
              <w:rPr>
                <w:noProof/>
                <w:lang w:val="de-DE"/>
              </w:rPr>
              <w:t xml:space="preserve"> </w:t>
            </w:r>
            <w:r w:rsidRPr="00476171">
              <w:rPr>
                <w:noProof/>
                <w:lang w:val="de-DE"/>
              </w:rPr>
              <w:cr/>
            </w:r>
            <w:r w:rsidRPr="00476171">
              <w:rPr>
                <w:noProof/>
                <w:lang w:val="de-DE"/>
              </w:rPr>
              <w:br/>
            </w:r>
            <w:r w:rsidRPr="00476171">
              <w:rPr>
                <w:rFonts w:ascii="Times New Roman" w:hAnsi="Times New Roman"/>
                <w:noProof/>
                <w:color w:val="FFFFFF"/>
                <w:sz w:val="20"/>
                <w:lang w:val="de-DE"/>
              </w:rPr>
              <w:t>[kt RÖE]</w:t>
            </w:r>
          </w:p>
        </w:tc>
        <w:tc>
          <w:tcPr>
            <w:tcW w:w="1326" w:type="dxa"/>
            <w:tcBorders>
              <w:top w:val="nil"/>
              <w:left w:val="nil"/>
              <w:bottom w:val="single" w:sz="4" w:space="0" w:color="FFFFFF"/>
              <w:right w:val="single" w:sz="4" w:space="0" w:color="FFFFFF"/>
            </w:tcBorders>
            <w:shd w:val="clear" w:color="000000" w:fill="1F497D"/>
            <w:vAlign w:val="center"/>
            <w:hideMark/>
          </w:tcPr>
          <w:p w14:paraId="785ED7FA" w14:textId="4E2CF6D2"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Im Jahr 2020 erzielte jährliche Verpflich</w:t>
            </w:r>
            <w:r w:rsidR="00E83042">
              <w:rPr>
                <w:rFonts w:ascii="Times New Roman" w:hAnsi="Times New Roman"/>
                <w:noProof/>
                <w:color w:val="FFFFFF"/>
                <w:sz w:val="20"/>
                <w:lang w:val="de-DE"/>
              </w:rPr>
              <w:softHyphen/>
            </w:r>
            <w:r w:rsidRPr="00476171">
              <w:rPr>
                <w:rFonts w:ascii="Times New Roman" w:hAnsi="Times New Roman"/>
                <w:noProof/>
                <w:color w:val="FFFFFF"/>
                <w:sz w:val="20"/>
                <w:lang w:val="de-DE"/>
              </w:rPr>
              <w:t>tung in Bezug auf Energieein</w:t>
            </w:r>
            <w:r w:rsidR="00E83042">
              <w:rPr>
                <w:rFonts w:ascii="Times New Roman" w:hAnsi="Times New Roman"/>
                <w:noProof/>
                <w:color w:val="FFFFFF"/>
                <w:sz w:val="20"/>
                <w:lang w:val="de-DE"/>
              </w:rPr>
              <w:softHyphen/>
            </w:r>
            <w:r w:rsidRPr="00476171">
              <w:rPr>
                <w:rFonts w:ascii="Times New Roman" w:hAnsi="Times New Roman"/>
                <w:noProof/>
                <w:color w:val="FFFFFF"/>
                <w:sz w:val="20"/>
                <w:lang w:val="de-DE"/>
              </w:rPr>
              <w:t>sparungen [%]</w:t>
            </w:r>
          </w:p>
        </w:tc>
        <w:tc>
          <w:tcPr>
            <w:tcW w:w="1327" w:type="dxa"/>
            <w:tcBorders>
              <w:top w:val="nil"/>
              <w:left w:val="nil"/>
              <w:bottom w:val="single" w:sz="4" w:space="0" w:color="FFFFFF"/>
              <w:right w:val="single" w:sz="4" w:space="0" w:color="FFFFFF"/>
            </w:tcBorders>
            <w:shd w:val="clear" w:color="000000" w:fill="1F497D"/>
            <w:vAlign w:val="center"/>
            <w:hideMark/>
          </w:tcPr>
          <w:p w14:paraId="69907ACB"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Summe der Einsparungen im Zeitraum 2014–2020</w:t>
            </w:r>
          </w:p>
        </w:tc>
        <w:tc>
          <w:tcPr>
            <w:tcW w:w="1327" w:type="dxa"/>
            <w:tcBorders>
              <w:top w:val="nil"/>
              <w:left w:val="nil"/>
              <w:bottom w:val="single" w:sz="4" w:space="0" w:color="FFFFFF"/>
              <w:right w:val="single" w:sz="4" w:space="0" w:color="FFFFFF"/>
            </w:tcBorders>
            <w:shd w:val="clear" w:color="000000" w:fill="1F497D"/>
            <w:vAlign w:val="center"/>
            <w:hideMark/>
          </w:tcPr>
          <w:p w14:paraId="66C3AA04" w14:textId="4BD5CE23" w:rsidR="00013A3D" w:rsidRPr="00476171" w:rsidRDefault="00013A3D" w:rsidP="00DC7EB3">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Renovierte Gesamt</w:t>
            </w:r>
            <w:r w:rsidR="00E83042">
              <w:rPr>
                <w:rFonts w:ascii="Times New Roman" w:hAnsi="Times New Roman"/>
                <w:noProof/>
                <w:color w:val="FFFFFF"/>
                <w:lang w:val="de-DE"/>
              </w:rPr>
              <w:softHyphen/>
            </w:r>
            <w:r w:rsidRPr="00476171">
              <w:rPr>
                <w:rFonts w:ascii="Times New Roman" w:hAnsi="Times New Roman"/>
                <w:noProof/>
                <w:color w:val="FFFFFF"/>
                <w:lang w:val="de-DE"/>
              </w:rPr>
              <w:t>fläche im Zeitraum 2014–2020</w:t>
            </w:r>
          </w:p>
        </w:tc>
        <w:tc>
          <w:tcPr>
            <w:tcW w:w="1327" w:type="dxa"/>
            <w:tcBorders>
              <w:top w:val="nil"/>
              <w:left w:val="nil"/>
              <w:bottom w:val="single" w:sz="4" w:space="0" w:color="FFFFFF"/>
              <w:right w:val="single" w:sz="4" w:space="0" w:color="FFFFFF"/>
            </w:tcBorders>
            <w:shd w:val="clear" w:color="000000" w:fill="1F497D"/>
            <w:vAlign w:val="center"/>
            <w:hideMark/>
          </w:tcPr>
          <w:p w14:paraId="7B5E4759" w14:textId="72847A87" w:rsidR="00013A3D" w:rsidRPr="00476171" w:rsidRDefault="00013A3D" w:rsidP="00DC7EB3">
            <w:pPr>
              <w:spacing w:after="0" w:line="240" w:lineRule="auto"/>
              <w:jc w:val="center"/>
              <w:rPr>
                <w:rFonts w:ascii="Times New Roman" w:eastAsia="Times New Roman" w:hAnsi="Times New Roman" w:cs="Times New Roman"/>
                <w:noProof/>
                <w:color w:val="FFFFFF"/>
                <w:lang w:val="de-DE"/>
              </w:rPr>
            </w:pPr>
            <w:r w:rsidRPr="00476171">
              <w:rPr>
                <w:rFonts w:ascii="Times New Roman" w:hAnsi="Times New Roman"/>
                <w:noProof/>
                <w:color w:val="FFFFFF"/>
                <w:lang w:val="de-DE"/>
              </w:rPr>
              <w:t>Im Zeitraum 2014–2020 erzielte Gesamtver</w:t>
            </w:r>
            <w:r w:rsidR="00E83042">
              <w:rPr>
                <w:rFonts w:ascii="Times New Roman" w:hAnsi="Times New Roman"/>
                <w:noProof/>
                <w:color w:val="FFFFFF"/>
                <w:lang w:val="de-DE"/>
              </w:rPr>
              <w:softHyphen/>
            </w:r>
            <w:r w:rsidRPr="00476171">
              <w:rPr>
                <w:rFonts w:ascii="Times New Roman" w:hAnsi="Times New Roman"/>
                <w:noProof/>
                <w:color w:val="FFFFFF"/>
                <w:lang w:val="de-DE"/>
              </w:rPr>
              <w:t>pflichtung in Bezug auf die Grundfläche [%]</w:t>
            </w:r>
          </w:p>
        </w:tc>
      </w:tr>
      <w:tr w:rsidR="002657AC" w:rsidRPr="00476171" w14:paraId="07ACE7EE" w14:textId="77777777" w:rsidTr="006B2352">
        <w:trPr>
          <w:trHeight w:val="283"/>
          <w:jc w:val="center"/>
        </w:trPr>
        <w:tc>
          <w:tcPr>
            <w:tcW w:w="1129" w:type="dxa"/>
            <w:tcBorders>
              <w:top w:val="nil"/>
              <w:left w:val="single" w:sz="4" w:space="0" w:color="FFFFFF"/>
              <w:bottom w:val="single" w:sz="4" w:space="0" w:color="FFFFFF"/>
              <w:right w:val="single" w:sz="4" w:space="0" w:color="FFFFFF"/>
            </w:tcBorders>
            <w:shd w:val="clear" w:color="000000" w:fill="1F497D"/>
            <w:noWrap/>
            <w:vAlign w:val="center"/>
            <w:hideMark/>
          </w:tcPr>
          <w:p w14:paraId="4A63737C"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AT</w:t>
            </w:r>
          </w:p>
        </w:tc>
        <w:tc>
          <w:tcPr>
            <w:tcW w:w="1326" w:type="dxa"/>
            <w:tcBorders>
              <w:top w:val="nil"/>
              <w:left w:val="nil"/>
              <w:bottom w:val="single" w:sz="4" w:space="0" w:color="FFFFFF"/>
              <w:right w:val="single" w:sz="4" w:space="0" w:color="FFFFFF"/>
            </w:tcBorders>
            <w:shd w:val="clear" w:color="000000" w:fill="C5D9F1"/>
            <w:noWrap/>
            <w:vAlign w:val="center"/>
            <w:hideMark/>
          </w:tcPr>
          <w:p w14:paraId="64523EE0"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68" w:type="dxa"/>
            <w:tcBorders>
              <w:top w:val="nil"/>
              <w:left w:val="nil"/>
              <w:bottom w:val="single" w:sz="4" w:space="0" w:color="FFFFFF"/>
              <w:right w:val="single" w:sz="4" w:space="0" w:color="FFFFFF"/>
            </w:tcBorders>
            <w:shd w:val="clear" w:color="000000" w:fill="C5D9F1"/>
            <w:noWrap/>
            <w:vAlign w:val="center"/>
            <w:hideMark/>
          </w:tcPr>
          <w:p w14:paraId="4243079E"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750 000</w:t>
            </w:r>
          </w:p>
        </w:tc>
        <w:tc>
          <w:tcPr>
            <w:tcW w:w="1417" w:type="dxa"/>
            <w:tcBorders>
              <w:top w:val="nil"/>
              <w:left w:val="nil"/>
              <w:bottom w:val="single" w:sz="4" w:space="0" w:color="FFFFFF"/>
              <w:right w:val="single" w:sz="4" w:space="0" w:color="FFFFFF"/>
            </w:tcBorders>
            <w:shd w:val="clear" w:color="000000" w:fill="C5D9F1"/>
            <w:noWrap/>
            <w:vAlign w:val="center"/>
            <w:hideMark/>
          </w:tcPr>
          <w:p w14:paraId="208815FC" w14:textId="6B9E696D"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0,15</w:t>
            </w:r>
          </w:p>
        </w:tc>
        <w:tc>
          <w:tcPr>
            <w:tcW w:w="1196" w:type="dxa"/>
            <w:tcBorders>
              <w:top w:val="nil"/>
              <w:left w:val="nil"/>
              <w:bottom w:val="single" w:sz="4" w:space="0" w:color="FFFFFF"/>
              <w:right w:val="single" w:sz="4" w:space="0" w:color="FFFFFF"/>
            </w:tcBorders>
            <w:shd w:val="clear" w:color="000000" w:fill="C5D9F1"/>
            <w:noWrap/>
            <w:vAlign w:val="center"/>
            <w:hideMark/>
          </w:tcPr>
          <w:p w14:paraId="1FC0395E" w14:textId="59EE1D35"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0,89</w:t>
            </w:r>
          </w:p>
        </w:tc>
        <w:tc>
          <w:tcPr>
            <w:tcW w:w="1326" w:type="dxa"/>
            <w:tcBorders>
              <w:top w:val="nil"/>
              <w:left w:val="nil"/>
              <w:bottom w:val="single" w:sz="4" w:space="0" w:color="FFFFFF"/>
              <w:right w:val="single" w:sz="4" w:space="0" w:color="FFFFFF"/>
            </w:tcBorders>
            <w:shd w:val="clear" w:color="000000" w:fill="C5D9F1"/>
            <w:noWrap/>
            <w:vAlign w:val="center"/>
            <w:hideMark/>
          </w:tcPr>
          <w:p w14:paraId="2C65964E" w14:textId="76A6BF35"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593,3 %</w:t>
            </w:r>
          </w:p>
        </w:tc>
        <w:tc>
          <w:tcPr>
            <w:tcW w:w="1327" w:type="dxa"/>
            <w:tcBorders>
              <w:top w:val="nil"/>
              <w:left w:val="nil"/>
              <w:bottom w:val="single" w:sz="4" w:space="0" w:color="FFFFFF"/>
              <w:right w:val="single" w:sz="4" w:space="0" w:color="FFFFFF"/>
            </w:tcBorders>
            <w:shd w:val="clear" w:color="000000" w:fill="C5D9F1"/>
            <w:noWrap/>
            <w:vAlign w:val="center"/>
            <w:hideMark/>
          </w:tcPr>
          <w:p w14:paraId="5043E8EE" w14:textId="565E0DC7"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4,90</w:t>
            </w:r>
          </w:p>
        </w:tc>
        <w:tc>
          <w:tcPr>
            <w:tcW w:w="1327" w:type="dxa"/>
            <w:tcBorders>
              <w:top w:val="nil"/>
              <w:left w:val="nil"/>
              <w:bottom w:val="single" w:sz="4" w:space="0" w:color="FFFFFF"/>
              <w:right w:val="single" w:sz="4" w:space="0" w:color="FFFFFF"/>
            </w:tcBorders>
            <w:shd w:val="clear" w:color="000000" w:fill="C5D9F1"/>
            <w:noWrap/>
            <w:vAlign w:val="center"/>
            <w:hideMark/>
          </w:tcPr>
          <w:p w14:paraId="584BCDF2"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27" w:type="dxa"/>
            <w:tcBorders>
              <w:top w:val="nil"/>
              <w:left w:val="nil"/>
              <w:bottom w:val="single" w:sz="4" w:space="0" w:color="FFFFFF"/>
              <w:right w:val="single" w:sz="4" w:space="0" w:color="FFFFFF"/>
            </w:tcBorders>
            <w:shd w:val="clear" w:color="000000" w:fill="C5D9F1"/>
            <w:noWrap/>
            <w:vAlign w:val="center"/>
            <w:hideMark/>
          </w:tcPr>
          <w:p w14:paraId="6F28B4CC" w14:textId="300C56DC"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478,9 %</w:t>
            </w:r>
          </w:p>
        </w:tc>
      </w:tr>
      <w:tr w:rsidR="002657AC" w:rsidRPr="00476171" w14:paraId="67288B85" w14:textId="77777777" w:rsidTr="006B2352">
        <w:trPr>
          <w:trHeight w:val="283"/>
          <w:jc w:val="center"/>
        </w:trPr>
        <w:tc>
          <w:tcPr>
            <w:tcW w:w="1129" w:type="dxa"/>
            <w:tcBorders>
              <w:top w:val="nil"/>
              <w:left w:val="single" w:sz="4" w:space="0" w:color="FFFFFF"/>
              <w:bottom w:val="single" w:sz="4" w:space="0" w:color="FFFFFF"/>
              <w:right w:val="single" w:sz="4" w:space="0" w:color="FFFFFF"/>
            </w:tcBorders>
            <w:shd w:val="clear" w:color="000000" w:fill="1F497D"/>
            <w:noWrap/>
            <w:vAlign w:val="center"/>
            <w:hideMark/>
          </w:tcPr>
          <w:p w14:paraId="0F4A45A5"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BE</w:t>
            </w:r>
          </w:p>
        </w:tc>
        <w:tc>
          <w:tcPr>
            <w:tcW w:w="1326" w:type="dxa"/>
            <w:tcBorders>
              <w:top w:val="nil"/>
              <w:left w:val="nil"/>
              <w:bottom w:val="single" w:sz="4" w:space="0" w:color="FFFFFF"/>
              <w:right w:val="single" w:sz="4" w:space="0" w:color="FFFFFF"/>
            </w:tcBorders>
            <w:shd w:val="clear" w:color="000000" w:fill="C5D9F1"/>
            <w:noWrap/>
            <w:vAlign w:val="center"/>
            <w:hideMark/>
          </w:tcPr>
          <w:p w14:paraId="2F5E768D"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68" w:type="dxa"/>
            <w:tcBorders>
              <w:top w:val="nil"/>
              <w:left w:val="nil"/>
              <w:bottom w:val="single" w:sz="4" w:space="0" w:color="FFFFFF"/>
              <w:right w:val="single" w:sz="4" w:space="0" w:color="FFFFFF"/>
            </w:tcBorders>
            <w:shd w:val="clear" w:color="000000" w:fill="C5D9F1"/>
            <w:noWrap/>
            <w:vAlign w:val="center"/>
            <w:hideMark/>
          </w:tcPr>
          <w:p w14:paraId="55F6CE1F"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417" w:type="dxa"/>
            <w:tcBorders>
              <w:top w:val="nil"/>
              <w:left w:val="nil"/>
              <w:bottom w:val="single" w:sz="4" w:space="0" w:color="FFFFFF"/>
              <w:right w:val="single" w:sz="4" w:space="0" w:color="FFFFFF"/>
            </w:tcBorders>
            <w:shd w:val="clear" w:color="000000" w:fill="C5D9F1"/>
            <w:noWrap/>
            <w:vAlign w:val="center"/>
            <w:hideMark/>
          </w:tcPr>
          <w:p w14:paraId="784E5F5D" w14:textId="35E82082"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0,11</w:t>
            </w:r>
          </w:p>
        </w:tc>
        <w:tc>
          <w:tcPr>
            <w:tcW w:w="1196" w:type="dxa"/>
            <w:tcBorders>
              <w:top w:val="nil"/>
              <w:left w:val="nil"/>
              <w:bottom w:val="single" w:sz="4" w:space="0" w:color="FFFFFF"/>
              <w:right w:val="single" w:sz="4" w:space="0" w:color="FFFFFF"/>
            </w:tcBorders>
            <w:shd w:val="clear" w:color="000000" w:fill="C5D9F1"/>
            <w:noWrap/>
            <w:vAlign w:val="center"/>
            <w:hideMark/>
          </w:tcPr>
          <w:p w14:paraId="71AD6666" w14:textId="3EED8F77"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1,13</w:t>
            </w:r>
          </w:p>
        </w:tc>
        <w:tc>
          <w:tcPr>
            <w:tcW w:w="1326" w:type="dxa"/>
            <w:tcBorders>
              <w:top w:val="nil"/>
              <w:left w:val="nil"/>
              <w:bottom w:val="single" w:sz="4" w:space="0" w:color="FFFFFF"/>
              <w:right w:val="single" w:sz="4" w:space="0" w:color="FFFFFF"/>
            </w:tcBorders>
            <w:shd w:val="clear" w:color="000000" w:fill="C5D9F1"/>
            <w:noWrap/>
            <w:vAlign w:val="center"/>
            <w:hideMark/>
          </w:tcPr>
          <w:p w14:paraId="243E3B63" w14:textId="3D458645" w:rsidR="00013A3D" w:rsidRPr="00476171" w:rsidRDefault="00013A3D"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1 054,8 %</w:t>
            </w:r>
          </w:p>
        </w:tc>
        <w:tc>
          <w:tcPr>
            <w:tcW w:w="1327" w:type="dxa"/>
            <w:tcBorders>
              <w:top w:val="nil"/>
              <w:left w:val="nil"/>
              <w:bottom w:val="single" w:sz="4" w:space="0" w:color="FFFFFF"/>
              <w:right w:val="single" w:sz="4" w:space="0" w:color="FFFFFF"/>
            </w:tcBorders>
            <w:shd w:val="clear" w:color="000000" w:fill="C5D9F1"/>
            <w:noWrap/>
            <w:vAlign w:val="center"/>
            <w:hideMark/>
          </w:tcPr>
          <w:p w14:paraId="027900D6" w14:textId="0BB7DAF2"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8,42</w:t>
            </w:r>
          </w:p>
        </w:tc>
        <w:tc>
          <w:tcPr>
            <w:tcW w:w="1327" w:type="dxa"/>
            <w:tcBorders>
              <w:top w:val="nil"/>
              <w:left w:val="nil"/>
              <w:bottom w:val="single" w:sz="4" w:space="0" w:color="FFFFFF"/>
              <w:right w:val="single" w:sz="4" w:space="0" w:color="FFFFFF"/>
            </w:tcBorders>
            <w:shd w:val="clear" w:color="000000" w:fill="C5D9F1"/>
            <w:noWrap/>
            <w:vAlign w:val="center"/>
            <w:hideMark/>
          </w:tcPr>
          <w:p w14:paraId="7721CA3C"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27" w:type="dxa"/>
            <w:tcBorders>
              <w:top w:val="nil"/>
              <w:left w:val="nil"/>
              <w:bottom w:val="single" w:sz="4" w:space="0" w:color="FFFFFF"/>
              <w:right w:val="single" w:sz="4" w:space="0" w:color="FFFFFF"/>
            </w:tcBorders>
            <w:shd w:val="clear" w:color="000000" w:fill="C5D9F1"/>
            <w:noWrap/>
            <w:vAlign w:val="center"/>
            <w:hideMark/>
          </w:tcPr>
          <w:p w14:paraId="66585E5A" w14:textId="39D33E45" w:rsidR="00013A3D" w:rsidRPr="00476171" w:rsidRDefault="00013A3D"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1 119,2 %</w:t>
            </w:r>
          </w:p>
        </w:tc>
      </w:tr>
      <w:tr w:rsidR="002657AC" w:rsidRPr="00476171" w14:paraId="282BA1FF" w14:textId="77777777" w:rsidTr="006B2352">
        <w:trPr>
          <w:trHeight w:val="283"/>
          <w:jc w:val="center"/>
        </w:trPr>
        <w:tc>
          <w:tcPr>
            <w:tcW w:w="1129" w:type="dxa"/>
            <w:tcBorders>
              <w:top w:val="nil"/>
              <w:left w:val="single" w:sz="4" w:space="0" w:color="FFFFFF"/>
              <w:bottom w:val="single" w:sz="4" w:space="0" w:color="FFFFFF"/>
              <w:right w:val="single" w:sz="4" w:space="0" w:color="FFFFFF"/>
            </w:tcBorders>
            <w:shd w:val="clear" w:color="000000" w:fill="1F497D"/>
            <w:noWrap/>
            <w:vAlign w:val="center"/>
            <w:hideMark/>
          </w:tcPr>
          <w:p w14:paraId="197D4B94"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CY</w:t>
            </w:r>
          </w:p>
        </w:tc>
        <w:tc>
          <w:tcPr>
            <w:tcW w:w="1326" w:type="dxa"/>
            <w:tcBorders>
              <w:top w:val="nil"/>
              <w:left w:val="nil"/>
              <w:bottom w:val="single" w:sz="4" w:space="0" w:color="FFFFFF"/>
              <w:right w:val="single" w:sz="4" w:space="0" w:color="FFFFFF"/>
            </w:tcBorders>
            <w:shd w:val="clear" w:color="000000" w:fill="C5D9F1"/>
            <w:noWrap/>
            <w:vAlign w:val="center"/>
            <w:hideMark/>
          </w:tcPr>
          <w:p w14:paraId="76C93392"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68" w:type="dxa"/>
            <w:tcBorders>
              <w:top w:val="nil"/>
              <w:left w:val="nil"/>
              <w:bottom w:val="single" w:sz="4" w:space="0" w:color="FFFFFF"/>
              <w:right w:val="single" w:sz="4" w:space="0" w:color="FFFFFF"/>
            </w:tcBorders>
            <w:shd w:val="clear" w:color="000000" w:fill="C5D9F1"/>
            <w:noWrap/>
            <w:vAlign w:val="center"/>
            <w:hideMark/>
          </w:tcPr>
          <w:p w14:paraId="1FCC5AD5"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417" w:type="dxa"/>
            <w:tcBorders>
              <w:top w:val="nil"/>
              <w:left w:val="nil"/>
              <w:bottom w:val="single" w:sz="4" w:space="0" w:color="FFFFFF"/>
              <w:right w:val="single" w:sz="4" w:space="0" w:color="FFFFFF"/>
            </w:tcBorders>
            <w:shd w:val="clear" w:color="000000" w:fill="C5D9F1"/>
            <w:noWrap/>
            <w:vAlign w:val="center"/>
            <w:hideMark/>
          </w:tcPr>
          <w:p w14:paraId="7DC55B57" w14:textId="377C9EB7"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0,11</w:t>
            </w:r>
          </w:p>
        </w:tc>
        <w:tc>
          <w:tcPr>
            <w:tcW w:w="1196" w:type="dxa"/>
            <w:tcBorders>
              <w:top w:val="nil"/>
              <w:left w:val="nil"/>
              <w:bottom w:val="single" w:sz="4" w:space="0" w:color="FFFFFF"/>
              <w:right w:val="single" w:sz="4" w:space="0" w:color="FFFFFF"/>
            </w:tcBorders>
            <w:shd w:val="clear" w:color="000000" w:fill="C5D9F1"/>
            <w:noWrap/>
            <w:vAlign w:val="center"/>
            <w:hideMark/>
          </w:tcPr>
          <w:p w14:paraId="174E2121" w14:textId="767A556B"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0,17</w:t>
            </w:r>
          </w:p>
        </w:tc>
        <w:tc>
          <w:tcPr>
            <w:tcW w:w="1326" w:type="dxa"/>
            <w:tcBorders>
              <w:top w:val="nil"/>
              <w:left w:val="nil"/>
              <w:bottom w:val="single" w:sz="4" w:space="0" w:color="FFFFFF"/>
              <w:right w:val="single" w:sz="4" w:space="0" w:color="FFFFFF"/>
            </w:tcBorders>
            <w:shd w:val="clear" w:color="000000" w:fill="C5D9F1"/>
            <w:noWrap/>
            <w:vAlign w:val="center"/>
            <w:hideMark/>
          </w:tcPr>
          <w:p w14:paraId="2B59A0AB" w14:textId="0C763308"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153,3 %</w:t>
            </w:r>
          </w:p>
        </w:tc>
        <w:tc>
          <w:tcPr>
            <w:tcW w:w="1327" w:type="dxa"/>
            <w:tcBorders>
              <w:top w:val="nil"/>
              <w:left w:val="nil"/>
              <w:bottom w:val="single" w:sz="4" w:space="0" w:color="FFFFFF"/>
              <w:right w:val="single" w:sz="4" w:space="0" w:color="FFFFFF"/>
            </w:tcBorders>
            <w:shd w:val="clear" w:color="000000" w:fill="C5D9F1"/>
            <w:noWrap/>
            <w:vAlign w:val="center"/>
            <w:hideMark/>
          </w:tcPr>
          <w:p w14:paraId="28758402" w14:textId="2C4DE26E"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1,78</w:t>
            </w:r>
          </w:p>
        </w:tc>
        <w:tc>
          <w:tcPr>
            <w:tcW w:w="1327" w:type="dxa"/>
            <w:tcBorders>
              <w:top w:val="nil"/>
              <w:left w:val="nil"/>
              <w:bottom w:val="single" w:sz="4" w:space="0" w:color="FFFFFF"/>
              <w:right w:val="single" w:sz="4" w:space="0" w:color="FFFFFF"/>
            </w:tcBorders>
            <w:shd w:val="clear" w:color="000000" w:fill="C5D9F1"/>
            <w:noWrap/>
            <w:vAlign w:val="center"/>
            <w:hideMark/>
          </w:tcPr>
          <w:p w14:paraId="3F5609EF"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27" w:type="dxa"/>
            <w:tcBorders>
              <w:top w:val="nil"/>
              <w:left w:val="nil"/>
              <w:bottom w:val="single" w:sz="4" w:space="0" w:color="FFFFFF"/>
              <w:right w:val="single" w:sz="4" w:space="0" w:color="FFFFFF"/>
            </w:tcBorders>
            <w:shd w:val="clear" w:color="000000" w:fill="C5D9F1"/>
            <w:noWrap/>
            <w:vAlign w:val="center"/>
            <w:hideMark/>
          </w:tcPr>
          <w:p w14:paraId="62C7DB0E" w14:textId="2C74FB45"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97,8 %</w:t>
            </w:r>
          </w:p>
        </w:tc>
      </w:tr>
      <w:tr w:rsidR="002657AC" w:rsidRPr="00476171" w14:paraId="49A4E948" w14:textId="77777777" w:rsidTr="006B2352">
        <w:trPr>
          <w:trHeight w:val="283"/>
          <w:jc w:val="center"/>
        </w:trPr>
        <w:tc>
          <w:tcPr>
            <w:tcW w:w="1129" w:type="dxa"/>
            <w:tcBorders>
              <w:top w:val="nil"/>
              <w:left w:val="single" w:sz="4" w:space="0" w:color="FFFFFF"/>
              <w:bottom w:val="single" w:sz="4" w:space="0" w:color="FFFFFF"/>
              <w:right w:val="single" w:sz="4" w:space="0" w:color="FFFFFF"/>
            </w:tcBorders>
            <w:shd w:val="clear" w:color="000000" w:fill="1F497D"/>
            <w:noWrap/>
            <w:vAlign w:val="center"/>
            <w:hideMark/>
          </w:tcPr>
          <w:p w14:paraId="2CF27B6B"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CZ</w:t>
            </w:r>
          </w:p>
        </w:tc>
        <w:tc>
          <w:tcPr>
            <w:tcW w:w="1326" w:type="dxa"/>
            <w:tcBorders>
              <w:top w:val="nil"/>
              <w:left w:val="nil"/>
              <w:bottom w:val="single" w:sz="4" w:space="0" w:color="FFFFFF"/>
              <w:right w:val="single" w:sz="4" w:space="0" w:color="FFFFFF"/>
            </w:tcBorders>
            <w:shd w:val="clear" w:color="000000" w:fill="C5D9F1"/>
            <w:noWrap/>
            <w:vAlign w:val="center"/>
            <w:hideMark/>
          </w:tcPr>
          <w:p w14:paraId="6D759228"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2 405 077</w:t>
            </w:r>
          </w:p>
        </w:tc>
        <w:tc>
          <w:tcPr>
            <w:tcW w:w="1368" w:type="dxa"/>
            <w:tcBorders>
              <w:top w:val="nil"/>
              <w:left w:val="nil"/>
              <w:bottom w:val="single" w:sz="4" w:space="0" w:color="FFFFFF"/>
              <w:right w:val="single" w:sz="4" w:space="0" w:color="FFFFFF"/>
            </w:tcBorders>
            <w:shd w:val="clear" w:color="000000" w:fill="C5D9F1"/>
            <w:noWrap/>
            <w:vAlign w:val="center"/>
            <w:hideMark/>
          </w:tcPr>
          <w:p w14:paraId="52750403"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1 599 209</w:t>
            </w:r>
          </w:p>
        </w:tc>
        <w:tc>
          <w:tcPr>
            <w:tcW w:w="1417" w:type="dxa"/>
            <w:tcBorders>
              <w:top w:val="nil"/>
              <w:left w:val="nil"/>
              <w:bottom w:val="single" w:sz="4" w:space="0" w:color="FFFFFF"/>
              <w:right w:val="single" w:sz="4" w:space="0" w:color="FFFFFF"/>
            </w:tcBorders>
            <w:shd w:val="clear" w:color="000000" w:fill="C5D9F1"/>
            <w:noWrap/>
            <w:vAlign w:val="center"/>
            <w:hideMark/>
          </w:tcPr>
          <w:p w14:paraId="6E27CE1D" w14:textId="39BAB86F"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0,49</w:t>
            </w:r>
          </w:p>
        </w:tc>
        <w:tc>
          <w:tcPr>
            <w:tcW w:w="1196" w:type="dxa"/>
            <w:tcBorders>
              <w:top w:val="nil"/>
              <w:left w:val="nil"/>
              <w:bottom w:val="single" w:sz="4" w:space="0" w:color="FFFFFF"/>
              <w:right w:val="single" w:sz="4" w:space="0" w:color="FFFFFF"/>
            </w:tcBorders>
            <w:shd w:val="clear" w:color="000000" w:fill="C5D9F1"/>
            <w:noWrap/>
            <w:vAlign w:val="center"/>
            <w:hideMark/>
          </w:tcPr>
          <w:p w14:paraId="081B2560" w14:textId="01483FFB" w:rsidR="00013A3D" w:rsidRPr="00476171" w:rsidRDefault="00013A3D"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0,60</w:t>
            </w:r>
          </w:p>
        </w:tc>
        <w:tc>
          <w:tcPr>
            <w:tcW w:w="1326" w:type="dxa"/>
            <w:tcBorders>
              <w:top w:val="nil"/>
              <w:left w:val="nil"/>
              <w:bottom w:val="single" w:sz="4" w:space="0" w:color="FFFFFF"/>
              <w:right w:val="single" w:sz="4" w:space="0" w:color="FFFFFF"/>
            </w:tcBorders>
            <w:shd w:val="clear" w:color="000000" w:fill="C5D9F1"/>
            <w:noWrap/>
            <w:vAlign w:val="center"/>
            <w:hideMark/>
          </w:tcPr>
          <w:p w14:paraId="14758AA7" w14:textId="77F66F83" w:rsidR="00013A3D" w:rsidRPr="00476171" w:rsidRDefault="00013A3D"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121,4 %</w:t>
            </w:r>
          </w:p>
        </w:tc>
        <w:tc>
          <w:tcPr>
            <w:tcW w:w="1327" w:type="dxa"/>
            <w:tcBorders>
              <w:top w:val="nil"/>
              <w:left w:val="nil"/>
              <w:bottom w:val="single" w:sz="4" w:space="0" w:color="FFFFFF"/>
              <w:right w:val="single" w:sz="4" w:space="0" w:color="FFFFFF"/>
            </w:tcBorders>
            <w:shd w:val="clear" w:color="000000" w:fill="C5D9F1"/>
            <w:noWrap/>
            <w:vAlign w:val="center"/>
            <w:hideMark/>
          </w:tcPr>
          <w:p w14:paraId="7C54D3AC" w14:textId="03EC25B8"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7,60</w:t>
            </w:r>
          </w:p>
        </w:tc>
        <w:tc>
          <w:tcPr>
            <w:tcW w:w="1327" w:type="dxa"/>
            <w:tcBorders>
              <w:top w:val="nil"/>
              <w:left w:val="nil"/>
              <w:bottom w:val="single" w:sz="4" w:space="0" w:color="FFFFFF"/>
              <w:right w:val="single" w:sz="4" w:space="0" w:color="FFFFFF"/>
            </w:tcBorders>
            <w:shd w:val="clear" w:color="000000" w:fill="C5D9F1"/>
            <w:noWrap/>
            <w:vAlign w:val="center"/>
            <w:hideMark/>
          </w:tcPr>
          <w:p w14:paraId="5D4977BA"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27" w:type="dxa"/>
            <w:tcBorders>
              <w:top w:val="nil"/>
              <w:left w:val="nil"/>
              <w:bottom w:val="single" w:sz="4" w:space="0" w:color="FFFFFF"/>
              <w:right w:val="single" w:sz="4" w:space="0" w:color="FFFFFF"/>
            </w:tcBorders>
            <w:shd w:val="clear" w:color="000000" w:fill="C5D9F1"/>
            <w:noWrap/>
            <w:vAlign w:val="center"/>
            <w:hideMark/>
          </w:tcPr>
          <w:p w14:paraId="6682F95A" w14:textId="715CCFEB" w:rsidR="00013A3D" w:rsidRPr="00476171" w:rsidRDefault="00013A3D"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219,6 %</w:t>
            </w:r>
          </w:p>
        </w:tc>
      </w:tr>
      <w:tr w:rsidR="002657AC" w:rsidRPr="00476171" w14:paraId="17FF78F3" w14:textId="77777777" w:rsidTr="006B2352">
        <w:trPr>
          <w:trHeight w:val="283"/>
          <w:jc w:val="center"/>
        </w:trPr>
        <w:tc>
          <w:tcPr>
            <w:tcW w:w="1129" w:type="dxa"/>
            <w:tcBorders>
              <w:top w:val="nil"/>
              <w:left w:val="single" w:sz="4" w:space="0" w:color="FFFFFF"/>
              <w:bottom w:val="single" w:sz="4" w:space="0" w:color="FFFFFF"/>
              <w:right w:val="single" w:sz="4" w:space="0" w:color="FFFFFF"/>
            </w:tcBorders>
            <w:shd w:val="clear" w:color="000000" w:fill="1F497D"/>
            <w:noWrap/>
            <w:vAlign w:val="center"/>
            <w:hideMark/>
          </w:tcPr>
          <w:p w14:paraId="56964519"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DE</w:t>
            </w:r>
          </w:p>
        </w:tc>
        <w:tc>
          <w:tcPr>
            <w:tcW w:w="1326" w:type="dxa"/>
            <w:tcBorders>
              <w:top w:val="nil"/>
              <w:left w:val="nil"/>
              <w:bottom w:val="single" w:sz="4" w:space="0" w:color="FFFFFF"/>
              <w:right w:val="single" w:sz="4" w:space="0" w:color="FFFFFF"/>
            </w:tcBorders>
            <w:shd w:val="clear" w:color="000000" w:fill="C5D9F1"/>
            <w:noWrap/>
            <w:vAlign w:val="center"/>
            <w:hideMark/>
          </w:tcPr>
          <w:p w14:paraId="5DE5B708"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2 900 000 (2019)</w:t>
            </w:r>
          </w:p>
        </w:tc>
        <w:tc>
          <w:tcPr>
            <w:tcW w:w="1368" w:type="dxa"/>
            <w:tcBorders>
              <w:top w:val="nil"/>
              <w:left w:val="nil"/>
              <w:bottom w:val="single" w:sz="4" w:space="0" w:color="FFFFFF"/>
              <w:right w:val="single" w:sz="4" w:space="0" w:color="FFFFFF"/>
            </w:tcBorders>
            <w:shd w:val="clear" w:color="000000" w:fill="C5D9F1"/>
            <w:noWrap/>
            <w:vAlign w:val="center"/>
            <w:hideMark/>
          </w:tcPr>
          <w:p w14:paraId="50AB9DC6"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417" w:type="dxa"/>
            <w:tcBorders>
              <w:top w:val="nil"/>
              <w:left w:val="nil"/>
              <w:bottom w:val="single" w:sz="4" w:space="0" w:color="FFFFFF"/>
              <w:right w:val="single" w:sz="4" w:space="0" w:color="FFFFFF"/>
            </w:tcBorders>
            <w:shd w:val="clear" w:color="000000" w:fill="C5D9F1"/>
            <w:noWrap/>
            <w:vAlign w:val="center"/>
            <w:hideMark/>
          </w:tcPr>
          <w:p w14:paraId="62D09609" w14:textId="479467DB"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0,61 (2019)</w:t>
            </w:r>
          </w:p>
        </w:tc>
        <w:tc>
          <w:tcPr>
            <w:tcW w:w="1196" w:type="dxa"/>
            <w:tcBorders>
              <w:top w:val="nil"/>
              <w:left w:val="nil"/>
              <w:bottom w:val="single" w:sz="4" w:space="0" w:color="FFFFFF"/>
              <w:right w:val="single" w:sz="4" w:space="0" w:color="FFFFFF"/>
            </w:tcBorders>
            <w:shd w:val="clear" w:color="000000" w:fill="C5D9F1"/>
            <w:noWrap/>
            <w:vAlign w:val="center"/>
            <w:hideMark/>
          </w:tcPr>
          <w:p w14:paraId="7718C0B1" w14:textId="50E0DFDA" w:rsidR="00013A3D" w:rsidRPr="00476171" w:rsidRDefault="00013A3D"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5,58 (2019)</w:t>
            </w:r>
          </w:p>
        </w:tc>
        <w:tc>
          <w:tcPr>
            <w:tcW w:w="1326" w:type="dxa"/>
            <w:tcBorders>
              <w:top w:val="nil"/>
              <w:left w:val="nil"/>
              <w:bottom w:val="single" w:sz="4" w:space="0" w:color="FFFFFF"/>
              <w:right w:val="single" w:sz="4" w:space="0" w:color="FFFFFF"/>
            </w:tcBorders>
            <w:shd w:val="clear" w:color="000000" w:fill="C5D9F1"/>
            <w:noWrap/>
            <w:vAlign w:val="center"/>
            <w:hideMark/>
          </w:tcPr>
          <w:p w14:paraId="0BA535F3"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909 % (2019)</w:t>
            </w:r>
          </w:p>
        </w:tc>
        <w:tc>
          <w:tcPr>
            <w:tcW w:w="1327" w:type="dxa"/>
            <w:tcBorders>
              <w:top w:val="nil"/>
              <w:left w:val="nil"/>
              <w:bottom w:val="single" w:sz="4" w:space="0" w:color="FFFFFF"/>
              <w:right w:val="single" w:sz="4" w:space="0" w:color="FFFFFF"/>
            </w:tcBorders>
            <w:shd w:val="clear" w:color="000000" w:fill="C5D9F1"/>
            <w:noWrap/>
            <w:vAlign w:val="center"/>
            <w:hideMark/>
          </w:tcPr>
          <w:p w14:paraId="5C135144" w14:textId="5FA67F04"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83,996 (2014–2019)</w:t>
            </w:r>
          </w:p>
        </w:tc>
        <w:tc>
          <w:tcPr>
            <w:tcW w:w="1327" w:type="dxa"/>
            <w:tcBorders>
              <w:top w:val="nil"/>
              <w:left w:val="nil"/>
              <w:bottom w:val="single" w:sz="4" w:space="0" w:color="FFFFFF"/>
              <w:right w:val="single" w:sz="4" w:space="0" w:color="FFFFFF"/>
            </w:tcBorders>
            <w:shd w:val="clear" w:color="000000" w:fill="C5D9F1"/>
            <w:noWrap/>
            <w:vAlign w:val="center"/>
            <w:hideMark/>
          </w:tcPr>
          <w:p w14:paraId="6C217B10"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27" w:type="dxa"/>
            <w:tcBorders>
              <w:top w:val="nil"/>
              <w:left w:val="nil"/>
              <w:bottom w:val="single" w:sz="4" w:space="0" w:color="FFFFFF"/>
              <w:right w:val="single" w:sz="4" w:space="0" w:color="FFFFFF"/>
            </w:tcBorders>
            <w:shd w:val="clear" w:color="000000" w:fill="C5D9F1"/>
            <w:noWrap/>
            <w:vAlign w:val="center"/>
            <w:hideMark/>
          </w:tcPr>
          <w:p w14:paraId="5B7AFB17"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2 128 % (2014–2019)</w:t>
            </w:r>
          </w:p>
        </w:tc>
      </w:tr>
      <w:tr w:rsidR="002657AC" w:rsidRPr="00476171" w14:paraId="020BBA09" w14:textId="77777777" w:rsidTr="006B2352">
        <w:trPr>
          <w:trHeight w:val="283"/>
          <w:jc w:val="center"/>
        </w:trPr>
        <w:tc>
          <w:tcPr>
            <w:tcW w:w="1129" w:type="dxa"/>
            <w:tcBorders>
              <w:top w:val="nil"/>
              <w:left w:val="single" w:sz="4" w:space="0" w:color="FFFFFF"/>
              <w:bottom w:val="single" w:sz="4" w:space="0" w:color="FFFFFF"/>
              <w:right w:val="single" w:sz="4" w:space="0" w:color="FFFFFF"/>
            </w:tcBorders>
            <w:shd w:val="clear" w:color="000000" w:fill="1F497D"/>
            <w:noWrap/>
            <w:vAlign w:val="center"/>
            <w:hideMark/>
          </w:tcPr>
          <w:p w14:paraId="3ECFC2B7"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DK</w:t>
            </w:r>
          </w:p>
        </w:tc>
        <w:tc>
          <w:tcPr>
            <w:tcW w:w="1326" w:type="dxa"/>
            <w:tcBorders>
              <w:top w:val="nil"/>
              <w:left w:val="nil"/>
              <w:bottom w:val="single" w:sz="4" w:space="0" w:color="FFFFFF"/>
              <w:right w:val="single" w:sz="4" w:space="0" w:color="FFFFFF"/>
            </w:tcBorders>
            <w:shd w:val="clear" w:color="000000" w:fill="C5D9F1"/>
            <w:noWrap/>
            <w:vAlign w:val="center"/>
            <w:hideMark/>
          </w:tcPr>
          <w:p w14:paraId="436DC869"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68" w:type="dxa"/>
            <w:tcBorders>
              <w:top w:val="nil"/>
              <w:left w:val="nil"/>
              <w:bottom w:val="single" w:sz="4" w:space="0" w:color="FFFFFF"/>
              <w:right w:val="single" w:sz="4" w:space="0" w:color="FFFFFF"/>
            </w:tcBorders>
            <w:shd w:val="clear" w:color="000000" w:fill="C5D9F1"/>
            <w:noWrap/>
            <w:vAlign w:val="center"/>
            <w:hideMark/>
          </w:tcPr>
          <w:p w14:paraId="65AE4D7E"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988 782</w:t>
            </w:r>
          </w:p>
        </w:tc>
        <w:tc>
          <w:tcPr>
            <w:tcW w:w="1417" w:type="dxa"/>
            <w:tcBorders>
              <w:top w:val="nil"/>
              <w:left w:val="nil"/>
              <w:bottom w:val="single" w:sz="4" w:space="0" w:color="FFFFFF"/>
              <w:right w:val="single" w:sz="4" w:space="0" w:color="FFFFFF"/>
            </w:tcBorders>
            <w:shd w:val="clear" w:color="000000" w:fill="C5D9F1"/>
            <w:noWrap/>
            <w:vAlign w:val="center"/>
            <w:hideMark/>
          </w:tcPr>
          <w:p w14:paraId="6ADFC372" w14:textId="70537AF0"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0,38</w:t>
            </w:r>
          </w:p>
        </w:tc>
        <w:tc>
          <w:tcPr>
            <w:tcW w:w="1196" w:type="dxa"/>
            <w:tcBorders>
              <w:top w:val="nil"/>
              <w:left w:val="nil"/>
              <w:bottom w:val="single" w:sz="4" w:space="0" w:color="FFFFFF"/>
              <w:right w:val="single" w:sz="4" w:space="0" w:color="FFFFFF"/>
            </w:tcBorders>
            <w:shd w:val="clear" w:color="000000" w:fill="C5D9F1"/>
            <w:noWrap/>
            <w:vAlign w:val="center"/>
            <w:hideMark/>
          </w:tcPr>
          <w:p w14:paraId="2559E31A" w14:textId="69D38D4F"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0,80</w:t>
            </w:r>
          </w:p>
        </w:tc>
        <w:tc>
          <w:tcPr>
            <w:tcW w:w="1326" w:type="dxa"/>
            <w:tcBorders>
              <w:top w:val="nil"/>
              <w:left w:val="nil"/>
              <w:bottom w:val="single" w:sz="4" w:space="0" w:color="FFFFFF"/>
              <w:right w:val="single" w:sz="4" w:space="0" w:color="FFFFFF"/>
            </w:tcBorders>
            <w:shd w:val="clear" w:color="000000" w:fill="C5D9F1"/>
            <w:noWrap/>
            <w:vAlign w:val="center"/>
            <w:hideMark/>
          </w:tcPr>
          <w:p w14:paraId="046A2B80" w14:textId="0FCC820D"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210,5 %</w:t>
            </w:r>
          </w:p>
        </w:tc>
        <w:tc>
          <w:tcPr>
            <w:tcW w:w="1327" w:type="dxa"/>
            <w:tcBorders>
              <w:top w:val="nil"/>
              <w:left w:val="nil"/>
              <w:bottom w:val="single" w:sz="4" w:space="0" w:color="FFFFFF"/>
              <w:right w:val="single" w:sz="4" w:space="0" w:color="FFFFFF"/>
            </w:tcBorders>
            <w:shd w:val="clear" w:color="000000" w:fill="C5D9F1"/>
            <w:noWrap/>
            <w:vAlign w:val="center"/>
            <w:hideMark/>
          </w:tcPr>
          <w:p w14:paraId="781372D0" w14:textId="577C469A"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4,20</w:t>
            </w:r>
          </w:p>
        </w:tc>
        <w:tc>
          <w:tcPr>
            <w:tcW w:w="1327" w:type="dxa"/>
            <w:tcBorders>
              <w:top w:val="nil"/>
              <w:left w:val="nil"/>
              <w:bottom w:val="single" w:sz="4" w:space="0" w:color="FFFFFF"/>
              <w:right w:val="single" w:sz="4" w:space="0" w:color="FFFFFF"/>
            </w:tcBorders>
            <w:shd w:val="clear" w:color="000000" w:fill="C5D9F1"/>
            <w:noWrap/>
            <w:vAlign w:val="center"/>
            <w:hideMark/>
          </w:tcPr>
          <w:p w14:paraId="1D2880F0"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27" w:type="dxa"/>
            <w:tcBorders>
              <w:top w:val="nil"/>
              <w:left w:val="nil"/>
              <w:bottom w:val="single" w:sz="4" w:space="0" w:color="FFFFFF"/>
              <w:right w:val="single" w:sz="4" w:space="0" w:color="FFFFFF"/>
            </w:tcBorders>
            <w:shd w:val="clear" w:color="000000" w:fill="C5D9F1"/>
            <w:noWrap/>
            <w:vAlign w:val="center"/>
            <w:hideMark/>
          </w:tcPr>
          <w:p w14:paraId="35E735E7" w14:textId="0111C752"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157,9 %</w:t>
            </w:r>
          </w:p>
        </w:tc>
      </w:tr>
      <w:tr w:rsidR="002657AC" w:rsidRPr="00476171" w14:paraId="533780E7" w14:textId="77777777" w:rsidTr="006B2352">
        <w:trPr>
          <w:trHeight w:val="283"/>
          <w:jc w:val="center"/>
        </w:trPr>
        <w:tc>
          <w:tcPr>
            <w:tcW w:w="1129" w:type="dxa"/>
            <w:tcBorders>
              <w:top w:val="nil"/>
              <w:left w:val="single" w:sz="4" w:space="0" w:color="FFFFFF"/>
              <w:bottom w:val="single" w:sz="4" w:space="0" w:color="FFFFFF"/>
              <w:right w:val="single" w:sz="4" w:space="0" w:color="FFFFFF"/>
            </w:tcBorders>
            <w:shd w:val="clear" w:color="000000" w:fill="1F497D"/>
            <w:noWrap/>
            <w:vAlign w:val="center"/>
            <w:hideMark/>
          </w:tcPr>
          <w:p w14:paraId="16EC99F4"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FI</w:t>
            </w:r>
          </w:p>
        </w:tc>
        <w:tc>
          <w:tcPr>
            <w:tcW w:w="1326" w:type="dxa"/>
            <w:tcBorders>
              <w:top w:val="nil"/>
              <w:left w:val="nil"/>
              <w:bottom w:val="single" w:sz="4" w:space="0" w:color="FFFFFF"/>
              <w:right w:val="single" w:sz="4" w:space="0" w:color="FFFFFF"/>
            </w:tcBorders>
            <w:shd w:val="clear" w:color="000000" w:fill="C5D9F1"/>
            <w:noWrap/>
            <w:vAlign w:val="center"/>
            <w:hideMark/>
          </w:tcPr>
          <w:p w14:paraId="0DDADF57"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68" w:type="dxa"/>
            <w:tcBorders>
              <w:top w:val="nil"/>
              <w:left w:val="nil"/>
              <w:bottom w:val="single" w:sz="4" w:space="0" w:color="FFFFFF"/>
              <w:right w:val="single" w:sz="4" w:space="0" w:color="FFFFFF"/>
            </w:tcBorders>
            <w:shd w:val="clear" w:color="000000" w:fill="C5D9F1"/>
            <w:noWrap/>
            <w:vAlign w:val="center"/>
            <w:hideMark/>
          </w:tcPr>
          <w:p w14:paraId="20B6D1D7"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2 195 943</w:t>
            </w:r>
          </w:p>
        </w:tc>
        <w:tc>
          <w:tcPr>
            <w:tcW w:w="1417" w:type="dxa"/>
            <w:tcBorders>
              <w:top w:val="nil"/>
              <w:left w:val="nil"/>
              <w:bottom w:val="single" w:sz="4" w:space="0" w:color="FFFFFF"/>
              <w:right w:val="single" w:sz="4" w:space="0" w:color="FFFFFF"/>
            </w:tcBorders>
            <w:shd w:val="clear" w:color="000000" w:fill="C5D9F1"/>
            <w:noWrap/>
            <w:vAlign w:val="center"/>
            <w:hideMark/>
          </w:tcPr>
          <w:p w14:paraId="209CF8A7" w14:textId="3885A40D"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0,09</w:t>
            </w:r>
          </w:p>
        </w:tc>
        <w:tc>
          <w:tcPr>
            <w:tcW w:w="1196" w:type="dxa"/>
            <w:tcBorders>
              <w:top w:val="nil"/>
              <w:left w:val="nil"/>
              <w:bottom w:val="single" w:sz="4" w:space="0" w:color="FFFFFF"/>
              <w:right w:val="single" w:sz="4" w:space="0" w:color="FFFFFF"/>
            </w:tcBorders>
            <w:shd w:val="clear" w:color="000000" w:fill="C5D9F1"/>
            <w:noWrap/>
            <w:vAlign w:val="center"/>
            <w:hideMark/>
          </w:tcPr>
          <w:p w14:paraId="40FBE673" w14:textId="51E93E6F"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0,14</w:t>
            </w:r>
          </w:p>
        </w:tc>
        <w:tc>
          <w:tcPr>
            <w:tcW w:w="1326" w:type="dxa"/>
            <w:tcBorders>
              <w:top w:val="nil"/>
              <w:left w:val="nil"/>
              <w:bottom w:val="single" w:sz="4" w:space="0" w:color="FFFFFF"/>
              <w:right w:val="single" w:sz="4" w:space="0" w:color="FFFFFF"/>
            </w:tcBorders>
            <w:shd w:val="clear" w:color="000000" w:fill="C5D9F1"/>
            <w:noWrap/>
            <w:vAlign w:val="center"/>
            <w:hideMark/>
          </w:tcPr>
          <w:p w14:paraId="1AC4A412" w14:textId="53DA250A"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156,4 %</w:t>
            </w:r>
          </w:p>
        </w:tc>
        <w:tc>
          <w:tcPr>
            <w:tcW w:w="1327" w:type="dxa"/>
            <w:tcBorders>
              <w:top w:val="nil"/>
              <w:left w:val="nil"/>
              <w:bottom w:val="single" w:sz="4" w:space="0" w:color="FFFFFF"/>
              <w:right w:val="single" w:sz="4" w:space="0" w:color="FFFFFF"/>
            </w:tcBorders>
            <w:shd w:val="clear" w:color="000000" w:fill="C5D9F1"/>
            <w:noWrap/>
            <w:vAlign w:val="center"/>
            <w:hideMark/>
          </w:tcPr>
          <w:p w14:paraId="04D6F54C" w14:textId="6420FDC5"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1,55</w:t>
            </w:r>
          </w:p>
        </w:tc>
        <w:tc>
          <w:tcPr>
            <w:tcW w:w="1327" w:type="dxa"/>
            <w:tcBorders>
              <w:top w:val="nil"/>
              <w:left w:val="nil"/>
              <w:bottom w:val="single" w:sz="4" w:space="0" w:color="FFFFFF"/>
              <w:right w:val="single" w:sz="4" w:space="0" w:color="FFFFFF"/>
            </w:tcBorders>
            <w:shd w:val="clear" w:color="000000" w:fill="C5D9F1"/>
            <w:noWrap/>
            <w:vAlign w:val="center"/>
            <w:hideMark/>
          </w:tcPr>
          <w:p w14:paraId="458D2546"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27" w:type="dxa"/>
            <w:tcBorders>
              <w:top w:val="nil"/>
              <w:left w:val="nil"/>
              <w:bottom w:val="single" w:sz="4" w:space="0" w:color="FFFFFF"/>
              <w:right w:val="single" w:sz="4" w:space="0" w:color="FFFFFF"/>
            </w:tcBorders>
            <w:shd w:val="clear" w:color="000000" w:fill="C5D9F1"/>
            <w:noWrap/>
            <w:vAlign w:val="center"/>
            <w:hideMark/>
          </w:tcPr>
          <w:p w14:paraId="52DBBEE7" w14:textId="462ACE8F"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206,1 %</w:t>
            </w:r>
          </w:p>
        </w:tc>
      </w:tr>
      <w:tr w:rsidR="002657AC" w:rsidRPr="00476171" w14:paraId="741ADBC6" w14:textId="77777777" w:rsidTr="006B2352">
        <w:trPr>
          <w:trHeight w:val="283"/>
          <w:jc w:val="center"/>
        </w:trPr>
        <w:tc>
          <w:tcPr>
            <w:tcW w:w="1129" w:type="dxa"/>
            <w:tcBorders>
              <w:top w:val="nil"/>
              <w:left w:val="single" w:sz="4" w:space="0" w:color="FFFFFF"/>
              <w:bottom w:val="single" w:sz="4" w:space="0" w:color="FFFFFF"/>
              <w:right w:val="single" w:sz="4" w:space="0" w:color="FFFFFF"/>
            </w:tcBorders>
            <w:shd w:val="clear" w:color="000000" w:fill="1F497D"/>
            <w:noWrap/>
            <w:vAlign w:val="center"/>
            <w:hideMark/>
          </w:tcPr>
          <w:p w14:paraId="135907B8"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FR</w:t>
            </w:r>
          </w:p>
        </w:tc>
        <w:tc>
          <w:tcPr>
            <w:tcW w:w="1326" w:type="dxa"/>
            <w:tcBorders>
              <w:top w:val="nil"/>
              <w:left w:val="nil"/>
              <w:bottom w:val="single" w:sz="4" w:space="0" w:color="FFFFFF"/>
              <w:right w:val="single" w:sz="4" w:space="0" w:color="FFFFFF"/>
            </w:tcBorders>
            <w:shd w:val="clear" w:color="000000" w:fill="C5D9F1"/>
            <w:noWrap/>
            <w:vAlign w:val="center"/>
            <w:hideMark/>
          </w:tcPr>
          <w:p w14:paraId="5989E39A"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68" w:type="dxa"/>
            <w:tcBorders>
              <w:top w:val="nil"/>
              <w:left w:val="nil"/>
              <w:bottom w:val="single" w:sz="4" w:space="0" w:color="FFFFFF"/>
              <w:right w:val="single" w:sz="4" w:space="0" w:color="FFFFFF"/>
            </w:tcBorders>
            <w:shd w:val="clear" w:color="000000" w:fill="C5D9F1"/>
            <w:noWrap/>
            <w:vAlign w:val="center"/>
            <w:hideMark/>
          </w:tcPr>
          <w:p w14:paraId="19ED68E8"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22 200 000</w:t>
            </w:r>
          </w:p>
        </w:tc>
        <w:tc>
          <w:tcPr>
            <w:tcW w:w="1417" w:type="dxa"/>
            <w:tcBorders>
              <w:top w:val="nil"/>
              <w:left w:val="nil"/>
              <w:bottom w:val="single" w:sz="4" w:space="0" w:color="FFFFFF"/>
              <w:right w:val="single" w:sz="4" w:space="0" w:color="FFFFFF"/>
            </w:tcBorders>
            <w:shd w:val="clear" w:color="000000" w:fill="C5D9F1"/>
            <w:noWrap/>
            <w:vAlign w:val="center"/>
            <w:hideMark/>
          </w:tcPr>
          <w:p w14:paraId="43DE5D94" w14:textId="5E657C4B" w:rsidR="00013A3D" w:rsidRPr="00476171" w:rsidRDefault="00013A3D"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35,55</w:t>
            </w:r>
          </w:p>
        </w:tc>
        <w:tc>
          <w:tcPr>
            <w:tcW w:w="1196" w:type="dxa"/>
            <w:tcBorders>
              <w:top w:val="nil"/>
              <w:left w:val="nil"/>
              <w:bottom w:val="single" w:sz="4" w:space="0" w:color="FFFFFF"/>
              <w:right w:val="single" w:sz="4" w:space="0" w:color="FFFFFF"/>
            </w:tcBorders>
            <w:shd w:val="clear" w:color="000000" w:fill="C5D9F1"/>
            <w:noWrap/>
            <w:vAlign w:val="center"/>
            <w:hideMark/>
          </w:tcPr>
          <w:p w14:paraId="44B8D3AD" w14:textId="73B541D1" w:rsidR="00013A3D" w:rsidRPr="00476171" w:rsidRDefault="00013A3D"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98,02</w:t>
            </w:r>
          </w:p>
        </w:tc>
        <w:tc>
          <w:tcPr>
            <w:tcW w:w="1326" w:type="dxa"/>
            <w:tcBorders>
              <w:top w:val="nil"/>
              <w:left w:val="nil"/>
              <w:bottom w:val="single" w:sz="4" w:space="0" w:color="FFFFFF"/>
              <w:right w:val="single" w:sz="4" w:space="0" w:color="FFFFFF"/>
            </w:tcBorders>
            <w:shd w:val="clear" w:color="000000" w:fill="C5D9F1"/>
            <w:noWrap/>
            <w:vAlign w:val="center"/>
            <w:hideMark/>
          </w:tcPr>
          <w:p w14:paraId="019D76AF" w14:textId="7783A646"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275,7 %</w:t>
            </w:r>
          </w:p>
        </w:tc>
        <w:tc>
          <w:tcPr>
            <w:tcW w:w="1327" w:type="dxa"/>
            <w:tcBorders>
              <w:top w:val="nil"/>
              <w:left w:val="nil"/>
              <w:bottom w:val="single" w:sz="4" w:space="0" w:color="FFFFFF"/>
              <w:right w:val="single" w:sz="4" w:space="0" w:color="FFFFFF"/>
            </w:tcBorders>
            <w:shd w:val="clear" w:color="000000" w:fill="C5D9F1"/>
            <w:noWrap/>
            <w:vAlign w:val="center"/>
            <w:hideMark/>
          </w:tcPr>
          <w:p w14:paraId="10DEBB18" w14:textId="2AEFB6A4" w:rsidR="00013A3D" w:rsidRPr="00476171" w:rsidRDefault="00013A3D"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764,40</w:t>
            </w:r>
          </w:p>
        </w:tc>
        <w:tc>
          <w:tcPr>
            <w:tcW w:w="1327" w:type="dxa"/>
            <w:tcBorders>
              <w:top w:val="nil"/>
              <w:left w:val="nil"/>
              <w:bottom w:val="single" w:sz="4" w:space="0" w:color="FFFFFF"/>
              <w:right w:val="single" w:sz="4" w:space="0" w:color="FFFFFF"/>
            </w:tcBorders>
            <w:shd w:val="clear" w:color="000000" w:fill="C5D9F1"/>
            <w:noWrap/>
            <w:vAlign w:val="center"/>
            <w:hideMark/>
          </w:tcPr>
          <w:p w14:paraId="4BBC3EF1"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27" w:type="dxa"/>
            <w:tcBorders>
              <w:top w:val="nil"/>
              <w:left w:val="nil"/>
              <w:bottom w:val="single" w:sz="4" w:space="0" w:color="FFFFFF"/>
              <w:right w:val="single" w:sz="4" w:space="0" w:color="FFFFFF"/>
            </w:tcBorders>
            <w:shd w:val="clear" w:color="000000" w:fill="C5D9F1"/>
            <w:noWrap/>
            <w:vAlign w:val="center"/>
            <w:hideMark/>
          </w:tcPr>
          <w:p w14:paraId="0FC783E0" w14:textId="4649A2D2"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307,2 %</w:t>
            </w:r>
          </w:p>
        </w:tc>
      </w:tr>
      <w:tr w:rsidR="002657AC" w:rsidRPr="00476171" w14:paraId="19FAEC31" w14:textId="77777777" w:rsidTr="006B2352">
        <w:trPr>
          <w:trHeight w:val="283"/>
          <w:jc w:val="center"/>
        </w:trPr>
        <w:tc>
          <w:tcPr>
            <w:tcW w:w="1129" w:type="dxa"/>
            <w:tcBorders>
              <w:top w:val="nil"/>
              <w:left w:val="single" w:sz="4" w:space="0" w:color="FFFFFF"/>
              <w:bottom w:val="single" w:sz="4" w:space="0" w:color="FFFFFF"/>
              <w:right w:val="single" w:sz="4" w:space="0" w:color="FFFFFF"/>
            </w:tcBorders>
            <w:shd w:val="clear" w:color="000000" w:fill="1F497D"/>
            <w:noWrap/>
            <w:vAlign w:val="center"/>
            <w:hideMark/>
          </w:tcPr>
          <w:p w14:paraId="456E2BFF"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HR</w:t>
            </w:r>
          </w:p>
        </w:tc>
        <w:tc>
          <w:tcPr>
            <w:tcW w:w="1326" w:type="dxa"/>
            <w:tcBorders>
              <w:top w:val="nil"/>
              <w:left w:val="nil"/>
              <w:bottom w:val="single" w:sz="4" w:space="0" w:color="FFFFFF"/>
              <w:right w:val="single" w:sz="4" w:space="0" w:color="FFFFFF"/>
            </w:tcBorders>
            <w:shd w:val="clear" w:color="000000" w:fill="C5D9F1"/>
            <w:noWrap/>
            <w:vAlign w:val="center"/>
            <w:hideMark/>
          </w:tcPr>
          <w:p w14:paraId="2E9AB339"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68" w:type="dxa"/>
            <w:tcBorders>
              <w:top w:val="nil"/>
              <w:left w:val="nil"/>
              <w:bottom w:val="single" w:sz="4" w:space="0" w:color="FFFFFF"/>
              <w:right w:val="single" w:sz="4" w:space="0" w:color="FFFFFF"/>
            </w:tcBorders>
            <w:shd w:val="clear" w:color="000000" w:fill="C5D9F1"/>
            <w:noWrap/>
            <w:vAlign w:val="center"/>
            <w:hideMark/>
          </w:tcPr>
          <w:p w14:paraId="7FDA6686"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417" w:type="dxa"/>
            <w:tcBorders>
              <w:top w:val="nil"/>
              <w:left w:val="nil"/>
              <w:bottom w:val="single" w:sz="4" w:space="0" w:color="FFFFFF"/>
              <w:right w:val="single" w:sz="4" w:space="0" w:color="FFFFFF"/>
            </w:tcBorders>
            <w:shd w:val="clear" w:color="000000" w:fill="C5D9F1"/>
            <w:noWrap/>
            <w:vAlign w:val="center"/>
            <w:hideMark/>
          </w:tcPr>
          <w:p w14:paraId="789C1431" w14:textId="10A85E60"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0,12</w:t>
            </w:r>
          </w:p>
        </w:tc>
        <w:tc>
          <w:tcPr>
            <w:tcW w:w="1196" w:type="dxa"/>
            <w:tcBorders>
              <w:top w:val="nil"/>
              <w:left w:val="nil"/>
              <w:bottom w:val="single" w:sz="4" w:space="0" w:color="FFFFFF"/>
              <w:right w:val="single" w:sz="4" w:space="0" w:color="FFFFFF"/>
            </w:tcBorders>
            <w:shd w:val="clear" w:color="000000" w:fill="C5D9F1"/>
            <w:noWrap/>
            <w:vAlign w:val="center"/>
            <w:hideMark/>
          </w:tcPr>
          <w:p w14:paraId="16BFA333" w14:textId="101449CA"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0,00</w:t>
            </w:r>
          </w:p>
        </w:tc>
        <w:tc>
          <w:tcPr>
            <w:tcW w:w="1326" w:type="dxa"/>
            <w:tcBorders>
              <w:top w:val="nil"/>
              <w:left w:val="nil"/>
              <w:bottom w:val="single" w:sz="4" w:space="0" w:color="FFFFFF"/>
              <w:right w:val="single" w:sz="4" w:space="0" w:color="FFFFFF"/>
            </w:tcBorders>
            <w:shd w:val="clear" w:color="000000" w:fill="C5D9F1"/>
            <w:noWrap/>
            <w:vAlign w:val="center"/>
            <w:hideMark/>
          </w:tcPr>
          <w:p w14:paraId="50E497B2" w14:textId="313631E2"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0,0 %</w:t>
            </w:r>
          </w:p>
        </w:tc>
        <w:tc>
          <w:tcPr>
            <w:tcW w:w="1327" w:type="dxa"/>
            <w:tcBorders>
              <w:top w:val="nil"/>
              <w:left w:val="nil"/>
              <w:bottom w:val="single" w:sz="4" w:space="0" w:color="FFFFFF"/>
              <w:right w:val="single" w:sz="4" w:space="0" w:color="FFFFFF"/>
            </w:tcBorders>
            <w:shd w:val="clear" w:color="000000" w:fill="C5D9F1"/>
            <w:noWrap/>
            <w:vAlign w:val="center"/>
            <w:hideMark/>
          </w:tcPr>
          <w:p w14:paraId="6C9C5C08" w14:textId="2D13A359"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4,07</w:t>
            </w:r>
          </w:p>
        </w:tc>
        <w:tc>
          <w:tcPr>
            <w:tcW w:w="1327" w:type="dxa"/>
            <w:tcBorders>
              <w:top w:val="nil"/>
              <w:left w:val="nil"/>
              <w:bottom w:val="single" w:sz="4" w:space="0" w:color="FFFFFF"/>
              <w:right w:val="single" w:sz="4" w:space="0" w:color="FFFFFF"/>
            </w:tcBorders>
            <w:shd w:val="clear" w:color="000000" w:fill="C5D9F1"/>
            <w:noWrap/>
            <w:vAlign w:val="center"/>
            <w:hideMark/>
          </w:tcPr>
          <w:p w14:paraId="45838CFA"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27" w:type="dxa"/>
            <w:tcBorders>
              <w:top w:val="nil"/>
              <w:left w:val="nil"/>
              <w:bottom w:val="single" w:sz="4" w:space="0" w:color="FFFFFF"/>
              <w:right w:val="single" w:sz="4" w:space="0" w:color="FFFFFF"/>
            </w:tcBorders>
            <w:shd w:val="clear" w:color="000000" w:fill="C5D9F1"/>
            <w:noWrap/>
            <w:vAlign w:val="center"/>
            <w:hideMark/>
          </w:tcPr>
          <w:p w14:paraId="62C42637" w14:textId="49B67D80"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497,9 %</w:t>
            </w:r>
          </w:p>
        </w:tc>
      </w:tr>
      <w:tr w:rsidR="002657AC" w:rsidRPr="00476171" w14:paraId="436E717E" w14:textId="77777777" w:rsidTr="006B2352">
        <w:trPr>
          <w:trHeight w:val="283"/>
          <w:jc w:val="center"/>
        </w:trPr>
        <w:tc>
          <w:tcPr>
            <w:tcW w:w="1129" w:type="dxa"/>
            <w:tcBorders>
              <w:top w:val="nil"/>
              <w:left w:val="single" w:sz="4" w:space="0" w:color="FFFFFF"/>
              <w:bottom w:val="single" w:sz="4" w:space="0" w:color="FFFFFF"/>
              <w:right w:val="single" w:sz="4" w:space="0" w:color="FFFFFF"/>
            </w:tcBorders>
            <w:shd w:val="clear" w:color="000000" w:fill="1F497D"/>
            <w:noWrap/>
            <w:vAlign w:val="center"/>
            <w:hideMark/>
          </w:tcPr>
          <w:p w14:paraId="4A43CFF8"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IE</w:t>
            </w:r>
          </w:p>
        </w:tc>
        <w:tc>
          <w:tcPr>
            <w:tcW w:w="1326" w:type="dxa"/>
            <w:tcBorders>
              <w:top w:val="nil"/>
              <w:left w:val="nil"/>
              <w:bottom w:val="single" w:sz="4" w:space="0" w:color="FFFFFF"/>
              <w:right w:val="single" w:sz="4" w:space="0" w:color="FFFFFF"/>
            </w:tcBorders>
            <w:shd w:val="clear" w:color="000000" w:fill="C5D9F1"/>
            <w:noWrap/>
            <w:vAlign w:val="center"/>
            <w:hideMark/>
          </w:tcPr>
          <w:p w14:paraId="268E3177"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68" w:type="dxa"/>
            <w:tcBorders>
              <w:top w:val="nil"/>
              <w:left w:val="nil"/>
              <w:bottom w:val="single" w:sz="4" w:space="0" w:color="FFFFFF"/>
              <w:right w:val="single" w:sz="4" w:space="0" w:color="FFFFFF"/>
            </w:tcBorders>
            <w:shd w:val="clear" w:color="000000" w:fill="C5D9F1"/>
            <w:noWrap/>
            <w:vAlign w:val="center"/>
            <w:hideMark/>
          </w:tcPr>
          <w:p w14:paraId="380C69F0"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335 954</w:t>
            </w:r>
          </w:p>
        </w:tc>
        <w:tc>
          <w:tcPr>
            <w:tcW w:w="1417" w:type="dxa"/>
            <w:tcBorders>
              <w:top w:val="nil"/>
              <w:left w:val="nil"/>
              <w:bottom w:val="single" w:sz="4" w:space="0" w:color="FFFFFF"/>
              <w:right w:val="single" w:sz="4" w:space="0" w:color="FFFFFF"/>
            </w:tcBorders>
            <w:shd w:val="clear" w:color="000000" w:fill="C5D9F1"/>
            <w:noWrap/>
            <w:vAlign w:val="center"/>
            <w:hideMark/>
          </w:tcPr>
          <w:p w14:paraId="4F48EF82" w14:textId="5B6C3E30"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0,16</w:t>
            </w:r>
          </w:p>
        </w:tc>
        <w:tc>
          <w:tcPr>
            <w:tcW w:w="1196" w:type="dxa"/>
            <w:tcBorders>
              <w:top w:val="nil"/>
              <w:left w:val="nil"/>
              <w:bottom w:val="single" w:sz="4" w:space="0" w:color="FFFFFF"/>
              <w:right w:val="single" w:sz="4" w:space="0" w:color="FFFFFF"/>
            </w:tcBorders>
            <w:shd w:val="clear" w:color="000000" w:fill="C5D9F1"/>
            <w:noWrap/>
            <w:vAlign w:val="center"/>
            <w:hideMark/>
          </w:tcPr>
          <w:p w14:paraId="3C192777" w14:textId="6FF7071F"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0,77</w:t>
            </w:r>
          </w:p>
        </w:tc>
        <w:tc>
          <w:tcPr>
            <w:tcW w:w="1326" w:type="dxa"/>
            <w:tcBorders>
              <w:top w:val="nil"/>
              <w:left w:val="nil"/>
              <w:bottom w:val="single" w:sz="4" w:space="0" w:color="FFFFFF"/>
              <w:right w:val="single" w:sz="4" w:space="0" w:color="FFFFFF"/>
            </w:tcBorders>
            <w:shd w:val="clear" w:color="000000" w:fill="C5D9F1"/>
            <w:noWrap/>
            <w:vAlign w:val="center"/>
            <w:hideMark/>
          </w:tcPr>
          <w:p w14:paraId="2C0BE6E2" w14:textId="1E3C4162" w:rsidR="00013A3D" w:rsidRPr="00476171" w:rsidRDefault="00013A3D"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478,8 %</w:t>
            </w:r>
          </w:p>
        </w:tc>
        <w:tc>
          <w:tcPr>
            <w:tcW w:w="1327" w:type="dxa"/>
            <w:tcBorders>
              <w:top w:val="nil"/>
              <w:left w:val="nil"/>
              <w:bottom w:val="single" w:sz="4" w:space="0" w:color="FFFFFF"/>
              <w:right w:val="single" w:sz="4" w:space="0" w:color="FFFFFF"/>
            </w:tcBorders>
            <w:shd w:val="clear" w:color="000000" w:fill="C5D9F1"/>
            <w:noWrap/>
            <w:vAlign w:val="center"/>
            <w:hideMark/>
          </w:tcPr>
          <w:p w14:paraId="5FA54018" w14:textId="13F1C330"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4,24</w:t>
            </w:r>
          </w:p>
        </w:tc>
        <w:tc>
          <w:tcPr>
            <w:tcW w:w="1327" w:type="dxa"/>
            <w:tcBorders>
              <w:top w:val="nil"/>
              <w:left w:val="nil"/>
              <w:bottom w:val="single" w:sz="4" w:space="0" w:color="FFFFFF"/>
              <w:right w:val="single" w:sz="4" w:space="0" w:color="FFFFFF"/>
            </w:tcBorders>
            <w:shd w:val="clear" w:color="000000" w:fill="C5D9F1"/>
            <w:noWrap/>
            <w:vAlign w:val="center"/>
            <w:hideMark/>
          </w:tcPr>
          <w:p w14:paraId="6198CA4F"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27" w:type="dxa"/>
            <w:tcBorders>
              <w:top w:val="nil"/>
              <w:left w:val="nil"/>
              <w:bottom w:val="single" w:sz="4" w:space="0" w:color="FFFFFF"/>
              <w:right w:val="single" w:sz="4" w:space="0" w:color="FFFFFF"/>
            </w:tcBorders>
            <w:shd w:val="clear" w:color="000000" w:fill="C5D9F1"/>
            <w:noWrap/>
            <w:vAlign w:val="center"/>
            <w:hideMark/>
          </w:tcPr>
          <w:p w14:paraId="3D9620A0" w14:textId="789B9223"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378,2 %</w:t>
            </w:r>
          </w:p>
        </w:tc>
      </w:tr>
      <w:tr w:rsidR="002657AC" w:rsidRPr="00476171" w14:paraId="36229719" w14:textId="77777777" w:rsidTr="006B2352">
        <w:trPr>
          <w:trHeight w:val="283"/>
          <w:jc w:val="center"/>
        </w:trPr>
        <w:tc>
          <w:tcPr>
            <w:tcW w:w="1129" w:type="dxa"/>
            <w:tcBorders>
              <w:top w:val="nil"/>
              <w:left w:val="single" w:sz="4" w:space="0" w:color="FFFFFF"/>
              <w:bottom w:val="single" w:sz="4" w:space="0" w:color="FFFFFF"/>
              <w:right w:val="single" w:sz="4" w:space="0" w:color="FFFFFF"/>
            </w:tcBorders>
            <w:shd w:val="clear" w:color="000000" w:fill="1F497D"/>
            <w:noWrap/>
            <w:vAlign w:val="center"/>
            <w:hideMark/>
          </w:tcPr>
          <w:p w14:paraId="7F04C0AB"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MT</w:t>
            </w:r>
          </w:p>
        </w:tc>
        <w:tc>
          <w:tcPr>
            <w:tcW w:w="1326" w:type="dxa"/>
            <w:tcBorders>
              <w:top w:val="nil"/>
              <w:left w:val="nil"/>
              <w:bottom w:val="single" w:sz="4" w:space="0" w:color="FFFFFF"/>
              <w:right w:val="single" w:sz="4" w:space="0" w:color="FFFFFF"/>
            </w:tcBorders>
            <w:shd w:val="clear" w:color="000000" w:fill="C5D9F1"/>
            <w:noWrap/>
            <w:vAlign w:val="center"/>
            <w:hideMark/>
          </w:tcPr>
          <w:p w14:paraId="74604E6A"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167 166</w:t>
            </w:r>
          </w:p>
        </w:tc>
        <w:tc>
          <w:tcPr>
            <w:tcW w:w="1368" w:type="dxa"/>
            <w:tcBorders>
              <w:top w:val="nil"/>
              <w:left w:val="nil"/>
              <w:bottom w:val="single" w:sz="4" w:space="0" w:color="FFFFFF"/>
              <w:right w:val="single" w:sz="4" w:space="0" w:color="FFFFFF"/>
            </w:tcBorders>
            <w:shd w:val="clear" w:color="000000" w:fill="C5D9F1"/>
            <w:noWrap/>
            <w:vAlign w:val="center"/>
            <w:hideMark/>
          </w:tcPr>
          <w:p w14:paraId="2DAD20BC"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49 715</w:t>
            </w:r>
          </w:p>
        </w:tc>
        <w:tc>
          <w:tcPr>
            <w:tcW w:w="1417" w:type="dxa"/>
            <w:tcBorders>
              <w:top w:val="nil"/>
              <w:left w:val="nil"/>
              <w:bottom w:val="single" w:sz="4" w:space="0" w:color="FFFFFF"/>
              <w:right w:val="single" w:sz="4" w:space="0" w:color="FFFFFF"/>
            </w:tcBorders>
            <w:shd w:val="clear" w:color="000000" w:fill="C5D9F1"/>
            <w:noWrap/>
            <w:vAlign w:val="center"/>
            <w:hideMark/>
          </w:tcPr>
          <w:p w14:paraId="65CD993F"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196" w:type="dxa"/>
            <w:tcBorders>
              <w:top w:val="nil"/>
              <w:left w:val="nil"/>
              <w:bottom w:val="single" w:sz="4" w:space="0" w:color="FFFFFF"/>
              <w:right w:val="single" w:sz="4" w:space="0" w:color="FFFFFF"/>
            </w:tcBorders>
            <w:shd w:val="clear" w:color="000000" w:fill="C5D9F1"/>
            <w:noWrap/>
            <w:vAlign w:val="center"/>
            <w:hideMark/>
          </w:tcPr>
          <w:p w14:paraId="1B7CF4A2" w14:textId="3AF456C4"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0,02</w:t>
            </w:r>
          </w:p>
        </w:tc>
        <w:tc>
          <w:tcPr>
            <w:tcW w:w="1326" w:type="dxa"/>
            <w:tcBorders>
              <w:top w:val="nil"/>
              <w:left w:val="nil"/>
              <w:bottom w:val="single" w:sz="4" w:space="0" w:color="FFFFFF"/>
              <w:right w:val="single" w:sz="4" w:space="0" w:color="FFFFFF"/>
            </w:tcBorders>
            <w:shd w:val="clear" w:color="000000" w:fill="C5D9F1"/>
            <w:noWrap/>
            <w:vAlign w:val="center"/>
            <w:hideMark/>
          </w:tcPr>
          <w:p w14:paraId="23C1B02A"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27" w:type="dxa"/>
            <w:tcBorders>
              <w:top w:val="nil"/>
              <w:left w:val="nil"/>
              <w:bottom w:val="single" w:sz="4" w:space="0" w:color="FFFFFF"/>
              <w:right w:val="single" w:sz="4" w:space="0" w:color="FFFFFF"/>
            </w:tcBorders>
            <w:shd w:val="clear" w:color="000000" w:fill="C5D9F1"/>
            <w:noWrap/>
            <w:vAlign w:val="center"/>
            <w:hideMark/>
          </w:tcPr>
          <w:p w14:paraId="588FEF68" w14:textId="3CF8989A"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0,04</w:t>
            </w:r>
          </w:p>
        </w:tc>
        <w:tc>
          <w:tcPr>
            <w:tcW w:w="1327" w:type="dxa"/>
            <w:tcBorders>
              <w:top w:val="nil"/>
              <w:left w:val="nil"/>
              <w:bottom w:val="single" w:sz="4" w:space="0" w:color="FFFFFF"/>
              <w:right w:val="single" w:sz="4" w:space="0" w:color="FFFFFF"/>
            </w:tcBorders>
            <w:shd w:val="clear" w:color="000000" w:fill="C5D9F1"/>
            <w:noWrap/>
            <w:vAlign w:val="center"/>
            <w:hideMark/>
          </w:tcPr>
          <w:p w14:paraId="24E052CF"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27" w:type="dxa"/>
            <w:tcBorders>
              <w:top w:val="nil"/>
              <w:left w:val="nil"/>
              <w:bottom w:val="single" w:sz="4" w:space="0" w:color="FFFFFF"/>
              <w:right w:val="single" w:sz="4" w:space="0" w:color="FFFFFF"/>
            </w:tcBorders>
            <w:shd w:val="clear" w:color="000000" w:fill="C5D9F1"/>
            <w:noWrap/>
            <w:vAlign w:val="center"/>
            <w:hideMark/>
          </w:tcPr>
          <w:p w14:paraId="4CD58380"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r>
      <w:tr w:rsidR="002657AC" w:rsidRPr="00476171" w14:paraId="2B143EC1" w14:textId="77777777" w:rsidTr="006B2352">
        <w:trPr>
          <w:trHeight w:val="283"/>
          <w:jc w:val="center"/>
        </w:trPr>
        <w:tc>
          <w:tcPr>
            <w:tcW w:w="1129" w:type="dxa"/>
            <w:tcBorders>
              <w:top w:val="nil"/>
              <w:left w:val="single" w:sz="4" w:space="0" w:color="FFFFFF"/>
              <w:bottom w:val="single" w:sz="4" w:space="0" w:color="FFFFFF"/>
              <w:right w:val="single" w:sz="4" w:space="0" w:color="FFFFFF"/>
            </w:tcBorders>
            <w:shd w:val="clear" w:color="000000" w:fill="1F497D"/>
            <w:noWrap/>
            <w:vAlign w:val="center"/>
            <w:hideMark/>
          </w:tcPr>
          <w:p w14:paraId="680B6C80"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NL</w:t>
            </w:r>
          </w:p>
        </w:tc>
        <w:tc>
          <w:tcPr>
            <w:tcW w:w="1326" w:type="dxa"/>
            <w:tcBorders>
              <w:top w:val="nil"/>
              <w:left w:val="nil"/>
              <w:bottom w:val="single" w:sz="4" w:space="0" w:color="FFFFFF"/>
              <w:right w:val="single" w:sz="4" w:space="0" w:color="FFFFFF"/>
            </w:tcBorders>
            <w:shd w:val="clear" w:color="000000" w:fill="C5D9F1"/>
            <w:noWrap/>
            <w:vAlign w:val="center"/>
            <w:hideMark/>
          </w:tcPr>
          <w:p w14:paraId="194E6336"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68" w:type="dxa"/>
            <w:tcBorders>
              <w:top w:val="nil"/>
              <w:left w:val="nil"/>
              <w:bottom w:val="single" w:sz="4" w:space="0" w:color="FFFFFF"/>
              <w:right w:val="single" w:sz="4" w:space="0" w:color="FFFFFF"/>
            </w:tcBorders>
            <w:shd w:val="clear" w:color="000000" w:fill="C5D9F1"/>
            <w:noWrap/>
            <w:vAlign w:val="center"/>
            <w:hideMark/>
          </w:tcPr>
          <w:p w14:paraId="6F40D9FE"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417" w:type="dxa"/>
            <w:tcBorders>
              <w:top w:val="nil"/>
              <w:left w:val="nil"/>
              <w:bottom w:val="single" w:sz="4" w:space="0" w:color="FFFFFF"/>
              <w:right w:val="single" w:sz="4" w:space="0" w:color="FFFFFF"/>
            </w:tcBorders>
            <w:shd w:val="clear" w:color="000000" w:fill="C5D9F1"/>
            <w:noWrap/>
            <w:vAlign w:val="center"/>
            <w:hideMark/>
          </w:tcPr>
          <w:p w14:paraId="25F7DB23" w14:textId="78A65198"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4,18</w:t>
            </w:r>
          </w:p>
        </w:tc>
        <w:tc>
          <w:tcPr>
            <w:tcW w:w="1196" w:type="dxa"/>
            <w:tcBorders>
              <w:top w:val="nil"/>
              <w:left w:val="nil"/>
              <w:bottom w:val="single" w:sz="4" w:space="0" w:color="FFFFFF"/>
              <w:right w:val="single" w:sz="4" w:space="0" w:color="FFFFFF"/>
            </w:tcBorders>
            <w:shd w:val="clear" w:color="000000" w:fill="C5D9F1"/>
            <w:noWrap/>
            <w:vAlign w:val="center"/>
            <w:hideMark/>
          </w:tcPr>
          <w:p w14:paraId="309E9CEA" w14:textId="15DA6EB3"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1,87</w:t>
            </w:r>
          </w:p>
        </w:tc>
        <w:tc>
          <w:tcPr>
            <w:tcW w:w="1326" w:type="dxa"/>
            <w:tcBorders>
              <w:top w:val="nil"/>
              <w:left w:val="nil"/>
              <w:bottom w:val="single" w:sz="4" w:space="0" w:color="FFFFFF"/>
              <w:right w:val="single" w:sz="4" w:space="0" w:color="FFFFFF"/>
            </w:tcBorders>
            <w:shd w:val="clear" w:color="000000" w:fill="C5D9F1"/>
            <w:noWrap/>
            <w:vAlign w:val="center"/>
            <w:hideMark/>
          </w:tcPr>
          <w:p w14:paraId="4FF6969F" w14:textId="5C57AB61"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44,7 %</w:t>
            </w:r>
          </w:p>
        </w:tc>
        <w:tc>
          <w:tcPr>
            <w:tcW w:w="1327" w:type="dxa"/>
            <w:tcBorders>
              <w:top w:val="nil"/>
              <w:left w:val="nil"/>
              <w:bottom w:val="single" w:sz="4" w:space="0" w:color="FFFFFF"/>
              <w:right w:val="single" w:sz="4" w:space="0" w:color="FFFFFF"/>
            </w:tcBorders>
            <w:shd w:val="clear" w:color="000000" w:fill="C5D9F1"/>
            <w:noWrap/>
            <w:vAlign w:val="center"/>
            <w:hideMark/>
          </w:tcPr>
          <w:p w14:paraId="41FD34E4" w14:textId="0913D1D4" w:rsidR="00013A3D" w:rsidRPr="00476171" w:rsidRDefault="00013A3D"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185,90</w:t>
            </w:r>
          </w:p>
        </w:tc>
        <w:tc>
          <w:tcPr>
            <w:tcW w:w="1327" w:type="dxa"/>
            <w:tcBorders>
              <w:top w:val="nil"/>
              <w:left w:val="nil"/>
              <w:bottom w:val="single" w:sz="4" w:space="0" w:color="FFFFFF"/>
              <w:right w:val="single" w:sz="4" w:space="0" w:color="FFFFFF"/>
            </w:tcBorders>
            <w:shd w:val="clear" w:color="000000" w:fill="C5D9F1"/>
            <w:noWrap/>
            <w:vAlign w:val="center"/>
            <w:hideMark/>
          </w:tcPr>
          <w:p w14:paraId="29E2F495"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27" w:type="dxa"/>
            <w:tcBorders>
              <w:top w:val="nil"/>
              <w:left w:val="nil"/>
              <w:bottom w:val="single" w:sz="4" w:space="0" w:color="FFFFFF"/>
              <w:right w:val="single" w:sz="4" w:space="0" w:color="FFFFFF"/>
            </w:tcBorders>
            <w:shd w:val="clear" w:color="000000" w:fill="C5D9F1"/>
            <w:noWrap/>
            <w:vAlign w:val="center"/>
            <w:hideMark/>
          </w:tcPr>
          <w:p w14:paraId="02CDC53C" w14:textId="0A593231"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635,4 %</w:t>
            </w:r>
          </w:p>
        </w:tc>
      </w:tr>
      <w:tr w:rsidR="002657AC" w:rsidRPr="00476171" w14:paraId="38A6D6EE" w14:textId="77777777" w:rsidTr="006B2352">
        <w:trPr>
          <w:trHeight w:val="283"/>
          <w:jc w:val="center"/>
        </w:trPr>
        <w:tc>
          <w:tcPr>
            <w:tcW w:w="1129" w:type="dxa"/>
            <w:tcBorders>
              <w:top w:val="nil"/>
              <w:left w:val="single" w:sz="4" w:space="0" w:color="FFFFFF"/>
              <w:bottom w:val="single" w:sz="4" w:space="0" w:color="FFFFFF"/>
              <w:right w:val="single" w:sz="4" w:space="0" w:color="FFFFFF"/>
            </w:tcBorders>
            <w:shd w:val="clear" w:color="000000" w:fill="1F497D"/>
            <w:noWrap/>
            <w:vAlign w:val="center"/>
            <w:hideMark/>
          </w:tcPr>
          <w:p w14:paraId="42B82F2F"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PL</w:t>
            </w:r>
          </w:p>
        </w:tc>
        <w:tc>
          <w:tcPr>
            <w:tcW w:w="1326" w:type="dxa"/>
            <w:tcBorders>
              <w:top w:val="nil"/>
              <w:left w:val="nil"/>
              <w:bottom w:val="single" w:sz="4" w:space="0" w:color="FFFFFF"/>
              <w:right w:val="single" w:sz="4" w:space="0" w:color="FFFFFF"/>
            </w:tcBorders>
            <w:shd w:val="clear" w:color="000000" w:fill="C5D9F1"/>
            <w:noWrap/>
            <w:vAlign w:val="center"/>
            <w:hideMark/>
          </w:tcPr>
          <w:p w14:paraId="2EF6E9FA"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68" w:type="dxa"/>
            <w:tcBorders>
              <w:top w:val="nil"/>
              <w:left w:val="nil"/>
              <w:bottom w:val="single" w:sz="4" w:space="0" w:color="FFFFFF"/>
              <w:right w:val="single" w:sz="4" w:space="0" w:color="FFFFFF"/>
            </w:tcBorders>
            <w:shd w:val="clear" w:color="000000" w:fill="C5D9F1"/>
            <w:noWrap/>
            <w:vAlign w:val="center"/>
            <w:hideMark/>
          </w:tcPr>
          <w:p w14:paraId="517AF5BC"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417" w:type="dxa"/>
            <w:tcBorders>
              <w:top w:val="nil"/>
              <w:left w:val="nil"/>
              <w:bottom w:val="single" w:sz="4" w:space="0" w:color="FFFFFF"/>
              <w:right w:val="single" w:sz="4" w:space="0" w:color="FFFFFF"/>
            </w:tcBorders>
            <w:shd w:val="clear" w:color="000000" w:fill="C5D9F1"/>
            <w:noWrap/>
            <w:vAlign w:val="center"/>
            <w:hideMark/>
          </w:tcPr>
          <w:p w14:paraId="753205EF" w14:textId="733345E9"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0,37</w:t>
            </w:r>
          </w:p>
        </w:tc>
        <w:tc>
          <w:tcPr>
            <w:tcW w:w="1196" w:type="dxa"/>
            <w:tcBorders>
              <w:top w:val="nil"/>
              <w:left w:val="nil"/>
              <w:bottom w:val="single" w:sz="4" w:space="0" w:color="FFFFFF"/>
              <w:right w:val="single" w:sz="4" w:space="0" w:color="FFFFFF"/>
            </w:tcBorders>
            <w:shd w:val="clear" w:color="000000" w:fill="C5D9F1"/>
            <w:noWrap/>
            <w:vAlign w:val="center"/>
            <w:hideMark/>
          </w:tcPr>
          <w:p w14:paraId="1B1A9D75" w14:textId="13CD3EBA"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0,58</w:t>
            </w:r>
          </w:p>
        </w:tc>
        <w:tc>
          <w:tcPr>
            <w:tcW w:w="1326" w:type="dxa"/>
            <w:tcBorders>
              <w:top w:val="nil"/>
              <w:left w:val="nil"/>
              <w:bottom w:val="single" w:sz="4" w:space="0" w:color="FFFFFF"/>
              <w:right w:val="single" w:sz="4" w:space="0" w:color="FFFFFF"/>
            </w:tcBorders>
            <w:shd w:val="clear" w:color="000000" w:fill="C5D9F1"/>
            <w:noWrap/>
            <w:vAlign w:val="center"/>
            <w:hideMark/>
          </w:tcPr>
          <w:p w14:paraId="67176040" w14:textId="212FC521" w:rsidR="00013A3D" w:rsidRPr="00476171" w:rsidRDefault="00013A3D"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155,3 %</w:t>
            </w:r>
          </w:p>
        </w:tc>
        <w:tc>
          <w:tcPr>
            <w:tcW w:w="1327" w:type="dxa"/>
            <w:tcBorders>
              <w:top w:val="nil"/>
              <w:left w:val="nil"/>
              <w:bottom w:val="single" w:sz="4" w:space="0" w:color="FFFFFF"/>
              <w:right w:val="single" w:sz="4" w:space="0" w:color="FFFFFF"/>
            </w:tcBorders>
            <w:shd w:val="clear" w:color="000000" w:fill="C5D9F1"/>
            <w:noWrap/>
            <w:vAlign w:val="center"/>
            <w:hideMark/>
          </w:tcPr>
          <w:p w14:paraId="06D473C9" w14:textId="6147D17B"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3,22</w:t>
            </w:r>
          </w:p>
        </w:tc>
        <w:tc>
          <w:tcPr>
            <w:tcW w:w="1327" w:type="dxa"/>
            <w:tcBorders>
              <w:top w:val="nil"/>
              <w:left w:val="nil"/>
              <w:bottom w:val="single" w:sz="4" w:space="0" w:color="FFFFFF"/>
              <w:right w:val="single" w:sz="4" w:space="0" w:color="FFFFFF"/>
            </w:tcBorders>
            <w:shd w:val="clear" w:color="000000" w:fill="C5D9F1"/>
            <w:noWrap/>
            <w:vAlign w:val="center"/>
            <w:hideMark/>
          </w:tcPr>
          <w:p w14:paraId="1F6A9527"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27" w:type="dxa"/>
            <w:tcBorders>
              <w:top w:val="nil"/>
              <w:left w:val="nil"/>
              <w:bottom w:val="single" w:sz="4" w:space="0" w:color="FFFFFF"/>
              <w:right w:val="single" w:sz="4" w:space="0" w:color="FFFFFF"/>
            </w:tcBorders>
            <w:shd w:val="clear" w:color="000000" w:fill="C5D9F1"/>
            <w:noWrap/>
            <w:vAlign w:val="center"/>
            <w:hideMark/>
          </w:tcPr>
          <w:p w14:paraId="56E8B64F" w14:textId="2D6FFFD9"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123,2 %</w:t>
            </w:r>
          </w:p>
        </w:tc>
      </w:tr>
      <w:tr w:rsidR="002657AC" w:rsidRPr="00476171" w14:paraId="6DAF99BB" w14:textId="77777777" w:rsidTr="006B2352">
        <w:trPr>
          <w:trHeight w:val="283"/>
          <w:jc w:val="center"/>
        </w:trPr>
        <w:tc>
          <w:tcPr>
            <w:tcW w:w="1129" w:type="dxa"/>
            <w:tcBorders>
              <w:top w:val="nil"/>
              <w:left w:val="single" w:sz="4" w:space="0" w:color="FFFFFF"/>
              <w:bottom w:val="single" w:sz="4" w:space="0" w:color="FFFFFF"/>
              <w:right w:val="single" w:sz="4" w:space="0" w:color="FFFFFF"/>
            </w:tcBorders>
            <w:shd w:val="clear" w:color="000000" w:fill="1F497D"/>
            <w:noWrap/>
            <w:vAlign w:val="center"/>
            <w:hideMark/>
          </w:tcPr>
          <w:p w14:paraId="73904751"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SE</w:t>
            </w:r>
          </w:p>
        </w:tc>
        <w:tc>
          <w:tcPr>
            <w:tcW w:w="1326" w:type="dxa"/>
            <w:tcBorders>
              <w:top w:val="nil"/>
              <w:left w:val="nil"/>
              <w:bottom w:val="single" w:sz="4" w:space="0" w:color="FFFFFF"/>
              <w:right w:val="single" w:sz="4" w:space="0" w:color="FFFFFF"/>
            </w:tcBorders>
            <w:shd w:val="clear" w:color="000000" w:fill="C5D9F1"/>
            <w:noWrap/>
            <w:vAlign w:val="center"/>
            <w:hideMark/>
          </w:tcPr>
          <w:p w14:paraId="010CECFC"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68" w:type="dxa"/>
            <w:tcBorders>
              <w:top w:val="nil"/>
              <w:left w:val="nil"/>
              <w:bottom w:val="single" w:sz="4" w:space="0" w:color="FFFFFF"/>
              <w:right w:val="single" w:sz="4" w:space="0" w:color="FFFFFF"/>
            </w:tcBorders>
            <w:shd w:val="clear" w:color="000000" w:fill="C5D9F1"/>
            <w:noWrap/>
            <w:vAlign w:val="center"/>
            <w:hideMark/>
          </w:tcPr>
          <w:p w14:paraId="67EC2B14"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86 871</w:t>
            </w:r>
          </w:p>
        </w:tc>
        <w:tc>
          <w:tcPr>
            <w:tcW w:w="1417" w:type="dxa"/>
            <w:tcBorders>
              <w:top w:val="nil"/>
              <w:left w:val="nil"/>
              <w:bottom w:val="single" w:sz="4" w:space="0" w:color="FFFFFF"/>
              <w:right w:val="single" w:sz="4" w:space="0" w:color="FFFFFF"/>
            </w:tcBorders>
            <w:shd w:val="clear" w:color="000000" w:fill="C5D9F1"/>
            <w:noWrap/>
            <w:vAlign w:val="center"/>
            <w:hideMark/>
          </w:tcPr>
          <w:p w14:paraId="6A3D8C8F" w14:textId="41981894"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0,24</w:t>
            </w:r>
          </w:p>
        </w:tc>
        <w:tc>
          <w:tcPr>
            <w:tcW w:w="1196" w:type="dxa"/>
            <w:tcBorders>
              <w:top w:val="nil"/>
              <w:left w:val="nil"/>
              <w:bottom w:val="single" w:sz="4" w:space="0" w:color="FFFFFF"/>
              <w:right w:val="single" w:sz="4" w:space="0" w:color="FFFFFF"/>
            </w:tcBorders>
            <w:shd w:val="clear" w:color="000000" w:fill="C5D9F1"/>
            <w:noWrap/>
            <w:vAlign w:val="center"/>
            <w:hideMark/>
          </w:tcPr>
          <w:p w14:paraId="56463DA3" w14:textId="1D5389D0"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-3,71</w:t>
            </w:r>
          </w:p>
        </w:tc>
        <w:tc>
          <w:tcPr>
            <w:tcW w:w="1326" w:type="dxa"/>
            <w:tcBorders>
              <w:top w:val="nil"/>
              <w:left w:val="nil"/>
              <w:bottom w:val="single" w:sz="4" w:space="0" w:color="FFFFFF"/>
              <w:right w:val="single" w:sz="4" w:space="0" w:color="FFFFFF"/>
            </w:tcBorders>
            <w:shd w:val="clear" w:color="000000" w:fill="C5D9F1"/>
            <w:noWrap/>
            <w:vAlign w:val="center"/>
            <w:hideMark/>
          </w:tcPr>
          <w:p w14:paraId="5FB78170" w14:textId="6DCEA043"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0,0 %</w:t>
            </w:r>
          </w:p>
        </w:tc>
        <w:tc>
          <w:tcPr>
            <w:tcW w:w="1327" w:type="dxa"/>
            <w:tcBorders>
              <w:top w:val="nil"/>
              <w:left w:val="nil"/>
              <w:bottom w:val="single" w:sz="4" w:space="0" w:color="FFFFFF"/>
              <w:right w:val="single" w:sz="4" w:space="0" w:color="FFFFFF"/>
            </w:tcBorders>
            <w:shd w:val="clear" w:color="000000" w:fill="C5D9F1"/>
            <w:noWrap/>
            <w:vAlign w:val="center"/>
            <w:hideMark/>
          </w:tcPr>
          <w:p w14:paraId="1DED7CC2" w14:textId="1C3FB868"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1,57</w:t>
            </w:r>
          </w:p>
        </w:tc>
        <w:tc>
          <w:tcPr>
            <w:tcW w:w="1327" w:type="dxa"/>
            <w:tcBorders>
              <w:top w:val="nil"/>
              <w:left w:val="nil"/>
              <w:bottom w:val="single" w:sz="4" w:space="0" w:color="FFFFFF"/>
              <w:right w:val="single" w:sz="4" w:space="0" w:color="FFFFFF"/>
            </w:tcBorders>
            <w:shd w:val="clear" w:color="000000" w:fill="C5D9F1"/>
            <w:noWrap/>
            <w:vAlign w:val="center"/>
            <w:hideMark/>
          </w:tcPr>
          <w:p w14:paraId="3AD7D480"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27" w:type="dxa"/>
            <w:tcBorders>
              <w:top w:val="nil"/>
              <w:left w:val="nil"/>
              <w:bottom w:val="single" w:sz="4" w:space="0" w:color="FFFFFF"/>
              <w:right w:val="single" w:sz="4" w:space="0" w:color="FFFFFF"/>
            </w:tcBorders>
            <w:shd w:val="clear" w:color="000000" w:fill="C5D9F1"/>
            <w:noWrap/>
            <w:vAlign w:val="center"/>
            <w:hideMark/>
          </w:tcPr>
          <w:p w14:paraId="05000AEB" w14:textId="3136341F"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83,7 %</w:t>
            </w:r>
          </w:p>
        </w:tc>
      </w:tr>
      <w:tr w:rsidR="002657AC" w:rsidRPr="00476171" w14:paraId="46D2D28A" w14:textId="77777777" w:rsidTr="006B2352">
        <w:trPr>
          <w:trHeight w:val="283"/>
          <w:jc w:val="center"/>
        </w:trPr>
        <w:tc>
          <w:tcPr>
            <w:tcW w:w="1129" w:type="dxa"/>
            <w:tcBorders>
              <w:top w:val="nil"/>
              <w:left w:val="single" w:sz="4" w:space="0" w:color="FFFFFF"/>
              <w:bottom w:val="single" w:sz="4" w:space="0" w:color="FFFFFF"/>
              <w:right w:val="single" w:sz="4" w:space="0" w:color="FFFFFF"/>
            </w:tcBorders>
            <w:shd w:val="clear" w:color="000000" w:fill="1F497D"/>
            <w:noWrap/>
            <w:vAlign w:val="center"/>
            <w:hideMark/>
          </w:tcPr>
          <w:p w14:paraId="04A99C44" w14:textId="77777777" w:rsidR="00013A3D" w:rsidRPr="00476171" w:rsidRDefault="00013A3D" w:rsidP="00DC7EB3">
            <w:pPr>
              <w:spacing w:after="0" w:line="240" w:lineRule="auto"/>
              <w:jc w:val="center"/>
              <w:rPr>
                <w:rFonts w:ascii="Times New Roman" w:eastAsia="Times New Roman" w:hAnsi="Times New Roman" w:cs="Times New Roman"/>
                <w:noProof/>
                <w:color w:val="FFFFFF"/>
                <w:sz w:val="20"/>
                <w:lang w:val="de-DE"/>
              </w:rPr>
            </w:pPr>
            <w:r w:rsidRPr="00476171">
              <w:rPr>
                <w:rFonts w:ascii="Times New Roman" w:hAnsi="Times New Roman"/>
                <w:noProof/>
                <w:color w:val="FFFFFF"/>
                <w:sz w:val="20"/>
                <w:lang w:val="de-DE"/>
              </w:rPr>
              <w:t>SK</w:t>
            </w:r>
          </w:p>
        </w:tc>
        <w:tc>
          <w:tcPr>
            <w:tcW w:w="1326" w:type="dxa"/>
            <w:tcBorders>
              <w:top w:val="nil"/>
              <w:left w:val="nil"/>
              <w:bottom w:val="single" w:sz="4" w:space="0" w:color="FFFFFF"/>
              <w:right w:val="single" w:sz="4" w:space="0" w:color="FFFFFF"/>
            </w:tcBorders>
            <w:shd w:val="clear" w:color="000000" w:fill="C5D9F1"/>
            <w:noWrap/>
            <w:vAlign w:val="center"/>
            <w:hideMark/>
          </w:tcPr>
          <w:p w14:paraId="79DC7D98"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68" w:type="dxa"/>
            <w:tcBorders>
              <w:top w:val="nil"/>
              <w:left w:val="nil"/>
              <w:bottom w:val="single" w:sz="4" w:space="0" w:color="FFFFFF"/>
              <w:right w:val="single" w:sz="4" w:space="0" w:color="FFFFFF"/>
            </w:tcBorders>
            <w:shd w:val="clear" w:color="000000" w:fill="C5D9F1"/>
            <w:noWrap/>
            <w:vAlign w:val="center"/>
            <w:hideMark/>
          </w:tcPr>
          <w:p w14:paraId="1ACB2675" w14:textId="3688BC0F"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1 339 616,22</w:t>
            </w:r>
          </w:p>
        </w:tc>
        <w:tc>
          <w:tcPr>
            <w:tcW w:w="1417" w:type="dxa"/>
            <w:tcBorders>
              <w:top w:val="nil"/>
              <w:left w:val="nil"/>
              <w:bottom w:val="single" w:sz="4" w:space="0" w:color="FFFFFF"/>
              <w:right w:val="single" w:sz="4" w:space="0" w:color="FFFFFF"/>
            </w:tcBorders>
            <w:shd w:val="clear" w:color="000000" w:fill="C5D9F1"/>
            <w:noWrap/>
            <w:vAlign w:val="center"/>
            <w:hideMark/>
          </w:tcPr>
          <w:p w14:paraId="7E8F2241" w14:textId="6DB25C86" w:rsidR="00013A3D" w:rsidRPr="00476171" w:rsidRDefault="00F76546"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4,49</w:t>
            </w:r>
          </w:p>
        </w:tc>
        <w:tc>
          <w:tcPr>
            <w:tcW w:w="1196" w:type="dxa"/>
            <w:tcBorders>
              <w:top w:val="nil"/>
              <w:left w:val="nil"/>
              <w:bottom w:val="single" w:sz="4" w:space="0" w:color="FFFFFF"/>
              <w:right w:val="single" w:sz="4" w:space="0" w:color="FFFFFF"/>
            </w:tcBorders>
            <w:shd w:val="clear" w:color="000000" w:fill="C5D9F1"/>
            <w:noWrap/>
            <w:vAlign w:val="center"/>
            <w:hideMark/>
          </w:tcPr>
          <w:p w14:paraId="542209F4" w14:textId="2EFACDAC" w:rsidR="00013A3D" w:rsidRPr="00476171" w:rsidRDefault="00013A3D"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10,63</w:t>
            </w:r>
          </w:p>
        </w:tc>
        <w:tc>
          <w:tcPr>
            <w:tcW w:w="1326" w:type="dxa"/>
            <w:tcBorders>
              <w:top w:val="nil"/>
              <w:left w:val="nil"/>
              <w:bottom w:val="single" w:sz="4" w:space="0" w:color="FFFFFF"/>
              <w:right w:val="single" w:sz="4" w:space="0" w:color="FFFFFF"/>
            </w:tcBorders>
            <w:shd w:val="clear" w:color="000000" w:fill="C5D9F1"/>
            <w:noWrap/>
            <w:vAlign w:val="center"/>
            <w:hideMark/>
          </w:tcPr>
          <w:p w14:paraId="38E4B6AC" w14:textId="1E04C32C" w:rsidR="00013A3D" w:rsidRPr="00476171" w:rsidRDefault="00013A3D"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236,9 %</w:t>
            </w:r>
          </w:p>
        </w:tc>
        <w:tc>
          <w:tcPr>
            <w:tcW w:w="1327" w:type="dxa"/>
            <w:tcBorders>
              <w:top w:val="nil"/>
              <w:left w:val="nil"/>
              <w:bottom w:val="single" w:sz="4" w:space="0" w:color="FFFFFF"/>
              <w:right w:val="single" w:sz="4" w:space="0" w:color="FFFFFF"/>
            </w:tcBorders>
            <w:shd w:val="clear" w:color="000000" w:fill="C5D9F1"/>
            <w:noWrap/>
            <w:vAlign w:val="center"/>
            <w:hideMark/>
          </w:tcPr>
          <w:p w14:paraId="3940C6F1" w14:textId="01B49AE8" w:rsidR="00013A3D" w:rsidRPr="00476171" w:rsidRDefault="00013A3D"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43,22</w:t>
            </w:r>
          </w:p>
        </w:tc>
        <w:tc>
          <w:tcPr>
            <w:tcW w:w="1327" w:type="dxa"/>
            <w:tcBorders>
              <w:top w:val="nil"/>
              <w:left w:val="nil"/>
              <w:bottom w:val="single" w:sz="4" w:space="0" w:color="FFFFFF"/>
              <w:right w:val="single" w:sz="4" w:space="0" w:color="FFFFFF"/>
            </w:tcBorders>
            <w:shd w:val="clear" w:color="000000" w:fill="C5D9F1"/>
            <w:noWrap/>
            <w:vAlign w:val="center"/>
            <w:hideMark/>
          </w:tcPr>
          <w:p w14:paraId="051CD8F5" w14:textId="77777777" w:rsidR="00013A3D" w:rsidRPr="00476171" w:rsidRDefault="00013A3D" w:rsidP="00DC7EB3">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k. A.</w:t>
            </w:r>
          </w:p>
        </w:tc>
        <w:tc>
          <w:tcPr>
            <w:tcW w:w="1327" w:type="dxa"/>
            <w:tcBorders>
              <w:top w:val="nil"/>
              <w:left w:val="nil"/>
              <w:bottom w:val="single" w:sz="4" w:space="0" w:color="FFFFFF"/>
              <w:right w:val="single" w:sz="4" w:space="0" w:color="FFFFFF"/>
            </w:tcBorders>
            <w:shd w:val="clear" w:color="000000" w:fill="C5D9F1"/>
            <w:noWrap/>
            <w:vAlign w:val="center"/>
            <w:hideMark/>
          </w:tcPr>
          <w:p w14:paraId="3EBBD478" w14:textId="43CAABC3" w:rsidR="00013A3D" w:rsidRPr="00476171" w:rsidRDefault="00013A3D" w:rsidP="00F76546">
            <w:pPr>
              <w:spacing w:after="0" w:line="240"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160,6 %</w:t>
            </w:r>
          </w:p>
        </w:tc>
      </w:tr>
    </w:tbl>
    <w:p w14:paraId="19E4023F" w14:textId="1EACC6E5" w:rsidR="00992061" w:rsidRPr="00476171" w:rsidRDefault="004B01D5" w:rsidP="001B0A7C">
      <w:pPr>
        <w:pStyle w:val="JRCText"/>
        <w:ind w:left="720"/>
        <w:jc w:val="center"/>
        <w:rPr>
          <w:rFonts w:ascii="Times New Roman" w:eastAsia="Times New Roman" w:hAnsi="Times New Roman"/>
          <w:noProof/>
          <w:sz w:val="16"/>
          <w:lang w:val="de-DE"/>
        </w:rPr>
      </w:pPr>
      <w:r w:rsidRPr="00476171">
        <w:rPr>
          <w:rFonts w:ascii="Times New Roman" w:hAnsi="Times New Roman"/>
          <w:noProof/>
          <w:sz w:val="16"/>
          <w:lang w:val="de-DE"/>
        </w:rPr>
        <w:t>Quelle: JRC auf der Grundlage der Berichte der Mitgliedstaaten, 2022.</w:t>
      </w:r>
      <w:r w:rsidRPr="00476171">
        <w:rPr>
          <w:rStyle w:val="FootnoteReference"/>
          <w:rFonts w:ascii="Times New Roman" w:eastAsia="Times New Roman" w:hAnsi="Times New Roman"/>
          <w:noProof/>
          <w:color w:val="000000" w:themeColor="text1"/>
          <w:sz w:val="24"/>
          <w:lang w:val="de-DE"/>
        </w:rPr>
        <w:footnoteReference w:id="25"/>
      </w:r>
    </w:p>
    <w:p w14:paraId="65570566" w14:textId="77777777" w:rsidR="00DA0567" w:rsidRPr="00476171" w:rsidRDefault="00DA0567" w:rsidP="001B0A7C">
      <w:pPr>
        <w:pStyle w:val="JRCText"/>
        <w:ind w:left="720"/>
        <w:jc w:val="center"/>
        <w:rPr>
          <w:noProof/>
          <w:lang w:val="de-DE"/>
        </w:rPr>
      </w:pPr>
    </w:p>
    <w:p w14:paraId="3F2F7F0A" w14:textId="3200531F" w:rsidR="5875308E" w:rsidRPr="00476171" w:rsidRDefault="5875308E" w:rsidP="00DC7EB3">
      <w:pPr>
        <w:pStyle w:val="ListParagraph"/>
        <w:numPr>
          <w:ilvl w:val="0"/>
          <w:numId w:val="8"/>
        </w:numPr>
        <w:spacing w:line="276" w:lineRule="auto"/>
        <w:rPr>
          <w:rFonts w:ascii="Times New Roman" w:eastAsia="Times New Roman" w:hAnsi="Times New Roman" w:cs="Times New Roman"/>
          <w:noProof/>
          <w:color w:val="000000" w:themeColor="text1"/>
          <w:sz w:val="24"/>
          <w:lang w:val="de-DE"/>
        </w:rPr>
      </w:pPr>
      <w:r w:rsidRPr="00476171">
        <w:rPr>
          <w:rFonts w:ascii="Times New Roman" w:hAnsi="Times New Roman"/>
          <w:noProof/>
          <w:color w:val="000000" w:themeColor="text1"/>
          <w:sz w:val="24"/>
          <w:lang w:val="de-DE"/>
        </w:rPr>
        <w:t>Energieeinsparverpflichtung – Artikel 7 der Energieeffizienzrichtlinie</w:t>
      </w:r>
    </w:p>
    <w:p w14:paraId="0D032B98" w14:textId="7A0EF54F" w:rsidR="00F70995" w:rsidRPr="00476171" w:rsidRDefault="00F70995" w:rsidP="00F70995">
      <w:pPr>
        <w:spacing w:line="276" w:lineRule="auto"/>
        <w:jc w:val="both"/>
        <w:rPr>
          <w:rFonts w:ascii="Times New Roman" w:eastAsia="Times New Roman" w:hAnsi="Times New Roman" w:cs="Times New Roman"/>
          <w:noProof/>
          <w:sz w:val="24"/>
          <w:lang w:val="de-DE"/>
        </w:rPr>
      </w:pPr>
      <w:r w:rsidRPr="00476171">
        <w:rPr>
          <w:rFonts w:ascii="Times New Roman" w:hAnsi="Times New Roman"/>
          <w:noProof/>
          <w:sz w:val="24"/>
          <w:lang w:val="de-DE"/>
        </w:rPr>
        <w:t>Artikel 7 der EED bezieht sich auf die Verpflichtung der Mitgliedstaaten, unter anderem die kumulierten Energieeinsparungen bereitzustellen, die 2019 und 2020 erreicht wurden, um zu bewerten, ob sie ihre Energieeinsparverpflichtung für den Zeitraum 2014–2020 erfüllt haben.</w:t>
      </w:r>
    </w:p>
    <w:p w14:paraId="4127DC00" w14:textId="5D381026" w:rsidR="00467E1D" w:rsidRPr="00476171" w:rsidRDefault="56CCF0EE" w:rsidP="2EB7464E">
      <w:pPr>
        <w:spacing w:line="276" w:lineRule="auto"/>
        <w:jc w:val="both"/>
        <w:rPr>
          <w:rFonts w:ascii="Times New Roman" w:eastAsia="Times New Roman" w:hAnsi="Times New Roman" w:cs="Times New Roman"/>
          <w:noProof/>
          <w:sz w:val="24"/>
          <w:lang w:val="de-DE"/>
        </w:rPr>
      </w:pPr>
      <w:r w:rsidRPr="00476171">
        <w:rPr>
          <w:rFonts w:ascii="Times New Roman" w:hAnsi="Times New Roman"/>
          <w:noProof/>
          <w:sz w:val="24"/>
          <w:lang w:val="de-DE"/>
        </w:rPr>
        <w:t>Wie Tabelle 5 zeigt, betrugen die kumulierten Energieeinsparungen im Zeitraum 2014–2020 für 24 Mitgliedstaaten</w:t>
      </w:r>
      <w:r w:rsidRPr="00476171">
        <w:rPr>
          <w:rStyle w:val="FootnoteReference"/>
          <w:rFonts w:ascii="Times New Roman" w:eastAsia="Times New Roman" w:hAnsi="Times New Roman" w:cs="Times New Roman"/>
          <w:noProof/>
          <w:sz w:val="24"/>
          <w:lang w:val="de-DE"/>
        </w:rPr>
        <w:footnoteReference w:id="26"/>
      </w:r>
      <w:r w:rsidRPr="00476171">
        <w:rPr>
          <w:rFonts w:ascii="Times New Roman" w:hAnsi="Times New Roman"/>
          <w:noProof/>
          <w:sz w:val="24"/>
          <w:lang w:val="de-DE"/>
        </w:rPr>
        <w:t xml:space="preserve"> 197,4 Mio. t RÖE, das sind 103 % der Summe der kumulierten Endenergieeinsparverpflichtungen für den Zeitraum 2014–2020 (191,7 Mio. t RÖE) für diese 24 Mitgliedstaaten. Dies entspricht 97,5 % der Summe der kumulierten Endenergieeinsparverpflichtungen für den Zeitraum 2014–2020 (202,5 Mio. t RÖE) für alle 27 Mitgliedstaaten. Je nachdem, wie die endgültigen Zahlen für die übrigen drei Mitgliedstaaten ausfallen, könnte die Summe der von den 27 Mitgliedstaaten geforderten kumulierten Einsparungen für die Einhaltung der Zielvorgaben ausreichen.</w:t>
      </w:r>
      <w:r w:rsidRPr="00476171">
        <w:rPr>
          <w:rFonts w:ascii="Times New Roman" w:eastAsia="Times New Roman" w:hAnsi="Times New Roman" w:cs="Times New Roman"/>
          <w:noProof/>
          <w:sz w:val="24"/>
          <w:vertAlign w:val="superscript"/>
          <w:lang w:val="de-DE"/>
        </w:rPr>
        <w:footnoteReference w:id="27"/>
      </w:r>
    </w:p>
    <w:p w14:paraId="6110A455" w14:textId="5E6C0BE6" w:rsidR="00467E1D" w:rsidRPr="00476171" w:rsidRDefault="00467E1D" w:rsidP="00467E1D">
      <w:pPr>
        <w:spacing w:line="276" w:lineRule="auto"/>
        <w:jc w:val="both"/>
        <w:rPr>
          <w:rFonts w:ascii="Times New Roman" w:eastAsia="Times New Roman" w:hAnsi="Times New Roman" w:cs="Times New Roman"/>
          <w:noProof/>
          <w:sz w:val="24"/>
          <w:lang w:val="de-DE"/>
        </w:rPr>
      </w:pPr>
      <w:r w:rsidRPr="00476171">
        <w:rPr>
          <w:rFonts w:ascii="Times New Roman" w:hAnsi="Times New Roman"/>
          <w:noProof/>
          <w:sz w:val="24"/>
          <w:lang w:val="de-DE"/>
        </w:rPr>
        <w:t>Von den 24 Mitgliedstaaten, die Daten zu den erreichten Werten vorgelegt haben</w:t>
      </w:r>
      <w:r w:rsidRPr="00476171">
        <w:rPr>
          <w:rStyle w:val="FootnoteReference"/>
          <w:rFonts w:ascii="Times New Roman" w:eastAsia="Times New Roman" w:hAnsi="Times New Roman" w:cs="Times New Roman"/>
          <w:noProof/>
          <w:sz w:val="24"/>
          <w:lang w:val="de-DE"/>
        </w:rPr>
        <w:footnoteReference w:id="28"/>
      </w:r>
      <w:r w:rsidRPr="00476171">
        <w:rPr>
          <w:rFonts w:ascii="Times New Roman" w:hAnsi="Times New Roman"/>
          <w:noProof/>
          <w:sz w:val="24"/>
          <w:lang w:val="de-DE"/>
        </w:rPr>
        <w:t>, haben 14 Mitgliedstaaten ihre Energieeinsparverpflichtung erfüllt. Sieben Mitgliedstaaten – Österreich, Zypern, Dänemark, Estland, Finnland, Irland und die Niederlande – haben ihre Energieeinsparverpflichtung um mehr als 20 % übererfüllt, Österreich, Dänemark und Finnland sogar um mehr als 50 %. Sechs Mitgliedstaaten – Frankreich, Lettland, Litauen, Malta, die Slowakei und Schweden – haben ihre Energieeinsparverpflichtung um 5 bis 18 % übererfüllt. Belgien ist seiner Energiesparverpflichtung nachgekommen, mit einem Plus von ca. 1 %.</w:t>
      </w:r>
    </w:p>
    <w:p w14:paraId="7C4EB273" w14:textId="7721A07B" w:rsidR="00DC7EB3" w:rsidRPr="00476171" w:rsidRDefault="00B4782D" w:rsidP="001B1874">
      <w:pPr>
        <w:spacing w:line="276" w:lineRule="auto"/>
        <w:jc w:val="both"/>
        <w:rPr>
          <w:rFonts w:ascii="Times New Roman" w:eastAsia="Times New Roman" w:hAnsi="Times New Roman" w:cs="Times New Roman"/>
          <w:noProof/>
          <w:sz w:val="24"/>
          <w:lang w:val="de-DE"/>
        </w:rPr>
      </w:pPr>
      <w:r w:rsidRPr="00476171">
        <w:rPr>
          <w:rFonts w:ascii="Times New Roman" w:hAnsi="Times New Roman"/>
          <w:noProof/>
          <w:sz w:val="24"/>
          <w:lang w:val="de-DE"/>
        </w:rPr>
        <w:t>Zehn Mitgliedstaaten haben ihre Energieeinsparverpflichtung nicht erfüllt, davon haben vier Mitgliedstaaten, nämlich Bulgarien, Italien, Slowenien und Spanien, ihre Energieeinsparverpflichtung um weniger als 10 % verfehlt. Deutschland hat seine Energieeinsparverpflichtung um ca. 12 % verfehlt. Vier Mitgliedstaaten – Tschechien, Griechenland, Polen und Portugal – verfehlten ihre Energieeinsparverpflichtung um 25 % bis 30 %. Luxemburg hat seine Energieeinsparverpflichtung um ca. 48 % verfehlt.</w:t>
      </w:r>
    </w:p>
    <w:p w14:paraId="3B134743" w14:textId="16B69E0E" w:rsidR="45DFE568" w:rsidRPr="00476171" w:rsidRDefault="45DFE568" w:rsidP="00FF3E37">
      <w:pPr>
        <w:keepNext/>
        <w:spacing w:line="276" w:lineRule="auto"/>
        <w:jc w:val="center"/>
        <w:rPr>
          <w:rFonts w:ascii="Times New Roman" w:eastAsia="Times New Roman" w:hAnsi="Times New Roman" w:cs="Times New Roman"/>
          <w:noProof/>
          <w:sz w:val="20"/>
          <w:lang w:val="de-DE"/>
        </w:rPr>
      </w:pPr>
      <w:r w:rsidRPr="00476171">
        <w:rPr>
          <w:rFonts w:ascii="Times New Roman" w:hAnsi="Times New Roman"/>
          <w:b/>
          <w:noProof/>
          <w:sz w:val="20"/>
          <w:lang w:val="de-DE"/>
        </w:rPr>
        <w:t>Tabelle 5:</w:t>
      </w:r>
      <w:r w:rsidRPr="00476171">
        <w:rPr>
          <w:rFonts w:ascii="Times New Roman" w:hAnsi="Times New Roman"/>
          <w:noProof/>
          <w:sz w:val="20"/>
          <w:lang w:val="de-DE"/>
        </w:rPr>
        <w:t xml:space="preserve"> Von den Mitgliedstaaten gemeldete kumulierte Energieeinsparungen im Zeitraum 2014–2020 im Vergleich zu den nach Artikel 7 der Energieeffizienzrichtlinie geforderten kumulierten Energieeinsparungen im Zeitraum 2014–2020 (in kt RÖE)</w:t>
      </w:r>
    </w:p>
    <w:tbl>
      <w:tblPr>
        <w:tblStyle w:val="TableGrid"/>
        <w:tblW w:w="0" w:type="auto"/>
        <w:jc w:val="center"/>
        <w:tblLook w:val="06A0" w:firstRow="1" w:lastRow="0" w:firstColumn="1" w:lastColumn="0" w:noHBand="1" w:noVBand="1"/>
      </w:tblPr>
      <w:tblGrid>
        <w:gridCol w:w="1380"/>
        <w:gridCol w:w="1857"/>
        <w:gridCol w:w="1857"/>
        <w:gridCol w:w="1425"/>
      </w:tblGrid>
      <w:tr w:rsidR="003A1755" w:rsidRPr="00476171" w14:paraId="0A042A84" w14:textId="77777777" w:rsidTr="003A1755">
        <w:trPr>
          <w:trHeight w:val="990"/>
          <w:jc w:val="center"/>
        </w:trPr>
        <w:tc>
          <w:tcPr>
            <w:tcW w:w="1380" w:type="dxa"/>
            <w:tcBorders>
              <w:top w:val="single" w:sz="8" w:space="0" w:color="0070C0"/>
              <w:left w:val="single" w:sz="8" w:space="0" w:color="0070C0"/>
              <w:bottom w:val="single" w:sz="8" w:space="0" w:color="0070C0"/>
              <w:right w:val="single" w:sz="8" w:space="0" w:color="0070C0"/>
            </w:tcBorders>
            <w:shd w:val="clear" w:color="auto" w:fill="B9E4FF"/>
            <w:vAlign w:val="center"/>
          </w:tcPr>
          <w:p w14:paraId="24A5031E" w14:textId="77777777" w:rsidR="003A1755" w:rsidRPr="00476171" w:rsidRDefault="003A1755">
            <w:pPr>
              <w:spacing w:line="276" w:lineRule="auto"/>
              <w:jc w:val="center"/>
              <w:rPr>
                <w:rFonts w:ascii="Times New Roman" w:eastAsia="Calibri" w:hAnsi="Times New Roman" w:cs="Times New Roman"/>
                <w:b/>
                <w:noProof/>
                <w:color w:val="000000" w:themeColor="text1"/>
                <w:sz w:val="18"/>
                <w:lang w:val="de-DE"/>
              </w:rPr>
            </w:pPr>
          </w:p>
        </w:tc>
        <w:tc>
          <w:tcPr>
            <w:tcW w:w="1590" w:type="dxa"/>
            <w:tcBorders>
              <w:top w:val="single" w:sz="8" w:space="0" w:color="0070C0"/>
              <w:left w:val="single" w:sz="8" w:space="0" w:color="0070C0"/>
              <w:bottom w:val="single" w:sz="8" w:space="0" w:color="0070C0"/>
              <w:right w:val="single" w:sz="8" w:space="0" w:color="0070C0"/>
            </w:tcBorders>
            <w:shd w:val="clear" w:color="auto" w:fill="B9E4FF"/>
            <w:vAlign w:val="center"/>
            <w:hideMark/>
          </w:tcPr>
          <w:p w14:paraId="69755536" w14:textId="77777777" w:rsidR="003A1755" w:rsidRPr="00476171" w:rsidRDefault="003A1755">
            <w:pPr>
              <w:spacing w:line="276" w:lineRule="auto"/>
              <w:jc w:val="center"/>
              <w:rPr>
                <w:rFonts w:ascii="Times New Roman" w:hAnsi="Times New Roman" w:cs="Times New Roman"/>
                <w:noProof/>
                <w:sz w:val="18"/>
                <w:lang w:val="de-DE"/>
              </w:rPr>
            </w:pPr>
            <w:r w:rsidRPr="00476171">
              <w:rPr>
                <w:rFonts w:ascii="Times New Roman" w:hAnsi="Times New Roman"/>
                <w:b/>
                <w:noProof/>
                <w:color w:val="000000" w:themeColor="text1"/>
                <w:sz w:val="18"/>
                <w:lang w:val="de-DE"/>
              </w:rPr>
              <w:t>GEMELDETE kumulierte Energieeinsparungen im Zeitraum 2014–2020</w:t>
            </w:r>
          </w:p>
        </w:tc>
        <w:tc>
          <w:tcPr>
            <w:tcW w:w="1560" w:type="dxa"/>
            <w:tcBorders>
              <w:top w:val="single" w:sz="8" w:space="0" w:color="0070C0"/>
              <w:left w:val="single" w:sz="8" w:space="0" w:color="0070C0"/>
              <w:bottom w:val="single" w:sz="8" w:space="0" w:color="0070C0"/>
              <w:right w:val="single" w:sz="8" w:space="0" w:color="0070C0"/>
            </w:tcBorders>
            <w:shd w:val="clear" w:color="auto" w:fill="B9E4FF"/>
            <w:vAlign w:val="center"/>
            <w:hideMark/>
          </w:tcPr>
          <w:p w14:paraId="5552E51D" w14:textId="77777777" w:rsidR="003A1755" w:rsidRPr="00476171" w:rsidRDefault="003A1755">
            <w:pPr>
              <w:spacing w:line="276" w:lineRule="auto"/>
              <w:jc w:val="center"/>
              <w:rPr>
                <w:rFonts w:ascii="Times New Roman" w:hAnsi="Times New Roman" w:cs="Times New Roman"/>
                <w:noProof/>
                <w:sz w:val="18"/>
                <w:lang w:val="de-DE"/>
              </w:rPr>
            </w:pPr>
            <w:r w:rsidRPr="00476171">
              <w:rPr>
                <w:rFonts w:ascii="Times New Roman" w:hAnsi="Times New Roman"/>
                <w:b/>
                <w:noProof/>
                <w:color w:val="000000" w:themeColor="text1"/>
                <w:sz w:val="18"/>
                <w:lang w:val="de-DE"/>
              </w:rPr>
              <w:t>GEFORDERTE kumulierte Energieeinsparungen im Zeitraum 2014–2020</w:t>
            </w:r>
          </w:p>
        </w:tc>
        <w:tc>
          <w:tcPr>
            <w:tcW w:w="1425" w:type="dxa"/>
            <w:tcBorders>
              <w:top w:val="single" w:sz="8" w:space="0" w:color="0070C0"/>
              <w:left w:val="single" w:sz="8" w:space="0" w:color="0070C0"/>
              <w:bottom w:val="single" w:sz="8" w:space="0" w:color="0070C0"/>
              <w:right w:val="single" w:sz="8" w:space="0" w:color="0070C0"/>
            </w:tcBorders>
            <w:shd w:val="clear" w:color="auto" w:fill="B9E4FF"/>
            <w:vAlign w:val="center"/>
            <w:hideMark/>
          </w:tcPr>
          <w:p w14:paraId="682C63F9" w14:textId="77777777" w:rsidR="003A1755" w:rsidRPr="00476171" w:rsidRDefault="003A1755">
            <w:pPr>
              <w:spacing w:line="276" w:lineRule="auto"/>
              <w:jc w:val="center"/>
              <w:rPr>
                <w:rFonts w:ascii="Times New Roman" w:hAnsi="Times New Roman" w:cs="Times New Roman"/>
                <w:noProof/>
                <w:sz w:val="18"/>
                <w:lang w:val="de-DE"/>
              </w:rPr>
            </w:pPr>
            <w:r w:rsidRPr="00476171">
              <w:rPr>
                <w:rFonts w:ascii="Times New Roman" w:hAnsi="Times New Roman"/>
                <w:b/>
                <w:noProof/>
                <w:color w:val="000000" w:themeColor="text1"/>
                <w:sz w:val="18"/>
                <w:lang w:val="de-DE"/>
              </w:rPr>
              <w:t>Erreichte Quote</w:t>
            </w:r>
          </w:p>
        </w:tc>
      </w:tr>
      <w:tr w:rsidR="003A1755" w:rsidRPr="00476171" w14:paraId="626CBDDB"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5CDFC25F"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Österreich</w:t>
            </w:r>
          </w:p>
        </w:tc>
        <w:tc>
          <w:tcPr>
            <w:tcW w:w="1590" w:type="dxa"/>
            <w:tcBorders>
              <w:top w:val="single" w:sz="8" w:space="0" w:color="0070C0"/>
              <w:left w:val="single" w:sz="8" w:space="0" w:color="0070C0"/>
              <w:bottom w:val="single" w:sz="8" w:space="0" w:color="0070C0"/>
              <w:right w:val="single" w:sz="8" w:space="0" w:color="0070C0"/>
            </w:tcBorders>
            <w:hideMark/>
          </w:tcPr>
          <w:p w14:paraId="0F30AE1A" w14:textId="2429A382" w:rsidR="003A1755" w:rsidRPr="00476171" w:rsidRDefault="003A1755">
            <w:pPr>
              <w:spacing w:line="276" w:lineRule="auto"/>
              <w:jc w:val="right"/>
              <w:rPr>
                <w:rFonts w:ascii="Times New Roman" w:eastAsia="Calibri" w:hAnsi="Times New Roman" w:cs="Times New Roman"/>
                <w:noProof/>
                <w:sz w:val="18"/>
                <w:lang w:val="de-DE"/>
              </w:rPr>
            </w:pPr>
            <w:r w:rsidRPr="00476171">
              <w:rPr>
                <w:rFonts w:ascii="Times New Roman" w:hAnsi="Times New Roman"/>
                <w:noProof/>
                <w:sz w:val="18"/>
                <w:lang w:val="de-DE"/>
              </w:rPr>
              <w:t>10 309</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5993CB06" w14:textId="7052EDE8"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5 200</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15E08C22"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198 %</w:t>
            </w:r>
          </w:p>
        </w:tc>
      </w:tr>
      <w:tr w:rsidR="003A1755" w:rsidRPr="00476171" w14:paraId="5473A6FA"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00BC5BAB"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Belgien</w:t>
            </w:r>
          </w:p>
        </w:tc>
        <w:tc>
          <w:tcPr>
            <w:tcW w:w="1590" w:type="dxa"/>
            <w:tcBorders>
              <w:top w:val="single" w:sz="8" w:space="0" w:color="0070C0"/>
              <w:left w:val="single" w:sz="8" w:space="0" w:color="0070C0"/>
              <w:bottom w:val="single" w:sz="8" w:space="0" w:color="0070C0"/>
              <w:right w:val="single" w:sz="8" w:space="0" w:color="0070C0"/>
            </w:tcBorders>
            <w:hideMark/>
          </w:tcPr>
          <w:p w14:paraId="5515722E" w14:textId="2E497AC4" w:rsidR="003A1755" w:rsidRPr="00476171" w:rsidRDefault="003A1755">
            <w:pPr>
              <w:spacing w:line="276" w:lineRule="auto"/>
              <w:jc w:val="right"/>
              <w:rPr>
                <w:rFonts w:ascii="Times New Roman" w:eastAsia="Calibri" w:hAnsi="Times New Roman" w:cs="Times New Roman"/>
                <w:noProof/>
                <w:sz w:val="18"/>
                <w:lang w:val="de-DE"/>
              </w:rPr>
            </w:pPr>
            <w:r w:rsidRPr="00476171">
              <w:rPr>
                <w:rFonts w:ascii="Times New Roman" w:hAnsi="Times New Roman"/>
                <w:noProof/>
                <w:sz w:val="18"/>
                <w:lang w:val="de-DE"/>
              </w:rPr>
              <w:t>6 815</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32CA3E5B" w14:textId="6C170D3A"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6 759</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13C700BA"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101 %</w:t>
            </w:r>
          </w:p>
        </w:tc>
      </w:tr>
      <w:tr w:rsidR="003A1755" w:rsidRPr="00476171" w14:paraId="130AB611"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73D9A2A1"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Bulgarien</w:t>
            </w:r>
          </w:p>
        </w:tc>
        <w:tc>
          <w:tcPr>
            <w:tcW w:w="1590" w:type="dxa"/>
            <w:tcBorders>
              <w:top w:val="single" w:sz="8" w:space="0" w:color="0070C0"/>
              <w:left w:val="single" w:sz="8" w:space="0" w:color="0070C0"/>
              <w:bottom w:val="single" w:sz="8" w:space="0" w:color="0070C0"/>
              <w:right w:val="single" w:sz="8" w:space="0" w:color="0070C0"/>
            </w:tcBorders>
            <w:hideMark/>
          </w:tcPr>
          <w:p w14:paraId="7F40E435" w14:textId="1E2370BA"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1 785</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777FD0D8" w14:textId="58FC4EA4"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1 942</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7D7BD797"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92 %</w:t>
            </w:r>
          </w:p>
        </w:tc>
      </w:tr>
      <w:tr w:rsidR="003A1755" w:rsidRPr="00476171" w14:paraId="684501BE"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1CF7678B" w14:textId="77777777" w:rsidR="003A1755" w:rsidRPr="00476171" w:rsidRDefault="003A1755">
            <w:pPr>
              <w:spacing w:line="276" w:lineRule="auto"/>
              <w:jc w:val="both"/>
              <w:rPr>
                <w:rFonts w:ascii="Times New Roman" w:eastAsia="Calibri" w:hAnsi="Times New Roman" w:cs="Times New Roman"/>
                <w:b/>
                <w:noProof/>
                <w:color w:val="000000" w:themeColor="text1"/>
                <w:sz w:val="18"/>
                <w:vertAlign w:val="superscript"/>
                <w:lang w:val="de-DE"/>
              </w:rPr>
            </w:pPr>
            <w:r w:rsidRPr="00476171">
              <w:rPr>
                <w:rFonts w:ascii="Times New Roman" w:hAnsi="Times New Roman"/>
                <w:b/>
                <w:noProof/>
                <w:color w:val="000000" w:themeColor="text1"/>
                <w:sz w:val="18"/>
                <w:lang w:val="de-DE"/>
              </w:rPr>
              <w:t>Kroatien</w:t>
            </w:r>
          </w:p>
        </w:tc>
        <w:tc>
          <w:tcPr>
            <w:tcW w:w="1590" w:type="dxa"/>
            <w:tcBorders>
              <w:top w:val="single" w:sz="8" w:space="0" w:color="0070C0"/>
              <w:left w:val="single" w:sz="8" w:space="0" w:color="0070C0"/>
              <w:bottom w:val="single" w:sz="8" w:space="0" w:color="0070C0"/>
              <w:right w:val="single" w:sz="8" w:space="0" w:color="0070C0"/>
            </w:tcBorders>
            <w:shd w:val="clear" w:color="auto" w:fill="808080" w:themeFill="background1" w:themeFillShade="80"/>
            <w:hideMark/>
          </w:tcPr>
          <w:p w14:paraId="5A4C1044" w14:textId="7777777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 xml:space="preserve"> </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3318F990" w14:textId="2A6BDA31"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1 296</w:t>
            </w:r>
          </w:p>
        </w:tc>
        <w:tc>
          <w:tcPr>
            <w:tcW w:w="1425" w:type="dxa"/>
            <w:tcBorders>
              <w:top w:val="single" w:sz="8" w:space="0" w:color="0070C0"/>
              <w:left w:val="single" w:sz="8" w:space="0" w:color="0070C0"/>
              <w:bottom w:val="single" w:sz="8" w:space="0" w:color="0070C0"/>
              <w:right w:val="single" w:sz="8" w:space="0" w:color="0070C0"/>
            </w:tcBorders>
            <w:shd w:val="clear" w:color="auto" w:fill="808080" w:themeFill="background1" w:themeFillShade="80"/>
            <w:hideMark/>
          </w:tcPr>
          <w:p w14:paraId="602AE2A0" w14:textId="77777777" w:rsidR="003A1755" w:rsidRPr="00476171" w:rsidRDefault="003A1755">
            <w:pPr>
              <w:spacing w:line="276" w:lineRule="auto"/>
              <w:jc w:val="center"/>
              <w:rPr>
                <w:rFonts w:ascii="Times New Roman" w:eastAsia="Calibri" w:hAnsi="Times New Roman" w:cs="Times New Roman"/>
                <w:b/>
                <w:noProof/>
                <w:color w:val="000000" w:themeColor="text1"/>
                <w:sz w:val="18"/>
                <w:lang w:val="de-DE"/>
              </w:rPr>
            </w:pPr>
            <w:r w:rsidRPr="00476171">
              <w:rPr>
                <w:rFonts w:ascii="Times New Roman" w:hAnsi="Times New Roman"/>
                <w:b/>
                <w:noProof/>
                <w:color w:val="000000" w:themeColor="text1"/>
                <w:sz w:val="18"/>
                <w:lang w:val="de-DE"/>
              </w:rPr>
              <w:t xml:space="preserve"> </w:t>
            </w:r>
          </w:p>
        </w:tc>
      </w:tr>
      <w:tr w:rsidR="003A1755" w:rsidRPr="00476171" w14:paraId="2244A5FA"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3A60CC43"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Zypern</w:t>
            </w:r>
          </w:p>
        </w:tc>
        <w:tc>
          <w:tcPr>
            <w:tcW w:w="1590" w:type="dxa"/>
            <w:tcBorders>
              <w:top w:val="single" w:sz="8" w:space="0" w:color="0070C0"/>
              <w:left w:val="single" w:sz="8" w:space="0" w:color="0070C0"/>
              <w:bottom w:val="single" w:sz="8" w:space="0" w:color="0070C0"/>
              <w:right w:val="single" w:sz="8" w:space="0" w:color="0070C0"/>
            </w:tcBorders>
            <w:hideMark/>
          </w:tcPr>
          <w:p w14:paraId="2E88F1F2" w14:textId="7777777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325</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56B68EF4" w14:textId="7777777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242</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34970FC4"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134 %</w:t>
            </w:r>
          </w:p>
        </w:tc>
      </w:tr>
      <w:tr w:rsidR="003A1755" w:rsidRPr="00476171" w14:paraId="576623EA"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3EA01E25"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Tschechien</w:t>
            </w:r>
          </w:p>
        </w:tc>
        <w:tc>
          <w:tcPr>
            <w:tcW w:w="1590" w:type="dxa"/>
            <w:tcBorders>
              <w:top w:val="single" w:sz="8" w:space="0" w:color="0070C0"/>
              <w:left w:val="single" w:sz="8" w:space="0" w:color="0070C0"/>
              <w:bottom w:val="single" w:sz="8" w:space="0" w:color="0070C0"/>
              <w:right w:val="single" w:sz="8" w:space="0" w:color="0070C0"/>
            </w:tcBorders>
            <w:hideMark/>
          </w:tcPr>
          <w:p w14:paraId="1FB13F5E" w14:textId="29A20078" w:rsidR="003A1755" w:rsidRPr="00476171" w:rsidRDefault="003A1755">
            <w:pPr>
              <w:spacing w:line="276" w:lineRule="auto"/>
              <w:jc w:val="right"/>
              <w:rPr>
                <w:rFonts w:ascii="Times New Roman" w:eastAsia="Calibri" w:hAnsi="Times New Roman" w:cs="Times New Roman"/>
                <w:noProof/>
                <w:sz w:val="18"/>
                <w:lang w:val="de-DE"/>
              </w:rPr>
            </w:pPr>
            <w:r w:rsidRPr="00476171">
              <w:rPr>
                <w:rFonts w:ascii="Times New Roman" w:hAnsi="Times New Roman"/>
                <w:noProof/>
                <w:sz w:val="18"/>
                <w:lang w:val="de-DE"/>
              </w:rPr>
              <w:t>3 459</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6DD8CF63" w14:textId="77E5A931"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4 882</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31990BCA"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71 %</w:t>
            </w:r>
          </w:p>
        </w:tc>
      </w:tr>
      <w:tr w:rsidR="003A1755" w:rsidRPr="00476171" w14:paraId="4731A8AA"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047CB88E"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Dänemark</w:t>
            </w:r>
          </w:p>
        </w:tc>
        <w:tc>
          <w:tcPr>
            <w:tcW w:w="1590" w:type="dxa"/>
            <w:tcBorders>
              <w:top w:val="single" w:sz="8" w:space="0" w:color="0070C0"/>
              <w:left w:val="single" w:sz="8" w:space="0" w:color="0070C0"/>
              <w:bottom w:val="single" w:sz="8" w:space="0" w:color="0070C0"/>
              <w:right w:val="single" w:sz="8" w:space="0" w:color="0070C0"/>
            </w:tcBorders>
            <w:hideMark/>
          </w:tcPr>
          <w:p w14:paraId="3FC0CC52" w14:textId="009D48AF"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5 821</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626B2A1F" w14:textId="0FC8CB9F"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3 841</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443BDA47"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151 %</w:t>
            </w:r>
          </w:p>
        </w:tc>
      </w:tr>
      <w:tr w:rsidR="003A1755" w:rsidRPr="00476171" w14:paraId="784C37AE"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5720578D"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Estland</w:t>
            </w:r>
          </w:p>
        </w:tc>
        <w:tc>
          <w:tcPr>
            <w:tcW w:w="1590" w:type="dxa"/>
            <w:tcBorders>
              <w:top w:val="single" w:sz="8" w:space="0" w:color="0070C0"/>
              <w:left w:val="single" w:sz="8" w:space="0" w:color="0070C0"/>
              <w:bottom w:val="single" w:sz="8" w:space="0" w:color="0070C0"/>
              <w:right w:val="single" w:sz="8" w:space="0" w:color="0070C0"/>
            </w:tcBorders>
            <w:hideMark/>
          </w:tcPr>
          <w:p w14:paraId="0ECB953E" w14:textId="77777777" w:rsidR="003A1755" w:rsidRPr="00476171" w:rsidRDefault="003A1755">
            <w:pPr>
              <w:spacing w:line="276" w:lineRule="auto"/>
              <w:jc w:val="right"/>
              <w:rPr>
                <w:rFonts w:ascii="Times New Roman" w:eastAsia="Calibri" w:hAnsi="Times New Roman" w:cs="Times New Roman"/>
                <w:noProof/>
                <w:sz w:val="18"/>
                <w:lang w:val="de-DE"/>
              </w:rPr>
            </w:pPr>
            <w:r w:rsidRPr="00476171">
              <w:rPr>
                <w:rFonts w:ascii="Times New Roman" w:hAnsi="Times New Roman"/>
                <w:noProof/>
                <w:sz w:val="18"/>
                <w:lang w:val="de-DE"/>
              </w:rPr>
              <w:t>790</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332916E8" w14:textId="7777777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610</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4A60A2A4"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130 %</w:t>
            </w:r>
          </w:p>
        </w:tc>
      </w:tr>
      <w:tr w:rsidR="003A1755" w:rsidRPr="00476171" w14:paraId="1243C4CA"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1F0100B4"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Finnland</w:t>
            </w:r>
          </w:p>
        </w:tc>
        <w:tc>
          <w:tcPr>
            <w:tcW w:w="1590" w:type="dxa"/>
            <w:tcBorders>
              <w:top w:val="single" w:sz="8" w:space="0" w:color="0070C0"/>
              <w:left w:val="single" w:sz="8" w:space="0" w:color="0070C0"/>
              <w:bottom w:val="single" w:sz="8" w:space="0" w:color="0070C0"/>
              <w:right w:val="single" w:sz="8" w:space="0" w:color="0070C0"/>
            </w:tcBorders>
            <w:hideMark/>
          </w:tcPr>
          <w:p w14:paraId="0484C1DA" w14:textId="5C17F06C"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7 831</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740D6E1B" w14:textId="3A29EB44"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4 213</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4245FE90"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186 %</w:t>
            </w:r>
          </w:p>
        </w:tc>
      </w:tr>
      <w:tr w:rsidR="003A1755" w:rsidRPr="00476171" w14:paraId="208C2615"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4CE13121"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Frankreich</w:t>
            </w:r>
          </w:p>
        </w:tc>
        <w:tc>
          <w:tcPr>
            <w:tcW w:w="1590" w:type="dxa"/>
            <w:tcBorders>
              <w:top w:val="single" w:sz="8" w:space="0" w:color="0070C0"/>
              <w:left w:val="single" w:sz="8" w:space="0" w:color="0070C0"/>
              <w:bottom w:val="single" w:sz="8" w:space="0" w:color="0070C0"/>
              <w:right w:val="single" w:sz="8" w:space="0" w:color="0070C0"/>
            </w:tcBorders>
            <w:hideMark/>
          </w:tcPr>
          <w:p w14:paraId="76269E38" w14:textId="3AF07DED" w:rsidR="003A1755" w:rsidRPr="00476171" w:rsidRDefault="003A1755">
            <w:pPr>
              <w:spacing w:line="276" w:lineRule="auto"/>
              <w:jc w:val="right"/>
              <w:rPr>
                <w:rFonts w:ascii="Times New Roman" w:eastAsia="Calibri" w:hAnsi="Times New Roman" w:cs="Times New Roman"/>
                <w:noProof/>
                <w:sz w:val="18"/>
                <w:lang w:val="de-DE"/>
              </w:rPr>
            </w:pPr>
            <w:r w:rsidRPr="00476171">
              <w:rPr>
                <w:rFonts w:ascii="Times New Roman" w:hAnsi="Times New Roman"/>
                <w:noProof/>
                <w:sz w:val="18"/>
                <w:lang w:val="de-DE"/>
              </w:rPr>
              <w:t>35 757</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4290C560" w14:textId="0A6AFA42"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31 384</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46F0D79B"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114 %</w:t>
            </w:r>
          </w:p>
        </w:tc>
      </w:tr>
      <w:tr w:rsidR="003A1755" w:rsidRPr="00476171" w14:paraId="6B41E381"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3B9DC620"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Deutschland</w:t>
            </w:r>
          </w:p>
        </w:tc>
        <w:tc>
          <w:tcPr>
            <w:tcW w:w="1590" w:type="dxa"/>
            <w:tcBorders>
              <w:top w:val="single" w:sz="8" w:space="0" w:color="0070C0"/>
              <w:left w:val="single" w:sz="8" w:space="0" w:color="0070C0"/>
              <w:bottom w:val="single" w:sz="8" w:space="0" w:color="0070C0"/>
              <w:right w:val="single" w:sz="8" w:space="0" w:color="0070C0"/>
            </w:tcBorders>
            <w:hideMark/>
          </w:tcPr>
          <w:p w14:paraId="2EC692F1" w14:textId="48FA41E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36 812</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12FFEED0" w14:textId="5B7C292A"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41 989</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7F794B12"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88 %</w:t>
            </w:r>
          </w:p>
        </w:tc>
      </w:tr>
      <w:tr w:rsidR="003A1755" w:rsidRPr="00476171" w14:paraId="721BC940"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59C1B057"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Griechenland</w:t>
            </w:r>
          </w:p>
        </w:tc>
        <w:tc>
          <w:tcPr>
            <w:tcW w:w="1590" w:type="dxa"/>
            <w:tcBorders>
              <w:top w:val="single" w:sz="8" w:space="0" w:color="0070C0"/>
              <w:left w:val="single" w:sz="8" w:space="0" w:color="0070C0"/>
              <w:bottom w:val="single" w:sz="8" w:space="0" w:color="0070C0"/>
              <w:right w:val="single" w:sz="8" w:space="0" w:color="0070C0"/>
            </w:tcBorders>
            <w:hideMark/>
          </w:tcPr>
          <w:p w14:paraId="7696E9C5" w14:textId="1A03CDF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2 450</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1693278D" w14:textId="640F10AE"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3 333</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2660FECD"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73 %</w:t>
            </w:r>
          </w:p>
        </w:tc>
      </w:tr>
      <w:tr w:rsidR="003A1755" w:rsidRPr="00476171" w14:paraId="755FBF13"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2F0480BB" w14:textId="77777777" w:rsidR="003A1755" w:rsidRPr="00476171" w:rsidRDefault="003A1755">
            <w:pPr>
              <w:spacing w:line="276" w:lineRule="auto"/>
              <w:jc w:val="both"/>
              <w:rPr>
                <w:rFonts w:ascii="Times New Roman" w:eastAsia="Calibri" w:hAnsi="Times New Roman" w:cs="Times New Roman"/>
                <w:b/>
                <w:noProof/>
                <w:color w:val="000000" w:themeColor="text1"/>
                <w:sz w:val="18"/>
                <w:vertAlign w:val="superscript"/>
                <w:lang w:val="de-DE"/>
              </w:rPr>
            </w:pPr>
            <w:r w:rsidRPr="00476171">
              <w:rPr>
                <w:rFonts w:ascii="Times New Roman" w:hAnsi="Times New Roman"/>
                <w:b/>
                <w:noProof/>
                <w:color w:val="000000" w:themeColor="text1"/>
                <w:sz w:val="18"/>
                <w:lang w:val="de-DE"/>
              </w:rPr>
              <w:t>Ungarn</w:t>
            </w:r>
          </w:p>
        </w:tc>
        <w:tc>
          <w:tcPr>
            <w:tcW w:w="1590" w:type="dxa"/>
            <w:tcBorders>
              <w:top w:val="single" w:sz="8" w:space="0" w:color="0070C0"/>
              <w:left w:val="single" w:sz="8" w:space="0" w:color="0070C0"/>
              <w:bottom w:val="single" w:sz="8" w:space="0" w:color="0070C0"/>
              <w:right w:val="single" w:sz="8" w:space="0" w:color="0070C0"/>
            </w:tcBorders>
            <w:shd w:val="clear" w:color="auto" w:fill="808080" w:themeFill="background1" w:themeFillShade="80"/>
            <w:hideMark/>
          </w:tcPr>
          <w:p w14:paraId="5ACB4FBD" w14:textId="7777777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 xml:space="preserve"> </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44BEDC47" w14:textId="245D0D8F"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4 001</w:t>
            </w:r>
          </w:p>
        </w:tc>
        <w:tc>
          <w:tcPr>
            <w:tcW w:w="1425" w:type="dxa"/>
            <w:tcBorders>
              <w:top w:val="single" w:sz="8" w:space="0" w:color="0070C0"/>
              <w:left w:val="single" w:sz="8" w:space="0" w:color="0070C0"/>
              <w:bottom w:val="single" w:sz="8" w:space="0" w:color="0070C0"/>
              <w:right w:val="single" w:sz="8" w:space="0" w:color="0070C0"/>
            </w:tcBorders>
            <w:shd w:val="clear" w:color="auto" w:fill="808080" w:themeFill="background1" w:themeFillShade="80"/>
            <w:hideMark/>
          </w:tcPr>
          <w:p w14:paraId="691568BB" w14:textId="77777777" w:rsidR="003A1755" w:rsidRPr="00476171" w:rsidRDefault="003A1755">
            <w:pPr>
              <w:spacing w:line="276" w:lineRule="auto"/>
              <w:jc w:val="center"/>
              <w:rPr>
                <w:rFonts w:ascii="Times New Roman" w:eastAsia="Calibri" w:hAnsi="Times New Roman" w:cs="Times New Roman"/>
                <w:b/>
                <w:noProof/>
                <w:color w:val="000000" w:themeColor="text1"/>
                <w:sz w:val="18"/>
                <w:lang w:val="de-DE"/>
              </w:rPr>
            </w:pPr>
            <w:r w:rsidRPr="00476171">
              <w:rPr>
                <w:rFonts w:ascii="Times New Roman" w:hAnsi="Times New Roman"/>
                <w:b/>
                <w:noProof/>
                <w:color w:val="000000" w:themeColor="text1"/>
                <w:sz w:val="18"/>
                <w:lang w:val="de-DE"/>
              </w:rPr>
              <w:t xml:space="preserve"> </w:t>
            </w:r>
          </w:p>
        </w:tc>
      </w:tr>
      <w:tr w:rsidR="003A1755" w:rsidRPr="00476171" w14:paraId="7A81B14D"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75322061"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Irland</w:t>
            </w:r>
          </w:p>
        </w:tc>
        <w:tc>
          <w:tcPr>
            <w:tcW w:w="1590" w:type="dxa"/>
            <w:tcBorders>
              <w:top w:val="single" w:sz="8" w:space="0" w:color="0070C0"/>
              <w:left w:val="single" w:sz="8" w:space="0" w:color="0070C0"/>
              <w:bottom w:val="single" w:sz="8" w:space="0" w:color="0070C0"/>
              <w:right w:val="single" w:sz="8" w:space="0" w:color="0070C0"/>
            </w:tcBorders>
            <w:hideMark/>
          </w:tcPr>
          <w:p w14:paraId="1F111969" w14:textId="621B61E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2 627</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6E088179" w14:textId="092A14AD"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2 164</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575BDEDD" w14:textId="77777777" w:rsidR="003A1755" w:rsidRPr="00476171" w:rsidRDefault="003A1755">
            <w:pPr>
              <w:spacing w:line="276" w:lineRule="auto"/>
              <w:jc w:val="center"/>
              <w:rPr>
                <w:rFonts w:ascii="Times New Roman" w:eastAsia="Calibri" w:hAnsi="Times New Roman" w:cs="Times New Roman"/>
                <w:noProof/>
                <w:color w:val="000000" w:themeColor="text1"/>
                <w:sz w:val="18"/>
                <w:lang w:val="de-DE"/>
              </w:rPr>
            </w:pPr>
            <w:r w:rsidRPr="00476171">
              <w:rPr>
                <w:rFonts w:ascii="Times New Roman" w:hAnsi="Times New Roman"/>
                <w:noProof/>
                <w:color w:val="000000" w:themeColor="text1"/>
                <w:sz w:val="18"/>
                <w:lang w:val="de-DE"/>
              </w:rPr>
              <w:t>121 %</w:t>
            </w:r>
          </w:p>
        </w:tc>
      </w:tr>
      <w:tr w:rsidR="003A1755" w:rsidRPr="00476171" w14:paraId="7E166115"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5C7BE230"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Italien</w:t>
            </w:r>
          </w:p>
        </w:tc>
        <w:tc>
          <w:tcPr>
            <w:tcW w:w="1590" w:type="dxa"/>
            <w:tcBorders>
              <w:top w:val="single" w:sz="8" w:space="0" w:color="0070C0"/>
              <w:left w:val="single" w:sz="8" w:space="0" w:color="0070C0"/>
              <w:bottom w:val="single" w:sz="8" w:space="0" w:color="0070C0"/>
              <w:right w:val="single" w:sz="8" w:space="0" w:color="0070C0"/>
            </w:tcBorders>
            <w:hideMark/>
          </w:tcPr>
          <w:p w14:paraId="17A13829" w14:textId="3CD77160"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23 239</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1EF445E1" w14:textId="7A37D1E2"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25 502</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1C297912"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91 %</w:t>
            </w:r>
          </w:p>
        </w:tc>
      </w:tr>
      <w:tr w:rsidR="003A1755" w:rsidRPr="00476171" w14:paraId="4F44A355"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3B974FA6"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Lettland</w:t>
            </w:r>
          </w:p>
        </w:tc>
        <w:tc>
          <w:tcPr>
            <w:tcW w:w="1590" w:type="dxa"/>
            <w:tcBorders>
              <w:top w:val="single" w:sz="8" w:space="0" w:color="0070C0"/>
              <w:left w:val="single" w:sz="8" w:space="0" w:color="0070C0"/>
              <w:bottom w:val="single" w:sz="8" w:space="0" w:color="0070C0"/>
              <w:right w:val="single" w:sz="8" w:space="0" w:color="0070C0"/>
            </w:tcBorders>
            <w:hideMark/>
          </w:tcPr>
          <w:p w14:paraId="36D7783C" w14:textId="77777777" w:rsidR="003A1755" w:rsidRPr="00476171" w:rsidRDefault="003A1755">
            <w:pPr>
              <w:spacing w:line="276" w:lineRule="auto"/>
              <w:jc w:val="right"/>
              <w:rPr>
                <w:rFonts w:ascii="Times New Roman" w:eastAsia="Calibri" w:hAnsi="Times New Roman" w:cs="Times New Roman"/>
                <w:noProof/>
                <w:sz w:val="18"/>
                <w:lang w:val="de-DE"/>
              </w:rPr>
            </w:pPr>
            <w:r w:rsidRPr="00476171">
              <w:rPr>
                <w:rFonts w:ascii="Times New Roman" w:hAnsi="Times New Roman"/>
                <w:noProof/>
                <w:sz w:val="18"/>
                <w:lang w:val="de-DE"/>
              </w:rPr>
              <w:t>898</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032C62FA" w14:textId="7777777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851</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58DDC7BE"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106 %</w:t>
            </w:r>
          </w:p>
        </w:tc>
      </w:tr>
      <w:tr w:rsidR="003A1755" w:rsidRPr="00476171" w14:paraId="2511C10E"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173AE686"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Litauen</w:t>
            </w:r>
          </w:p>
        </w:tc>
        <w:tc>
          <w:tcPr>
            <w:tcW w:w="1590" w:type="dxa"/>
            <w:tcBorders>
              <w:top w:val="single" w:sz="8" w:space="0" w:color="0070C0"/>
              <w:left w:val="single" w:sz="8" w:space="0" w:color="0070C0"/>
              <w:bottom w:val="single" w:sz="8" w:space="0" w:color="0070C0"/>
              <w:right w:val="single" w:sz="8" w:space="0" w:color="0070C0"/>
            </w:tcBorders>
            <w:hideMark/>
          </w:tcPr>
          <w:p w14:paraId="49AA52B5" w14:textId="279FAEF4"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1 115</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2633D427" w14:textId="681FAA09"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1 004</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2D5EB350"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111 %</w:t>
            </w:r>
          </w:p>
        </w:tc>
      </w:tr>
      <w:tr w:rsidR="003A1755" w:rsidRPr="00476171" w14:paraId="661368E1"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35280A62"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Luxemburg</w:t>
            </w:r>
          </w:p>
        </w:tc>
        <w:tc>
          <w:tcPr>
            <w:tcW w:w="1590" w:type="dxa"/>
            <w:tcBorders>
              <w:top w:val="single" w:sz="8" w:space="0" w:color="0070C0"/>
              <w:left w:val="single" w:sz="8" w:space="0" w:color="0070C0"/>
              <w:bottom w:val="single" w:sz="8" w:space="0" w:color="0070C0"/>
              <w:right w:val="single" w:sz="8" w:space="0" w:color="0070C0"/>
            </w:tcBorders>
            <w:hideMark/>
          </w:tcPr>
          <w:p w14:paraId="5C231257" w14:textId="7777777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267</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48836B0C" w14:textId="7777777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515</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74AE8439"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52 %</w:t>
            </w:r>
          </w:p>
        </w:tc>
      </w:tr>
      <w:tr w:rsidR="003A1755" w:rsidRPr="00476171" w14:paraId="7B2C6F74"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11AB686B"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Malta</w:t>
            </w:r>
          </w:p>
        </w:tc>
        <w:tc>
          <w:tcPr>
            <w:tcW w:w="1590" w:type="dxa"/>
            <w:tcBorders>
              <w:top w:val="single" w:sz="8" w:space="0" w:color="0070C0"/>
              <w:left w:val="single" w:sz="8" w:space="0" w:color="0070C0"/>
              <w:bottom w:val="single" w:sz="8" w:space="0" w:color="0070C0"/>
              <w:right w:val="single" w:sz="8" w:space="0" w:color="0070C0"/>
            </w:tcBorders>
            <w:hideMark/>
          </w:tcPr>
          <w:p w14:paraId="77D17AD4" w14:textId="7777777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78</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3A620C6E" w14:textId="7777777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67</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5E83A3B6"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116 %</w:t>
            </w:r>
          </w:p>
        </w:tc>
      </w:tr>
      <w:tr w:rsidR="003A1755" w:rsidRPr="00476171" w14:paraId="30FC9252"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72BCBC62"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Niederlande</w:t>
            </w:r>
          </w:p>
        </w:tc>
        <w:tc>
          <w:tcPr>
            <w:tcW w:w="1590" w:type="dxa"/>
            <w:tcBorders>
              <w:top w:val="single" w:sz="8" w:space="0" w:color="0070C0"/>
              <w:left w:val="single" w:sz="8" w:space="0" w:color="0070C0"/>
              <w:bottom w:val="single" w:sz="8" w:space="0" w:color="0070C0"/>
              <w:right w:val="single" w:sz="8" w:space="0" w:color="0070C0"/>
            </w:tcBorders>
            <w:hideMark/>
          </w:tcPr>
          <w:p w14:paraId="4D93F68F" w14:textId="382BF47B"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16 043</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4066A8A3" w14:textId="148BC24F"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11 512</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3D604324"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139 %</w:t>
            </w:r>
          </w:p>
        </w:tc>
      </w:tr>
      <w:tr w:rsidR="003A1755" w:rsidRPr="00476171" w14:paraId="32D8C80E"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64863040"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Polen</w:t>
            </w:r>
          </w:p>
        </w:tc>
        <w:tc>
          <w:tcPr>
            <w:tcW w:w="1590" w:type="dxa"/>
            <w:tcBorders>
              <w:top w:val="single" w:sz="8" w:space="0" w:color="0070C0"/>
              <w:left w:val="single" w:sz="8" w:space="0" w:color="0070C0"/>
              <w:bottom w:val="single" w:sz="8" w:space="0" w:color="0070C0"/>
              <w:right w:val="single" w:sz="8" w:space="0" w:color="0070C0"/>
            </w:tcBorders>
            <w:hideMark/>
          </w:tcPr>
          <w:p w14:paraId="0AF5E6A3" w14:textId="4F00106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10 473</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169DB776" w14:textId="39434523"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14 818</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3B93DED8"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71 %</w:t>
            </w:r>
          </w:p>
        </w:tc>
      </w:tr>
      <w:tr w:rsidR="003A1755" w:rsidRPr="00476171" w14:paraId="5D7228ED"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417F94C8"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Portugal</w:t>
            </w:r>
          </w:p>
        </w:tc>
        <w:tc>
          <w:tcPr>
            <w:tcW w:w="1590" w:type="dxa"/>
            <w:tcBorders>
              <w:top w:val="single" w:sz="8" w:space="0" w:color="0070C0"/>
              <w:left w:val="single" w:sz="8" w:space="0" w:color="0070C0"/>
              <w:bottom w:val="single" w:sz="8" w:space="0" w:color="0070C0"/>
              <w:right w:val="single" w:sz="8" w:space="0" w:color="0070C0"/>
            </w:tcBorders>
            <w:hideMark/>
          </w:tcPr>
          <w:p w14:paraId="567B9260" w14:textId="36C5D2E0"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1 885</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5DAB3EEC" w14:textId="6CDD6D0F"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2 532</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0D99B99B"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74 %</w:t>
            </w:r>
          </w:p>
        </w:tc>
      </w:tr>
      <w:tr w:rsidR="003A1755" w:rsidRPr="00476171" w14:paraId="7E379D74"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7F990015" w14:textId="77777777" w:rsidR="003A1755" w:rsidRPr="00476171" w:rsidRDefault="003A1755">
            <w:pPr>
              <w:spacing w:line="276" w:lineRule="auto"/>
              <w:jc w:val="both"/>
              <w:rPr>
                <w:rFonts w:ascii="Times New Roman" w:eastAsia="Calibri" w:hAnsi="Times New Roman" w:cs="Times New Roman"/>
                <w:b/>
                <w:noProof/>
                <w:color w:val="000000" w:themeColor="text1"/>
                <w:sz w:val="18"/>
                <w:vertAlign w:val="superscript"/>
                <w:lang w:val="de-DE"/>
              </w:rPr>
            </w:pPr>
            <w:r w:rsidRPr="00476171">
              <w:rPr>
                <w:rFonts w:ascii="Times New Roman" w:hAnsi="Times New Roman"/>
                <w:b/>
                <w:noProof/>
                <w:color w:val="000000" w:themeColor="text1"/>
                <w:sz w:val="18"/>
                <w:lang w:val="de-DE"/>
              </w:rPr>
              <w:t>Rumänien</w:t>
            </w:r>
          </w:p>
        </w:tc>
        <w:tc>
          <w:tcPr>
            <w:tcW w:w="1590" w:type="dxa"/>
            <w:tcBorders>
              <w:top w:val="single" w:sz="8" w:space="0" w:color="0070C0"/>
              <w:left w:val="single" w:sz="8" w:space="0" w:color="0070C0"/>
              <w:bottom w:val="single" w:sz="8" w:space="0" w:color="0070C0"/>
              <w:right w:val="single" w:sz="8" w:space="0" w:color="0070C0"/>
            </w:tcBorders>
            <w:shd w:val="clear" w:color="auto" w:fill="808080" w:themeFill="background1" w:themeFillShade="80"/>
            <w:hideMark/>
          </w:tcPr>
          <w:p w14:paraId="2BA52CBA" w14:textId="7777777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 xml:space="preserve"> </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7AB1A239" w14:textId="297169D8"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5 511</w:t>
            </w:r>
          </w:p>
        </w:tc>
        <w:tc>
          <w:tcPr>
            <w:tcW w:w="1425" w:type="dxa"/>
            <w:tcBorders>
              <w:top w:val="single" w:sz="8" w:space="0" w:color="0070C0"/>
              <w:left w:val="single" w:sz="8" w:space="0" w:color="0070C0"/>
              <w:bottom w:val="single" w:sz="8" w:space="0" w:color="0070C0"/>
              <w:right w:val="single" w:sz="8" w:space="0" w:color="0070C0"/>
            </w:tcBorders>
            <w:shd w:val="clear" w:color="auto" w:fill="808080" w:themeFill="background1" w:themeFillShade="80"/>
            <w:hideMark/>
          </w:tcPr>
          <w:p w14:paraId="0BA96FED" w14:textId="77777777" w:rsidR="003A1755" w:rsidRPr="00476171" w:rsidRDefault="003A1755">
            <w:pPr>
              <w:spacing w:line="276" w:lineRule="auto"/>
              <w:jc w:val="center"/>
              <w:rPr>
                <w:rFonts w:ascii="Times New Roman" w:eastAsia="Calibri" w:hAnsi="Times New Roman" w:cs="Times New Roman"/>
                <w:b/>
                <w:noProof/>
                <w:color w:val="000000" w:themeColor="text1"/>
                <w:sz w:val="18"/>
                <w:lang w:val="de-DE"/>
              </w:rPr>
            </w:pPr>
            <w:r w:rsidRPr="00476171">
              <w:rPr>
                <w:rFonts w:ascii="Times New Roman" w:hAnsi="Times New Roman"/>
                <w:b/>
                <w:noProof/>
                <w:color w:val="000000" w:themeColor="text1"/>
                <w:sz w:val="18"/>
                <w:lang w:val="de-DE"/>
              </w:rPr>
              <w:t xml:space="preserve"> </w:t>
            </w:r>
          </w:p>
        </w:tc>
      </w:tr>
      <w:tr w:rsidR="003A1755" w:rsidRPr="00476171" w14:paraId="4EB7AFEC"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36A05A7C"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Slowakei</w:t>
            </w:r>
          </w:p>
        </w:tc>
        <w:tc>
          <w:tcPr>
            <w:tcW w:w="1590" w:type="dxa"/>
            <w:tcBorders>
              <w:top w:val="single" w:sz="8" w:space="0" w:color="0070C0"/>
              <w:left w:val="single" w:sz="8" w:space="0" w:color="0070C0"/>
              <w:bottom w:val="single" w:sz="8" w:space="0" w:color="0070C0"/>
              <w:right w:val="single" w:sz="8" w:space="0" w:color="0070C0"/>
            </w:tcBorders>
            <w:hideMark/>
          </w:tcPr>
          <w:p w14:paraId="40BC1DE4" w14:textId="458F0F1F" w:rsidR="003A1755" w:rsidRPr="00476171" w:rsidRDefault="003A1755">
            <w:pPr>
              <w:spacing w:line="276" w:lineRule="auto"/>
              <w:jc w:val="right"/>
              <w:rPr>
                <w:rFonts w:ascii="Times New Roman" w:eastAsia="Calibri" w:hAnsi="Times New Roman" w:cs="Times New Roman"/>
                <w:noProof/>
                <w:sz w:val="18"/>
                <w:lang w:val="de-DE"/>
              </w:rPr>
            </w:pPr>
            <w:r w:rsidRPr="00476171">
              <w:rPr>
                <w:rFonts w:ascii="Times New Roman" w:hAnsi="Times New Roman"/>
                <w:noProof/>
                <w:sz w:val="18"/>
                <w:lang w:val="de-DE"/>
              </w:rPr>
              <w:t>2 550</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0BD37B50" w14:textId="36DFCB2F"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2 284</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4B2E6A7A"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112 %</w:t>
            </w:r>
          </w:p>
        </w:tc>
      </w:tr>
      <w:tr w:rsidR="003A1755" w:rsidRPr="00476171" w14:paraId="5A0EE70E"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77E4D642"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Slowenien</w:t>
            </w:r>
          </w:p>
        </w:tc>
        <w:tc>
          <w:tcPr>
            <w:tcW w:w="1590" w:type="dxa"/>
            <w:tcBorders>
              <w:top w:val="single" w:sz="8" w:space="0" w:color="0070C0"/>
              <w:left w:val="single" w:sz="8" w:space="0" w:color="0070C0"/>
              <w:bottom w:val="single" w:sz="8" w:space="0" w:color="0070C0"/>
              <w:right w:val="single" w:sz="8" w:space="0" w:color="0070C0"/>
            </w:tcBorders>
            <w:hideMark/>
          </w:tcPr>
          <w:p w14:paraId="20FCA6E7" w14:textId="7777777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913</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179BA863" w14:textId="77777777"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945</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4997A7D8"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97 %</w:t>
            </w:r>
          </w:p>
        </w:tc>
      </w:tr>
      <w:tr w:rsidR="003A1755" w:rsidRPr="00476171" w14:paraId="5EBD7A89"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08C2D8E9"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Spanien</w:t>
            </w:r>
          </w:p>
        </w:tc>
        <w:tc>
          <w:tcPr>
            <w:tcW w:w="1590" w:type="dxa"/>
            <w:tcBorders>
              <w:top w:val="single" w:sz="8" w:space="0" w:color="0070C0"/>
              <w:left w:val="single" w:sz="8" w:space="0" w:color="0070C0"/>
              <w:bottom w:val="single" w:sz="8" w:space="0" w:color="0070C0"/>
              <w:right w:val="single" w:sz="8" w:space="0" w:color="0070C0"/>
            </w:tcBorders>
            <w:hideMark/>
          </w:tcPr>
          <w:p w14:paraId="3608076F" w14:textId="20355436"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15 207</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6D120E47" w14:textId="57E85238"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15 979</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68BABBA4"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95 %</w:t>
            </w:r>
          </w:p>
        </w:tc>
      </w:tr>
      <w:tr w:rsidR="003A1755" w:rsidRPr="00476171" w14:paraId="4ED82887" w14:textId="77777777" w:rsidTr="003A1755">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2612D28E" w14:textId="77777777" w:rsidR="003A1755" w:rsidRPr="00476171" w:rsidRDefault="003A1755">
            <w:pPr>
              <w:spacing w:line="276" w:lineRule="auto"/>
              <w:jc w:val="both"/>
              <w:rPr>
                <w:rFonts w:ascii="Times New Roman" w:hAnsi="Times New Roman" w:cs="Times New Roman"/>
                <w:noProof/>
                <w:sz w:val="18"/>
                <w:lang w:val="de-DE"/>
              </w:rPr>
            </w:pPr>
            <w:r w:rsidRPr="00476171">
              <w:rPr>
                <w:rFonts w:ascii="Times New Roman" w:hAnsi="Times New Roman"/>
                <w:b/>
                <w:noProof/>
                <w:color w:val="000000" w:themeColor="text1"/>
                <w:sz w:val="18"/>
                <w:lang w:val="de-DE"/>
              </w:rPr>
              <w:t>Schweden</w:t>
            </w:r>
          </w:p>
        </w:tc>
        <w:tc>
          <w:tcPr>
            <w:tcW w:w="1590" w:type="dxa"/>
            <w:tcBorders>
              <w:top w:val="single" w:sz="8" w:space="0" w:color="0070C0"/>
              <w:left w:val="single" w:sz="8" w:space="0" w:color="0070C0"/>
              <w:bottom w:val="single" w:sz="8" w:space="0" w:color="0070C0"/>
              <w:right w:val="single" w:sz="8" w:space="0" w:color="0070C0"/>
            </w:tcBorders>
            <w:hideMark/>
          </w:tcPr>
          <w:p w14:paraId="3B2463EF" w14:textId="74227ED8"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sz w:val="18"/>
                <w:lang w:val="de-DE"/>
              </w:rPr>
              <w:t>9 940</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7E1A9333" w14:textId="49A4CDD8" w:rsidR="003A1755" w:rsidRPr="00476171" w:rsidRDefault="003A1755">
            <w:pPr>
              <w:spacing w:line="276" w:lineRule="auto"/>
              <w:jc w:val="right"/>
              <w:rPr>
                <w:rFonts w:ascii="Times New Roman" w:hAnsi="Times New Roman" w:cs="Times New Roman"/>
                <w:noProof/>
                <w:sz w:val="18"/>
                <w:lang w:val="de-DE"/>
              </w:rPr>
            </w:pPr>
            <w:r w:rsidRPr="00476171">
              <w:rPr>
                <w:rFonts w:ascii="Times New Roman" w:hAnsi="Times New Roman"/>
                <w:noProof/>
                <w:color w:val="000000" w:themeColor="text1"/>
                <w:sz w:val="18"/>
                <w:lang w:val="de-DE"/>
              </w:rPr>
              <w:t>9 114</w:t>
            </w:r>
          </w:p>
        </w:tc>
        <w:tc>
          <w:tcPr>
            <w:tcW w:w="1425" w:type="dxa"/>
            <w:tcBorders>
              <w:top w:val="single" w:sz="8" w:space="0" w:color="0070C0"/>
              <w:left w:val="single" w:sz="8" w:space="0" w:color="0070C0"/>
              <w:bottom w:val="single" w:sz="8" w:space="0" w:color="0070C0"/>
              <w:right w:val="single" w:sz="8" w:space="0" w:color="0070C0"/>
            </w:tcBorders>
            <w:shd w:val="clear" w:color="auto" w:fill="FFFFFF" w:themeFill="background1"/>
            <w:hideMark/>
          </w:tcPr>
          <w:p w14:paraId="5C8E0163" w14:textId="77777777" w:rsidR="003A1755" w:rsidRPr="00476171" w:rsidRDefault="003A1755">
            <w:pPr>
              <w:spacing w:line="276" w:lineRule="auto"/>
              <w:jc w:val="center"/>
              <w:rPr>
                <w:rFonts w:ascii="Times New Roman" w:eastAsia="Times New Roman" w:hAnsi="Times New Roman" w:cs="Times New Roman"/>
                <w:noProof/>
                <w:sz w:val="18"/>
                <w:lang w:val="de-DE"/>
              </w:rPr>
            </w:pPr>
            <w:r w:rsidRPr="00476171">
              <w:rPr>
                <w:rFonts w:ascii="Times New Roman" w:hAnsi="Times New Roman"/>
                <w:noProof/>
                <w:sz w:val="18"/>
                <w:lang w:val="de-DE"/>
              </w:rPr>
              <w:t>109 %</w:t>
            </w:r>
          </w:p>
        </w:tc>
      </w:tr>
      <w:tr w:rsidR="003A1755" w:rsidRPr="00476171" w14:paraId="2A97CB1A" w14:textId="77777777" w:rsidTr="001B0A7C">
        <w:trPr>
          <w:trHeight w:val="300"/>
          <w:jc w:val="center"/>
        </w:trPr>
        <w:tc>
          <w:tcPr>
            <w:tcW w:w="1380" w:type="dxa"/>
            <w:tcBorders>
              <w:top w:val="single" w:sz="8" w:space="0" w:color="0070C0"/>
              <w:left w:val="single" w:sz="8" w:space="0" w:color="0070C0"/>
              <w:bottom w:val="single" w:sz="8" w:space="0" w:color="0070C0"/>
              <w:right w:val="single" w:sz="8" w:space="0" w:color="0070C0"/>
            </w:tcBorders>
            <w:vAlign w:val="center"/>
            <w:hideMark/>
          </w:tcPr>
          <w:p w14:paraId="55979CA8" w14:textId="77777777" w:rsidR="003A1755" w:rsidRPr="00476171" w:rsidRDefault="003A1755">
            <w:pPr>
              <w:spacing w:line="276" w:lineRule="auto"/>
              <w:jc w:val="both"/>
              <w:rPr>
                <w:rFonts w:ascii="Times New Roman" w:eastAsia="Calibri" w:hAnsi="Times New Roman" w:cs="Times New Roman"/>
                <w:i/>
                <w:noProof/>
                <w:color w:val="000000" w:themeColor="text1"/>
                <w:sz w:val="18"/>
                <w:lang w:val="de-DE"/>
              </w:rPr>
            </w:pPr>
            <w:r w:rsidRPr="00476171">
              <w:rPr>
                <w:rFonts w:ascii="Times New Roman" w:hAnsi="Times New Roman"/>
                <w:b/>
                <w:noProof/>
                <w:color w:val="000000" w:themeColor="text1"/>
                <w:sz w:val="18"/>
                <w:lang w:val="de-DE"/>
              </w:rPr>
              <w:t xml:space="preserve">GESAMT </w:t>
            </w:r>
          </w:p>
        </w:tc>
        <w:tc>
          <w:tcPr>
            <w:tcW w:w="1590" w:type="dxa"/>
            <w:tcBorders>
              <w:top w:val="single" w:sz="8" w:space="0" w:color="0070C0"/>
              <w:left w:val="single" w:sz="8" w:space="0" w:color="0070C0"/>
              <w:bottom w:val="single" w:sz="8" w:space="0" w:color="0070C0"/>
              <w:right w:val="single" w:sz="8" w:space="0" w:color="0070C0"/>
            </w:tcBorders>
            <w:hideMark/>
          </w:tcPr>
          <w:p w14:paraId="3461BC2A" w14:textId="1FB2D125" w:rsidR="003A1755" w:rsidRPr="00476171" w:rsidRDefault="003A1755">
            <w:pPr>
              <w:spacing w:line="276" w:lineRule="auto"/>
              <w:jc w:val="right"/>
              <w:rPr>
                <w:rFonts w:ascii="Times New Roman" w:eastAsia="Calibri" w:hAnsi="Times New Roman" w:cs="Times New Roman"/>
                <w:b/>
                <w:noProof/>
                <w:sz w:val="18"/>
                <w:lang w:val="de-DE"/>
              </w:rPr>
            </w:pPr>
            <w:r w:rsidRPr="00476171">
              <w:rPr>
                <w:rFonts w:ascii="Times New Roman" w:hAnsi="Times New Roman"/>
                <w:b/>
                <w:noProof/>
                <w:color w:val="000000" w:themeColor="text1"/>
                <w:sz w:val="18"/>
                <w:lang w:val="de-DE"/>
              </w:rPr>
              <w:t>197 389 *</w:t>
            </w:r>
          </w:p>
        </w:tc>
        <w:tc>
          <w:tcPr>
            <w:tcW w:w="1560" w:type="dxa"/>
            <w:tcBorders>
              <w:top w:val="single" w:sz="8" w:space="0" w:color="0070C0"/>
              <w:left w:val="single" w:sz="8" w:space="0" w:color="0070C0"/>
              <w:bottom w:val="single" w:sz="8" w:space="0" w:color="0070C0"/>
              <w:right w:val="single" w:sz="8" w:space="0" w:color="0070C0"/>
            </w:tcBorders>
            <w:vAlign w:val="center"/>
            <w:hideMark/>
          </w:tcPr>
          <w:p w14:paraId="247C56A6" w14:textId="09A9B573" w:rsidR="003A1755" w:rsidRPr="00476171" w:rsidRDefault="003A1755">
            <w:pPr>
              <w:spacing w:line="276" w:lineRule="auto"/>
              <w:jc w:val="right"/>
              <w:rPr>
                <w:rFonts w:ascii="Times New Roman" w:hAnsi="Times New Roman" w:cs="Times New Roman"/>
                <w:b/>
                <w:noProof/>
                <w:sz w:val="18"/>
                <w:lang w:val="de-DE"/>
              </w:rPr>
            </w:pPr>
            <w:r w:rsidRPr="00476171">
              <w:rPr>
                <w:rFonts w:ascii="Times New Roman" w:hAnsi="Times New Roman"/>
                <w:b/>
                <w:noProof/>
                <w:color w:val="000000" w:themeColor="text1"/>
                <w:sz w:val="18"/>
                <w:lang w:val="de-DE"/>
              </w:rPr>
              <w:t>202 489</w:t>
            </w:r>
          </w:p>
        </w:tc>
        <w:tc>
          <w:tcPr>
            <w:tcW w:w="1425" w:type="dxa"/>
            <w:tcBorders>
              <w:top w:val="single" w:sz="8" w:space="0" w:color="0070C0"/>
              <w:left w:val="single" w:sz="8" w:space="0" w:color="0070C0"/>
              <w:bottom w:val="single" w:sz="8" w:space="0" w:color="0070C0"/>
              <w:right w:val="single" w:sz="8" w:space="0" w:color="0070C0"/>
            </w:tcBorders>
            <w:vAlign w:val="center"/>
            <w:hideMark/>
          </w:tcPr>
          <w:p w14:paraId="5114EB68" w14:textId="430B398A" w:rsidR="003A1755" w:rsidRPr="00476171" w:rsidRDefault="003A1755" w:rsidP="001B0A7C">
            <w:pPr>
              <w:spacing w:line="276" w:lineRule="auto"/>
              <w:jc w:val="center"/>
              <w:rPr>
                <w:rFonts w:ascii="Times New Roman" w:eastAsia="Calibri" w:hAnsi="Times New Roman" w:cs="Times New Roman"/>
                <w:b/>
                <w:noProof/>
                <w:sz w:val="18"/>
                <w:lang w:val="de-DE"/>
              </w:rPr>
            </w:pPr>
            <w:r w:rsidRPr="00476171">
              <w:rPr>
                <w:rFonts w:ascii="Times New Roman" w:hAnsi="Times New Roman"/>
                <w:b/>
                <w:noProof/>
                <w:color w:val="000000" w:themeColor="text1"/>
                <w:sz w:val="18"/>
                <w:lang w:val="de-DE"/>
              </w:rPr>
              <w:t>97,5 % *</w:t>
            </w:r>
          </w:p>
        </w:tc>
      </w:tr>
    </w:tbl>
    <w:p w14:paraId="71DD0F56" w14:textId="4939BFDB" w:rsidR="45DFE568" w:rsidRPr="00476171" w:rsidRDefault="00A1524D" w:rsidP="001B1874">
      <w:pPr>
        <w:spacing w:line="276" w:lineRule="auto"/>
        <w:ind w:left="1440"/>
        <w:jc w:val="both"/>
        <w:rPr>
          <w:rFonts w:ascii="Times New Roman" w:eastAsia="Times New Roman" w:hAnsi="Times New Roman" w:cs="Times New Roman"/>
          <w:i/>
          <w:noProof/>
          <w:color w:val="000000" w:themeColor="text1"/>
          <w:sz w:val="18"/>
          <w:lang w:val="de-DE"/>
        </w:rPr>
      </w:pPr>
      <w:r w:rsidRPr="00476171">
        <w:rPr>
          <w:noProof/>
          <w:lang w:val="de-DE"/>
        </w:rPr>
        <w:tab/>
      </w:r>
      <w:r w:rsidRPr="00476171">
        <w:rPr>
          <w:rFonts w:ascii="Times New Roman" w:hAnsi="Times New Roman"/>
          <w:noProof/>
          <w:sz w:val="18"/>
          <w:lang w:val="de-DE"/>
        </w:rPr>
        <w:t>* Gesamt – 24 Mitgliedstaaten</w:t>
      </w:r>
    </w:p>
    <w:p w14:paraId="1D80A775" w14:textId="107C8017" w:rsidR="00DC7EB3" w:rsidRPr="00476171" w:rsidRDefault="45DFE568" w:rsidP="001B0A7C">
      <w:pPr>
        <w:spacing w:line="276" w:lineRule="auto"/>
        <w:jc w:val="center"/>
        <w:rPr>
          <w:rFonts w:ascii="Times New Roman" w:eastAsia="Times New Roman" w:hAnsi="Times New Roman" w:cs="Times New Roman"/>
          <w:noProof/>
          <w:color w:val="000000" w:themeColor="text1"/>
          <w:sz w:val="16"/>
          <w:lang w:val="de-DE"/>
        </w:rPr>
      </w:pPr>
      <w:r w:rsidRPr="00476171">
        <w:rPr>
          <w:rFonts w:ascii="Times New Roman" w:hAnsi="Times New Roman"/>
          <w:noProof/>
          <w:color w:val="000000" w:themeColor="text1"/>
          <w:sz w:val="16"/>
          <w:lang w:val="de-DE"/>
        </w:rPr>
        <w:t>Quelle: Von den Mitgliedstaaten gemeldete Informationen, ergänzt durch die Berechnungen der Kommission und, falls erforderlich, Schätzwerte.</w:t>
      </w:r>
      <w:r w:rsidRPr="00476171">
        <w:rPr>
          <w:rStyle w:val="FootnoteReference"/>
          <w:rFonts w:ascii="Times New Roman" w:hAnsi="Times New Roman"/>
          <w:b/>
          <w:noProof/>
          <w:color w:val="000000" w:themeColor="text1"/>
          <w:sz w:val="20"/>
          <w:lang w:val="de-DE"/>
        </w:rPr>
        <w:t xml:space="preserve"> </w:t>
      </w:r>
      <w:r w:rsidRPr="00476171">
        <w:rPr>
          <w:rStyle w:val="FootnoteReference"/>
          <w:rFonts w:ascii="Times New Roman" w:eastAsia="Calibri" w:hAnsi="Times New Roman" w:cs="Times New Roman"/>
          <w:b/>
          <w:noProof/>
          <w:color w:val="000000" w:themeColor="text1"/>
          <w:sz w:val="20"/>
          <w:lang w:val="de-DE"/>
        </w:rPr>
        <w:footnoteReference w:id="29"/>
      </w:r>
    </w:p>
    <w:p w14:paraId="697A26C9" w14:textId="417F9F37" w:rsidR="001B0A7C" w:rsidRPr="00476171" w:rsidRDefault="3DDC3F01" w:rsidP="001B1874">
      <w:pPr>
        <w:spacing w:line="276" w:lineRule="auto"/>
        <w:jc w:val="both"/>
        <w:rPr>
          <w:rFonts w:ascii="Times New Roman" w:eastAsia="Times New Roman" w:hAnsi="Times New Roman" w:cs="Times New Roman"/>
          <w:noProof/>
          <w:sz w:val="24"/>
          <w:lang w:val="de-DE"/>
        </w:rPr>
      </w:pPr>
      <w:r w:rsidRPr="00476171">
        <w:rPr>
          <w:rFonts w:ascii="Times New Roman" w:hAnsi="Times New Roman"/>
          <w:noProof/>
          <w:sz w:val="24"/>
          <w:lang w:val="de-DE"/>
        </w:rPr>
        <w:t>Es ist wichtig zu wissen, dass von allen strategischen Maßnahmen, die umgesetzt werden, Energieeffizienzverpflichtungssysteme (Energy Efficiency Obligation Systems, EEOS) für ca. 33 % der Energieeinsparungen sorgen, während Finanzierungsregelungen einen Beitrag von ca. 14 % leisten. Energie- und CO</w:t>
      </w:r>
      <w:r w:rsidRPr="00476171">
        <w:rPr>
          <w:rFonts w:ascii="Times New Roman" w:hAnsi="Times New Roman"/>
          <w:noProof/>
          <w:sz w:val="24"/>
          <w:vertAlign w:val="subscript"/>
          <w:lang w:val="de-DE"/>
        </w:rPr>
        <w:t>2</w:t>
      </w:r>
      <w:r w:rsidRPr="00476171">
        <w:rPr>
          <w:rFonts w:ascii="Times New Roman" w:hAnsi="Times New Roman"/>
          <w:noProof/>
          <w:sz w:val="24"/>
          <w:lang w:val="de-DE"/>
        </w:rPr>
        <w:t>-Steuern bewirken 17 % der insgesamt erzielten Energieeinsparungen (siehe Abbildung 7).</w:t>
      </w:r>
    </w:p>
    <w:p w14:paraId="1413EFEE" w14:textId="77777777" w:rsidR="001B0A7C" w:rsidRPr="00476171" w:rsidRDefault="001B0A7C" w:rsidP="001B1874">
      <w:pPr>
        <w:spacing w:line="276" w:lineRule="auto"/>
        <w:jc w:val="both"/>
        <w:rPr>
          <w:rFonts w:ascii="Times New Roman" w:eastAsia="Times New Roman" w:hAnsi="Times New Roman" w:cs="Times New Roman"/>
          <w:noProof/>
          <w:sz w:val="24"/>
          <w:lang w:val="de-DE"/>
        </w:rPr>
      </w:pPr>
    </w:p>
    <w:p w14:paraId="07BAD5AA" w14:textId="28FE938E" w:rsidR="00267004" w:rsidRPr="00476171" w:rsidRDefault="00992061" w:rsidP="001B1874">
      <w:pPr>
        <w:spacing w:line="276" w:lineRule="auto"/>
        <w:jc w:val="center"/>
        <w:rPr>
          <w:rFonts w:ascii="Times New Roman" w:eastAsia="Times New Roman" w:hAnsi="Times New Roman" w:cs="Times New Roman"/>
          <w:noProof/>
          <w:sz w:val="20"/>
          <w:lang w:val="de-DE"/>
        </w:rPr>
      </w:pPr>
      <w:r w:rsidRPr="00476171">
        <w:rPr>
          <w:rFonts w:ascii="Times New Roman" w:hAnsi="Times New Roman"/>
          <w:b/>
          <w:noProof/>
          <w:sz w:val="20"/>
          <w:lang w:val="de-DE"/>
        </w:rPr>
        <w:t xml:space="preserve">Abbildung 7: </w:t>
      </w:r>
      <w:r w:rsidRPr="00476171">
        <w:rPr>
          <w:rFonts w:ascii="Times New Roman" w:hAnsi="Times New Roman"/>
          <w:noProof/>
          <w:sz w:val="20"/>
          <w:lang w:val="de-DE"/>
        </w:rPr>
        <w:t>Anteile der gemeldeten kumulierten Energieeinsparungen nach Art der strategischen Maßnahme (links) und Verteilung der Gesamtzahl der strategischen Maßnahmen auf die unterschiedlichen Arten (rechts) auf EU-Ebene</w:t>
      </w:r>
    </w:p>
    <w:p w14:paraId="25A38E3C" w14:textId="60807496" w:rsidR="00267004" w:rsidRPr="00476171" w:rsidRDefault="00E27334" w:rsidP="001B1874">
      <w:pPr>
        <w:spacing w:line="276" w:lineRule="auto"/>
        <w:rPr>
          <w:noProof/>
          <w:lang w:val="de-DE"/>
        </w:rPr>
      </w:pPr>
      <w:r w:rsidRPr="00E27334">
        <w:rPr>
          <w:noProof/>
          <w:lang w:val="en-GB" w:eastAsia="en-GB"/>
        </w:rPr>
        <w:drawing>
          <wp:inline distT="0" distB="0" distL="0" distR="0" wp14:anchorId="551A8C89" wp14:editId="6CA3A04D">
            <wp:extent cx="2827020" cy="2164954"/>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 r="7345"/>
                    <a:stretch/>
                  </pic:blipFill>
                  <pic:spPr bwMode="auto">
                    <a:xfrm>
                      <a:off x="0" y="0"/>
                      <a:ext cx="2843322" cy="2177438"/>
                    </a:xfrm>
                    <a:prstGeom prst="rect">
                      <a:avLst/>
                    </a:prstGeom>
                    <a:noFill/>
                    <a:ln>
                      <a:noFill/>
                    </a:ln>
                    <a:extLst>
                      <a:ext uri="{53640926-AAD7-44D8-BBD7-CCE9431645EC}">
                        <a14:shadowObscured xmlns:a14="http://schemas.microsoft.com/office/drawing/2010/main"/>
                      </a:ext>
                    </a:extLst>
                  </pic:spPr>
                </pic:pic>
              </a:graphicData>
            </a:graphic>
          </wp:inline>
        </w:drawing>
      </w:r>
      <w:r w:rsidRPr="00E27334">
        <w:rPr>
          <w:noProof/>
          <w:lang w:val="en-GB" w:eastAsia="en-GB"/>
        </w:rPr>
        <w:drawing>
          <wp:inline distT="0" distB="0" distL="0" distR="0" wp14:anchorId="2349828A" wp14:editId="2970AB3F">
            <wp:extent cx="2941320" cy="22738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 r="11761"/>
                    <a:stretch/>
                  </pic:blipFill>
                  <pic:spPr bwMode="auto">
                    <a:xfrm>
                      <a:off x="0" y="0"/>
                      <a:ext cx="2953265" cy="2283094"/>
                    </a:xfrm>
                    <a:prstGeom prst="rect">
                      <a:avLst/>
                    </a:prstGeom>
                    <a:noFill/>
                    <a:ln>
                      <a:noFill/>
                    </a:ln>
                    <a:extLst>
                      <a:ext uri="{53640926-AAD7-44D8-BBD7-CCE9431645EC}">
                        <a14:shadowObscured xmlns:a14="http://schemas.microsoft.com/office/drawing/2010/main"/>
                      </a:ext>
                    </a:extLst>
                  </pic:spPr>
                </pic:pic>
              </a:graphicData>
            </a:graphic>
          </wp:inline>
        </w:drawing>
      </w:r>
    </w:p>
    <w:p w14:paraId="0E946579" w14:textId="121CDF02" w:rsidR="14D542BE" w:rsidRPr="00476171" w:rsidRDefault="14D542BE" w:rsidP="2EB7464E">
      <w:pPr>
        <w:spacing w:line="276" w:lineRule="auto"/>
        <w:rPr>
          <w:noProof/>
          <w:lang w:val="de-DE"/>
        </w:rPr>
      </w:pPr>
    </w:p>
    <w:p w14:paraId="6E0585FB" w14:textId="06BABDA5" w:rsidR="00267004" w:rsidRPr="00476171" w:rsidRDefault="189F045D" w:rsidP="001B1874">
      <w:pPr>
        <w:spacing w:line="276" w:lineRule="auto"/>
        <w:jc w:val="center"/>
        <w:rPr>
          <w:rFonts w:ascii="Times New Roman" w:eastAsia="Times New Roman" w:hAnsi="Times New Roman" w:cs="Times New Roman"/>
          <w:noProof/>
          <w:color w:val="000000" w:themeColor="text1"/>
          <w:sz w:val="16"/>
          <w:lang w:val="de-DE"/>
        </w:rPr>
      </w:pPr>
      <w:r w:rsidRPr="00476171">
        <w:rPr>
          <w:rFonts w:ascii="Times New Roman" w:hAnsi="Times New Roman"/>
          <w:noProof/>
          <w:color w:val="000000" w:themeColor="text1"/>
          <w:sz w:val="16"/>
          <w:lang w:val="de-DE"/>
        </w:rPr>
        <w:t>Quelle: Berechnungen der Europäischen Kommission (Generaldirektion Energie) auf der Grundlage der von den Mitgliedstaaten 2022 übermittelten Daten zu den gemäß Artikel 7 Absatz 1 EED für 2014–2020 gemeldeten strategischen Maßnahmen und den für den Zeitraum 2014–2020 gemeldeten kumulierten Energieeinsparungen (Daten für 24 Mitgliedstaaten verfügbar).</w:t>
      </w:r>
    </w:p>
    <w:p w14:paraId="2E9591AF" w14:textId="2484E19F" w:rsidR="001179F4" w:rsidRDefault="00467E1D" w:rsidP="001B1874">
      <w:pPr>
        <w:spacing w:line="276" w:lineRule="auto"/>
        <w:jc w:val="both"/>
        <w:rPr>
          <w:rFonts w:ascii="Times New Roman" w:hAnsi="Times New Roman"/>
          <w:noProof/>
          <w:sz w:val="24"/>
          <w:lang w:val="de-DE"/>
        </w:rPr>
      </w:pPr>
      <w:r w:rsidRPr="00476171">
        <w:rPr>
          <w:rFonts w:ascii="Times New Roman" w:hAnsi="Times New Roman"/>
          <w:noProof/>
          <w:sz w:val="24"/>
          <w:lang w:val="de-DE"/>
        </w:rPr>
        <w:t xml:space="preserve">In Bezug auf die Sektoren, auf die die umgesetzten strategischen Maßnahmen nach Artikel 7 der EED abzielen, ergibt sich der größte Teil der von den Mitgliedstaaten gemeldeten Energieeinsparungen aus bereichsübergreifenden Maßnahmen, die nicht einem einzigen Sektor zugeordnet werden können, wie in Abbildung 9 zu sehen ist. Die meisten strategischen Maßnahmen (bezogen auf die Anzahl der strategischen Maßnahmen gemäß Artikel 7 Absatz 1 der EED) zielen auf den Dienstleistungssektor und die Industrie (die die meisten Unternehmen mit Ausnahme von Verkehrsunternehmen umfassen) sowie auf den öffentlichen Sektor ab (mit Ausnahme des Wohnungswesens im Eigentum öffentlicher Einrichtungen, das zum Sektor der Privathaushalte gehört). </w:t>
      </w:r>
    </w:p>
    <w:p w14:paraId="18D04C2F" w14:textId="77777777" w:rsidR="001179F4" w:rsidRDefault="001179F4">
      <w:pPr>
        <w:rPr>
          <w:rFonts w:ascii="Times New Roman" w:hAnsi="Times New Roman"/>
          <w:noProof/>
          <w:sz w:val="24"/>
          <w:lang w:val="de-DE"/>
        </w:rPr>
      </w:pPr>
      <w:r>
        <w:rPr>
          <w:rFonts w:ascii="Times New Roman" w:hAnsi="Times New Roman"/>
          <w:noProof/>
          <w:sz w:val="24"/>
          <w:lang w:val="de-DE"/>
        </w:rPr>
        <w:br w:type="page"/>
      </w:r>
    </w:p>
    <w:p w14:paraId="11B69528" w14:textId="77777777" w:rsidR="00F20770" w:rsidRPr="00476171" w:rsidRDefault="00F20770" w:rsidP="001B1874">
      <w:pPr>
        <w:spacing w:line="276" w:lineRule="auto"/>
        <w:jc w:val="both"/>
        <w:rPr>
          <w:rFonts w:ascii="Times New Roman" w:eastAsia="Times New Roman" w:hAnsi="Times New Roman" w:cs="Times New Roman"/>
          <w:noProof/>
          <w:sz w:val="24"/>
          <w:lang w:val="de-DE"/>
        </w:rPr>
      </w:pPr>
    </w:p>
    <w:p w14:paraId="3B02B28D" w14:textId="60A77421" w:rsidR="00267004" w:rsidRPr="00476171" w:rsidRDefault="189F045D" w:rsidP="001B1874">
      <w:pPr>
        <w:spacing w:line="276" w:lineRule="auto"/>
        <w:jc w:val="center"/>
        <w:rPr>
          <w:rFonts w:ascii="Times New Roman" w:eastAsia="Times New Roman" w:hAnsi="Times New Roman" w:cs="Times New Roman"/>
          <w:noProof/>
          <w:sz w:val="20"/>
          <w:lang w:val="de-DE"/>
        </w:rPr>
      </w:pPr>
      <w:r w:rsidRPr="00476171">
        <w:rPr>
          <w:rFonts w:ascii="Times New Roman" w:hAnsi="Times New Roman"/>
          <w:b/>
          <w:noProof/>
          <w:sz w:val="20"/>
          <w:lang w:val="de-DE"/>
        </w:rPr>
        <w:t xml:space="preserve">Abbildung 8: </w:t>
      </w:r>
      <w:r w:rsidRPr="00476171">
        <w:rPr>
          <w:rFonts w:ascii="Times New Roman" w:hAnsi="Times New Roman"/>
          <w:noProof/>
          <w:sz w:val="20"/>
          <w:lang w:val="de-DE"/>
        </w:rPr>
        <w:t>Anteil der gemeldeten kumulierten Energieeinsparungen nach Sektoren auf EU-Ebene (Daten für 24 Mitgliedstaaten)</w:t>
      </w:r>
    </w:p>
    <w:p w14:paraId="7188AC1A" w14:textId="6F3EE79F" w:rsidR="00267004" w:rsidRPr="00476171" w:rsidRDefault="00267004" w:rsidP="001B1874">
      <w:pPr>
        <w:spacing w:line="276" w:lineRule="auto"/>
        <w:jc w:val="center"/>
        <w:rPr>
          <w:noProof/>
          <w:lang w:val="de-DE"/>
        </w:rPr>
      </w:pPr>
    </w:p>
    <w:p w14:paraId="233F5C54" w14:textId="0E23F381" w:rsidR="51C51488" w:rsidRPr="00476171" w:rsidRDefault="00565CDD" w:rsidP="001B1874">
      <w:pPr>
        <w:spacing w:line="276" w:lineRule="auto"/>
        <w:jc w:val="both"/>
        <w:rPr>
          <w:noProof/>
          <w:lang w:val="de-DE"/>
        </w:rPr>
      </w:pPr>
      <w:r w:rsidRPr="00565CDD">
        <w:rPr>
          <w:noProof/>
          <w:lang w:val="en-GB" w:eastAsia="en-GB"/>
        </w:rPr>
        <w:drawing>
          <wp:inline distT="0" distB="0" distL="0" distR="0" wp14:anchorId="171E4B6D" wp14:editId="17B45B5A">
            <wp:extent cx="2906035" cy="214056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 r="8038"/>
                    <a:stretch/>
                  </pic:blipFill>
                  <pic:spPr bwMode="auto">
                    <a:xfrm>
                      <a:off x="0" y="0"/>
                      <a:ext cx="2983841" cy="2197871"/>
                    </a:xfrm>
                    <a:prstGeom prst="rect">
                      <a:avLst/>
                    </a:prstGeom>
                    <a:noFill/>
                    <a:ln>
                      <a:noFill/>
                    </a:ln>
                    <a:extLst>
                      <a:ext uri="{53640926-AAD7-44D8-BBD7-CCE9431645EC}">
                        <a14:shadowObscured xmlns:a14="http://schemas.microsoft.com/office/drawing/2010/main"/>
                      </a:ext>
                    </a:extLst>
                  </pic:spPr>
                </pic:pic>
              </a:graphicData>
            </a:graphic>
          </wp:inline>
        </w:drawing>
      </w:r>
      <w:r w:rsidRPr="00565CDD">
        <w:rPr>
          <w:noProof/>
          <w:lang w:val="en-GB" w:eastAsia="en-GB"/>
        </w:rPr>
        <w:drawing>
          <wp:inline distT="0" distB="0" distL="0" distR="0" wp14:anchorId="6F739A8A" wp14:editId="2AB05C65">
            <wp:extent cx="2851688" cy="2372766"/>
            <wp:effectExtent l="0" t="0" r="635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r="14956"/>
                    <a:stretch/>
                  </pic:blipFill>
                  <pic:spPr bwMode="auto">
                    <a:xfrm>
                      <a:off x="0" y="0"/>
                      <a:ext cx="2898650" cy="2411841"/>
                    </a:xfrm>
                    <a:prstGeom prst="rect">
                      <a:avLst/>
                    </a:prstGeom>
                    <a:noFill/>
                    <a:ln>
                      <a:noFill/>
                    </a:ln>
                    <a:extLst>
                      <a:ext uri="{53640926-AAD7-44D8-BBD7-CCE9431645EC}">
                        <a14:shadowObscured xmlns:a14="http://schemas.microsoft.com/office/drawing/2010/main"/>
                      </a:ext>
                    </a:extLst>
                  </pic:spPr>
                </pic:pic>
              </a:graphicData>
            </a:graphic>
          </wp:inline>
        </w:drawing>
      </w:r>
    </w:p>
    <w:p w14:paraId="50C5D828" w14:textId="25E05E4F" w:rsidR="00267004" w:rsidRPr="00476171" w:rsidRDefault="00771213" w:rsidP="001B1874">
      <w:pPr>
        <w:spacing w:line="276" w:lineRule="auto"/>
        <w:jc w:val="center"/>
        <w:rPr>
          <w:rFonts w:ascii="Times New Roman" w:eastAsia="Times New Roman" w:hAnsi="Times New Roman" w:cs="Times New Roman"/>
          <w:noProof/>
          <w:color w:val="000000" w:themeColor="text1"/>
          <w:sz w:val="16"/>
          <w:lang w:val="de-DE"/>
        </w:rPr>
      </w:pPr>
      <w:r w:rsidRPr="00476171">
        <w:rPr>
          <w:rFonts w:ascii="Times New Roman" w:hAnsi="Times New Roman"/>
          <w:noProof/>
          <w:color w:val="000000" w:themeColor="text1"/>
          <w:sz w:val="16"/>
          <w:lang w:val="de-DE"/>
        </w:rPr>
        <w:t>Quelle: Berechnungen der Europäischen Kommission (Generaldirektion Energie) auf der Grundlage der von den Mitgliedstaaten 2022 übermittelten Daten zu den für den Zeitraum 2014–2020 gemeldeten kumulierten Energieeinsparungen (Daten für 24 Mitgliedstaaten verfügbar).</w:t>
      </w:r>
    </w:p>
    <w:p w14:paraId="2781E5C2" w14:textId="13A561D7" w:rsidR="001179F4" w:rsidRDefault="00013A3D" w:rsidP="001B1874">
      <w:pPr>
        <w:spacing w:line="276" w:lineRule="auto"/>
        <w:jc w:val="both"/>
        <w:rPr>
          <w:rFonts w:ascii="Times New Roman" w:hAnsi="Times New Roman"/>
          <w:noProof/>
          <w:sz w:val="24"/>
          <w:lang w:val="de-DE"/>
        </w:rPr>
      </w:pPr>
      <w:r w:rsidRPr="00476171">
        <w:rPr>
          <w:rFonts w:ascii="Times New Roman" w:hAnsi="Times New Roman"/>
          <w:noProof/>
          <w:sz w:val="24"/>
          <w:lang w:val="de-DE"/>
        </w:rPr>
        <w:t>Tabelle 6 enthält eine Liste der drei wichtigsten Maßnahmen je Mitgliedstaat, aus der hervorgeht, welche strategischen Maßnahmen die größten Anteile an den kumulierten Energieeinsparungen in den einzelnen Mitgliedstaaten eingebracht haben. In ihren Berichten übermittelten die Mitgliedstaaten aktualisierte Listen der strategischen Maßnahmen, die sie gemäß Artikel 7 Absatz 1 der EED für den Zeitraum 2014-2020 gemeldet haben. Insgesamt wurden 498 Maßnahmen gemeldet</w:t>
      </w:r>
      <w:r w:rsidRPr="00476171">
        <w:rPr>
          <w:rFonts w:ascii="Times New Roman" w:eastAsia="Times New Roman" w:hAnsi="Times New Roman" w:cs="Times New Roman"/>
          <w:noProof/>
          <w:sz w:val="24"/>
          <w:vertAlign w:val="superscript"/>
          <w:lang w:val="de-DE"/>
        </w:rPr>
        <w:footnoteReference w:id="30"/>
      </w:r>
      <w:r w:rsidRPr="00476171">
        <w:rPr>
          <w:rFonts w:ascii="Times New Roman" w:hAnsi="Times New Roman"/>
          <w:noProof/>
          <w:sz w:val="24"/>
          <w:lang w:val="de-DE"/>
        </w:rPr>
        <w:t>, 40 davon zum ersten Mal.</w:t>
      </w:r>
      <w:r w:rsidRPr="00476171">
        <w:rPr>
          <w:rStyle w:val="FootnoteReference"/>
          <w:rFonts w:ascii="Times New Roman" w:eastAsia="Times New Roman" w:hAnsi="Times New Roman" w:cs="Times New Roman"/>
          <w:noProof/>
          <w:sz w:val="24"/>
          <w:lang w:val="de-DE"/>
        </w:rPr>
        <w:footnoteReference w:id="31"/>
      </w:r>
      <w:r w:rsidRPr="00476171">
        <w:rPr>
          <w:rFonts w:ascii="Times New Roman" w:hAnsi="Times New Roman"/>
          <w:noProof/>
          <w:sz w:val="24"/>
          <w:lang w:val="de-DE"/>
        </w:rPr>
        <w:t xml:space="preserve"> Interessanterweise wurden keine neuen EEOS gemeldet, obwohl einige für den Zeitraum 2021–2030 geplant sind.</w:t>
      </w:r>
    </w:p>
    <w:p w14:paraId="4AA735D8" w14:textId="77777777" w:rsidR="001179F4" w:rsidRDefault="001179F4">
      <w:pPr>
        <w:rPr>
          <w:rFonts w:ascii="Times New Roman" w:hAnsi="Times New Roman"/>
          <w:noProof/>
          <w:sz w:val="24"/>
          <w:lang w:val="de-DE"/>
        </w:rPr>
      </w:pPr>
      <w:r>
        <w:rPr>
          <w:rFonts w:ascii="Times New Roman" w:hAnsi="Times New Roman"/>
          <w:noProof/>
          <w:sz w:val="24"/>
          <w:lang w:val="de-DE"/>
        </w:rPr>
        <w:br w:type="page"/>
      </w:r>
    </w:p>
    <w:p w14:paraId="645B9572" w14:textId="77B0CE7A" w:rsidR="3619C509" w:rsidRPr="00476171" w:rsidRDefault="3619C509" w:rsidP="001B1874">
      <w:pPr>
        <w:spacing w:line="276" w:lineRule="auto"/>
        <w:jc w:val="center"/>
        <w:rPr>
          <w:rFonts w:ascii="Times New Roman" w:eastAsia="Times New Roman" w:hAnsi="Times New Roman" w:cs="Times New Roman"/>
          <w:noProof/>
          <w:sz w:val="20"/>
          <w:lang w:val="de-DE"/>
        </w:rPr>
      </w:pPr>
      <w:r w:rsidRPr="00476171">
        <w:rPr>
          <w:rFonts w:ascii="Times New Roman" w:hAnsi="Times New Roman"/>
          <w:b/>
          <w:noProof/>
          <w:sz w:val="20"/>
          <w:lang w:val="de-DE"/>
        </w:rPr>
        <w:t xml:space="preserve">Tabelle 6: </w:t>
      </w:r>
      <w:r w:rsidRPr="00476171">
        <w:rPr>
          <w:rFonts w:ascii="Times New Roman" w:hAnsi="Times New Roman"/>
          <w:noProof/>
          <w:sz w:val="20"/>
          <w:lang w:val="de-DE"/>
        </w:rPr>
        <w:t>Überblick über die drei wichtigsten Maßnahmen je Mitgliedstaat (auf der Grundlage der kumulierten Energieeinsparungen im Zeitraum 2014–2020, die zu den einzelnen strategischen Maßnahmen gemeldet wurden)</w:t>
      </w:r>
      <w:r w:rsidRPr="00476171">
        <w:rPr>
          <w:rStyle w:val="FootnoteReference"/>
          <w:rFonts w:ascii="Times New Roman" w:eastAsia="Times New Roman" w:hAnsi="Times New Roman" w:cs="Times New Roman"/>
          <w:noProof/>
          <w:sz w:val="20"/>
          <w:lang w:val="de-DE"/>
        </w:rPr>
        <w:footnoteReference w:id="32"/>
      </w:r>
    </w:p>
    <w:tbl>
      <w:tblPr>
        <w:tblW w:w="9360" w:type="dxa"/>
        <w:tblLayout w:type="fixed"/>
        <w:tblLook w:val="04A0" w:firstRow="1" w:lastRow="0" w:firstColumn="1" w:lastColumn="0" w:noHBand="0" w:noVBand="1"/>
      </w:tblPr>
      <w:tblGrid>
        <w:gridCol w:w="1408"/>
        <w:gridCol w:w="5386"/>
        <w:gridCol w:w="1276"/>
        <w:gridCol w:w="1290"/>
      </w:tblGrid>
      <w:tr w:rsidR="00013A3D" w:rsidRPr="00FF3E37" w14:paraId="6EAEFFDD" w14:textId="77777777" w:rsidTr="003452C8">
        <w:trPr>
          <w:trHeight w:val="960"/>
        </w:trPr>
        <w:tc>
          <w:tcPr>
            <w:tcW w:w="1408" w:type="dxa"/>
            <w:tcBorders>
              <w:top w:val="single" w:sz="8" w:space="0" w:color="000000" w:themeColor="text1"/>
              <w:left w:val="single" w:sz="8" w:space="0" w:color="000000" w:themeColor="text1"/>
              <w:bottom w:val="single" w:sz="8" w:space="0" w:color="009EE0"/>
              <w:right w:val="single" w:sz="8" w:space="0" w:color="009EE0"/>
            </w:tcBorders>
            <w:shd w:val="clear" w:color="auto" w:fill="B9E4FF"/>
            <w:vAlign w:val="center"/>
          </w:tcPr>
          <w:p w14:paraId="7E742E42" w14:textId="72B354F3" w:rsidR="00013A3D" w:rsidRPr="00476171" w:rsidRDefault="00013A3D" w:rsidP="00BF4B31">
            <w:pPr>
              <w:jc w:val="cente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Mitglied</w:t>
            </w:r>
            <w:r w:rsidR="002A7505">
              <w:rPr>
                <w:rFonts w:ascii="Times New Roman" w:hAnsi="Times New Roman"/>
                <w:b/>
                <w:noProof/>
                <w:color w:val="000000" w:themeColor="text1"/>
                <w:sz w:val="20"/>
                <w:lang w:val="de-DE"/>
              </w:rPr>
              <w:softHyphen/>
            </w:r>
            <w:r w:rsidRPr="00476171">
              <w:rPr>
                <w:rFonts w:ascii="Times New Roman" w:hAnsi="Times New Roman"/>
                <w:b/>
                <w:noProof/>
                <w:color w:val="000000" w:themeColor="text1"/>
                <w:sz w:val="20"/>
                <w:lang w:val="de-DE"/>
              </w:rPr>
              <w:t>staat*</w:t>
            </w:r>
          </w:p>
        </w:tc>
        <w:tc>
          <w:tcPr>
            <w:tcW w:w="5386" w:type="dxa"/>
            <w:tcBorders>
              <w:top w:val="single" w:sz="8" w:space="0" w:color="000000" w:themeColor="text1"/>
              <w:left w:val="single" w:sz="8" w:space="0" w:color="009EE0"/>
              <w:bottom w:val="single" w:sz="8" w:space="0" w:color="009EE0"/>
              <w:right w:val="single" w:sz="8" w:space="0" w:color="009EE0"/>
            </w:tcBorders>
            <w:shd w:val="clear" w:color="auto" w:fill="B9E4FF"/>
            <w:vAlign w:val="center"/>
          </w:tcPr>
          <w:p w14:paraId="4A1F9F33" w14:textId="6EC46195" w:rsidR="00013A3D" w:rsidRPr="00476171" w:rsidRDefault="00013A3D" w:rsidP="00BF4B31">
            <w:pPr>
              <w:jc w:val="center"/>
              <w:rPr>
                <w:rFonts w:ascii="Times New Roman" w:eastAsia="Calibri" w:hAnsi="Times New Roman" w:cs="Times New Roman"/>
                <w:noProof/>
                <w:color w:val="000000" w:themeColor="text1"/>
                <w:sz w:val="20"/>
                <w:lang w:val="de-DE"/>
              </w:rPr>
            </w:pPr>
            <w:r w:rsidRPr="00476171">
              <w:rPr>
                <w:rFonts w:ascii="Times New Roman" w:hAnsi="Times New Roman"/>
                <w:b/>
                <w:bCs/>
                <w:noProof/>
                <w:color w:val="000000" w:themeColor="text1"/>
                <w:sz w:val="20"/>
                <w:lang w:val="de-DE"/>
              </w:rPr>
              <w:t>Die drei wichtigsten strategischen Maßnahmen je Mitgliedstaat</w:t>
            </w:r>
            <w:r w:rsidRPr="00476171">
              <w:rPr>
                <w:rFonts w:ascii="Times New Roman" w:hAnsi="Times New Roman"/>
                <w:noProof/>
                <w:color w:val="000000" w:themeColor="text1"/>
                <w:sz w:val="20"/>
                <w:lang w:val="de-DE"/>
              </w:rPr>
              <w:t xml:space="preserve"> (kumulierte Einsparungen in absteigender Reihenfolge)</w:t>
            </w:r>
          </w:p>
        </w:tc>
        <w:tc>
          <w:tcPr>
            <w:tcW w:w="1276" w:type="dxa"/>
            <w:tcBorders>
              <w:top w:val="single" w:sz="8" w:space="0" w:color="000000" w:themeColor="text1"/>
              <w:left w:val="single" w:sz="8" w:space="0" w:color="009EE0"/>
              <w:bottom w:val="single" w:sz="8" w:space="0" w:color="009EE0"/>
              <w:right w:val="single" w:sz="8" w:space="0" w:color="009EE0"/>
            </w:tcBorders>
            <w:shd w:val="clear" w:color="auto" w:fill="B9E4FF"/>
            <w:vAlign w:val="center"/>
          </w:tcPr>
          <w:p w14:paraId="3A2B3FDE" w14:textId="27E5C24D" w:rsidR="00013A3D" w:rsidRPr="00476171" w:rsidRDefault="00013A3D" w:rsidP="00BF4B31">
            <w:pPr>
              <w:jc w:val="center"/>
              <w:rPr>
                <w:rFonts w:ascii="Times New Roman" w:eastAsia="Calibri" w:hAnsi="Times New Roman" w:cs="Times New Roman"/>
                <w:noProof/>
                <w:color w:val="000000" w:themeColor="text1"/>
                <w:sz w:val="20"/>
                <w:lang w:val="de-DE"/>
              </w:rPr>
            </w:pPr>
            <w:r w:rsidRPr="00476171">
              <w:rPr>
                <w:rFonts w:ascii="Times New Roman" w:hAnsi="Times New Roman"/>
                <w:b/>
                <w:noProof/>
                <w:color w:val="000000" w:themeColor="text1"/>
                <w:sz w:val="20"/>
                <w:lang w:val="de-DE"/>
              </w:rPr>
              <w:t>Kumulierte Energie</w:t>
            </w:r>
            <w:r w:rsidR="001179F4">
              <w:rPr>
                <w:rFonts w:ascii="Times New Roman" w:hAnsi="Times New Roman"/>
                <w:b/>
                <w:noProof/>
                <w:color w:val="000000" w:themeColor="text1"/>
                <w:sz w:val="20"/>
                <w:lang w:val="de-DE"/>
              </w:rPr>
              <w:softHyphen/>
            </w:r>
            <w:r w:rsidRPr="00476171">
              <w:rPr>
                <w:rFonts w:ascii="Times New Roman" w:hAnsi="Times New Roman"/>
                <w:b/>
                <w:noProof/>
                <w:color w:val="000000" w:themeColor="text1"/>
                <w:sz w:val="20"/>
                <w:lang w:val="de-DE"/>
              </w:rPr>
              <w:t>einsparun</w:t>
            </w:r>
            <w:r w:rsidR="002A7505">
              <w:rPr>
                <w:rFonts w:ascii="Times New Roman" w:hAnsi="Times New Roman"/>
                <w:b/>
                <w:noProof/>
                <w:color w:val="000000" w:themeColor="text1"/>
                <w:sz w:val="20"/>
                <w:lang w:val="de-DE"/>
              </w:rPr>
              <w:softHyphen/>
            </w:r>
            <w:r w:rsidRPr="00476171">
              <w:rPr>
                <w:rFonts w:ascii="Times New Roman" w:hAnsi="Times New Roman"/>
                <w:b/>
                <w:noProof/>
                <w:color w:val="000000" w:themeColor="text1"/>
                <w:sz w:val="20"/>
                <w:lang w:val="de-DE"/>
              </w:rPr>
              <w:t>gen 2014–2020</w:t>
            </w:r>
            <w:r w:rsidRPr="00476171">
              <w:rPr>
                <w:rFonts w:ascii="Times New Roman" w:hAnsi="Times New Roman"/>
                <w:noProof/>
                <w:color w:val="000000" w:themeColor="text1"/>
                <w:sz w:val="20"/>
                <w:lang w:val="de-DE"/>
              </w:rPr>
              <w:t xml:space="preserve"> </w:t>
            </w:r>
          </w:p>
        </w:tc>
        <w:tc>
          <w:tcPr>
            <w:tcW w:w="1290" w:type="dxa"/>
            <w:tcBorders>
              <w:top w:val="single" w:sz="8" w:space="0" w:color="000000" w:themeColor="text1"/>
              <w:left w:val="single" w:sz="8" w:space="0" w:color="009EE0"/>
              <w:bottom w:val="single" w:sz="8" w:space="0" w:color="009EE0"/>
              <w:right w:val="single" w:sz="8" w:space="0" w:color="000000" w:themeColor="text1"/>
            </w:tcBorders>
            <w:shd w:val="clear" w:color="auto" w:fill="B9E4FF"/>
            <w:vAlign w:val="center"/>
          </w:tcPr>
          <w:p w14:paraId="283E0769" w14:textId="44C4D92F" w:rsidR="00013A3D" w:rsidRPr="00476171" w:rsidRDefault="00013A3D" w:rsidP="00BF4B31">
            <w:pPr>
              <w:jc w:val="cente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 der kumulierten Einspa</w:t>
            </w:r>
            <w:r w:rsidR="001179F4">
              <w:rPr>
                <w:rFonts w:ascii="Times New Roman" w:hAnsi="Times New Roman"/>
                <w:b/>
                <w:noProof/>
                <w:color w:val="000000" w:themeColor="text1"/>
                <w:sz w:val="20"/>
                <w:lang w:val="de-DE"/>
              </w:rPr>
              <w:softHyphen/>
            </w:r>
            <w:r w:rsidRPr="00476171">
              <w:rPr>
                <w:rFonts w:ascii="Times New Roman" w:hAnsi="Times New Roman"/>
                <w:b/>
                <w:noProof/>
                <w:color w:val="000000" w:themeColor="text1"/>
                <w:sz w:val="20"/>
                <w:lang w:val="de-DE"/>
              </w:rPr>
              <w:t>rungen des Mitglied</w:t>
            </w:r>
            <w:r w:rsidR="001179F4">
              <w:rPr>
                <w:rFonts w:ascii="Times New Roman" w:hAnsi="Times New Roman"/>
                <w:b/>
                <w:noProof/>
                <w:color w:val="000000" w:themeColor="text1"/>
                <w:sz w:val="20"/>
                <w:lang w:val="de-DE"/>
              </w:rPr>
              <w:softHyphen/>
            </w:r>
            <w:r w:rsidRPr="00476171">
              <w:rPr>
                <w:rFonts w:ascii="Times New Roman" w:hAnsi="Times New Roman"/>
                <w:b/>
                <w:noProof/>
                <w:color w:val="000000" w:themeColor="text1"/>
                <w:sz w:val="20"/>
                <w:lang w:val="de-DE"/>
              </w:rPr>
              <w:t>staats</w:t>
            </w:r>
          </w:p>
        </w:tc>
      </w:tr>
      <w:tr w:rsidR="00013A3D" w:rsidRPr="00476171" w14:paraId="586F09A7" w14:textId="77777777" w:rsidTr="003452C8">
        <w:trPr>
          <w:trHeight w:val="315"/>
        </w:trPr>
        <w:tc>
          <w:tcPr>
            <w:tcW w:w="1408" w:type="dxa"/>
            <w:vMerge w:val="restart"/>
            <w:tcBorders>
              <w:top w:val="single" w:sz="8" w:space="0" w:color="009EE0"/>
              <w:left w:val="single" w:sz="8" w:space="0" w:color="000000" w:themeColor="text1"/>
              <w:bottom w:val="single" w:sz="8" w:space="0" w:color="009EE0"/>
              <w:right w:val="single" w:sz="8" w:space="0" w:color="009EE0"/>
            </w:tcBorders>
            <w:vAlign w:val="center"/>
          </w:tcPr>
          <w:p w14:paraId="4A9AAE61"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Österreich</w:t>
            </w:r>
          </w:p>
        </w:tc>
        <w:tc>
          <w:tcPr>
            <w:tcW w:w="5386" w:type="dxa"/>
            <w:tcBorders>
              <w:top w:val="single" w:sz="8" w:space="0" w:color="009EE0"/>
              <w:left w:val="single" w:sz="8" w:space="0" w:color="009EE0"/>
              <w:bottom w:val="single" w:sz="8" w:space="0" w:color="009EE0"/>
              <w:right w:val="single" w:sz="8" w:space="0" w:color="009EE0"/>
            </w:tcBorders>
            <w:vAlign w:val="center"/>
          </w:tcPr>
          <w:p w14:paraId="2B20AB10"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Energiebesteuerung</w:t>
            </w:r>
          </w:p>
        </w:tc>
        <w:tc>
          <w:tcPr>
            <w:tcW w:w="1276" w:type="dxa"/>
            <w:tcBorders>
              <w:top w:val="single" w:sz="8" w:space="0" w:color="009EE0"/>
              <w:left w:val="single" w:sz="8" w:space="0" w:color="009EE0"/>
              <w:bottom w:val="single" w:sz="8" w:space="0" w:color="009EE0"/>
              <w:right w:val="single" w:sz="8" w:space="0" w:color="009EE0"/>
            </w:tcBorders>
            <w:vAlign w:val="center"/>
          </w:tcPr>
          <w:p w14:paraId="1F4F46E7"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3 809</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3F5FC756"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37 %</w:t>
            </w:r>
          </w:p>
        </w:tc>
      </w:tr>
      <w:tr w:rsidR="00013A3D" w:rsidRPr="00476171" w14:paraId="09BF597C" w14:textId="77777777" w:rsidTr="003452C8">
        <w:trPr>
          <w:trHeight w:val="315"/>
        </w:trPr>
        <w:tc>
          <w:tcPr>
            <w:tcW w:w="1408" w:type="dxa"/>
            <w:vMerge/>
            <w:tcBorders>
              <w:left w:val="single" w:sz="0" w:space="0" w:color="000000" w:themeColor="text1"/>
              <w:right w:val="single" w:sz="0" w:space="0" w:color="009EE0"/>
            </w:tcBorders>
            <w:vAlign w:val="center"/>
          </w:tcPr>
          <w:p w14:paraId="36D23C96"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3A6B1611"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 xml:space="preserve">Energieeffizienzverpflichtungssystem für Energielieferanten </w:t>
            </w:r>
          </w:p>
        </w:tc>
        <w:tc>
          <w:tcPr>
            <w:tcW w:w="1276" w:type="dxa"/>
            <w:tcBorders>
              <w:top w:val="single" w:sz="8" w:space="0" w:color="009EE0"/>
              <w:left w:val="single" w:sz="8" w:space="0" w:color="009EE0"/>
              <w:bottom w:val="single" w:sz="8" w:space="0" w:color="009EE0"/>
              <w:right w:val="single" w:sz="8" w:space="0" w:color="009EE0"/>
            </w:tcBorders>
            <w:vAlign w:val="center"/>
          </w:tcPr>
          <w:p w14:paraId="393A6045"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3 068</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0F8C0598"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30 %</w:t>
            </w:r>
          </w:p>
        </w:tc>
      </w:tr>
      <w:tr w:rsidR="00013A3D" w:rsidRPr="00476171" w14:paraId="0D87D795"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0CD8A58B"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6E538183"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 xml:space="preserve">Wohnbauförderungen, Energieförderungen und Umweltförderungen der Bundesländer sowie Sanierungsschecks für Private </w:t>
            </w:r>
          </w:p>
        </w:tc>
        <w:tc>
          <w:tcPr>
            <w:tcW w:w="1276" w:type="dxa"/>
            <w:tcBorders>
              <w:top w:val="single" w:sz="8" w:space="0" w:color="009EE0"/>
              <w:left w:val="single" w:sz="8" w:space="0" w:color="009EE0"/>
              <w:bottom w:val="single" w:sz="8" w:space="0" w:color="009EE0"/>
              <w:right w:val="single" w:sz="8" w:space="0" w:color="009EE0"/>
            </w:tcBorders>
            <w:vAlign w:val="center"/>
          </w:tcPr>
          <w:p w14:paraId="149C6B64"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1 440</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4FD084EA"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14 %</w:t>
            </w:r>
          </w:p>
        </w:tc>
      </w:tr>
      <w:tr w:rsidR="00013A3D" w:rsidRPr="00476171" w14:paraId="4D8E25D8" w14:textId="77777777" w:rsidTr="003452C8">
        <w:trPr>
          <w:trHeight w:val="315"/>
        </w:trPr>
        <w:tc>
          <w:tcPr>
            <w:tcW w:w="1408" w:type="dxa"/>
            <w:vMerge w:val="restart"/>
            <w:tcBorders>
              <w:top w:val="nil"/>
              <w:left w:val="single" w:sz="8" w:space="0" w:color="000000" w:themeColor="text1"/>
              <w:bottom w:val="single" w:sz="8" w:space="0" w:color="009EE0"/>
              <w:right w:val="single" w:sz="8" w:space="0" w:color="009EE0"/>
            </w:tcBorders>
            <w:vAlign w:val="center"/>
          </w:tcPr>
          <w:p w14:paraId="2F66290D"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Belgien</w:t>
            </w:r>
          </w:p>
        </w:tc>
        <w:tc>
          <w:tcPr>
            <w:tcW w:w="5386" w:type="dxa"/>
            <w:tcBorders>
              <w:top w:val="single" w:sz="8" w:space="0" w:color="009EE0"/>
              <w:left w:val="single" w:sz="8" w:space="0" w:color="009EE0"/>
              <w:bottom w:val="single" w:sz="8" w:space="0" w:color="009EE0"/>
              <w:right w:val="single" w:sz="8" w:space="0" w:color="009EE0"/>
            </w:tcBorders>
            <w:vAlign w:val="center"/>
          </w:tcPr>
          <w:p w14:paraId="7D419ADB"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Flandern: Energiepolitische Vereinbarungen mit Unternehmen</w:t>
            </w:r>
          </w:p>
        </w:tc>
        <w:tc>
          <w:tcPr>
            <w:tcW w:w="1276" w:type="dxa"/>
            <w:tcBorders>
              <w:top w:val="single" w:sz="8" w:space="0" w:color="009EE0"/>
              <w:left w:val="single" w:sz="8" w:space="0" w:color="009EE0"/>
              <w:bottom w:val="single" w:sz="8" w:space="0" w:color="009EE0"/>
              <w:right w:val="single" w:sz="8" w:space="0" w:color="009EE0"/>
            </w:tcBorders>
            <w:vAlign w:val="center"/>
          </w:tcPr>
          <w:p w14:paraId="58DEBA2B"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2 950</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7398F223"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43 %</w:t>
            </w:r>
          </w:p>
        </w:tc>
      </w:tr>
      <w:tr w:rsidR="00013A3D" w:rsidRPr="00476171" w14:paraId="7F9F6222" w14:textId="77777777" w:rsidTr="003452C8">
        <w:trPr>
          <w:trHeight w:val="315"/>
        </w:trPr>
        <w:tc>
          <w:tcPr>
            <w:tcW w:w="1408" w:type="dxa"/>
            <w:vMerge/>
            <w:tcBorders>
              <w:left w:val="single" w:sz="0" w:space="0" w:color="000000" w:themeColor="text1"/>
              <w:right w:val="single" w:sz="0" w:space="0" w:color="009EE0"/>
            </w:tcBorders>
            <w:vAlign w:val="center"/>
          </w:tcPr>
          <w:p w14:paraId="614EB67E"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23BBF69D"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Flandern: Gemeinwirtschaftliche Verpflichtungen zur rationellen Energienutzung, die Netzbetreibern auferlegt werden (REG)</w:t>
            </w:r>
          </w:p>
        </w:tc>
        <w:tc>
          <w:tcPr>
            <w:tcW w:w="1276" w:type="dxa"/>
            <w:tcBorders>
              <w:top w:val="single" w:sz="8" w:space="0" w:color="009EE0"/>
              <w:left w:val="single" w:sz="8" w:space="0" w:color="009EE0"/>
              <w:bottom w:val="single" w:sz="8" w:space="0" w:color="009EE0"/>
              <w:right w:val="single" w:sz="8" w:space="0" w:color="009EE0"/>
            </w:tcBorders>
            <w:vAlign w:val="center"/>
          </w:tcPr>
          <w:p w14:paraId="7CF09BA8"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1 184</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359065D5"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17 %</w:t>
            </w:r>
          </w:p>
        </w:tc>
      </w:tr>
      <w:tr w:rsidR="00013A3D" w:rsidRPr="00476171" w14:paraId="6C681C53"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2084B6AD"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1E60DC4C"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Wallonien: Branchenvereinbarungen der 2. Generation (ADB2)</w:t>
            </w:r>
          </w:p>
        </w:tc>
        <w:tc>
          <w:tcPr>
            <w:tcW w:w="1276" w:type="dxa"/>
            <w:tcBorders>
              <w:top w:val="single" w:sz="8" w:space="0" w:color="009EE0"/>
              <w:left w:val="single" w:sz="8" w:space="0" w:color="009EE0"/>
              <w:bottom w:val="single" w:sz="8" w:space="0" w:color="009EE0"/>
              <w:right w:val="single" w:sz="8" w:space="0" w:color="009EE0"/>
            </w:tcBorders>
            <w:vAlign w:val="center"/>
          </w:tcPr>
          <w:p w14:paraId="04F01419"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1 116</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093FB750"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16 %</w:t>
            </w:r>
          </w:p>
        </w:tc>
      </w:tr>
      <w:tr w:rsidR="00013A3D" w:rsidRPr="00476171" w14:paraId="640D47D9" w14:textId="77777777" w:rsidTr="003452C8">
        <w:trPr>
          <w:trHeight w:val="315"/>
        </w:trPr>
        <w:tc>
          <w:tcPr>
            <w:tcW w:w="1408" w:type="dxa"/>
            <w:vMerge w:val="restart"/>
            <w:tcBorders>
              <w:top w:val="nil"/>
              <w:left w:val="single" w:sz="8" w:space="0" w:color="000000" w:themeColor="text1"/>
              <w:bottom w:val="single" w:sz="8" w:space="0" w:color="009EE0"/>
              <w:right w:val="single" w:sz="8" w:space="0" w:color="009EE0"/>
            </w:tcBorders>
            <w:vAlign w:val="center"/>
          </w:tcPr>
          <w:p w14:paraId="7113990E"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Bulgarien</w:t>
            </w:r>
          </w:p>
        </w:tc>
        <w:tc>
          <w:tcPr>
            <w:tcW w:w="5386" w:type="dxa"/>
            <w:tcBorders>
              <w:top w:val="single" w:sz="8" w:space="0" w:color="009EE0"/>
              <w:left w:val="single" w:sz="8" w:space="0" w:color="009EE0"/>
              <w:bottom w:val="single" w:sz="8" w:space="0" w:color="009EE0"/>
              <w:right w:val="single" w:sz="8" w:space="0" w:color="009EE0"/>
            </w:tcBorders>
            <w:vAlign w:val="center"/>
          </w:tcPr>
          <w:p w14:paraId="17E3A680" w14:textId="417308E8" w:rsidR="00013A3D" w:rsidRPr="00476171" w:rsidRDefault="00827016" w:rsidP="00F86B98">
            <w:pPr>
              <w:rPr>
                <w:rFonts w:ascii="Times New Roman" w:hAnsi="Times New Roman" w:cs="Times New Roman"/>
                <w:noProof/>
                <w:lang w:val="de-DE"/>
              </w:rPr>
            </w:pPr>
            <w:r w:rsidRPr="00476171">
              <w:rPr>
                <w:rFonts w:ascii="Times New Roman" w:hAnsi="Times New Roman"/>
                <w:noProof/>
                <w:color w:val="000000" w:themeColor="text1"/>
                <w:sz w:val="20"/>
                <w:lang w:val="de-DE"/>
              </w:rPr>
              <w:t>Energieeffizienzverpflichtungssysteme, Ausnahme von Artikel 7 Absatz 8 der Energieeffizienzrichtlinie – früheres System für Verpflichtungen im Zeitraum 2011–2013</w:t>
            </w:r>
          </w:p>
        </w:tc>
        <w:tc>
          <w:tcPr>
            <w:tcW w:w="1276" w:type="dxa"/>
            <w:tcBorders>
              <w:top w:val="single" w:sz="8" w:space="0" w:color="009EE0"/>
              <w:left w:val="single" w:sz="8" w:space="0" w:color="009EE0"/>
              <w:bottom w:val="single" w:sz="8" w:space="0" w:color="009EE0"/>
              <w:right w:val="single" w:sz="8" w:space="0" w:color="009EE0"/>
            </w:tcBorders>
            <w:vAlign w:val="center"/>
          </w:tcPr>
          <w:p w14:paraId="13772C15"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780</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5DE2E237"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44 %</w:t>
            </w:r>
          </w:p>
        </w:tc>
      </w:tr>
      <w:tr w:rsidR="00013A3D" w:rsidRPr="00476171" w14:paraId="709C8CCD" w14:textId="77777777" w:rsidTr="003452C8">
        <w:trPr>
          <w:trHeight w:val="315"/>
        </w:trPr>
        <w:tc>
          <w:tcPr>
            <w:tcW w:w="1408" w:type="dxa"/>
            <w:vMerge/>
            <w:tcBorders>
              <w:left w:val="single" w:sz="0" w:space="0" w:color="000000" w:themeColor="text1"/>
              <w:right w:val="single" w:sz="0" w:space="0" w:color="009EE0"/>
            </w:tcBorders>
            <w:vAlign w:val="center"/>
          </w:tcPr>
          <w:p w14:paraId="6C8A30F0"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0C84509D" w14:textId="33BF3C75" w:rsidR="00013A3D" w:rsidRPr="00476171" w:rsidRDefault="00827016"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Energieeffizienzverpflichtungssysteme</w:t>
            </w:r>
          </w:p>
        </w:tc>
        <w:tc>
          <w:tcPr>
            <w:tcW w:w="1276" w:type="dxa"/>
            <w:tcBorders>
              <w:top w:val="single" w:sz="8" w:space="0" w:color="009EE0"/>
              <w:left w:val="single" w:sz="8" w:space="0" w:color="009EE0"/>
              <w:bottom w:val="single" w:sz="8" w:space="0" w:color="009EE0"/>
              <w:right w:val="single" w:sz="8" w:space="0" w:color="009EE0"/>
            </w:tcBorders>
            <w:vAlign w:val="center"/>
          </w:tcPr>
          <w:p w14:paraId="4B156064"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451</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0E1FAF80"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25 %</w:t>
            </w:r>
          </w:p>
        </w:tc>
      </w:tr>
      <w:tr w:rsidR="00013A3D" w:rsidRPr="00476171" w14:paraId="6F0EF4C5"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40D2835E"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67068064"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Nationales Programm zur Energieeffizienz von Mehrfamilienhäusern (2016–2020)</w:t>
            </w:r>
          </w:p>
        </w:tc>
        <w:tc>
          <w:tcPr>
            <w:tcW w:w="1276" w:type="dxa"/>
            <w:tcBorders>
              <w:top w:val="single" w:sz="8" w:space="0" w:color="009EE0"/>
              <w:left w:val="single" w:sz="8" w:space="0" w:color="009EE0"/>
              <w:bottom w:val="single" w:sz="8" w:space="0" w:color="009EE0"/>
              <w:right w:val="single" w:sz="8" w:space="0" w:color="009EE0"/>
            </w:tcBorders>
            <w:vAlign w:val="center"/>
          </w:tcPr>
          <w:p w14:paraId="7F7874F6"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271</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4B2BEC24"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15 %</w:t>
            </w:r>
          </w:p>
        </w:tc>
      </w:tr>
      <w:tr w:rsidR="00013A3D" w:rsidRPr="00476171" w14:paraId="34776650" w14:textId="77777777" w:rsidTr="003452C8">
        <w:trPr>
          <w:trHeight w:val="315"/>
        </w:trPr>
        <w:tc>
          <w:tcPr>
            <w:tcW w:w="1408" w:type="dxa"/>
            <w:vMerge w:val="restart"/>
            <w:tcBorders>
              <w:top w:val="nil"/>
              <w:left w:val="single" w:sz="8" w:space="0" w:color="000000" w:themeColor="text1"/>
              <w:bottom w:val="single" w:sz="8" w:space="0" w:color="009EE0"/>
              <w:right w:val="single" w:sz="8" w:space="0" w:color="009EE0"/>
            </w:tcBorders>
            <w:vAlign w:val="center"/>
          </w:tcPr>
          <w:p w14:paraId="2BD125A6"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Zypern</w:t>
            </w:r>
          </w:p>
        </w:tc>
        <w:tc>
          <w:tcPr>
            <w:tcW w:w="5386" w:type="dxa"/>
            <w:tcBorders>
              <w:top w:val="single" w:sz="8" w:space="0" w:color="009EE0"/>
              <w:left w:val="single" w:sz="8" w:space="0" w:color="009EE0"/>
              <w:bottom w:val="single" w:sz="8" w:space="0" w:color="009EE0"/>
              <w:right w:val="single" w:sz="8" w:space="0" w:color="009EE0"/>
            </w:tcBorders>
            <w:vAlign w:val="center"/>
          </w:tcPr>
          <w:p w14:paraId="119E235B"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 xml:space="preserve"> Kraftstoffsteuern </w:t>
            </w:r>
          </w:p>
        </w:tc>
        <w:tc>
          <w:tcPr>
            <w:tcW w:w="1276" w:type="dxa"/>
            <w:tcBorders>
              <w:top w:val="single" w:sz="8" w:space="0" w:color="009EE0"/>
              <w:left w:val="single" w:sz="8" w:space="0" w:color="009EE0"/>
              <w:bottom w:val="single" w:sz="8" w:space="0" w:color="009EE0"/>
              <w:right w:val="single" w:sz="8" w:space="0" w:color="009EE0"/>
            </w:tcBorders>
            <w:vAlign w:val="center"/>
          </w:tcPr>
          <w:p w14:paraId="7ABF098F"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278</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0DDEB94D"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85 %</w:t>
            </w:r>
          </w:p>
        </w:tc>
      </w:tr>
      <w:tr w:rsidR="00013A3D" w:rsidRPr="00476171" w14:paraId="547106A0" w14:textId="77777777" w:rsidTr="003452C8">
        <w:trPr>
          <w:trHeight w:val="315"/>
        </w:trPr>
        <w:tc>
          <w:tcPr>
            <w:tcW w:w="1408" w:type="dxa"/>
            <w:vMerge/>
            <w:tcBorders>
              <w:left w:val="single" w:sz="0" w:space="0" w:color="000000" w:themeColor="text1"/>
              <w:right w:val="single" w:sz="0" w:space="0" w:color="009EE0"/>
            </w:tcBorders>
            <w:vAlign w:val="center"/>
          </w:tcPr>
          <w:p w14:paraId="639CCC66"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115A4DE2"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Mindestanforderungen an die Gesamtenergieeffizienz von Gebäuden vor der Umsetzung der Richtlinie 2010/31/EU</w:t>
            </w:r>
          </w:p>
        </w:tc>
        <w:tc>
          <w:tcPr>
            <w:tcW w:w="1276" w:type="dxa"/>
            <w:tcBorders>
              <w:top w:val="single" w:sz="8" w:space="0" w:color="009EE0"/>
              <w:left w:val="single" w:sz="8" w:space="0" w:color="009EE0"/>
              <w:bottom w:val="single" w:sz="8" w:space="0" w:color="009EE0"/>
              <w:right w:val="single" w:sz="8" w:space="0" w:color="009EE0"/>
            </w:tcBorders>
            <w:vAlign w:val="center"/>
          </w:tcPr>
          <w:p w14:paraId="506A8EFF"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19</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22FCB9CF"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6 %</w:t>
            </w:r>
          </w:p>
        </w:tc>
      </w:tr>
      <w:tr w:rsidR="00013A3D" w:rsidRPr="00476171" w14:paraId="1E0E1204"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0F180C75"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28A2A04C"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Zuschussprogramm „Energiesparen – Modernisierung der Haushalte“</w:t>
            </w:r>
          </w:p>
        </w:tc>
        <w:tc>
          <w:tcPr>
            <w:tcW w:w="1276" w:type="dxa"/>
            <w:tcBorders>
              <w:top w:val="single" w:sz="8" w:space="0" w:color="009EE0"/>
              <w:left w:val="single" w:sz="8" w:space="0" w:color="009EE0"/>
              <w:bottom w:val="single" w:sz="8" w:space="0" w:color="009EE0"/>
              <w:right w:val="single" w:sz="8" w:space="0" w:color="009EE0"/>
            </w:tcBorders>
            <w:vAlign w:val="center"/>
          </w:tcPr>
          <w:p w14:paraId="01EC5B81"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13</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637F19CF"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4 %</w:t>
            </w:r>
          </w:p>
        </w:tc>
      </w:tr>
      <w:tr w:rsidR="00013A3D" w:rsidRPr="00476171" w14:paraId="6AF50B1E" w14:textId="77777777" w:rsidTr="003452C8">
        <w:trPr>
          <w:trHeight w:val="315"/>
        </w:trPr>
        <w:tc>
          <w:tcPr>
            <w:tcW w:w="1408" w:type="dxa"/>
            <w:vMerge w:val="restart"/>
            <w:tcBorders>
              <w:top w:val="nil"/>
              <w:left w:val="single" w:sz="8" w:space="0" w:color="000000" w:themeColor="text1"/>
              <w:bottom w:val="single" w:sz="8" w:space="0" w:color="009EE0"/>
              <w:right w:val="single" w:sz="8" w:space="0" w:color="009EE0"/>
            </w:tcBorders>
            <w:vAlign w:val="center"/>
          </w:tcPr>
          <w:p w14:paraId="1CD5D894"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Tschechien</w:t>
            </w:r>
          </w:p>
        </w:tc>
        <w:tc>
          <w:tcPr>
            <w:tcW w:w="5386" w:type="dxa"/>
            <w:tcBorders>
              <w:top w:val="single" w:sz="8" w:space="0" w:color="009EE0"/>
              <w:left w:val="single" w:sz="8" w:space="0" w:color="009EE0"/>
              <w:bottom w:val="single" w:sz="8" w:space="0" w:color="009EE0"/>
              <w:right w:val="single" w:sz="8" w:space="0" w:color="009EE0"/>
            </w:tcBorders>
            <w:vAlign w:val="center"/>
          </w:tcPr>
          <w:p w14:paraId="52E27749"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Strategischer Rahmen für nachhaltige Entwicklung – Verbesserung technologischer Prozesse</w:t>
            </w:r>
          </w:p>
        </w:tc>
        <w:tc>
          <w:tcPr>
            <w:tcW w:w="1276" w:type="dxa"/>
            <w:tcBorders>
              <w:top w:val="single" w:sz="8" w:space="0" w:color="009EE0"/>
              <w:left w:val="single" w:sz="8" w:space="0" w:color="009EE0"/>
              <w:bottom w:val="single" w:sz="8" w:space="0" w:color="009EE0"/>
              <w:right w:val="single" w:sz="8" w:space="0" w:color="009EE0"/>
            </w:tcBorders>
            <w:vAlign w:val="center"/>
          </w:tcPr>
          <w:p w14:paraId="55071D56"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1 371</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0CFD42B6"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40 %</w:t>
            </w:r>
          </w:p>
        </w:tc>
      </w:tr>
      <w:tr w:rsidR="00013A3D" w:rsidRPr="00476171" w14:paraId="3BC32959" w14:textId="77777777" w:rsidTr="003452C8">
        <w:trPr>
          <w:trHeight w:val="315"/>
        </w:trPr>
        <w:tc>
          <w:tcPr>
            <w:tcW w:w="1408" w:type="dxa"/>
            <w:vMerge/>
            <w:tcBorders>
              <w:left w:val="single" w:sz="0" w:space="0" w:color="000000" w:themeColor="text1"/>
              <w:right w:val="single" w:sz="0" w:space="0" w:color="009EE0"/>
            </w:tcBorders>
            <w:vAlign w:val="center"/>
          </w:tcPr>
          <w:p w14:paraId="55B87748"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20C4E8E3"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Neues Programm für grüne Einsparungen 2014–2020 (Umweltministerium)</w:t>
            </w:r>
          </w:p>
        </w:tc>
        <w:tc>
          <w:tcPr>
            <w:tcW w:w="1276" w:type="dxa"/>
            <w:tcBorders>
              <w:top w:val="single" w:sz="8" w:space="0" w:color="009EE0"/>
              <w:left w:val="single" w:sz="8" w:space="0" w:color="009EE0"/>
              <w:bottom w:val="single" w:sz="8" w:space="0" w:color="009EE0"/>
              <w:right w:val="single" w:sz="8" w:space="0" w:color="009EE0"/>
            </w:tcBorders>
            <w:vAlign w:val="center"/>
          </w:tcPr>
          <w:p w14:paraId="3D271D3D"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320</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20997FA9"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9 %</w:t>
            </w:r>
          </w:p>
        </w:tc>
      </w:tr>
      <w:tr w:rsidR="00013A3D" w:rsidRPr="00476171" w14:paraId="1D9287FB"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49160297"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6C6E2ABA"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Operationelles Programm für Unternehmertum und Innovation 2007-2013 (Ministerium für internationalen Handel)</w:t>
            </w:r>
          </w:p>
        </w:tc>
        <w:tc>
          <w:tcPr>
            <w:tcW w:w="1276" w:type="dxa"/>
            <w:tcBorders>
              <w:top w:val="single" w:sz="8" w:space="0" w:color="009EE0"/>
              <w:left w:val="single" w:sz="8" w:space="0" w:color="009EE0"/>
              <w:bottom w:val="single" w:sz="8" w:space="0" w:color="009EE0"/>
              <w:right w:val="single" w:sz="8" w:space="0" w:color="009EE0"/>
            </w:tcBorders>
            <w:vAlign w:val="center"/>
          </w:tcPr>
          <w:p w14:paraId="596A1389"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298</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557C533F"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9 %</w:t>
            </w:r>
          </w:p>
        </w:tc>
      </w:tr>
      <w:tr w:rsidR="00013A3D" w:rsidRPr="00476171" w14:paraId="4E83756A" w14:textId="77777777" w:rsidTr="003452C8">
        <w:trPr>
          <w:trHeight w:val="315"/>
        </w:trPr>
        <w:tc>
          <w:tcPr>
            <w:tcW w:w="1408" w:type="dxa"/>
            <w:tcBorders>
              <w:top w:val="nil"/>
              <w:left w:val="single" w:sz="8" w:space="0" w:color="000000" w:themeColor="text1"/>
              <w:bottom w:val="single" w:sz="8" w:space="0" w:color="009EE0"/>
              <w:right w:val="single" w:sz="8" w:space="0" w:color="009EE0"/>
            </w:tcBorders>
            <w:vAlign w:val="center"/>
          </w:tcPr>
          <w:p w14:paraId="197777D6"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Dänemark</w:t>
            </w:r>
          </w:p>
        </w:tc>
        <w:tc>
          <w:tcPr>
            <w:tcW w:w="5386" w:type="dxa"/>
            <w:tcBorders>
              <w:top w:val="single" w:sz="8" w:space="0" w:color="009EE0"/>
              <w:left w:val="single" w:sz="8" w:space="0" w:color="009EE0"/>
              <w:bottom w:val="single" w:sz="8" w:space="0" w:color="009EE0"/>
              <w:right w:val="single" w:sz="8" w:space="0" w:color="009EE0"/>
            </w:tcBorders>
            <w:vAlign w:val="center"/>
          </w:tcPr>
          <w:p w14:paraId="173D0371"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Energieeffizienzverpflichtungssystem</w:t>
            </w:r>
          </w:p>
        </w:tc>
        <w:tc>
          <w:tcPr>
            <w:tcW w:w="1276" w:type="dxa"/>
            <w:tcBorders>
              <w:top w:val="single" w:sz="8" w:space="0" w:color="009EE0"/>
              <w:left w:val="single" w:sz="8" w:space="0" w:color="009EE0"/>
              <w:bottom w:val="single" w:sz="8" w:space="0" w:color="009EE0"/>
              <w:right w:val="single" w:sz="8" w:space="0" w:color="009EE0"/>
            </w:tcBorders>
            <w:vAlign w:val="center"/>
          </w:tcPr>
          <w:p w14:paraId="1AB9D075"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5821</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657EDA24"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100 %</w:t>
            </w:r>
          </w:p>
        </w:tc>
      </w:tr>
      <w:tr w:rsidR="00013A3D" w:rsidRPr="00476171" w14:paraId="76A9C0F2" w14:textId="77777777" w:rsidTr="003452C8">
        <w:trPr>
          <w:trHeight w:val="315"/>
        </w:trPr>
        <w:tc>
          <w:tcPr>
            <w:tcW w:w="1408" w:type="dxa"/>
            <w:vMerge w:val="restart"/>
            <w:tcBorders>
              <w:top w:val="single" w:sz="8" w:space="0" w:color="009EE0"/>
              <w:left w:val="single" w:sz="8" w:space="0" w:color="000000" w:themeColor="text1"/>
              <w:bottom w:val="single" w:sz="8" w:space="0" w:color="009EE0"/>
              <w:right w:val="single" w:sz="8" w:space="0" w:color="009EE0"/>
            </w:tcBorders>
            <w:vAlign w:val="center"/>
          </w:tcPr>
          <w:p w14:paraId="243C3149"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Estland</w:t>
            </w:r>
          </w:p>
        </w:tc>
        <w:tc>
          <w:tcPr>
            <w:tcW w:w="5386" w:type="dxa"/>
            <w:tcBorders>
              <w:top w:val="single" w:sz="8" w:space="0" w:color="009EE0"/>
              <w:left w:val="single" w:sz="8" w:space="0" w:color="009EE0"/>
              <w:bottom w:val="single" w:sz="8" w:space="0" w:color="009EE0"/>
              <w:right w:val="single" w:sz="8" w:space="0" w:color="009EE0"/>
            </w:tcBorders>
            <w:vAlign w:val="center"/>
          </w:tcPr>
          <w:p w14:paraId="343B85D4"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Verbrauchsteuer und Mehrwertsteuer auf Dieselkraftstoff und leichtes Heizöl</w:t>
            </w:r>
          </w:p>
        </w:tc>
        <w:tc>
          <w:tcPr>
            <w:tcW w:w="1276" w:type="dxa"/>
            <w:tcBorders>
              <w:top w:val="single" w:sz="8" w:space="0" w:color="009EE0"/>
              <w:left w:val="single" w:sz="8" w:space="0" w:color="009EE0"/>
              <w:bottom w:val="single" w:sz="8" w:space="0" w:color="009EE0"/>
              <w:right w:val="single" w:sz="8" w:space="0" w:color="009EE0"/>
            </w:tcBorders>
            <w:vAlign w:val="center"/>
          </w:tcPr>
          <w:p w14:paraId="6A89D45B"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169</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44A485B1"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21 %</w:t>
            </w:r>
          </w:p>
        </w:tc>
      </w:tr>
      <w:tr w:rsidR="00013A3D" w:rsidRPr="00476171" w14:paraId="1098D8CC"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695C0876"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0ABD7D26"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Erneuerbare-Energien-Gebühr</w:t>
            </w:r>
          </w:p>
        </w:tc>
        <w:tc>
          <w:tcPr>
            <w:tcW w:w="1276" w:type="dxa"/>
            <w:tcBorders>
              <w:top w:val="single" w:sz="8" w:space="0" w:color="009EE0"/>
              <w:left w:val="single" w:sz="8" w:space="0" w:color="009EE0"/>
              <w:bottom w:val="single" w:sz="8" w:space="0" w:color="009EE0"/>
              <w:right w:val="single" w:sz="8" w:space="0" w:color="009EE0"/>
            </w:tcBorders>
            <w:vAlign w:val="center"/>
          </w:tcPr>
          <w:p w14:paraId="2276CBF6"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94</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427B55D6"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12 %</w:t>
            </w:r>
          </w:p>
        </w:tc>
      </w:tr>
      <w:tr w:rsidR="00013A3D" w:rsidRPr="00476171" w14:paraId="6C744090"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52C1CCB8"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6FD79B0A"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Verbrauchsteuer und Mehrwertsteuer auf Benzin</w:t>
            </w:r>
          </w:p>
        </w:tc>
        <w:tc>
          <w:tcPr>
            <w:tcW w:w="1276" w:type="dxa"/>
            <w:tcBorders>
              <w:top w:val="single" w:sz="8" w:space="0" w:color="009EE0"/>
              <w:left w:val="single" w:sz="8" w:space="0" w:color="009EE0"/>
              <w:bottom w:val="single" w:sz="8" w:space="0" w:color="009EE0"/>
              <w:right w:val="single" w:sz="8" w:space="0" w:color="009EE0"/>
            </w:tcBorders>
            <w:vAlign w:val="center"/>
          </w:tcPr>
          <w:p w14:paraId="3D63B390"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86</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34EC6891"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11 %</w:t>
            </w:r>
          </w:p>
        </w:tc>
      </w:tr>
      <w:tr w:rsidR="00013A3D" w:rsidRPr="00476171" w14:paraId="250B5F63" w14:textId="77777777" w:rsidTr="003452C8">
        <w:trPr>
          <w:trHeight w:val="315"/>
        </w:trPr>
        <w:tc>
          <w:tcPr>
            <w:tcW w:w="1408" w:type="dxa"/>
            <w:vMerge w:val="restart"/>
            <w:tcBorders>
              <w:top w:val="nil"/>
              <w:left w:val="single" w:sz="8" w:space="0" w:color="000000" w:themeColor="text1"/>
              <w:bottom w:val="single" w:sz="8" w:space="0" w:color="009EE0"/>
              <w:right w:val="single" w:sz="8" w:space="0" w:color="009EE0"/>
            </w:tcBorders>
            <w:vAlign w:val="center"/>
          </w:tcPr>
          <w:p w14:paraId="42DDD5DD"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Finnland</w:t>
            </w:r>
          </w:p>
        </w:tc>
        <w:tc>
          <w:tcPr>
            <w:tcW w:w="5386" w:type="dxa"/>
            <w:tcBorders>
              <w:top w:val="single" w:sz="8" w:space="0" w:color="009EE0"/>
              <w:left w:val="single" w:sz="8" w:space="0" w:color="009EE0"/>
              <w:bottom w:val="single" w:sz="8" w:space="0" w:color="009EE0"/>
              <w:right w:val="single" w:sz="8" w:space="0" w:color="009EE0"/>
            </w:tcBorders>
            <w:vAlign w:val="center"/>
          </w:tcPr>
          <w:p w14:paraId="53625B5F"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Energieeffizienzabkommen</w:t>
            </w:r>
          </w:p>
        </w:tc>
        <w:tc>
          <w:tcPr>
            <w:tcW w:w="1276" w:type="dxa"/>
            <w:tcBorders>
              <w:top w:val="single" w:sz="8" w:space="0" w:color="009EE0"/>
              <w:left w:val="single" w:sz="8" w:space="0" w:color="009EE0"/>
              <w:bottom w:val="single" w:sz="8" w:space="0" w:color="009EE0"/>
              <w:right w:val="single" w:sz="8" w:space="0" w:color="009EE0"/>
            </w:tcBorders>
            <w:vAlign w:val="center"/>
          </w:tcPr>
          <w:p w14:paraId="7F582E6A"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2 868</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74F98FB7"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37 %</w:t>
            </w:r>
          </w:p>
        </w:tc>
      </w:tr>
      <w:tr w:rsidR="00013A3D" w:rsidRPr="00476171" w14:paraId="6021D9C2" w14:textId="77777777" w:rsidTr="003452C8">
        <w:trPr>
          <w:trHeight w:val="315"/>
        </w:trPr>
        <w:tc>
          <w:tcPr>
            <w:tcW w:w="1408" w:type="dxa"/>
            <w:vMerge/>
            <w:tcBorders>
              <w:left w:val="single" w:sz="0" w:space="0" w:color="000000" w:themeColor="text1"/>
              <w:right w:val="single" w:sz="0" w:space="0" w:color="009EE0"/>
            </w:tcBorders>
            <w:vAlign w:val="center"/>
          </w:tcPr>
          <w:p w14:paraId="40570ED7"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66E11895"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Kraftstoffbesteuerung/Kraftfahrzeugverkehr</w:t>
            </w:r>
          </w:p>
        </w:tc>
        <w:tc>
          <w:tcPr>
            <w:tcW w:w="1276" w:type="dxa"/>
            <w:tcBorders>
              <w:top w:val="single" w:sz="8" w:space="0" w:color="009EE0"/>
              <w:left w:val="single" w:sz="8" w:space="0" w:color="009EE0"/>
              <w:bottom w:val="single" w:sz="8" w:space="0" w:color="009EE0"/>
              <w:right w:val="single" w:sz="8" w:space="0" w:color="009EE0"/>
            </w:tcBorders>
            <w:vAlign w:val="center"/>
          </w:tcPr>
          <w:p w14:paraId="6478FB19"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1 761</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1045C84D"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22 %</w:t>
            </w:r>
          </w:p>
        </w:tc>
      </w:tr>
      <w:tr w:rsidR="00013A3D" w:rsidRPr="00476171" w14:paraId="4A170F10"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0DABD2A1"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13BC143A"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Wärmepumpen für freistehende Häuser und Reihenhäuser</w:t>
            </w:r>
          </w:p>
        </w:tc>
        <w:tc>
          <w:tcPr>
            <w:tcW w:w="1276" w:type="dxa"/>
            <w:tcBorders>
              <w:top w:val="single" w:sz="8" w:space="0" w:color="009EE0"/>
              <w:left w:val="single" w:sz="8" w:space="0" w:color="009EE0"/>
              <w:bottom w:val="single" w:sz="8" w:space="0" w:color="009EE0"/>
              <w:right w:val="single" w:sz="8" w:space="0" w:color="009EE0"/>
            </w:tcBorders>
            <w:vAlign w:val="center"/>
          </w:tcPr>
          <w:p w14:paraId="3160AF37"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923</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652EA905"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12 %</w:t>
            </w:r>
          </w:p>
        </w:tc>
      </w:tr>
      <w:tr w:rsidR="00013A3D" w:rsidRPr="00476171" w14:paraId="0554530D" w14:textId="77777777" w:rsidTr="003452C8">
        <w:trPr>
          <w:trHeight w:val="315"/>
        </w:trPr>
        <w:tc>
          <w:tcPr>
            <w:tcW w:w="1408" w:type="dxa"/>
            <w:tcBorders>
              <w:top w:val="nil"/>
              <w:left w:val="single" w:sz="8" w:space="0" w:color="000000" w:themeColor="text1"/>
              <w:bottom w:val="single" w:sz="8" w:space="0" w:color="009EE0"/>
              <w:right w:val="single" w:sz="8" w:space="0" w:color="009EE0"/>
            </w:tcBorders>
            <w:vAlign w:val="center"/>
          </w:tcPr>
          <w:p w14:paraId="71A9C861"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Frankreich</w:t>
            </w:r>
          </w:p>
        </w:tc>
        <w:tc>
          <w:tcPr>
            <w:tcW w:w="5386" w:type="dxa"/>
            <w:tcBorders>
              <w:top w:val="single" w:sz="8" w:space="0" w:color="009EE0"/>
              <w:left w:val="single" w:sz="8" w:space="0" w:color="009EE0"/>
              <w:bottom w:val="single" w:sz="8" w:space="0" w:color="009EE0"/>
              <w:right w:val="single" w:sz="8" w:space="0" w:color="009EE0"/>
            </w:tcBorders>
            <w:vAlign w:val="center"/>
          </w:tcPr>
          <w:p w14:paraId="19791CD7"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System weißer Zertifikate (certificats d'économie d'énergie, CEE)</w:t>
            </w:r>
          </w:p>
        </w:tc>
        <w:tc>
          <w:tcPr>
            <w:tcW w:w="1276" w:type="dxa"/>
            <w:tcBorders>
              <w:top w:val="single" w:sz="8" w:space="0" w:color="009EE0"/>
              <w:left w:val="single" w:sz="8" w:space="0" w:color="009EE0"/>
              <w:bottom w:val="single" w:sz="8" w:space="0" w:color="009EE0"/>
              <w:right w:val="single" w:sz="8" w:space="0" w:color="009EE0"/>
            </w:tcBorders>
            <w:vAlign w:val="center"/>
          </w:tcPr>
          <w:p w14:paraId="56541149"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35757</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72280BA9"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100 %</w:t>
            </w:r>
          </w:p>
        </w:tc>
      </w:tr>
      <w:tr w:rsidR="00013A3D" w:rsidRPr="00476171" w14:paraId="6F1C1153" w14:textId="77777777" w:rsidTr="003452C8">
        <w:trPr>
          <w:trHeight w:val="315"/>
        </w:trPr>
        <w:tc>
          <w:tcPr>
            <w:tcW w:w="1408" w:type="dxa"/>
            <w:vMerge w:val="restart"/>
            <w:tcBorders>
              <w:top w:val="single" w:sz="8" w:space="0" w:color="009EE0"/>
              <w:left w:val="single" w:sz="8" w:space="0" w:color="000000" w:themeColor="text1"/>
              <w:bottom w:val="single" w:sz="8" w:space="0" w:color="009EE0"/>
              <w:right w:val="single" w:sz="8" w:space="0" w:color="009EE0"/>
            </w:tcBorders>
            <w:vAlign w:val="center"/>
          </w:tcPr>
          <w:p w14:paraId="0F02C88E"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Deutschland</w:t>
            </w:r>
          </w:p>
        </w:tc>
        <w:tc>
          <w:tcPr>
            <w:tcW w:w="5386" w:type="dxa"/>
            <w:tcBorders>
              <w:top w:val="single" w:sz="8" w:space="0" w:color="009EE0"/>
              <w:left w:val="single" w:sz="8" w:space="0" w:color="009EE0"/>
              <w:bottom w:val="single" w:sz="8" w:space="0" w:color="009EE0"/>
              <w:right w:val="single" w:sz="8" w:space="0" w:color="009EE0"/>
            </w:tcBorders>
            <w:vAlign w:val="center"/>
          </w:tcPr>
          <w:p w14:paraId="78D4B737"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Energie- und Stromsteuer</w:t>
            </w:r>
          </w:p>
        </w:tc>
        <w:tc>
          <w:tcPr>
            <w:tcW w:w="1276" w:type="dxa"/>
            <w:tcBorders>
              <w:top w:val="single" w:sz="8" w:space="0" w:color="009EE0"/>
              <w:left w:val="single" w:sz="8" w:space="0" w:color="009EE0"/>
              <w:bottom w:val="single" w:sz="8" w:space="0" w:color="009EE0"/>
              <w:right w:val="single" w:sz="8" w:space="0" w:color="009EE0"/>
            </w:tcBorders>
            <w:vAlign w:val="center"/>
          </w:tcPr>
          <w:p w14:paraId="1385ABB3"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12 205</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0A18A91A"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33 %</w:t>
            </w:r>
          </w:p>
        </w:tc>
      </w:tr>
      <w:tr w:rsidR="00013A3D" w:rsidRPr="00476171" w14:paraId="0DE95977"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22D196EA"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5D9748ED"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Energieeinsparverordnung (bestehende Gebäude)</w:t>
            </w:r>
          </w:p>
        </w:tc>
        <w:tc>
          <w:tcPr>
            <w:tcW w:w="1276" w:type="dxa"/>
            <w:tcBorders>
              <w:top w:val="single" w:sz="8" w:space="0" w:color="009EE0"/>
              <w:left w:val="single" w:sz="8" w:space="0" w:color="009EE0"/>
              <w:bottom w:val="single" w:sz="8" w:space="0" w:color="009EE0"/>
              <w:right w:val="single" w:sz="8" w:space="0" w:color="009EE0"/>
            </w:tcBorders>
            <w:vAlign w:val="center"/>
          </w:tcPr>
          <w:p w14:paraId="0FD5959A"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7 543</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0FD8DED5"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20 %</w:t>
            </w:r>
          </w:p>
        </w:tc>
      </w:tr>
      <w:tr w:rsidR="00013A3D" w:rsidRPr="00476171" w14:paraId="3A956706"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4C19D3AA"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15DA0BC2"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KfW-Förderung für energieeffizientes Bauen und Sanieren</w:t>
            </w:r>
          </w:p>
        </w:tc>
        <w:tc>
          <w:tcPr>
            <w:tcW w:w="1276" w:type="dxa"/>
            <w:tcBorders>
              <w:top w:val="single" w:sz="8" w:space="0" w:color="009EE0"/>
              <w:left w:val="single" w:sz="8" w:space="0" w:color="009EE0"/>
              <w:bottom w:val="single" w:sz="8" w:space="0" w:color="009EE0"/>
              <w:right w:val="single" w:sz="8" w:space="0" w:color="009EE0"/>
            </w:tcBorders>
            <w:vAlign w:val="center"/>
          </w:tcPr>
          <w:p w14:paraId="6901D3A3"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4 140</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0620FCF8"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11 %</w:t>
            </w:r>
          </w:p>
        </w:tc>
      </w:tr>
      <w:tr w:rsidR="00DD1863" w:rsidRPr="00476171" w14:paraId="08DD065A" w14:textId="77777777" w:rsidTr="003452C8">
        <w:trPr>
          <w:trHeight w:val="315"/>
        </w:trPr>
        <w:tc>
          <w:tcPr>
            <w:tcW w:w="1408" w:type="dxa"/>
            <w:vMerge w:val="restart"/>
            <w:tcBorders>
              <w:top w:val="nil"/>
              <w:left w:val="single" w:sz="8" w:space="0" w:color="000000" w:themeColor="text1"/>
              <w:bottom w:val="single" w:sz="8" w:space="0" w:color="009EE0"/>
              <w:right w:val="single" w:sz="8" w:space="0" w:color="009EE0"/>
            </w:tcBorders>
            <w:vAlign w:val="center"/>
          </w:tcPr>
          <w:p w14:paraId="109E1C1C" w14:textId="77777777" w:rsidR="00DD1863" w:rsidRPr="00476171" w:rsidRDefault="00DD1863"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Griechenland</w:t>
            </w:r>
          </w:p>
        </w:tc>
        <w:tc>
          <w:tcPr>
            <w:tcW w:w="5386" w:type="dxa"/>
            <w:tcBorders>
              <w:top w:val="single" w:sz="8" w:space="0" w:color="009EE0"/>
              <w:left w:val="single" w:sz="8" w:space="0" w:color="009EE0"/>
              <w:bottom w:val="single" w:sz="8" w:space="0" w:color="009EE0"/>
              <w:right w:val="single" w:sz="8" w:space="0" w:color="009EE0"/>
            </w:tcBorders>
            <w:vAlign w:val="center"/>
          </w:tcPr>
          <w:p w14:paraId="1CA92A3A" w14:textId="67BB8F63" w:rsidR="00DD1863" w:rsidRPr="00476171" w:rsidRDefault="00DD1863" w:rsidP="00DD1863">
            <w:pPr>
              <w:rPr>
                <w:rFonts w:ascii="Times New Roman" w:hAnsi="Times New Roman" w:cs="Times New Roman"/>
                <w:noProof/>
                <w:lang w:val="de-DE"/>
              </w:rPr>
            </w:pPr>
            <w:r w:rsidRPr="00476171">
              <w:rPr>
                <w:rFonts w:ascii="Times New Roman" w:hAnsi="Times New Roman"/>
                <w:noProof/>
                <w:color w:val="000000" w:themeColor="text1"/>
                <w:sz w:val="20"/>
                <w:lang w:val="de-DE"/>
              </w:rPr>
              <w:t>Energieeffizienzverpflichtungssysteme</w:t>
            </w:r>
          </w:p>
        </w:tc>
        <w:tc>
          <w:tcPr>
            <w:tcW w:w="1276" w:type="dxa"/>
            <w:tcBorders>
              <w:top w:val="single" w:sz="8" w:space="0" w:color="009EE0"/>
              <w:left w:val="single" w:sz="8" w:space="0" w:color="009EE0"/>
              <w:bottom w:val="single" w:sz="8" w:space="0" w:color="009EE0"/>
              <w:right w:val="single" w:sz="8" w:space="0" w:color="009EE0"/>
            </w:tcBorders>
            <w:vAlign w:val="center"/>
          </w:tcPr>
          <w:p w14:paraId="20C5B48F" w14:textId="77777777" w:rsidR="00DD1863" w:rsidRPr="00476171" w:rsidRDefault="00DD1863" w:rsidP="00DD1863">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578</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5BACA259" w14:textId="77777777" w:rsidR="00DD1863" w:rsidRPr="00476171" w:rsidRDefault="00DD1863" w:rsidP="00DD1863">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24 %</w:t>
            </w:r>
          </w:p>
        </w:tc>
      </w:tr>
      <w:tr w:rsidR="00013A3D" w:rsidRPr="00476171" w14:paraId="0F023B76" w14:textId="77777777" w:rsidTr="003452C8">
        <w:trPr>
          <w:trHeight w:val="315"/>
        </w:trPr>
        <w:tc>
          <w:tcPr>
            <w:tcW w:w="1408" w:type="dxa"/>
            <w:vMerge/>
            <w:tcBorders>
              <w:left w:val="single" w:sz="0" w:space="0" w:color="000000" w:themeColor="text1"/>
              <w:right w:val="single" w:sz="0" w:space="0" w:color="009EE0"/>
            </w:tcBorders>
            <w:vAlign w:val="center"/>
          </w:tcPr>
          <w:p w14:paraId="22497241"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76B0ECFE"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Spezifische Verbrauchsteuer für Mineralölerzeugnisse</w:t>
            </w:r>
          </w:p>
        </w:tc>
        <w:tc>
          <w:tcPr>
            <w:tcW w:w="1276" w:type="dxa"/>
            <w:tcBorders>
              <w:top w:val="single" w:sz="8" w:space="0" w:color="009EE0"/>
              <w:left w:val="single" w:sz="8" w:space="0" w:color="009EE0"/>
              <w:bottom w:val="single" w:sz="8" w:space="0" w:color="009EE0"/>
              <w:right w:val="single" w:sz="8" w:space="0" w:color="009EE0"/>
            </w:tcBorders>
            <w:vAlign w:val="center"/>
          </w:tcPr>
          <w:p w14:paraId="7C80D41D"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536</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755668DF"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22 %</w:t>
            </w:r>
          </w:p>
        </w:tc>
      </w:tr>
      <w:tr w:rsidR="00013A3D" w:rsidRPr="00476171" w14:paraId="48F55A26"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63AFC880"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69ABBDE6"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Austausch alter Personenkraftwagen</w:t>
            </w:r>
          </w:p>
        </w:tc>
        <w:tc>
          <w:tcPr>
            <w:tcW w:w="1276" w:type="dxa"/>
            <w:tcBorders>
              <w:top w:val="single" w:sz="8" w:space="0" w:color="009EE0"/>
              <w:left w:val="single" w:sz="8" w:space="0" w:color="009EE0"/>
              <w:bottom w:val="single" w:sz="8" w:space="0" w:color="009EE0"/>
              <w:right w:val="single" w:sz="8" w:space="0" w:color="009EE0"/>
            </w:tcBorders>
            <w:vAlign w:val="center"/>
          </w:tcPr>
          <w:p w14:paraId="7CA113DE"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463</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4A841A64"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19 %</w:t>
            </w:r>
          </w:p>
        </w:tc>
      </w:tr>
      <w:tr w:rsidR="00013A3D" w:rsidRPr="00476171" w14:paraId="6188126F" w14:textId="77777777" w:rsidTr="003452C8">
        <w:trPr>
          <w:trHeight w:val="315"/>
        </w:trPr>
        <w:tc>
          <w:tcPr>
            <w:tcW w:w="1408" w:type="dxa"/>
            <w:vMerge w:val="restart"/>
            <w:tcBorders>
              <w:top w:val="nil"/>
              <w:left w:val="single" w:sz="8" w:space="0" w:color="000000" w:themeColor="text1"/>
              <w:bottom w:val="single" w:sz="8" w:space="0" w:color="009EE0"/>
              <w:right w:val="single" w:sz="8" w:space="0" w:color="009EE0"/>
            </w:tcBorders>
            <w:vAlign w:val="center"/>
          </w:tcPr>
          <w:p w14:paraId="07904C42"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Irland</w:t>
            </w:r>
          </w:p>
        </w:tc>
        <w:tc>
          <w:tcPr>
            <w:tcW w:w="5386" w:type="dxa"/>
            <w:tcBorders>
              <w:top w:val="single" w:sz="8" w:space="0" w:color="009EE0"/>
              <w:left w:val="single" w:sz="8" w:space="0" w:color="009EE0"/>
              <w:bottom w:val="single" w:sz="8" w:space="0" w:color="009EE0"/>
              <w:right w:val="single" w:sz="8" w:space="0" w:color="009EE0"/>
            </w:tcBorders>
            <w:vAlign w:val="center"/>
          </w:tcPr>
          <w:p w14:paraId="45CA3B65"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Energieeffizienzverpflichtungssystem</w:t>
            </w:r>
          </w:p>
        </w:tc>
        <w:tc>
          <w:tcPr>
            <w:tcW w:w="1276" w:type="dxa"/>
            <w:tcBorders>
              <w:top w:val="single" w:sz="8" w:space="0" w:color="009EE0"/>
              <w:left w:val="single" w:sz="8" w:space="0" w:color="009EE0"/>
              <w:bottom w:val="single" w:sz="8" w:space="0" w:color="009EE0"/>
              <w:right w:val="single" w:sz="8" w:space="0" w:color="009EE0"/>
            </w:tcBorders>
            <w:vAlign w:val="center"/>
          </w:tcPr>
          <w:p w14:paraId="7A556D1A"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1 185</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3A476F5D"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45 %</w:t>
            </w:r>
          </w:p>
        </w:tc>
      </w:tr>
      <w:tr w:rsidR="00013A3D" w:rsidRPr="00476171" w14:paraId="3BD069EE" w14:textId="77777777" w:rsidTr="003452C8">
        <w:trPr>
          <w:trHeight w:val="315"/>
        </w:trPr>
        <w:tc>
          <w:tcPr>
            <w:tcW w:w="1408" w:type="dxa"/>
            <w:vMerge/>
            <w:tcBorders>
              <w:left w:val="single" w:sz="0" w:space="0" w:color="000000" w:themeColor="text1"/>
              <w:right w:val="single" w:sz="0" w:space="0" w:color="009EE0"/>
            </w:tcBorders>
            <w:vAlign w:val="center"/>
          </w:tcPr>
          <w:p w14:paraId="3C380963"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4CCCE55E"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Bauvorschriften 2005 / 2008 – Gebäude außer Wohnungen</w:t>
            </w:r>
          </w:p>
        </w:tc>
        <w:tc>
          <w:tcPr>
            <w:tcW w:w="1276" w:type="dxa"/>
            <w:tcBorders>
              <w:top w:val="single" w:sz="8" w:space="0" w:color="009EE0"/>
              <w:left w:val="single" w:sz="8" w:space="0" w:color="009EE0"/>
              <w:bottom w:val="single" w:sz="8" w:space="0" w:color="009EE0"/>
              <w:right w:val="single" w:sz="8" w:space="0" w:color="009EE0"/>
            </w:tcBorders>
            <w:vAlign w:val="center"/>
          </w:tcPr>
          <w:p w14:paraId="6B882F26"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402</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6285A323"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15 %</w:t>
            </w:r>
          </w:p>
        </w:tc>
      </w:tr>
      <w:tr w:rsidR="00013A3D" w:rsidRPr="00476171" w14:paraId="64C1E288"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457C9EBC"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58E272E1"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Kfz-Zulassungssteuer/Kfz-Steuer angepasst an Emissionen</w:t>
            </w:r>
          </w:p>
        </w:tc>
        <w:tc>
          <w:tcPr>
            <w:tcW w:w="1276" w:type="dxa"/>
            <w:tcBorders>
              <w:top w:val="single" w:sz="8" w:space="0" w:color="009EE0"/>
              <w:left w:val="single" w:sz="8" w:space="0" w:color="009EE0"/>
              <w:bottom w:val="single" w:sz="8" w:space="0" w:color="009EE0"/>
              <w:right w:val="single" w:sz="8" w:space="0" w:color="009EE0"/>
            </w:tcBorders>
            <w:vAlign w:val="center"/>
          </w:tcPr>
          <w:p w14:paraId="025E00C0"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240</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6B4F8583"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9 %</w:t>
            </w:r>
          </w:p>
        </w:tc>
      </w:tr>
      <w:tr w:rsidR="00013A3D" w:rsidRPr="00476171" w14:paraId="3F0535E4" w14:textId="77777777" w:rsidTr="003452C8">
        <w:trPr>
          <w:trHeight w:val="315"/>
        </w:trPr>
        <w:tc>
          <w:tcPr>
            <w:tcW w:w="1408" w:type="dxa"/>
            <w:vMerge w:val="restart"/>
            <w:tcBorders>
              <w:top w:val="nil"/>
              <w:left w:val="single" w:sz="8" w:space="0" w:color="000000" w:themeColor="text1"/>
              <w:bottom w:val="single" w:sz="8" w:space="0" w:color="009EE0"/>
              <w:right w:val="single" w:sz="8" w:space="0" w:color="009EE0"/>
            </w:tcBorders>
            <w:vAlign w:val="center"/>
          </w:tcPr>
          <w:p w14:paraId="7D1C7A8E"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Italien</w:t>
            </w:r>
          </w:p>
        </w:tc>
        <w:tc>
          <w:tcPr>
            <w:tcW w:w="5386" w:type="dxa"/>
            <w:tcBorders>
              <w:top w:val="single" w:sz="8" w:space="0" w:color="009EE0"/>
              <w:left w:val="single" w:sz="8" w:space="0" w:color="009EE0"/>
              <w:bottom w:val="single" w:sz="8" w:space="0" w:color="009EE0"/>
              <w:right w:val="single" w:sz="8" w:space="0" w:color="009EE0"/>
            </w:tcBorders>
            <w:vAlign w:val="center"/>
          </w:tcPr>
          <w:p w14:paraId="4896A327"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Steuerermäßigungen</w:t>
            </w:r>
          </w:p>
        </w:tc>
        <w:tc>
          <w:tcPr>
            <w:tcW w:w="1276" w:type="dxa"/>
            <w:tcBorders>
              <w:top w:val="single" w:sz="8" w:space="0" w:color="009EE0"/>
              <w:left w:val="single" w:sz="8" w:space="0" w:color="009EE0"/>
              <w:bottom w:val="single" w:sz="8" w:space="0" w:color="009EE0"/>
              <w:right w:val="single" w:sz="8" w:space="0" w:color="009EE0"/>
            </w:tcBorders>
            <w:vAlign w:val="center"/>
          </w:tcPr>
          <w:p w14:paraId="55FDFBE3"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10 394</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0BB522D0"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45 %</w:t>
            </w:r>
          </w:p>
        </w:tc>
      </w:tr>
      <w:tr w:rsidR="00013A3D" w:rsidRPr="00476171" w14:paraId="791A2130" w14:textId="77777777" w:rsidTr="003452C8">
        <w:trPr>
          <w:trHeight w:val="315"/>
        </w:trPr>
        <w:tc>
          <w:tcPr>
            <w:tcW w:w="1408" w:type="dxa"/>
            <w:vMerge/>
            <w:tcBorders>
              <w:left w:val="single" w:sz="0" w:space="0" w:color="000000" w:themeColor="text1"/>
              <w:right w:val="single" w:sz="0" w:space="0" w:color="009EE0"/>
            </w:tcBorders>
            <w:vAlign w:val="center"/>
          </w:tcPr>
          <w:p w14:paraId="45F14BBC"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54F35851"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Weiße Zertifikate</w:t>
            </w:r>
          </w:p>
        </w:tc>
        <w:tc>
          <w:tcPr>
            <w:tcW w:w="1276" w:type="dxa"/>
            <w:tcBorders>
              <w:top w:val="single" w:sz="8" w:space="0" w:color="009EE0"/>
              <w:left w:val="single" w:sz="8" w:space="0" w:color="009EE0"/>
              <w:bottom w:val="single" w:sz="8" w:space="0" w:color="009EE0"/>
              <w:right w:val="single" w:sz="8" w:space="0" w:color="009EE0"/>
            </w:tcBorders>
            <w:vAlign w:val="center"/>
          </w:tcPr>
          <w:p w14:paraId="16900048"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8 392</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2D67905E"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36 %</w:t>
            </w:r>
          </w:p>
        </w:tc>
      </w:tr>
      <w:tr w:rsidR="00013A3D" w:rsidRPr="00476171" w14:paraId="32052DA5"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7A7833BB"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70659287"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Plan Industrie 4.0</w:t>
            </w:r>
          </w:p>
        </w:tc>
        <w:tc>
          <w:tcPr>
            <w:tcW w:w="1276" w:type="dxa"/>
            <w:tcBorders>
              <w:top w:val="single" w:sz="8" w:space="0" w:color="009EE0"/>
              <w:left w:val="single" w:sz="8" w:space="0" w:color="009EE0"/>
              <w:bottom w:val="single" w:sz="8" w:space="0" w:color="009EE0"/>
              <w:right w:val="single" w:sz="8" w:space="0" w:color="009EE0"/>
            </w:tcBorders>
            <w:vAlign w:val="center"/>
          </w:tcPr>
          <w:p w14:paraId="03B34027"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1 830</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0EB0DC6E"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8 %</w:t>
            </w:r>
          </w:p>
        </w:tc>
      </w:tr>
      <w:tr w:rsidR="00013A3D" w:rsidRPr="00476171" w14:paraId="3B6E1DF5" w14:textId="77777777" w:rsidTr="003452C8">
        <w:trPr>
          <w:trHeight w:val="315"/>
        </w:trPr>
        <w:tc>
          <w:tcPr>
            <w:tcW w:w="1408" w:type="dxa"/>
            <w:vMerge w:val="restart"/>
            <w:tcBorders>
              <w:top w:val="nil"/>
              <w:left w:val="single" w:sz="8" w:space="0" w:color="000000" w:themeColor="text1"/>
              <w:bottom w:val="single" w:sz="8" w:space="0" w:color="009EE0"/>
              <w:right w:val="single" w:sz="8" w:space="0" w:color="009EE0"/>
            </w:tcBorders>
            <w:vAlign w:val="center"/>
          </w:tcPr>
          <w:p w14:paraId="0BB4E9F0"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Lettland</w:t>
            </w:r>
          </w:p>
        </w:tc>
        <w:tc>
          <w:tcPr>
            <w:tcW w:w="5386" w:type="dxa"/>
            <w:tcBorders>
              <w:top w:val="single" w:sz="8" w:space="0" w:color="009EE0"/>
              <w:left w:val="single" w:sz="8" w:space="0" w:color="009EE0"/>
              <w:bottom w:val="single" w:sz="8" w:space="0" w:color="009EE0"/>
              <w:right w:val="single" w:sz="8" w:space="0" w:color="009EE0"/>
            </w:tcBorders>
            <w:vAlign w:val="center"/>
          </w:tcPr>
          <w:p w14:paraId="367F4B3E"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Energiebesteuerung</w:t>
            </w:r>
          </w:p>
        </w:tc>
        <w:tc>
          <w:tcPr>
            <w:tcW w:w="1276" w:type="dxa"/>
            <w:tcBorders>
              <w:top w:val="single" w:sz="8" w:space="0" w:color="009EE0"/>
              <w:left w:val="single" w:sz="8" w:space="0" w:color="009EE0"/>
              <w:bottom w:val="single" w:sz="8" w:space="0" w:color="009EE0"/>
              <w:right w:val="single" w:sz="8" w:space="0" w:color="009EE0"/>
            </w:tcBorders>
            <w:vAlign w:val="center"/>
          </w:tcPr>
          <w:p w14:paraId="4C76660F"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359</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753633CC"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40 %</w:t>
            </w:r>
          </w:p>
        </w:tc>
      </w:tr>
      <w:tr w:rsidR="00013A3D" w:rsidRPr="00476171" w14:paraId="50A80F81" w14:textId="77777777" w:rsidTr="003452C8">
        <w:trPr>
          <w:trHeight w:val="525"/>
        </w:trPr>
        <w:tc>
          <w:tcPr>
            <w:tcW w:w="1408" w:type="dxa"/>
            <w:vMerge/>
            <w:tcBorders>
              <w:left w:val="single" w:sz="0" w:space="0" w:color="000000" w:themeColor="text1"/>
              <w:right w:val="single" w:sz="0" w:space="0" w:color="009EE0"/>
            </w:tcBorders>
            <w:vAlign w:val="center"/>
          </w:tcPr>
          <w:p w14:paraId="0A801BCB"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6FB701C7"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Umsetzung von Maßnahmen, die infolge von Energieaudits bei großen Unternehmen und großen Stromverbrauchern ermittelt wurden</w:t>
            </w:r>
          </w:p>
        </w:tc>
        <w:tc>
          <w:tcPr>
            <w:tcW w:w="1276" w:type="dxa"/>
            <w:tcBorders>
              <w:top w:val="single" w:sz="8" w:space="0" w:color="009EE0"/>
              <w:left w:val="single" w:sz="8" w:space="0" w:color="009EE0"/>
              <w:bottom w:val="single" w:sz="8" w:space="0" w:color="009EE0"/>
              <w:right w:val="single" w:sz="8" w:space="0" w:color="009EE0"/>
            </w:tcBorders>
            <w:vAlign w:val="center"/>
          </w:tcPr>
          <w:p w14:paraId="5ACC10A0"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168</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61A6A22A"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19 %</w:t>
            </w:r>
          </w:p>
        </w:tc>
      </w:tr>
      <w:tr w:rsidR="00013A3D" w:rsidRPr="00476171" w14:paraId="13B2B7AA"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5A67B76E"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57F4E28F"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 xml:space="preserve">Projektwettbewerbe im Rahmen des Finanzierungsinstruments für den Klimaschutz </w:t>
            </w:r>
          </w:p>
        </w:tc>
        <w:tc>
          <w:tcPr>
            <w:tcW w:w="1276" w:type="dxa"/>
            <w:tcBorders>
              <w:top w:val="single" w:sz="8" w:space="0" w:color="009EE0"/>
              <w:left w:val="single" w:sz="8" w:space="0" w:color="009EE0"/>
              <w:bottom w:val="single" w:sz="8" w:space="0" w:color="009EE0"/>
              <w:right w:val="single" w:sz="8" w:space="0" w:color="009EE0"/>
            </w:tcBorders>
            <w:vAlign w:val="center"/>
          </w:tcPr>
          <w:p w14:paraId="68A45B7E"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116</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0456DEEC"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13 %</w:t>
            </w:r>
          </w:p>
        </w:tc>
      </w:tr>
      <w:tr w:rsidR="00013A3D" w:rsidRPr="00476171" w14:paraId="4774CB83" w14:textId="77777777" w:rsidTr="003452C8">
        <w:trPr>
          <w:trHeight w:val="315"/>
        </w:trPr>
        <w:tc>
          <w:tcPr>
            <w:tcW w:w="1408" w:type="dxa"/>
            <w:vMerge w:val="restart"/>
            <w:tcBorders>
              <w:top w:val="nil"/>
              <w:left w:val="single" w:sz="8" w:space="0" w:color="000000" w:themeColor="text1"/>
              <w:bottom w:val="single" w:sz="8" w:space="0" w:color="009EE0"/>
              <w:right w:val="single" w:sz="8" w:space="0" w:color="009EE0"/>
            </w:tcBorders>
            <w:vAlign w:val="center"/>
          </w:tcPr>
          <w:p w14:paraId="4A3CA383" w14:textId="77777777" w:rsidR="00013A3D" w:rsidRPr="00476171" w:rsidRDefault="00013A3D" w:rsidP="00F70995">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Litauen</w:t>
            </w:r>
          </w:p>
        </w:tc>
        <w:tc>
          <w:tcPr>
            <w:tcW w:w="5386" w:type="dxa"/>
            <w:tcBorders>
              <w:top w:val="single" w:sz="8" w:space="0" w:color="009EE0"/>
              <w:left w:val="single" w:sz="8" w:space="0" w:color="009EE0"/>
              <w:bottom w:val="single" w:sz="8" w:space="0" w:color="009EE0"/>
              <w:right w:val="single" w:sz="8" w:space="0" w:color="009EE0"/>
            </w:tcBorders>
            <w:vAlign w:val="center"/>
          </w:tcPr>
          <w:p w14:paraId="1359BF9F"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Kraftstoffsteuern</w:t>
            </w:r>
          </w:p>
        </w:tc>
        <w:tc>
          <w:tcPr>
            <w:tcW w:w="1276" w:type="dxa"/>
            <w:tcBorders>
              <w:top w:val="single" w:sz="8" w:space="0" w:color="009EE0"/>
              <w:left w:val="single" w:sz="8" w:space="0" w:color="009EE0"/>
              <w:bottom w:val="single" w:sz="8" w:space="0" w:color="009EE0"/>
              <w:right w:val="single" w:sz="8" w:space="0" w:color="009EE0"/>
            </w:tcBorders>
            <w:vAlign w:val="center"/>
          </w:tcPr>
          <w:p w14:paraId="7518E0DE"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473</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5677A7FF"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42 %</w:t>
            </w:r>
          </w:p>
        </w:tc>
      </w:tr>
      <w:tr w:rsidR="00013A3D" w:rsidRPr="00476171" w14:paraId="2A830B01" w14:textId="77777777" w:rsidTr="003452C8">
        <w:trPr>
          <w:trHeight w:val="315"/>
        </w:trPr>
        <w:tc>
          <w:tcPr>
            <w:tcW w:w="1408" w:type="dxa"/>
            <w:vMerge/>
            <w:tcBorders>
              <w:left w:val="single" w:sz="0" w:space="0" w:color="000000" w:themeColor="text1"/>
              <w:right w:val="single" w:sz="0" w:space="0" w:color="009EE0"/>
            </w:tcBorders>
            <w:vAlign w:val="center"/>
          </w:tcPr>
          <w:p w14:paraId="66B02D50"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0FC75645"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Programm zur Renovierung (Modernisierung) von Gebäuden mit mehreren Wohnungen</w:t>
            </w:r>
          </w:p>
        </w:tc>
        <w:tc>
          <w:tcPr>
            <w:tcW w:w="1276" w:type="dxa"/>
            <w:tcBorders>
              <w:top w:val="single" w:sz="8" w:space="0" w:color="009EE0"/>
              <w:left w:val="single" w:sz="8" w:space="0" w:color="009EE0"/>
              <w:bottom w:val="single" w:sz="8" w:space="0" w:color="009EE0"/>
              <w:right w:val="single" w:sz="8" w:space="0" w:color="009EE0"/>
            </w:tcBorders>
            <w:vAlign w:val="center"/>
          </w:tcPr>
          <w:p w14:paraId="6D45405F"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251</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14C37C44"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22 %</w:t>
            </w:r>
          </w:p>
        </w:tc>
      </w:tr>
      <w:tr w:rsidR="00013A3D" w:rsidRPr="00476171" w14:paraId="0F638F45"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0049F817"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30BF2BDA"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Vereinbarungen mit Energieunternehmen</w:t>
            </w:r>
          </w:p>
        </w:tc>
        <w:tc>
          <w:tcPr>
            <w:tcW w:w="1276" w:type="dxa"/>
            <w:tcBorders>
              <w:top w:val="single" w:sz="8" w:space="0" w:color="009EE0"/>
              <w:left w:val="single" w:sz="8" w:space="0" w:color="009EE0"/>
              <w:bottom w:val="single" w:sz="8" w:space="0" w:color="009EE0"/>
              <w:right w:val="single" w:sz="8" w:space="0" w:color="009EE0"/>
            </w:tcBorders>
            <w:vAlign w:val="center"/>
          </w:tcPr>
          <w:p w14:paraId="31020517"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162</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358A22BD"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15 %</w:t>
            </w:r>
          </w:p>
        </w:tc>
      </w:tr>
      <w:tr w:rsidR="00013A3D" w:rsidRPr="00476171" w14:paraId="118EE158" w14:textId="77777777" w:rsidTr="003452C8">
        <w:trPr>
          <w:trHeight w:val="315"/>
        </w:trPr>
        <w:tc>
          <w:tcPr>
            <w:tcW w:w="1408" w:type="dxa"/>
            <w:tcBorders>
              <w:top w:val="nil"/>
              <w:left w:val="single" w:sz="8" w:space="0" w:color="000000" w:themeColor="text1"/>
              <w:bottom w:val="single" w:sz="8" w:space="0" w:color="009EE0"/>
              <w:right w:val="single" w:sz="8" w:space="0" w:color="009EE0"/>
            </w:tcBorders>
            <w:vAlign w:val="center"/>
          </w:tcPr>
          <w:p w14:paraId="797BFF0A" w14:textId="77777777" w:rsidR="00013A3D" w:rsidRPr="00476171" w:rsidRDefault="00013A3D" w:rsidP="00F70995">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Luxemburg</w:t>
            </w:r>
          </w:p>
        </w:tc>
        <w:tc>
          <w:tcPr>
            <w:tcW w:w="5386" w:type="dxa"/>
            <w:tcBorders>
              <w:top w:val="single" w:sz="8" w:space="0" w:color="009EE0"/>
              <w:left w:val="single" w:sz="8" w:space="0" w:color="009EE0"/>
              <w:bottom w:val="single" w:sz="8" w:space="0" w:color="009EE0"/>
              <w:right w:val="single" w:sz="8" w:space="0" w:color="009EE0"/>
            </w:tcBorders>
            <w:vAlign w:val="center"/>
          </w:tcPr>
          <w:p w14:paraId="24F40C95"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Energieeffizienzverpflichtungssystem</w:t>
            </w:r>
          </w:p>
        </w:tc>
        <w:tc>
          <w:tcPr>
            <w:tcW w:w="1276" w:type="dxa"/>
            <w:tcBorders>
              <w:top w:val="single" w:sz="8" w:space="0" w:color="009EE0"/>
              <w:left w:val="single" w:sz="8" w:space="0" w:color="009EE0"/>
              <w:bottom w:val="single" w:sz="8" w:space="0" w:color="009EE0"/>
              <w:right w:val="single" w:sz="8" w:space="0" w:color="009EE0"/>
            </w:tcBorders>
            <w:vAlign w:val="center"/>
          </w:tcPr>
          <w:p w14:paraId="419383F9"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267</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533ACB1C"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100 %</w:t>
            </w:r>
          </w:p>
        </w:tc>
      </w:tr>
      <w:tr w:rsidR="00013A3D" w:rsidRPr="00476171" w14:paraId="01BDBCA6" w14:textId="77777777" w:rsidTr="003452C8">
        <w:trPr>
          <w:trHeight w:val="315"/>
        </w:trPr>
        <w:tc>
          <w:tcPr>
            <w:tcW w:w="1408" w:type="dxa"/>
            <w:vMerge w:val="restart"/>
            <w:tcBorders>
              <w:top w:val="single" w:sz="8" w:space="0" w:color="009EE0"/>
              <w:left w:val="single" w:sz="8" w:space="0" w:color="000000" w:themeColor="text1"/>
              <w:bottom w:val="single" w:sz="8" w:space="0" w:color="009EE0"/>
              <w:right w:val="single" w:sz="8" w:space="0" w:color="009EE0"/>
            </w:tcBorders>
            <w:vAlign w:val="center"/>
          </w:tcPr>
          <w:p w14:paraId="31679D39" w14:textId="77777777" w:rsidR="00013A3D" w:rsidRPr="00476171" w:rsidRDefault="00013A3D" w:rsidP="00F70995">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Malta</w:t>
            </w:r>
          </w:p>
        </w:tc>
        <w:tc>
          <w:tcPr>
            <w:tcW w:w="5386" w:type="dxa"/>
            <w:tcBorders>
              <w:top w:val="single" w:sz="8" w:space="0" w:color="009EE0"/>
              <w:left w:val="single" w:sz="8" w:space="0" w:color="009EE0"/>
              <w:bottom w:val="single" w:sz="8" w:space="0" w:color="009EE0"/>
              <w:right w:val="single" w:sz="8" w:space="0" w:color="009EE0"/>
            </w:tcBorders>
            <w:vAlign w:val="center"/>
          </w:tcPr>
          <w:p w14:paraId="6F076CA5"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sz w:val="20"/>
                <w:lang w:val="de-DE"/>
              </w:rPr>
              <w:t xml:space="preserve">Finanzierungsregelungen und </w:t>
            </w:r>
            <w:r w:rsidRPr="00476171">
              <w:rPr>
                <w:rFonts w:ascii="Times New Roman" w:hAnsi="Times New Roman"/>
                <w:noProof/>
                <w:sz w:val="20"/>
                <w:lang w:val="de-DE"/>
              </w:rPr>
              <w:noBreakHyphen/>
              <w:t>instrumente und steuerliche Anreize</w:t>
            </w:r>
          </w:p>
        </w:tc>
        <w:tc>
          <w:tcPr>
            <w:tcW w:w="1276" w:type="dxa"/>
            <w:tcBorders>
              <w:top w:val="single" w:sz="8" w:space="0" w:color="009EE0"/>
              <w:left w:val="single" w:sz="8" w:space="0" w:color="009EE0"/>
              <w:bottom w:val="single" w:sz="8" w:space="0" w:color="009EE0"/>
              <w:right w:val="single" w:sz="8" w:space="0" w:color="009EE0"/>
            </w:tcBorders>
            <w:vAlign w:val="center"/>
          </w:tcPr>
          <w:p w14:paraId="0ADFE716"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45</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4AB0F542"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58 %</w:t>
            </w:r>
          </w:p>
        </w:tc>
      </w:tr>
      <w:tr w:rsidR="00013A3D" w:rsidRPr="00476171" w14:paraId="201080A4"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66FACD59"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3EA4AD25"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sz w:val="20"/>
                <w:lang w:val="de-DE"/>
              </w:rPr>
              <w:t>Regelungen und freiwillige Vereinbarungen</w:t>
            </w:r>
          </w:p>
        </w:tc>
        <w:tc>
          <w:tcPr>
            <w:tcW w:w="1276" w:type="dxa"/>
            <w:tcBorders>
              <w:top w:val="single" w:sz="8" w:space="0" w:color="009EE0"/>
              <w:left w:val="single" w:sz="8" w:space="0" w:color="009EE0"/>
              <w:bottom w:val="single" w:sz="8" w:space="0" w:color="009EE0"/>
              <w:right w:val="single" w:sz="8" w:space="0" w:color="009EE0"/>
            </w:tcBorders>
            <w:vAlign w:val="center"/>
          </w:tcPr>
          <w:p w14:paraId="4E933ECE"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25</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01DD40ED"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32 %</w:t>
            </w:r>
          </w:p>
        </w:tc>
      </w:tr>
      <w:tr w:rsidR="00013A3D" w:rsidRPr="00476171" w14:paraId="6A2E6A05" w14:textId="77777777" w:rsidTr="003452C8">
        <w:trPr>
          <w:trHeight w:val="525"/>
        </w:trPr>
        <w:tc>
          <w:tcPr>
            <w:tcW w:w="1408" w:type="dxa"/>
            <w:vMerge/>
            <w:tcBorders>
              <w:left w:val="single" w:sz="0" w:space="0" w:color="000000" w:themeColor="text1"/>
              <w:bottom w:val="single" w:sz="0" w:space="0" w:color="009EE0"/>
              <w:right w:val="single" w:sz="0" w:space="0" w:color="009EE0"/>
            </w:tcBorders>
            <w:vAlign w:val="center"/>
          </w:tcPr>
          <w:p w14:paraId="3423E46E"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5FFF1A10"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Fortschrittlichkeit des inländischen Tarifsystems für Privathaushalte und des Mechanismus zur Verringerung der Umweltbelastung (Eco-Reduction)</w:t>
            </w:r>
          </w:p>
        </w:tc>
        <w:tc>
          <w:tcPr>
            <w:tcW w:w="1276" w:type="dxa"/>
            <w:tcBorders>
              <w:top w:val="single" w:sz="8" w:space="0" w:color="009EE0"/>
              <w:left w:val="single" w:sz="8" w:space="0" w:color="009EE0"/>
              <w:bottom w:val="single" w:sz="8" w:space="0" w:color="009EE0"/>
              <w:right w:val="single" w:sz="8" w:space="0" w:color="009EE0"/>
            </w:tcBorders>
            <w:vAlign w:val="center"/>
          </w:tcPr>
          <w:p w14:paraId="5897CA4D"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5238DACA"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5 %</w:t>
            </w:r>
          </w:p>
        </w:tc>
      </w:tr>
      <w:tr w:rsidR="00013A3D" w:rsidRPr="00476171" w14:paraId="77D984F4" w14:textId="77777777" w:rsidTr="003452C8">
        <w:trPr>
          <w:trHeight w:val="315"/>
        </w:trPr>
        <w:tc>
          <w:tcPr>
            <w:tcW w:w="1408" w:type="dxa"/>
            <w:vMerge w:val="restart"/>
            <w:tcBorders>
              <w:top w:val="nil"/>
              <w:left w:val="single" w:sz="8" w:space="0" w:color="000000" w:themeColor="text1"/>
              <w:bottom w:val="single" w:sz="8" w:space="0" w:color="009EE0"/>
              <w:right w:val="single" w:sz="8" w:space="0" w:color="009EE0"/>
            </w:tcBorders>
            <w:vAlign w:val="center"/>
          </w:tcPr>
          <w:p w14:paraId="11A63E93" w14:textId="77777777" w:rsidR="00013A3D" w:rsidRPr="00476171" w:rsidRDefault="00013A3D" w:rsidP="00F70995">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Niederlande</w:t>
            </w:r>
          </w:p>
        </w:tc>
        <w:tc>
          <w:tcPr>
            <w:tcW w:w="5386" w:type="dxa"/>
            <w:tcBorders>
              <w:top w:val="single" w:sz="8" w:space="0" w:color="009EE0"/>
              <w:left w:val="single" w:sz="8" w:space="0" w:color="009EE0"/>
              <w:bottom w:val="single" w:sz="8" w:space="0" w:color="009EE0"/>
              <w:right w:val="single" w:sz="8" w:space="0" w:color="009EE0"/>
            </w:tcBorders>
            <w:vAlign w:val="center"/>
          </w:tcPr>
          <w:p w14:paraId="31BB5170"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Auf Haushalte ausgerichtete Maßnahmen</w:t>
            </w:r>
          </w:p>
        </w:tc>
        <w:tc>
          <w:tcPr>
            <w:tcW w:w="1276" w:type="dxa"/>
            <w:tcBorders>
              <w:top w:val="single" w:sz="8" w:space="0" w:color="009EE0"/>
              <w:left w:val="single" w:sz="8" w:space="0" w:color="009EE0"/>
              <w:bottom w:val="single" w:sz="8" w:space="0" w:color="009EE0"/>
              <w:right w:val="single" w:sz="8" w:space="0" w:color="009EE0"/>
            </w:tcBorders>
            <w:vAlign w:val="center"/>
          </w:tcPr>
          <w:p w14:paraId="7A300CD3"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6 794</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2069045F"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42 %</w:t>
            </w:r>
          </w:p>
        </w:tc>
      </w:tr>
      <w:tr w:rsidR="00013A3D" w:rsidRPr="00476171" w14:paraId="0EA37270" w14:textId="77777777" w:rsidTr="003452C8">
        <w:trPr>
          <w:trHeight w:val="315"/>
        </w:trPr>
        <w:tc>
          <w:tcPr>
            <w:tcW w:w="1408" w:type="dxa"/>
            <w:vMerge/>
            <w:tcBorders>
              <w:left w:val="single" w:sz="0" w:space="0" w:color="000000" w:themeColor="text1"/>
              <w:right w:val="single" w:sz="0" w:space="0" w:color="009EE0"/>
            </w:tcBorders>
            <w:vAlign w:val="center"/>
          </w:tcPr>
          <w:p w14:paraId="6ECE79AD"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021ED790"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Freibetrag für Energie-Investitionen (Energie-investeringsaftrek, EIA)</w:t>
            </w:r>
          </w:p>
        </w:tc>
        <w:tc>
          <w:tcPr>
            <w:tcW w:w="1276" w:type="dxa"/>
            <w:tcBorders>
              <w:top w:val="single" w:sz="8" w:space="0" w:color="009EE0"/>
              <w:left w:val="single" w:sz="8" w:space="0" w:color="009EE0"/>
              <w:bottom w:val="single" w:sz="8" w:space="0" w:color="009EE0"/>
              <w:right w:val="single" w:sz="8" w:space="0" w:color="009EE0"/>
            </w:tcBorders>
            <w:vAlign w:val="center"/>
          </w:tcPr>
          <w:p w14:paraId="74407092"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5 238</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672B9942"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33 %</w:t>
            </w:r>
          </w:p>
        </w:tc>
      </w:tr>
      <w:tr w:rsidR="00013A3D" w:rsidRPr="00476171" w14:paraId="0F016704"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2F69F706"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0F366DD6"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Langzeitvereinbarung mit der Großindustrie (Meerjarenafspraak Energie Efficiëntie, MEE), ausgenommen Raffinerien</w:t>
            </w:r>
          </w:p>
        </w:tc>
        <w:tc>
          <w:tcPr>
            <w:tcW w:w="1276" w:type="dxa"/>
            <w:tcBorders>
              <w:top w:val="single" w:sz="8" w:space="0" w:color="009EE0"/>
              <w:left w:val="single" w:sz="8" w:space="0" w:color="009EE0"/>
              <w:bottom w:val="single" w:sz="8" w:space="0" w:color="009EE0"/>
              <w:right w:val="single" w:sz="8" w:space="0" w:color="009EE0"/>
            </w:tcBorders>
            <w:vAlign w:val="center"/>
          </w:tcPr>
          <w:p w14:paraId="36205740"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2 892</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11C0080C"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18 %</w:t>
            </w:r>
          </w:p>
        </w:tc>
      </w:tr>
      <w:tr w:rsidR="00013A3D" w:rsidRPr="00476171" w14:paraId="16F95E27" w14:textId="77777777" w:rsidTr="003452C8">
        <w:trPr>
          <w:trHeight w:val="315"/>
        </w:trPr>
        <w:tc>
          <w:tcPr>
            <w:tcW w:w="1408" w:type="dxa"/>
            <w:vMerge w:val="restart"/>
            <w:tcBorders>
              <w:top w:val="nil"/>
              <w:left w:val="single" w:sz="8" w:space="0" w:color="000000" w:themeColor="text1"/>
              <w:bottom w:val="single" w:sz="8" w:space="0" w:color="009EE0"/>
              <w:right w:val="single" w:sz="8" w:space="0" w:color="009EE0"/>
            </w:tcBorders>
            <w:vAlign w:val="center"/>
          </w:tcPr>
          <w:p w14:paraId="43D9AFD6"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Polen</w:t>
            </w:r>
          </w:p>
        </w:tc>
        <w:tc>
          <w:tcPr>
            <w:tcW w:w="5386" w:type="dxa"/>
            <w:tcBorders>
              <w:top w:val="single" w:sz="8" w:space="0" w:color="009EE0"/>
              <w:left w:val="single" w:sz="8" w:space="0" w:color="009EE0"/>
              <w:bottom w:val="single" w:sz="8" w:space="0" w:color="009EE0"/>
              <w:right w:val="single" w:sz="8" w:space="0" w:color="009EE0"/>
            </w:tcBorders>
            <w:vAlign w:val="center"/>
          </w:tcPr>
          <w:p w14:paraId="113B851A"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System weißer Zertifikate</w:t>
            </w:r>
          </w:p>
        </w:tc>
        <w:tc>
          <w:tcPr>
            <w:tcW w:w="1276" w:type="dxa"/>
            <w:tcBorders>
              <w:top w:val="single" w:sz="8" w:space="0" w:color="009EE0"/>
              <w:left w:val="single" w:sz="8" w:space="0" w:color="009EE0"/>
              <w:bottom w:val="single" w:sz="8" w:space="0" w:color="009EE0"/>
              <w:right w:val="single" w:sz="8" w:space="0" w:color="009EE0"/>
            </w:tcBorders>
            <w:vAlign w:val="center"/>
          </w:tcPr>
          <w:p w14:paraId="336E008D"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9 159</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1E17ED5A"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87 %</w:t>
            </w:r>
          </w:p>
        </w:tc>
      </w:tr>
      <w:tr w:rsidR="00013A3D" w:rsidRPr="00476171" w14:paraId="39EB7A4E" w14:textId="77777777" w:rsidTr="003452C8">
        <w:trPr>
          <w:trHeight w:val="315"/>
        </w:trPr>
        <w:tc>
          <w:tcPr>
            <w:tcW w:w="1408" w:type="dxa"/>
            <w:vMerge/>
            <w:tcBorders>
              <w:left w:val="single" w:sz="0" w:space="0" w:color="000000" w:themeColor="text1"/>
              <w:right w:val="single" w:sz="0" w:space="0" w:color="009EE0"/>
            </w:tcBorders>
            <w:vAlign w:val="center"/>
          </w:tcPr>
          <w:p w14:paraId="779DCA71"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7B6C4DCE"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Fonds für wärmetechnische Modernisierungen</w:t>
            </w:r>
          </w:p>
        </w:tc>
        <w:tc>
          <w:tcPr>
            <w:tcW w:w="1276" w:type="dxa"/>
            <w:tcBorders>
              <w:top w:val="single" w:sz="8" w:space="0" w:color="009EE0"/>
              <w:left w:val="single" w:sz="8" w:space="0" w:color="009EE0"/>
              <w:bottom w:val="single" w:sz="8" w:space="0" w:color="009EE0"/>
              <w:right w:val="single" w:sz="8" w:space="0" w:color="009EE0"/>
            </w:tcBorders>
            <w:vAlign w:val="center"/>
          </w:tcPr>
          <w:p w14:paraId="04F1C250"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662</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49B82EE2"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6 %</w:t>
            </w:r>
          </w:p>
        </w:tc>
      </w:tr>
      <w:tr w:rsidR="00013A3D" w:rsidRPr="00476171" w14:paraId="75C7B8A0"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19BFD2E3"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6F0A0C0E"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Kraftstoffsteuer</w:t>
            </w:r>
          </w:p>
        </w:tc>
        <w:tc>
          <w:tcPr>
            <w:tcW w:w="1276" w:type="dxa"/>
            <w:tcBorders>
              <w:top w:val="single" w:sz="8" w:space="0" w:color="009EE0"/>
              <w:left w:val="single" w:sz="8" w:space="0" w:color="009EE0"/>
              <w:bottom w:val="single" w:sz="8" w:space="0" w:color="009EE0"/>
              <w:right w:val="single" w:sz="8" w:space="0" w:color="009EE0"/>
            </w:tcBorders>
            <w:vAlign w:val="center"/>
          </w:tcPr>
          <w:p w14:paraId="6F7D5AC3"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355</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370FD769"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3 %</w:t>
            </w:r>
          </w:p>
        </w:tc>
      </w:tr>
      <w:tr w:rsidR="00013A3D" w:rsidRPr="00476171" w14:paraId="2D3A86C3" w14:textId="77777777" w:rsidTr="003452C8">
        <w:trPr>
          <w:trHeight w:val="315"/>
        </w:trPr>
        <w:tc>
          <w:tcPr>
            <w:tcW w:w="1408" w:type="dxa"/>
            <w:vMerge w:val="restart"/>
            <w:tcBorders>
              <w:top w:val="nil"/>
              <w:left w:val="single" w:sz="8" w:space="0" w:color="000000" w:themeColor="text1"/>
              <w:bottom w:val="single" w:sz="8" w:space="0" w:color="009EE0"/>
              <w:right w:val="single" w:sz="8" w:space="0" w:color="009EE0"/>
            </w:tcBorders>
            <w:vAlign w:val="center"/>
          </w:tcPr>
          <w:p w14:paraId="0A02B808"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Portugal</w:t>
            </w:r>
          </w:p>
        </w:tc>
        <w:tc>
          <w:tcPr>
            <w:tcW w:w="5386" w:type="dxa"/>
            <w:tcBorders>
              <w:top w:val="single" w:sz="8" w:space="0" w:color="009EE0"/>
              <w:left w:val="single" w:sz="8" w:space="0" w:color="009EE0"/>
              <w:bottom w:val="single" w:sz="8" w:space="0" w:color="009EE0"/>
              <w:right w:val="single" w:sz="8" w:space="0" w:color="009EE0"/>
            </w:tcBorders>
            <w:vAlign w:val="center"/>
          </w:tcPr>
          <w:p w14:paraId="255ABF95"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NEEAP-Maßnahmen werden nicht separat ausgewiesen</w:t>
            </w:r>
          </w:p>
        </w:tc>
        <w:tc>
          <w:tcPr>
            <w:tcW w:w="1276" w:type="dxa"/>
            <w:tcBorders>
              <w:top w:val="single" w:sz="8" w:space="0" w:color="009EE0"/>
              <w:left w:val="single" w:sz="8" w:space="0" w:color="009EE0"/>
              <w:bottom w:val="single" w:sz="8" w:space="0" w:color="009EE0"/>
              <w:right w:val="single" w:sz="8" w:space="0" w:color="009EE0"/>
            </w:tcBorders>
            <w:vAlign w:val="center"/>
          </w:tcPr>
          <w:p w14:paraId="25748535"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864</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02270013"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46 %</w:t>
            </w:r>
          </w:p>
        </w:tc>
      </w:tr>
      <w:tr w:rsidR="00013A3D" w:rsidRPr="00476171" w14:paraId="0523BB13" w14:textId="77777777" w:rsidTr="003452C8">
        <w:trPr>
          <w:trHeight w:val="315"/>
        </w:trPr>
        <w:tc>
          <w:tcPr>
            <w:tcW w:w="1408" w:type="dxa"/>
            <w:vMerge/>
            <w:tcBorders>
              <w:left w:val="single" w:sz="0" w:space="0" w:color="000000" w:themeColor="text1"/>
              <w:right w:val="single" w:sz="0" w:space="0" w:color="009EE0"/>
            </w:tcBorders>
            <w:vAlign w:val="center"/>
          </w:tcPr>
          <w:p w14:paraId="3950A09D"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652E733C"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SGCIE (Sistema de Gestão dos Consumos Intensivos de Energia) – System für das Management von intensivem Energieverbrauch</w:t>
            </w:r>
          </w:p>
        </w:tc>
        <w:tc>
          <w:tcPr>
            <w:tcW w:w="1276" w:type="dxa"/>
            <w:tcBorders>
              <w:top w:val="single" w:sz="8" w:space="0" w:color="009EE0"/>
              <w:left w:val="single" w:sz="8" w:space="0" w:color="009EE0"/>
              <w:bottom w:val="single" w:sz="8" w:space="0" w:color="009EE0"/>
              <w:right w:val="single" w:sz="8" w:space="0" w:color="009EE0"/>
            </w:tcBorders>
            <w:vAlign w:val="center"/>
          </w:tcPr>
          <w:p w14:paraId="4207BA96"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362</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3D8DD4A6"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19 %</w:t>
            </w:r>
          </w:p>
        </w:tc>
      </w:tr>
      <w:tr w:rsidR="00013A3D" w:rsidRPr="00476171" w14:paraId="68DB7218"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46CC886A"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2F9A3369"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 xml:space="preserve">Programm zur Förderung der Nutzung öffentlicher Verkehrsmittel </w:t>
            </w:r>
          </w:p>
        </w:tc>
        <w:tc>
          <w:tcPr>
            <w:tcW w:w="1276" w:type="dxa"/>
            <w:tcBorders>
              <w:top w:val="single" w:sz="8" w:space="0" w:color="009EE0"/>
              <w:left w:val="single" w:sz="8" w:space="0" w:color="009EE0"/>
              <w:bottom w:val="single" w:sz="8" w:space="0" w:color="009EE0"/>
              <w:right w:val="single" w:sz="8" w:space="0" w:color="009EE0"/>
            </w:tcBorders>
            <w:vAlign w:val="center"/>
          </w:tcPr>
          <w:p w14:paraId="49B30202"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210</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7360EFC6"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11 %</w:t>
            </w:r>
          </w:p>
        </w:tc>
      </w:tr>
      <w:tr w:rsidR="00013A3D" w:rsidRPr="00476171" w14:paraId="7E28FD47" w14:textId="77777777" w:rsidTr="003452C8">
        <w:trPr>
          <w:trHeight w:val="525"/>
        </w:trPr>
        <w:tc>
          <w:tcPr>
            <w:tcW w:w="1408" w:type="dxa"/>
            <w:vMerge w:val="restart"/>
            <w:tcBorders>
              <w:top w:val="nil"/>
              <w:left w:val="single" w:sz="8" w:space="0" w:color="000000" w:themeColor="text1"/>
              <w:bottom w:val="single" w:sz="8" w:space="0" w:color="009EE0"/>
              <w:right w:val="single" w:sz="8" w:space="0" w:color="009EE0"/>
            </w:tcBorders>
            <w:vAlign w:val="center"/>
          </w:tcPr>
          <w:p w14:paraId="45B4E39A"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Slowakei</w:t>
            </w:r>
          </w:p>
        </w:tc>
        <w:tc>
          <w:tcPr>
            <w:tcW w:w="5386" w:type="dxa"/>
            <w:tcBorders>
              <w:top w:val="single" w:sz="8" w:space="0" w:color="009EE0"/>
              <w:left w:val="single" w:sz="8" w:space="0" w:color="009EE0"/>
              <w:bottom w:val="single" w:sz="8" w:space="0" w:color="009EE0"/>
              <w:right w:val="single" w:sz="8" w:space="0" w:color="009EE0"/>
            </w:tcBorders>
            <w:vAlign w:val="center"/>
          </w:tcPr>
          <w:p w14:paraId="478C5F77"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Freiwillige Vereinbarung über Energieeinsparungen, Vertragsverhältnis mit dem slowakischen Wirtschaftsministerium, Eigenmittel</w:t>
            </w:r>
          </w:p>
        </w:tc>
        <w:tc>
          <w:tcPr>
            <w:tcW w:w="1276" w:type="dxa"/>
            <w:tcBorders>
              <w:top w:val="single" w:sz="8" w:space="0" w:color="009EE0"/>
              <w:left w:val="single" w:sz="8" w:space="0" w:color="009EE0"/>
              <w:bottom w:val="single" w:sz="8" w:space="0" w:color="009EE0"/>
              <w:right w:val="single" w:sz="8" w:space="0" w:color="009EE0"/>
            </w:tcBorders>
            <w:vAlign w:val="center"/>
          </w:tcPr>
          <w:p w14:paraId="6F372DDF"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653</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32E7B574"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25 %</w:t>
            </w:r>
          </w:p>
        </w:tc>
      </w:tr>
      <w:tr w:rsidR="00013A3D" w:rsidRPr="00476171" w14:paraId="18E22969" w14:textId="77777777" w:rsidTr="003452C8">
        <w:trPr>
          <w:trHeight w:val="525"/>
        </w:trPr>
        <w:tc>
          <w:tcPr>
            <w:tcW w:w="1408" w:type="dxa"/>
            <w:vMerge/>
            <w:tcBorders>
              <w:left w:val="single" w:sz="0" w:space="0" w:color="000000" w:themeColor="text1"/>
              <w:right w:val="single" w:sz="0" w:space="0" w:color="009EE0"/>
            </w:tcBorders>
            <w:vAlign w:val="center"/>
          </w:tcPr>
          <w:p w14:paraId="05897A58"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062724AA"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Verbesserung der thermischen und technischen Eigenschaften von Gebäuden, Gebäuden mit mehreren Wohnungen, Eigenmittel</w:t>
            </w:r>
          </w:p>
        </w:tc>
        <w:tc>
          <w:tcPr>
            <w:tcW w:w="1276" w:type="dxa"/>
            <w:tcBorders>
              <w:top w:val="single" w:sz="8" w:space="0" w:color="009EE0"/>
              <w:left w:val="single" w:sz="8" w:space="0" w:color="009EE0"/>
              <w:bottom w:val="single" w:sz="8" w:space="0" w:color="009EE0"/>
              <w:right w:val="single" w:sz="8" w:space="0" w:color="009EE0"/>
            </w:tcBorders>
            <w:vAlign w:val="center"/>
          </w:tcPr>
          <w:p w14:paraId="26B6450F"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524</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398405E0"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20 %</w:t>
            </w:r>
          </w:p>
        </w:tc>
      </w:tr>
      <w:tr w:rsidR="00013A3D" w:rsidRPr="00476171" w14:paraId="73247E67" w14:textId="77777777" w:rsidTr="003452C8">
        <w:trPr>
          <w:trHeight w:val="525"/>
        </w:trPr>
        <w:tc>
          <w:tcPr>
            <w:tcW w:w="1408" w:type="dxa"/>
            <w:vMerge/>
            <w:tcBorders>
              <w:left w:val="single" w:sz="0" w:space="0" w:color="000000" w:themeColor="text1"/>
              <w:bottom w:val="single" w:sz="0" w:space="0" w:color="009EE0"/>
              <w:right w:val="single" w:sz="0" w:space="0" w:color="009EE0"/>
            </w:tcBorders>
            <w:vAlign w:val="center"/>
          </w:tcPr>
          <w:p w14:paraId="375B5C1D"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46E99C80"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Anwendung von Legislativmaßnahmen, obligatorische Energieaudits in Industrieunternehmen, einschließlich Management</w:t>
            </w:r>
          </w:p>
        </w:tc>
        <w:tc>
          <w:tcPr>
            <w:tcW w:w="1276" w:type="dxa"/>
            <w:tcBorders>
              <w:top w:val="single" w:sz="8" w:space="0" w:color="009EE0"/>
              <w:left w:val="single" w:sz="8" w:space="0" w:color="009EE0"/>
              <w:bottom w:val="single" w:sz="8" w:space="0" w:color="009EE0"/>
              <w:right w:val="single" w:sz="8" w:space="0" w:color="009EE0"/>
            </w:tcBorders>
            <w:vAlign w:val="center"/>
          </w:tcPr>
          <w:p w14:paraId="0B25BDC9"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164</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41EE6EFC"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6 %</w:t>
            </w:r>
          </w:p>
        </w:tc>
      </w:tr>
      <w:tr w:rsidR="00013A3D" w:rsidRPr="00476171" w14:paraId="797E8E42" w14:textId="77777777" w:rsidTr="003452C8">
        <w:trPr>
          <w:trHeight w:val="315"/>
        </w:trPr>
        <w:tc>
          <w:tcPr>
            <w:tcW w:w="1408" w:type="dxa"/>
            <w:vMerge w:val="restart"/>
            <w:tcBorders>
              <w:top w:val="nil"/>
              <w:left w:val="single" w:sz="8" w:space="0" w:color="000000" w:themeColor="text1"/>
              <w:bottom w:val="single" w:sz="8" w:space="0" w:color="009EE0"/>
              <w:right w:val="single" w:sz="8" w:space="0" w:color="009EE0"/>
            </w:tcBorders>
            <w:vAlign w:val="center"/>
          </w:tcPr>
          <w:p w14:paraId="5A1232D9"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Slowenien</w:t>
            </w:r>
          </w:p>
        </w:tc>
        <w:tc>
          <w:tcPr>
            <w:tcW w:w="5386" w:type="dxa"/>
            <w:tcBorders>
              <w:top w:val="single" w:sz="8" w:space="0" w:color="009EE0"/>
              <w:left w:val="single" w:sz="8" w:space="0" w:color="009EE0"/>
              <w:bottom w:val="single" w:sz="8" w:space="0" w:color="009EE0"/>
              <w:right w:val="single" w:sz="8" w:space="0" w:color="009EE0"/>
            </w:tcBorders>
            <w:vAlign w:val="center"/>
          </w:tcPr>
          <w:p w14:paraId="07358B5F"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Energieeffizienzverpflichtungssystem: Verpflichtung der Energieversorger zum Nachweis von Energiesparaktivitäten</w:t>
            </w:r>
          </w:p>
        </w:tc>
        <w:tc>
          <w:tcPr>
            <w:tcW w:w="1276" w:type="dxa"/>
            <w:tcBorders>
              <w:top w:val="single" w:sz="8" w:space="0" w:color="009EE0"/>
              <w:left w:val="single" w:sz="8" w:space="0" w:color="009EE0"/>
              <w:bottom w:val="single" w:sz="8" w:space="0" w:color="009EE0"/>
              <w:right w:val="single" w:sz="8" w:space="0" w:color="009EE0"/>
            </w:tcBorders>
            <w:vAlign w:val="center"/>
          </w:tcPr>
          <w:p w14:paraId="2C307B81"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512</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5AFEBBFC"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56 %</w:t>
            </w:r>
          </w:p>
        </w:tc>
      </w:tr>
      <w:tr w:rsidR="00013A3D" w:rsidRPr="00476171" w14:paraId="6A2F7985" w14:textId="77777777" w:rsidTr="003452C8">
        <w:trPr>
          <w:trHeight w:val="525"/>
        </w:trPr>
        <w:tc>
          <w:tcPr>
            <w:tcW w:w="1408" w:type="dxa"/>
            <w:vMerge/>
            <w:tcBorders>
              <w:left w:val="single" w:sz="0" w:space="0" w:color="000000" w:themeColor="text1"/>
              <w:bottom w:val="single" w:sz="0" w:space="0" w:color="009EE0"/>
              <w:right w:val="single" w:sz="0" w:space="0" w:color="009EE0"/>
            </w:tcBorders>
            <w:vAlign w:val="center"/>
          </w:tcPr>
          <w:p w14:paraId="07246068"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199334F3"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Energieeffizienzmaßnahmen, die aus dem Zuschlag zum von allen Endverbrauchern gezahlten Energiepreis finanziert werden (finanziert über den slowenischen Ökofonds „Eko sklad“)</w:t>
            </w:r>
          </w:p>
        </w:tc>
        <w:tc>
          <w:tcPr>
            <w:tcW w:w="1276" w:type="dxa"/>
            <w:tcBorders>
              <w:top w:val="single" w:sz="8" w:space="0" w:color="009EE0"/>
              <w:left w:val="single" w:sz="8" w:space="0" w:color="009EE0"/>
              <w:bottom w:val="single" w:sz="8" w:space="0" w:color="009EE0"/>
              <w:right w:val="single" w:sz="8" w:space="0" w:color="009EE0"/>
            </w:tcBorders>
            <w:vAlign w:val="center"/>
          </w:tcPr>
          <w:p w14:paraId="3F630679"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401</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54FC32A3"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44 %</w:t>
            </w:r>
          </w:p>
        </w:tc>
      </w:tr>
      <w:tr w:rsidR="00013A3D" w:rsidRPr="00476171" w14:paraId="5CF56F64" w14:textId="77777777" w:rsidTr="003452C8">
        <w:trPr>
          <w:trHeight w:val="315"/>
        </w:trPr>
        <w:tc>
          <w:tcPr>
            <w:tcW w:w="1408" w:type="dxa"/>
            <w:vMerge w:val="restart"/>
            <w:tcBorders>
              <w:top w:val="nil"/>
              <w:left w:val="single" w:sz="8" w:space="0" w:color="000000" w:themeColor="text1"/>
              <w:bottom w:val="single" w:sz="8" w:space="0" w:color="009EE0"/>
              <w:right w:val="single" w:sz="8" w:space="0" w:color="009EE0"/>
            </w:tcBorders>
            <w:vAlign w:val="center"/>
          </w:tcPr>
          <w:p w14:paraId="3A55C925" w14:textId="41F8E0FF"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Spanien</w:t>
            </w:r>
            <w:r w:rsidRPr="00476171">
              <w:rPr>
                <w:rStyle w:val="FootnoteReference"/>
                <w:rFonts w:ascii="Times New Roman" w:eastAsia="Calibri" w:hAnsi="Times New Roman" w:cs="Times New Roman"/>
                <w:b/>
                <w:noProof/>
                <w:color w:val="000000" w:themeColor="text1"/>
                <w:sz w:val="20"/>
                <w:lang w:val="de-DE"/>
              </w:rPr>
              <w:footnoteReference w:id="33"/>
            </w:r>
          </w:p>
        </w:tc>
        <w:tc>
          <w:tcPr>
            <w:tcW w:w="5386" w:type="dxa"/>
            <w:tcBorders>
              <w:top w:val="single" w:sz="8" w:space="0" w:color="009EE0"/>
              <w:left w:val="single" w:sz="8" w:space="0" w:color="009EE0"/>
              <w:bottom w:val="single" w:sz="8" w:space="0" w:color="009EE0"/>
              <w:right w:val="single" w:sz="8" w:space="0" w:color="009EE0"/>
            </w:tcBorders>
            <w:vAlign w:val="center"/>
          </w:tcPr>
          <w:p w14:paraId="08126484"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Gesetz 15/2012 über steuerliche Maßnahmen zur Förderung der energetischen Nachhaltigkeit</w:t>
            </w:r>
          </w:p>
        </w:tc>
        <w:tc>
          <w:tcPr>
            <w:tcW w:w="1276" w:type="dxa"/>
            <w:tcBorders>
              <w:top w:val="single" w:sz="8" w:space="0" w:color="009EE0"/>
              <w:left w:val="single" w:sz="8" w:space="0" w:color="009EE0"/>
              <w:bottom w:val="single" w:sz="8" w:space="0" w:color="009EE0"/>
              <w:right w:val="single" w:sz="8" w:space="0" w:color="009EE0"/>
            </w:tcBorders>
            <w:vAlign w:val="center"/>
          </w:tcPr>
          <w:p w14:paraId="44A6C7C9"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2 947</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4D4B4DD3"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19 %</w:t>
            </w:r>
          </w:p>
        </w:tc>
      </w:tr>
      <w:tr w:rsidR="00013A3D" w:rsidRPr="00476171" w14:paraId="62633D59"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4EBF4411"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1AA319DE"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Von den Autonomen Gemeinschaften durchgeführte Programme (Mecanismo de envío de ahorros energéticos, MENAE)</w:t>
            </w:r>
          </w:p>
        </w:tc>
        <w:tc>
          <w:tcPr>
            <w:tcW w:w="1276" w:type="dxa"/>
            <w:tcBorders>
              <w:top w:val="single" w:sz="8" w:space="0" w:color="009EE0"/>
              <w:left w:val="single" w:sz="8" w:space="0" w:color="009EE0"/>
              <w:bottom w:val="single" w:sz="8" w:space="0" w:color="009EE0"/>
              <w:right w:val="single" w:sz="8" w:space="0" w:color="009EE0"/>
            </w:tcBorders>
            <w:vAlign w:val="center"/>
          </w:tcPr>
          <w:p w14:paraId="7E241D61"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2 534</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4A881A3C"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17 %</w:t>
            </w:r>
          </w:p>
        </w:tc>
      </w:tr>
      <w:tr w:rsidR="00013A3D" w:rsidRPr="00476171" w14:paraId="6BA1F840" w14:textId="77777777" w:rsidTr="003452C8">
        <w:trPr>
          <w:trHeight w:val="315"/>
        </w:trPr>
        <w:tc>
          <w:tcPr>
            <w:tcW w:w="1408" w:type="dxa"/>
            <w:vMerge/>
            <w:tcBorders>
              <w:left w:val="single" w:sz="0" w:space="0" w:color="000000" w:themeColor="text1"/>
              <w:bottom w:val="single" w:sz="0" w:space="0" w:color="009EE0"/>
              <w:right w:val="single" w:sz="0" w:space="0" w:color="009EE0"/>
            </w:tcBorders>
            <w:vAlign w:val="center"/>
          </w:tcPr>
          <w:p w14:paraId="14355919" w14:textId="77777777" w:rsidR="00013A3D" w:rsidRPr="00476171" w:rsidRDefault="00013A3D">
            <w:pPr>
              <w:rPr>
                <w:rFonts w:ascii="Times New Roman" w:hAnsi="Times New Roman" w:cs="Times New Roman"/>
                <w:noProof/>
                <w:lang w:val="de-DE"/>
              </w:rPr>
            </w:pPr>
          </w:p>
        </w:tc>
        <w:tc>
          <w:tcPr>
            <w:tcW w:w="5386" w:type="dxa"/>
            <w:tcBorders>
              <w:top w:val="single" w:sz="8" w:space="0" w:color="009EE0"/>
              <w:left w:val="nil"/>
              <w:bottom w:val="single" w:sz="8" w:space="0" w:color="009EE0"/>
              <w:right w:val="single" w:sz="8" w:space="0" w:color="009EE0"/>
            </w:tcBorders>
            <w:vAlign w:val="center"/>
          </w:tcPr>
          <w:p w14:paraId="5DA7DEC9"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Programm zur Förderung der Wettbewerbsfähigkeit der Industrie</w:t>
            </w:r>
          </w:p>
        </w:tc>
        <w:tc>
          <w:tcPr>
            <w:tcW w:w="1276" w:type="dxa"/>
            <w:tcBorders>
              <w:top w:val="single" w:sz="8" w:space="0" w:color="009EE0"/>
              <w:left w:val="single" w:sz="8" w:space="0" w:color="009EE0"/>
              <w:bottom w:val="single" w:sz="8" w:space="0" w:color="009EE0"/>
              <w:right w:val="single" w:sz="8" w:space="0" w:color="009EE0"/>
            </w:tcBorders>
            <w:vAlign w:val="center"/>
          </w:tcPr>
          <w:p w14:paraId="0C1AA289"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1613</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74DA0941"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11 %</w:t>
            </w:r>
          </w:p>
        </w:tc>
      </w:tr>
      <w:tr w:rsidR="00013A3D" w:rsidRPr="00476171" w14:paraId="27B331A1" w14:textId="77777777" w:rsidTr="003452C8">
        <w:trPr>
          <w:trHeight w:val="315"/>
        </w:trPr>
        <w:tc>
          <w:tcPr>
            <w:tcW w:w="1408" w:type="dxa"/>
            <w:tcBorders>
              <w:top w:val="nil"/>
              <w:left w:val="single" w:sz="8" w:space="0" w:color="000000" w:themeColor="text1"/>
              <w:bottom w:val="single" w:sz="8" w:space="0" w:color="009EE0"/>
              <w:right w:val="single" w:sz="8" w:space="0" w:color="009EE0"/>
            </w:tcBorders>
            <w:vAlign w:val="center"/>
          </w:tcPr>
          <w:p w14:paraId="3FBD8FFC" w14:textId="77777777" w:rsidR="00013A3D" w:rsidRPr="00476171" w:rsidRDefault="00013A3D" w:rsidP="003452C8">
            <w:pPr>
              <w:rPr>
                <w:rFonts w:ascii="Times New Roman" w:eastAsia="Calibri" w:hAnsi="Times New Roman" w:cs="Times New Roman"/>
                <w:b/>
                <w:noProof/>
                <w:color w:val="000000" w:themeColor="text1"/>
                <w:sz w:val="20"/>
                <w:lang w:val="de-DE"/>
              </w:rPr>
            </w:pPr>
            <w:r w:rsidRPr="00476171">
              <w:rPr>
                <w:rFonts w:ascii="Times New Roman" w:hAnsi="Times New Roman"/>
                <w:b/>
                <w:noProof/>
                <w:color w:val="000000" w:themeColor="text1"/>
                <w:sz w:val="20"/>
                <w:lang w:val="de-DE"/>
              </w:rPr>
              <w:t>Schweden</w:t>
            </w:r>
          </w:p>
        </w:tc>
        <w:tc>
          <w:tcPr>
            <w:tcW w:w="5386" w:type="dxa"/>
            <w:tcBorders>
              <w:top w:val="single" w:sz="8" w:space="0" w:color="009EE0"/>
              <w:left w:val="single" w:sz="8" w:space="0" w:color="009EE0"/>
              <w:bottom w:val="single" w:sz="8" w:space="0" w:color="009EE0"/>
              <w:right w:val="single" w:sz="8" w:space="0" w:color="009EE0"/>
            </w:tcBorders>
            <w:vAlign w:val="center"/>
          </w:tcPr>
          <w:p w14:paraId="66497D34" w14:textId="77777777" w:rsidR="00013A3D" w:rsidRPr="00476171" w:rsidRDefault="00013A3D" w:rsidP="00BF4B31">
            <w:pPr>
              <w:rPr>
                <w:rFonts w:ascii="Times New Roman" w:hAnsi="Times New Roman" w:cs="Times New Roman"/>
                <w:noProof/>
                <w:lang w:val="de-DE"/>
              </w:rPr>
            </w:pPr>
            <w:r w:rsidRPr="00476171">
              <w:rPr>
                <w:rFonts w:ascii="Times New Roman" w:hAnsi="Times New Roman"/>
                <w:noProof/>
                <w:color w:val="000000" w:themeColor="text1"/>
                <w:sz w:val="20"/>
                <w:lang w:val="de-DE"/>
              </w:rPr>
              <w:t>Energie- und CO</w:t>
            </w:r>
            <w:r w:rsidRPr="00476171">
              <w:rPr>
                <w:rFonts w:ascii="Times New Roman" w:hAnsi="Times New Roman"/>
                <w:noProof/>
                <w:color w:val="000000" w:themeColor="text1"/>
                <w:sz w:val="20"/>
                <w:vertAlign w:val="subscript"/>
                <w:lang w:val="de-DE"/>
              </w:rPr>
              <w:t>2</w:t>
            </w:r>
            <w:r w:rsidRPr="00476171">
              <w:rPr>
                <w:rFonts w:ascii="Times New Roman" w:hAnsi="Times New Roman"/>
                <w:noProof/>
                <w:color w:val="000000" w:themeColor="text1"/>
                <w:sz w:val="20"/>
                <w:lang w:val="de-DE"/>
              </w:rPr>
              <w:t>-Steuer</w:t>
            </w:r>
          </w:p>
        </w:tc>
        <w:tc>
          <w:tcPr>
            <w:tcW w:w="1276" w:type="dxa"/>
            <w:tcBorders>
              <w:top w:val="single" w:sz="8" w:space="0" w:color="009EE0"/>
              <w:left w:val="single" w:sz="8" w:space="0" w:color="009EE0"/>
              <w:bottom w:val="single" w:sz="8" w:space="0" w:color="009EE0"/>
              <w:right w:val="single" w:sz="8" w:space="0" w:color="009EE0"/>
            </w:tcBorders>
            <w:vAlign w:val="center"/>
          </w:tcPr>
          <w:p w14:paraId="2C5518BF"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9 940</w:t>
            </w:r>
          </w:p>
        </w:tc>
        <w:tc>
          <w:tcPr>
            <w:tcW w:w="1290" w:type="dxa"/>
            <w:tcBorders>
              <w:top w:val="single" w:sz="8" w:space="0" w:color="009EE0"/>
              <w:left w:val="single" w:sz="8" w:space="0" w:color="009EE0"/>
              <w:bottom w:val="single" w:sz="8" w:space="0" w:color="009EE0"/>
              <w:right w:val="single" w:sz="8" w:space="0" w:color="000000" w:themeColor="text1"/>
            </w:tcBorders>
            <w:vAlign w:val="center"/>
          </w:tcPr>
          <w:p w14:paraId="57A31D98" w14:textId="77777777" w:rsidR="00013A3D" w:rsidRPr="00476171" w:rsidRDefault="00013A3D" w:rsidP="00BF4B31">
            <w:pPr>
              <w:jc w:val="right"/>
              <w:rPr>
                <w:rFonts w:ascii="Times New Roman" w:eastAsia="Calibri" w:hAnsi="Times New Roman" w:cs="Times New Roman"/>
                <w:noProof/>
                <w:color w:val="000000" w:themeColor="text1"/>
                <w:sz w:val="20"/>
                <w:lang w:val="de-DE"/>
              </w:rPr>
            </w:pPr>
            <w:r w:rsidRPr="00476171">
              <w:rPr>
                <w:rFonts w:ascii="Times New Roman" w:hAnsi="Times New Roman"/>
                <w:noProof/>
                <w:color w:val="000000" w:themeColor="text1"/>
                <w:sz w:val="20"/>
                <w:lang w:val="de-DE"/>
              </w:rPr>
              <w:t>100 %</w:t>
            </w:r>
          </w:p>
        </w:tc>
      </w:tr>
    </w:tbl>
    <w:p w14:paraId="6CC04CFA" w14:textId="60AF79E8" w:rsidR="00311299" w:rsidRPr="00476171" w:rsidRDefault="0E7E9979" w:rsidP="00977D7D">
      <w:pPr>
        <w:spacing w:line="276" w:lineRule="auto"/>
        <w:jc w:val="both"/>
        <w:rPr>
          <w:rFonts w:ascii="Times New Roman" w:eastAsia="Times New Roman" w:hAnsi="Times New Roman" w:cs="Times New Roman"/>
          <w:noProof/>
          <w:sz w:val="16"/>
          <w:lang w:val="de-DE"/>
        </w:rPr>
      </w:pPr>
      <w:r w:rsidRPr="00476171">
        <w:rPr>
          <w:rFonts w:ascii="Times New Roman" w:hAnsi="Times New Roman"/>
          <w:noProof/>
          <w:sz w:val="16"/>
          <w:lang w:val="de-DE"/>
        </w:rPr>
        <w:t>* Kroatien, Ungarn und Rumänien sind in dieser Tabelle nicht aufgeführt, da sie ihre im Zeitraum 2014–2020 erzielten kumulierten Einsparungen nicht gemeldet haben.</w:t>
      </w:r>
    </w:p>
    <w:p w14:paraId="20FC8A59" w14:textId="059A8F89" w:rsidR="00013A3D" w:rsidRPr="00476171" w:rsidRDefault="00013A3D" w:rsidP="00013A3D">
      <w:pPr>
        <w:spacing w:line="276" w:lineRule="auto"/>
        <w:jc w:val="center"/>
        <w:rPr>
          <w:rFonts w:ascii="Times New Roman" w:eastAsia="Times New Roman" w:hAnsi="Times New Roman" w:cs="Times New Roman"/>
          <w:noProof/>
          <w:color w:val="000000" w:themeColor="text1"/>
          <w:sz w:val="16"/>
          <w:lang w:val="de-DE"/>
        </w:rPr>
      </w:pPr>
      <w:r w:rsidRPr="00476171">
        <w:rPr>
          <w:rFonts w:ascii="Times New Roman" w:hAnsi="Times New Roman"/>
          <w:noProof/>
          <w:color w:val="000000" w:themeColor="text1"/>
          <w:sz w:val="16"/>
          <w:lang w:val="de-DE"/>
        </w:rPr>
        <w:t>Quelle: Von den Mitgliedstaaten gemeldete Informationen, ergänzt durch Berechnungen der Kommission und, falls erforderlich, Schätzwerte.</w:t>
      </w:r>
    </w:p>
    <w:p w14:paraId="04115963" w14:textId="77777777" w:rsidR="00977D7D" w:rsidRPr="00476171" w:rsidRDefault="00977D7D" w:rsidP="001B0A7C">
      <w:pPr>
        <w:spacing w:line="276" w:lineRule="auto"/>
        <w:rPr>
          <w:rFonts w:ascii="Times New Roman" w:eastAsia="Times New Roman" w:hAnsi="Times New Roman" w:cs="Times New Roman"/>
          <w:i/>
          <w:noProof/>
          <w:sz w:val="16"/>
          <w:lang w:val="de-DE"/>
        </w:rPr>
      </w:pPr>
    </w:p>
    <w:p w14:paraId="289ED3E1" w14:textId="4AFB11C7" w:rsidR="00B87FD8" w:rsidRPr="00476171" w:rsidRDefault="63A1BA76" w:rsidP="00173BB6">
      <w:pPr>
        <w:pStyle w:val="ListParagraph"/>
        <w:numPr>
          <w:ilvl w:val="0"/>
          <w:numId w:val="8"/>
        </w:numPr>
        <w:spacing w:line="276" w:lineRule="auto"/>
        <w:jc w:val="both"/>
        <w:rPr>
          <w:rFonts w:ascii="Times New Roman" w:eastAsia="Times New Roman" w:hAnsi="Times New Roman" w:cs="Times New Roman"/>
          <w:noProof/>
          <w:sz w:val="24"/>
          <w:lang w:val="de-DE"/>
        </w:rPr>
      </w:pPr>
      <w:r w:rsidRPr="00476171">
        <w:rPr>
          <w:rFonts w:ascii="Times New Roman" w:hAnsi="Times New Roman"/>
          <w:noProof/>
          <w:sz w:val="24"/>
          <w:lang w:val="de-DE"/>
        </w:rPr>
        <w:t>Energieaudits und Energiemanagementsysteme – Artikel 8 der Energieeffizienzrichtlinie</w:t>
      </w:r>
    </w:p>
    <w:p w14:paraId="5BD2641A" w14:textId="5BB947A2" w:rsidR="00F9277B" w:rsidRPr="00476171" w:rsidRDefault="6AFD2817" w:rsidP="00992061">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Gemäß Artikel 8 der EED müssen Unternehmen, bei denen es sich nicht um KMU handelt, mindestens alle vier Jahre ein Energieaudit durchführen oder ein Energiemanagementsystem einrichten. In ihrer Berichterstattung für 2022 mussten die Mitgliedstaaten die geschätzte Gesamtzahl der großen Unternehmen in ihrem Hoheitsgebiet, auf die Artikel 8 Absatz 4 der EED Anwendung findet, und die Zahl der in diesen Unternehmen durchgeführten Energieaudits angeben. Abbildung 9 gibt einen Überblick über die von 23 Mitgliedstaaten im Jahr 2020 übermittelten Meldungen.</w:t>
      </w:r>
      <w:r w:rsidRPr="00476171">
        <w:rPr>
          <w:rStyle w:val="FootnoteReference"/>
          <w:rFonts w:ascii="Times New Roman" w:eastAsia="EC Square Sans Pro" w:hAnsi="Times New Roman" w:cs="Times New Roman"/>
          <w:noProof/>
          <w:sz w:val="24"/>
          <w:lang w:val="de-DE"/>
        </w:rPr>
        <w:footnoteReference w:id="34"/>
      </w:r>
    </w:p>
    <w:p w14:paraId="2D90C100" w14:textId="5C6D2A08" w:rsidR="52AED9D5" w:rsidRPr="00476171" w:rsidRDefault="52AED9D5" w:rsidP="00977D7D">
      <w:pPr>
        <w:spacing w:line="276" w:lineRule="auto"/>
        <w:jc w:val="center"/>
        <w:rPr>
          <w:rFonts w:ascii="Times New Roman" w:hAnsi="Times New Roman" w:cs="Times New Roman"/>
          <w:noProof/>
          <w:sz w:val="20"/>
          <w:lang w:val="de-DE"/>
        </w:rPr>
      </w:pPr>
      <w:r w:rsidRPr="00476171">
        <w:rPr>
          <w:rFonts w:ascii="Times New Roman" w:hAnsi="Times New Roman"/>
          <w:b/>
          <w:noProof/>
          <w:sz w:val="20"/>
          <w:lang w:val="de-DE"/>
        </w:rPr>
        <w:t>Abbildung 9:</w:t>
      </w:r>
      <w:r w:rsidRPr="00476171">
        <w:rPr>
          <w:rFonts w:ascii="Times New Roman" w:hAnsi="Times New Roman"/>
          <w:noProof/>
          <w:sz w:val="20"/>
          <w:lang w:val="de-DE"/>
        </w:rPr>
        <w:t xml:space="preserve"> Energieaudits in großen Unternehmen im Jahr 2020</w:t>
      </w:r>
      <w:r w:rsidRPr="00476171">
        <w:rPr>
          <w:rStyle w:val="FootnoteReference"/>
          <w:rFonts w:ascii="Times New Roman" w:eastAsia="EC Square Sans Pro" w:hAnsi="Times New Roman" w:cs="Times New Roman"/>
          <w:noProof/>
          <w:sz w:val="20"/>
          <w:lang w:val="de-DE"/>
        </w:rPr>
        <w:footnoteReference w:id="35"/>
      </w:r>
    </w:p>
    <w:p w14:paraId="2548E5AF" w14:textId="4D7B44F5" w:rsidR="29AD9265" w:rsidRPr="00476171" w:rsidRDefault="00A97926" w:rsidP="00977D7D">
      <w:pPr>
        <w:spacing w:line="276" w:lineRule="auto"/>
        <w:jc w:val="center"/>
        <w:rPr>
          <w:noProof/>
          <w:lang w:val="de-DE"/>
        </w:rPr>
      </w:pPr>
      <w:r w:rsidRPr="00A97926">
        <w:rPr>
          <w:noProof/>
          <w:lang w:val="en-GB" w:eastAsia="en-GB"/>
        </w:rPr>
        <w:drawing>
          <wp:inline distT="0" distB="0" distL="0" distR="0" wp14:anchorId="38FE6F11" wp14:editId="22738D60">
            <wp:extent cx="4704650" cy="2691993"/>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8369"/>
                    <a:stretch/>
                  </pic:blipFill>
                  <pic:spPr bwMode="auto">
                    <a:xfrm>
                      <a:off x="0" y="0"/>
                      <a:ext cx="4728358" cy="2705559"/>
                    </a:xfrm>
                    <a:prstGeom prst="rect">
                      <a:avLst/>
                    </a:prstGeom>
                    <a:noFill/>
                    <a:ln>
                      <a:noFill/>
                    </a:ln>
                    <a:extLst>
                      <a:ext uri="{53640926-AAD7-44D8-BBD7-CCE9431645EC}">
                        <a14:shadowObscured xmlns:a14="http://schemas.microsoft.com/office/drawing/2010/main"/>
                      </a:ext>
                    </a:extLst>
                  </pic:spPr>
                </pic:pic>
              </a:graphicData>
            </a:graphic>
          </wp:inline>
        </w:drawing>
      </w:r>
    </w:p>
    <w:p w14:paraId="32C75DB9" w14:textId="58D1E0CC" w:rsidR="5287B464" w:rsidRPr="00476171" w:rsidRDefault="37705F7B" w:rsidP="00992061">
      <w:pPr>
        <w:spacing w:line="276" w:lineRule="auto"/>
        <w:jc w:val="center"/>
        <w:rPr>
          <w:rFonts w:ascii="Times New Roman" w:eastAsia="Times New Roman" w:hAnsi="Times New Roman" w:cs="Times New Roman"/>
          <w:noProof/>
          <w:sz w:val="16"/>
          <w:lang w:val="de-DE"/>
        </w:rPr>
      </w:pPr>
      <w:r w:rsidRPr="00476171">
        <w:rPr>
          <w:rFonts w:ascii="Times New Roman" w:hAnsi="Times New Roman"/>
          <w:noProof/>
          <w:sz w:val="16"/>
          <w:lang w:val="de-DE"/>
        </w:rPr>
        <w:t xml:space="preserve">Quelle: Von den </w:t>
      </w:r>
      <w:r w:rsidRPr="00476171">
        <w:rPr>
          <w:rFonts w:ascii="Times New Roman" w:hAnsi="Times New Roman"/>
          <w:noProof/>
          <w:color w:val="000000" w:themeColor="text1"/>
          <w:sz w:val="16"/>
          <w:lang w:val="de-DE"/>
        </w:rPr>
        <w:t>Mitgliedstaaten gemeldete Informationen.</w:t>
      </w:r>
      <w:r w:rsidRPr="00476171">
        <w:rPr>
          <w:rStyle w:val="FootnoteReference"/>
          <w:rFonts w:ascii="Times New Roman" w:hAnsi="Times New Roman"/>
          <w:noProof/>
          <w:color w:val="000000" w:themeColor="text1"/>
          <w:sz w:val="16"/>
          <w:lang w:val="de-DE"/>
        </w:rPr>
        <w:t xml:space="preserve"> </w:t>
      </w:r>
      <w:r w:rsidRPr="00476171">
        <w:rPr>
          <w:rStyle w:val="FootnoteReference"/>
          <w:rFonts w:ascii="EC Square Sans Pro" w:hAnsi="EC Square Sans Pro"/>
          <w:noProof/>
          <w:lang w:val="de-DE"/>
        </w:rPr>
        <w:footnoteReference w:id="36"/>
      </w:r>
    </w:p>
    <w:p w14:paraId="395B395B" w14:textId="2A02E645" w:rsidR="00F9277B" w:rsidRPr="00476171" w:rsidRDefault="00350A67" w:rsidP="00F9277B">
      <w:pPr>
        <w:spacing w:line="276" w:lineRule="auto"/>
        <w:jc w:val="both"/>
        <w:rPr>
          <w:rFonts w:ascii="EC Square Sans Pro" w:hAnsi="EC Square Sans Pro"/>
          <w:noProof/>
          <w:lang w:val="de-DE"/>
        </w:rPr>
      </w:pPr>
      <w:r w:rsidRPr="00476171">
        <w:rPr>
          <w:rFonts w:ascii="Times New Roman" w:hAnsi="Times New Roman"/>
          <w:noProof/>
          <w:sz w:val="24"/>
          <w:lang w:val="de-DE"/>
        </w:rPr>
        <w:t>Die gemeldete Anzahl großer Unternehmen unterscheidet sich von der Zahl der Energieaudits bei großen Unternehmen, da solche Energieaudits nicht jährlich, sondern nur alle vier Jahre erforderlich sind. Darüber hinaus haben mehrere Unternehmen aufgrund der mit der COVID-19-Pandemie verbundenen Umstände ihre Energieaudits verschoben.</w:t>
      </w:r>
      <w:r w:rsidRPr="00476171">
        <w:rPr>
          <w:rStyle w:val="FootnoteReference"/>
          <w:rFonts w:ascii="EC Square Sans Pro" w:hAnsi="EC Square Sans Pro"/>
          <w:noProof/>
          <w:lang w:val="de-DE"/>
        </w:rPr>
        <w:footnoteReference w:id="37"/>
      </w:r>
    </w:p>
    <w:p w14:paraId="7F340D4A" w14:textId="77777777" w:rsidR="00F9277B" w:rsidRPr="00476171" w:rsidRDefault="00F9277B" w:rsidP="00977D7D">
      <w:pPr>
        <w:spacing w:line="276" w:lineRule="auto"/>
        <w:jc w:val="both"/>
        <w:rPr>
          <w:rFonts w:ascii="Times New Roman" w:eastAsia="EC Square Sans Pro" w:hAnsi="Times New Roman" w:cs="Times New Roman"/>
          <w:noProof/>
          <w:sz w:val="24"/>
          <w:lang w:val="de-DE"/>
        </w:rPr>
      </w:pPr>
    </w:p>
    <w:p w14:paraId="10A4EFF3" w14:textId="38426B30" w:rsidR="00223D4D" w:rsidRPr="00476171" w:rsidRDefault="00223D4D" w:rsidP="00173BB6">
      <w:pPr>
        <w:pStyle w:val="ListParagraph"/>
        <w:numPr>
          <w:ilvl w:val="0"/>
          <w:numId w:val="8"/>
        </w:numPr>
        <w:spacing w:line="276" w:lineRule="auto"/>
        <w:jc w:val="both"/>
        <w:rPr>
          <w:rFonts w:ascii="Times New Roman" w:eastAsia="Times New Roman" w:hAnsi="Times New Roman" w:cs="Times New Roman"/>
          <w:noProof/>
          <w:sz w:val="24"/>
          <w:lang w:val="de-DE"/>
        </w:rPr>
      </w:pPr>
      <w:r w:rsidRPr="00476171">
        <w:rPr>
          <w:rFonts w:ascii="Times New Roman" w:hAnsi="Times New Roman"/>
          <w:noProof/>
          <w:sz w:val="24"/>
          <w:lang w:val="de-DE"/>
        </w:rPr>
        <w:t>Langfristige Renovierungsstrategien</w:t>
      </w:r>
    </w:p>
    <w:p w14:paraId="2295F686" w14:textId="5AF07622" w:rsidR="00223D4D" w:rsidRPr="00476171" w:rsidRDefault="6E694451" w:rsidP="004A1BDC">
      <w:pPr>
        <w:shd w:val="clear" w:color="auto" w:fill="FFFFFF" w:themeFill="background1"/>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Gemäß Artikel 2a der EPBD müssen die Mitgliedstaaten ihre langfristigen Renovierungsstrategien bis März 2020 vorlegen.</w:t>
      </w:r>
      <w:r w:rsidRPr="00476171">
        <w:rPr>
          <w:rStyle w:val="FootnoteReference"/>
          <w:rFonts w:ascii="Times New Roman" w:eastAsia="Times New Roman" w:hAnsi="Times New Roman" w:cs="Times New Roman"/>
          <w:noProof/>
          <w:sz w:val="24"/>
          <w:lang w:val="de-DE"/>
        </w:rPr>
        <w:footnoteReference w:id="38"/>
      </w:r>
      <w:r w:rsidRPr="00476171">
        <w:rPr>
          <w:rFonts w:ascii="Times New Roman" w:hAnsi="Times New Roman"/>
          <w:noProof/>
          <w:sz w:val="24"/>
          <w:lang w:val="de-DE"/>
        </w:rPr>
        <w:t xml:space="preserve"> Die Kommission hat die nationalen Strategien im Hinblick auf einen Austausch bewährter Verfahren zwischen den Mitgliedstaaten analysiert.</w:t>
      </w:r>
      <w:r w:rsidRPr="00476171">
        <w:rPr>
          <w:rStyle w:val="FootnoteReference"/>
          <w:rFonts w:ascii="Times New Roman" w:hAnsi="Times New Roman" w:cs="Times New Roman"/>
          <w:noProof/>
          <w:sz w:val="24"/>
          <w:lang w:val="de-DE"/>
        </w:rPr>
        <w:footnoteReference w:id="39"/>
      </w:r>
      <w:r w:rsidRPr="00476171">
        <w:rPr>
          <w:rFonts w:ascii="Times New Roman" w:hAnsi="Times New Roman"/>
          <w:noProof/>
          <w:sz w:val="24"/>
          <w:lang w:val="de-DE"/>
        </w:rPr>
        <w:t xml:space="preserve"> Die nationalen Strategien und die Bewertung der Kommission waren ein wichtiger Beitrag zu den nationalen Aufbau- und Resilienzplänen, in denen die energieeffiziente Gebäuderenovierung ganz oben steht.</w:t>
      </w:r>
    </w:p>
    <w:p w14:paraId="6E1F43D3" w14:textId="0D9C7EB4" w:rsidR="00B21609" w:rsidRPr="00476171" w:rsidRDefault="031D22B5" w:rsidP="004A1BDC">
      <w:pPr>
        <w:shd w:val="clear" w:color="auto" w:fill="FFFFFF" w:themeFill="background1"/>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Die überwiegende Mehrheit der Strategien von 2020 enthält einen guten Überblick über die strategischen Maßnahmen für öffentliche Gebäude und bietet einen langfristigen Fahrplan für das Ziel der Dekarbonisierung des Gebäudebestands bis 2050. Die meisten dieser Fahrpläne enthalten spezifische Meilensteine für 2030 und 2050 und in geringerem Maße für 2040.</w:t>
      </w:r>
    </w:p>
    <w:p w14:paraId="4079EAFE" w14:textId="7E1ED5DC" w:rsidR="00223D4D" w:rsidRPr="00476171" w:rsidRDefault="6E168FC4" w:rsidP="00977D7D">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Wie in der Mitteilung über die Renovierungswelle</w:t>
      </w:r>
      <w:r w:rsidRPr="00476171">
        <w:rPr>
          <w:rStyle w:val="FootnoteReference"/>
          <w:rFonts w:ascii="Times New Roman" w:hAnsi="Times New Roman" w:cs="Times New Roman"/>
          <w:noProof/>
          <w:sz w:val="24"/>
          <w:lang w:val="de-DE"/>
        </w:rPr>
        <w:footnoteReference w:id="40"/>
      </w:r>
      <w:r w:rsidRPr="00476171">
        <w:rPr>
          <w:rFonts w:ascii="Times New Roman" w:hAnsi="Times New Roman"/>
          <w:noProof/>
          <w:sz w:val="24"/>
          <w:lang w:val="de-DE"/>
        </w:rPr>
        <w:t xml:space="preserve"> dargelegt, stehen Strategien und Maßnahmen in Bezug auf Energiearmut und Gebäude mit der schlechtesten Energieeffizienz besonders im Blickfeld. Die Mehrheit der Mitgliedstaaten hat die Bedeutung dieses Themas anerkannt und im Allgemeinen mehrere Aktionen und Maßnahmen zur Bekämpfung der Energiearmut vorgelegt. Um Gebäude mit der schlechtesten Energieeffizienz zu ermitteln, wurden verschiedene Ansätze gewählt (z. B. Energieeffizienzklasse, Alter und Energieverbrauch).</w:t>
      </w:r>
    </w:p>
    <w:p w14:paraId="2038D723" w14:textId="36E7013B" w:rsidR="00223D4D" w:rsidRPr="00476171" w:rsidRDefault="00223D4D" w:rsidP="00977D7D">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Alle langfristigen Renovierungsstrategien des Jahres 2020 enthalten einen spezifischen Abschnitt, in dem die erwarteten Energieeinsparungen, die umfassenden Vorteile für die Gesundheit und die Luftqualität in Innenräumen sowie die positiven wirtschaftlichen Auswirkungen dargelegt werden. Die Hälfte der Mitgliedstaaten hat diese potenziellen Vorteile jedoch nicht beziffert.</w:t>
      </w:r>
    </w:p>
    <w:p w14:paraId="3FA20A6B" w14:textId="15CA2B8A" w:rsidR="00223D4D" w:rsidRPr="00476171" w:rsidRDefault="00F10D4D" w:rsidP="00977D7D">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Die Strategien entsprechen im Allgemeinen den Anforderungen der EPBD</w:t>
      </w:r>
      <w:r w:rsidRPr="00476171">
        <w:rPr>
          <w:rStyle w:val="FootnoteReference"/>
          <w:rFonts w:ascii="Times New Roman" w:hAnsi="Times New Roman" w:cs="Times New Roman"/>
          <w:noProof/>
          <w:sz w:val="24"/>
          <w:lang w:val="de-DE"/>
        </w:rPr>
        <w:footnoteReference w:id="41"/>
      </w:r>
      <w:r w:rsidRPr="00476171">
        <w:rPr>
          <w:rFonts w:ascii="Times New Roman" w:hAnsi="Times New Roman"/>
          <w:noProof/>
          <w:sz w:val="24"/>
          <w:lang w:val="de-DE"/>
        </w:rPr>
        <w:t xml:space="preserve">, doch die Analyse der Kommission zeigt, dass nicht jede langfristige Renovierungsstrategie ehrgeizig genug ist, um die für 2050 gesetzten Dekarbonisierungsziele zu verwirklichen. In der Analyse der langfristigen Renovierungsstrategien von 2020, die die Kommission vorgenommen hat, wird anerkannt, dass sich die Qualität der Strategien seit der ersten Runde der langfristigen Renovierungsstrategien (erste Einreichung 2014 und anschließende Aktualisierungen 2017) verbessert hat, doch wird auch hervorgehoben, dass ein einheitlicherer Ansatz, der durch Leitlinien und harmonisierte Vorlagen unterstützt wird, erforderlich wäre. </w:t>
      </w:r>
    </w:p>
    <w:p w14:paraId="46768742" w14:textId="2C3E4A72" w:rsidR="00223D4D" w:rsidRPr="00476171" w:rsidRDefault="004F4679" w:rsidP="0029217D">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 xml:space="preserve">Die unterschiedlichen Ansätze der Mitgliedstaaten bei der Festlegung nationaler Etappenziele erschweren die Bewertung der Zielerfüllung auf EU-Ebene. </w:t>
      </w:r>
      <w:bookmarkStart w:id="5" w:name="_Ref95851638"/>
      <w:bookmarkStart w:id="6" w:name="_Toc103759170"/>
      <w:r w:rsidRPr="00476171">
        <w:rPr>
          <w:rFonts w:ascii="Times New Roman" w:hAnsi="Times New Roman"/>
          <w:noProof/>
          <w:sz w:val="24"/>
          <w:lang w:val="de-DE"/>
        </w:rPr>
        <w:t>Die meisten Mitgliedstaaten legten für 2030, 2040 und 2050 absolute Werte für die CO</w:t>
      </w:r>
      <w:r w:rsidRPr="00476171">
        <w:rPr>
          <w:rFonts w:ascii="Times New Roman" w:hAnsi="Times New Roman"/>
          <w:noProof/>
          <w:sz w:val="24"/>
          <w:vertAlign w:val="subscript"/>
          <w:lang w:val="de-DE"/>
        </w:rPr>
        <w:t>2</w:t>
      </w:r>
      <w:r w:rsidRPr="00476171">
        <w:rPr>
          <w:rFonts w:ascii="Times New Roman" w:hAnsi="Times New Roman"/>
          <w:noProof/>
          <w:sz w:val="24"/>
          <w:lang w:val="de-DE"/>
        </w:rPr>
        <w:t>-Emissionen in Gebäuden vor, einschließlich eines Referenzwerts für die Emissionen, der zur Schätzung der relativen Verringerung herangezogen wurde. Aufgrund der Inkonsistenzen zwischen den Mitgliedstaaten könnte ein direkter Vergleich ihrer Ziele zur Verringerung der Treibhausgasemissionen jedoch irreführend sein.</w:t>
      </w:r>
    </w:p>
    <w:bookmarkEnd w:id="5"/>
    <w:bookmarkEnd w:id="6"/>
    <w:p w14:paraId="6ADD1094" w14:textId="072E9ED9" w:rsidR="0023106D" w:rsidRPr="00476171" w:rsidRDefault="10644BF3" w:rsidP="0029217D">
      <w:pPr>
        <w:spacing w:line="276" w:lineRule="auto"/>
        <w:jc w:val="both"/>
        <w:rPr>
          <w:rFonts w:ascii="Times New Roman" w:hAnsi="Times New Roman" w:cs="Times New Roman"/>
          <w:noProof/>
          <w:sz w:val="24"/>
          <w:lang w:val="de-DE"/>
        </w:rPr>
      </w:pPr>
      <w:r w:rsidRPr="00476171">
        <w:rPr>
          <w:rFonts w:ascii="Times New Roman" w:hAnsi="Times New Roman"/>
          <w:noProof/>
          <w:sz w:val="24"/>
          <w:lang w:val="de-DE"/>
        </w:rPr>
        <w:t>In Tabelle 7 sind die indikativen Meilensteine für die Renovierung des Gebäudebestands für 2030, 2040 und 2050 zusammengefasst, die von den Mitgliedstaaten in den langfristigen Renovierungsstrategien 2020 angegeben wurden.</w:t>
      </w:r>
      <w:r w:rsidRPr="00476171">
        <w:rPr>
          <w:rStyle w:val="FootnoteReference"/>
          <w:rFonts w:ascii="Times New Roman" w:hAnsi="Times New Roman" w:cs="Times New Roman"/>
          <w:noProof/>
          <w:sz w:val="24"/>
          <w:lang w:val="de-DE"/>
        </w:rPr>
        <w:footnoteReference w:id="42"/>
      </w:r>
      <w:r w:rsidRPr="00476171">
        <w:rPr>
          <w:rStyle w:val="FootnoteReference"/>
          <w:rFonts w:ascii="Times New Roman" w:hAnsi="Times New Roman" w:cs="Times New Roman"/>
          <w:noProof/>
          <w:sz w:val="24"/>
          <w:vertAlign w:val="baseline"/>
          <w:lang w:val="de-DE"/>
        </w:rPr>
        <w:t>.</w:t>
      </w:r>
    </w:p>
    <w:p w14:paraId="60012E0E" w14:textId="727EDF3F" w:rsidR="0C88837D" w:rsidRPr="00476171" w:rsidRDefault="0373C6FE" w:rsidP="2EB7464E">
      <w:pPr>
        <w:spacing w:line="276" w:lineRule="auto"/>
        <w:jc w:val="center"/>
        <w:rPr>
          <w:rFonts w:ascii="Times New Roman" w:eastAsia="Times New Roman" w:hAnsi="Times New Roman" w:cs="Times New Roman"/>
          <w:b/>
          <w:noProof/>
          <w:sz w:val="20"/>
          <w:lang w:val="de-DE"/>
        </w:rPr>
      </w:pPr>
      <w:r w:rsidRPr="00476171">
        <w:rPr>
          <w:rFonts w:ascii="Times New Roman" w:hAnsi="Times New Roman"/>
          <w:b/>
          <w:noProof/>
          <w:sz w:val="20"/>
          <w:lang w:val="de-DE"/>
        </w:rPr>
        <w:t xml:space="preserve">Tabelle 7: </w:t>
      </w:r>
      <w:r w:rsidRPr="00476171">
        <w:rPr>
          <w:rFonts w:ascii="Times New Roman" w:hAnsi="Times New Roman"/>
          <w:noProof/>
          <w:sz w:val="20"/>
          <w:lang w:val="de-DE"/>
        </w:rPr>
        <w:t>In den nationalen langfristigen Renovierungsstrategien gemeldete Renovierungsquoten</w:t>
      </w:r>
    </w:p>
    <w:tbl>
      <w:tblPr>
        <w:tblStyle w:val="GridTable2-Accent1"/>
        <w:tblW w:w="0" w:type="auto"/>
        <w:tblLook w:val="04A0" w:firstRow="1" w:lastRow="0" w:firstColumn="1" w:lastColumn="0" w:noHBand="0" w:noVBand="1"/>
      </w:tblPr>
      <w:tblGrid>
        <w:gridCol w:w="1297"/>
        <w:gridCol w:w="1769"/>
        <w:gridCol w:w="2252"/>
        <w:gridCol w:w="2021"/>
        <w:gridCol w:w="2021"/>
      </w:tblGrid>
      <w:tr w:rsidR="00223D4D" w:rsidRPr="00FF3E37" w14:paraId="2C896346" w14:textId="77777777" w:rsidTr="5287B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850AA0D" w14:textId="1B64A24D" w:rsidR="00223D4D" w:rsidRPr="00476171" w:rsidRDefault="00223D4D" w:rsidP="00CA1E2F">
            <w:pPr>
              <w:rPr>
                <w:rFonts w:eastAsia="Calibri" w:cs="Calibri"/>
                <w:noProof/>
                <w:color w:val="000000" w:themeColor="text1"/>
                <w:sz w:val="14"/>
                <w:lang w:val="de-DE"/>
              </w:rPr>
            </w:pPr>
          </w:p>
        </w:tc>
        <w:tc>
          <w:tcPr>
            <w:tcW w:w="2102" w:type="dxa"/>
          </w:tcPr>
          <w:p w14:paraId="39987BD5" w14:textId="59CCA862" w:rsidR="00223D4D" w:rsidRPr="00476171" w:rsidRDefault="00223D4D" w:rsidP="0092598F">
            <w:pPr>
              <w:jc w:val="center"/>
              <w:cnfStyle w:val="100000000000" w:firstRow="1" w:lastRow="0" w:firstColumn="0" w:lastColumn="0" w:oddVBand="0" w:evenVBand="0" w:oddHBand="0" w:evenHBand="0" w:firstRowFirstColumn="0" w:firstRowLastColumn="0" w:lastRowFirstColumn="0" w:lastRowLastColumn="0"/>
              <w:rPr>
                <w:rFonts w:eastAsia="Calibri" w:cs="Calibri"/>
                <w:noProof/>
                <w:color w:val="000000" w:themeColor="text1"/>
                <w:sz w:val="14"/>
                <w:lang w:val="de-DE"/>
              </w:rPr>
            </w:pPr>
          </w:p>
        </w:tc>
        <w:tc>
          <w:tcPr>
            <w:tcW w:w="6237" w:type="dxa"/>
            <w:gridSpan w:val="3"/>
          </w:tcPr>
          <w:p w14:paraId="29D35C51" w14:textId="65418F1F" w:rsidR="0092598F" w:rsidRPr="00476171" w:rsidRDefault="0092598F" w:rsidP="0092598F">
            <w:pPr>
              <w:jc w:val="center"/>
              <w:cnfStyle w:val="100000000000" w:firstRow="1" w:lastRow="0" w:firstColumn="0" w:lastColumn="0" w:oddVBand="0" w:evenVBand="0" w:oddHBand="0" w:evenHBand="0" w:firstRowFirstColumn="0" w:firstRowLastColumn="0" w:lastRowFirstColumn="0" w:lastRowLastColumn="0"/>
              <w:rPr>
                <w:rFonts w:eastAsia="Calibri" w:cs="Calibri"/>
                <w:noProof/>
                <w:color w:val="000000" w:themeColor="text1"/>
                <w:sz w:val="14"/>
                <w:lang w:val="de-DE"/>
              </w:rPr>
            </w:pPr>
          </w:p>
        </w:tc>
      </w:tr>
      <w:tr w:rsidR="0092598F" w:rsidRPr="00476171" w14:paraId="0D6D6198" w14:textId="77777777" w:rsidTr="00925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934B38B" w14:textId="21CED7BB" w:rsidR="0092598F" w:rsidRPr="00476171" w:rsidRDefault="0092598F" w:rsidP="0092598F">
            <w:pPr>
              <w:pStyle w:val="JRCText"/>
              <w:spacing w:line="276" w:lineRule="auto"/>
              <w:jc w:val="center"/>
              <w:rPr>
                <w:rFonts w:ascii="Times New Roman" w:hAnsi="Times New Roman"/>
                <w:b w:val="0"/>
                <w:noProof/>
                <w:color w:val="000000" w:themeColor="text1"/>
                <w:lang w:val="de-DE"/>
              </w:rPr>
            </w:pPr>
            <w:r w:rsidRPr="00476171">
              <w:rPr>
                <w:rFonts w:ascii="Times New Roman" w:hAnsi="Times New Roman"/>
                <w:noProof/>
                <w:color w:val="000000" w:themeColor="text1"/>
                <w:lang w:val="de-DE"/>
              </w:rPr>
              <w:t>Mitglied-</w:t>
            </w:r>
          </w:p>
          <w:p w14:paraId="63AB4EB5" w14:textId="72ED9A2C" w:rsidR="00102EC1" w:rsidRPr="00476171" w:rsidRDefault="00102EC1" w:rsidP="0092598F">
            <w:pPr>
              <w:pStyle w:val="JRCText"/>
              <w:spacing w:line="276" w:lineRule="auto"/>
              <w:jc w:val="center"/>
              <w:rPr>
                <w:rFonts w:ascii="Times New Roman" w:hAnsi="Times New Roman"/>
                <w:noProof/>
                <w:lang w:val="de-DE"/>
              </w:rPr>
            </w:pPr>
            <w:r w:rsidRPr="00476171">
              <w:rPr>
                <w:rFonts w:ascii="Times New Roman" w:hAnsi="Times New Roman"/>
                <w:noProof/>
                <w:color w:val="000000" w:themeColor="text1"/>
                <w:lang w:val="de-DE"/>
              </w:rPr>
              <w:t>staat</w:t>
            </w:r>
          </w:p>
        </w:tc>
        <w:tc>
          <w:tcPr>
            <w:tcW w:w="2102" w:type="dxa"/>
          </w:tcPr>
          <w:p w14:paraId="3DF75091" w14:textId="0E0EDFB2" w:rsidR="0092598F" w:rsidRPr="00476171" w:rsidRDefault="0092598F"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noProof/>
                <w:color w:val="000000" w:themeColor="text1"/>
                <w:lang w:val="de-DE"/>
              </w:rPr>
            </w:pPr>
            <w:r w:rsidRPr="00476171">
              <w:rPr>
                <w:rFonts w:ascii="Times New Roman" w:hAnsi="Times New Roman"/>
                <w:b/>
                <w:noProof/>
                <w:color w:val="000000" w:themeColor="text1"/>
                <w:lang w:val="de-DE"/>
              </w:rPr>
              <w:t>Abgeschlossene Renovierung</w:t>
            </w:r>
          </w:p>
        </w:tc>
        <w:tc>
          <w:tcPr>
            <w:tcW w:w="6237" w:type="dxa"/>
            <w:gridSpan w:val="3"/>
            <w:vAlign w:val="center"/>
          </w:tcPr>
          <w:p w14:paraId="27589C35" w14:textId="36414ACB" w:rsidR="0092598F" w:rsidRPr="00476171" w:rsidRDefault="0092598F" w:rsidP="0092598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color w:val="000000" w:themeColor="text1"/>
                <w:lang w:val="de-DE"/>
              </w:rPr>
            </w:pPr>
            <w:r w:rsidRPr="00476171">
              <w:rPr>
                <w:rFonts w:ascii="Times New Roman" w:hAnsi="Times New Roman"/>
                <w:b/>
                <w:noProof/>
                <w:color w:val="000000" w:themeColor="text1"/>
                <w:lang w:val="de-DE"/>
              </w:rPr>
              <w:t>Geplante Renovierung</w:t>
            </w:r>
          </w:p>
        </w:tc>
      </w:tr>
      <w:tr w:rsidR="00223D4D" w:rsidRPr="00476171" w14:paraId="14A06367" w14:textId="77777777" w:rsidTr="5287B464">
        <w:tc>
          <w:tcPr>
            <w:cnfStyle w:val="001000000000" w:firstRow="0" w:lastRow="0" w:firstColumn="1" w:lastColumn="0" w:oddVBand="0" w:evenVBand="0" w:oddHBand="0" w:evenHBand="0" w:firstRowFirstColumn="0" w:firstRowLastColumn="0" w:lastRowFirstColumn="0" w:lastRowLastColumn="0"/>
            <w:tcW w:w="841" w:type="dxa"/>
          </w:tcPr>
          <w:p w14:paraId="2DB231B9" w14:textId="77777777" w:rsidR="00223D4D" w:rsidRPr="00476171" w:rsidRDefault="00223D4D" w:rsidP="0029217D">
            <w:pPr>
              <w:pStyle w:val="JRCText"/>
              <w:spacing w:line="276" w:lineRule="auto"/>
              <w:rPr>
                <w:rFonts w:ascii="Times New Roman" w:hAnsi="Times New Roman"/>
                <w:noProof/>
                <w:lang w:val="de-DE"/>
              </w:rPr>
            </w:pPr>
          </w:p>
        </w:tc>
        <w:tc>
          <w:tcPr>
            <w:tcW w:w="2102" w:type="dxa"/>
          </w:tcPr>
          <w:p w14:paraId="282A5003"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2020</w:t>
            </w:r>
          </w:p>
        </w:tc>
        <w:tc>
          <w:tcPr>
            <w:tcW w:w="2127" w:type="dxa"/>
          </w:tcPr>
          <w:p w14:paraId="7A4C59B4"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2030</w:t>
            </w:r>
          </w:p>
        </w:tc>
        <w:tc>
          <w:tcPr>
            <w:tcW w:w="1984" w:type="dxa"/>
          </w:tcPr>
          <w:p w14:paraId="5E1A4DB1"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2040</w:t>
            </w:r>
          </w:p>
        </w:tc>
        <w:tc>
          <w:tcPr>
            <w:tcW w:w="2126" w:type="dxa"/>
          </w:tcPr>
          <w:p w14:paraId="32237085"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2050</w:t>
            </w:r>
          </w:p>
        </w:tc>
      </w:tr>
      <w:tr w:rsidR="00223D4D" w:rsidRPr="00476171" w14:paraId="3079191C" w14:textId="77777777" w:rsidTr="5287B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122C06" w14:textId="205CB345"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Österreich</w:t>
            </w:r>
          </w:p>
        </w:tc>
        <w:tc>
          <w:tcPr>
            <w:tcW w:w="2102" w:type="dxa"/>
          </w:tcPr>
          <w:p w14:paraId="1C2FD892" w14:textId="50D9AAE9" w:rsidR="00223D4D" w:rsidRPr="00476171" w:rsidRDefault="00223D4D" w:rsidP="001B0A7C">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1,5 % p. a.</w:t>
            </w:r>
          </w:p>
        </w:tc>
        <w:tc>
          <w:tcPr>
            <w:tcW w:w="2127" w:type="dxa"/>
          </w:tcPr>
          <w:p w14:paraId="72940C36" w14:textId="18B906DE" w:rsidR="00223D4D" w:rsidRPr="00476171" w:rsidRDefault="00223D4D" w:rsidP="003D36CA">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1,5 % p. a.</w:t>
            </w:r>
          </w:p>
        </w:tc>
        <w:tc>
          <w:tcPr>
            <w:tcW w:w="1984" w:type="dxa"/>
          </w:tcPr>
          <w:p w14:paraId="34A57625" w14:textId="7C498030"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1,5 % p. a.</w:t>
            </w:r>
          </w:p>
        </w:tc>
        <w:tc>
          <w:tcPr>
            <w:tcW w:w="2126" w:type="dxa"/>
          </w:tcPr>
          <w:p w14:paraId="4AB22D1A" w14:textId="18DAB822" w:rsidR="00223D4D" w:rsidRPr="00476171" w:rsidRDefault="001B0A7C"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1,5 % p. a.</w:t>
            </w:r>
          </w:p>
        </w:tc>
      </w:tr>
      <w:tr w:rsidR="00223D4D" w:rsidRPr="00476171" w14:paraId="5F38B8D0" w14:textId="77777777" w:rsidTr="5287B464">
        <w:tc>
          <w:tcPr>
            <w:cnfStyle w:val="001000000000" w:firstRow="0" w:lastRow="0" w:firstColumn="1" w:lastColumn="0" w:oddVBand="0" w:evenVBand="0" w:oddHBand="0" w:evenHBand="0" w:firstRowFirstColumn="0" w:firstRowLastColumn="0" w:lastRowFirstColumn="0" w:lastRowLastColumn="0"/>
            <w:tcW w:w="841" w:type="dxa"/>
          </w:tcPr>
          <w:p w14:paraId="30C518C5" w14:textId="1F56166A"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Belgien – Brüssel</w:t>
            </w:r>
          </w:p>
        </w:tc>
        <w:tc>
          <w:tcPr>
            <w:tcW w:w="2102" w:type="dxa"/>
          </w:tcPr>
          <w:p w14:paraId="14540FFE"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weniger als 1 % p. a.</w:t>
            </w:r>
          </w:p>
        </w:tc>
        <w:tc>
          <w:tcPr>
            <w:tcW w:w="2127" w:type="dxa"/>
          </w:tcPr>
          <w:p w14:paraId="77F62F41"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p>
        </w:tc>
        <w:tc>
          <w:tcPr>
            <w:tcW w:w="1984" w:type="dxa"/>
          </w:tcPr>
          <w:p w14:paraId="3A7FC25B"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100 % energieneutrale öffentliche Gebäude</w:t>
            </w:r>
          </w:p>
        </w:tc>
        <w:tc>
          <w:tcPr>
            <w:tcW w:w="2126" w:type="dxa"/>
          </w:tcPr>
          <w:p w14:paraId="524FECB5"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80 % Wohngebäude kumuliert</w:t>
            </w:r>
          </w:p>
        </w:tc>
      </w:tr>
      <w:tr w:rsidR="00223D4D" w:rsidRPr="00FF3E37" w14:paraId="130B59EE" w14:textId="77777777" w:rsidTr="5287B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E16F455" w14:textId="44A6AAC3"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Belgien – Flandern</w:t>
            </w:r>
          </w:p>
        </w:tc>
        <w:tc>
          <w:tcPr>
            <w:tcW w:w="2102" w:type="dxa"/>
          </w:tcPr>
          <w:p w14:paraId="687D3BD8" w14:textId="50EF4B8C" w:rsidR="00964CD5" w:rsidRPr="00476171" w:rsidRDefault="001B0A7C"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3,5 % p. a. – Wohngebäude</w:t>
            </w:r>
          </w:p>
          <w:p w14:paraId="71A82283" w14:textId="16CE3314" w:rsidR="00223D4D" w:rsidRPr="00476171" w:rsidRDefault="00223D4D" w:rsidP="00964CD5">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 xml:space="preserve"> 105 000 Wohnungen</w:t>
            </w:r>
          </w:p>
        </w:tc>
        <w:tc>
          <w:tcPr>
            <w:tcW w:w="2127" w:type="dxa"/>
          </w:tcPr>
          <w:p w14:paraId="5A410049"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3 % p. a. – Wohngebäude</w:t>
            </w:r>
          </w:p>
          <w:p w14:paraId="0AB4E4BD" w14:textId="69C5CE8B" w:rsidR="00223D4D" w:rsidRPr="00476171" w:rsidRDefault="00223D4D" w:rsidP="00964CD5">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 xml:space="preserve">32 % kumuliert – 973 500 Wohnungen </w:t>
            </w:r>
          </w:p>
        </w:tc>
        <w:tc>
          <w:tcPr>
            <w:tcW w:w="1984" w:type="dxa"/>
          </w:tcPr>
          <w:p w14:paraId="58B7CF92"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3 % p. a. – Wohngebäude</w:t>
            </w:r>
          </w:p>
          <w:p w14:paraId="6C8F56C5" w14:textId="04BAF831" w:rsidR="00223D4D" w:rsidRPr="00476171" w:rsidRDefault="00223D4D" w:rsidP="00964CD5">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64 % kumuliert – 1 923 500 Wohnungen</w:t>
            </w:r>
          </w:p>
        </w:tc>
        <w:tc>
          <w:tcPr>
            <w:tcW w:w="2126" w:type="dxa"/>
          </w:tcPr>
          <w:p w14:paraId="5200A9B1"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3 % p. a. – Wohngebäude</w:t>
            </w:r>
          </w:p>
          <w:p w14:paraId="4A3CA178" w14:textId="11118AA0" w:rsidR="00223D4D" w:rsidRPr="00476171" w:rsidRDefault="005A3320" w:rsidP="001B0A7C">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96,5 % kumuliert – 2 873 500 Wohnungen</w:t>
            </w:r>
          </w:p>
        </w:tc>
      </w:tr>
      <w:tr w:rsidR="00223D4D" w:rsidRPr="00476171" w14:paraId="511933C9" w14:textId="77777777" w:rsidTr="5287B464">
        <w:tc>
          <w:tcPr>
            <w:cnfStyle w:val="001000000000" w:firstRow="0" w:lastRow="0" w:firstColumn="1" w:lastColumn="0" w:oddVBand="0" w:evenVBand="0" w:oddHBand="0" w:evenHBand="0" w:firstRowFirstColumn="0" w:firstRowLastColumn="0" w:lastRowFirstColumn="0" w:lastRowLastColumn="0"/>
            <w:tcW w:w="841" w:type="dxa"/>
          </w:tcPr>
          <w:p w14:paraId="3585B110" w14:textId="48F1D4E7"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Belgien – Wallonien</w:t>
            </w:r>
          </w:p>
        </w:tc>
        <w:tc>
          <w:tcPr>
            <w:tcW w:w="2102" w:type="dxa"/>
          </w:tcPr>
          <w:p w14:paraId="64E69617"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p>
        </w:tc>
        <w:tc>
          <w:tcPr>
            <w:tcW w:w="2127" w:type="dxa"/>
          </w:tcPr>
          <w:p w14:paraId="7D18E40B" w14:textId="59A2AEC5"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12 % Wohngebäude kumuliert (194 571 Gebäude)</w:t>
            </w:r>
          </w:p>
          <w:p w14:paraId="3EF16538" w14:textId="78CD1A30"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63 400 000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 xml:space="preserve"> Nichtwohngebäude kumuliert</w:t>
            </w:r>
          </w:p>
        </w:tc>
        <w:tc>
          <w:tcPr>
            <w:tcW w:w="1984" w:type="dxa"/>
          </w:tcPr>
          <w:p w14:paraId="4DC4EC7C" w14:textId="6F729F5E"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51 % Wohngebäude kumuliert (830 158 Gebäude)</w:t>
            </w:r>
          </w:p>
          <w:p w14:paraId="16B13468" w14:textId="440065E6"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114 000 000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 xml:space="preserve"> Nichtwohngebäude kumuliert</w:t>
            </w:r>
          </w:p>
        </w:tc>
        <w:tc>
          <w:tcPr>
            <w:tcW w:w="2126" w:type="dxa"/>
          </w:tcPr>
          <w:p w14:paraId="273427B7" w14:textId="16FCD7A4"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99 % Wohngebäude kumuliert (1 605 485 Gebäude) (25 % umfassend renoviert – 399 103 Gebäude)</w:t>
            </w:r>
          </w:p>
          <w:p w14:paraId="16E45839" w14:textId="71268D3F"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114 000 000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 xml:space="preserve"> Nichtwohngebäude kumuliert</w:t>
            </w:r>
          </w:p>
        </w:tc>
      </w:tr>
      <w:tr w:rsidR="00223D4D" w:rsidRPr="00476171" w14:paraId="4B227E0B" w14:textId="77777777" w:rsidTr="5287B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EE47EE2" w14:textId="00818880"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Bulgarien</w:t>
            </w:r>
          </w:p>
        </w:tc>
        <w:tc>
          <w:tcPr>
            <w:tcW w:w="2102" w:type="dxa"/>
          </w:tcPr>
          <w:p w14:paraId="2EE48E47"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p>
        </w:tc>
        <w:tc>
          <w:tcPr>
            <w:tcW w:w="2127" w:type="dxa"/>
          </w:tcPr>
          <w:p w14:paraId="1132FC08" w14:textId="2BAE7945"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8 % (22 203 509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 Grundfläche kumuliert</w:t>
            </w:r>
          </w:p>
        </w:tc>
        <w:tc>
          <w:tcPr>
            <w:tcW w:w="1984" w:type="dxa"/>
          </w:tcPr>
          <w:p w14:paraId="6BFB8842" w14:textId="234CB524"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26 % (71 774 177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 Grundfläche kumuliert</w:t>
            </w:r>
          </w:p>
        </w:tc>
        <w:tc>
          <w:tcPr>
            <w:tcW w:w="2126" w:type="dxa"/>
          </w:tcPr>
          <w:p w14:paraId="2BA74583" w14:textId="20D16FDF"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46 % (127 597 192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 Grundfläche kumuliert</w:t>
            </w:r>
          </w:p>
        </w:tc>
      </w:tr>
      <w:tr w:rsidR="00223D4D" w:rsidRPr="00476171" w14:paraId="365FB2F0" w14:textId="77777777" w:rsidTr="5287B464">
        <w:tc>
          <w:tcPr>
            <w:cnfStyle w:val="001000000000" w:firstRow="0" w:lastRow="0" w:firstColumn="1" w:lastColumn="0" w:oddVBand="0" w:evenVBand="0" w:oddHBand="0" w:evenHBand="0" w:firstRowFirstColumn="0" w:firstRowLastColumn="0" w:lastRowFirstColumn="0" w:lastRowLastColumn="0"/>
            <w:tcW w:w="841" w:type="dxa"/>
          </w:tcPr>
          <w:p w14:paraId="054A4278" w14:textId="045E3D2B" w:rsidR="00223D4D" w:rsidRPr="00476171" w:rsidRDefault="00223D4D" w:rsidP="000C2F5A">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Zypern</w:t>
            </w:r>
          </w:p>
        </w:tc>
        <w:tc>
          <w:tcPr>
            <w:tcW w:w="2102" w:type="dxa"/>
          </w:tcPr>
          <w:p w14:paraId="0CE49A3D"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1 % Gebäude kumuliert</w:t>
            </w:r>
          </w:p>
        </w:tc>
        <w:tc>
          <w:tcPr>
            <w:tcW w:w="2127" w:type="dxa"/>
          </w:tcPr>
          <w:p w14:paraId="38FDC2D1"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1 % p. a.</w:t>
            </w:r>
          </w:p>
          <w:p w14:paraId="7A27AFA7" w14:textId="1DBD71DD"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10 % kumuliert (43 000)</w:t>
            </w:r>
          </w:p>
        </w:tc>
        <w:tc>
          <w:tcPr>
            <w:tcW w:w="1984" w:type="dxa"/>
          </w:tcPr>
          <w:p w14:paraId="5F8A90CD"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1 % p. a.</w:t>
            </w:r>
          </w:p>
        </w:tc>
        <w:tc>
          <w:tcPr>
            <w:tcW w:w="2126" w:type="dxa"/>
          </w:tcPr>
          <w:p w14:paraId="61E2017B"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1 % p. a.</w:t>
            </w:r>
          </w:p>
        </w:tc>
      </w:tr>
      <w:tr w:rsidR="00223D4D" w:rsidRPr="00476171" w14:paraId="2F0BB035" w14:textId="77777777" w:rsidTr="5287B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0606035" w14:textId="2E5D439C"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Tschechien</w:t>
            </w:r>
          </w:p>
        </w:tc>
        <w:tc>
          <w:tcPr>
            <w:tcW w:w="2102" w:type="dxa"/>
          </w:tcPr>
          <w:p w14:paraId="5C577B83"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45 % Gebäude mit mehr als 25 % geringfügiger Renovierung, kumuliert</w:t>
            </w:r>
          </w:p>
        </w:tc>
        <w:tc>
          <w:tcPr>
            <w:tcW w:w="2127" w:type="dxa"/>
          </w:tcPr>
          <w:p w14:paraId="232A3B84" w14:textId="78DBDAE1"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1,4 % p. a. – EFH, 0,79 % p. a. – MFH; 2 % p. a. – öffentliche Gebäude</w:t>
            </w:r>
          </w:p>
          <w:p w14:paraId="2639F226"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55 % kumuliert</w:t>
            </w:r>
          </w:p>
        </w:tc>
        <w:tc>
          <w:tcPr>
            <w:tcW w:w="1984" w:type="dxa"/>
          </w:tcPr>
          <w:p w14:paraId="180B6251" w14:textId="2ED93D8F"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1,4 % p. a. – EFH, 0,79 % p. a. – MFH; 2 % p. a. – öffentliche Gebäude</w:t>
            </w:r>
          </w:p>
          <w:p w14:paraId="07C76DFC"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60 % kumuliert</w:t>
            </w:r>
          </w:p>
        </w:tc>
        <w:tc>
          <w:tcPr>
            <w:tcW w:w="2126" w:type="dxa"/>
          </w:tcPr>
          <w:p w14:paraId="08D304A3" w14:textId="7F38D9B5"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1,4 % p. a. – EFH, 0,79 % p. a. – MFH; 2 % p. a. – öffentliche Gebäude</w:t>
            </w:r>
          </w:p>
          <w:p w14:paraId="22659B83"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70 % kumuliert</w:t>
            </w:r>
          </w:p>
        </w:tc>
      </w:tr>
      <w:tr w:rsidR="00223D4D" w:rsidRPr="00FF3E37" w14:paraId="688C86DF" w14:textId="77777777" w:rsidTr="5287B464">
        <w:tc>
          <w:tcPr>
            <w:cnfStyle w:val="001000000000" w:firstRow="0" w:lastRow="0" w:firstColumn="1" w:lastColumn="0" w:oddVBand="0" w:evenVBand="0" w:oddHBand="0" w:evenHBand="0" w:firstRowFirstColumn="0" w:firstRowLastColumn="0" w:lastRowFirstColumn="0" w:lastRowLastColumn="0"/>
            <w:tcW w:w="841" w:type="dxa"/>
          </w:tcPr>
          <w:p w14:paraId="6E739CE5" w14:textId="4AF7845B" w:rsidR="00223D4D" w:rsidRPr="00476171" w:rsidRDefault="000C2F5A"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Deutschland</w:t>
            </w:r>
          </w:p>
        </w:tc>
        <w:tc>
          <w:tcPr>
            <w:tcW w:w="2102" w:type="dxa"/>
          </w:tcPr>
          <w:p w14:paraId="6456ED82"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p>
        </w:tc>
        <w:tc>
          <w:tcPr>
            <w:tcW w:w="2127" w:type="dxa"/>
          </w:tcPr>
          <w:p w14:paraId="75E278DA" w14:textId="243DBBE3" w:rsidR="00223D4D" w:rsidRPr="00476171" w:rsidRDefault="005A3320" w:rsidP="001B0A7C">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1,3 % bis 2 % p. a. – EFH und 1,5 % bis 2 % p. a. – MFH für den Zeitraum 2020–2030</w:t>
            </w:r>
          </w:p>
        </w:tc>
        <w:tc>
          <w:tcPr>
            <w:tcW w:w="1984" w:type="dxa"/>
          </w:tcPr>
          <w:p w14:paraId="0C43413A"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p>
        </w:tc>
        <w:tc>
          <w:tcPr>
            <w:tcW w:w="2126" w:type="dxa"/>
          </w:tcPr>
          <w:p w14:paraId="0B2A15A1"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p>
        </w:tc>
      </w:tr>
      <w:tr w:rsidR="00223D4D" w:rsidRPr="00476171" w14:paraId="0145895C" w14:textId="77777777" w:rsidTr="5287B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21EFA7E" w14:textId="149D78F5"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Dänemark</w:t>
            </w:r>
          </w:p>
        </w:tc>
        <w:tc>
          <w:tcPr>
            <w:tcW w:w="2102" w:type="dxa"/>
          </w:tcPr>
          <w:p w14:paraId="297C99AD"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80 % renoviert (55–60 % leicht, 20–25 % mittel, 5 % umfassend)</w:t>
            </w:r>
          </w:p>
        </w:tc>
        <w:tc>
          <w:tcPr>
            <w:tcW w:w="2127" w:type="dxa"/>
          </w:tcPr>
          <w:p w14:paraId="2C205CE3"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p>
        </w:tc>
        <w:tc>
          <w:tcPr>
            <w:tcW w:w="1984" w:type="dxa"/>
          </w:tcPr>
          <w:p w14:paraId="70983E8A"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p>
        </w:tc>
        <w:tc>
          <w:tcPr>
            <w:tcW w:w="2126" w:type="dxa"/>
          </w:tcPr>
          <w:p w14:paraId="1BA41851"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p>
        </w:tc>
      </w:tr>
      <w:tr w:rsidR="00223D4D" w:rsidRPr="00476171" w14:paraId="749F7A49" w14:textId="77777777" w:rsidTr="5287B464">
        <w:tc>
          <w:tcPr>
            <w:cnfStyle w:val="001000000000" w:firstRow="0" w:lastRow="0" w:firstColumn="1" w:lastColumn="0" w:oddVBand="0" w:evenVBand="0" w:oddHBand="0" w:evenHBand="0" w:firstRowFirstColumn="0" w:firstRowLastColumn="0" w:lastRowFirstColumn="0" w:lastRowLastColumn="0"/>
            <w:tcW w:w="841" w:type="dxa"/>
          </w:tcPr>
          <w:p w14:paraId="63B34F28" w14:textId="7835FB5C"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Estland</w:t>
            </w:r>
          </w:p>
        </w:tc>
        <w:tc>
          <w:tcPr>
            <w:tcW w:w="2102" w:type="dxa"/>
          </w:tcPr>
          <w:p w14:paraId="70F0AF56" w14:textId="620EAC0E"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500 000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 xml:space="preserve"> Grundfläche kumuliert</w:t>
            </w:r>
          </w:p>
        </w:tc>
        <w:tc>
          <w:tcPr>
            <w:tcW w:w="2127" w:type="dxa"/>
          </w:tcPr>
          <w:p w14:paraId="5C835A92" w14:textId="78E16E39"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22 % kumuliert (11 880 000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w:t>
            </w:r>
          </w:p>
        </w:tc>
        <w:tc>
          <w:tcPr>
            <w:tcW w:w="1984" w:type="dxa"/>
          </w:tcPr>
          <w:p w14:paraId="36367545" w14:textId="519284E6"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64 % kumuliert (34 560 000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w:t>
            </w:r>
          </w:p>
        </w:tc>
        <w:tc>
          <w:tcPr>
            <w:tcW w:w="2126" w:type="dxa"/>
          </w:tcPr>
          <w:p w14:paraId="29836311" w14:textId="37506723" w:rsidR="00A92BAA"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100 % kumuliert (54 000 000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w:t>
            </w:r>
          </w:p>
          <w:p w14:paraId="623DB6ED" w14:textId="6B2A800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141 000 Gebäude)</w:t>
            </w:r>
          </w:p>
        </w:tc>
      </w:tr>
      <w:tr w:rsidR="00223D4D" w:rsidRPr="00476171" w14:paraId="34009F49" w14:textId="77777777" w:rsidTr="5287B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233AB5" w14:textId="49F8E6A4" w:rsidR="00223D4D" w:rsidRPr="00476171" w:rsidRDefault="000C2F5A"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Griechenland</w:t>
            </w:r>
          </w:p>
        </w:tc>
        <w:tc>
          <w:tcPr>
            <w:tcW w:w="2102" w:type="dxa"/>
          </w:tcPr>
          <w:p w14:paraId="538FF2B7"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p>
        </w:tc>
        <w:tc>
          <w:tcPr>
            <w:tcW w:w="2127" w:type="dxa"/>
          </w:tcPr>
          <w:p w14:paraId="545F42D3"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23 % Wohngebäude, 9 % Nichtwohngebäude</w:t>
            </w:r>
          </w:p>
        </w:tc>
        <w:tc>
          <w:tcPr>
            <w:tcW w:w="1984" w:type="dxa"/>
          </w:tcPr>
          <w:p w14:paraId="65938B84"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36–42 % Wohngebäude; 14–16 % Nichtwohngebäude</w:t>
            </w:r>
          </w:p>
        </w:tc>
        <w:tc>
          <w:tcPr>
            <w:tcW w:w="2126" w:type="dxa"/>
          </w:tcPr>
          <w:p w14:paraId="685C3240"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45–49 % Wohngebäude; 19–20 % Nichtwohngebäude</w:t>
            </w:r>
          </w:p>
        </w:tc>
      </w:tr>
      <w:tr w:rsidR="00223D4D" w:rsidRPr="00476171" w14:paraId="1164C604" w14:textId="77777777" w:rsidTr="5287B464">
        <w:tc>
          <w:tcPr>
            <w:cnfStyle w:val="001000000000" w:firstRow="0" w:lastRow="0" w:firstColumn="1" w:lastColumn="0" w:oddVBand="0" w:evenVBand="0" w:oddHBand="0" w:evenHBand="0" w:firstRowFirstColumn="0" w:firstRowLastColumn="0" w:lastRowFirstColumn="0" w:lastRowLastColumn="0"/>
            <w:tcW w:w="841" w:type="dxa"/>
          </w:tcPr>
          <w:p w14:paraId="16EB8BCA" w14:textId="6CB502E8" w:rsidR="00223D4D" w:rsidRPr="00476171" w:rsidRDefault="000C2F5A"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Spanien</w:t>
            </w:r>
          </w:p>
        </w:tc>
        <w:tc>
          <w:tcPr>
            <w:tcW w:w="2102" w:type="dxa"/>
          </w:tcPr>
          <w:p w14:paraId="655E76CF" w14:textId="587E870D"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56 017 Wohnungen kumuliert</w:t>
            </w:r>
          </w:p>
        </w:tc>
        <w:tc>
          <w:tcPr>
            <w:tcW w:w="2127" w:type="dxa"/>
          </w:tcPr>
          <w:p w14:paraId="7400C667" w14:textId="57A6CDCF"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1 256 017 Wohnungen kumuliert (300 000 Wohnungen/Jahr)</w:t>
            </w:r>
          </w:p>
        </w:tc>
        <w:tc>
          <w:tcPr>
            <w:tcW w:w="1984" w:type="dxa"/>
          </w:tcPr>
          <w:p w14:paraId="5CC84A23" w14:textId="6AF7804E"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4 756 017 Wohnungen kumuliert</w:t>
            </w:r>
          </w:p>
        </w:tc>
        <w:tc>
          <w:tcPr>
            <w:tcW w:w="2126" w:type="dxa"/>
          </w:tcPr>
          <w:p w14:paraId="0AD11023" w14:textId="52AE1439"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7 156 017 Wohnungen kumuliert</w:t>
            </w:r>
          </w:p>
        </w:tc>
      </w:tr>
      <w:tr w:rsidR="00223D4D" w:rsidRPr="00476171" w14:paraId="310916E9" w14:textId="77777777" w:rsidTr="5287B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20D3CE0" w14:textId="773D7C9B"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Finnland</w:t>
            </w:r>
          </w:p>
        </w:tc>
        <w:tc>
          <w:tcPr>
            <w:tcW w:w="2102" w:type="dxa"/>
          </w:tcPr>
          <w:p w14:paraId="30E54AC6" w14:textId="7B4AA492"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29 % Gebäude kumuliert</w:t>
            </w:r>
          </w:p>
        </w:tc>
        <w:tc>
          <w:tcPr>
            <w:tcW w:w="2127" w:type="dxa"/>
          </w:tcPr>
          <w:p w14:paraId="677248E5"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54 % kumuliert</w:t>
            </w:r>
          </w:p>
        </w:tc>
        <w:tc>
          <w:tcPr>
            <w:tcW w:w="1984" w:type="dxa"/>
          </w:tcPr>
          <w:p w14:paraId="26637786"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98 % kumuliert</w:t>
            </w:r>
          </w:p>
        </w:tc>
        <w:tc>
          <w:tcPr>
            <w:tcW w:w="2126" w:type="dxa"/>
          </w:tcPr>
          <w:p w14:paraId="50ED0C98"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100 % kumuliert</w:t>
            </w:r>
          </w:p>
        </w:tc>
      </w:tr>
      <w:tr w:rsidR="00223D4D" w:rsidRPr="00FF3E37" w14:paraId="0F11E400" w14:textId="77777777" w:rsidTr="5287B464">
        <w:tc>
          <w:tcPr>
            <w:cnfStyle w:val="001000000000" w:firstRow="0" w:lastRow="0" w:firstColumn="1" w:lastColumn="0" w:oddVBand="0" w:evenVBand="0" w:oddHBand="0" w:evenHBand="0" w:firstRowFirstColumn="0" w:firstRowLastColumn="0" w:lastRowFirstColumn="0" w:lastRowLastColumn="0"/>
            <w:tcW w:w="841" w:type="dxa"/>
          </w:tcPr>
          <w:p w14:paraId="44C0AD81" w14:textId="0CE2501B"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Frankreich</w:t>
            </w:r>
          </w:p>
        </w:tc>
        <w:tc>
          <w:tcPr>
            <w:tcW w:w="2102" w:type="dxa"/>
          </w:tcPr>
          <w:p w14:paraId="2ECD04EE"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p>
        </w:tc>
        <w:tc>
          <w:tcPr>
            <w:tcW w:w="2127" w:type="dxa"/>
          </w:tcPr>
          <w:p w14:paraId="0A42FADA" w14:textId="374677D1" w:rsidR="00223D4D" w:rsidRPr="00476171" w:rsidRDefault="005A3320" w:rsidP="001B0A7C">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1,5 % bis 3 % p. a. im Zeitraum 2020–2050</w:t>
            </w:r>
          </w:p>
        </w:tc>
        <w:tc>
          <w:tcPr>
            <w:tcW w:w="1984" w:type="dxa"/>
          </w:tcPr>
          <w:p w14:paraId="469E2F3F"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p>
        </w:tc>
        <w:tc>
          <w:tcPr>
            <w:tcW w:w="2126" w:type="dxa"/>
          </w:tcPr>
          <w:p w14:paraId="3D876A9D"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p>
        </w:tc>
      </w:tr>
      <w:tr w:rsidR="00223D4D" w:rsidRPr="00476171" w14:paraId="1E8A2E27" w14:textId="77777777" w:rsidTr="5287B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C649B1C" w14:textId="6127D0C8" w:rsidR="00223D4D" w:rsidRPr="00476171" w:rsidRDefault="000C2F5A"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Kroatien</w:t>
            </w:r>
          </w:p>
        </w:tc>
        <w:tc>
          <w:tcPr>
            <w:tcW w:w="2102" w:type="dxa"/>
          </w:tcPr>
          <w:p w14:paraId="7A9F431B" w14:textId="73205BE0" w:rsidR="00223D4D" w:rsidRPr="00476171" w:rsidRDefault="001B0A7C"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0,7 % p. a.</w:t>
            </w:r>
          </w:p>
          <w:p w14:paraId="4ADE5D04"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5 % Gebäude kumuliert</w:t>
            </w:r>
          </w:p>
          <w:p w14:paraId="4FA3462F"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p>
        </w:tc>
        <w:tc>
          <w:tcPr>
            <w:tcW w:w="2127" w:type="dxa"/>
          </w:tcPr>
          <w:p w14:paraId="45C849D9" w14:textId="69C252AA"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3 % p. a.</w:t>
            </w:r>
          </w:p>
          <w:p w14:paraId="2FC5DC54"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p>
        </w:tc>
        <w:tc>
          <w:tcPr>
            <w:tcW w:w="1984" w:type="dxa"/>
          </w:tcPr>
          <w:p w14:paraId="54A25BD4" w14:textId="0A6EA5BC"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3,5 % p. a. (4 % p. a. Gebäude mit kulturellem Wert)</w:t>
            </w:r>
          </w:p>
          <w:p w14:paraId="73A9C1A2" w14:textId="6FA311CA"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60 % Niedrigstenergie</w:t>
            </w:r>
            <w:r w:rsidR="002A7505">
              <w:rPr>
                <w:rFonts w:ascii="Times New Roman" w:hAnsi="Times New Roman"/>
                <w:noProof/>
                <w:color w:val="000000" w:themeColor="text1"/>
                <w:lang w:val="de-DE"/>
              </w:rPr>
              <w:softHyphen/>
            </w:r>
            <w:r w:rsidRPr="00476171">
              <w:rPr>
                <w:rFonts w:ascii="Times New Roman" w:hAnsi="Times New Roman"/>
                <w:noProof/>
                <w:color w:val="000000" w:themeColor="text1"/>
                <w:lang w:val="de-DE"/>
              </w:rPr>
              <w:t>gebäude kumuliert</w:t>
            </w:r>
          </w:p>
        </w:tc>
        <w:tc>
          <w:tcPr>
            <w:tcW w:w="2126" w:type="dxa"/>
          </w:tcPr>
          <w:p w14:paraId="52765A16" w14:textId="5894F033"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4 % p. a.</w:t>
            </w:r>
          </w:p>
          <w:p w14:paraId="216AF01C" w14:textId="144C1753"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100 % Niedrigstenergie</w:t>
            </w:r>
            <w:r w:rsidR="002A7505">
              <w:rPr>
                <w:rFonts w:ascii="Times New Roman" w:hAnsi="Times New Roman"/>
                <w:noProof/>
                <w:color w:val="000000" w:themeColor="text1"/>
                <w:lang w:val="de-DE"/>
              </w:rPr>
              <w:softHyphen/>
            </w:r>
            <w:r w:rsidRPr="00476171">
              <w:rPr>
                <w:rFonts w:ascii="Times New Roman" w:hAnsi="Times New Roman"/>
                <w:noProof/>
                <w:color w:val="000000" w:themeColor="text1"/>
                <w:lang w:val="de-DE"/>
              </w:rPr>
              <w:t>gebäude kumuliert</w:t>
            </w:r>
          </w:p>
        </w:tc>
      </w:tr>
      <w:tr w:rsidR="00223D4D" w:rsidRPr="00476171" w14:paraId="75ABEC78" w14:textId="77777777" w:rsidTr="5287B464">
        <w:tc>
          <w:tcPr>
            <w:cnfStyle w:val="001000000000" w:firstRow="0" w:lastRow="0" w:firstColumn="1" w:lastColumn="0" w:oddVBand="0" w:evenVBand="0" w:oddHBand="0" w:evenHBand="0" w:firstRowFirstColumn="0" w:firstRowLastColumn="0" w:lastRowFirstColumn="0" w:lastRowLastColumn="0"/>
            <w:tcW w:w="841" w:type="dxa"/>
          </w:tcPr>
          <w:p w14:paraId="361948B0" w14:textId="4F81729B"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Ungarn</w:t>
            </w:r>
          </w:p>
        </w:tc>
        <w:tc>
          <w:tcPr>
            <w:tcW w:w="2102" w:type="dxa"/>
          </w:tcPr>
          <w:p w14:paraId="03065C76"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1 % p. a.</w:t>
            </w:r>
          </w:p>
        </w:tc>
        <w:tc>
          <w:tcPr>
            <w:tcW w:w="2127" w:type="dxa"/>
          </w:tcPr>
          <w:p w14:paraId="2615CA26"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3 % p. a. – Wohngebäude; 5 % p. a. – öffentliche Gebäude</w:t>
            </w:r>
          </w:p>
          <w:p w14:paraId="2CF8DEE3"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20 % Niedrigstenergiegebäude kumuliert</w:t>
            </w:r>
          </w:p>
        </w:tc>
        <w:tc>
          <w:tcPr>
            <w:tcW w:w="1984" w:type="dxa"/>
          </w:tcPr>
          <w:p w14:paraId="628B7517"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3 % p. a. – Wohngebäude; 5 % p. a. – öffentliche Gebäude</w:t>
            </w:r>
          </w:p>
          <w:p w14:paraId="1B17F043" w14:textId="514654E4"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60 % Niedrigstenergie</w:t>
            </w:r>
            <w:r w:rsidR="002A7505">
              <w:rPr>
                <w:rFonts w:ascii="Times New Roman" w:hAnsi="Times New Roman"/>
                <w:noProof/>
                <w:color w:val="000000" w:themeColor="text1"/>
                <w:lang w:val="de-DE"/>
              </w:rPr>
              <w:softHyphen/>
            </w:r>
            <w:r w:rsidRPr="00476171">
              <w:rPr>
                <w:rFonts w:ascii="Times New Roman" w:hAnsi="Times New Roman"/>
                <w:noProof/>
                <w:color w:val="000000" w:themeColor="text1"/>
                <w:lang w:val="de-DE"/>
              </w:rPr>
              <w:t>gebäude kumuliert</w:t>
            </w:r>
          </w:p>
        </w:tc>
        <w:tc>
          <w:tcPr>
            <w:tcW w:w="2126" w:type="dxa"/>
          </w:tcPr>
          <w:p w14:paraId="00690C51"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3 % p. a. – Wohngebäude; 5 % p. a. – öffentliche Gebäude</w:t>
            </w:r>
          </w:p>
          <w:p w14:paraId="590A27F6" w14:textId="01919870"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90 % Niedrigstenergie</w:t>
            </w:r>
            <w:r w:rsidR="002A7505">
              <w:rPr>
                <w:rFonts w:ascii="Times New Roman" w:hAnsi="Times New Roman"/>
                <w:noProof/>
                <w:color w:val="000000" w:themeColor="text1"/>
                <w:lang w:val="de-DE"/>
              </w:rPr>
              <w:softHyphen/>
            </w:r>
            <w:r w:rsidRPr="00476171">
              <w:rPr>
                <w:rFonts w:ascii="Times New Roman" w:hAnsi="Times New Roman"/>
                <w:noProof/>
                <w:color w:val="000000" w:themeColor="text1"/>
                <w:lang w:val="de-DE"/>
              </w:rPr>
              <w:t>gebäude kumuliert</w:t>
            </w:r>
          </w:p>
        </w:tc>
      </w:tr>
      <w:tr w:rsidR="00223D4D" w:rsidRPr="00476171" w14:paraId="6B7A1501" w14:textId="77777777" w:rsidTr="5287B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9BB998" w14:textId="34167801"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Irland</w:t>
            </w:r>
          </w:p>
        </w:tc>
        <w:tc>
          <w:tcPr>
            <w:tcW w:w="2102" w:type="dxa"/>
          </w:tcPr>
          <w:p w14:paraId="742BDBC0"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p>
        </w:tc>
        <w:tc>
          <w:tcPr>
            <w:tcW w:w="2127" w:type="dxa"/>
          </w:tcPr>
          <w:p w14:paraId="519A454B" w14:textId="64CFAEAA"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500 000 Wohnungen kumuliert</w:t>
            </w:r>
          </w:p>
          <w:p w14:paraId="2661217E"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100 % öffentliche Gebäude</w:t>
            </w:r>
          </w:p>
          <w:p w14:paraId="774EB10B"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33 % gewerbliche Gebäude</w:t>
            </w:r>
          </w:p>
        </w:tc>
        <w:tc>
          <w:tcPr>
            <w:tcW w:w="1984" w:type="dxa"/>
          </w:tcPr>
          <w:p w14:paraId="20EADDC5" w14:textId="77DB823D"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1 000 000 Wohnungen kumuliert</w:t>
            </w:r>
          </w:p>
          <w:p w14:paraId="6D4AA242"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66 % gewerbliche Gebäude</w:t>
            </w:r>
          </w:p>
        </w:tc>
        <w:tc>
          <w:tcPr>
            <w:tcW w:w="2126" w:type="dxa"/>
          </w:tcPr>
          <w:p w14:paraId="633FBA0E" w14:textId="624CD8EA"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1 500 000 Wohnungen kumuliert</w:t>
            </w:r>
          </w:p>
          <w:p w14:paraId="1ED1A380"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100 % gewerbliche Gebäude</w:t>
            </w:r>
          </w:p>
        </w:tc>
      </w:tr>
      <w:tr w:rsidR="00223D4D" w:rsidRPr="00FF3E37" w14:paraId="1C4487B7" w14:textId="77777777" w:rsidTr="5287B464">
        <w:tc>
          <w:tcPr>
            <w:cnfStyle w:val="001000000000" w:firstRow="0" w:lastRow="0" w:firstColumn="1" w:lastColumn="0" w:oddVBand="0" w:evenVBand="0" w:oddHBand="0" w:evenHBand="0" w:firstRowFirstColumn="0" w:firstRowLastColumn="0" w:lastRowFirstColumn="0" w:lastRowLastColumn="0"/>
            <w:tcW w:w="841" w:type="dxa"/>
          </w:tcPr>
          <w:p w14:paraId="4584A759" w14:textId="5D069414"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Italien</w:t>
            </w:r>
          </w:p>
        </w:tc>
        <w:tc>
          <w:tcPr>
            <w:tcW w:w="2102" w:type="dxa"/>
          </w:tcPr>
          <w:p w14:paraId="0D14CF09" w14:textId="096AB44D" w:rsidR="00223D4D" w:rsidRPr="00476171" w:rsidRDefault="001B0A7C"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0,86 % p. a.</w:t>
            </w:r>
          </w:p>
        </w:tc>
        <w:tc>
          <w:tcPr>
            <w:tcW w:w="2127" w:type="dxa"/>
          </w:tcPr>
          <w:p w14:paraId="72574D9B" w14:textId="34F75C8D" w:rsidR="00223D4D" w:rsidRPr="00476171" w:rsidRDefault="001B0A7C" w:rsidP="005A3320">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1,9 % p. a. – Wohngebäude; 2,8 % p. a. – Nichtwohngebäude</w:t>
            </w:r>
          </w:p>
        </w:tc>
        <w:tc>
          <w:tcPr>
            <w:tcW w:w="1984" w:type="dxa"/>
          </w:tcPr>
          <w:p w14:paraId="1A491C23" w14:textId="794FD1E2" w:rsidR="00223D4D" w:rsidRPr="00476171" w:rsidRDefault="001B0A7C"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2,7 % p. a. – Wohngebäude; 2,6 % p. a. – Nichtwohngebäude</w:t>
            </w:r>
          </w:p>
        </w:tc>
        <w:tc>
          <w:tcPr>
            <w:tcW w:w="2126" w:type="dxa"/>
          </w:tcPr>
          <w:p w14:paraId="01C922B1" w14:textId="28D64EAC" w:rsidR="00223D4D" w:rsidRPr="00476171" w:rsidRDefault="001B0A7C" w:rsidP="005A3320">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2,7 % p. a. – Wohngebäude; 2,6 % p. a. – Nichtwohngebäude</w:t>
            </w:r>
          </w:p>
        </w:tc>
      </w:tr>
      <w:tr w:rsidR="00223D4D" w:rsidRPr="00476171" w14:paraId="685C67DF" w14:textId="77777777" w:rsidTr="5287B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0C173FCB" w14:textId="606BBBAC"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Litauen</w:t>
            </w:r>
          </w:p>
        </w:tc>
        <w:tc>
          <w:tcPr>
            <w:tcW w:w="2102" w:type="dxa"/>
          </w:tcPr>
          <w:p w14:paraId="72F6FDB9" w14:textId="392A75A8"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8 % Gebäude kumuliert</w:t>
            </w:r>
          </w:p>
        </w:tc>
        <w:tc>
          <w:tcPr>
            <w:tcW w:w="2127" w:type="dxa"/>
          </w:tcPr>
          <w:p w14:paraId="08709E24" w14:textId="2CF0700B"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17 % kumuliert (99 281 Einheiten)</w:t>
            </w:r>
          </w:p>
        </w:tc>
        <w:tc>
          <w:tcPr>
            <w:tcW w:w="1984" w:type="dxa"/>
          </w:tcPr>
          <w:p w14:paraId="636F8F56" w14:textId="1F0730D0"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43 % kumuliert (225 421 Einheiten)</w:t>
            </w:r>
          </w:p>
        </w:tc>
        <w:tc>
          <w:tcPr>
            <w:tcW w:w="2126" w:type="dxa"/>
          </w:tcPr>
          <w:p w14:paraId="49DAC24A" w14:textId="71E854BB"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74 % kumuliert (436 008 Einheiten)</w:t>
            </w:r>
          </w:p>
        </w:tc>
      </w:tr>
      <w:tr w:rsidR="00223D4D" w:rsidRPr="00FF3E37" w14:paraId="01AEEEF2" w14:textId="77777777" w:rsidTr="5287B464">
        <w:tc>
          <w:tcPr>
            <w:cnfStyle w:val="001000000000" w:firstRow="0" w:lastRow="0" w:firstColumn="1" w:lastColumn="0" w:oddVBand="0" w:evenVBand="0" w:oddHBand="0" w:evenHBand="0" w:firstRowFirstColumn="0" w:firstRowLastColumn="0" w:lastRowFirstColumn="0" w:lastRowLastColumn="0"/>
            <w:tcW w:w="841" w:type="dxa"/>
          </w:tcPr>
          <w:p w14:paraId="3C09D1CB" w14:textId="200BB1B8" w:rsidR="00223D4D" w:rsidRPr="00476171" w:rsidRDefault="00223D4D" w:rsidP="000C2F5A">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Luxemburg</w:t>
            </w:r>
          </w:p>
        </w:tc>
        <w:tc>
          <w:tcPr>
            <w:tcW w:w="2102" w:type="dxa"/>
          </w:tcPr>
          <w:p w14:paraId="5FC23548"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10–14 % Wohngebäude kumuliert</w:t>
            </w:r>
          </w:p>
        </w:tc>
        <w:tc>
          <w:tcPr>
            <w:tcW w:w="2127" w:type="dxa"/>
          </w:tcPr>
          <w:p w14:paraId="3882F182"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3 % p. a. – Wohngebäude</w:t>
            </w:r>
          </w:p>
          <w:p w14:paraId="1277E6B7" w14:textId="517D38CA"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(4500 Wohnungen/Jahr)</w:t>
            </w:r>
          </w:p>
        </w:tc>
        <w:tc>
          <w:tcPr>
            <w:tcW w:w="1984" w:type="dxa"/>
          </w:tcPr>
          <w:p w14:paraId="1CDAAFD5"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3 % p. a. – Wohngebäude</w:t>
            </w:r>
          </w:p>
          <w:p w14:paraId="0C983E72" w14:textId="4BF87FEA"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(4500 Wohnungen/Jahr)</w:t>
            </w:r>
          </w:p>
        </w:tc>
        <w:tc>
          <w:tcPr>
            <w:tcW w:w="2126" w:type="dxa"/>
          </w:tcPr>
          <w:p w14:paraId="47A05A81"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3 % p. a. – Wohngebäude</w:t>
            </w:r>
          </w:p>
          <w:p w14:paraId="6DBCDE74" w14:textId="79077A79"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(4500 Wohnungen/Jahr)</w:t>
            </w:r>
          </w:p>
        </w:tc>
      </w:tr>
      <w:tr w:rsidR="00223D4D" w:rsidRPr="00476171" w14:paraId="4A5F3295" w14:textId="77777777" w:rsidTr="5287B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F11757C" w14:textId="7BAD9976"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Lettland</w:t>
            </w:r>
          </w:p>
        </w:tc>
        <w:tc>
          <w:tcPr>
            <w:tcW w:w="2102" w:type="dxa"/>
          </w:tcPr>
          <w:p w14:paraId="4BD4D909" w14:textId="25622606"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3 % (678 460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 öffentliche Gebäude kumuliert</w:t>
            </w:r>
          </w:p>
        </w:tc>
        <w:tc>
          <w:tcPr>
            <w:tcW w:w="2127" w:type="dxa"/>
          </w:tcPr>
          <w:p w14:paraId="3F970796" w14:textId="217F6073"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8 100 Einheiten MFH (30 %) und 7 500 Einheiten EFH</w:t>
            </w:r>
          </w:p>
          <w:p w14:paraId="200ACCC0" w14:textId="61777290"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500 000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 xml:space="preserve"> – öffentliche Gebäude</w:t>
            </w:r>
          </w:p>
        </w:tc>
        <w:tc>
          <w:tcPr>
            <w:tcW w:w="1984" w:type="dxa"/>
          </w:tcPr>
          <w:p w14:paraId="595DB19F" w14:textId="3E72E590"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16 200 Einheiten MFH (60 %) kumuliert</w:t>
            </w:r>
          </w:p>
          <w:p w14:paraId="7A7412B9" w14:textId="58DDAAB0"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3 % pro Jahr – öffentliche Gebäude</w:t>
            </w:r>
          </w:p>
        </w:tc>
        <w:tc>
          <w:tcPr>
            <w:tcW w:w="2126" w:type="dxa"/>
          </w:tcPr>
          <w:p w14:paraId="51FF4DF9" w14:textId="62082BE8"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Alle Niedrigstenergie</w:t>
            </w:r>
            <w:r w:rsidR="002A7505">
              <w:rPr>
                <w:rFonts w:ascii="Times New Roman" w:hAnsi="Times New Roman"/>
                <w:noProof/>
                <w:color w:val="000000" w:themeColor="text1"/>
                <w:lang w:val="de-DE"/>
              </w:rPr>
              <w:softHyphen/>
            </w:r>
            <w:r w:rsidRPr="00476171">
              <w:rPr>
                <w:rFonts w:ascii="Times New Roman" w:hAnsi="Times New Roman"/>
                <w:noProof/>
                <w:color w:val="000000" w:themeColor="text1"/>
                <w:lang w:val="de-DE"/>
              </w:rPr>
              <w:t>gebäude</w:t>
            </w:r>
          </w:p>
        </w:tc>
      </w:tr>
      <w:tr w:rsidR="00223D4D" w:rsidRPr="00FF3E37" w14:paraId="722052F3" w14:textId="77777777" w:rsidTr="5287B464">
        <w:tc>
          <w:tcPr>
            <w:cnfStyle w:val="001000000000" w:firstRow="0" w:lastRow="0" w:firstColumn="1" w:lastColumn="0" w:oddVBand="0" w:evenVBand="0" w:oddHBand="0" w:evenHBand="0" w:firstRowFirstColumn="0" w:firstRowLastColumn="0" w:lastRowFirstColumn="0" w:lastRowLastColumn="0"/>
            <w:tcW w:w="841" w:type="dxa"/>
          </w:tcPr>
          <w:p w14:paraId="412451E6" w14:textId="4DE537DB"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Malta</w:t>
            </w:r>
          </w:p>
        </w:tc>
        <w:tc>
          <w:tcPr>
            <w:tcW w:w="2102" w:type="dxa"/>
          </w:tcPr>
          <w:p w14:paraId="2966C13E" w14:textId="32258045" w:rsidR="00223D4D" w:rsidRPr="00476171" w:rsidRDefault="00681F18"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0,5 % p. a. (0,7 % p. a. 2025)</w:t>
            </w:r>
          </w:p>
          <w:p w14:paraId="66103572"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p>
        </w:tc>
        <w:tc>
          <w:tcPr>
            <w:tcW w:w="2127" w:type="dxa"/>
          </w:tcPr>
          <w:p w14:paraId="16DF5306" w14:textId="725D2CEC" w:rsidR="00223D4D" w:rsidRPr="00476171" w:rsidRDefault="001B0A7C"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5–6 % p. a. – Wohngebäude (0,6 % umfassende Renovierung) ab 2025</w:t>
            </w:r>
          </w:p>
        </w:tc>
        <w:tc>
          <w:tcPr>
            <w:tcW w:w="1984" w:type="dxa"/>
          </w:tcPr>
          <w:p w14:paraId="1080C348" w14:textId="39A5BAFA" w:rsidR="00223D4D" w:rsidRPr="00476171" w:rsidRDefault="005A3320" w:rsidP="001B0A7C">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5–6 % p. a. – Wohngebäude (0,6 % umfassende Renovierung)</w:t>
            </w:r>
          </w:p>
        </w:tc>
        <w:tc>
          <w:tcPr>
            <w:tcW w:w="2126" w:type="dxa"/>
          </w:tcPr>
          <w:p w14:paraId="36D05A2D" w14:textId="37FD4922" w:rsidR="00223D4D" w:rsidRPr="00476171" w:rsidRDefault="005A3320"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5–6 % p. a. – Wohngebäude (0,6 % umfassende Renovierung)</w:t>
            </w:r>
          </w:p>
        </w:tc>
      </w:tr>
      <w:tr w:rsidR="00223D4D" w:rsidRPr="00476171" w14:paraId="7BDAC427" w14:textId="77777777" w:rsidTr="5287B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D1B35FA" w14:textId="6D9CAD4A"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Niederlande</w:t>
            </w:r>
          </w:p>
        </w:tc>
        <w:tc>
          <w:tcPr>
            <w:tcW w:w="2102" w:type="dxa"/>
          </w:tcPr>
          <w:p w14:paraId="77F2A1D7"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p>
        </w:tc>
        <w:tc>
          <w:tcPr>
            <w:tcW w:w="2127" w:type="dxa"/>
          </w:tcPr>
          <w:p w14:paraId="3237B622" w14:textId="756D7D5C"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1 500 000 Wohnungen</w:t>
            </w:r>
          </w:p>
        </w:tc>
        <w:tc>
          <w:tcPr>
            <w:tcW w:w="1984" w:type="dxa"/>
          </w:tcPr>
          <w:p w14:paraId="1E53081A"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p>
        </w:tc>
        <w:tc>
          <w:tcPr>
            <w:tcW w:w="2126" w:type="dxa"/>
          </w:tcPr>
          <w:p w14:paraId="726A8770"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p>
        </w:tc>
      </w:tr>
      <w:tr w:rsidR="00223D4D" w:rsidRPr="00476171" w14:paraId="58B201E3" w14:textId="77777777" w:rsidTr="5287B464">
        <w:tc>
          <w:tcPr>
            <w:cnfStyle w:val="001000000000" w:firstRow="0" w:lastRow="0" w:firstColumn="1" w:lastColumn="0" w:oddVBand="0" w:evenVBand="0" w:oddHBand="0" w:evenHBand="0" w:firstRowFirstColumn="0" w:firstRowLastColumn="0" w:lastRowFirstColumn="0" w:lastRowLastColumn="0"/>
            <w:tcW w:w="841" w:type="dxa"/>
          </w:tcPr>
          <w:p w14:paraId="12A3FEBD" w14:textId="2EB0DCD4"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Polen</w:t>
            </w:r>
          </w:p>
        </w:tc>
        <w:tc>
          <w:tcPr>
            <w:tcW w:w="2102" w:type="dxa"/>
          </w:tcPr>
          <w:p w14:paraId="387041CC"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p>
        </w:tc>
        <w:tc>
          <w:tcPr>
            <w:tcW w:w="2127" w:type="dxa"/>
          </w:tcPr>
          <w:p w14:paraId="4598FE3C" w14:textId="74CB0E8E" w:rsidR="00223D4D" w:rsidRPr="00476171" w:rsidRDefault="001B0A7C" w:rsidP="0029217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000000" w:themeColor="text1"/>
                <w:lang w:val="de-DE"/>
              </w:rPr>
            </w:pPr>
            <w:r w:rsidRPr="00476171">
              <w:rPr>
                <w:rFonts w:ascii="Times New Roman" w:hAnsi="Times New Roman"/>
                <w:noProof/>
                <w:color w:val="000000" w:themeColor="text1"/>
                <w:lang w:val="de-DE"/>
              </w:rPr>
              <w:t>3,6 % p. a.</w:t>
            </w:r>
          </w:p>
          <w:p w14:paraId="195E1672" w14:textId="046F2FB5" w:rsidR="00223D4D" w:rsidRPr="00476171" w:rsidRDefault="00223D4D" w:rsidP="0029217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000000" w:themeColor="text1"/>
                <w:lang w:val="de-DE"/>
              </w:rPr>
            </w:pPr>
            <w:r w:rsidRPr="00476171">
              <w:rPr>
                <w:rFonts w:ascii="Times New Roman" w:hAnsi="Times New Roman"/>
                <w:noProof/>
                <w:color w:val="000000" w:themeColor="text1"/>
                <w:lang w:val="de-DE"/>
              </w:rPr>
              <w:t>236 000 Gebäude kumuliert</w:t>
            </w:r>
          </w:p>
        </w:tc>
        <w:tc>
          <w:tcPr>
            <w:tcW w:w="1984" w:type="dxa"/>
          </w:tcPr>
          <w:p w14:paraId="498FD44D" w14:textId="40E06F40" w:rsidR="00223D4D" w:rsidRPr="00476171" w:rsidRDefault="005A3320"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4,1 % p. a.</w:t>
            </w:r>
          </w:p>
          <w:p w14:paraId="2DD0735A" w14:textId="3885DAD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507 000 Gebäude kumuliert</w:t>
            </w:r>
          </w:p>
        </w:tc>
        <w:tc>
          <w:tcPr>
            <w:tcW w:w="2126" w:type="dxa"/>
          </w:tcPr>
          <w:p w14:paraId="30E61452" w14:textId="78CDB01E" w:rsidR="00223D4D" w:rsidRPr="00476171" w:rsidRDefault="005A3320" w:rsidP="0029217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000000" w:themeColor="text1"/>
                <w:lang w:val="de-DE"/>
              </w:rPr>
            </w:pPr>
            <w:r w:rsidRPr="00476171">
              <w:rPr>
                <w:rFonts w:ascii="Times New Roman" w:hAnsi="Times New Roman"/>
                <w:noProof/>
                <w:color w:val="000000" w:themeColor="text1"/>
                <w:lang w:val="de-DE"/>
              </w:rPr>
              <w:t>3,7 % p. a.</w:t>
            </w:r>
          </w:p>
          <w:p w14:paraId="05A6525A" w14:textId="02294AC4" w:rsidR="00223D4D" w:rsidRPr="00476171" w:rsidRDefault="00223D4D" w:rsidP="0029217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000000" w:themeColor="text1"/>
                <w:lang w:val="de-DE"/>
              </w:rPr>
            </w:pPr>
            <w:r w:rsidRPr="00476171">
              <w:rPr>
                <w:rFonts w:ascii="Times New Roman" w:hAnsi="Times New Roman"/>
                <w:noProof/>
                <w:color w:val="000000" w:themeColor="text1"/>
                <w:lang w:val="de-DE"/>
              </w:rPr>
              <w:t>751 000 Gebäude kumuliert</w:t>
            </w:r>
          </w:p>
        </w:tc>
      </w:tr>
      <w:tr w:rsidR="00223D4D" w:rsidRPr="00476171" w14:paraId="7EAD8673" w14:textId="77777777" w:rsidTr="5287B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FFF4E56" w14:textId="52148F0D"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Portugal</w:t>
            </w:r>
          </w:p>
        </w:tc>
        <w:tc>
          <w:tcPr>
            <w:tcW w:w="2102" w:type="dxa"/>
          </w:tcPr>
          <w:p w14:paraId="406D1029"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p>
        </w:tc>
        <w:tc>
          <w:tcPr>
            <w:tcW w:w="2127" w:type="dxa"/>
          </w:tcPr>
          <w:p w14:paraId="3311C358" w14:textId="22A738C6"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69 % Gebäude kumuliert (363 680 501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w:t>
            </w:r>
          </w:p>
        </w:tc>
        <w:tc>
          <w:tcPr>
            <w:tcW w:w="1984" w:type="dxa"/>
          </w:tcPr>
          <w:p w14:paraId="4B7FE7A0" w14:textId="000D0A66"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99 % Gebäude kumuliert (635 637 685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w:t>
            </w:r>
          </w:p>
        </w:tc>
        <w:tc>
          <w:tcPr>
            <w:tcW w:w="2126" w:type="dxa"/>
          </w:tcPr>
          <w:p w14:paraId="04E5CB1B" w14:textId="7B0D5992"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100 % Gebäude kumuliert (747 953 071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w:t>
            </w:r>
          </w:p>
        </w:tc>
      </w:tr>
      <w:tr w:rsidR="00223D4D" w:rsidRPr="00476171" w14:paraId="6A66AD8D" w14:textId="77777777" w:rsidTr="5287B464">
        <w:tc>
          <w:tcPr>
            <w:cnfStyle w:val="001000000000" w:firstRow="0" w:lastRow="0" w:firstColumn="1" w:lastColumn="0" w:oddVBand="0" w:evenVBand="0" w:oddHBand="0" w:evenHBand="0" w:firstRowFirstColumn="0" w:firstRowLastColumn="0" w:lastRowFirstColumn="0" w:lastRowLastColumn="0"/>
            <w:tcW w:w="841" w:type="dxa"/>
          </w:tcPr>
          <w:p w14:paraId="620BDA18" w14:textId="79C0BDFC"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Rumänien</w:t>
            </w:r>
          </w:p>
        </w:tc>
        <w:tc>
          <w:tcPr>
            <w:tcW w:w="2102" w:type="dxa"/>
          </w:tcPr>
          <w:p w14:paraId="7BBAAF58" w14:textId="7D733156"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0,5 % p. a.</w:t>
            </w:r>
          </w:p>
          <w:p w14:paraId="43E5C100" w14:textId="65275AD2"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6 % Grundfläche kumuliert (32 352 000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w:t>
            </w:r>
          </w:p>
        </w:tc>
        <w:tc>
          <w:tcPr>
            <w:tcW w:w="2127" w:type="dxa"/>
          </w:tcPr>
          <w:p w14:paraId="6029E48E" w14:textId="38F1890E" w:rsidR="00223D4D" w:rsidRPr="00476171" w:rsidRDefault="001B0A7C"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von 0,5 % bis 3,39 % p. a. 2030</w:t>
            </w:r>
          </w:p>
          <w:p w14:paraId="42320755"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19 % Grundfläche kumuliert</w:t>
            </w:r>
          </w:p>
        </w:tc>
        <w:tc>
          <w:tcPr>
            <w:tcW w:w="1984" w:type="dxa"/>
          </w:tcPr>
          <w:p w14:paraId="1450295D" w14:textId="33EBCCC9" w:rsidR="00223D4D" w:rsidRPr="00476171" w:rsidRDefault="001B0A7C"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3,79 % p. a.</w:t>
            </w:r>
          </w:p>
          <w:p w14:paraId="624F9453"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57 % Grundfläche kumuliert</w:t>
            </w:r>
          </w:p>
        </w:tc>
        <w:tc>
          <w:tcPr>
            <w:tcW w:w="2126" w:type="dxa"/>
          </w:tcPr>
          <w:p w14:paraId="21FA0F31" w14:textId="275C8B6F"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4,33 % p. a.</w:t>
            </w:r>
          </w:p>
          <w:p w14:paraId="112598E1" w14:textId="77777777"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100 % Grundfläche kumuliert</w:t>
            </w:r>
          </w:p>
        </w:tc>
      </w:tr>
      <w:tr w:rsidR="00223D4D" w:rsidRPr="00476171" w14:paraId="092F5222" w14:textId="77777777" w:rsidTr="5287B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001CF4CF" w14:textId="72456BB3"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Schweden</w:t>
            </w:r>
          </w:p>
        </w:tc>
        <w:tc>
          <w:tcPr>
            <w:tcW w:w="2102" w:type="dxa"/>
          </w:tcPr>
          <w:p w14:paraId="71E862F7" w14:textId="05475CE6" w:rsidR="00223D4D" w:rsidRPr="00476171" w:rsidRDefault="001B0A7C"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2,5 % – 5 % p. a. 2016–2019</w:t>
            </w:r>
          </w:p>
          <w:p w14:paraId="7B299FA8"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10 % p. a. nach 2019</w:t>
            </w:r>
          </w:p>
        </w:tc>
        <w:tc>
          <w:tcPr>
            <w:tcW w:w="2127" w:type="dxa"/>
          </w:tcPr>
          <w:p w14:paraId="06DED6E9"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p>
        </w:tc>
        <w:tc>
          <w:tcPr>
            <w:tcW w:w="1984" w:type="dxa"/>
          </w:tcPr>
          <w:p w14:paraId="2DE76B42"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p>
        </w:tc>
        <w:tc>
          <w:tcPr>
            <w:tcW w:w="2126" w:type="dxa"/>
          </w:tcPr>
          <w:p w14:paraId="220A88D0"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p>
        </w:tc>
      </w:tr>
      <w:tr w:rsidR="00223D4D" w:rsidRPr="00476171" w14:paraId="5F4BFEB2" w14:textId="77777777" w:rsidTr="5287B464">
        <w:tc>
          <w:tcPr>
            <w:cnfStyle w:val="001000000000" w:firstRow="0" w:lastRow="0" w:firstColumn="1" w:lastColumn="0" w:oddVBand="0" w:evenVBand="0" w:oddHBand="0" w:evenHBand="0" w:firstRowFirstColumn="0" w:firstRowLastColumn="0" w:lastRowFirstColumn="0" w:lastRowLastColumn="0"/>
            <w:tcW w:w="841" w:type="dxa"/>
          </w:tcPr>
          <w:p w14:paraId="776E8929" w14:textId="6C41954E"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Slowenien</w:t>
            </w:r>
          </w:p>
        </w:tc>
        <w:tc>
          <w:tcPr>
            <w:tcW w:w="2102" w:type="dxa"/>
          </w:tcPr>
          <w:p w14:paraId="6690ED8B" w14:textId="7449071C"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1 795 000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 xml:space="preserve"> öffentliche Gebäude kumuliert</w:t>
            </w:r>
          </w:p>
        </w:tc>
        <w:tc>
          <w:tcPr>
            <w:tcW w:w="2127" w:type="dxa"/>
          </w:tcPr>
          <w:p w14:paraId="60F5CCE1" w14:textId="15B33CC1"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29 733 000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 xml:space="preserve"> kumuliert</w:t>
            </w:r>
          </w:p>
        </w:tc>
        <w:tc>
          <w:tcPr>
            <w:tcW w:w="1984" w:type="dxa"/>
          </w:tcPr>
          <w:p w14:paraId="50C1B658" w14:textId="7D5421F8"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28 850 600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 xml:space="preserve"> EFH kumuliert</w:t>
            </w:r>
          </w:p>
          <w:p w14:paraId="327D294F" w14:textId="261AB8E3"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12 778 700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 xml:space="preserve"> MFH kumuliert</w:t>
            </w:r>
          </w:p>
        </w:tc>
        <w:tc>
          <w:tcPr>
            <w:tcW w:w="2126" w:type="dxa"/>
          </w:tcPr>
          <w:p w14:paraId="06A67F4A" w14:textId="7C5C4D23"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32 549 000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 xml:space="preserve"> EFH (74 %)</w:t>
            </w:r>
          </w:p>
          <w:p w14:paraId="3C6DE737" w14:textId="2AA54950" w:rsidR="00223D4D" w:rsidRPr="00476171" w:rsidRDefault="00223D4D" w:rsidP="0029217D">
            <w:pPr>
              <w:pStyle w:val="JRCTex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13 924 700 m</w:t>
            </w:r>
            <w:r w:rsidRPr="00476171">
              <w:rPr>
                <w:rFonts w:ascii="Times New Roman" w:hAnsi="Times New Roman"/>
                <w:noProof/>
                <w:color w:val="000000" w:themeColor="text1"/>
                <w:vertAlign w:val="superscript"/>
                <w:lang w:val="de-DE"/>
              </w:rPr>
              <w:t>2</w:t>
            </w:r>
            <w:r w:rsidRPr="00476171">
              <w:rPr>
                <w:rFonts w:ascii="Times New Roman" w:hAnsi="Times New Roman"/>
                <w:noProof/>
                <w:color w:val="000000" w:themeColor="text1"/>
                <w:lang w:val="de-DE"/>
              </w:rPr>
              <w:t xml:space="preserve"> MFH (91 %)</w:t>
            </w:r>
          </w:p>
        </w:tc>
      </w:tr>
      <w:tr w:rsidR="00223D4D" w:rsidRPr="00476171" w14:paraId="0243EF89" w14:textId="77777777" w:rsidTr="5287B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0176EB14" w14:textId="2B09C51A" w:rsidR="00223D4D" w:rsidRPr="00476171" w:rsidRDefault="00223D4D" w:rsidP="00556739">
            <w:pPr>
              <w:pStyle w:val="JRCText"/>
              <w:spacing w:line="276" w:lineRule="auto"/>
              <w:jc w:val="center"/>
              <w:rPr>
                <w:rFonts w:ascii="Times New Roman" w:hAnsi="Times New Roman"/>
                <w:noProof/>
                <w:color w:val="000000" w:themeColor="text1"/>
                <w:lang w:val="de-DE"/>
              </w:rPr>
            </w:pPr>
            <w:r w:rsidRPr="00476171">
              <w:rPr>
                <w:rFonts w:ascii="Times New Roman" w:hAnsi="Times New Roman"/>
                <w:noProof/>
                <w:color w:val="000000" w:themeColor="text1"/>
                <w:lang w:val="de-DE"/>
              </w:rPr>
              <w:t>Slowakei</w:t>
            </w:r>
          </w:p>
        </w:tc>
        <w:tc>
          <w:tcPr>
            <w:tcW w:w="2102" w:type="dxa"/>
          </w:tcPr>
          <w:p w14:paraId="4A250DC5"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p>
        </w:tc>
        <w:tc>
          <w:tcPr>
            <w:tcW w:w="2127" w:type="dxa"/>
          </w:tcPr>
          <w:p w14:paraId="0A8E1E8E"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100 % MFH kumuliert</w:t>
            </w:r>
          </w:p>
        </w:tc>
        <w:tc>
          <w:tcPr>
            <w:tcW w:w="1984" w:type="dxa"/>
          </w:tcPr>
          <w:p w14:paraId="0936E051" w14:textId="77777777" w:rsidR="00223D4D" w:rsidRPr="00476171" w:rsidRDefault="00223D4D" w:rsidP="0029217D">
            <w:pPr>
              <w:pStyle w:val="JRC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de-DE"/>
              </w:rPr>
            </w:pPr>
            <w:r w:rsidRPr="00476171">
              <w:rPr>
                <w:rFonts w:ascii="Times New Roman" w:hAnsi="Times New Roman"/>
                <w:noProof/>
                <w:color w:val="000000" w:themeColor="text1"/>
                <w:lang w:val="de-DE"/>
              </w:rPr>
              <w:t>100 % EFH kumuliert</w:t>
            </w:r>
          </w:p>
        </w:tc>
        <w:tc>
          <w:tcPr>
            <w:tcW w:w="2126" w:type="dxa"/>
          </w:tcPr>
          <w:p w14:paraId="194835C8" w14:textId="77777777" w:rsidR="00223D4D" w:rsidRPr="00476171" w:rsidRDefault="00223D4D" w:rsidP="0029217D">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000000" w:themeColor="text1"/>
                <w:lang w:val="de-DE"/>
              </w:rPr>
            </w:pPr>
          </w:p>
        </w:tc>
      </w:tr>
    </w:tbl>
    <w:p w14:paraId="48B7265F" w14:textId="7CC0F7D7" w:rsidR="00992061" w:rsidRPr="00476171" w:rsidRDefault="00793A08" w:rsidP="00992061">
      <w:pPr>
        <w:shd w:val="clear" w:color="auto" w:fill="FFFFFF" w:themeFill="background1"/>
        <w:spacing w:line="276" w:lineRule="auto"/>
        <w:jc w:val="center"/>
        <w:rPr>
          <w:rFonts w:ascii="Times New Roman" w:eastAsia="Times New Roman" w:hAnsi="Times New Roman" w:cs="Times New Roman"/>
          <w:noProof/>
          <w:sz w:val="16"/>
          <w:lang w:val="de-DE"/>
        </w:rPr>
      </w:pPr>
      <w:r w:rsidRPr="00476171">
        <w:rPr>
          <w:rFonts w:ascii="Times New Roman" w:hAnsi="Times New Roman"/>
          <w:noProof/>
          <w:sz w:val="16"/>
          <w:lang w:val="de-DE"/>
        </w:rPr>
        <w:t>Quelle: JRC 2022 auf der Grundlage von Informationen der Mitgliedstaaten.</w:t>
      </w:r>
    </w:p>
    <w:p w14:paraId="591FF4F6" w14:textId="60865102" w:rsidR="00964CD5" w:rsidRPr="00476171" w:rsidRDefault="00223D4D" w:rsidP="0029217D">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Wie aus Tabelle 7 hervorgeht, sind die Indikatoren für Renovierungsziele nicht EU-weit standardisiert. 14 Mitgliedstaaten legten absolute Werte für die Zahl der geplanten Renovierungen von Gebäuden/Wohnungen oder für die renovierte Grundfläche (in Quadratmetern) vor. Dagegen haben 13 Mitgliedstaaten die Renovierungsziele in Form einer jährlichen Renovierungsquote ausgedrückt. Drei Mitgliedstaaten gaben nur den kumulierten Anteil renovierter Gebäude an. 19 Mitgliedstaaten machten sowohl zum Wohngebäudesektor als auch zum Nichtwohngebäudesektor Angaben, doch einige Mitgliedstaaten konzentrierten sich nur auf den Wohngebäudesektor oder auf bestimmte Segmente innerhalb des Nichtwohngebäudesektors (z. B. gewerbliche Gebäude oder öffentliche Gebäude).</w:t>
      </w:r>
    </w:p>
    <w:p w14:paraId="2AEC78ED" w14:textId="5FB7580A" w:rsidR="00817828" w:rsidRPr="00476171" w:rsidRDefault="0078458A" w:rsidP="0078458A">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 xml:space="preserve">Die für die nächsten Jahrzehnte geplante jährliche Renovierungsquote bewegt sich auf niedrigem Niveau und reicht von 1 % bis 6 %. Einige Mitgliedstaaten (Estland, Kroatien, Lettland, Portugal, Rumänien und Finnland) streben an, bis 2050 ihren gesamten Gebäudebestand zu renovieren, während andere Mitgliedstaaten (Bulgarien, Griechenland, Zypern und Österreich) planen, bis 2050 weniger als die Hälfte ihres Gebäudebestands zu renovieren. Dabei ist auch zu beachten, dass die Auswirkungen energetischer Renovierungen in hohem Maße vom Renovierungsumfang abhängen, der häufig nicht vergleichbar ist oder in den nationalen Strategien nicht spezifiziert wird. Dennoch reichen die verfügbaren Informationen aus, um festzustellen, dass die meisten Mitgliedstaaten ihre jährliche Renovierungsquote des Gebäudebestands um durchschnittlich 1,5 % bis 3 % erhöhen wollen. </w:t>
      </w:r>
    </w:p>
    <w:p w14:paraId="446406EF" w14:textId="5B4C1663" w:rsidR="0078458A" w:rsidRPr="00476171" w:rsidRDefault="00817828" w:rsidP="0078458A">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Die Analyse der Kommission zeigt, dass nicht jede langfristige Renovierungsstrategie ehrgeizig genug ist, um die für 2050 gesetzten Dekarbonisierungsziele zu verwirklichen, und dass mehr Anstrengungen, Ressourcen und nachhaltige Lösungen erforderlich sein werden, um sich auf den Klimawandel vorzubereiten und im Einklang mit dem europäischen Grünen Deal zur Klimaneutralität beizutragen.</w:t>
      </w:r>
      <w:r w:rsidRPr="00476171">
        <w:rPr>
          <w:noProof/>
          <w:vertAlign w:val="superscript"/>
          <w:lang w:val="de-DE"/>
        </w:rPr>
        <w:footnoteReference w:id="43"/>
      </w:r>
    </w:p>
    <w:p w14:paraId="3A050AE4" w14:textId="77777777" w:rsidR="00223D4D" w:rsidRPr="00476171" w:rsidRDefault="00223D4D" w:rsidP="0029217D">
      <w:pPr>
        <w:spacing w:after="0" w:line="276" w:lineRule="auto"/>
        <w:rPr>
          <w:rFonts w:ascii="Times New Roman" w:eastAsia="Times New Roman" w:hAnsi="Times New Roman" w:cs="Times New Roman"/>
          <w:noProof/>
          <w:sz w:val="24"/>
          <w:lang w:val="de-DE"/>
        </w:rPr>
      </w:pPr>
    </w:p>
    <w:p w14:paraId="6E7FA6AA" w14:textId="1584E3EE" w:rsidR="00223D4D" w:rsidRPr="00476171" w:rsidRDefault="00223D4D" w:rsidP="00173BB6">
      <w:pPr>
        <w:pStyle w:val="ListParagraph"/>
        <w:numPr>
          <w:ilvl w:val="0"/>
          <w:numId w:val="8"/>
        </w:numPr>
        <w:spacing w:line="276" w:lineRule="auto"/>
        <w:jc w:val="both"/>
        <w:rPr>
          <w:rFonts w:ascii="Times New Roman" w:eastAsia="Times New Roman" w:hAnsi="Times New Roman" w:cs="Times New Roman"/>
          <w:noProof/>
          <w:sz w:val="24"/>
          <w:lang w:val="de-DE"/>
        </w:rPr>
      </w:pPr>
      <w:r w:rsidRPr="00476171">
        <w:rPr>
          <w:rFonts w:ascii="Times New Roman" w:hAnsi="Times New Roman"/>
          <w:noProof/>
          <w:sz w:val="24"/>
          <w:lang w:val="de-DE"/>
        </w:rPr>
        <w:t>Niedrigstenergiegebäude</w:t>
      </w:r>
      <w:r w:rsidRPr="00476171">
        <w:rPr>
          <w:rStyle w:val="FootnoteReference"/>
          <w:noProof/>
          <w:lang w:val="de-DE"/>
        </w:rPr>
        <w:footnoteReference w:id="44"/>
      </w:r>
    </w:p>
    <w:p w14:paraId="3229BFCB" w14:textId="1490F511" w:rsidR="00914388" w:rsidRPr="00476171" w:rsidRDefault="00E969D4" w:rsidP="00914388">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Gemäß Artikel 9 der EPBD wurden Niedrigstenergiegebäude in den Mitgliedstaaten zum 31. Dezember 2020 der Standard für neue Gebäude (und nach dem 31. Dezember 2018 für alle neuen öffentlichen Gebäude)</w:t>
      </w:r>
      <w:r w:rsidRPr="00476171">
        <w:rPr>
          <w:rStyle w:val="FootnoteReference"/>
          <w:noProof/>
          <w:lang w:val="de-DE"/>
        </w:rPr>
        <w:footnoteReference w:id="45"/>
      </w:r>
      <w:r w:rsidRPr="00476171">
        <w:rPr>
          <w:rStyle w:val="FootnoteReference"/>
          <w:noProof/>
          <w:vertAlign w:val="baseline"/>
          <w:lang w:val="de-DE"/>
        </w:rPr>
        <w:t>.</w:t>
      </w:r>
      <w:r w:rsidRPr="00476171">
        <w:rPr>
          <w:noProof/>
          <w:lang w:val="de-DE"/>
        </w:rPr>
        <w:t>.</w:t>
      </w:r>
      <w:r w:rsidRPr="00476171">
        <w:rPr>
          <w:rFonts w:ascii="Times New Roman" w:hAnsi="Times New Roman"/>
          <w:noProof/>
          <w:sz w:val="24"/>
          <w:lang w:val="de-DE"/>
        </w:rPr>
        <w:t xml:space="preserve"> Die Anforderungen an die Gesamtenergieeffizienz von Niedrigstenergiegebäuden sind in den letzten zehn Jahren kontinuierlich gestiegen und leisten einen wichtigen Beitrag zur Dekarbonisierung des Gebäudebestands der EU.</w:t>
      </w:r>
      <w:r w:rsidRPr="00476171">
        <w:rPr>
          <w:rStyle w:val="FootnoteReference"/>
          <w:noProof/>
          <w:lang w:val="de-DE"/>
        </w:rPr>
        <w:footnoteReference w:id="46"/>
      </w:r>
      <w:r w:rsidRPr="00476171">
        <w:rPr>
          <w:rStyle w:val="FootnoteReference"/>
          <w:noProof/>
          <w:vertAlign w:val="baseline"/>
          <w:lang w:val="de-DE"/>
        </w:rPr>
        <w:t>.</w:t>
      </w:r>
    </w:p>
    <w:p w14:paraId="06AFA84A" w14:textId="1C5FFA90" w:rsidR="001F5A98" w:rsidRPr="00476171" w:rsidRDefault="00F20EC3" w:rsidP="001F5A98">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Die Mitgliedstaaten haben nationale Definitionen für Niedrigstenergiegebäude festgelegt und numerische Indikatoren für den Primärenergieverbrauch in kWh/m</w:t>
      </w:r>
      <w:r w:rsidRPr="00476171">
        <w:rPr>
          <w:rFonts w:ascii="Times New Roman" w:hAnsi="Times New Roman"/>
          <w:noProof/>
          <w:sz w:val="24"/>
          <w:vertAlign w:val="superscript"/>
          <w:lang w:val="de-DE"/>
        </w:rPr>
        <w:t>2</w:t>
      </w:r>
      <w:r w:rsidRPr="00476171">
        <w:rPr>
          <w:rFonts w:ascii="Times New Roman" w:hAnsi="Times New Roman"/>
          <w:noProof/>
          <w:sz w:val="24"/>
          <w:lang w:val="de-DE"/>
        </w:rPr>
        <w:t>/J vorgelegt, die im Durchschnitt weniger ehrgeizig erscheinen als die in der Empfehlung der Kommission von 2016</w:t>
      </w:r>
      <w:r w:rsidRPr="00476171">
        <w:rPr>
          <w:rStyle w:val="FootnoteReference"/>
          <w:rFonts w:ascii="Times New Roman" w:hAnsi="Times New Roman" w:cs="Times New Roman"/>
          <w:noProof/>
          <w:sz w:val="24"/>
          <w:lang w:val="de-DE"/>
        </w:rPr>
        <w:footnoteReference w:id="47"/>
      </w:r>
      <w:r w:rsidRPr="00476171">
        <w:rPr>
          <w:rFonts w:ascii="Times New Roman" w:hAnsi="Times New Roman"/>
          <w:noProof/>
          <w:sz w:val="24"/>
          <w:lang w:val="de-DE"/>
        </w:rPr>
        <w:t xml:space="preserve"> genannten Zielvorgaben, wobei ein unmittelbarer Vergleich der nationalen Definitionen nicht immer möglich ist</w:t>
      </w:r>
      <w:r w:rsidRPr="00476171">
        <w:rPr>
          <w:rStyle w:val="FootnoteReference"/>
          <w:noProof/>
          <w:lang w:val="de-DE"/>
        </w:rPr>
        <w:footnoteReference w:id="48"/>
      </w:r>
      <w:r w:rsidRPr="00476171">
        <w:rPr>
          <w:rFonts w:ascii="Times New Roman" w:hAnsi="Times New Roman"/>
          <w:noProof/>
          <w:sz w:val="24"/>
          <w:lang w:val="de-DE"/>
        </w:rPr>
        <w:t>, da die Ansätze der Mitgliedstaaten aufgrund von Unterschieden in Bezug auf Klima, Markt, Energiemix, Bautraditionen und andere lokale Gegebenheiten variieren.</w:t>
      </w:r>
    </w:p>
    <w:p w14:paraId="1BD7D4AF" w14:textId="4B0EB2B9" w:rsidR="00223D4D" w:rsidRPr="00476171" w:rsidRDefault="6E168FC4" w:rsidP="0029217D">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Der durchschnittliche Anteil erneuerbarer Energien wird auf 20 % bis 50 % des gesamten Gebäudeenergiebedarfs geschätzt und wird voraussichtlich noch steigen, da der Ausstieg aus fossilen Brennstoffen im Einklang mit der Renovierungswelle und dem REPowerEU-Plan</w:t>
      </w:r>
      <w:r w:rsidRPr="00476171">
        <w:rPr>
          <w:rStyle w:val="FootnoteReference"/>
          <w:noProof/>
          <w:lang w:val="de-DE"/>
        </w:rPr>
        <w:footnoteReference w:id="49"/>
      </w:r>
      <w:r w:rsidRPr="00476171">
        <w:rPr>
          <w:rFonts w:ascii="Times New Roman" w:hAnsi="Times New Roman"/>
          <w:noProof/>
          <w:sz w:val="24"/>
          <w:lang w:val="de-DE"/>
        </w:rPr>
        <w:t xml:space="preserve"> beschleunigt werden muss.</w:t>
      </w:r>
    </w:p>
    <w:p w14:paraId="42070116" w14:textId="41C41938" w:rsidR="00223D4D" w:rsidRPr="00476171" w:rsidRDefault="008D224C" w:rsidP="0029217D">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Mehr als die Hälfte der Mitgliedstaaten verfügt über eine Energieeffizienzklasse, die dem Niveau der Niedrigstenergiegebäude entspricht. Einige Mitgliedstaaten unterscheiden bei der Gesamtenergieeffizienz zwischen Niedrigstenergiegebäuden für Wohnzwecke und solchen für Nichtwohnzwecke, während andere zwischen neuen und bestehenden Niedrigstenergiegebäuden unterscheiden.</w:t>
      </w:r>
    </w:p>
    <w:p w14:paraId="18242440" w14:textId="27E7F535" w:rsidR="1C112BF5" w:rsidRPr="00476171" w:rsidRDefault="685D7CE3" w:rsidP="5287B464">
      <w:pPr>
        <w:spacing w:line="276" w:lineRule="auto"/>
        <w:jc w:val="center"/>
        <w:rPr>
          <w:rFonts w:ascii="Times New Roman" w:eastAsia="Times New Roman" w:hAnsi="Times New Roman" w:cs="Times New Roman"/>
          <w:noProof/>
          <w:sz w:val="20"/>
          <w:lang w:val="de-DE"/>
        </w:rPr>
      </w:pPr>
      <w:r w:rsidRPr="00476171">
        <w:rPr>
          <w:rFonts w:ascii="Times New Roman" w:hAnsi="Times New Roman"/>
          <w:b/>
          <w:noProof/>
          <w:sz w:val="20"/>
          <w:lang w:val="de-DE"/>
        </w:rPr>
        <w:t xml:space="preserve">Tabelle 8: </w:t>
      </w:r>
      <w:r w:rsidRPr="00476171">
        <w:rPr>
          <w:rFonts w:ascii="Times New Roman" w:hAnsi="Times New Roman"/>
          <w:noProof/>
          <w:sz w:val="20"/>
          <w:lang w:val="de-DE"/>
        </w:rPr>
        <w:t>Anzahl und Grundfläche neuer und renovierter Niedrigstenergiegebäude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090"/>
        <w:gridCol w:w="825"/>
        <w:gridCol w:w="1281"/>
        <w:gridCol w:w="1129"/>
        <w:gridCol w:w="882"/>
        <w:gridCol w:w="945"/>
        <w:gridCol w:w="1054"/>
        <w:gridCol w:w="1027"/>
      </w:tblGrid>
      <w:tr w:rsidR="00223D4D" w:rsidRPr="00FF3E37" w14:paraId="437F8404" w14:textId="77777777" w:rsidTr="00793A08">
        <w:trPr>
          <w:trHeight w:val="283"/>
          <w:jc w:val="center"/>
        </w:trPr>
        <w:tc>
          <w:tcPr>
            <w:tcW w:w="1101"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3D8F5E47" w14:textId="77777777" w:rsidR="00223D4D" w:rsidRPr="00476171" w:rsidRDefault="00223D4D" w:rsidP="0029217D">
            <w:pPr>
              <w:pStyle w:val="JRCText"/>
              <w:spacing w:line="276" w:lineRule="auto"/>
              <w:rPr>
                <w:rFonts w:ascii="Times New Roman" w:hAnsi="Times New Roman"/>
                <w:noProof/>
                <w:lang w:val="de-DE"/>
              </w:rPr>
            </w:pPr>
          </w:p>
        </w:tc>
        <w:tc>
          <w:tcPr>
            <w:tcW w:w="432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09805" w14:textId="77777777" w:rsidR="00223D4D" w:rsidRPr="00476171" w:rsidRDefault="00223D4D" w:rsidP="0066128D">
            <w:pPr>
              <w:pStyle w:val="JRCText"/>
              <w:spacing w:line="276" w:lineRule="auto"/>
              <w:jc w:val="center"/>
              <w:rPr>
                <w:rFonts w:ascii="Times New Roman" w:hAnsi="Times New Roman"/>
                <w:b/>
                <w:noProof/>
                <w:color w:val="000000" w:themeColor="text1"/>
                <w:lang w:val="de-DE"/>
              </w:rPr>
            </w:pPr>
            <w:r w:rsidRPr="00476171">
              <w:rPr>
                <w:rFonts w:ascii="Times New Roman" w:hAnsi="Times New Roman"/>
                <w:b/>
                <w:noProof/>
                <w:color w:val="000000" w:themeColor="text1"/>
                <w:lang w:val="de-DE"/>
              </w:rPr>
              <w:t>Anzahl und Fläche neuer Niedrigstenergiegebäude</w:t>
            </w:r>
          </w:p>
        </w:tc>
        <w:tc>
          <w:tcPr>
            <w:tcW w:w="390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C392" w14:textId="77777777" w:rsidR="00223D4D" w:rsidRPr="00476171" w:rsidRDefault="00223D4D" w:rsidP="0066128D">
            <w:pPr>
              <w:pStyle w:val="JRCText"/>
              <w:spacing w:line="276" w:lineRule="auto"/>
              <w:jc w:val="center"/>
              <w:rPr>
                <w:rFonts w:ascii="Times New Roman" w:hAnsi="Times New Roman"/>
                <w:b/>
                <w:noProof/>
                <w:color w:val="000000" w:themeColor="text1"/>
                <w:lang w:val="de-DE"/>
              </w:rPr>
            </w:pPr>
            <w:r w:rsidRPr="00476171">
              <w:rPr>
                <w:rFonts w:ascii="Times New Roman" w:hAnsi="Times New Roman"/>
                <w:b/>
                <w:noProof/>
                <w:color w:val="000000" w:themeColor="text1"/>
                <w:lang w:val="de-DE"/>
              </w:rPr>
              <w:t>Anzahl und Fläche renovierter Niedrigstenergiegebäude</w:t>
            </w:r>
          </w:p>
        </w:tc>
      </w:tr>
      <w:tr w:rsidR="00223D4D" w:rsidRPr="00476171" w14:paraId="0DB53AA6" w14:textId="77777777" w:rsidTr="00793A08">
        <w:trPr>
          <w:trHeight w:val="283"/>
          <w:jc w:val="center"/>
        </w:trPr>
        <w:tc>
          <w:tcPr>
            <w:tcW w:w="1101" w:type="dxa"/>
            <w:vMerge/>
            <w:noWrap/>
            <w:vAlign w:val="center"/>
          </w:tcPr>
          <w:p w14:paraId="0DF86E57" w14:textId="77777777" w:rsidR="00223D4D" w:rsidRPr="00476171" w:rsidRDefault="00223D4D" w:rsidP="0029217D">
            <w:pPr>
              <w:pStyle w:val="JRCText"/>
              <w:spacing w:line="276" w:lineRule="auto"/>
              <w:rPr>
                <w:rFonts w:ascii="Times New Roman" w:hAnsi="Times New Roman"/>
                <w:noProof/>
                <w:lang w:val="de-DE"/>
              </w:rPr>
            </w:pPr>
          </w:p>
        </w:tc>
        <w:tc>
          <w:tcPr>
            <w:tcW w:w="191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DADC4" w14:textId="77777777" w:rsidR="00223D4D" w:rsidRPr="00476171" w:rsidRDefault="00223D4D" w:rsidP="0066128D">
            <w:pPr>
              <w:pStyle w:val="JRCText"/>
              <w:spacing w:line="276" w:lineRule="auto"/>
              <w:jc w:val="center"/>
              <w:rPr>
                <w:rFonts w:ascii="Times New Roman" w:hAnsi="Times New Roman"/>
                <w:b/>
                <w:noProof/>
                <w:color w:val="000000" w:themeColor="text1"/>
                <w:lang w:val="de-DE"/>
              </w:rPr>
            </w:pPr>
            <w:r w:rsidRPr="00476171">
              <w:rPr>
                <w:rFonts w:ascii="Times New Roman" w:hAnsi="Times New Roman"/>
                <w:b/>
                <w:noProof/>
                <w:color w:val="000000" w:themeColor="text1"/>
                <w:lang w:val="de-DE"/>
              </w:rPr>
              <w:t>Anzahl</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FE77C" w14:textId="77777777" w:rsidR="00223D4D" w:rsidRPr="00476171" w:rsidRDefault="00223D4D" w:rsidP="0066128D">
            <w:pPr>
              <w:pStyle w:val="JRCText"/>
              <w:spacing w:line="276" w:lineRule="auto"/>
              <w:jc w:val="center"/>
              <w:rPr>
                <w:rFonts w:ascii="Times New Roman" w:hAnsi="Times New Roman"/>
                <w:b/>
                <w:noProof/>
                <w:color w:val="000000" w:themeColor="text1"/>
                <w:lang w:val="de-DE"/>
              </w:rPr>
            </w:pPr>
            <w:r w:rsidRPr="00476171">
              <w:rPr>
                <w:rFonts w:ascii="Times New Roman" w:hAnsi="Times New Roman"/>
                <w:b/>
                <w:noProof/>
                <w:color w:val="000000" w:themeColor="text1"/>
                <w:lang w:val="de-DE"/>
              </w:rPr>
              <w:t>Fläche (m</w:t>
            </w:r>
            <w:r w:rsidRPr="00476171">
              <w:rPr>
                <w:rFonts w:ascii="Times New Roman" w:hAnsi="Times New Roman"/>
                <w:b/>
                <w:noProof/>
                <w:color w:val="000000" w:themeColor="text1"/>
                <w:vertAlign w:val="superscript"/>
                <w:lang w:val="de-DE"/>
              </w:rPr>
              <w:t>2</w:t>
            </w:r>
            <w:r w:rsidRPr="00476171">
              <w:rPr>
                <w:rFonts w:ascii="Times New Roman" w:hAnsi="Times New Roman"/>
                <w:b/>
                <w:noProof/>
                <w:color w:val="000000" w:themeColor="text1"/>
                <w:lang w:val="de-DE"/>
              </w:rPr>
              <w:t>)</w:t>
            </w:r>
          </w:p>
        </w:tc>
        <w:tc>
          <w:tcPr>
            <w:tcW w:w="18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04B21" w14:textId="77777777" w:rsidR="00223D4D" w:rsidRPr="00476171" w:rsidRDefault="00223D4D" w:rsidP="0066128D">
            <w:pPr>
              <w:pStyle w:val="JRCText"/>
              <w:spacing w:line="276" w:lineRule="auto"/>
              <w:jc w:val="center"/>
              <w:rPr>
                <w:rFonts w:ascii="Times New Roman" w:hAnsi="Times New Roman"/>
                <w:b/>
                <w:noProof/>
                <w:color w:val="000000" w:themeColor="text1"/>
                <w:lang w:val="de-DE"/>
              </w:rPr>
            </w:pPr>
            <w:r w:rsidRPr="00476171">
              <w:rPr>
                <w:rFonts w:ascii="Times New Roman" w:hAnsi="Times New Roman"/>
                <w:b/>
                <w:noProof/>
                <w:color w:val="000000" w:themeColor="text1"/>
                <w:lang w:val="de-DE"/>
              </w:rPr>
              <w:t>Anzahl</w:t>
            </w:r>
          </w:p>
        </w:tc>
        <w:tc>
          <w:tcPr>
            <w:tcW w:w="2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EE49C" w14:textId="77777777" w:rsidR="00223D4D" w:rsidRPr="00476171" w:rsidRDefault="00223D4D" w:rsidP="0066128D">
            <w:pPr>
              <w:pStyle w:val="JRCText"/>
              <w:spacing w:line="276" w:lineRule="auto"/>
              <w:jc w:val="center"/>
              <w:rPr>
                <w:rFonts w:ascii="Times New Roman" w:hAnsi="Times New Roman"/>
                <w:b/>
                <w:noProof/>
                <w:color w:val="000000" w:themeColor="text1"/>
                <w:lang w:val="de-DE"/>
              </w:rPr>
            </w:pPr>
            <w:r w:rsidRPr="00476171">
              <w:rPr>
                <w:rFonts w:ascii="Times New Roman" w:hAnsi="Times New Roman"/>
                <w:b/>
                <w:noProof/>
                <w:color w:val="000000" w:themeColor="text1"/>
                <w:lang w:val="de-DE"/>
              </w:rPr>
              <w:t>Fläche (m</w:t>
            </w:r>
            <w:r w:rsidRPr="00476171">
              <w:rPr>
                <w:rFonts w:ascii="Times New Roman" w:hAnsi="Times New Roman"/>
                <w:b/>
                <w:noProof/>
                <w:color w:val="000000" w:themeColor="text1"/>
                <w:vertAlign w:val="superscript"/>
                <w:lang w:val="de-DE"/>
              </w:rPr>
              <w:t>2</w:t>
            </w:r>
            <w:r w:rsidRPr="00476171">
              <w:rPr>
                <w:rFonts w:ascii="Times New Roman" w:hAnsi="Times New Roman"/>
                <w:b/>
                <w:noProof/>
                <w:color w:val="000000" w:themeColor="text1"/>
                <w:lang w:val="de-DE"/>
              </w:rPr>
              <w:t>)</w:t>
            </w:r>
          </w:p>
        </w:tc>
      </w:tr>
      <w:tr w:rsidR="00A92BAA" w:rsidRPr="00476171" w14:paraId="62B7BA07" w14:textId="77777777" w:rsidTr="00793A08">
        <w:trPr>
          <w:trHeight w:val="283"/>
          <w:jc w:val="center"/>
        </w:trPr>
        <w:tc>
          <w:tcPr>
            <w:tcW w:w="1101" w:type="dxa"/>
            <w:vMerge/>
            <w:noWrap/>
            <w:vAlign w:val="center"/>
          </w:tcPr>
          <w:p w14:paraId="7C979D16" w14:textId="77777777" w:rsidR="00223D4D" w:rsidRPr="00476171" w:rsidRDefault="00223D4D" w:rsidP="0029217D">
            <w:pPr>
              <w:pStyle w:val="JRCText"/>
              <w:spacing w:line="276" w:lineRule="auto"/>
              <w:rPr>
                <w:rFonts w:ascii="Times New Roman" w:hAnsi="Times New Roman"/>
                <w:noProof/>
                <w:lang w:val="de-DE"/>
              </w:rPr>
            </w:pP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24A54" w14:textId="77777777" w:rsidR="00223D4D" w:rsidRPr="00476171" w:rsidRDefault="00223D4D" w:rsidP="0066128D">
            <w:pPr>
              <w:pStyle w:val="JRCText"/>
              <w:spacing w:line="276" w:lineRule="auto"/>
              <w:jc w:val="center"/>
              <w:rPr>
                <w:rFonts w:ascii="Times New Roman" w:hAnsi="Times New Roman"/>
                <w:b/>
                <w:noProof/>
                <w:color w:val="000000" w:themeColor="text1"/>
                <w:lang w:val="de-DE"/>
              </w:rPr>
            </w:pPr>
            <w:r w:rsidRPr="00476171">
              <w:rPr>
                <w:rFonts w:ascii="Times New Roman" w:hAnsi="Times New Roman"/>
                <w:b/>
                <w:noProof/>
                <w:color w:val="000000" w:themeColor="text1"/>
                <w:lang w:val="de-DE"/>
              </w:rPr>
              <w:t>2019</w:t>
            </w:r>
          </w:p>
        </w:tc>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A63BD" w14:textId="77777777" w:rsidR="00223D4D" w:rsidRPr="00476171" w:rsidRDefault="00223D4D" w:rsidP="0066128D">
            <w:pPr>
              <w:pStyle w:val="JRCText"/>
              <w:spacing w:line="276" w:lineRule="auto"/>
              <w:jc w:val="center"/>
              <w:rPr>
                <w:rFonts w:ascii="Times New Roman" w:hAnsi="Times New Roman"/>
                <w:b/>
                <w:noProof/>
                <w:color w:val="000000" w:themeColor="text1"/>
                <w:lang w:val="de-DE"/>
              </w:rPr>
            </w:pPr>
            <w:r w:rsidRPr="00476171">
              <w:rPr>
                <w:rFonts w:ascii="Times New Roman" w:hAnsi="Times New Roman"/>
                <w:b/>
                <w:noProof/>
                <w:color w:val="000000" w:themeColor="text1"/>
                <w:lang w:val="de-DE"/>
              </w:rPr>
              <w:t>2020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120BA" w14:textId="77777777" w:rsidR="00223D4D" w:rsidRPr="00476171" w:rsidRDefault="00223D4D" w:rsidP="0066128D">
            <w:pPr>
              <w:pStyle w:val="JRCText"/>
              <w:spacing w:line="276" w:lineRule="auto"/>
              <w:jc w:val="center"/>
              <w:rPr>
                <w:rFonts w:ascii="Times New Roman" w:hAnsi="Times New Roman"/>
                <w:b/>
                <w:noProof/>
                <w:color w:val="000000" w:themeColor="text1"/>
                <w:lang w:val="de-DE"/>
              </w:rPr>
            </w:pPr>
            <w:r w:rsidRPr="00476171">
              <w:rPr>
                <w:rFonts w:ascii="Times New Roman" w:hAnsi="Times New Roman"/>
                <w:b/>
                <w:noProof/>
                <w:color w:val="000000" w:themeColor="text1"/>
                <w:lang w:val="de-DE"/>
              </w:rPr>
              <w:t>2019</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815BF6" w14:textId="77777777" w:rsidR="00223D4D" w:rsidRPr="00476171" w:rsidRDefault="00223D4D" w:rsidP="0066128D">
            <w:pPr>
              <w:pStyle w:val="JRCText"/>
              <w:spacing w:line="276" w:lineRule="auto"/>
              <w:jc w:val="center"/>
              <w:rPr>
                <w:rFonts w:ascii="Times New Roman" w:hAnsi="Times New Roman"/>
                <w:b/>
                <w:noProof/>
                <w:color w:val="000000" w:themeColor="text1"/>
                <w:lang w:val="de-DE"/>
              </w:rPr>
            </w:pPr>
            <w:r w:rsidRPr="00476171">
              <w:rPr>
                <w:rFonts w:ascii="Times New Roman" w:hAnsi="Times New Roman"/>
                <w:b/>
                <w:noProof/>
                <w:color w:val="000000" w:themeColor="text1"/>
                <w:lang w:val="de-DE"/>
              </w:rPr>
              <w:t>2020</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19E6B" w14:textId="77777777" w:rsidR="00223D4D" w:rsidRPr="00476171" w:rsidRDefault="00223D4D" w:rsidP="0066128D">
            <w:pPr>
              <w:pStyle w:val="JRCText"/>
              <w:spacing w:line="276" w:lineRule="auto"/>
              <w:jc w:val="center"/>
              <w:rPr>
                <w:rFonts w:ascii="Times New Roman" w:hAnsi="Times New Roman"/>
                <w:b/>
                <w:noProof/>
                <w:color w:val="000000" w:themeColor="text1"/>
                <w:lang w:val="de-DE"/>
              </w:rPr>
            </w:pPr>
            <w:r w:rsidRPr="00476171">
              <w:rPr>
                <w:rFonts w:ascii="Times New Roman" w:hAnsi="Times New Roman"/>
                <w:b/>
                <w:noProof/>
                <w:color w:val="000000" w:themeColor="text1"/>
                <w:lang w:val="de-DE"/>
              </w:rPr>
              <w:t>2019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75599" w14:textId="77777777" w:rsidR="00223D4D" w:rsidRPr="00476171" w:rsidRDefault="00223D4D" w:rsidP="0066128D">
            <w:pPr>
              <w:pStyle w:val="JRCText"/>
              <w:spacing w:line="276" w:lineRule="auto"/>
              <w:jc w:val="center"/>
              <w:rPr>
                <w:rFonts w:ascii="Times New Roman" w:hAnsi="Times New Roman"/>
                <w:b/>
                <w:noProof/>
                <w:color w:val="000000" w:themeColor="text1"/>
                <w:lang w:val="de-DE"/>
              </w:rPr>
            </w:pPr>
            <w:r w:rsidRPr="00476171">
              <w:rPr>
                <w:rFonts w:ascii="Times New Roman" w:hAnsi="Times New Roman"/>
                <w:b/>
                <w:noProof/>
                <w:color w:val="000000" w:themeColor="text1"/>
                <w:lang w:val="de-DE"/>
              </w:rPr>
              <w:t>2020</w:t>
            </w:r>
          </w:p>
        </w:tc>
        <w:tc>
          <w:tcPr>
            <w:tcW w:w="1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BA98B" w14:textId="77777777" w:rsidR="00223D4D" w:rsidRPr="00476171" w:rsidRDefault="00223D4D" w:rsidP="0066128D">
            <w:pPr>
              <w:pStyle w:val="JRCText"/>
              <w:spacing w:line="276" w:lineRule="auto"/>
              <w:jc w:val="center"/>
              <w:rPr>
                <w:rFonts w:ascii="Times New Roman" w:hAnsi="Times New Roman"/>
                <w:b/>
                <w:noProof/>
                <w:color w:val="000000" w:themeColor="text1"/>
                <w:lang w:val="de-DE"/>
              </w:rPr>
            </w:pPr>
            <w:r w:rsidRPr="00476171">
              <w:rPr>
                <w:rFonts w:ascii="Times New Roman" w:hAnsi="Times New Roman"/>
                <w:b/>
                <w:noProof/>
                <w:color w:val="000000" w:themeColor="text1"/>
                <w:lang w:val="de-DE"/>
              </w:rPr>
              <w:t>2019</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426F8" w14:textId="77777777" w:rsidR="00223D4D" w:rsidRPr="00476171" w:rsidRDefault="00223D4D" w:rsidP="0066128D">
            <w:pPr>
              <w:pStyle w:val="JRCText"/>
              <w:spacing w:line="276" w:lineRule="auto"/>
              <w:jc w:val="center"/>
              <w:rPr>
                <w:rFonts w:ascii="Times New Roman" w:hAnsi="Times New Roman"/>
                <w:b/>
                <w:noProof/>
                <w:color w:val="000000" w:themeColor="text1"/>
                <w:lang w:val="de-DE"/>
              </w:rPr>
            </w:pPr>
            <w:r w:rsidRPr="00476171">
              <w:rPr>
                <w:rFonts w:ascii="Times New Roman" w:hAnsi="Times New Roman"/>
                <w:b/>
                <w:noProof/>
                <w:color w:val="000000" w:themeColor="text1"/>
                <w:lang w:val="de-DE"/>
              </w:rPr>
              <w:t>2020</w:t>
            </w:r>
          </w:p>
        </w:tc>
      </w:tr>
      <w:tr w:rsidR="00A92BAA" w:rsidRPr="00476171" w14:paraId="3FB55CF7" w14:textId="77777777" w:rsidTr="00793A08">
        <w:trPr>
          <w:trHeight w:val="283"/>
          <w:jc w:val="center"/>
        </w:trPr>
        <w:tc>
          <w:tcPr>
            <w:tcW w:w="1101" w:type="dxa"/>
            <w:tcBorders>
              <w:top w:val="single" w:sz="4" w:space="0" w:color="auto"/>
              <w:left w:val="single" w:sz="4" w:space="0" w:color="auto"/>
              <w:bottom w:val="single" w:sz="4" w:space="0" w:color="auto"/>
              <w:right w:val="single" w:sz="4" w:space="0" w:color="auto"/>
            </w:tcBorders>
            <w:noWrap/>
            <w:vAlign w:val="center"/>
          </w:tcPr>
          <w:p w14:paraId="3D6898C0" w14:textId="77777777" w:rsidR="0066128D" w:rsidRPr="00476171" w:rsidRDefault="0066128D" w:rsidP="00F60027">
            <w:pPr>
              <w:pStyle w:val="JRCText"/>
              <w:spacing w:line="276" w:lineRule="auto"/>
              <w:jc w:val="center"/>
              <w:rPr>
                <w:rFonts w:ascii="Times New Roman" w:hAnsi="Times New Roman"/>
                <w:noProof/>
                <w:lang w:val="de-DE"/>
              </w:rPr>
            </w:pPr>
            <w:r w:rsidRPr="00476171">
              <w:rPr>
                <w:rFonts w:ascii="Times New Roman" w:hAnsi="Times New Roman"/>
                <w:b/>
                <w:noProof/>
                <w:color w:val="000000" w:themeColor="text1"/>
                <w:lang w:val="de-DE"/>
              </w:rPr>
              <w:t>GESAMT</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B8E167" w14:textId="3B4348AC" w:rsidR="0066128D" w:rsidRPr="00476171" w:rsidRDefault="0066128D" w:rsidP="00F60027">
            <w:pPr>
              <w:jc w:val="center"/>
              <w:rPr>
                <w:rFonts w:ascii="Times New Roman" w:eastAsia="Calibri" w:hAnsi="Times New Roman" w:cs="Times New Roman"/>
                <w:noProof/>
                <w:color w:val="000000" w:themeColor="text1"/>
                <w:sz w:val="18"/>
                <w:lang w:val="de-DE"/>
              </w:rPr>
            </w:pPr>
            <w:r w:rsidRPr="00476171">
              <w:rPr>
                <w:rFonts w:ascii="Times New Roman" w:hAnsi="Times New Roman"/>
                <w:noProof/>
                <w:color w:val="000000" w:themeColor="text1"/>
                <w:sz w:val="18"/>
                <w:lang w:val="de-DE"/>
              </w:rPr>
              <w:t>330 704</w:t>
            </w:r>
          </w:p>
        </w:tc>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AC1C95" w14:textId="0EDC7A0F" w:rsidR="0066128D" w:rsidRPr="00476171" w:rsidRDefault="0066128D" w:rsidP="00F60027">
            <w:pPr>
              <w:jc w:val="center"/>
              <w:rPr>
                <w:rFonts w:ascii="Times New Roman" w:eastAsia="Calibri" w:hAnsi="Times New Roman" w:cs="Times New Roman"/>
                <w:noProof/>
                <w:color w:val="000000" w:themeColor="text1"/>
                <w:sz w:val="18"/>
                <w:lang w:val="de-DE"/>
              </w:rPr>
            </w:pPr>
            <w:r w:rsidRPr="00476171">
              <w:rPr>
                <w:rFonts w:ascii="Times New Roman" w:hAnsi="Times New Roman"/>
                <w:noProof/>
                <w:color w:val="000000" w:themeColor="text1"/>
                <w:sz w:val="18"/>
                <w:lang w:val="de-DE"/>
              </w:rPr>
              <w:t>585 340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D17D30" w14:textId="62FBE7FE" w:rsidR="0066128D" w:rsidRPr="00476171" w:rsidRDefault="0066128D" w:rsidP="00681F18">
            <w:pPr>
              <w:jc w:val="center"/>
              <w:rPr>
                <w:rFonts w:ascii="Times New Roman" w:eastAsia="Calibri" w:hAnsi="Times New Roman" w:cs="Times New Roman"/>
                <w:noProof/>
                <w:color w:val="000000" w:themeColor="text1"/>
                <w:sz w:val="18"/>
                <w:lang w:val="de-DE"/>
              </w:rPr>
            </w:pPr>
            <w:r w:rsidRPr="00476171">
              <w:rPr>
                <w:rFonts w:ascii="Times New Roman" w:hAnsi="Times New Roman"/>
                <w:noProof/>
                <w:color w:val="000000" w:themeColor="text1"/>
                <w:sz w:val="18"/>
                <w:lang w:val="de-DE"/>
              </w:rPr>
              <w:t>77 316 865,46</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BC540E" w14:textId="2A84FFA3" w:rsidR="0066128D" w:rsidRPr="00476171" w:rsidRDefault="0066128D" w:rsidP="00F60027">
            <w:pPr>
              <w:jc w:val="center"/>
              <w:rPr>
                <w:rFonts w:ascii="Times New Roman" w:eastAsia="Calibri" w:hAnsi="Times New Roman" w:cs="Times New Roman"/>
                <w:noProof/>
                <w:color w:val="000000" w:themeColor="text1"/>
                <w:sz w:val="18"/>
                <w:lang w:val="de-DE"/>
              </w:rPr>
            </w:pPr>
            <w:r w:rsidRPr="00476171">
              <w:rPr>
                <w:rFonts w:ascii="Times New Roman" w:hAnsi="Times New Roman"/>
                <w:noProof/>
                <w:color w:val="000000" w:themeColor="text1"/>
                <w:sz w:val="18"/>
                <w:lang w:val="de-DE"/>
              </w:rPr>
              <w:t>141 013 006</w:t>
            </w:r>
          </w:p>
        </w:tc>
        <w:tc>
          <w:tcPr>
            <w:tcW w:w="882" w:type="dxa"/>
            <w:tcBorders>
              <w:top w:val="single" w:sz="4" w:space="0" w:color="auto"/>
              <w:left w:val="nil"/>
              <w:bottom w:val="single" w:sz="4" w:space="0" w:color="auto"/>
              <w:right w:val="single" w:sz="4" w:space="0" w:color="auto"/>
            </w:tcBorders>
            <w:shd w:val="clear" w:color="auto" w:fill="FFFFFF" w:themeFill="background1"/>
            <w:vAlign w:val="bottom"/>
          </w:tcPr>
          <w:p w14:paraId="3EF19113" w14:textId="4B4FE1BD" w:rsidR="0066128D" w:rsidRPr="00476171" w:rsidRDefault="0066128D" w:rsidP="00F60027">
            <w:pPr>
              <w:jc w:val="center"/>
              <w:rPr>
                <w:rFonts w:ascii="Times New Roman" w:eastAsia="Calibri" w:hAnsi="Times New Roman" w:cs="Times New Roman"/>
                <w:noProof/>
                <w:color w:val="000000" w:themeColor="text1"/>
                <w:sz w:val="18"/>
                <w:lang w:val="de-DE"/>
              </w:rPr>
            </w:pPr>
            <w:r w:rsidRPr="00476171">
              <w:rPr>
                <w:rFonts w:ascii="Times New Roman" w:hAnsi="Times New Roman"/>
                <w:noProof/>
                <w:color w:val="000000" w:themeColor="text1"/>
                <w:sz w:val="18"/>
                <w:lang w:val="de-DE"/>
              </w:rPr>
              <w:t>165 130</w:t>
            </w:r>
          </w:p>
        </w:tc>
        <w:tc>
          <w:tcPr>
            <w:tcW w:w="945" w:type="dxa"/>
            <w:tcBorders>
              <w:top w:val="single" w:sz="4" w:space="0" w:color="auto"/>
              <w:left w:val="nil"/>
              <w:bottom w:val="single" w:sz="4" w:space="0" w:color="auto"/>
              <w:right w:val="single" w:sz="4" w:space="0" w:color="auto"/>
            </w:tcBorders>
            <w:shd w:val="clear" w:color="auto" w:fill="FFFFFF" w:themeFill="background1"/>
            <w:vAlign w:val="bottom"/>
          </w:tcPr>
          <w:p w14:paraId="545766A2" w14:textId="5293DB1D" w:rsidR="0066128D" w:rsidRPr="00476171" w:rsidRDefault="0066128D" w:rsidP="00F60027">
            <w:pPr>
              <w:jc w:val="center"/>
              <w:rPr>
                <w:rFonts w:ascii="Times New Roman" w:eastAsia="Calibri" w:hAnsi="Times New Roman" w:cs="Times New Roman"/>
                <w:noProof/>
                <w:color w:val="000000" w:themeColor="text1"/>
                <w:sz w:val="18"/>
                <w:lang w:val="de-DE"/>
              </w:rPr>
            </w:pPr>
            <w:r w:rsidRPr="00476171">
              <w:rPr>
                <w:rFonts w:ascii="Times New Roman" w:hAnsi="Times New Roman"/>
                <w:noProof/>
                <w:color w:val="000000" w:themeColor="text1"/>
                <w:sz w:val="18"/>
                <w:lang w:val="de-DE"/>
              </w:rPr>
              <w:t>203 394</w:t>
            </w:r>
          </w:p>
        </w:tc>
        <w:tc>
          <w:tcPr>
            <w:tcW w:w="1054" w:type="dxa"/>
            <w:tcBorders>
              <w:top w:val="single" w:sz="4" w:space="0" w:color="auto"/>
              <w:left w:val="nil"/>
              <w:bottom w:val="single" w:sz="4" w:space="0" w:color="auto"/>
              <w:right w:val="single" w:sz="4" w:space="0" w:color="auto"/>
            </w:tcBorders>
            <w:shd w:val="clear" w:color="auto" w:fill="FFFFFF" w:themeFill="background1"/>
            <w:vAlign w:val="bottom"/>
          </w:tcPr>
          <w:p w14:paraId="380941CC" w14:textId="610AF75D" w:rsidR="0066128D" w:rsidRPr="00476171" w:rsidRDefault="0066128D" w:rsidP="00F60027">
            <w:pPr>
              <w:jc w:val="center"/>
              <w:rPr>
                <w:rFonts w:ascii="Times New Roman" w:eastAsia="Calibri" w:hAnsi="Times New Roman" w:cs="Times New Roman"/>
                <w:noProof/>
                <w:color w:val="000000" w:themeColor="text1"/>
                <w:sz w:val="18"/>
                <w:lang w:val="de-DE"/>
              </w:rPr>
            </w:pPr>
            <w:r w:rsidRPr="00476171">
              <w:rPr>
                <w:rFonts w:ascii="Times New Roman" w:hAnsi="Times New Roman"/>
                <w:noProof/>
                <w:color w:val="000000" w:themeColor="text1"/>
                <w:sz w:val="18"/>
                <w:lang w:val="de-DE"/>
              </w:rPr>
              <w:t>62 180 459</w:t>
            </w:r>
          </w:p>
        </w:tc>
        <w:tc>
          <w:tcPr>
            <w:tcW w:w="1027" w:type="dxa"/>
            <w:tcBorders>
              <w:top w:val="single" w:sz="4" w:space="0" w:color="auto"/>
              <w:left w:val="nil"/>
              <w:bottom w:val="single" w:sz="4" w:space="0" w:color="auto"/>
              <w:right w:val="single" w:sz="4" w:space="0" w:color="auto"/>
            </w:tcBorders>
            <w:shd w:val="clear" w:color="auto" w:fill="FFFFFF" w:themeFill="background1"/>
            <w:vAlign w:val="bottom"/>
          </w:tcPr>
          <w:p w14:paraId="562E0CFE" w14:textId="0566E95B" w:rsidR="0066128D" w:rsidRPr="00476171" w:rsidRDefault="0066128D" w:rsidP="00F60027">
            <w:pPr>
              <w:jc w:val="center"/>
              <w:rPr>
                <w:rFonts w:ascii="Times New Roman" w:eastAsia="Calibri" w:hAnsi="Times New Roman" w:cs="Times New Roman"/>
                <w:noProof/>
                <w:color w:val="000000" w:themeColor="text1"/>
                <w:sz w:val="18"/>
                <w:lang w:val="de-DE"/>
              </w:rPr>
            </w:pPr>
            <w:r w:rsidRPr="00476171">
              <w:rPr>
                <w:rFonts w:ascii="Times New Roman" w:hAnsi="Times New Roman"/>
                <w:noProof/>
                <w:color w:val="000000" w:themeColor="text1"/>
                <w:sz w:val="18"/>
                <w:lang w:val="de-DE"/>
              </w:rPr>
              <w:t>73 600 197</w:t>
            </w:r>
          </w:p>
        </w:tc>
      </w:tr>
    </w:tbl>
    <w:p w14:paraId="72732B4B" w14:textId="11F0EDEB" w:rsidR="00223D4D" w:rsidRPr="00476171" w:rsidRDefault="00793A08" w:rsidP="00992061">
      <w:pPr>
        <w:shd w:val="clear" w:color="auto" w:fill="FFFFFF" w:themeFill="background1"/>
        <w:spacing w:line="276" w:lineRule="auto"/>
        <w:jc w:val="center"/>
        <w:rPr>
          <w:rFonts w:ascii="Times New Roman" w:eastAsia="Times New Roman" w:hAnsi="Times New Roman" w:cs="Times New Roman"/>
          <w:noProof/>
          <w:sz w:val="16"/>
          <w:lang w:val="de-DE"/>
        </w:rPr>
      </w:pPr>
      <w:r w:rsidRPr="00476171">
        <w:rPr>
          <w:rFonts w:ascii="Times New Roman" w:hAnsi="Times New Roman"/>
          <w:noProof/>
          <w:sz w:val="16"/>
          <w:lang w:val="de-DE"/>
        </w:rPr>
        <w:t>Quelle: JRC 2022 auf der Grundlage von Informationen der Mitgliedstaaten.</w:t>
      </w:r>
    </w:p>
    <w:p w14:paraId="01480E3E" w14:textId="42F4A7F2" w:rsidR="00992061" w:rsidRPr="00476171" w:rsidRDefault="031D22B5" w:rsidP="00506D7B">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Die gemeldeten Daten ermöglichen kein klares Bild davon, wie verbreitet Niedrigstenergiegebäude in den verschiedenen Mitgliedstaaten sind. Einige wenige Mitgliedstaaten scheinen Vorreiter zu sein und melden sehr hohe Zahlen sowohl für neue als auch für renovierte Niedrigstenergiegebäude.</w:t>
      </w:r>
      <w:r w:rsidRPr="00476171">
        <w:rPr>
          <w:rStyle w:val="FootnoteReference"/>
          <w:rFonts w:ascii="Times New Roman" w:eastAsia="EC Square Sans Pro" w:hAnsi="Times New Roman" w:cs="Times New Roman"/>
          <w:noProof/>
          <w:sz w:val="24"/>
          <w:lang w:val="de-DE"/>
        </w:rPr>
        <w:footnoteReference w:id="50"/>
      </w:r>
    </w:p>
    <w:p w14:paraId="3B8D3446" w14:textId="77777777" w:rsidR="001A1BDF" w:rsidRPr="00476171" w:rsidRDefault="001A1BDF" w:rsidP="00244B05">
      <w:pPr>
        <w:spacing w:after="0" w:line="276" w:lineRule="auto"/>
        <w:rPr>
          <w:rFonts w:ascii="Times New Roman" w:hAnsi="Times New Roman" w:cs="Times New Roman"/>
          <w:noProof/>
          <w:sz w:val="24"/>
          <w:lang w:val="de-DE"/>
        </w:rPr>
      </w:pPr>
    </w:p>
    <w:p w14:paraId="28EB4D8A" w14:textId="51CAC1FC" w:rsidR="00244B05" w:rsidRPr="00476171" w:rsidRDefault="00223D4D" w:rsidP="005E6C14">
      <w:pPr>
        <w:pStyle w:val="ListParagraph"/>
        <w:numPr>
          <w:ilvl w:val="0"/>
          <w:numId w:val="8"/>
        </w:numPr>
        <w:spacing w:line="276" w:lineRule="auto"/>
        <w:rPr>
          <w:rFonts w:ascii="Times New Roman" w:eastAsia="Times New Roman" w:hAnsi="Times New Roman" w:cs="Times New Roman"/>
          <w:noProof/>
          <w:color w:val="000000" w:themeColor="text1"/>
          <w:sz w:val="24"/>
          <w:lang w:val="de-DE"/>
        </w:rPr>
      </w:pPr>
      <w:r w:rsidRPr="00476171">
        <w:rPr>
          <w:rFonts w:ascii="Times New Roman" w:hAnsi="Times New Roman"/>
          <w:noProof/>
          <w:color w:val="000000" w:themeColor="text1"/>
          <w:sz w:val="24"/>
          <w:lang w:val="de-DE"/>
        </w:rPr>
        <w:t>Kostenoptimale Niveaus von Mindestanforderungen an die Gesamtenergieeffizienz von Gebäuden</w:t>
      </w:r>
      <w:r w:rsidRPr="00476171">
        <w:rPr>
          <w:rStyle w:val="FootnoteReference"/>
          <w:noProof/>
          <w:lang w:val="de-DE"/>
        </w:rPr>
        <w:footnoteReference w:id="51"/>
      </w:r>
    </w:p>
    <w:p w14:paraId="660A6CAA" w14:textId="1C2973B8" w:rsidR="00223D4D" w:rsidRPr="00476171" w:rsidRDefault="65E53E8E" w:rsidP="005E6C14">
      <w:pPr>
        <w:spacing w:line="276" w:lineRule="auto"/>
        <w:rPr>
          <w:rFonts w:ascii="Times New Roman" w:eastAsia="EC Square Sans Pro" w:hAnsi="Times New Roman" w:cs="Times New Roman"/>
          <w:noProof/>
          <w:sz w:val="24"/>
          <w:lang w:val="de-DE"/>
        </w:rPr>
      </w:pPr>
      <w:r w:rsidRPr="00476171">
        <w:rPr>
          <w:rFonts w:ascii="Times New Roman" w:hAnsi="Times New Roman"/>
          <w:noProof/>
          <w:sz w:val="24"/>
          <w:lang w:val="de-DE"/>
        </w:rPr>
        <w:t>Die Umsetzung der in Artikel 5 der EPBD vorgeschriebenen Methode zur Berechnung kostenoptimaler Niveaus stellt einen neuartigen Ansatz bei der Festlegung von Mindestanforderungen an die Gesamtenergieeffizienz für neue und bestehende Gebäude dar. Seit 2013 mussten die Mitgliedstaaten alle fünf Jahre kostenoptimale Niveaus berechnen und ihre nationalen Anforderungen entsprechend aktualisieren.</w:t>
      </w:r>
    </w:p>
    <w:p w14:paraId="38F7A52D" w14:textId="2A21E2F5" w:rsidR="00223D4D" w:rsidRPr="00476171" w:rsidRDefault="6E694451" w:rsidP="0029217D">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Ausgehend von der Bewertung der Berichte der Mitgliedstaaten über die kostenoptimalen Niveaus durch die Gemeinsame Forschungsstelle</w:t>
      </w:r>
      <w:r w:rsidRPr="00476171">
        <w:rPr>
          <w:rStyle w:val="FootnoteReference"/>
          <w:noProof/>
          <w:lang w:val="de-DE"/>
        </w:rPr>
        <w:footnoteReference w:id="52"/>
      </w:r>
      <w:r w:rsidRPr="00476171">
        <w:rPr>
          <w:rFonts w:ascii="Times New Roman" w:hAnsi="Times New Roman"/>
          <w:noProof/>
          <w:sz w:val="24"/>
          <w:lang w:val="de-DE"/>
        </w:rPr>
        <w:t xml:space="preserve"> beträgt das durchschnittliche kostenoptimale Niveau für neue Gebäude ca. 80 kWh/m</w:t>
      </w:r>
      <w:r w:rsidRPr="00476171">
        <w:rPr>
          <w:rFonts w:ascii="Times New Roman" w:hAnsi="Times New Roman"/>
          <w:noProof/>
          <w:sz w:val="24"/>
          <w:vertAlign w:val="superscript"/>
          <w:lang w:val="de-DE"/>
        </w:rPr>
        <w:t>2</w:t>
      </w:r>
      <w:r w:rsidRPr="00476171">
        <w:rPr>
          <w:rFonts w:ascii="Times New Roman" w:hAnsi="Times New Roman"/>
          <w:noProof/>
          <w:sz w:val="24"/>
          <w:lang w:val="de-DE"/>
        </w:rPr>
        <w:t>/J für Wohngebäude und 140 kWh/m</w:t>
      </w:r>
      <w:r w:rsidRPr="00476171">
        <w:rPr>
          <w:rFonts w:ascii="Times New Roman" w:hAnsi="Times New Roman"/>
          <w:noProof/>
          <w:sz w:val="24"/>
          <w:vertAlign w:val="superscript"/>
          <w:lang w:val="de-DE"/>
        </w:rPr>
        <w:t>2</w:t>
      </w:r>
      <w:r w:rsidRPr="00476171">
        <w:rPr>
          <w:rFonts w:ascii="Times New Roman" w:hAnsi="Times New Roman"/>
          <w:noProof/>
          <w:sz w:val="24"/>
          <w:lang w:val="de-DE"/>
        </w:rPr>
        <w:t>/J für Nichtwohngebäude. Für bestehende Gebäude, die einer größeren Renovierung unterzogen werden, liegt das durchschnittliche kostenoptimale Niveau bei ca. 130 kWh/m</w:t>
      </w:r>
      <w:r w:rsidRPr="00476171">
        <w:rPr>
          <w:rFonts w:ascii="Times New Roman" w:hAnsi="Times New Roman"/>
          <w:noProof/>
          <w:sz w:val="24"/>
          <w:vertAlign w:val="superscript"/>
          <w:lang w:val="de-DE"/>
        </w:rPr>
        <w:t>2</w:t>
      </w:r>
      <w:r w:rsidRPr="00476171">
        <w:rPr>
          <w:rFonts w:ascii="Times New Roman" w:hAnsi="Times New Roman"/>
          <w:noProof/>
          <w:sz w:val="24"/>
          <w:lang w:val="de-DE"/>
        </w:rPr>
        <w:t>/J für Wohngebäude und bei 180 kWh/m</w:t>
      </w:r>
      <w:r w:rsidRPr="00476171">
        <w:rPr>
          <w:rFonts w:ascii="Times New Roman" w:hAnsi="Times New Roman"/>
          <w:noProof/>
          <w:sz w:val="24"/>
          <w:vertAlign w:val="superscript"/>
          <w:lang w:val="de-DE"/>
        </w:rPr>
        <w:t>2</w:t>
      </w:r>
      <w:r w:rsidRPr="00476171">
        <w:rPr>
          <w:rFonts w:ascii="Times New Roman" w:hAnsi="Times New Roman"/>
          <w:noProof/>
          <w:sz w:val="24"/>
          <w:lang w:val="de-DE"/>
        </w:rPr>
        <w:t>/J für Nichtwohngebäude.</w:t>
      </w:r>
    </w:p>
    <w:p w14:paraId="04966185" w14:textId="6EFA12B4" w:rsidR="00223D4D" w:rsidRPr="00476171" w:rsidRDefault="00817828" w:rsidP="0029217D">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Ein Vergleich der kostenoptimalen Niveaus für 2013 und 2018 zeigt, dass für fast alle Gebäudetypen in den Mitgliedstaaten eine Verringerung des Primärenergiebedarfs zu beobachten war, wobei die durchschnittlichen Werte bei neuen Wohn- und Bürogebäuden um 21 % bzw. 11 % und bei bestehenden Wohn- und Bürogebäuden um 14 % bzw. 12 % gesunken sind.</w:t>
      </w:r>
    </w:p>
    <w:p w14:paraId="49C963E1" w14:textId="5D65FAF9" w:rsidR="002A14A5" w:rsidRPr="00476171" w:rsidRDefault="001F5A98" w:rsidP="0029217D">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Die Mitgliedstaaten haben die Methode zur Berechnung kostenoptimaler Niveaus angewendet, um Mindestanforderungen an die Gesamtenergieeffizienz von neuen und bestehenden Gebäuden, auch von Niedrigstenergiegebäuden, festzulegen. Ungeachtet der Unterschiede zwischen den Mitgliedstaaten in Bezug auf Gebäudetypen, Märkte und Klima sowie Lösungen für erneuerbare Energien sind die kostenoptimalen Mindestanforderungen an die Gesamtenergieeffizienz in der Regel schlechter als die Anforderungen an Niedrigstenergiegebäude (in einigen Mitgliedstaaten sind die Anforderungen an kostenoptimale Niveaus und Niedrigstenergiegebäude ähnlich).</w:t>
      </w:r>
    </w:p>
    <w:p w14:paraId="2AB1B5D0" w14:textId="48289E1A" w:rsidR="002410FD" w:rsidRPr="00476171" w:rsidRDefault="002410FD" w:rsidP="0029217D">
      <w:pPr>
        <w:spacing w:line="276" w:lineRule="auto"/>
        <w:jc w:val="both"/>
        <w:rPr>
          <w:rFonts w:ascii="Times New Roman" w:eastAsia="EC Square Sans Pro" w:hAnsi="Times New Roman" w:cs="Times New Roman"/>
          <w:noProof/>
          <w:sz w:val="24"/>
          <w:lang w:val="de-DE"/>
        </w:rPr>
      </w:pPr>
    </w:p>
    <w:p w14:paraId="55A48E7B" w14:textId="472D92EC" w:rsidR="00B01327" w:rsidRPr="00476171" w:rsidRDefault="00506D7B" w:rsidP="001A1BDF">
      <w:pPr>
        <w:pStyle w:val="ListParagraph"/>
        <w:numPr>
          <w:ilvl w:val="0"/>
          <w:numId w:val="8"/>
        </w:numPr>
        <w:spacing w:line="276" w:lineRule="auto"/>
        <w:rPr>
          <w:rFonts w:ascii="Times New Roman" w:eastAsia="Times New Roman" w:hAnsi="Times New Roman" w:cs="Times New Roman"/>
          <w:noProof/>
          <w:color w:val="000000" w:themeColor="text1"/>
          <w:sz w:val="24"/>
          <w:lang w:val="de-DE"/>
        </w:rPr>
      </w:pPr>
      <w:r w:rsidRPr="00476171">
        <w:rPr>
          <w:rFonts w:ascii="Times New Roman" w:hAnsi="Times New Roman"/>
          <w:noProof/>
          <w:color w:val="000000" w:themeColor="text1"/>
          <w:sz w:val="24"/>
          <w:lang w:val="de-DE"/>
        </w:rPr>
        <w:t>Schlussfolgerung</w:t>
      </w:r>
    </w:p>
    <w:p w14:paraId="1A86C264" w14:textId="21449AB1" w:rsidR="00524FC0" w:rsidRPr="00476171" w:rsidRDefault="00524FC0" w:rsidP="00524FC0">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 xml:space="preserve">2020 wurden sowohl die Ziele für den Primär- als auch für den Endenergieverbrauch übertroffen, was in hohem Maße auf die COVID-19-Pandemie zurückzuführen war. Alle Mitgliedstaaten haben ihre nationalen Energieeinsparverpflichtungen für 2020 erfüllt, ausgenommen Belgien, Bulgarien und Polen im Hinblick auf den Primärenergieverbrauch sowie Belgien, Bulgarien, Deutschland, Litauen, Österreich und Schweden im Hinblick auf den Endenergieverbrauch. </w:t>
      </w:r>
    </w:p>
    <w:p w14:paraId="48C2FAE0" w14:textId="26AFAFAB" w:rsidR="00B01327" w:rsidRPr="00476171" w:rsidRDefault="00B01327" w:rsidP="00B01327">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In Bezug auf den Fortschritt zur Erreichung des für 2030 gesetzten Einsparziels von 32,5 % gegenüber dem Referenzszenario 2007 zeigte sich, dass der Endenergieverbrauch und der Primärenergieverbrauch der EU im Jahr 2020 um 7,2 % bzw. 9,6 % über den Zielvorgaben für 2030 lagen. Wenn die EU eine strukturelle Senkung des Energieverbrauchs anstrebt und das von der Kommission im REPowerEU-Plan vorgeschlagene neue Ziel von 13 % erreichen will, sind weitaus mehr Anstrengungen erforderlich.</w:t>
      </w:r>
    </w:p>
    <w:p w14:paraId="7EB8E41D" w14:textId="47EFF016" w:rsidR="003D36CA" w:rsidRPr="00476171" w:rsidRDefault="00DD1CD6" w:rsidP="00B01327">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Was Artikel 7 der EED anbelangt, so betrugen die kumulierten Energieeinsparungen im Zeitraum 2014–2020 in 24 Mitgliedstaaten 197,4 Mio. t RÖE, was 103 % der Summe der kumulierten Endenergieeinsparverpflichtungen für den Zeitraum 2014–2020 (191,7 Mio. t RÖE) entspricht; für 27 Mitgliedstaaten sind es 97,5 % (202,5 Mio. t RÖE). In Abhängigkeit von den in den drei fehlenden Mitgliedstaaten erreichten Werten könnte die Summe der von den 27 Mitgliedstaaten geforderten kumulierten Einsparungen für die Einhaltung der Zielvorgaben ausreichen. 14 der 24 Mitgliedstaaten, die die vollständigen Daten zu den erreichten Werten vorgelegt haben, haben ihre Endenergieeinsparverpflichtungen erfüllt, was den zehn übrigen Staaten hingegen nicht gelungen ist.</w:t>
      </w:r>
    </w:p>
    <w:p w14:paraId="35745D9C" w14:textId="57FED257" w:rsidR="00BB7139" w:rsidRPr="00476171" w:rsidRDefault="003D36CA" w:rsidP="00B01327">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Die Informationslücken hinsichtlich Artikel 5 der EED sowie die unterschiedlichen Ansätze der Mitgliedstaaten bei der Berichterstattung lassen es nicht zu, den Grad der Zielerreichung auf EU-Ebene zu ermitteln. Dennoch haben die meisten Mitgliedstaaten entweder die jährliche Verpflichtung im Jahr 2020 oder die Gesamtverpflichtung für den Zeitraum 2014–2020 erfüllt.</w:t>
      </w:r>
    </w:p>
    <w:p w14:paraId="119B6ABF" w14:textId="628B3992" w:rsidR="00682882" w:rsidRPr="00476171" w:rsidRDefault="00682882" w:rsidP="00682882">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Um die Klima- und Energieziele für 2030 zu erreichen, muss der Energieeffizienz Priorität eingeräumt werden. Um ihre Bemühungen zu verstärken, legte die Kommission im Juli 2021 einen Vorschlag für eine Neufassung der Energieeffizienzrichtlinie vor. In dem Vorschlag werden neue, ehrgeizigere Ziele und Anwendungsbereiche für die genannten Artikel festgelegt. Daher ist es von entscheidender Bedeutung, dass die Berichterstattung der Mitgliedstaaten in den anstehenden integrierten nationalen energie- und klimabezogenen Fortschrittsberichten (Artikel 17 der Governance-Verordnung) und in den nationalen Energie- und Klimaplänen vollständig und kohärent ist, damit sowohl die Kommission als auch die Mitgliedstaaten die Fortschritte bei der Verwirklichung der Energieeffizienzziele bewerten und den möglichen Bedarf an neuen strategischen Maßnahmen ermitteln können.</w:t>
      </w:r>
    </w:p>
    <w:p w14:paraId="430369D5" w14:textId="5CC296AB" w:rsidR="00564AD5" w:rsidRPr="00476171" w:rsidRDefault="00DD1CD6" w:rsidP="00564AD5">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Für die Renovierungswelle ist es wichtig, die Dynamik beizubehalten und klare und ehrgeizige Maßnahmen und Mechanismen einzuführen, mit denen sichergestellt werden kann, dass die Renovierungsquote der Gebäude steigt und das Energieeffizienzpotenzial der Gebäude deutlich stärker als heute ausgeschöpft wird, um zur Erreichung des Energieeffizienzziels, zur Senkung des Energiebedarfs und zur Senkung der Energiekosten für die Bürgerinnen und Bürger beizutragen.</w:t>
      </w:r>
    </w:p>
    <w:p w14:paraId="039BD024" w14:textId="795EA806" w:rsidR="00E13DAB" w:rsidRPr="00476171" w:rsidRDefault="00817828" w:rsidP="00564AD5">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Langfristige Strategien zielen darauf ab, die kosteneffiziente Renovierung bestehender Gebäude zu beschleunigen und für eine höhere Zahl umfassender Renovierungen zu sorgen. Aufgrund der unterschiedlichen nationalen Ansätze zur Festlegung von Renovierungszielen ist es schwierig, diese Ziele unmittelbar zu vergleichen und ein aggregiertes EU-Ziel abzuschätzen. In der Analyse der Kommission wird hervorgehoben, dass die Anstrengungen einiger Mitgliedstaaten nicht ausreichen werden, um ihren Gebäudebestand bis 2050 vollständig zu dekarbonisieren, weshalb weitere Maßnahmen und ehrgeizigere Ziele erforderlich sein werden. Mit dem Vorschlag der Kommission zur Überarbeitung der EPBD werden die Anforderungen an die langfristigen Renovierungsstrategien (die in nationale Gebäuderenovierungspläne umbenannt würden) gestärkt und gestrafft, sodass diese zu strategischen Planungs- und Berichterstattungsinstrumenten würden, die in höherem Maße auf Maßnahmen mit klaren, bezifferten, vergleichbaren und überprüfbaren Zielen, Meilensteinen und Ressourcen fokussiert wären.</w:t>
      </w:r>
    </w:p>
    <w:p w14:paraId="2622FDC0" w14:textId="57BDDCBB" w:rsidR="003E351F" w:rsidRPr="00476171" w:rsidRDefault="00E43886" w:rsidP="00E43886">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 xml:space="preserve">Niedrigstenergiegebäude wurden zum 31. Dezember 2020 der Standard für neue Gebäude in den Mitgliedstaaten, was sich als zukunftssichere Perspektive für den Bausektor erwiesen hat, sodass auch die Interessenträger mobilisiert werden konnten. Der Anteil der Niedrigstenergiegebäude am Gebäudebestand ist nach wie vor gering, aber es wird erwartet, dass die Zahl der Niedrigstenergiegebäude in den kommenden Jahren steigt, wodurch der Weg für Nullemissionsgebäude geebnet wird, wie im Vorschlag der Kommission zur Überarbeitung der EPBD vorgeschlagen. </w:t>
      </w:r>
    </w:p>
    <w:p w14:paraId="312CC090" w14:textId="5C03B063" w:rsidR="00AC6A80" w:rsidRPr="00476171" w:rsidRDefault="009554FB" w:rsidP="00BB7139">
      <w:pPr>
        <w:spacing w:line="276" w:lineRule="auto"/>
        <w:jc w:val="both"/>
        <w:rPr>
          <w:rFonts w:ascii="Times New Roman" w:eastAsia="EC Square Sans Pro" w:hAnsi="Times New Roman" w:cs="Times New Roman"/>
          <w:noProof/>
          <w:sz w:val="24"/>
          <w:lang w:val="de-DE"/>
        </w:rPr>
      </w:pPr>
      <w:r w:rsidRPr="00476171">
        <w:rPr>
          <w:rFonts w:ascii="Times New Roman" w:hAnsi="Times New Roman"/>
          <w:noProof/>
          <w:sz w:val="24"/>
          <w:lang w:val="de-DE"/>
        </w:rPr>
        <w:t>Darüber hinaus hat sich sowohl für neue als auch für bestehende Gebäude die Wahl einer kostenoptimalen Methode als effizienter Ansatz erwiesen, um bestehende nationale Anforderungen an die Gesamtenergieeffizienz auf kostenoptimale Niveaus zu bringen. Die Mindestanforderungen an die Gesamtenergieeffizienz sind in den letzten zehn Jahren kontinuierlich gestiegen und haben einen großen Beitrag zur Verbesserung des Gebäudebestands der EU geleistet. Die jüngste Überprüfung der EPBD durch die Kommission hat gezeigt, dass der Rahmen zur Berechnung kostenoptimaler Niveaus aktualisiert werden muss, um den Kosten von Treibhausgasemissionen und den Auswirkungen externer Effekte auf Umwelt und Gesundheit in stärkerem Maße Rechnung zu tragen.</w:t>
      </w:r>
    </w:p>
    <w:p w14:paraId="1492B649" w14:textId="0CDB78E8" w:rsidR="007318C0" w:rsidRPr="00476171" w:rsidRDefault="007318C0" w:rsidP="007318C0">
      <w:pPr>
        <w:pStyle w:val="CommentText"/>
        <w:rPr>
          <w:noProof/>
          <w:lang w:val="de-DE"/>
        </w:rPr>
      </w:pPr>
    </w:p>
    <w:sectPr w:rsidR="007318C0" w:rsidRPr="00476171" w:rsidSect="0014314E">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43E7" w14:textId="77777777" w:rsidR="00FF3E37" w:rsidRDefault="00FF3E37">
      <w:pPr>
        <w:spacing w:after="0" w:line="240" w:lineRule="auto"/>
      </w:pPr>
      <w:r>
        <w:separator/>
      </w:r>
    </w:p>
  </w:endnote>
  <w:endnote w:type="continuationSeparator" w:id="0">
    <w:p w14:paraId="74EE28E8" w14:textId="77777777" w:rsidR="00FF3E37" w:rsidRDefault="00FF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w:altName w:val="Bahnschrift Light"/>
    <w:charset w:val="00"/>
    <w:family w:val="swiss"/>
    <w:pitch w:val="variable"/>
    <w:sig w:usb0="00000001"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EC Square Sans Cond Pro">
    <w:altName w:val="Bahnschrift Light"/>
    <w:charset w:val="00"/>
    <w:family w:val="swiss"/>
    <w:pitch w:val="variable"/>
    <w:sig w:usb0="00000001" w:usb1="500000D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477A" w14:textId="77777777" w:rsidR="004969B1" w:rsidRPr="004969B1" w:rsidRDefault="004969B1" w:rsidP="00496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E90E" w14:textId="6528E08F" w:rsidR="00FF3E37" w:rsidRPr="004969B1" w:rsidRDefault="004969B1" w:rsidP="004969B1">
    <w:pPr>
      <w:pStyle w:val="FooterCoverPage"/>
      <w:rPr>
        <w:rFonts w:ascii="Arial" w:hAnsi="Arial" w:cs="Arial"/>
        <w:b/>
        <w:sz w:val="48"/>
      </w:rPr>
    </w:pPr>
    <w:r w:rsidRPr="004969B1">
      <w:rPr>
        <w:rFonts w:ascii="Arial" w:hAnsi="Arial" w:cs="Arial"/>
        <w:b/>
        <w:sz w:val="48"/>
      </w:rPr>
      <w:t>DE</w:t>
    </w:r>
    <w:r w:rsidRPr="004969B1">
      <w:rPr>
        <w:rFonts w:ascii="Arial" w:hAnsi="Arial" w:cs="Arial"/>
        <w:b/>
        <w:sz w:val="48"/>
      </w:rPr>
      <w:tab/>
    </w:r>
    <w:r w:rsidRPr="004969B1">
      <w:rPr>
        <w:rFonts w:ascii="Arial" w:hAnsi="Arial" w:cs="Arial"/>
        <w:b/>
        <w:sz w:val="48"/>
      </w:rPr>
      <w:tab/>
    </w:r>
    <w:r w:rsidRPr="004969B1">
      <w:tab/>
    </w:r>
    <w:r w:rsidRPr="004969B1">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16719" w14:textId="77777777" w:rsidR="004969B1" w:rsidRPr="004969B1" w:rsidRDefault="004969B1" w:rsidP="004969B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6E7EF" w14:textId="77777777" w:rsidR="00FF3E37" w:rsidRDefault="00FF3E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840133"/>
      <w:docPartObj>
        <w:docPartGallery w:val="Page Numbers (Bottom of Page)"/>
        <w:docPartUnique/>
      </w:docPartObj>
    </w:sdtPr>
    <w:sdtEndPr/>
    <w:sdtContent>
      <w:p w14:paraId="3074D2B8" w14:textId="6F51580F" w:rsidR="00FF3E37" w:rsidRDefault="00FF3E3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969B1">
          <w:rPr>
            <w:noProof/>
          </w:rPr>
          <w:t>12</w:t>
        </w:r>
        <w:r>
          <w:rPr>
            <w:color w:val="2B579A"/>
            <w:shd w:val="clear" w:color="auto" w:fill="E6E6E6"/>
          </w:rPr>
          <w:fldChar w:fldCharType="end"/>
        </w:r>
      </w:p>
    </w:sdtContent>
  </w:sdt>
  <w:p w14:paraId="0CC4B7BC" w14:textId="77777777" w:rsidR="00FF3E37" w:rsidRDefault="00FF3E37" w:rsidP="7418C5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711C" w14:textId="77777777" w:rsidR="00FF3E37" w:rsidRDefault="00FF3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582D5" w14:textId="77777777" w:rsidR="00FF3E37" w:rsidRDefault="00FF3E37">
      <w:pPr>
        <w:spacing w:after="0" w:line="240" w:lineRule="auto"/>
      </w:pPr>
      <w:r>
        <w:separator/>
      </w:r>
    </w:p>
  </w:footnote>
  <w:footnote w:type="continuationSeparator" w:id="0">
    <w:p w14:paraId="7DBA25B0" w14:textId="77777777" w:rsidR="00FF3E37" w:rsidRDefault="00FF3E37">
      <w:pPr>
        <w:spacing w:after="0" w:line="240" w:lineRule="auto"/>
      </w:pPr>
      <w:r>
        <w:continuationSeparator/>
      </w:r>
    </w:p>
  </w:footnote>
  <w:footnote w:id="1">
    <w:p w14:paraId="16105B12" w14:textId="1A620F81"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Zehn Mitgliedstaaten haben in ihren Mitteilungen nach Artikel 3 die COVID-19-Pandemie ausdrücklich als einen der Einflussfaktoren für das Erreichen der Vorgaben für 2020 genannt.</w:t>
      </w:r>
    </w:p>
  </w:footnote>
  <w:footnote w:id="2">
    <w:p w14:paraId="57DD2262" w14:textId="77777777" w:rsidR="00FF3E37" w:rsidRPr="000600BE" w:rsidRDefault="00FF3E37" w:rsidP="00762E0D">
      <w:pPr>
        <w:pStyle w:val="FootnoteText"/>
      </w:pPr>
      <w:r>
        <w:footnoteRef/>
      </w:r>
      <w:r>
        <w:rPr>
          <w:rFonts w:ascii="Times New Roman" w:hAnsi="Times New Roman"/>
        </w:rPr>
        <w:t xml:space="preserve"> Tsemekidi-Tzeiranaki, S., Paci, D., Clementi, E., Gonzales Torres, M., Analysis of the Reports on 2020 Targets under Article 27 of the Governance Regulation – Energy Efficiency, 2022.</w:t>
      </w:r>
    </w:p>
  </w:footnote>
  <w:footnote w:id="3">
    <w:p w14:paraId="7725CE26" w14:textId="17E7D15E" w:rsidR="00FF3E37" w:rsidRPr="00DA0567" w:rsidRDefault="00FF3E37" w:rsidP="00DA0567">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Tsemekidi-Tzeiranaki, S., Paci, D., Clementi, E., Gonzales Torres, M., Analysis of the Reports on 2020 Targets under Article 27 of the Governance Regulation – Energy Efficiency, 2022.</w:t>
      </w:r>
    </w:p>
  </w:footnote>
  <w:footnote w:id="4">
    <w:p w14:paraId="0C82759E" w14:textId="438E43DC" w:rsidR="00FF3E37" w:rsidRPr="007659B5" w:rsidRDefault="00FF3E37" w:rsidP="00DA0567">
      <w:pPr>
        <w:pStyle w:val="FootnoteText"/>
        <w:rPr>
          <w:rFonts w:ascii="Times New Roman" w:hAnsi="Times New Roman" w:cs="Times New Roman"/>
          <w:color w:val="1F497D"/>
          <w:sz w:val="18"/>
          <w:lang w:val="de-DE"/>
        </w:rPr>
      </w:pPr>
      <w:r>
        <w:rPr>
          <w:rFonts w:ascii="Times New Roman" w:hAnsi="Times New Roman" w:cs="Times New Roman"/>
        </w:rPr>
        <w:footnoteRef/>
      </w:r>
      <w:r w:rsidRPr="007659B5">
        <w:rPr>
          <w:rFonts w:ascii="Times New Roman" w:hAnsi="Times New Roman"/>
          <w:lang w:val="de-DE"/>
        </w:rPr>
        <w:t xml:space="preserve"> Die Energieintensität wird häufig als Indikator für die Energieeffizienz eines Landes verwendet. Sie wird als Verhältnis zwischen Energieverbrauchsdaten und Daten der Wirtschaftstätigkeit dargestellt. Im vorliegenden Fall wird die Endenergieintensität als Verhältnis zwischen dem Endenergieverbrauch und dem Bruttoinlandsprodukt (BIP) der EU-27 berechnet.</w:t>
      </w:r>
    </w:p>
  </w:footnote>
  <w:footnote w:id="5">
    <w:p w14:paraId="1F2C2ADE" w14:textId="0F38AD97" w:rsidR="00FF3E37" w:rsidRPr="005C344F" w:rsidRDefault="00FF3E37" w:rsidP="00762E0D">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Tsemekidi-Tzeiranaki, S., Paci, D., Clementi, E., Gonzales Torres, M., Analysis of the Reports on 2020 Targets under Article 27 of the Governance Regulation – Energy Efficiency, 2022.</w:t>
      </w:r>
    </w:p>
  </w:footnote>
  <w:footnote w:id="6">
    <w:p w14:paraId="0EC256D9" w14:textId="4CDF3EE0" w:rsidR="00FF3E37" w:rsidRPr="00DA0567" w:rsidRDefault="00FF3E37" w:rsidP="00762E0D">
      <w:pPr>
        <w:pStyle w:val="FootnoteText"/>
        <w:rPr>
          <w:rFonts w:ascii="Times New Roman" w:hAnsi="Times New Roman" w:cs="Times New Roman"/>
        </w:rPr>
      </w:pPr>
      <w:r>
        <w:rPr>
          <w:rFonts w:ascii="Times New Roman" w:hAnsi="Times New Roman"/>
        </w:rPr>
        <w:t>6 Tsemekidi-Tzeiranaki, S., Paci, D., Clementi, E., Gonzales Torres, M., Analysis of the Reports on 2020 Targets under Article 27 of the Governance Regulation – Energy Efficiency, 2022.</w:t>
      </w:r>
    </w:p>
  </w:footnote>
  <w:footnote w:id="7">
    <w:p w14:paraId="72A0A3EC" w14:textId="77777777"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Diese spiegeln Veränderungen des Energieverbrauchs infolge von Vermögensänderungen wider, die in der Pro-Kopf-Gesamtfläche von Wohnungen für den Wärme-Endverbrauch und im pro Kopf verfügbaren Bruttoeinkommen in Kaufkraftstandard für alle anderen Endverbrauchssektoren zum Ausdruck kommen.</w:t>
      </w:r>
    </w:p>
  </w:footnote>
  <w:footnote w:id="8">
    <w:p w14:paraId="4DB66C50" w14:textId="77777777" w:rsidR="00FF3E37" w:rsidRPr="007659B5" w:rsidRDefault="00FF3E37" w:rsidP="00DA0567">
      <w:pPr>
        <w:pStyle w:val="FootnoteText"/>
        <w:rPr>
          <w:rFonts w:ascii="Times New Roman" w:hAnsi="Times New Roman" w:cs="Times New Roman"/>
          <w:color w:val="1F497D"/>
          <w:sz w:val="18"/>
          <w:lang w:val="de-DE"/>
        </w:rPr>
      </w:pPr>
      <w:r>
        <w:rPr>
          <w:rFonts w:ascii="Times New Roman" w:hAnsi="Times New Roman" w:cs="Times New Roman"/>
        </w:rPr>
        <w:footnoteRef/>
      </w:r>
      <w:r w:rsidRPr="007659B5">
        <w:rPr>
          <w:rFonts w:ascii="Times New Roman" w:hAnsi="Times New Roman"/>
          <w:lang w:val="de-DE"/>
        </w:rPr>
        <w:t xml:space="preserve"> Die Intensität wird berechnet als das Verhältnis zwischen Endenergieverbrauch und Gesamtfläche dividiert durch das verfügbare Bruttoeinkommen der Haushalte.</w:t>
      </w:r>
    </w:p>
  </w:footnote>
  <w:footnote w:id="9">
    <w:p w14:paraId="0898C73B" w14:textId="77777777" w:rsidR="00FF3E37" w:rsidRPr="000600BE" w:rsidRDefault="00FF3E37" w:rsidP="00762E0D">
      <w:pPr>
        <w:pStyle w:val="FootnoteText"/>
      </w:pPr>
      <w:r>
        <w:rPr>
          <w:rFonts w:ascii="Times New Roman" w:hAnsi="Times New Roman" w:cs="Times New Roman"/>
        </w:rPr>
        <w:footnoteRef/>
      </w:r>
      <w:r>
        <w:rPr>
          <w:rFonts w:ascii="Times New Roman" w:hAnsi="Times New Roman"/>
        </w:rPr>
        <w:t xml:space="preserve"> Tsemekidi-Tzeiranaki, S., Paci, D., Clementi, E., Gonzales Torres, M., Analysis of the Reports on 2020 Targets under Article 27 of the Governance Regulation – Energy Efficiency, 2022.</w:t>
      </w:r>
    </w:p>
  </w:footnote>
  <w:footnote w:id="10">
    <w:p w14:paraId="16CB4362" w14:textId="77777777" w:rsidR="00FF3E37" w:rsidRPr="00DA0567" w:rsidRDefault="00FF3E37" w:rsidP="00762E0D">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Tsemekidi-Tzeiranaki, S., Paci, D., Clementi, E., Gonzales Torres, M., Analysis of the Reports on 2020 Targets under Article 27 of the Governance Regulation – Energy Efficiency, 2022.</w:t>
      </w:r>
    </w:p>
  </w:footnote>
  <w:footnote w:id="11">
    <w:p w14:paraId="2556D2DF" w14:textId="77777777" w:rsidR="00FF3E37" w:rsidRPr="007659B5" w:rsidRDefault="00FF3E37" w:rsidP="003130FE">
      <w:pPr>
        <w:pStyle w:val="FootnoteText"/>
        <w:rPr>
          <w:rFonts w:ascii="Times New Roman" w:eastAsia="Calibri" w:hAnsi="Times New Roman" w:cs="Times New Roman"/>
          <w:sz w:val="18"/>
          <w:lang w:val="de-DE"/>
        </w:rPr>
      </w:pPr>
      <w:r>
        <w:rPr>
          <w:rFonts w:ascii="Times New Roman" w:hAnsi="Times New Roman" w:cs="Times New Roman"/>
        </w:rPr>
        <w:footnoteRef/>
      </w:r>
      <w:r w:rsidRPr="007659B5">
        <w:rPr>
          <w:rFonts w:ascii="Times New Roman" w:hAnsi="Times New Roman"/>
          <w:lang w:val="de-DE"/>
        </w:rPr>
        <w:t xml:space="preserve"> COM(2021) 558 final.</w:t>
      </w:r>
    </w:p>
  </w:footnote>
  <w:footnote w:id="12">
    <w:p w14:paraId="7A582119" w14:textId="2092FBE6" w:rsidR="00FF3E37" w:rsidRPr="007659B5" w:rsidRDefault="00FF3E3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Für Frankreich wurden die Ziele sowohl für den Primärenergieverbrauch als auch für den Endenergieverbrauch angepasst, um den internationalen Luftverkehr mit einem geschätzten Verbrauch von 6,5 Mio. t RÖE einzubeziehen. </w:t>
      </w:r>
    </w:p>
  </w:footnote>
  <w:footnote w:id="13">
    <w:p w14:paraId="40A96B77" w14:textId="77777777"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Aus dem Bericht Spaniens: „Die Gesamtfläche [m²] der im Jahr 2020 im Zusammenhang mit Art. 5 Abs. 6 renovierten Gebäude betrug 304 763 m². Dies entspricht einer zu 109%igen Erfüllung des Ziels von 279 944 m² (berechnet als 3 % der Gesamtfläche von 9 331 465 m² der Gebäude, die am 1. Januar 2020 die Gesamtenergieeffizienzanforderungen gemäß Artikel 5 Absatz 1 nicht erfüllten). Unter Berücksichtigung der im Zeitraum 2014–2020 renovierten Grundfläche von 1 930 977 m² wurden 96 % des Ziels von 2 016 921 m² erreicht.</w:t>
      </w:r>
    </w:p>
    <w:p w14:paraId="3E8C915E" w14:textId="77777777" w:rsidR="00FF3E37" w:rsidRPr="007659B5" w:rsidRDefault="00FF3E37" w:rsidP="00DA0567">
      <w:pPr>
        <w:pStyle w:val="FootnoteText"/>
        <w:rPr>
          <w:rFonts w:ascii="Times New Roman" w:hAnsi="Times New Roman" w:cs="Times New Roman"/>
          <w:lang w:val="de-DE"/>
        </w:rPr>
      </w:pPr>
      <w:r w:rsidRPr="007659B5">
        <w:rPr>
          <w:rFonts w:ascii="Times New Roman" w:hAnsi="Times New Roman"/>
          <w:lang w:val="de-DE"/>
        </w:rPr>
        <w:t>Aus dem Bericht Italiens: „Die Differenz zum Gesamtwert der in der oberen Zeile genannten Fläche gibt die Gesamtfläche der beheizten und/oder gekühlten Gebäude mit einer Gesamtnutzfläche von mehr als 250 m² an, die sich im Eigentum der zentralen öffentlichen Verwaltung befinden und von dieser genutzt werden, die saniert wurden oder deren Sanierung im Laufe des Jahres geplant war.“</w:t>
      </w:r>
    </w:p>
  </w:footnote>
  <w:footnote w:id="14">
    <w:p w14:paraId="31B19486" w14:textId="77777777"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Sofern nicht anders angegeben, wird die jährliche Renovierungspflicht berechnet, indem die im Vorjahr gemeldete Nichteinhaltung der Mindestanforderungen an die Gesamtenergieeffizienz für die Grundfläche mit 3 % multipliziert wird.</w:t>
      </w:r>
    </w:p>
  </w:footnote>
  <w:footnote w:id="15">
    <w:p w14:paraId="049B9633" w14:textId="77777777"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Luxemburg: Das allgemeine Ziel für den gesamten Zeitraum wurde übertroffen. Daher sind 2020 keine weiteren Gebäude renoviert worden.</w:t>
      </w:r>
    </w:p>
  </w:footnote>
  <w:footnote w:id="16">
    <w:p w14:paraId="5FDDDADF" w14:textId="77777777"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Portugal: Der Bericht betraf das erste Jahr der Anwendung des Standardansatzes. Es war nicht möglich, den kumulierten Grad der Erfüllung der Vorgaben zu bewerten, da nur für 2019 und 2020 Angaben zur renovierten Fläche gemacht wurden.</w:t>
      </w:r>
    </w:p>
  </w:footnote>
  <w:footnote w:id="17">
    <w:p w14:paraId="1F145326" w14:textId="77777777" w:rsidR="00FF3E37" w:rsidRPr="007659B5" w:rsidRDefault="00FF3E37" w:rsidP="00DC7EB3">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Slowenien: Die Angaben zu den Jahren 2015 und 2016 fehlen, weshalb die im Zeitraum 2014–2020 erzielte Gesamtverpflichtung in Bezug auf die Grundfläche [%] nicht verfügbar ist.</w:t>
      </w:r>
    </w:p>
  </w:footnote>
  <w:footnote w:id="18">
    <w:p w14:paraId="4E3E06FC" w14:textId="77777777" w:rsidR="00FF3E37" w:rsidRPr="000600BE" w:rsidRDefault="00FF3E37" w:rsidP="00762E0D">
      <w:pPr>
        <w:pStyle w:val="FootnoteText"/>
      </w:pPr>
      <w:r>
        <w:rPr>
          <w:rFonts w:ascii="Times New Roman" w:hAnsi="Times New Roman" w:cs="Times New Roman"/>
        </w:rPr>
        <w:footnoteRef/>
      </w:r>
      <w:r>
        <w:rPr>
          <w:rFonts w:ascii="Times New Roman" w:hAnsi="Times New Roman"/>
        </w:rPr>
        <w:t xml:space="preserve"> Tsemekidi-Tzeiranaki, S., Paci, D., Clementi, E., Gonzales Torres, M., Analysis of the Reports on 2020 Targets under Article 27 of the Governance Regulation – Energy Efficiency, 2022.</w:t>
      </w:r>
    </w:p>
  </w:footnote>
  <w:footnote w:id="19">
    <w:p w14:paraId="0FBAA155" w14:textId="77777777"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Malta: Die Angaben zu den Jahren 2014–2020 fehlen, weshalb die im Zeitraum 2014–2020 erzielte Gesamtverpflichtung in Bezug auf die Grundfläche [%] nicht verfügbar ist.</w:t>
      </w:r>
    </w:p>
  </w:footnote>
  <w:footnote w:id="20">
    <w:p w14:paraId="05CBE56B" w14:textId="77777777"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Zypern: Krankenhäuser und Gesundheitszentren wurden 2020 von der Liste gestrichen, da sie nicht in den Zuständigkeitsbereich des Gesundheitsministeriums, sondern unter die Verwaltung der Organisation der staatlichen Gesundheitsdienste (State Health Services Organisation, SHSO) fielen. Die SHSO ist unabhängig von der Zentralregierung und wurde im Rahmen der jüngsten Reform des öffentlichen Gesundheitswesens eingerichtet. Das auf der langfristigen Renovierungsstrategie 2021–2030 basierende neue jährliche Energieeinsparziel liegt bei 1,31 GWh. Das Ziel für 2020 wird daher bei 1,31 GWh anstatt bei 3,316 GWh liegen.</w:t>
      </w:r>
    </w:p>
  </w:footnote>
  <w:footnote w:id="21">
    <w:p w14:paraId="7A2CDB70" w14:textId="77777777"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Aus dem Bericht Kroatiens: „Das Ziel für 2020 wurde nicht erreicht. Im Jahr 2020 wurden 205 Vorhaben für energetische Renovierungen öffentlicher Gebäude abgeschlossen, doch keines dieser Gebäude befand sich im Eigentum der Zentralregierung und wurde von dieser genutzt. Es ist zu beachten, dass das Jahr 2020 besonders problematisch war, da es in Kroatien mitten in der COVID-19-Pandemie zu verheerenden Erdbeben gekommen ist, durch die sich die Renovierung von Gebäuden erheblich verlangsamt hat und Renovierungsfristen verschoben werden mussten.“</w:t>
      </w:r>
    </w:p>
  </w:footnote>
  <w:footnote w:id="22">
    <w:p w14:paraId="25EB3FEA" w14:textId="77777777"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Niederlande: Die kumulierten Einsparungen von Energie (Gas, Wärme und Strom), die in Gebäuden verbraucht wurde, die sich im Eigentum der Zentralregierung befanden und von dieser genutzt wurden, beliefen sich im Zeitraum 2014–2021 auf 227 kt RÖE. Dies entspricht einer durchschnittlichen jährlichen Verringerung des Energieverbrauchs um 5 % (2021: </w:t>
      </w:r>
      <w:r w:rsidRPr="007659B5">
        <w:rPr>
          <w:rFonts w:ascii="Times New Roman" w:hAnsi="Times New Roman"/>
          <w:lang w:val="de-DE"/>
        </w:rPr>
        <w:noBreakHyphen/>
        <w:t>0,2 kt RÖE Energieeinsparungen, 2014–2021: 226,7 kt RÖE Energieeinsparungen).</w:t>
      </w:r>
    </w:p>
  </w:footnote>
  <w:footnote w:id="23">
    <w:p w14:paraId="4CFFC0F5" w14:textId="77777777"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Das jährliche Ziel Irlands wurde in zusätzlichen Informationen übermittelt, die das Land 2018 vorgelegt hat. Es wird davon ausgegangen, dass das Ziel im gesamten fraglichen Zeitraum gleich geblieben ist.</w:t>
      </w:r>
    </w:p>
  </w:footnote>
  <w:footnote w:id="24">
    <w:p w14:paraId="0A9A65C0" w14:textId="77777777" w:rsidR="00FF3E37" w:rsidRPr="00DA0567" w:rsidRDefault="00FF3E37" w:rsidP="00DA0567">
      <w:pPr>
        <w:pStyle w:val="FootnoteText"/>
        <w:rPr>
          <w:rFonts w:ascii="Times New Roman" w:hAnsi="Times New Roman" w:cs="Times New Roman"/>
        </w:rPr>
      </w:pPr>
      <w:r>
        <w:rPr>
          <w:rFonts w:ascii="Times New Roman" w:hAnsi="Times New Roman" w:cs="Times New Roman"/>
        </w:rPr>
        <w:footnoteRef/>
      </w:r>
      <w:r w:rsidRPr="007659B5">
        <w:rPr>
          <w:rFonts w:ascii="Times New Roman" w:hAnsi="Times New Roman"/>
          <w:lang w:val="de-DE"/>
        </w:rPr>
        <w:t xml:space="preserve"> Primärenergieeinsparungen: Belgien, Dänemark, Deutschland, Irland, Zypern und Polen. Endenergieeinsparungen: Tschechien, Spanien, Frankreich, Kroatien, Malta, Niederlande, Österreich, Slowenien und Finnland. </w:t>
      </w:r>
      <w:r>
        <w:rPr>
          <w:rFonts w:ascii="Times New Roman" w:hAnsi="Times New Roman"/>
        </w:rPr>
        <w:t>Unklar, ob Primär- oder Endenergieeinsparungen: Italien, Slowakei und Schweden.</w:t>
      </w:r>
    </w:p>
  </w:footnote>
  <w:footnote w:id="25">
    <w:p w14:paraId="6859E3FE" w14:textId="77777777" w:rsidR="00FF3E37" w:rsidRPr="000600BE" w:rsidRDefault="00FF3E37" w:rsidP="00DA0567">
      <w:pPr>
        <w:pStyle w:val="FootnoteText"/>
      </w:pPr>
      <w:r>
        <w:rPr>
          <w:rFonts w:ascii="Times New Roman" w:hAnsi="Times New Roman" w:cs="Times New Roman"/>
        </w:rPr>
        <w:footnoteRef/>
      </w:r>
      <w:r>
        <w:rPr>
          <w:rFonts w:ascii="Times New Roman" w:hAnsi="Times New Roman"/>
        </w:rPr>
        <w:t xml:space="preserve"> Tsemekidi-Tzeiranaki, S., Paci, D., Clementi, E., Gonzales Torres, M., Analysis of the Reports on 2020 Targets under Article 27 of the Governance Regulation – Energy Efficiency, 2022.</w:t>
      </w:r>
    </w:p>
  </w:footnote>
  <w:footnote w:id="26">
    <w:p w14:paraId="4CD5B024" w14:textId="0C71969F" w:rsidR="00FF3E37" w:rsidRPr="007659B5" w:rsidRDefault="00FF3E37" w:rsidP="75A0094A">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Für Kroatien, Ungarn und Rumänien liegen keine Daten vor.</w:t>
      </w:r>
    </w:p>
  </w:footnote>
  <w:footnote w:id="27">
    <w:p w14:paraId="3CD3264D" w14:textId="2A1D4171"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Die von den Mitgliedstaaten gemeldeten Daten werden noch evaluiert, und die Mitgliedstaaten haben zusätzliche Klarstellungen übermittelt. Die in diesem Bericht festgehaltenen Ergebnisse können sich daher noch ändern.</w:t>
      </w:r>
    </w:p>
  </w:footnote>
  <w:footnote w:id="28">
    <w:p w14:paraId="567D4671" w14:textId="77777777"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Bei den gemeldeten und genannten Daten werden potenzielle Bedenken hinsichtlich der Anrechenbarkeit, Zusätzlichkeit und Wesentlichkeit sowie Inkonsistenzen oder mögliche Fehler in den gemeldeten Daten nicht berücksichtigt.</w:t>
      </w:r>
    </w:p>
  </w:footnote>
  <w:footnote w:id="29">
    <w:p w14:paraId="1E125A5F" w14:textId="485E2ECA" w:rsidR="00FF3E37" w:rsidRPr="007659B5" w:rsidRDefault="00FF3E37" w:rsidP="00DC7EB3">
      <w:pPr>
        <w:pStyle w:val="FootnoteText"/>
        <w:rPr>
          <w:lang w:val="de-DE"/>
        </w:rPr>
      </w:pPr>
      <w:r>
        <w:rPr>
          <w:rFonts w:ascii="Times New Roman" w:hAnsi="Times New Roman" w:cs="Times New Roman"/>
        </w:rPr>
        <w:footnoteRef/>
      </w:r>
      <w:r w:rsidRPr="007659B5">
        <w:rPr>
          <w:rFonts w:ascii="Times New Roman" w:hAnsi="Times New Roman"/>
          <w:lang w:val="de-DE"/>
        </w:rPr>
        <w:t xml:space="preserve"> Die Analyse entspricht den im Meldeformular angegebenen Daten. Eine Überprüfung der Daten kann erfolgen, wenn von den Mitgliedstaaten weitere Klarstellungen vorgelegt werden.</w:t>
      </w:r>
    </w:p>
  </w:footnote>
  <w:footnote w:id="30">
    <w:p w14:paraId="79C796A3" w14:textId="77777777"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Energieeinsparungen wurden nur für 422 der 498 Maßnahmen gemeldet, entweder weil einige der gemeldeten Maßnahmen nicht umgesetzt wurden oder weil keine Energieeinsparungen gemeldet wurden, die darauf zurückzuführen waren.</w:t>
      </w:r>
    </w:p>
  </w:footnote>
  <w:footnote w:id="31">
    <w:p w14:paraId="78EAD768" w14:textId="77777777"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Die neuen Maßnahmen, die von den Mitgliedstaaten im Rahmen ihres Aufbau- und Resilienzplans oder zur Bewältigung der derzeitigen Energiekrise umgesetzt werden, sind in diesem Bericht nicht berücksichtigt, da dieser sich auf den Verpflichtungszeitraum 2014–2020 bezieht.</w:t>
      </w:r>
    </w:p>
  </w:footnote>
  <w:footnote w:id="32">
    <w:p w14:paraId="54EE0A24" w14:textId="547E1497" w:rsidR="00FF3E37" w:rsidRPr="007659B5" w:rsidRDefault="00FF3E37">
      <w:pPr>
        <w:pStyle w:val="FootnoteText"/>
        <w:rPr>
          <w:lang w:val="de-DE"/>
        </w:rPr>
      </w:pPr>
      <w:r>
        <w:rPr>
          <w:rFonts w:ascii="Times New Roman" w:hAnsi="Times New Roman" w:cs="Times New Roman"/>
        </w:rPr>
        <w:footnoteRef/>
      </w:r>
      <w:r w:rsidRPr="007659B5">
        <w:rPr>
          <w:rFonts w:ascii="Times New Roman" w:hAnsi="Times New Roman"/>
          <w:lang w:val="de-DE"/>
        </w:rPr>
        <w:t xml:space="preserve"> Nicht alle Mitgliedstaaten haben drei strategische Maßnahmen gemeldet.</w:t>
      </w:r>
    </w:p>
  </w:footnote>
  <w:footnote w:id="33">
    <w:p w14:paraId="03DC7E1E" w14:textId="460460C0" w:rsidR="00FF3E37" w:rsidRPr="007659B5" w:rsidRDefault="00FF3E37" w:rsidP="003260E2">
      <w:pPr>
        <w:pStyle w:val="FootnoteText"/>
        <w:rPr>
          <w:lang w:val="de-DE"/>
        </w:rPr>
      </w:pPr>
      <w:r>
        <w:rPr>
          <w:rFonts w:ascii="Times New Roman" w:hAnsi="Times New Roman" w:cs="Times New Roman"/>
        </w:rPr>
        <w:footnoteRef/>
      </w:r>
      <w:r w:rsidRPr="007659B5">
        <w:rPr>
          <w:rFonts w:ascii="Times New Roman" w:hAnsi="Times New Roman"/>
          <w:lang w:val="de-DE"/>
        </w:rPr>
        <w:t xml:space="preserve"> Die Analyse entspricht den im Meldeformular angegebenen Daten. Eine Überprüfung der Daten kann erfolgen, wenn von den Mitgliedstaaten weitere Klarstellungen vorgelegt werden.</w:t>
      </w:r>
    </w:p>
  </w:footnote>
  <w:footnote w:id="34">
    <w:p w14:paraId="213D6A1F" w14:textId="329E549E"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Griechenland, Kroatien, Ungarn und Rumänien meldeten weder die Zahl der großen Unternehmen noch die Zahl der in diesen Unternehmen durchgeführten Energieaudits.</w:t>
      </w:r>
    </w:p>
  </w:footnote>
  <w:footnote w:id="35">
    <w:p w14:paraId="62F2685E" w14:textId="2DE843F4" w:rsidR="00FF3E37" w:rsidRPr="00DA0567" w:rsidRDefault="00FF3E37">
      <w:pPr>
        <w:pStyle w:val="FootnoteText"/>
        <w:rPr>
          <w:rFonts w:ascii="Times New Roman" w:hAnsi="Times New Roman" w:cs="Times New Roman"/>
        </w:rPr>
      </w:pPr>
      <w:r>
        <w:rPr>
          <w:rFonts w:ascii="Times New Roman" w:hAnsi="Times New Roman" w:cs="Times New Roman"/>
        </w:rPr>
        <w:footnoteRef/>
      </w:r>
      <w:r w:rsidRPr="007659B5">
        <w:rPr>
          <w:rFonts w:ascii="Times New Roman" w:hAnsi="Times New Roman"/>
          <w:lang w:val="de-DE"/>
        </w:rPr>
        <w:t xml:space="preserve"> Für die vertikale Achse des Diagramms wird aus Darstellungsgründen eine logarithmische Skala verwendet. Malta und Spanien haben die Zahl der Großunternehmen 2020 nicht gemeldet. </w:t>
      </w:r>
      <w:r>
        <w:rPr>
          <w:rFonts w:ascii="Times New Roman" w:hAnsi="Times New Roman"/>
        </w:rPr>
        <w:t>Für Malta werden für 2020 die Daten von 2019 angenommen.</w:t>
      </w:r>
    </w:p>
  </w:footnote>
  <w:footnote w:id="36">
    <w:p w14:paraId="570AEA78" w14:textId="77777777" w:rsidR="00FF3E37" w:rsidRPr="000600BE" w:rsidRDefault="00FF3E37" w:rsidP="00762E0D">
      <w:pPr>
        <w:pStyle w:val="FootnoteText"/>
      </w:pPr>
      <w:r>
        <w:rPr>
          <w:rFonts w:ascii="Times New Roman" w:hAnsi="Times New Roman" w:cs="Times New Roman"/>
        </w:rPr>
        <w:footnoteRef/>
      </w:r>
      <w:r>
        <w:rPr>
          <w:rFonts w:ascii="Times New Roman" w:hAnsi="Times New Roman"/>
        </w:rPr>
        <w:t xml:space="preserve"> Tsemekidi-Tzeiranaki, S., Paci, D., Clementi, E., Gonzales Torres, M., Analysis of the Reports on 2020 Targets under Article 27 of the Governance Regulation – Energy Efficiency, 2022.</w:t>
      </w:r>
    </w:p>
  </w:footnote>
  <w:footnote w:id="37">
    <w:p w14:paraId="7BB438F0" w14:textId="1EBB258E" w:rsidR="00FF3E37" w:rsidRPr="007659B5" w:rsidRDefault="00FF3E37" w:rsidP="00F9277B">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Dies wird von einigen Mitgliedstaaten, z. B. NL und LV, ausdrücklich erwähnt.</w:t>
      </w:r>
    </w:p>
  </w:footnote>
  <w:footnote w:id="38">
    <w:p w14:paraId="4C1CEA52" w14:textId="77777777"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Aufgrund der Umstände der COVID-19-Pandemie verzögert sich bei einer Reihe von Mitgliedstaaten die Übermittlung ihrer langfristigen Renovierungsstrategien.</w:t>
      </w:r>
    </w:p>
  </w:footnote>
  <w:footnote w:id="39">
    <w:p w14:paraId="0C563B70" w14:textId="1BFEA026"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SWD(2021) 365 final/2: Analyse der nationalen langfristigen Renovierungsstrategien (die endgültige Fassung der Arbeitsunterlage soll in Kürze veröffentlicht werden).</w:t>
      </w:r>
    </w:p>
  </w:footnote>
  <w:footnote w:id="40">
    <w:p w14:paraId="6332DD86" w14:textId="18F88478" w:rsidR="00FF3E37" w:rsidRPr="00FF3E37" w:rsidRDefault="00FF3E37" w:rsidP="00223D4D">
      <w:pPr>
        <w:pStyle w:val="FootnoteText"/>
        <w:rPr>
          <w:rFonts w:ascii="Times New Roman" w:hAnsi="Times New Roman" w:cs="Times New Roman"/>
          <w:lang w:val="de-DE"/>
        </w:rPr>
      </w:pPr>
      <w:r>
        <w:rPr>
          <w:rFonts w:ascii="Times New Roman" w:hAnsi="Times New Roman" w:cs="Times New Roman"/>
        </w:rPr>
        <w:footnoteRef/>
      </w:r>
      <w:r w:rsidRPr="00FF3E37">
        <w:rPr>
          <w:rFonts w:ascii="Times New Roman" w:hAnsi="Times New Roman"/>
          <w:lang w:val="de-DE"/>
        </w:rPr>
        <w:t xml:space="preserve"> COM(2020) 662 final.</w:t>
      </w:r>
    </w:p>
  </w:footnote>
  <w:footnote w:id="41">
    <w:p w14:paraId="31695378" w14:textId="5AD42E13" w:rsidR="00FF3E37" w:rsidRPr="00FF3E37" w:rsidRDefault="00FF3E37" w:rsidP="00DA0567">
      <w:pPr>
        <w:pStyle w:val="FootnoteText"/>
        <w:rPr>
          <w:rFonts w:ascii="Times New Roman" w:hAnsi="Times New Roman" w:cs="Times New Roman"/>
          <w:sz w:val="18"/>
          <w:lang w:val="de-DE"/>
        </w:rPr>
      </w:pPr>
      <w:r>
        <w:rPr>
          <w:rFonts w:ascii="Times New Roman" w:hAnsi="Times New Roman" w:cs="Times New Roman"/>
        </w:rPr>
        <w:footnoteRef/>
      </w:r>
      <w:r w:rsidRPr="00FF3E37">
        <w:rPr>
          <w:rFonts w:ascii="Times New Roman" w:hAnsi="Times New Roman"/>
          <w:lang w:val="de-DE"/>
        </w:rPr>
        <w:t xml:space="preserve"> Castellazzi, L., Paci, D., et al. (2022), </w:t>
      </w:r>
      <w:r w:rsidRPr="00FF3E37">
        <w:rPr>
          <w:rFonts w:ascii="Times New Roman" w:hAnsi="Times New Roman"/>
          <w:i/>
          <w:iCs/>
          <w:lang w:val="de-DE"/>
        </w:rPr>
        <w:t>Assessment of the first long-term renovation strategies under the Energy Performance of Building Directive</w:t>
      </w:r>
      <w:r w:rsidRPr="00FF3E37">
        <w:rPr>
          <w:rFonts w:ascii="Times New Roman" w:hAnsi="Times New Roman"/>
          <w:lang w:val="de-DE"/>
        </w:rPr>
        <w:t>, Amt für Veröffentlichungen der Europäischen Union, Luxemburg (in Vorbereitung).</w:t>
      </w:r>
    </w:p>
  </w:footnote>
  <w:footnote w:id="42">
    <w:p w14:paraId="3668D3A7" w14:textId="5C4A0705" w:rsidR="00FF3E37" w:rsidRPr="00DA0567" w:rsidRDefault="00FF3E37" w:rsidP="00DA0567">
      <w:pPr>
        <w:pStyle w:val="FootnoteText"/>
        <w:rPr>
          <w:rFonts w:ascii="Times New Roman" w:hAnsi="Times New Roman" w:cs="Times New Roman"/>
        </w:rPr>
      </w:pPr>
      <w:r>
        <w:rPr>
          <w:rFonts w:ascii="Times New Roman" w:hAnsi="Times New Roman" w:cs="Times New Roman"/>
        </w:rPr>
        <w:footnoteRef/>
      </w:r>
      <w:r w:rsidRPr="007659B5">
        <w:rPr>
          <w:rFonts w:ascii="Times New Roman" w:hAnsi="Times New Roman"/>
          <w:lang w:val="de-DE"/>
        </w:rPr>
        <w:t xml:space="preserve"> Eigene Berechnungen der JRC auf der Grundlage der Berichterstattung der Mitgliedstaaten, 2022. </w:t>
      </w:r>
      <w:r>
        <w:rPr>
          <w:rFonts w:ascii="Times New Roman" w:hAnsi="Times New Roman"/>
        </w:rPr>
        <w:t>Siehe:</w:t>
      </w:r>
    </w:p>
    <w:p w14:paraId="7982B748" w14:textId="23B117B8" w:rsidR="00FF3E37" w:rsidRPr="00DA0567" w:rsidRDefault="00FF3E37" w:rsidP="00913D7B">
      <w:pPr>
        <w:pStyle w:val="FootnoteText"/>
        <w:numPr>
          <w:ilvl w:val="0"/>
          <w:numId w:val="16"/>
        </w:numPr>
        <w:rPr>
          <w:rFonts w:ascii="Times New Roman" w:hAnsi="Times New Roman" w:cs="Times New Roman"/>
        </w:rPr>
      </w:pPr>
      <w:r>
        <w:rPr>
          <w:rFonts w:ascii="Times New Roman" w:hAnsi="Times New Roman"/>
        </w:rPr>
        <w:t xml:space="preserve">Maduta, C., Economidou, M., Castellazzi, L., D’Agostino, D., Paci, D., Tsemekidi-Tzeiranaki, S., und Bertoldi, P., </w:t>
      </w:r>
      <w:r>
        <w:rPr>
          <w:rFonts w:ascii="Times New Roman" w:hAnsi="Times New Roman"/>
          <w:i/>
        </w:rPr>
        <w:t>Progress of the Member States in implementing the Energy Performance of Building Directive – 2021 assessment</w:t>
      </w:r>
      <w:r>
        <w:rPr>
          <w:rFonts w:ascii="Times New Roman" w:hAnsi="Times New Roman"/>
        </w:rPr>
        <w:t>, Amt für Veröffentlichungen der Europäischen Union, Luxemburg (in Vorbereitung), und</w:t>
      </w:r>
    </w:p>
    <w:p w14:paraId="30B3EAC0" w14:textId="4AF84758" w:rsidR="00FF3E37" w:rsidRPr="00964CD5" w:rsidRDefault="00FF3E37" w:rsidP="00964CD5">
      <w:pPr>
        <w:pStyle w:val="FootnoteText"/>
        <w:numPr>
          <w:ilvl w:val="0"/>
          <w:numId w:val="16"/>
        </w:numPr>
        <w:rPr>
          <w:rFonts w:ascii="Times New Roman" w:hAnsi="Times New Roman" w:cs="Times New Roman"/>
          <w:sz w:val="18"/>
        </w:rPr>
      </w:pPr>
      <w:r>
        <w:rPr>
          <w:rFonts w:ascii="Times New Roman" w:hAnsi="Times New Roman"/>
        </w:rPr>
        <w:t xml:space="preserve">Castellazzi, L., Paci, D., et al., </w:t>
      </w:r>
      <w:r>
        <w:rPr>
          <w:rFonts w:ascii="Times New Roman" w:hAnsi="Times New Roman"/>
          <w:i/>
        </w:rPr>
        <w:t>Assessment of the first long-term renovation strategies under the Energy Performance of Building Directive</w:t>
      </w:r>
      <w:r>
        <w:rPr>
          <w:rFonts w:ascii="Times New Roman" w:hAnsi="Times New Roman"/>
        </w:rPr>
        <w:t>, Amt für Veröffentlichungen der Europäischen Union, Luxemburg, 2022 (in Vorbereitung).</w:t>
      </w:r>
    </w:p>
  </w:footnote>
  <w:footnote w:id="43">
    <w:p w14:paraId="03AA4985" w14:textId="77777777" w:rsidR="00FF3E37" w:rsidRPr="007659B5" w:rsidRDefault="00FF3E37" w:rsidP="00ED2F3F">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Dazu gehören FuI-Lösungen entsprechend der im Rahmen von Horizont Europa initiierten EU-Mission Climate-Neutral and Smart Cities („Cities Mission“), mit der 100 Städte bis 2030 Klimaneutralität erreichen sollen.</w:t>
      </w:r>
    </w:p>
  </w:footnote>
  <w:footnote w:id="44">
    <w:p w14:paraId="4D6B14D4" w14:textId="0F5499F4"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Dieser Abschnitt ergänzt den einschlägigen Abschnitt zu Niedrigstenergiegebäuden in der 2020 durchgeführten Bewertung der Fortschritte der Mitgliedstaaten bei der Umsetzung der Energieeffizienzrichtlinie und bei der Erfüllung der Anforderungen der EPBD in Bezug auf Niedrigstenergiegebäude und kostenoptimale Niveaus von Mindestanforderungen an die Gesamtenergieeffizienz. Ziel ist es, die Analyse durch die Kommission weiter zu reflektieren.</w:t>
      </w:r>
    </w:p>
  </w:footnote>
  <w:footnote w:id="45">
    <w:p w14:paraId="200AF1EB" w14:textId="2B8AEDC2"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Wegen der Umstände der COVID-19-Pandemie verzögerte sich die tatsächliche Umsetzung der Anforderungen an Niedrigstenergiegebäude in einigen Mitgliedstaaten um kurze Zeit.</w:t>
      </w:r>
    </w:p>
  </w:footnote>
  <w:footnote w:id="46">
    <w:p w14:paraId="5EEF8EB3" w14:textId="5E4F08D7" w:rsidR="00FF3E37" w:rsidRPr="00F20EC3" w:rsidRDefault="00FF3E37" w:rsidP="00DA0567">
      <w:pPr>
        <w:pStyle w:val="FootnoteText"/>
        <w:rPr>
          <w:rFonts w:ascii="Times New Roman" w:hAnsi="Times New Roman" w:cs="Times New Roman"/>
          <w:sz w:val="18"/>
        </w:rPr>
      </w:pPr>
      <w:r>
        <w:footnoteRef/>
      </w:r>
      <w:r>
        <w:rPr>
          <w:rFonts w:ascii="Times New Roman" w:hAnsi="Times New Roman"/>
        </w:rPr>
        <w:t xml:space="preserve"> Economidou, M., Todeschi, V., Bertoldi, P., D’Agostino, D., Zangheri, P., und Castellazzi, L., „Review of 50 years of energy policies for buildings“, in: </w:t>
      </w:r>
      <w:r>
        <w:rPr>
          <w:rFonts w:ascii="Times New Roman" w:hAnsi="Times New Roman"/>
          <w:i/>
          <w:iCs/>
        </w:rPr>
        <w:t>Energy and Buildings</w:t>
      </w:r>
      <w:r>
        <w:rPr>
          <w:rFonts w:ascii="Times New Roman" w:hAnsi="Times New Roman"/>
        </w:rPr>
        <w:t>, Nr. 225, 2020.</w:t>
      </w:r>
    </w:p>
  </w:footnote>
  <w:footnote w:id="47">
    <w:p w14:paraId="27424A10" w14:textId="32524F22" w:rsidR="00FF3E37" w:rsidRPr="007659B5" w:rsidRDefault="00FF3E37" w:rsidP="00DA0567">
      <w:pPr>
        <w:pStyle w:val="FootnoteText"/>
        <w:rPr>
          <w:rFonts w:ascii="Times New Roman" w:hAnsi="Times New Roman" w:cs="Times New Roman"/>
          <w:lang w:val="de-DE"/>
        </w:rPr>
      </w:pPr>
      <w:r>
        <w:rPr>
          <w:rFonts w:ascii="Times New Roman" w:hAnsi="Times New Roman" w:cs="Times New Roman"/>
        </w:rPr>
        <w:footnoteRef/>
      </w:r>
      <w:r w:rsidRPr="007659B5">
        <w:rPr>
          <w:rFonts w:ascii="Times New Roman" w:hAnsi="Times New Roman"/>
          <w:lang w:val="de-DE"/>
        </w:rPr>
        <w:t xml:space="preserve"> Empfehlung (EU) 2016/1318 der Kommission vom 29. Juli 2016 über Leitlinien zur Förderung von Niedrigstenergiegebäuden und bewährten Verfahren, damit bis 2020 alle neuen Gebäude Niedrigstenergiegebäude sind.</w:t>
      </w:r>
    </w:p>
  </w:footnote>
  <w:footnote w:id="48">
    <w:p w14:paraId="68C167C2" w14:textId="1DFE9502" w:rsidR="00FF3E37" w:rsidRPr="00DA0567" w:rsidRDefault="00FF3E37" w:rsidP="00DA0567">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D'Agostino, D., und Mazzarella, L., „What is a Nearly zero energy building? Overview, implementation and comparison of definitions“, in: </w:t>
      </w:r>
      <w:r>
        <w:rPr>
          <w:rFonts w:ascii="Times New Roman" w:hAnsi="Times New Roman"/>
          <w:i/>
          <w:iCs/>
        </w:rPr>
        <w:t>Journal of Building Engineering</w:t>
      </w:r>
      <w:r>
        <w:rPr>
          <w:rFonts w:ascii="Times New Roman" w:hAnsi="Times New Roman"/>
        </w:rPr>
        <w:t>, Nr. 21, 2019, S. 200–212.</w:t>
      </w:r>
    </w:p>
  </w:footnote>
  <w:footnote w:id="49">
    <w:p w14:paraId="2842A8AF" w14:textId="7DF1D608" w:rsidR="00FF3E37" w:rsidRPr="00DA0567" w:rsidRDefault="00FF3E37" w:rsidP="00223D4D">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REPowerEU-Plan, COM(2022) 230 final,</w:t>
      </w:r>
    </w:p>
    <w:p w14:paraId="204E0D67" w14:textId="3338DE01" w:rsidR="00FF3E37" w:rsidRPr="00DA0567" w:rsidRDefault="004969B1" w:rsidP="0066128D">
      <w:pPr>
        <w:pStyle w:val="FootnoteText"/>
        <w:ind w:left="0" w:firstLine="0"/>
        <w:rPr>
          <w:rFonts w:ascii="Times New Roman" w:hAnsi="Times New Roman" w:cs="Times New Roman"/>
          <w:sz w:val="18"/>
        </w:rPr>
      </w:pPr>
      <w:hyperlink r:id="rId1" w:history="1">
        <w:r w:rsidR="00FF3E37">
          <w:rPr>
            <w:rStyle w:val="Hyperlink"/>
            <w:rFonts w:ascii="Times New Roman" w:hAnsi="Times New Roman"/>
            <w:sz w:val="18"/>
          </w:rPr>
          <w:t>https://eur-lex.europa.eu/resource.html?uri=cellar:fc930f14-d7ae-11ec-a95f-01aa75ed71a1.0002.02/DOC_1&amp;format=PDF</w:t>
        </w:r>
      </w:hyperlink>
      <w:r w:rsidR="00FF3E37">
        <w:rPr>
          <w:rFonts w:ascii="Times New Roman" w:hAnsi="Times New Roman"/>
          <w:sz w:val="18"/>
        </w:rPr>
        <w:t>.</w:t>
      </w:r>
    </w:p>
  </w:footnote>
  <w:footnote w:id="50">
    <w:p w14:paraId="4FC93462" w14:textId="61DBB3A3" w:rsidR="00FF3E37" w:rsidRPr="00DA0567" w:rsidRDefault="00FF3E37" w:rsidP="00DA0567">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 xml:space="preserve"> Aufgeschlüsselte Daten enthält folgende Veröffentlichung: Tsemekidi-Tzeiranaki, S., Paci, D., Clementi, E., Gonzales Torres, M., Analysis of the Reports on 2020 Targets under Article 27 of the Governance Regulation – Energy Efficiency, 2022.</w:t>
      </w:r>
    </w:p>
  </w:footnote>
  <w:footnote w:id="51">
    <w:p w14:paraId="7A3D1009" w14:textId="62238BA8" w:rsidR="00FF3E37" w:rsidRPr="007659B5" w:rsidRDefault="00FF3E37" w:rsidP="00DA0567">
      <w:pPr>
        <w:pStyle w:val="FootnoteText"/>
        <w:rPr>
          <w:rFonts w:ascii="Times New Roman" w:hAnsi="Times New Roman" w:cs="Times New Roman"/>
          <w:sz w:val="18"/>
          <w:lang w:val="de-DE"/>
        </w:rPr>
      </w:pPr>
      <w:r>
        <w:rPr>
          <w:rFonts w:ascii="Times New Roman" w:hAnsi="Times New Roman" w:cs="Times New Roman"/>
        </w:rPr>
        <w:footnoteRef/>
      </w:r>
      <w:r w:rsidRPr="007659B5">
        <w:rPr>
          <w:rFonts w:ascii="Times New Roman" w:hAnsi="Times New Roman"/>
          <w:lang w:val="de-DE"/>
        </w:rPr>
        <w:t xml:space="preserve"> Dieser Abschnitt ergänzt die einschlägigen Abschnitte in der 2020 durchgeführten Bewertung der Fortschritte der Mitgliedstaaten bei der Umsetzung der EED und bei der Erfüllung der Anforderungen der EPBD in Bezug auf Niedrigstenergiegebäude und kostenoptimale Niveaus von Mindestanforderungen an die Gesamtenergieeffizienz. Ziel ist es, die Umsetzungsfortschritte der Mitgliedstaaten und die weitere Analyse durch die Kommission zu beleuchten.</w:t>
      </w:r>
    </w:p>
  </w:footnote>
  <w:footnote w:id="52">
    <w:p w14:paraId="1E3C191F" w14:textId="764F7A69" w:rsidR="00FF3E37" w:rsidRPr="007659B5" w:rsidRDefault="00FF3E37" w:rsidP="00DA0567">
      <w:pPr>
        <w:pStyle w:val="FootnoteText"/>
        <w:rPr>
          <w:rFonts w:ascii="Times New Roman" w:hAnsi="Times New Roman" w:cs="Times New Roman"/>
          <w:sz w:val="18"/>
          <w:lang w:val="de-DE"/>
        </w:rPr>
      </w:pPr>
      <w:r>
        <w:rPr>
          <w:rFonts w:ascii="Times New Roman" w:hAnsi="Times New Roman" w:cs="Times New Roman"/>
        </w:rPr>
        <w:footnoteRef/>
      </w:r>
      <w:r w:rsidRPr="007659B5">
        <w:rPr>
          <w:rFonts w:ascii="Times New Roman" w:hAnsi="Times New Roman"/>
          <w:lang w:val="de-DE"/>
        </w:rPr>
        <w:t xml:space="preserve"> Die Ergebnisse der Mitgliedstaaten sind nicht vollständig vergleichbar, da sie die makroökonomische oder finanzielle Grundlage für die Berechnung der kostenoptimalen Niveaus frei wählen und bei der Berechnung der Gesamtenergieeffizienz von Gebäuden ihre eigenen nationalen Standards und Methoden anwenden konnten. Weitere Unterschiede in Bezug auf Investitionskosten und sonstige Faktoren spiegeln die nationalen Marktbedingungen wider.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85532" w14:textId="77777777" w:rsidR="004969B1" w:rsidRPr="004969B1" w:rsidRDefault="004969B1" w:rsidP="00496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3D13" w14:textId="77777777" w:rsidR="004969B1" w:rsidRPr="004969B1" w:rsidRDefault="004969B1" w:rsidP="004969B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80E87" w14:textId="77777777" w:rsidR="004969B1" w:rsidRPr="004969B1" w:rsidRDefault="004969B1" w:rsidP="004969B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F912" w14:textId="77777777" w:rsidR="00FF3E37" w:rsidRDefault="00FF3E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F3E37" w14:paraId="6DA8F946" w14:textId="77777777" w:rsidTr="7418C569">
      <w:tc>
        <w:tcPr>
          <w:tcW w:w="3120" w:type="dxa"/>
        </w:tcPr>
        <w:p w14:paraId="26F002A3" w14:textId="77777777" w:rsidR="00FF3E37" w:rsidRDefault="00FF3E37" w:rsidP="7418C569">
          <w:pPr>
            <w:pStyle w:val="Header"/>
            <w:ind w:left="-115"/>
          </w:pPr>
        </w:p>
      </w:tc>
      <w:tc>
        <w:tcPr>
          <w:tcW w:w="3120" w:type="dxa"/>
        </w:tcPr>
        <w:p w14:paraId="60A1E81A" w14:textId="77777777" w:rsidR="00FF3E37" w:rsidRDefault="00FF3E37" w:rsidP="7418C569">
          <w:pPr>
            <w:pStyle w:val="Header"/>
            <w:jc w:val="center"/>
          </w:pPr>
        </w:p>
      </w:tc>
      <w:tc>
        <w:tcPr>
          <w:tcW w:w="3120" w:type="dxa"/>
        </w:tcPr>
        <w:p w14:paraId="3E5212D3" w14:textId="77777777" w:rsidR="00FF3E37" w:rsidRDefault="00FF3E37" w:rsidP="7418C569">
          <w:pPr>
            <w:pStyle w:val="Header"/>
            <w:ind w:right="-115"/>
            <w:jc w:val="right"/>
          </w:pPr>
        </w:p>
      </w:tc>
    </w:tr>
  </w:tbl>
  <w:p w14:paraId="066FDD5B" w14:textId="77777777" w:rsidR="00FF3E37" w:rsidRDefault="00FF3E37" w:rsidP="7418C5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A859" w14:textId="77777777" w:rsidR="00FF3E37" w:rsidRDefault="00FF3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3708"/>
    <w:multiLevelType w:val="hybridMultilevel"/>
    <w:tmpl w:val="E0CC7466"/>
    <w:lvl w:ilvl="0" w:tplc="0106A6F0">
      <w:start w:val="1"/>
      <w:numFmt w:val="decimal"/>
      <w:lvlText w:val="%1."/>
      <w:lvlJc w:val="left"/>
      <w:pPr>
        <w:ind w:left="720" w:hanging="360"/>
      </w:pPr>
    </w:lvl>
    <w:lvl w:ilvl="1" w:tplc="DB56EA5C">
      <w:start w:val="1"/>
      <w:numFmt w:val="lowerLetter"/>
      <w:lvlText w:val="%2."/>
      <w:lvlJc w:val="left"/>
      <w:pPr>
        <w:ind w:left="1440" w:hanging="360"/>
      </w:pPr>
    </w:lvl>
    <w:lvl w:ilvl="2" w:tplc="510235FE">
      <w:start w:val="1"/>
      <w:numFmt w:val="lowerRoman"/>
      <w:lvlText w:val="%3."/>
      <w:lvlJc w:val="right"/>
      <w:pPr>
        <w:ind w:left="2160" w:hanging="180"/>
      </w:pPr>
    </w:lvl>
    <w:lvl w:ilvl="3" w:tplc="D4BA8994">
      <w:start w:val="1"/>
      <w:numFmt w:val="decimal"/>
      <w:lvlText w:val="%4."/>
      <w:lvlJc w:val="left"/>
      <w:pPr>
        <w:ind w:left="2880" w:hanging="360"/>
      </w:pPr>
    </w:lvl>
    <w:lvl w:ilvl="4" w:tplc="938E5C0C">
      <w:start w:val="1"/>
      <w:numFmt w:val="lowerLetter"/>
      <w:lvlText w:val="%5."/>
      <w:lvlJc w:val="left"/>
      <w:pPr>
        <w:ind w:left="3600" w:hanging="360"/>
      </w:pPr>
    </w:lvl>
    <w:lvl w:ilvl="5" w:tplc="B07C3784">
      <w:start w:val="1"/>
      <w:numFmt w:val="lowerRoman"/>
      <w:lvlText w:val="%6."/>
      <w:lvlJc w:val="right"/>
      <w:pPr>
        <w:ind w:left="4320" w:hanging="180"/>
      </w:pPr>
    </w:lvl>
    <w:lvl w:ilvl="6" w:tplc="105ACD26">
      <w:start w:val="1"/>
      <w:numFmt w:val="decimal"/>
      <w:lvlText w:val="%7."/>
      <w:lvlJc w:val="left"/>
      <w:pPr>
        <w:ind w:left="5040" w:hanging="360"/>
      </w:pPr>
    </w:lvl>
    <w:lvl w:ilvl="7" w:tplc="DF44C79C">
      <w:start w:val="1"/>
      <w:numFmt w:val="lowerLetter"/>
      <w:lvlText w:val="%8."/>
      <w:lvlJc w:val="left"/>
      <w:pPr>
        <w:ind w:left="5760" w:hanging="360"/>
      </w:pPr>
    </w:lvl>
    <w:lvl w:ilvl="8" w:tplc="5EC41D2A">
      <w:start w:val="1"/>
      <w:numFmt w:val="lowerRoman"/>
      <w:lvlText w:val="%9."/>
      <w:lvlJc w:val="right"/>
      <w:pPr>
        <w:ind w:left="6480" w:hanging="180"/>
      </w:pPr>
    </w:lvl>
  </w:abstractNum>
  <w:abstractNum w:abstractNumId="1" w15:restartNumberingAfterBreak="0">
    <w:nsid w:val="0D525B16"/>
    <w:multiLevelType w:val="hybridMultilevel"/>
    <w:tmpl w:val="D3EEF550"/>
    <w:lvl w:ilvl="0" w:tplc="C0A6136C">
      <w:start w:val="1"/>
      <w:numFmt w:val="decimal"/>
      <w:lvlText w:val="%1."/>
      <w:lvlJc w:val="left"/>
      <w:pPr>
        <w:ind w:left="720" w:hanging="360"/>
      </w:pPr>
    </w:lvl>
    <w:lvl w:ilvl="1" w:tplc="7DA4910E">
      <w:start w:val="1"/>
      <w:numFmt w:val="lowerLetter"/>
      <w:lvlText w:val="%2."/>
      <w:lvlJc w:val="left"/>
      <w:pPr>
        <w:ind w:left="1440" w:hanging="360"/>
      </w:pPr>
    </w:lvl>
    <w:lvl w:ilvl="2" w:tplc="513614FE">
      <w:start w:val="1"/>
      <w:numFmt w:val="lowerRoman"/>
      <w:lvlText w:val="%3."/>
      <w:lvlJc w:val="right"/>
      <w:pPr>
        <w:ind w:left="2160" w:hanging="180"/>
      </w:pPr>
    </w:lvl>
    <w:lvl w:ilvl="3" w:tplc="C014311E">
      <w:start w:val="1"/>
      <w:numFmt w:val="decimal"/>
      <w:lvlText w:val="%4."/>
      <w:lvlJc w:val="left"/>
      <w:pPr>
        <w:ind w:left="2880" w:hanging="360"/>
      </w:pPr>
    </w:lvl>
    <w:lvl w:ilvl="4" w:tplc="B402395A">
      <w:start w:val="1"/>
      <w:numFmt w:val="lowerLetter"/>
      <w:lvlText w:val="%5."/>
      <w:lvlJc w:val="left"/>
      <w:pPr>
        <w:ind w:left="3600" w:hanging="360"/>
      </w:pPr>
    </w:lvl>
    <w:lvl w:ilvl="5" w:tplc="7DB059B4">
      <w:start w:val="1"/>
      <w:numFmt w:val="lowerRoman"/>
      <w:lvlText w:val="%6."/>
      <w:lvlJc w:val="right"/>
      <w:pPr>
        <w:ind w:left="4320" w:hanging="180"/>
      </w:pPr>
    </w:lvl>
    <w:lvl w:ilvl="6" w:tplc="BAE80FCE">
      <w:start w:val="1"/>
      <w:numFmt w:val="decimal"/>
      <w:lvlText w:val="%7."/>
      <w:lvlJc w:val="left"/>
      <w:pPr>
        <w:ind w:left="5040" w:hanging="360"/>
      </w:pPr>
    </w:lvl>
    <w:lvl w:ilvl="7" w:tplc="9920D2CA">
      <w:start w:val="1"/>
      <w:numFmt w:val="lowerLetter"/>
      <w:lvlText w:val="%8."/>
      <w:lvlJc w:val="left"/>
      <w:pPr>
        <w:ind w:left="5760" w:hanging="360"/>
      </w:pPr>
    </w:lvl>
    <w:lvl w:ilvl="8" w:tplc="0E228CD8">
      <w:start w:val="1"/>
      <w:numFmt w:val="lowerRoman"/>
      <w:lvlText w:val="%9."/>
      <w:lvlJc w:val="right"/>
      <w:pPr>
        <w:ind w:left="6480" w:hanging="180"/>
      </w:pPr>
    </w:lvl>
  </w:abstractNum>
  <w:abstractNum w:abstractNumId="2" w15:restartNumberingAfterBreak="0">
    <w:nsid w:val="12B4497E"/>
    <w:multiLevelType w:val="hybridMultilevel"/>
    <w:tmpl w:val="A636CF18"/>
    <w:lvl w:ilvl="0" w:tplc="6D32A792">
      <w:start w:val="1"/>
      <w:numFmt w:val="decimal"/>
      <w:lvlText w:val="%1."/>
      <w:lvlJc w:val="left"/>
      <w:pPr>
        <w:ind w:left="720" w:hanging="360"/>
      </w:pPr>
    </w:lvl>
    <w:lvl w:ilvl="1" w:tplc="FBCEB028">
      <w:start w:val="1"/>
      <w:numFmt w:val="lowerLetter"/>
      <w:lvlText w:val="%2."/>
      <w:lvlJc w:val="left"/>
      <w:pPr>
        <w:ind w:left="1440" w:hanging="360"/>
      </w:pPr>
    </w:lvl>
    <w:lvl w:ilvl="2" w:tplc="9FE8086C">
      <w:start w:val="1"/>
      <w:numFmt w:val="lowerRoman"/>
      <w:lvlText w:val="%3."/>
      <w:lvlJc w:val="right"/>
      <w:pPr>
        <w:ind w:left="2160" w:hanging="180"/>
      </w:pPr>
    </w:lvl>
    <w:lvl w:ilvl="3" w:tplc="95CE7CB6">
      <w:start w:val="1"/>
      <w:numFmt w:val="decimal"/>
      <w:lvlText w:val="%4."/>
      <w:lvlJc w:val="left"/>
      <w:pPr>
        <w:ind w:left="2880" w:hanging="360"/>
      </w:pPr>
    </w:lvl>
    <w:lvl w:ilvl="4" w:tplc="D0304A2E">
      <w:start w:val="1"/>
      <w:numFmt w:val="lowerLetter"/>
      <w:lvlText w:val="%5."/>
      <w:lvlJc w:val="left"/>
      <w:pPr>
        <w:ind w:left="3600" w:hanging="360"/>
      </w:pPr>
    </w:lvl>
    <w:lvl w:ilvl="5" w:tplc="40B279A0">
      <w:start w:val="1"/>
      <w:numFmt w:val="lowerRoman"/>
      <w:lvlText w:val="%6."/>
      <w:lvlJc w:val="right"/>
      <w:pPr>
        <w:ind w:left="4320" w:hanging="180"/>
      </w:pPr>
    </w:lvl>
    <w:lvl w:ilvl="6" w:tplc="8402D5EE">
      <w:start w:val="1"/>
      <w:numFmt w:val="decimal"/>
      <w:lvlText w:val="%7."/>
      <w:lvlJc w:val="left"/>
      <w:pPr>
        <w:ind w:left="5040" w:hanging="360"/>
      </w:pPr>
    </w:lvl>
    <w:lvl w:ilvl="7" w:tplc="9D7C2AC2">
      <w:start w:val="1"/>
      <w:numFmt w:val="lowerLetter"/>
      <w:lvlText w:val="%8."/>
      <w:lvlJc w:val="left"/>
      <w:pPr>
        <w:ind w:left="5760" w:hanging="360"/>
      </w:pPr>
    </w:lvl>
    <w:lvl w:ilvl="8" w:tplc="CC14C4D6">
      <w:start w:val="1"/>
      <w:numFmt w:val="lowerRoman"/>
      <w:lvlText w:val="%9."/>
      <w:lvlJc w:val="right"/>
      <w:pPr>
        <w:ind w:left="6480" w:hanging="180"/>
      </w:pPr>
    </w:lvl>
  </w:abstractNum>
  <w:abstractNum w:abstractNumId="3" w15:restartNumberingAfterBreak="0">
    <w:nsid w:val="1E2E0209"/>
    <w:multiLevelType w:val="hybridMultilevel"/>
    <w:tmpl w:val="781C33B4"/>
    <w:lvl w:ilvl="0" w:tplc="EEA85F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307EC"/>
    <w:multiLevelType w:val="hybridMultilevel"/>
    <w:tmpl w:val="48F44448"/>
    <w:lvl w:ilvl="0" w:tplc="EAECDCD0">
      <w:start w:val="1"/>
      <w:numFmt w:val="bullet"/>
      <w:lvlText w:val="·"/>
      <w:lvlJc w:val="left"/>
      <w:pPr>
        <w:ind w:left="720" w:hanging="360"/>
      </w:pPr>
      <w:rPr>
        <w:rFonts w:ascii="Symbol" w:hAnsi="Symbol" w:hint="default"/>
      </w:rPr>
    </w:lvl>
    <w:lvl w:ilvl="1" w:tplc="B5609C26">
      <w:start w:val="1"/>
      <w:numFmt w:val="bullet"/>
      <w:lvlText w:val="o"/>
      <w:lvlJc w:val="left"/>
      <w:pPr>
        <w:ind w:left="1440" w:hanging="360"/>
      </w:pPr>
      <w:rPr>
        <w:rFonts w:ascii="Courier New" w:hAnsi="Courier New" w:hint="default"/>
      </w:rPr>
    </w:lvl>
    <w:lvl w:ilvl="2" w:tplc="F69C64F0">
      <w:start w:val="1"/>
      <w:numFmt w:val="bullet"/>
      <w:lvlText w:val=""/>
      <w:lvlJc w:val="left"/>
      <w:pPr>
        <w:ind w:left="2160" w:hanging="360"/>
      </w:pPr>
      <w:rPr>
        <w:rFonts w:ascii="Wingdings" w:hAnsi="Wingdings" w:hint="default"/>
      </w:rPr>
    </w:lvl>
    <w:lvl w:ilvl="3" w:tplc="BA0AA574">
      <w:start w:val="1"/>
      <w:numFmt w:val="bullet"/>
      <w:lvlText w:val=""/>
      <w:lvlJc w:val="left"/>
      <w:pPr>
        <w:ind w:left="2880" w:hanging="360"/>
      </w:pPr>
      <w:rPr>
        <w:rFonts w:ascii="Symbol" w:hAnsi="Symbol" w:hint="default"/>
      </w:rPr>
    </w:lvl>
    <w:lvl w:ilvl="4" w:tplc="F2B0E5C0">
      <w:start w:val="1"/>
      <w:numFmt w:val="bullet"/>
      <w:lvlText w:val="o"/>
      <w:lvlJc w:val="left"/>
      <w:pPr>
        <w:ind w:left="3600" w:hanging="360"/>
      </w:pPr>
      <w:rPr>
        <w:rFonts w:ascii="Courier New" w:hAnsi="Courier New" w:hint="default"/>
      </w:rPr>
    </w:lvl>
    <w:lvl w:ilvl="5" w:tplc="B82888FE">
      <w:start w:val="1"/>
      <w:numFmt w:val="bullet"/>
      <w:lvlText w:val=""/>
      <w:lvlJc w:val="left"/>
      <w:pPr>
        <w:ind w:left="4320" w:hanging="360"/>
      </w:pPr>
      <w:rPr>
        <w:rFonts w:ascii="Wingdings" w:hAnsi="Wingdings" w:hint="default"/>
      </w:rPr>
    </w:lvl>
    <w:lvl w:ilvl="6" w:tplc="DBDE8BDA">
      <w:start w:val="1"/>
      <w:numFmt w:val="bullet"/>
      <w:lvlText w:val=""/>
      <w:lvlJc w:val="left"/>
      <w:pPr>
        <w:ind w:left="5040" w:hanging="360"/>
      </w:pPr>
      <w:rPr>
        <w:rFonts w:ascii="Symbol" w:hAnsi="Symbol" w:hint="default"/>
      </w:rPr>
    </w:lvl>
    <w:lvl w:ilvl="7" w:tplc="C71E76EA">
      <w:start w:val="1"/>
      <w:numFmt w:val="bullet"/>
      <w:lvlText w:val="o"/>
      <w:lvlJc w:val="left"/>
      <w:pPr>
        <w:ind w:left="5760" w:hanging="360"/>
      </w:pPr>
      <w:rPr>
        <w:rFonts w:ascii="Courier New" w:hAnsi="Courier New" w:hint="default"/>
      </w:rPr>
    </w:lvl>
    <w:lvl w:ilvl="8" w:tplc="6758273C">
      <w:start w:val="1"/>
      <w:numFmt w:val="bullet"/>
      <w:lvlText w:val=""/>
      <w:lvlJc w:val="left"/>
      <w:pPr>
        <w:ind w:left="6480" w:hanging="360"/>
      </w:pPr>
      <w:rPr>
        <w:rFonts w:ascii="Wingdings" w:hAnsi="Wingdings" w:hint="default"/>
      </w:rPr>
    </w:lvl>
  </w:abstractNum>
  <w:abstractNum w:abstractNumId="5" w15:restartNumberingAfterBreak="0">
    <w:nsid w:val="33FAF4AE"/>
    <w:multiLevelType w:val="hybridMultilevel"/>
    <w:tmpl w:val="D4323CAA"/>
    <w:lvl w:ilvl="0" w:tplc="D18EF05A">
      <w:start w:val="1"/>
      <w:numFmt w:val="decimal"/>
      <w:lvlText w:val="%1."/>
      <w:lvlJc w:val="left"/>
      <w:pPr>
        <w:ind w:left="720" w:hanging="360"/>
      </w:pPr>
    </w:lvl>
    <w:lvl w:ilvl="1" w:tplc="45A2BAE0">
      <w:start w:val="1"/>
      <w:numFmt w:val="decimal"/>
      <w:lvlText w:val="%2."/>
      <w:lvlJc w:val="left"/>
      <w:pPr>
        <w:ind w:left="1440" w:hanging="360"/>
      </w:pPr>
    </w:lvl>
    <w:lvl w:ilvl="2" w:tplc="9F52BB38">
      <w:start w:val="1"/>
      <w:numFmt w:val="lowerRoman"/>
      <w:lvlText w:val="%3."/>
      <w:lvlJc w:val="right"/>
      <w:pPr>
        <w:ind w:left="2160" w:hanging="180"/>
      </w:pPr>
    </w:lvl>
    <w:lvl w:ilvl="3" w:tplc="E05842F8">
      <w:start w:val="1"/>
      <w:numFmt w:val="decimal"/>
      <w:lvlText w:val="%4."/>
      <w:lvlJc w:val="left"/>
      <w:pPr>
        <w:ind w:left="2880" w:hanging="360"/>
      </w:pPr>
    </w:lvl>
    <w:lvl w:ilvl="4" w:tplc="A1B64740">
      <w:start w:val="1"/>
      <w:numFmt w:val="lowerLetter"/>
      <w:lvlText w:val="%5."/>
      <w:lvlJc w:val="left"/>
      <w:pPr>
        <w:ind w:left="3600" w:hanging="360"/>
      </w:pPr>
    </w:lvl>
    <w:lvl w:ilvl="5" w:tplc="EC74A8FC">
      <w:start w:val="1"/>
      <w:numFmt w:val="lowerRoman"/>
      <w:lvlText w:val="%6."/>
      <w:lvlJc w:val="right"/>
      <w:pPr>
        <w:ind w:left="4320" w:hanging="180"/>
      </w:pPr>
    </w:lvl>
    <w:lvl w:ilvl="6" w:tplc="5754C2D8">
      <w:start w:val="1"/>
      <w:numFmt w:val="decimal"/>
      <w:lvlText w:val="%7."/>
      <w:lvlJc w:val="left"/>
      <w:pPr>
        <w:ind w:left="5040" w:hanging="360"/>
      </w:pPr>
    </w:lvl>
    <w:lvl w:ilvl="7" w:tplc="60A86530">
      <w:start w:val="1"/>
      <w:numFmt w:val="lowerLetter"/>
      <w:lvlText w:val="%8."/>
      <w:lvlJc w:val="left"/>
      <w:pPr>
        <w:ind w:left="5760" w:hanging="360"/>
      </w:pPr>
    </w:lvl>
    <w:lvl w:ilvl="8" w:tplc="6A280648">
      <w:start w:val="1"/>
      <w:numFmt w:val="lowerRoman"/>
      <w:lvlText w:val="%9."/>
      <w:lvlJc w:val="right"/>
      <w:pPr>
        <w:ind w:left="6480" w:hanging="180"/>
      </w:pPr>
    </w:lvl>
  </w:abstractNum>
  <w:abstractNum w:abstractNumId="6" w15:restartNumberingAfterBreak="0">
    <w:nsid w:val="3CA2B7C7"/>
    <w:multiLevelType w:val="hybridMultilevel"/>
    <w:tmpl w:val="4D8441E4"/>
    <w:lvl w:ilvl="0" w:tplc="25E06808">
      <w:start w:val="1"/>
      <w:numFmt w:val="decimal"/>
      <w:lvlText w:val="%1."/>
      <w:lvlJc w:val="left"/>
      <w:pPr>
        <w:ind w:left="720" w:hanging="360"/>
      </w:pPr>
    </w:lvl>
    <w:lvl w:ilvl="1" w:tplc="9CB67944">
      <w:start w:val="1"/>
      <w:numFmt w:val="lowerLetter"/>
      <w:lvlText w:val="%2."/>
      <w:lvlJc w:val="left"/>
      <w:pPr>
        <w:ind w:left="1440" w:hanging="360"/>
      </w:pPr>
    </w:lvl>
    <w:lvl w:ilvl="2" w:tplc="9C7CE508">
      <w:start w:val="1"/>
      <w:numFmt w:val="lowerRoman"/>
      <w:lvlText w:val="%3."/>
      <w:lvlJc w:val="right"/>
      <w:pPr>
        <w:ind w:left="2160" w:hanging="180"/>
      </w:pPr>
    </w:lvl>
    <w:lvl w:ilvl="3" w:tplc="E6C6D0D4">
      <w:start w:val="1"/>
      <w:numFmt w:val="decimal"/>
      <w:lvlText w:val="%4."/>
      <w:lvlJc w:val="left"/>
      <w:pPr>
        <w:ind w:left="2880" w:hanging="360"/>
      </w:pPr>
    </w:lvl>
    <w:lvl w:ilvl="4" w:tplc="D2882872">
      <w:start w:val="1"/>
      <w:numFmt w:val="lowerLetter"/>
      <w:lvlText w:val="%5."/>
      <w:lvlJc w:val="left"/>
      <w:pPr>
        <w:ind w:left="3600" w:hanging="360"/>
      </w:pPr>
    </w:lvl>
    <w:lvl w:ilvl="5" w:tplc="E262687C">
      <w:start w:val="1"/>
      <w:numFmt w:val="lowerRoman"/>
      <w:lvlText w:val="%6."/>
      <w:lvlJc w:val="right"/>
      <w:pPr>
        <w:ind w:left="4320" w:hanging="180"/>
      </w:pPr>
    </w:lvl>
    <w:lvl w:ilvl="6" w:tplc="DAFE0430">
      <w:start w:val="1"/>
      <w:numFmt w:val="decimal"/>
      <w:lvlText w:val="%7."/>
      <w:lvlJc w:val="left"/>
      <w:pPr>
        <w:ind w:left="5040" w:hanging="360"/>
      </w:pPr>
    </w:lvl>
    <w:lvl w:ilvl="7" w:tplc="EC02AE80">
      <w:start w:val="1"/>
      <w:numFmt w:val="lowerLetter"/>
      <w:lvlText w:val="%8."/>
      <w:lvlJc w:val="left"/>
      <w:pPr>
        <w:ind w:left="5760" w:hanging="360"/>
      </w:pPr>
    </w:lvl>
    <w:lvl w:ilvl="8" w:tplc="F6DAA8D4">
      <w:start w:val="1"/>
      <w:numFmt w:val="lowerRoman"/>
      <w:lvlText w:val="%9."/>
      <w:lvlJc w:val="right"/>
      <w:pPr>
        <w:ind w:left="6480" w:hanging="180"/>
      </w:pPr>
    </w:lvl>
  </w:abstractNum>
  <w:abstractNum w:abstractNumId="7" w15:restartNumberingAfterBreak="0">
    <w:nsid w:val="3DD05B0F"/>
    <w:multiLevelType w:val="hybridMultilevel"/>
    <w:tmpl w:val="AA2258C4"/>
    <w:lvl w:ilvl="0" w:tplc="E31EBB6E">
      <w:start w:val="1"/>
      <w:numFmt w:val="decimal"/>
      <w:lvlText w:val="%1."/>
      <w:lvlJc w:val="left"/>
      <w:pPr>
        <w:ind w:left="644" w:hanging="360"/>
      </w:pPr>
    </w:lvl>
    <w:lvl w:ilvl="1" w:tplc="21D8D800">
      <w:start w:val="1"/>
      <w:numFmt w:val="lowerLetter"/>
      <w:lvlText w:val="%2."/>
      <w:lvlJc w:val="left"/>
      <w:pPr>
        <w:ind w:left="1364" w:hanging="360"/>
      </w:pPr>
    </w:lvl>
    <w:lvl w:ilvl="2" w:tplc="F8A22B94">
      <w:start w:val="1"/>
      <w:numFmt w:val="lowerRoman"/>
      <w:lvlText w:val="%3."/>
      <w:lvlJc w:val="right"/>
      <w:pPr>
        <w:ind w:left="2084" w:hanging="180"/>
      </w:pPr>
    </w:lvl>
    <w:lvl w:ilvl="3" w:tplc="14789E28">
      <w:start w:val="1"/>
      <w:numFmt w:val="decimal"/>
      <w:lvlText w:val="%4."/>
      <w:lvlJc w:val="left"/>
      <w:pPr>
        <w:ind w:left="2804" w:hanging="360"/>
      </w:pPr>
    </w:lvl>
    <w:lvl w:ilvl="4" w:tplc="EA0A2C7A">
      <w:start w:val="1"/>
      <w:numFmt w:val="lowerLetter"/>
      <w:lvlText w:val="%5."/>
      <w:lvlJc w:val="left"/>
      <w:pPr>
        <w:ind w:left="3524" w:hanging="360"/>
      </w:pPr>
    </w:lvl>
    <w:lvl w:ilvl="5" w:tplc="B1ACA568">
      <w:start w:val="1"/>
      <w:numFmt w:val="lowerRoman"/>
      <w:lvlText w:val="%6."/>
      <w:lvlJc w:val="right"/>
      <w:pPr>
        <w:ind w:left="4244" w:hanging="180"/>
      </w:pPr>
    </w:lvl>
    <w:lvl w:ilvl="6" w:tplc="FAE4B6DE">
      <w:start w:val="1"/>
      <w:numFmt w:val="decimal"/>
      <w:lvlText w:val="%7."/>
      <w:lvlJc w:val="left"/>
      <w:pPr>
        <w:ind w:left="4964" w:hanging="360"/>
      </w:pPr>
    </w:lvl>
    <w:lvl w:ilvl="7" w:tplc="18DC3282">
      <w:start w:val="1"/>
      <w:numFmt w:val="lowerLetter"/>
      <w:lvlText w:val="%8."/>
      <w:lvlJc w:val="left"/>
      <w:pPr>
        <w:ind w:left="5684" w:hanging="360"/>
      </w:pPr>
    </w:lvl>
    <w:lvl w:ilvl="8" w:tplc="29A89370">
      <w:start w:val="1"/>
      <w:numFmt w:val="lowerRoman"/>
      <w:lvlText w:val="%9."/>
      <w:lvlJc w:val="right"/>
      <w:pPr>
        <w:ind w:left="6404" w:hanging="180"/>
      </w:pPr>
    </w:lvl>
  </w:abstractNum>
  <w:abstractNum w:abstractNumId="8" w15:restartNumberingAfterBreak="0">
    <w:nsid w:val="3E152279"/>
    <w:multiLevelType w:val="hybridMultilevel"/>
    <w:tmpl w:val="714A94A6"/>
    <w:lvl w:ilvl="0" w:tplc="1854C584">
      <w:start w:val="1"/>
      <w:numFmt w:val="decimal"/>
      <w:lvlText w:val="%1."/>
      <w:lvlJc w:val="left"/>
      <w:pPr>
        <w:ind w:left="720" w:hanging="360"/>
      </w:pPr>
    </w:lvl>
    <w:lvl w:ilvl="1" w:tplc="E8582B96">
      <w:start w:val="1"/>
      <w:numFmt w:val="lowerLetter"/>
      <w:lvlText w:val="%2."/>
      <w:lvlJc w:val="left"/>
      <w:pPr>
        <w:ind w:left="1440" w:hanging="360"/>
      </w:pPr>
    </w:lvl>
    <w:lvl w:ilvl="2" w:tplc="6D6C3614">
      <w:start w:val="1"/>
      <w:numFmt w:val="lowerRoman"/>
      <w:lvlText w:val="%3."/>
      <w:lvlJc w:val="right"/>
      <w:pPr>
        <w:ind w:left="2160" w:hanging="180"/>
      </w:pPr>
    </w:lvl>
    <w:lvl w:ilvl="3" w:tplc="20C0EA22">
      <w:start w:val="1"/>
      <w:numFmt w:val="decimal"/>
      <w:lvlText w:val="%4."/>
      <w:lvlJc w:val="left"/>
      <w:pPr>
        <w:ind w:left="2880" w:hanging="360"/>
      </w:pPr>
    </w:lvl>
    <w:lvl w:ilvl="4" w:tplc="A63CD522">
      <w:start w:val="1"/>
      <w:numFmt w:val="lowerLetter"/>
      <w:lvlText w:val="%5."/>
      <w:lvlJc w:val="left"/>
      <w:pPr>
        <w:ind w:left="3600" w:hanging="360"/>
      </w:pPr>
    </w:lvl>
    <w:lvl w:ilvl="5" w:tplc="141E003C">
      <w:start w:val="1"/>
      <w:numFmt w:val="lowerRoman"/>
      <w:lvlText w:val="%6."/>
      <w:lvlJc w:val="right"/>
      <w:pPr>
        <w:ind w:left="4320" w:hanging="180"/>
      </w:pPr>
    </w:lvl>
    <w:lvl w:ilvl="6" w:tplc="3D869084">
      <w:start w:val="1"/>
      <w:numFmt w:val="decimal"/>
      <w:lvlText w:val="%7."/>
      <w:lvlJc w:val="left"/>
      <w:pPr>
        <w:ind w:left="5040" w:hanging="360"/>
      </w:pPr>
    </w:lvl>
    <w:lvl w:ilvl="7" w:tplc="BA9EC372">
      <w:start w:val="1"/>
      <w:numFmt w:val="lowerLetter"/>
      <w:lvlText w:val="%8."/>
      <w:lvlJc w:val="left"/>
      <w:pPr>
        <w:ind w:left="5760" w:hanging="360"/>
      </w:pPr>
    </w:lvl>
    <w:lvl w:ilvl="8" w:tplc="7354F68C">
      <w:start w:val="1"/>
      <w:numFmt w:val="lowerRoman"/>
      <w:lvlText w:val="%9."/>
      <w:lvlJc w:val="right"/>
      <w:pPr>
        <w:ind w:left="6480" w:hanging="180"/>
      </w:pPr>
    </w:lvl>
  </w:abstractNum>
  <w:abstractNum w:abstractNumId="9" w15:restartNumberingAfterBreak="0">
    <w:nsid w:val="454E27CF"/>
    <w:multiLevelType w:val="hybridMultilevel"/>
    <w:tmpl w:val="E90CFAA2"/>
    <w:lvl w:ilvl="0" w:tplc="AFC4742E">
      <w:start w:val="1"/>
      <w:numFmt w:val="decimal"/>
      <w:lvlText w:val="%1."/>
      <w:lvlJc w:val="left"/>
      <w:pPr>
        <w:ind w:left="720" w:hanging="360"/>
      </w:pPr>
      <w:rPr>
        <w:rFonts w:ascii="Times New Roman" w:hAnsi="Times New Roman" w:cs="Times New Roman" w:hint="default"/>
        <w:sz w:val="24"/>
      </w:rPr>
    </w:lvl>
    <w:lvl w:ilvl="1" w:tplc="FBCEB028">
      <w:start w:val="1"/>
      <w:numFmt w:val="lowerLetter"/>
      <w:lvlText w:val="%2."/>
      <w:lvlJc w:val="left"/>
      <w:pPr>
        <w:ind w:left="1440" w:hanging="360"/>
      </w:pPr>
    </w:lvl>
    <w:lvl w:ilvl="2" w:tplc="9FE8086C">
      <w:start w:val="1"/>
      <w:numFmt w:val="lowerRoman"/>
      <w:lvlText w:val="%3."/>
      <w:lvlJc w:val="right"/>
      <w:pPr>
        <w:ind w:left="2160" w:hanging="180"/>
      </w:pPr>
    </w:lvl>
    <w:lvl w:ilvl="3" w:tplc="95CE7CB6">
      <w:start w:val="1"/>
      <w:numFmt w:val="decimal"/>
      <w:lvlText w:val="%4."/>
      <w:lvlJc w:val="left"/>
      <w:pPr>
        <w:ind w:left="2880" w:hanging="360"/>
      </w:pPr>
    </w:lvl>
    <w:lvl w:ilvl="4" w:tplc="D0304A2E">
      <w:start w:val="1"/>
      <w:numFmt w:val="lowerLetter"/>
      <w:lvlText w:val="%5."/>
      <w:lvlJc w:val="left"/>
      <w:pPr>
        <w:ind w:left="3600" w:hanging="360"/>
      </w:pPr>
    </w:lvl>
    <w:lvl w:ilvl="5" w:tplc="40B279A0">
      <w:start w:val="1"/>
      <w:numFmt w:val="lowerRoman"/>
      <w:lvlText w:val="%6."/>
      <w:lvlJc w:val="right"/>
      <w:pPr>
        <w:ind w:left="4320" w:hanging="180"/>
      </w:pPr>
    </w:lvl>
    <w:lvl w:ilvl="6" w:tplc="8402D5EE">
      <w:start w:val="1"/>
      <w:numFmt w:val="decimal"/>
      <w:lvlText w:val="%7."/>
      <w:lvlJc w:val="left"/>
      <w:pPr>
        <w:ind w:left="5040" w:hanging="360"/>
      </w:pPr>
    </w:lvl>
    <w:lvl w:ilvl="7" w:tplc="9D7C2AC2">
      <w:start w:val="1"/>
      <w:numFmt w:val="lowerLetter"/>
      <w:lvlText w:val="%8."/>
      <w:lvlJc w:val="left"/>
      <w:pPr>
        <w:ind w:left="5760" w:hanging="360"/>
      </w:pPr>
    </w:lvl>
    <w:lvl w:ilvl="8" w:tplc="CC14C4D6">
      <w:start w:val="1"/>
      <w:numFmt w:val="lowerRoman"/>
      <w:lvlText w:val="%9."/>
      <w:lvlJc w:val="right"/>
      <w:pPr>
        <w:ind w:left="6480" w:hanging="180"/>
      </w:pPr>
    </w:lvl>
  </w:abstractNum>
  <w:abstractNum w:abstractNumId="10" w15:restartNumberingAfterBreak="0">
    <w:nsid w:val="553D0BAE"/>
    <w:multiLevelType w:val="hybridMultilevel"/>
    <w:tmpl w:val="6840E750"/>
    <w:lvl w:ilvl="0" w:tplc="6E288296">
      <w:start w:val="1"/>
      <w:numFmt w:val="decimal"/>
      <w:lvlText w:val="%1."/>
      <w:lvlJc w:val="left"/>
      <w:pPr>
        <w:ind w:left="720" w:hanging="360"/>
      </w:pPr>
    </w:lvl>
    <w:lvl w:ilvl="1" w:tplc="1444F162">
      <w:start w:val="1"/>
      <w:numFmt w:val="lowerLetter"/>
      <w:lvlText w:val="%2."/>
      <w:lvlJc w:val="left"/>
      <w:pPr>
        <w:ind w:left="1440" w:hanging="360"/>
      </w:pPr>
    </w:lvl>
    <w:lvl w:ilvl="2" w:tplc="F46EBA02">
      <w:start w:val="1"/>
      <w:numFmt w:val="lowerRoman"/>
      <w:lvlText w:val="%3."/>
      <w:lvlJc w:val="right"/>
      <w:pPr>
        <w:ind w:left="2160" w:hanging="180"/>
      </w:pPr>
    </w:lvl>
    <w:lvl w:ilvl="3" w:tplc="683C4EA8">
      <w:start w:val="1"/>
      <w:numFmt w:val="decimal"/>
      <w:lvlText w:val="%4."/>
      <w:lvlJc w:val="left"/>
      <w:pPr>
        <w:ind w:left="2880" w:hanging="360"/>
      </w:pPr>
    </w:lvl>
    <w:lvl w:ilvl="4" w:tplc="E16A3E32">
      <w:start w:val="1"/>
      <w:numFmt w:val="lowerLetter"/>
      <w:lvlText w:val="%5."/>
      <w:lvlJc w:val="left"/>
      <w:pPr>
        <w:ind w:left="3600" w:hanging="360"/>
      </w:pPr>
    </w:lvl>
    <w:lvl w:ilvl="5" w:tplc="4F9C9ECC">
      <w:start w:val="1"/>
      <w:numFmt w:val="lowerRoman"/>
      <w:lvlText w:val="%6."/>
      <w:lvlJc w:val="right"/>
      <w:pPr>
        <w:ind w:left="4320" w:hanging="180"/>
      </w:pPr>
    </w:lvl>
    <w:lvl w:ilvl="6" w:tplc="907A1CB0">
      <w:start w:val="1"/>
      <w:numFmt w:val="decimal"/>
      <w:lvlText w:val="%7."/>
      <w:lvlJc w:val="left"/>
      <w:pPr>
        <w:ind w:left="5040" w:hanging="360"/>
      </w:pPr>
    </w:lvl>
    <w:lvl w:ilvl="7" w:tplc="114CD4CE">
      <w:start w:val="1"/>
      <w:numFmt w:val="lowerLetter"/>
      <w:lvlText w:val="%8."/>
      <w:lvlJc w:val="left"/>
      <w:pPr>
        <w:ind w:left="5760" w:hanging="360"/>
      </w:pPr>
    </w:lvl>
    <w:lvl w:ilvl="8" w:tplc="91A0430E">
      <w:start w:val="1"/>
      <w:numFmt w:val="lowerRoman"/>
      <w:lvlText w:val="%9."/>
      <w:lvlJc w:val="right"/>
      <w:pPr>
        <w:ind w:left="6480" w:hanging="180"/>
      </w:pPr>
    </w:lvl>
  </w:abstractNum>
  <w:abstractNum w:abstractNumId="11" w15:restartNumberingAfterBreak="0">
    <w:nsid w:val="607E10F9"/>
    <w:multiLevelType w:val="hybridMultilevel"/>
    <w:tmpl w:val="A636CF18"/>
    <w:lvl w:ilvl="0" w:tplc="6D32A792">
      <w:start w:val="1"/>
      <w:numFmt w:val="decimal"/>
      <w:lvlText w:val="%1."/>
      <w:lvlJc w:val="left"/>
      <w:pPr>
        <w:ind w:left="720" w:hanging="360"/>
      </w:pPr>
    </w:lvl>
    <w:lvl w:ilvl="1" w:tplc="FBCEB028">
      <w:start w:val="1"/>
      <w:numFmt w:val="lowerLetter"/>
      <w:lvlText w:val="%2."/>
      <w:lvlJc w:val="left"/>
      <w:pPr>
        <w:ind w:left="1440" w:hanging="360"/>
      </w:pPr>
    </w:lvl>
    <w:lvl w:ilvl="2" w:tplc="9FE8086C">
      <w:start w:val="1"/>
      <w:numFmt w:val="lowerRoman"/>
      <w:lvlText w:val="%3."/>
      <w:lvlJc w:val="right"/>
      <w:pPr>
        <w:ind w:left="2160" w:hanging="180"/>
      </w:pPr>
    </w:lvl>
    <w:lvl w:ilvl="3" w:tplc="95CE7CB6">
      <w:start w:val="1"/>
      <w:numFmt w:val="decimal"/>
      <w:lvlText w:val="%4."/>
      <w:lvlJc w:val="left"/>
      <w:pPr>
        <w:ind w:left="2880" w:hanging="360"/>
      </w:pPr>
    </w:lvl>
    <w:lvl w:ilvl="4" w:tplc="D0304A2E">
      <w:start w:val="1"/>
      <w:numFmt w:val="lowerLetter"/>
      <w:lvlText w:val="%5."/>
      <w:lvlJc w:val="left"/>
      <w:pPr>
        <w:ind w:left="3600" w:hanging="360"/>
      </w:pPr>
    </w:lvl>
    <w:lvl w:ilvl="5" w:tplc="40B279A0">
      <w:start w:val="1"/>
      <w:numFmt w:val="lowerRoman"/>
      <w:lvlText w:val="%6."/>
      <w:lvlJc w:val="right"/>
      <w:pPr>
        <w:ind w:left="4320" w:hanging="180"/>
      </w:pPr>
    </w:lvl>
    <w:lvl w:ilvl="6" w:tplc="8402D5EE">
      <w:start w:val="1"/>
      <w:numFmt w:val="decimal"/>
      <w:lvlText w:val="%7."/>
      <w:lvlJc w:val="left"/>
      <w:pPr>
        <w:ind w:left="5040" w:hanging="360"/>
      </w:pPr>
    </w:lvl>
    <w:lvl w:ilvl="7" w:tplc="9D7C2AC2">
      <w:start w:val="1"/>
      <w:numFmt w:val="lowerLetter"/>
      <w:lvlText w:val="%8."/>
      <w:lvlJc w:val="left"/>
      <w:pPr>
        <w:ind w:left="5760" w:hanging="360"/>
      </w:pPr>
    </w:lvl>
    <w:lvl w:ilvl="8" w:tplc="CC14C4D6">
      <w:start w:val="1"/>
      <w:numFmt w:val="lowerRoman"/>
      <w:lvlText w:val="%9."/>
      <w:lvlJc w:val="right"/>
      <w:pPr>
        <w:ind w:left="6480" w:hanging="180"/>
      </w:pPr>
    </w:lvl>
  </w:abstractNum>
  <w:abstractNum w:abstractNumId="12" w15:restartNumberingAfterBreak="0">
    <w:nsid w:val="690CE27F"/>
    <w:multiLevelType w:val="hybridMultilevel"/>
    <w:tmpl w:val="6D2E204E"/>
    <w:lvl w:ilvl="0" w:tplc="9DAA0AD2">
      <w:start w:val="1"/>
      <w:numFmt w:val="decimal"/>
      <w:lvlText w:val="%1."/>
      <w:lvlJc w:val="left"/>
      <w:pPr>
        <w:ind w:left="720" w:hanging="360"/>
      </w:pPr>
    </w:lvl>
    <w:lvl w:ilvl="1" w:tplc="6DEC8590">
      <w:start w:val="1"/>
      <w:numFmt w:val="decimal"/>
      <w:lvlText w:val="%2."/>
      <w:lvlJc w:val="left"/>
      <w:pPr>
        <w:ind w:left="1440" w:hanging="360"/>
      </w:pPr>
    </w:lvl>
    <w:lvl w:ilvl="2" w:tplc="7026E100">
      <w:start w:val="1"/>
      <w:numFmt w:val="lowerRoman"/>
      <w:lvlText w:val="%3."/>
      <w:lvlJc w:val="right"/>
      <w:pPr>
        <w:ind w:left="2160" w:hanging="180"/>
      </w:pPr>
    </w:lvl>
    <w:lvl w:ilvl="3" w:tplc="589E2B70">
      <w:start w:val="1"/>
      <w:numFmt w:val="decimal"/>
      <w:lvlText w:val="%4."/>
      <w:lvlJc w:val="left"/>
      <w:pPr>
        <w:ind w:left="2880" w:hanging="360"/>
      </w:pPr>
    </w:lvl>
    <w:lvl w:ilvl="4" w:tplc="C2BE8126">
      <w:start w:val="1"/>
      <w:numFmt w:val="lowerLetter"/>
      <w:lvlText w:val="%5."/>
      <w:lvlJc w:val="left"/>
      <w:pPr>
        <w:ind w:left="3600" w:hanging="360"/>
      </w:pPr>
    </w:lvl>
    <w:lvl w:ilvl="5" w:tplc="157213C8">
      <w:start w:val="1"/>
      <w:numFmt w:val="lowerRoman"/>
      <w:lvlText w:val="%6."/>
      <w:lvlJc w:val="right"/>
      <w:pPr>
        <w:ind w:left="4320" w:hanging="180"/>
      </w:pPr>
    </w:lvl>
    <w:lvl w:ilvl="6" w:tplc="41641E5A">
      <w:start w:val="1"/>
      <w:numFmt w:val="decimal"/>
      <w:lvlText w:val="%7."/>
      <w:lvlJc w:val="left"/>
      <w:pPr>
        <w:ind w:left="5040" w:hanging="360"/>
      </w:pPr>
    </w:lvl>
    <w:lvl w:ilvl="7" w:tplc="E7B25A66">
      <w:start w:val="1"/>
      <w:numFmt w:val="lowerLetter"/>
      <w:lvlText w:val="%8."/>
      <w:lvlJc w:val="left"/>
      <w:pPr>
        <w:ind w:left="5760" w:hanging="360"/>
      </w:pPr>
    </w:lvl>
    <w:lvl w:ilvl="8" w:tplc="90DCA9A2">
      <w:start w:val="1"/>
      <w:numFmt w:val="lowerRoman"/>
      <w:lvlText w:val="%9."/>
      <w:lvlJc w:val="right"/>
      <w:pPr>
        <w:ind w:left="6480" w:hanging="180"/>
      </w:pPr>
    </w:lvl>
  </w:abstractNum>
  <w:abstractNum w:abstractNumId="13" w15:restartNumberingAfterBreak="0">
    <w:nsid w:val="6C7F68BA"/>
    <w:multiLevelType w:val="hybridMultilevel"/>
    <w:tmpl w:val="FA1458DC"/>
    <w:lvl w:ilvl="0" w:tplc="87A07964">
      <w:start w:val="1"/>
      <w:numFmt w:val="decimal"/>
      <w:lvlText w:val="%1."/>
      <w:lvlJc w:val="left"/>
      <w:pPr>
        <w:ind w:left="720" w:hanging="360"/>
      </w:pPr>
    </w:lvl>
    <w:lvl w:ilvl="1" w:tplc="7C30DA0E">
      <w:start w:val="1"/>
      <w:numFmt w:val="lowerLetter"/>
      <w:lvlText w:val="%2."/>
      <w:lvlJc w:val="left"/>
      <w:pPr>
        <w:ind w:left="1440" w:hanging="360"/>
      </w:pPr>
    </w:lvl>
    <w:lvl w:ilvl="2" w:tplc="F2FC638E">
      <w:start w:val="1"/>
      <w:numFmt w:val="lowerRoman"/>
      <w:lvlText w:val="%3."/>
      <w:lvlJc w:val="right"/>
      <w:pPr>
        <w:ind w:left="2160" w:hanging="180"/>
      </w:pPr>
    </w:lvl>
    <w:lvl w:ilvl="3" w:tplc="CBFC245C">
      <w:start w:val="1"/>
      <w:numFmt w:val="decimal"/>
      <w:lvlText w:val="%4."/>
      <w:lvlJc w:val="left"/>
      <w:pPr>
        <w:ind w:left="2880" w:hanging="360"/>
      </w:pPr>
    </w:lvl>
    <w:lvl w:ilvl="4" w:tplc="206C4A66">
      <w:start w:val="1"/>
      <w:numFmt w:val="lowerLetter"/>
      <w:lvlText w:val="%5."/>
      <w:lvlJc w:val="left"/>
      <w:pPr>
        <w:ind w:left="3600" w:hanging="360"/>
      </w:pPr>
    </w:lvl>
    <w:lvl w:ilvl="5" w:tplc="82FC67AE">
      <w:start w:val="1"/>
      <w:numFmt w:val="lowerRoman"/>
      <w:lvlText w:val="%6."/>
      <w:lvlJc w:val="right"/>
      <w:pPr>
        <w:ind w:left="4320" w:hanging="180"/>
      </w:pPr>
    </w:lvl>
    <w:lvl w:ilvl="6" w:tplc="E4D6A36E">
      <w:start w:val="1"/>
      <w:numFmt w:val="decimal"/>
      <w:lvlText w:val="%7."/>
      <w:lvlJc w:val="left"/>
      <w:pPr>
        <w:ind w:left="5040" w:hanging="360"/>
      </w:pPr>
    </w:lvl>
    <w:lvl w:ilvl="7" w:tplc="2E8E5C12">
      <w:start w:val="1"/>
      <w:numFmt w:val="lowerLetter"/>
      <w:lvlText w:val="%8."/>
      <w:lvlJc w:val="left"/>
      <w:pPr>
        <w:ind w:left="5760" w:hanging="360"/>
      </w:pPr>
    </w:lvl>
    <w:lvl w:ilvl="8" w:tplc="9F8404D8">
      <w:start w:val="1"/>
      <w:numFmt w:val="lowerRoman"/>
      <w:lvlText w:val="%9."/>
      <w:lvlJc w:val="right"/>
      <w:pPr>
        <w:ind w:left="6480" w:hanging="180"/>
      </w:pPr>
    </w:lvl>
  </w:abstractNum>
  <w:abstractNum w:abstractNumId="14" w15:restartNumberingAfterBreak="0">
    <w:nsid w:val="6D31E035"/>
    <w:multiLevelType w:val="hybridMultilevel"/>
    <w:tmpl w:val="1AA6D942"/>
    <w:lvl w:ilvl="0" w:tplc="7C847BA2">
      <w:start w:val="1"/>
      <w:numFmt w:val="decimal"/>
      <w:lvlText w:val="%1."/>
      <w:lvlJc w:val="left"/>
      <w:pPr>
        <w:ind w:left="720" w:hanging="360"/>
      </w:pPr>
    </w:lvl>
    <w:lvl w:ilvl="1" w:tplc="83526D64">
      <w:start w:val="1"/>
      <w:numFmt w:val="lowerLetter"/>
      <w:lvlText w:val="%2."/>
      <w:lvlJc w:val="left"/>
      <w:pPr>
        <w:ind w:left="1440" w:hanging="360"/>
      </w:pPr>
    </w:lvl>
    <w:lvl w:ilvl="2" w:tplc="F0BCF664">
      <w:start w:val="1"/>
      <w:numFmt w:val="lowerRoman"/>
      <w:lvlText w:val="%3."/>
      <w:lvlJc w:val="right"/>
      <w:pPr>
        <w:ind w:left="2160" w:hanging="180"/>
      </w:pPr>
    </w:lvl>
    <w:lvl w:ilvl="3" w:tplc="E5A4555E">
      <w:start w:val="1"/>
      <w:numFmt w:val="decimal"/>
      <w:lvlText w:val="%4."/>
      <w:lvlJc w:val="left"/>
      <w:pPr>
        <w:ind w:left="2880" w:hanging="360"/>
      </w:pPr>
    </w:lvl>
    <w:lvl w:ilvl="4" w:tplc="84DEAB3C">
      <w:start w:val="1"/>
      <w:numFmt w:val="lowerLetter"/>
      <w:lvlText w:val="%5."/>
      <w:lvlJc w:val="left"/>
      <w:pPr>
        <w:ind w:left="3600" w:hanging="360"/>
      </w:pPr>
    </w:lvl>
    <w:lvl w:ilvl="5" w:tplc="B014975C">
      <w:start w:val="1"/>
      <w:numFmt w:val="lowerRoman"/>
      <w:lvlText w:val="%6."/>
      <w:lvlJc w:val="right"/>
      <w:pPr>
        <w:ind w:left="4320" w:hanging="180"/>
      </w:pPr>
    </w:lvl>
    <w:lvl w:ilvl="6" w:tplc="1BEA3DF0">
      <w:start w:val="1"/>
      <w:numFmt w:val="decimal"/>
      <w:lvlText w:val="%7."/>
      <w:lvlJc w:val="left"/>
      <w:pPr>
        <w:ind w:left="5040" w:hanging="360"/>
      </w:pPr>
    </w:lvl>
    <w:lvl w:ilvl="7" w:tplc="8714B4AC">
      <w:start w:val="1"/>
      <w:numFmt w:val="lowerLetter"/>
      <w:lvlText w:val="%8."/>
      <w:lvlJc w:val="left"/>
      <w:pPr>
        <w:ind w:left="5760" w:hanging="360"/>
      </w:pPr>
    </w:lvl>
    <w:lvl w:ilvl="8" w:tplc="CC6CDB10">
      <w:start w:val="1"/>
      <w:numFmt w:val="lowerRoman"/>
      <w:lvlText w:val="%9."/>
      <w:lvlJc w:val="right"/>
      <w:pPr>
        <w:ind w:left="6480" w:hanging="180"/>
      </w:pPr>
    </w:lvl>
  </w:abstractNum>
  <w:abstractNum w:abstractNumId="15" w15:restartNumberingAfterBreak="0">
    <w:nsid w:val="70262DDA"/>
    <w:multiLevelType w:val="hybridMultilevel"/>
    <w:tmpl w:val="505C35C0"/>
    <w:lvl w:ilvl="0" w:tplc="8892DE38">
      <w:start w:val="1"/>
      <w:numFmt w:val="decimal"/>
      <w:lvlText w:val="%1."/>
      <w:lvlJc w:val="left"/>
      <w:pPr>
        <w:ind w:left="720" w:hanging="360"/>
      </w:pPr>
    </w:lvl>
    <w:lvl w:ilvl="1" w:tplc="83C0E80E">
      <w:start w:val="1"/>
      <w:numFmt w:val="decimal"/>
      <w:lvlText w:val="%2."/>
      <w:lvlJc w:val="left"/>
      <w:pPr>
        <w:ind w:left="1440" w:hanging="360"/>
      </w:pPr>
    </w:lvl>
    <w:lvl w:ilvl="2" w:tplc="1D303516">
      <w:start w:val="1"/>
      <w:numFmt w:val="lowerRoman"/>
      <w:lvlText w:val="%3."/>
      <w:lvlJc w:val="right"/>
      <w:pPr>
        <w:ind w:left="2160" w:hanging="180"/>
      </w:pPr>
    </w:lvl>
    <w:lvl w:ilvl="3" w:tplc="E3ACE66C">
      <w:start w:val="1"/>
      <w:numFmt w:val="decimal"/>
      <w:lvlText w:val="%4."/>
      <w:lvlJc w:val="left"/>
      <w:pPr>
        <w:ind w:left="2880" w:hanging="360"/>
      </w:pPr>
    </w:lvl>
    <w:lvl w:ilvl="4" w:tplc="79E4C3B6">
      <w:start w:val="1"/>
      <w:numFmt w:val="lowerLetter"/>
      <w:lvlText w:val="%5."/>
      <w:lvlJc w:val="left"/>
      <w:pPr>
        <w:ind w:left="3600" w:hanging="360"/>
      </w:pPr>
    </w:lvl>
    <w:lvl w:ilvl="5" w:tplc="A5C63842">
      <w:start w:val="1"/>
      <w:numFmt w:val="lowerRoman"/>
      <w:lvlText w:val="%6."/>
      <w:lvlJc w:val="right"/>
      <w:pPr>
        <w:ind w:left="4320" w:hanging="180"/>
      </w:pPr>
    </w:lvl>
    <w:lvl w:ilvl="6" w:tplc="A18020DE">
      <w:start w:val="1"/>
      <w:numFmt w:val="decimal"/>
      <w:lvlText w:val="%7."/>
      <w:lvlJc w:val="left"/>
      <w:pPr>
        <w:ind w:left="5040" w:hanging="360"/>
      </w:pPr>
    </w:lvl>
    <w:lvl w:ilvl="7" w:tplc="693C7E46">
      <w:start w:val="1"/>
      <w:numFmt w:val="lowerLetter"/>
      <w:lvlText w:val="%8."/>
      <w:lvlJc w:val="left"/>
      <w:pPr>
        <w:ind w:left="5760" w:hanging="360"/>
      </w:pPr>
    </w:lvl>
    <w:lvl w:ilvl="8" w:tplc="B6C0929A">
      <w:start w:val="1"/>
      <w:numFmt w:val="lowerRoman"/>
      <w:lvlText w:val="%9."/>
      <w:lvlJc w:val="right"/>
      <w:pPr>
        <w:ind w:left="6480" w:hanging="180"/>
      </w:pPr>
    </w:lvl>
  </w:abstractNum>
  <w:abstractNum w:abstractNumId="16" w15:restartNumberingAfterBreak="0">
    <w:nsid w:val="72A7424E"/>
    <w:multiLevelType w:val="hybridMultilevel"/>
    <w:tmpl w:val="A636CF18"/>
    <w:lvl w:ilvl="0" w:tplc="6D32A792">
      <w:start w:val="1"/>
      <w:numFmt w:val="decimal"/>
      <w:lvlText w:val="%1."/>
      <w:lvlJc w:val="left"/>
      <w:pPr>
        <w:ind w:left="720" w:hanging="360"/>
      </w:pPr>
    </w:lvl>
    <w:lvl w:ilvl="1" w:tplc="FBCEB028">
      <w:start w:val="1"/>
      <w:numFmt w:val="lowerLetter"/>
      <w:lvlText w:val="%2."/>
      <w:lvlJc w:val="left"/>
      <w:pPr>
        <w:ind w:left="1440" w:hanging="360"/>
      </w:pPr>
    </w:lvl>
    <w:lvl w:ilvl="2" w:tplc="9FE8086C">
      <w:start w:val="1"/>
      <w:numFmt w:val="lowerRoman"/>
      <w:lvlText w:val="%3."/>
      <w:lvlJc w:val="right"/>
      <w:pPr>
        <w:ind w:left="2160" w:hanging="180"/>
      </w:pPr>
    </w:lvl>
    <w:lvl w:ilvl="3" w:tplc="95CE7CB6">
      <w:start w:val="1"/>
      <w:numFmt w:val="decimal"/>
      <w:lvlText w:val="%4."/>
      <w:lvlJc w:val="left"/>
      <w:pPr>
        <w:ind w:left="2880" w:hanging="360"/>
      </w:pPr>
    </w:lvl>
    <w:lvl w:ilvl="4" w:tplc="D0304A2E">
      <w:start w:val="1"/>
      <w:numFmt w:val="lowerLetter"/>
      <w:lvlText w:val="%5."/>
      <w:lvlJc w:val="left"/>
      <w:pPr>
        <w:ind w:left="3600" w:hanging="360"/>
      </w:pPr>
    </w:lvl>
    <w:lvl w:ilvl="5" w:tplc="40B279A0">
      <w:start w:val="1"/>
      <w:numFmt w:val="lowerRoman"/>
      <w:lvlText w:val="%6."/>
      <w:lvlJc w:val="right"/>
      <w:pPr>
        <w:ind w:left="4320" w:hanging="180"/>
      </w:pPr>
    </w:lvl>
    <w:lvl w:ilvl="6" w:tplc="8402D5EE">
      <w:start w:val="1"/>
      <w:numFmt w:val="decimal"/>
      <w:lvlText w:val="%7."/>
      <w:lvlJc w:val="left"/>
      <w:pPr>
        <w:ind w:left="5040" w:hanging="360"/>
      </w:pPr>
    </w:lvl>
    <w:lvl w:ilvl="7" w:tplc="9D7C2AC2">
      <w:start w:val="1"/>
      <w:numFmt w:val="lowerLetter"/>
      <w:lvlText w:val="%8."/>
      <w:lvlJc w:val="left"/>
      <w:pPr>
        <w:ind w:left="5760" w:hanging="360"/>
      </w:pPr>
    </w:lvl>
    <w:lvl w:ilvl="8" w:tplc="CC14C4D6">
      <w:start w:val="1"/>
      <w:numFmt w:val="lowerRoman"/>
      <w:lvlText w:val="%9."/>
      <w:lvlJc w:val="right"/>
      <w:pPr>
        <w:ind w:left="6480" w:hanging="180"/>
      </w:pPr>
    </w:lvl>
  </w:abstractNum>
  <w:abstractNum w:abstractNumId="17" w15:restartNumberingAfterBreak="0">
    <w:nsid w:val="760E4109"/>
    <w:multiLevelType w:val="hybridMultilevel"/>
    <w:tmpl w:val="61C8A6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5"/>
  </w:num>
  <w:num w:numId="4">
    <w:abstractNumId w:val="4"/>
  </w:num>
  <w:num w:numId="5">
    <w:abstractNumId w:val="12"/>
  </w:num>
  <w:num w:numId="6">
    <w:abstractNumId w:val="15"/>
  </w:num>
  <w:num w:numId="7">
    <w:abstractNumId w:val="7"/>
  </w:num>
  <w:num w:numId="8">
    <w:abstractNumId w:val="9"/>
  </w:num>
  <w:num w:numId="9">
    <w:abstractNumId w:val="13"/>
  </w:num>
  <w:num w:numId="10">
    <w:abstractNumId w:val="6"/>
  </w:num>
  <w:num w:numId="11">
    <w:abstractNumId w:val="8"/>
  </w:num>
  <w:num w:numId="12">
    <w:abstractNumId w:val="0"/>
  </w:num>
  <w:num w:numId="13">
    <w:abstractNumId w:val="14"/>
  </w:num>
  <w:num w:numId="14">
    <w:abstractNumId w:val="11"/>
  </w:num>
  <w:num w:numId="15">
    <w:abstractNumId w:val="2"/>
  </w:num>
  <w:num w:numId="16">
    <w:abstractNumId w:val="17"/>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6" w:nlCheck="1" w:checkStyle="0"/>
  <w:activeWritingStyle w:appName="MSWord" w:lang="en-IE" w:vendorID="64" w:dllVersion="6" w:nlCheck="1" w:checkStyle="1"/>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nl" w:vendorID="64" w:dllVersion="6" w:nlCheck="1" w:checkStyle="0"/>
  <w:activeWritingStyle w:appName="MSWord" w:lang="es-ES" w:vendorID="64" w:dllVersion="6" w:nlCheck="1" w:checkStyle="0"/>
  <w:activeWritingStyle w:appName="MSWord" w:lang="en-IE" w:vendorID="64" w:dllVersion="0"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en-IE" w:vendorID="64" w:dllVersion="131078" w:nlCheck="1" w:checkStyle="1"/>
  <w:activeWritingStyle w:appName="MSWord" w:lang="es-ES"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B0859AA-69D4-41AB-BAF9-E98B38C322D6"/>
    <w:docVar w:name="LW_COVERPAGE_TYPE" w:val="1"/>
    <w:docVar w:name="LW_CROSSREFERENCE" w:val="&lt;UNUSED&gt;"/>
    <w:docVar w:name="LW_DocType" w:val="NORMAL"/>
    <w:docVar w:name="LW_EMISSION" w:val="15.11.2022"/>
    <w:docVar w:name="LW_EMISSION_ISODATE" w:val="2022-11-15"/>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2) 6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Bericht 2022 über die Verwirklichung der Energieeffizienzziele bis 2020&lt;/FMT&gt;"/>
    <w:docVar w:name="LW_TYPE.DOC.CP" w:val="BERICHT DER KOMMISSION AN DAS EUROPÄISCHE PARLAMENT UND DEN RAT"/>
    <w:docVar w:name="LwApiVersions" w:val="LW4CoDe 1.23.2.0; LW 8.0, Build 20211117"/>
  </w:docVars>
  <w:rsids>
    <w:rsidRoot w:val="56EFE84C"/>
    <w:rsid w:val="00013A3D"/>
    <w:rsid w:val="00015CE7"/>
    <w:rsid w:val="00020BBE"/>
    <w:rsid w:val="0002357F"/>
    <w:rsid w:val="00023D90"/>
    <w:rsid w:val="0003627F"/>
    <w:rsid w:val="00046600"/>
    <w:rsid w:val="00050457"/>
    <w:rsid w:val="0005273F"/>
    <w:rsid w:val="00063AAE"/>
    <w:rsid w:val="0006489E"/>
    <w:rsid w:val="000660ED"/>
    <w:rsid w:val="00081F2C"/>
    <w:rsid w:val="00090FC2"/>
    <w:rsid w:val="000960A1"/>
    <w:rsid w:val="000B7320"/>
    <w:rsid w:val="000C09F5"/>
    <w:rsid w:val="000C22BA"/>
    <w:rsid w:val="000C2F5A"/>
    <w:rsid w:val="000E11DF"/>
    <w:rsid w:val="000E26D9"/>
    <w:rsid w:val="000F6DA2"/>
    <w:rsid w:val="00101FB5"/>
    <w:rsid w:val="00102EC1"/>
    <w:rsid w:val="001110F1"/>
    <w:rsid w:val="00114488"/>
    <w:rsid w:val="001179F4"/>
    <w:rsid w:val="001335C0"/>
    <w:rsid w:val="0013434B"/>
    <w:rsid w:val="00135C8C"/>
    <w:rsid w:val="0014314E"/>
    <w:rsid w:val="00147984"/>
    <w:rsid w:val="00152574"/>
    <w:rsid w:val="0015257A"/>
    <w:rsid w:val="00160826"/>
    <w:rsid w:val="00163D06"/>
    <w:rsid w:val="00173BB6"/>
    <w:rsid w:val="00180BAE"/>
    <w:rsid w:val="0019391C"/>
    <w:rsid w:val="001A0796"/>
    <w:rsid w:val="001A1BDF"/>
    <w:rsid w:val="001A1D22"/>
    <w:rsid w:val="001A6D40"/>
    <w:rsid w:val="001B0A7C"/>
    <w:rsid w:val="001B0C26"/>
    <w:rsid w:val="001B1874"/>
    <w:rsid w:val="001B4EA5"/>
    <w:rsid w:val="001B54D0"/>
    <w:rsid w:val="001C0C40"/>
    <w:rsid w:val="001C4B99"/>
    <w:rsid w:val="001C6547"/>
    <w:rsid w:val="001D243F"/>
    <w:rsid w:val="001D7059"/>
    <w:rsid w:val="001E71CF"/>
    <w:rsid w:val="001F3DE5"/>
    <w:rsid w:val="001F5A98"/>
    <w:rsid w:val="001F7B4F"/>
    <w:rsid w:val="00200E70"/>
    <w:rsid w:val="0020258B"/>
    <w:rsid w:val="00215468"/>
    <w:rsid w:val="00223D4D"/>
    <w:rsid w:val="0022ADE6"/>
    <w:rsid w:val="002300EE"/>
    <w:rsid w:val="0023106D"/>
    <w:rsid w:val="0023499C"/>
    <w:rsid w:val="00237407"/>
    <w:rsid w:val="002410FD"/>
    <w:rsid w:val="0024113B"/>
    <w:rsid w:val="0024388D"/>
    <w:rsid w:val="00244B05"/>
    <w:rsid w:val="0024611E"/>
    <w:rsid w:val="002524DD"/>
    <w:rsid w:val="00260AE0"/>
    <w:rsid w:val="00264192"/>
    <w:rsid w:val="0026536C"/>
    <w:rsid w:val="002657AC"/>
    <w:rsid w:val="00267004"/>
    <w:rsid w:val="00267A12"/>
    <w:rsid w:val="0027049E"/>
    <w:rsid w:val="00272449"/>
    <w:rsid w:val="00272614"/>
    <w:rsid w:val="0028446C"/>
    <w:rsid w:val="00286D3E"/>
    <w:rsid w:val="0029217D"/>
    <w:rsid w:val="00292F57"/>
    <w:rsid w:val="00294406"/>
    <w:rsid w:val="002A080F"/>
    <w:rsid w:val="002A14A5"/>
    <w:rsid w:val="002A7505"/>
    <w:rsid w:val="002B3BB6"/>
    <w:rsid w:val="002B4957"/>
    <w:rsid w:val="002B4EF7"/>
    <w:rsid w:val="002C373E"/>
    <w:rsid w:val="002C3775"/>
    <w:rsid w:val="002C4B40"/>
    <w:rsid w:val="002D25A9"/>
    <w:rsid w:val="002D45A4"/>
    <w:rsid w:val="002E51CD"/>
    <w:rsid w:val="002F5989"/>
    <w:rsid w:val="00300548"/>
    <w:rsid w:val="00311299"/>
    <w:rsid w:val="003130FE"/>
    <w:rsid w:val="00313858"/>
    <w:rsid w:val="003229BD"/>
    <w:rsid w:val="003260E2"/>
    <w:rsid w:val="003305D3"/>
    <w:rsid w:val="00341952"/>
    <w:rsid w:val="003452C8"/>
    <w:rsid w:val="00350A67"/>
    <w:rsid w:val="00352427"/>
    <w:rsid w:val="00354435"/>
    <w:rsid w:val="0036135E"/>
    <w:rsid w:val="00373550"/>
    <w:rsid w:val="00376B0A"/>
    <w:rsid w:val="003857FE"/>
    <w:rsid w:val="003868DA"/>
    <w:rsid w:val="0039180C"/>
    <w:rsid w:val="0039247C"/>
    <w:rsid w:val="003A0F45"/>
    <w:rsid w:val="003A1755"/>
    <w:rsid w:val="003A2577"/>
    <w:rsid w:val="003A7C2E"/>
    <w:rsid w:val="003B1D0B"/>
    <w:rsid w:val="003D36CA"/>
    <w:rsid w:val="003D6794"/>
    <w:rsid w:val="003E351F"/>
    <w:rsid w:val="003F0FE7"/>
    <w:rsid w:val="003F5018"/>
    <w:rsid w:val="00401776"/>
    <w:rsid w:val="004033DD"/>
    <w:rsid w:val="00410650"/>
    <w:rsid w:val="00410CF5"/>
    <w:rsid w:val="00412993"/>
    <w:rsid w:val="004357AE"/>
    <w:rsid w:val="0044577E"/>
    <w:rsid w:val="004560C0"/>
    <w:rsid w:val="004610CD"/>
    <w:rsid w:val="00463A07"/>
    <w:rsid w:val="004676BA"/>
    <w:rsid w:val="00467E1D"/>
    <w:rsid w:val="00471F23"/>
    <w:rsid w:val="00476171"/>
    <w:rsid w:val="0048590A"/>
    <w:rsid w:val="0049215F"/>
    <w:rsid w:val="004969B1"/>
    <w:rsid w:val="004A1BDC"/>
    <w:rsid w:val="004A2998"/>
    <w:rsid w:val="004A2FF6"/>
    <w:rsid w:val="004A53FC"/>
    <w:rsid w:val="004B01D5"/>
    <w:rsid w:val="004B1D5E"/>
    <w:rsid w:val="004B2371"/>
    <w:rsid w:val="004B6873"/>
    <w:rsid w:val="004B7857"/>
    <w:rsid w:val="004C024A"/>
    <w:rsid w:val="004C1A4E"/>
    <w:rsid w:val="004C1FB1"/>
    <w:rsid w:val="004C4E0E"/>
    <w:rsid w:val="004D248D"/>
    <w:rsid w:val="004D26B8"/>
    <w:rsid w:val="004D58E4"/>
    <w:rsid w:val="004F4679"/>
    <w:rsid w:val="004F497D"/>
    <w:rsid w:val="005028E9"/>
    <w:rsid w:val="00502B10"/>
    <w:rsid w:val="00506D7B"/>
    <w:rsid w:val="00507207"/>
    <w:rsid w:val="00512AF5"/>
    <w:rsid w:val="00513B83"/>
    <w:rsid w:val="005166BF"/>
    <w:rsid w:val="005243C6"/>
    <w:rsid w:val="00524FC0"/>
    <w:rsid w:val="00531BF4"/>
    <w:rsid w:val="0053231B"/>
    <w:rsid w:val="0053414B"/>
    <w:rsid w:val="00537FC1"/>
    <w:rsid w:val="005523B5"/>
    <w:rsid w:val="005547EC"/>
    <w:rsid w:val="005563D1"/>
    <w:rsid w:val="00556739"/>
    <w:rsid w:val="005628A7"/>
    <w:rsid w:val="00564AD5"/>
    <w:rsid w:val="00565CDD"/>
    <w:rsid w:val="00567053"/>
    <w:rsid w:val="00577CDE"/>
    <w:rsid w:val="00583C18"/>
    <w:rsid w:val="005861F7"/>
    <w:rsid w:val="0059144D"/>
    <w:rsid w:val="00593ED4"/>
    <w:rsid w:val="00595F07"/>
    <w:rsid w:val="005A2DAB"/>
    <w:rsid w:val="005A3320"/>
    <w:rsid w:val="005A47A4"/>
    <w:rsid w:val="005A67C5"/>
    <w:rsid w:val="005B170B"/>
    <w:rsid w:val="005C344F"/>
    <w:rsid w:val="005C4380"/>
    <w:rsid w:val="005D4740"/>
    <w:rsid w:val="005D4BEE"/>
    <w:rsid w:val="005D50E4"/>
    <w:rsid w:val="005E08E7"/>
    <w:rsid w:val="005E193A"/>
    <w:rsid w:val="005E3707"/>
    <w:rsid w:val="005E6C14"/>
    <w:rsid w:val="0060322B"/>
    <w:rsid w:val="00604BA3"/>
    <w:rsid w:val="006066A8"/>
    <w:rsid w:val="00614BCB"/>
    <w:rsid w:val="00624F69"/>
    <w:rsid w:val="0062702C"/>
    <w:rsid w:val="00641E8A"/>
    <w:rsid w:val="0066128D"/>
    <w:rsid w:val="006767C6"/>
    <w:rsid w:val="00681F18"/>
    <w:rsid w:val="00682882"/>
    <w:rsid w:val="006848A5"/>
    <w:rsid w:val="00686CD0"/>
    <w:rsid w:val="00687979"/>
    <w:rsid w:val="00687A6E"/>
    <w:rsid w:val="006908DC"/>
    <w:rsid w:val="0069537A"/>
    <w:rsid w:val="006A2265"/>
    <w:rsid w:val="006A6A9D"/>
    <w:rsid w:val="006B2352"/>
    <w:rsid w:val="006C366A"/>
    <w:rsid w:val="006C3C3B"/>
    <w:rsid w:val="006D46D1"/>
    <w:rsid w:val="006F0F77"/>
    <w:rsid w:val="007015B3"/>
    <w:rsid w:val="007022D7"/>
    <w:rsid w:val="00711998"/>
    <w:rsid w:val="00712C05"/>
    <w:rsid w:val="007169AA"/>
    <w:rsid w:val="007204D4"/>
    <w:rsid w:val="007218B6"/>
    <w:rsid w:val="007248AA"/>
    <w:rsid w:val="007318C0"/>
    <w:rsid w:val="00734652"/>
    <w:rsid w:val="0073607B"/>
    <w:rsid w:val="007375A8"/>
    <w:rsid w:val="007406EC"/>
    <w:rsid w:val="00754CAD"/>
    <w:rsid w:val="00761E02"/>
    <w:rsid w:val="00762E0D"/>
    <w:rsid w:val="007659B5"/>
    <w:rsid w:val="00765B8B"/>
    <w:rsid w:val="007661CA"/>
    <w:rsid w:val="00771213"/>
    <w:rsid w:val="0077342A"/>
    <w:rsid w:val="0078458A"/>
    <w:rsid w:val="00787A10"/>
    <w:rsid w:val="00791765"/>
    <w:rsid w:val="00793A08"/>
    <w:rsid w:val="00797D46"/>
    <w:rsid w:val="007A3253"/>
    <w:rsid w:val="007A5320"/>
    <w:rsid w:val="007C4E07"/>
    <w:rsid w:val="007E2DAE"/>
    <w:rsid w:val="007F1C1E"/>
    <w:rsid w:val="0080421F"/>
    <w:rsid w:val="008079AF"/>
    <w:rsid w:val="0080EFCB"/>
    <w:rsid w:val="00817828"/>
    <w:rsid w:val="008207DE"/>
    <w:rsid w:val="00822B3D"/>
    <w:rsid w:val="00827016"/>
    <w:rsid w:val="008347B6"/>
    <w:rsid w:val="008363A0"/>
    <w:rsid w:val="00837571"/>
    <w:rsid w:val="00851AB1"/>
    <w:rsid w:val="00853F37"/>
    <w:rsid w:val="008629CB"/>
    <w:rsid w:val="00862A50"/>
    <w:rsid w:val="008712E1"/>
    <w:rsid w:val="00875F2E"/>
    <w:rsid w:val="0087655B"/>
    <w:rsid w:val="008807A1"/>
    <w:rsid w:val="00883E39"/>
    <w:rsid w:val="008862BA"/>
    <w:rsid w:val="008A174A"/>
    <w:rsid w:val="008A2202"/>
    <w:rsid w:val="008A2ED8"/>
    <w:rsid w:val="008B1FE2"/>
    <w:rsid w:val="008B5C3C"/>
    <w:rsid w:val="008D224C"/>
    <w:rsid w:val="008E799C"/>
    <w:rsid w:val="008F04D2"/>
    <w:rsid w:val="00900A11"/>
    <w:rsid w:val="00905973"/>
    <w:rsid w:val="00912D0B"/>
    <w:rsid w:val="00913BE9"/>
    <w:rsid w:val="00913D7B"/>
    <w:rsid w:val="00914388"/>
    <w:rsid w:val="009254FF"/>
    <w:rsid w:val="0092598F"/>
    <w:rsid w:val="009273D2"/>
    <w:rsid w:val="00931321"/>
    <w:rsid w:val="00932843"/>
    <w:rsid w:val="009357DF"/>
    <w:rsid w:val="00946F20"/>
    <w:rsid w:val="0095319E"/>
    <w:rsid w:val="00954271"/>
    <w:rsid w:val="009554FB"/>
    <w:rsid w:val="00960951"/>
    <w:rsid w:val="00964AE4"/>
    <w:rsid w:val="00964CD5"/>
    <w:rsid w:val="00977D7D"/>
    <w:rsid w:val="00982772"/>
    <w:rsid w:val="00983557"/>
    <w:rsid w:val="0098370A"/>
    <w:rsid w:val="00985B64"/>
    <w:rsid w:val="0098765D"/>
    <w:rsid w:val="00992061"/>
    <w:rsid w:val="009B013E"/>
    <w:rsid w:val="009D0AFE"/>
    <w:rsid w:val="009D539F"/>
    <w:rsid w:val="009F32B6"/>
    <w:rsid w:val="00A0722A"/>
    <w:rsid w:val="00A07899"/>
    <w:rsid w:val="00A1524D"/>
    <w:rsid w:val="00A175DD"/>
    <w:rsid w:val="00A51534"/>
    <w:rsid w:val="00A53F21"/>
    <w:rsid w:val="00A55A04"/>
    <w:rsid w:val="00A56FD9"/>
    <w:rsid w:val="00A57A65"/>
    <w:rsid w:val="00A615C6"/>
    <w:rsid w:val="00A61D81"/>
    <w:rsid w:val="00A63FAB"/>
    <w:rsid w:val="00A663E3"/>
    <w:rsid w:val="00A721C4"/>
    <w:rsid w:val="00A76A77"/>
    <w:rsid w:val="00A803C1"/>
    <w:rsid w:val="00A80673"/>
    <w:rsid w:val="00A83887"/>
    <w:rsid w:val="00A83E39"/>
    <w:rsid w:val="00A92307"/>
    <w:rsid w:val="00A92BAA"/>
    <w:rsid w:val="00A9520C"/>
    <w:rsid w:val="00A97926"/>
    <w:rsid w:val="00AA272A"/>
    <w:rsid w:val="00AA59DC"/>
    <w:rsid w:val="00AB3F1F"/>
    <w:rsid w:val="00AC079A"/>
    <w:rsid w:val="00AC1DAD"/>
    <w:rsid w:val="00AC6A80"/>
    <w:rsid w:val="00AE4CEE"/>
    <w:rsid w:val="00AF21D4"/>
    <w:rsid w:val="00B01327"/>
    <w:rsid w:val="00B12313"/>
    <w:rsid w:val="00B15222"/>
    <w:rsid w:val="00B158CE"/>
    <w:rsid w:val="00B16B23"/>
    <w:rsid w:val="00B21609"/>
    <w:rsid w:val="00B31423"/>
    <w:rsid w:val="00B3178F"/>
    <w:rsid w:val="00B347EE"/>
    <w:rsid w:val="00B4782D"/>
    <w:rsid w:val="00B541C3"/>
    <w:rsid w:val="00B5786C"/>
    <w:rsid w:val="00B61EC2"/>
    <w:rsid w:val="00B64F21"/>
    <w:rsid w:val="00B65DBA"/>
    <w:rsid w:val="00B65F9E"/>
    <w:rsid w:val="00B829A7"/>
    <w:rsid w:val="00B8622D"/>
    <w:rsid w:val="00B87ADF"/>
    <w:rsid w:val="00B87FD8"/>
    <w:rsid w:val="00BA6C5D"/>
    <w:rsid w:val="00BB688F"/>
    <w:rsid w:val="00BB7139"/>
    <w:rsid w:val="00BC1D5D"/>
    <w:rsid w:val="00BC39BF"/>
    <w:rsid w:val="00BC4399"/>
    <w:rsid w:val="00BD5F23"/>
    <w:rsid w:val="00BE59B4"/>
    <w:rsid w:val="00BF3AB8"/>
    <w:rsid w:val="00BF4B31"/>
    <w:rsid w:val="00BF552E"/>
    <w:rsid w:val="00C07371"/>
    <w:rsid w:val="00C3468B"/>
    <w:rsid w:val="00C34E61"/>
    <w:rsid w:val="00C37CF7"/>
    <w:rsid w:val="00C5227E"/>
    <w:rsid w:val="00C530B6"/>
    <w:rsid w:val="00C53787"/>
    <w:rsid w:val="00C54882"/>
    <w:rsid w:val="00C645DD"/>
    <w:rsid w:val="00C743FE"/>
    <w:rsid w:val="00C75FC4"/>
    <w:rsid w:val="00C935C3"/>
    <w:rsid w:val="00C97152"/>
    <w:rsid w:val="00CA1E2F"/>
    <w:rsid w:val="00CA4A2D"/>
    <w:rsid w:val="00CB0A35"/>
    <w:rsid w:val="00CB6E4C"/>
    <w:rsid w:val="00CC7CBE"/>
    <w:rsid w:val="00CC7CD0"/>
    <w:rsid w:val="00CE188F"/>
    <w:rsid w:val="00CE26D9"/>
    <w:rsid w:val="00CE5A73"/>
    <w:rsid w:val="00CF1DE7"/>
    <w:rsid w:val="00CF1F22"/>
    <w:rsid w:val="00CF3E49"/>
    <w:rsid w:val="00CF4B09"/>
    <w:rsid w:val="00D12A2B"/>
    <w:rsid w:val="00D14B91"/>
    <w:rsid w:val="00D172BF"/>
    <w:rsid w:val="00D238F7"/>
    <w:rsid w:val="00D32874"/>
    <w:rsid w:val="00D41708"/>
    <w:rsid w:val="00D417EB"/>
    <w:rsid w:val="00D44372"/>
    <w:rsid w:val="00D54374"/>
    <w:rsid w:val="00D54D1A"/>
    <w:rsid w:val="00D6792F"/>
    <w:rsid w:val="00D720D9"/>
    <w:rsid w:val="00D76340"/>
    <w:rsid w:val="00D810BD"/>
    <w:rsid w:val="00D874C4"/>
    <w:rsid w:val="00DA0567"/>
    <w:rsid w:val="00DA2F4E"/>
    <w:rsid w:val="00DB0479"/>
    <w:rsid w:val="00DB5D1F"/>
    <w:rsid w:val="00DB6D5C"/>
    <w:rsid w:val="00DC7101"/>
    <w:rsid w:val="00DC7EB3"/>
    <w:rsid w:val="00DD1863"/>
    <w:rsid w:val="00DD1CD6"/>
    <w:rsid w:val="00DD3F17"/>
    <w:rsid w:val="00DD46B4"/>
    <w:rsid w:val="00DD77F7"/>
    <w:rsid w:val="00DE2E06"/>
    <w:rsid w:val="00DE6B00"/>
    <w:rsid w:val="00DF59DE"/>
    <w:rsid w:val="00E04FE6"/>
    <w:rsid w:val="00E13DAB"/>
    <w:rsid w:val="00E17D3B"/>
    <w:rsid w:val="00E209BA"/>
    <w:rsid w:val="00E2345C"/>
    <w:rsid w:val="00E27334"/>
    <w:rsid w:val="00E371CF"/>
    <w:rsid w:val="00E37DB7"/>
    <w:rsid w:val="00E43886"/>
    <w:rsid w:val="00E5331F"/>
    <w:rsid w:val="00E54DDB"/>
    <w:rsid w:val="00E61CAA"/>
    <w:rsid w:val="00E635DE"/>
    <w:rsid w:val="00E70EFA"/>
    <w:rsid w:val="00E83042"/>
    <w:rsid w:val="00E85C18"/>
    <w:rsid w:val="00E87D7E"/>
    <w:rsid w:val="00E969D4"/>
    <w:rsid w:val="00EA195B"/>
    <w:rsid w:val="00EA7E84"/>
    <w:rsid w:val="00EB4FA0"/>
    <w:rsid w:val="00EB62BA"/>
    <w:rsid w:val="00EB7BC0"/>
    <w:rsid w:val="00ED2F3F"/>
    <w:rsid w:val="00ED37A9"/>
    <w:rsid w:val="00ED6161"/>
    <w:rsid w:val="00ED7587"/>
    <w:rsid w:val="00EF5AFF"/>
    <w:rsid w:val="00EF7DFF"/>
    <w:rsid w:val="00F10D4D"/>
    <w:rsid w:val="00F10FC4"/>
    <w:rsid w:val="00F11B23"/>
    <w:rsid w:val="00F16AF2"/>
    <w:rsid w:val="00F1BE0E"/>
    <w:rsid w:val="00F20770"/>
    <w:rsid w:val="00F20EC3"/>
    <w:rsid w:val="00F41486"/>
    <w:rsid w:val="00F60027"/>
    <w:rsid w:val="00F64A9B"/>
    <w:rsid w:val="00F70995"/>
    <w:rsid w:val="00F70AA3"/>
    <w:rsid w:val="00F733BB"/>
    <w:rsid w:val="00F75A59"/>
    <w:rsid w:val="00F76546"/>
    <w:rsid w:val="00F76836"/>
    <w:rsid w:val="00F84596"/>
    <w:rsid w:val="00F86B98"/>
    <w:rsid w:val="00F9277B"/>
    <w:rsid w:val="00FB228E"/>
    <w:rsid w:val="00FC7DC0"/>
    <w:rsid w:val="00FE1D51"/>
    <w:rsid w:val="00FE3297"/>
    <w:rsid w:val="00FF2845"/>
    <w:rsid w:val="00FF29CB"/>
    <w:rsid w:val="00FF3E37"/>
    <w:rsid w:val="0125903B"/>
    <w:rsid w:val="0131836D"/>
    <w:rsid w:val="0202F34D"/>
    <w:rsid w:val="020A4569"/>
    <w:rsid w:val="020CDC6E"/>
    <w:rsid w:val="022AADFA"/>
    <w:rsid w:val="022E34C2"/>
    <w:rsid w:val="024F0E88"/>
    <w:rsid w:val="0261A9B2"/>
    <w:rsid w:val="026753FD"/>
    <w:rsid w:val="02F279FA"/>
    <w:rsid w:val="02F3F065"/>
    <w:rsid w:val="031D22B5"/>
    <w:rsid w:val="0346A4C8"/>
    <w:rsid w:val="03492FC8"/>
    <w:rsid w:val="036F858E"/>
    <w:rsid w:val="0373C6FE"/>
    <w:rsid w:val="03799720"/>
    <w:rsid w:val="039E8CC6"/>
    <w:rsid w:val="03BCA2BB"/>
    <w:rsid w:val="03E1CB0E"/>
    <w:rsid w:val="03FCC1C9"/>
    <w:rsid w:val="040A1B24"/>
    <w:rsid w:val="044FCBC1"/>
    <w:rsid w:val="046491A3"/>
    <w:rsid w:val="0464A33F"/>
    <w:rsid w:val="046CD9BE"/>
    <w:rsid w:val="0482220E"/>
    <w:rsid w:val="0489A7CC"/>
    <w:rsid w:val="048F80AA"/>
    <w:rsid w:val="04D58095"/>
    <w:rsid w:val="04F4BFA1"/>
    <w:rsid w:val="04F875E6"/>
    <w:rsid w:val="058978E0"/>
    <w:rsid w:val="058E6368"/>
    <w:rsid w:val="05994A74"/>
    <w:rsid w:val="05A79DB3"/>
    <w:rsid w:val="05B0F46A"/>
    <w:rsid w:val="05B9EFD8"/>
    <w:rsid w:val="05BEF6EA"/>
    <w:rsid w:val="05C60F8F"/>
    <w:rsid w:val="05F4D5A8"/>
    <w:rsid w:val="05F516EB"/>
    <w:rsid w:val="06019941"/>
    <w:rsid w:val="061106B2"/>
    <w:rsid w:val="0663AE00"/>
    <w:rsid w:val="067C594D"/>
    <w:rsid w:val="06868C3A"/>
    <w:rsid w:val="068BD2E4"/>
    <w:rsid w:val="06944647"/>
    <w:rsid w:val="069EB7C1"/>
    <w:rsid w:val="06B8F224"/>
    <w:rsid w:val="06C87F1C"/>
    <w:rsid w:val="06DCF69C"/>
    <w:rsid w:val="07182671"/>
    <w:rsid w:val="0733FCCE"/>
    <w:rsid w:val="0762B8B8"/>
    <w:rsid w:val="07A22223"/>
    <w:rsid w:val="07C8931E"/>
    <w:rsid w:val="07D64EE0"/>
    <w:rsid w:val="081BE447"/>
    <w:rsid w:val="0827A345"/>
    <w:rsid w:val="0854C285"/>
    <w:rsid w:val="08B8922A"/>
    <w:rsid w:val="08F697AC"/>
    <w:rsid w:val="091475CC"/>
    <w:rsid w:val="092C766A"/>
    <w:rsid w:val="0959CDF8"/>
    <w:rsid w:val="097856E2"/>
    <w:rsid w:val="09835AFC"/>
    <w:rsid w:val="0984FAEF"/>
    <w:rsid w:val="099EDE40"/>
    <w:rsid w:val="09C9902C"/>
    <w:rsid w:val="0A1AF0D8"/>
    <w:rsid w:val="0A33A329"/>
    <w:rsid w:val="0A41DC18"/>
    <w:rsid w:val="0A92680D"/>
    <w:rsid w:val="0AB0462D"/>
    <w:rsid w:val="0AB11AD5"/>
    <w:rsid w:val="0AD28A05"/>
    <w:rsid w:val="0AD7CD05"/>
    <w:rsid w:val="0AF32EAA"/>
    <w:rsid w:val="0B68DE20"/>
    <w:rsid w:val="0B851A1B"/>
    <w:rsid w:val="0B9E8485"/>
    <w:rsid w:val="0BC9D23C"/>
    <w:rsid w:val="0BDB9DAB"/>
    <w:rsid w:val="0BEBFAD4"/>
    <w:rsid w:val="0C12805B"/>
    <w:rsid w:val="0C2088F8"/>
    <w:rsid w:val="0C26F366"/>
    <w:rsid w:val="0C4C168E"/>
    <w:rsid w:val="0C88837D"/>
    <w:rsid w:val="0C8944C6"/>
    <w:rsid w:val="0C90789F"/>
    <w:rsid w:val="0CB491D1"/>
    <w:rsid w:val="0CD4CD6F"/>
    <w:rsid w:val="0D07FE23"/>
    <w:rsid w:val="0D13DDE4"/>
    <w:rsid w:val="0D257833"/>
    <w:rsid w:val="0D428D0B"/>
    <w:rsid w:val="0D438D00"/>
    <w:rsid w:val="0D6DE0DC"/>
    <w:rsid w:val="0D6E2ABD"/>
    <w:rsid w:val="0D7DCDE0"/>
    <w:rsid w:val="0D9110A5"/>
    <w:rsid w:val="0DF1026A"/>
    <w:rsid w:val="0E00B474"/>
    <w:rsid w:val="0E3F50C4"/>
    <w:rsid w:val="0E507BAE"/>
    <w:rsid w:val="0E558A44"/>
    <w:rsid w:val="0E67662F"/>
    <w:rsid w:val="0E7E9979"/>
    <w:rsid w:val="0E8C2666"/>
    <w:rsid w:val="0E8FE3BD"/>
    <w:rsid w:val="0ED605AC"/>
    <w:rsid w:val="0ED63229"/>
    <w:rsid w:val="0F275864"/>
    <w:rsid w:val="0F48ED20"/>
    <w:rsid w:val="0F5341D3"/>
    <w:rsid w:val="0F543867"/>
    <w:rsid w:val="0F579A2E"/>
    <w:rsid w:val="0F62A999"/>
    <w:rsid w:val="0F64BBA7"/>
    <w:rsid w:val="0F8800B9"/>
    <w:rsid w:val="0FAF6CCD"/>
    <w:rsid w:val="0FCDE162"/>
    <w:rsid w:val="0FEB0C49"/>
    <w:rsid w:val="105015B0"/>
    <w:rsid w:val="10644BF3"/>
    <w:rsid w:val="10755665"/>
    <w:rsid w:val="10A5CB7F"/>
    <w:rsid w:val="10B95786"/>
    <w:rsid w:val="10D1B161"/>
    <w:rsid w:val="10DFFC7E"/>
    <w:rsid w:val="1122CA60"/>
    <w:rsid w:val="1159C282"/>
    <w:rsid w:val="117779D7"/>
    <w:rsid w:val="119C0F73"/>
    <w:rsid w:val="119D978D"/>
    <w:rsid w:val="1272DCE1"/>
    <w:rsid w:val="12925295"/>
    <w:rsid w:val="12AF3CA7"/>
    <w:rsid w:val="12DA237A"/>
    <w:rsid w:val="12F70F03"/>
    <w:rsid w:val="12FC8114"/>
    <w:rsid w:val="1319D01C"/>
    <w:rsid w:val="1330AA30"/>
    <w:rsid w:val="13574A15"/>
    <w:rsid w:val="136507D5"/>
    <w:rsid w:val="13C87F48"/>
    <w:rsid w:val="13D59C5C"/>
    <w:rsid w:val="140885C2"/>
    <w:rsid w:val="14095223"/>
    <w:rsid w:val="14668BCF"/>
    <w:rsid w:val="146CCC2C"/>
    <w:rsid w:val="14A8E526"/>
    <w:rsid w:val="14BCFCAC"/>
    <w:rsid w:val="14D5384F"/>
    <w:rsid w:val="14D542BE"/>
    <w:rsid w:val="15117503"/>
    <w:rsid w:val="15147C61"/>
    <w:rsid w:val="1521A9AE"/>
    <w:rsid w:val="157886BC"/>
    <w:rsid w:val="157C6A2E"/>
    <w:rsid w:val="15B251FB"/>
    <w:rsid w:val="15B494DB"/>
    <w:rsid w:val="15C275E5"/>
    <w:rsid w:val="15C6996E"/>
    <w:rsid w:val="15CFAB50"/>
    <w:rsid w:val="15DB825D"/>
    <w:rsid w:val="160122A8"/>
    <w:rsid w:val="1621B100"/>
    <w:rsid w:val="16325179"/>
    <w:rsid w:val="1657E053"/>
    <w:rsid w:val="1681CD45"/>
    <w:rsid w:val="168B84C7"/>
    <w:rsid w:val="16A46428"/>
    <w:rsid w:val="16B5ED91"/>
    <w:rsid w:val="16E64351"/>
    <w:rsid w:val="16E7E9BC"/>
    <w:rsid w:val="1707DB47"/>
    <w:rsid w:val="171A73CF"/>
    <w:rsid w:val="173B5AAC"/>
    <w:rsid w:val="17A12132"/>
    <w:rsid w:val="17CBF76D"/>
    <w:rsid w:val="182E38CB"/>
    <w:rsid w:val="1848E213"/>
    <w:rsid w:val="187BA6FE"/>
    <w:rsid w:val="1895572C"/>
    <w:rsid w:val="189F045D"/>
    <w:rsid w:val="18DCD2A7"/>
    <w:rsid w:val="18F903D4"/>
    <w:rsid w:val="19117139"/>
    <w:rsid w:val="1911DAE2"/>
    <w:rsid w:val="193A0A3B"/>
    <w:rsid w:val="193E73BD"/>
    <w:rsid w:val="19D6D31B"/>
    <w:rsid w:val="19E184F6"/>
    <w:rsid w:val="1A16DC58"/>
    <w:rsid w:val="1A7143C8"/>
    <w:rsid w:val="1A72FB6E"/>
    <w:rsid w:val="1AA8B786"/>
    <w:rsid w:val="1AB61A9F"/>
    <w:rsid w:val="1B0BC223"/>
    <w:rsid w:val="1B13AFA9"/>
    <w:rsid w:val="1B789710"/>
    <w:rsid w:val="1BC4A323"/>
    <w:rsid w:val="1BECC9AC"/>
    <w:rsid w:val="1C112BF5"/>
    <w:rsid w:val="1C2373D0"/>
    <w:rsid w:val="1C48ECA6"/>
    <w:rsid w:val="1C561EED"/>
    <w:rsid w:val="1C98E7DD"/>
    <w:rsid w:val="1CF82C51"/>
    <w:rsid w:val="1CF9C039"/>
    <w:rsid w:val="1D10523E"/>
    <w:rsid w:val="1D7DB8ED"/>
    <w:rsid w:val="1DAF21F5"/>
    <w:rsid w:val="1DD2D12B"/>
    <w:rsid w:val="1DD85E48"/>
    <w:rsid w:val="1DF1EF4E"/>
    <w:rsid w:val="1DF78A9D"/>
    <w:rsid w:val="1E2482DE"/>
    <w:rsid w:val="1E29FE1A"/>
    <w:rsid w:val="1E4362E5"/>
    <w:rsid w:val="1E8D005F"/>
    <w:rsid w:val="1E964DB0"/>
    <w:rsid w:val="1EA29749"/>
    <w:rsid w:val="1EB4F619"/>
    <w:rsid w:val="1F01317B"/>
    <w:rsid w:val="1F5A621E"/>
    <w:rsid w:val="1F610884"/>
    <w:rsid w:val="1F7B32E3"/>
    <w:rsid w:val="1F9593BC"/>
    <w:rsid w:val="1FA871A3"/>
    <w:rsid w:val="2050C67A"/>
    <w:rsid w:val="205BE2F8"/>
    <w:rsid w:val="208C9D32"/>
    <w:rsid w:val="20BFB770"/>
    <w:rsid w:val="20F557AD"/>
    <w:rsid w:val="21047B34"/>
    <w:rsid w:val="2123BCF2"/>
    <w:rsid w:val="2123CED7"/>
    <w:rsid w:val="21361FC5"/>
    <w:rsid w:val="21481303"/>
    <w:rsid w:val="216B0C9F"/>
    <w:rsid w:val="21BB5DB9"/>
    <w:rsid w:val="21CB9D74"/>
    <w:rsid w:val="21CCE7BB"/>
    <w:rsid w:val="21D6C7D5"/>
    <w:rsid w:val="21DB19E2"/>
    <w:rsid w:val="221742FE"/>
    <w:rsid w:val="223C3972"/>
    <w:rsid w:val="2295256C"/>
    <w:rsid w:val="22EDF63A"/>
    <w:rsid w:val="2316D408"/>
    <w:rsid w:val="2341FD63"/>
    <w:rsid w:val="236DB04A"/>
    <w:rsid w:val="2375E144"/>
    <w:rsid w:val="237636AE"/>
    <w:rsid w:val="23D0ACC1"/>
    <w:rsid w:val="24032ECE"/>
    <w:rsid w:val="24287BA1"/>
    <w:rsid w:val="24297B25"/>
    <w:rsid w:val="246130D2"/>
    <w:rsid w:val="246B96F0"/>
    <w:rsid w:val="24787C72"/>
    <w:rsid w:val="24AA7A75"/>
    <w:rsid w:val="24AF27BB"/>
    <w:rsid w:val="24D44E66"/>
    <w:rsid w:val="24DDCDC4"/>
    <w:rsid w:val="250980AB"/>
    <w:rsid w:val="252A08B3"/>
    <w:rsid w:val="257F01B4"/>
    <w:rsid w:val="25FFA787"/>
    <w:rsid w:val="26024ADA"/>
    <w:rsid w:val="26053438"/>
    <w:rsid w:val="26566250"/>
    <w:rsid w:val="265F485C"/>
    <w:rsid w:val="26657EA1"/>
    <w:rsid w:val="26ADD770"/>
    <w:rsid w:val="26C6305E"/>
    <w:rsid w:val="26DD59F5"/>
    <w:rsid w:val="2750F3EF"/>
    <w:rsid w:val="276159FE"/>
    <w:rsid w:val="279A5F23"/>
    <w:rsid w:val="27A906EA"/>
    <w:rsid w:val="289AF92D"/>
    <w:rsid w:val="28AB7AF6"/>
    <w:rsid w:val="28B3A4EA"/>
    <w:rsid w:val="28B4A7ED"/>
    <w:rsid w:val="28D3FC12"/>
    <w:rsid w:val="28F9A2C5"/>
    <w:rsid w:val="28F9E9B4"/>
    <w:rsid w:val="290EAFE7"/>
    <w:rsid w:val="29278463"/>
    <w:rsid w:val="2958FF41"/>
    <w:rsid w:val="29774423"/>
    <w:rsid w:val="2986158C"/>
    <w:rsid w:val="29934F54"/>
    <w:rsid w:val="29A82438"/>
    <w:rsid w:val="29AD9265"/>
    <w:rsid w:val="2A1B1AD4"/>
    <w:rsid w:val="2A2E6DA5"/>
    <w:rsid w:val="2A4F754B"/>
    <w:rsid w:val="2A736E35"/>
    <w:rsid w:val="2A77E461"/>
    <w:rsid w:val="2A95D896"/>
    <w:rsid w:val="2A9B0E30"/>
    <w:rsid w:val="2B00939C"/>
    <w:rsid w:val="2B4E9567"/>
    <w:rsid w:val="2B533666"/>
    <w:rsid w:val="2B85303F"/>
    <w:rsid w:val="2B8AE0B9"/>
    <w:rsid w:val="2B90D1DF"/>
    <w:rsid w:val="2B97588A"/>
    <w:rsid w:val="2BA1FF6A"/>
    <w:rsid w:val="2BFED59F"/>
    <w:rsid w:val="2C39919D"/>
    <w:rsid w:val="2C6AB9B8"/>
    <w:rsid w:val="2C7E689A"/>
    <w:rsid w:val="2C90A003"/>
    <w:rsid w:val="2C99CDD8"/>
    <w:rsid w:val="2CAC7B77"/>
    <w:rsid w:val="2CD3C2F6"/>
    <w:rsid w:val="2D3328EB"/>
    <w:rsid w:val="2D3AD3DD"/>
    <w:rsid w:val="2D73DAFB"/>
    <w:rsid w:val="2DEF5854"/>
    <w:rsid w:val="2E2BBBFA"/>
    <w:rsid w:val="2E7ADC6A"/>
    <w:rsid w:val="2EB7464E"/>
    <w:rsid w:val="2EDFBFB9"/>
    <w:rsid w:val="2F110CF1"/>
    <w:rsid w:val="2F41FA95"/>
    <w:rsid w:val="2F4437F9"/>
    <w:rsid w:val="2F68E449"/>
    <w:rsid w:val="2F692B38"/>
    <w:rsid w:val="2F7B4763"/>
    <w:rsid w:val="2FA0D747"/>
    <w:rsid w:val="2FA46B1C"/>
    <w:rsid w:val="2FAD22A2"/>
    <w:rsid w:val="2FAE27DC"/>
    <w:rsid w:val="2FB4043C"/>
    <w:rsid w:val="2FF55710"/>
    <w:rsid w:val="3072749F"/>
    <w:rsid w:val="30758357"/>
    <w:rsid w:val="30B68CDB"/>
    <w:rsid w:val="311986B7"/>
    <w:rsid w:val="3149F7CA"/>
    <w:rsid w:val="314EF358"/>
    <w:rsid w:val="3166B694"/>
    <w:rsid w:val="3166C13A"/>
    <w:rsid w:val="31C4837F"/>
    <w:rsid w:val="32082E18"/>
    <w:rsid w:val="320B88D2"/>
    <w:rsid w:val="321F224D"/>
    <w:rsid w:val="3235CD37"/>
    <w:rsid w:val="3243FDE5"/>
    <w:rsid w:val="325A8730"/>
    <w:rsid w:val="3282F646"/>
    <w:rsid w:val="32A375C9"/>
    <w:rsid w:val="32CF57BD"/>
    <w:rsid w:val="32E0AA0A"/>
    <w:rsid w:val="330A8224"/>
    <w:rsid w:val="332FC253"/>
    <w:rsid w:val="335474AB"/>
    <w:rsid w:val="33581C4C"/>
    <w:rsid w:val="3390A47A"/>
    <w:rsid w:val="33B3607A"/>
    <w:rsid w:val="33D19D98"/>
    <w:rsid w:val="33DFCE46"/>
    <w:rsid w:val="340721DA"/>
    <w:rsid w:val="341A9C59"/>
    <w:rsid w:val="34652293"/>
    <w:rsid w:val="34860F57"/>
    <w:rsid w:val="348A0447"/>
    <w:rsid w:val="34925771"/>
    <w:rsid w:val="34A526FF"/>
    <w:rsid w:val="34B1D5B2"/>
    <w:rsid w:val="34C061CC"/>
    <w:rsid w:val="34C8C833"/>
    <w:rsid w:val="34CACF8F"/>
    <w:rsid w:val="34D0B5B9"/>
    <w:rsid w:val="35307DCF"/>
    <w:rsid w:val="356D6DF9"/>
    <w:rsid w:val="359227F2"/>
    <w:rsid w:val="359A29CB"/>
    <w:rsid w:val="359C4C15"/>
    <w:rsid w:val="35C28BD4"/>
    <w:rsid w:val="3619C509"/>
    <w:rsid w:val="3634F4F1"/>
    <w:rsid w:val="3637DB5D"/>
    <w:rsid w:val="363C1CBF"/>
    <w:rsid w:val="364200D4"/>
    <w:rsid w:val="364EED0F"/>
    <w:rsid w:val="368B9F2B"/>
    <w:rsid w:val="36C8453C"/>
    <w:rsid w:val="36D5E7E4"/>
    <w:rsid w:val="36E7A194"/>
    <w:rsid w:val="36E9551B"/>
    <w:rsid w:val="372DF853"/>
    <w:rsid w:val="3735FA2C"/>
    <w:rsid w:val="37502009"/>
    <w:rsid w:val="37545E29"/>
    <w:rsid w:val="37705F7B"/>
    <w:rsid w:val="37A0437C"/>
    <w:rsid w:val="37AD18A1"/>
    <w:rsid w:val="37EF6AC1"/>
    <w:rsid w:val="37F1B02B"/>
    <w:rsid w:val="37FC39C1"/>
    <w:rsid w:val="37FE9846"/>
    <w:rsid w:val="38245E00"/>
    <w:rsid w:val="38426B26"/>
    <w:rsid w:val="388217AA"/>
    <w:rsid w:val="389EC6DA"/>
    <w:rsid w:val="38A09CDC"/>
    <w:rsid w:val="38A225D1"/>
    <w:rsid w:val="38A573CE"/>
    <w:rsid w:val="38BE13E1"/>
    <w:rsid w:val="38DD5A10"/>
    <w:rsid w:val="3931DFCD"/>
    <w:rsid w:val="3974A38E"/>
    <w:rsid w:val="3993D2EF"/>
    <w:rsid w:val="399C3956"/>
    <w:rsid w:val="39A0AB61"/>
    <w:rsid w:val="39A426DC"/>
    <w:rsid w:val="39BACC8A"/>
    <w:rsid w:val="39E292FC"/>
    <w:rsid w:val="3A5169E4"/>
    <w:rsid w:val="3A5372DE"/>
    <w:rsid w:val="3A5BF007"/>
    <w:rsid w:val="3A8B1980"/>
    <w:rsid w:val="3AAA90B7"/>
    <w:rsid w:val="3AE16614"/>
    <w:rsid w:val="3B27A79E"/>
    <w:rsid w:val="3B2F89E3"/>
    <w:rsid w:val="3B3FF73D"/>
    <w:rsid w:val="3B465E33"/>
    <w:rsid w:val="3B7CA888"/>
    <w:rsid w:val="3BA4EC1E"/>
    <w:rsid w:val="3BAAF072"/>
    <w:rsid w:val="3BB42BF0"/>
    <w:rsid w:val="3C230639"/>
    <w:rsid w:val="3C65D312"/>
    <w:rsid w:val="3C97D972"/>
    <w:rsid w:val="3CA8EA39"/>
    <w:rsid w:val="3CBD4041"/>
    <w:rsid w:val="3CDBC79E"/>
    <w:rsid w:val="3CF26D4C"/>
    <w:rsid w:val="3D1A33BE"/>
    <w:rsid w:val="3D1DA412"/>
    <w:rsid w:val="3D5BB1DF"/>
    <w:rsid w:val="3D62BFDD"/>
    <w:rsid w:val="3D740DFF"/>
    <w:rsid w:val="3D7A2583"/>
    <w:rsid w:val="3D8151B8"/>
    <w:rsid w:val="3D9D39D7"/>
    <w:rsid w:val="3DDC3F01"/>
    <w:rsid w:val="3E417FF8"/>
    <w:rsid w:val="3E462CE5"/>
    <w:rsid w:val="3E625219"/>
    <w:rsid w:val="3EF48D32"/>
    <w:rsid w:val="3F203DDB"/>
    <w:rsid w:val="3F4C8E0C"/>
    <w:rsid w:val="3F873C88"/>
    <w:rsid w:val="400F624D"/>
    <w:rsid w:val="403C49D6"/>
    <w:rsid w:val="411468CC"/>
    <w:rsid w:val="412D818A"/>
    <w:rsid w:val="41359D97"/>
    <w:rsid w:val="416F0DBC"/>
    <w:rsid w:val="41CA7C8E"/>
    <w:rsid w:val="41F6F32D"/>
    <w:rsid w:val="41FB8374"/>
    <w:rsid w:val="42385FC0"/>
    <w:rsid w:val="424D07FE"/>
    <w:rsid w:val="429DD8AF"/>
    <w:rsid w:val="43089DC0"/>
    <w:rsid w:val="431B433D"/>
    <w:rsid w:val="432BC53D"/>
    <w:rsid w:val="4370BA11"/>
    <w:rsid w:val="437E7D34"/>
    <w:rsid w:val="43AA5759"/>
    <w:rsid w:val="43BFF2F3"/>
    <w:rsid w:val="43C6DEAF"/>
    <w:rsid w:val="43CB3569"/>
    <w:rsid w:val="43D43021"/>
    <w:rsid w:val="43DA2C65"/>
    <w:rsid w:val="43EFAEE8"/>
    <w:rsid w:val="441D90E5"/>
    <w:rsid w:val="4439A910"/>
    <w:rsid w:val="447DD5B6"/>
    <w:rsid w:val="44906431"/>
    <w:rsid w:val="44A24D9C"/>
    <w:rsid w:val="44AC5ED5"/>
    <w:rsid w:val="44BD99AC"/>
    <w:rsid w:val="44F073AD"/>
    <w:rsid w:val="44FE54E6"/>
    <w:rsid w:val="454B98FE"/>
    <w:rsid w:val="45700082"/>
    <w:rsid w:val="4581DBCD"/>
    <w:rsid w:val="458EE6F1"/>
    <w:rsid w:val="4599B7DD"/>
    <w:rsid w:val="45C6F09A"/>
    <w:rsid w:val="45DFE568"/>
    <w:rsid w:val="45E1036C"/>
    <w:rsid w:val="45E5A31A"/>
    <w:rsid w:val="4632423B"/>
    <w:rsid w:val="465BA5B5"/>
    <w:rsid w:val="468C29E6"/>
    <w:rsid w:val="46978A98"/>
    <w:rsid w:val="46FC5A00"/>
    <w:rsid w:val="46FEAB55"/>
    <w:rsid w:val="4700885D"/>
    <w:rsid w:val="470206A0"/>
    <w:rsid w:val="4775CE9A"/>
    <w:rsid w:val="47AEFC4E"/>
    <w:rsid w:val="47B2CBDD"/>
    <w:rsid w:val="47BF7ABC"/>
    <w:rsid w:val="47D9B17F"/>
    <w:rsid w:val="48184053"/>
    <w:rsid w:val="481E7A45"/>
    <w:rsid w:val="48949EE3"/>
    <w:rsid w:val="489A0700"/>
    <w:rsid w:val="489EA68C"/>
    <w:rsid w:val="48A22342"/>
    <w:rsid w:val="48ACC3E6"/>
    <w:rsid w:val="48DEB759"/>
    <w:rsid w:val="48E8C0EE"/>
    <w:rsid w:val="48EF1460"/>
    <w:rsid w:val="492B4A0F"/>
    <w:rsid w:val="494E9C3E"/>
    <w:rsid w:val="4961D495"/>
    <w:rsid w:val="49631373"/>
    <w:rsid w:val="49AA8399"/>
    <w:rsid w:val="49C0B5DB"/>
    <w:rsid w:val="49C44D0B"/>
    <w:rsid w:val="49E75C92"/>
    <w:rsid w:val="4A0E0513"/>
    <w:rsid w:val="4A3A1C24"/>
    <w:rsid w:val="4A410453"/>
    <w:rsid w:val="4A695682"/>
    <w:rsid w:val="4AA69F83"/>
    <w:rsid w:val="4AD1AA04"/>
    <w:rsid w:val="4AE457EE"/>
    <w:rsid w:val="4AE69D10"/>
    <w:rsid w:val="4AEA6C9F"/>
    <w:rsid w:val="4B4E2D81"/>
    <w:rsid w:val="4B52472C"/>
    <w:rsid w:val="4B561B07"/>
    <w:rsid w:val="4B5F65BA"/>
    <w:rsid w:val="4B633C7A"/>
    <w:rsid w:val="4B6761EF"/>
    <w:rsid w:val="4BF4B4D6"/>
    <w:rsid w:val="4BFAC0CD"/>
    <w:rsid w:val="4C054F44"/>
    <w:rsid w:val="4C178D40"/>
    <w:rsid w:val="4C26A311"/>
    <w:rsid w:val="4C371C93"/>
    <w:rsid w:val="4C39BF42"/>
    <w:rsid w:val="4C3D83EB"/>
    <w:rsid w:val="4C7DD5BA"/>
    <w:rsid w:val="4C814F6A"/>
    <w:rsid w:val="4CA757F1"/>
    <w:rsid w:val="4CCA3ED8"/>
    <w:rsid w:val="4CDB7922"/>
    <w:rsid w:val="4CE2245B"/>
    <w:rsid w:val="4CF4B5E9"/>
    <w:rsid w:val="4D1A96EC"/>
    <w:rsid w:val="4D20D148"/>
    <w:rsid w:val="4D2466F6"/>
    <w:rsid w:val="4D838985"/>
    <w:rsid w:val="4D9E1281"/>
    <w:rsid w:val="4DABBCF4"/>
    <w:rsid w:val="4DD2FB80"/>
    <w:rsid w:val="4E066C59"/>
    <w:rsid w:val="4E3B9F1F"/>
    <w:rsid w:val="4E559AEF"/>
    <w:rsid w:val="4E74936C"/>
    <w:rsid w:val="4E7DF4BC"/>
    <w:rsid w:val="4EA905E7"/>
    <w:rsid w:val="4EB45E0D"/>
    <w:rsid w:val="4EC2C3FE"/>
    <w:rsid w:val="4F13F5B8"/>
    <w:rsid w:val="4F281342"/>
    <w:rsid w:val="4F35C937"/>
    <w:rsid w:val="4F5F68B4"/>
    <w:rsid w:val="4FA27FBE"/>
    <w:rsid w:val="500E7672"/>
    <w:rsid w:val="50167A17"/>
    <w:rsid w:val="5028CE6A"/>
    <w:rsid w:val="503E1A93"/>
    <w:rsid w:val="50481F5E"/>
    <w:rsid w:val="506A5EE2"/>
    <w:rsid w:val="5077D400"/>
    <w:rsid w:val="50AE28C1"/>
    <w:rsid w:val="50D5B343"/>
    <w:rsid w:val="50D89806"/>
    <w:rsid w:val="50EAFE63"/>
    <w:rsid w:val="510D9DB3"/>
    <w:rsid w:val="516520EE"/>
    <w:rsid w:val="51ABC1B7"/>
    <w:rsid w:val="51C51488"/>
    <w:rsid w:val="51C55C8B"/>
    <w:rsid w:val="51D518FE"/>
    <w:rsid w:val="51E36D77"/>
    <w:rsid w:val="52582F5C"/>
    <w:rsid w:val="5279996D"/>
    <w:rsid w:val="5287B464"/>
    <w:rsid w:val="52AC4400"/>
    <w:rsid w:val="52AED9D5"/>
    <w:rsid w:val="52BB7D59"/>
    <w:rsid w:val="53054BB3"/>
    <w:rsid w:val="530A6296"/>
    <w:rsid w:val="5350F495"/>
    <w:rsid w:val="535DC5B7"/>
    <w:rsid w:val="536956E0"/>
    <w:rsid w:val="538E950A"/>
    <w:rsid w:val="539B754F"/>
    <w:rsid w:val="539D5CB7"/>
    <w:rsid w:val="53BA1EEF"/>
    <w:rsid w:val="5405AF7B"/>
    <w:rsid w:val="540E6706"/>
    <w:rsid w:val="541156A5"/>
    <w:rsid w:val="5417C6A7"/>
    <w:rsid w:val="541EF27E"/>
    <w:rsid w:val="5443F0B7"/>
    <w:rsid w:val="5446F385"/>
    <w:rsid w:val="54650BCA"/>
    <w:rsid w:val="548DB3F1"/>
    <w:rsid w:val="551FC584"/>
    <w:rsid w:val="554B6C0B"/>
    <w:rsid w:val="557D6033"/>
    <w:rsid w:val="55B10ED3"/>
    <w:rsid w:val="55BE6F86"/>
    <w:rsid w:val="55C01287"/>
    <w:rsid w:val="55CC6F92"/>
    <w:rsid w:val="5618177A"/>
    <w:rsid w:val="5631E6C6"/>
    <w:rsid w:val="5648F5D2"/>
    <w:rsid w:val="566D3B25"/>
    <w:rsid w:val="5687E398"/>
    <w:rsid w:val="56CCF0EE"/>
    <w:rsid w:val="56EFE84C"/>
    <w:rsid w:val="56F87DEE"/>
    <w:rsid w:val="56F8C7A3"/>
    <w:rsid w:val="5748F767"/>
    <w:rsid w:val="57580A1F"/>
    <w:rsid w:val="5811C629"/>
    <w:rsid w:val="58349E0F"/>
    <w:rsid w:val="5875308E"/>
    <w:rsid w:val="588CC502"/>
    <w:rsid w:val="58A2AF8B"/>
    <w:rsid w:val="58A8B7D6"/>
    <w:rsid w:val="58BBED7D"/>
    <w:rsid w:val="58D50AD0"/>
    <w:rsid w:val="58E2225A"/>
    <w:rsid w:val="5900673C"/>
    <w:rsid w:val="59250CFE"/>
    <w:rsid w:val="5939ADFE"/>
    <w:rsid w:val="5956F311"/>
    <w:rsid w:val="596D7492"/>
    <w:rsid w:val="599BD041"/>
    <w:rsid w:val="599FD92C"/>
    <w:rsid w:val="59A35350"/>
    <w:rsid w:val="59AD968A"/>
    <w:rsid w:val="59D06E70"/>
    <w:rsid w:val="5A1EDD2E"/>
    <w:rsid w:val="5A4F6BB1"/>
    <w:rsid w:val="5A809829"/>
    <w:rsid w:val="5A91CDBE"/>
    <w:rsid w:val="5B3192F8"/>
    <w:rsid w:val="5B4966EB"/>
    <w:rsid w:val="5B54D6B3"/>
    <w:rsid w:val="5B59FBC9"/>
    <w:rsid w:val="5B73D0FF"/>
    <w:rsid w:val="5B9F0BD1"/>
    <w:rsid w:val="5BB1B423"/>
    <w:rsid w:val="5BF3906E"/>
    <w:rsid w:val="5C156E4D"/>
    <w:rsid w:val="5C26A8EB"/>
    <w:rsid w:val="5C39E60A"/>
    <w:rsid w:val="5C4296B5"/>
    <w:rsid w:val="5C5815EA"/>
    <w:rsid w:val="5C5F877C"/>
    <w:rsid w:val="5C7AC824"/>
    <w:rsid w:val="5CDAF412"/>
    <w:rsid w:val="5CF931A4"/>
    <w:rsid w:val="5D0021AC"/>
    <w:rsid w:val="5D128DD4"/>
    <w:rsid w:val="5D255DD0"/>
    <w:rsid w:val="5D2E26AB"/>
    <w:rsid w:val="5D3ADC32"/>
    <w:rsid w:val="5D67D2B7"/>
    <w:rsid w:val="5DB3C68A"/>
    <w:rsid w:val="5DC4804E"/>
    <w:rsid w:val="5DD16EF1"/>
    <w:rsid w:val="5E19E311"/>
    <w:rsid w:val="5E1C95D1"/>
    <w:rsid w:val="5E28E411"/>
    <w:rsid w:val="5E2A5F32"/>
    <w:rsid w:val="5E5D6117"/>
    <w:rsid w:val="5EAC0987"/>
    <w:rsid w:val="5ED2BA66"/>
    <w:rsid w:val="5ED6AC93"/>
    <w:rsid w:val="5F731FB9"/>
    <w:rsid w:val="5F8CCEA5"/>
    <w:rsid w:val="5FA725AD"/>
    <w:rsid w:val="601B433C"/>
    <w:rsid w:val="602EC5DE"/>
    <w:rsid w:val="604F87BB"/>
    <w:rsid w:val="608B6364"/>
    <w:rsid w:val="60B32C29"/>
    <w:rsid w:val="60BE0B3B"/>
    <w:rsid w:val="60D52C85"/>
    <w:rsid w:val="610ECB8E"/>
    <w:rsid w:val="614C182A"/>
    <w:rsid w:val="615183D3"/>
    <w:rsid w:val="616420F4"/>
    <w:rsid w:val="616C6106"/>
    <w:rsid w:val="61BA5638"/>
    <w:rsid w:val="61D0D9C1"/>
    <w:rsid w:val="622F0186"/>
    <w:rsid w:val="624AF5F0"/>
    <w:rsid w:val="62B30A31"/>
    <w:rsid w:val="62DD2182"/>
    <w:rsid w:val="62DEC66F"/>
    <w:rsid w:val="62ED5434"/>
    <w:rsid w:val="636BF260"/>
    <w:rsid w:val="638B6222"/>
    <w:rsid w:val="63A1BA76"/>
    <w:rsid w:val="63BF5399"/>
    <w:rsid w:val="64268CEF"/>
    <w:rsid w:val="64372371"/>
    <w:rsid w:val="643D8441"/>
    <w:rsid w:val="643F4468"/>
    <w:rsid w:val="6462409C"/>
    <w:rsid w:val="646F3E16"/>
    <w:rsid w:val="6471BD0A"/>
    <w:rsid w:val="647BB988"/>
    <w:rsid w:val="648043D1"/>
    <w:rsid w:val="64881CFA"/>
    <w:rsid w:val="64892495"/>
    <w:rsid w:val="6493BF2D"/>
    <w:rsid w:val="64CFB9B3"/>
    <w:rsid w:val="650560EC"/>
    <w:rsid w:val="65256F2E"/>
    <w:rsid w:val="65355A52"/>
    <w:rsid w:val="65653621"/>
    <w:rsid w:val="657E69F6"/>
    <w:rsid w:val="658142FC"/>
    <w:rsid w:val="658C9C1D"/>
    <w:rsid w:val="6592445A"/>
    <w:rsid w:val="65C29E77"/>
    <w:rsid w:val="65E53E8E"/>
    <w:rsid w:val="65E55546"/>
    <w:rsid w:val="66291D45"/>
    <w:rsid w:val="663D4591"/>
    <w:rsid w:val="6695C91B"/>
    <w:rsid w:val="66A703F2"/>
    <w:rsid w:val="66D3511F"/>
    <w:rsid w:val="66F01AF8"/>
    <w:rsid w:val="6745F2D4"/>
    <w:rsid w:val="6765EADA"/>
    <w:rsid w:val="67785137"/>
    <w:rsid w:val="6779FC19"/>
    <w:rsid w:val="67CA139F"/>
    <w:rsid w:val="67CFEBCA"/>
    <w:rsid w:val="67E7B464"/>
    <w:rsid w:val="67F5FF91"/>
    <w:rsid w:val="685D7CE3"/>
    <w:rsid w:val="689002E4"/>
    <w:rsid w:val="68A42324"/>
    <w:rsid w:val="68B624CA"/>
    <w:rsid w:val="691FA64D"/>
    <w:rsid w:val="6920EFE6"/>
    <w:rsid w:val="69D571BF"/>
    <w:rsid w:val="6A1B7D3D"/>
    <w:rsid w:val="6A2DF538"/>
    <w:rsid w:val="6A3C560B"/>
    <w:rsid w:val="6A47A7EE"/>
    <w:rsid w:val="6A4EC233"/>
    <w:rsid w:val="6A604242"/>
    <w:rsid w:val="6A79C516"/>
    <w:rsid w:val="6A9DA4B6"/>
    <w:rsid w:val="6AFD2817"/>
    <w:rsid w:val="6B231E39"/>
    <w:rsid w:val="6B2830BA"/>
    <w:rsid w:val="6B2D8E8A"/>
    <w:rsid w:val="6B33388C"/>
    <w:rsid w:val="6BD06932"/>
    <w:rsid w:val="6BD33152"/>
    <w:rsid w:val="6BE1D36D"/>
    <w:rsid w:val="6C3B6E6D"/>
    <w:rsid w:val="6C483009"/>
    <w:rsid w:val="6C550FAB"/>
    <w:rsid w:val="6C56350B"/>
    <w:rsid w:val="6C5B45A4"/>
    <w:rsid w:val="6C6ADB6B"/>
    <w:rsid w:val="6C6BEA99"/>
    <w:rsid w:val="6CA6E2A8"/>
    <w:rsid w:val="6CCCFBD3"/>
    <w:rsid w:val="6CD4D74B"/>
    <w:rsid w:val="6CF63911"/>
    <w:rsid w:val="6CF81A3C"/>
    <w:rsid w:val="6CFCF7CC"/>
    <w:rsid w:val="6D0D3493"/>
    <w:rsid w:val="6D329263"/>
    <w:rsid w:val="6D3D3A0B"/>
    <w:rsid w:val="6D961F24"/>
    <w:rsid w:val="6D9E2CE5"/>
    <w:rsid w:val="6D9F1A9F"/>
    <w:rsid w:val="6DBE03A2"/>
    <w:rsid w:val="6DE6E3C9"/>
    <w:rsid w:val="6DFAD2C3"/>
    <w:rsid w:val="6E037451"/>
    <w:rsid w:val="6E168FC4"/>
    <w:rsid w:val="6E694451"/>
    <w:rsid w:val="6E9F5BE6"/>
    <w:rsid w:val="6EC22D51"/>
    <w:rsid w:val="6EF45301"/>
    <w:rsid w:val="6F00B007"/>
    <w:rsid w:val="6F19742F"/>
    <w:rsid w:val="6F1A5606"/>
    <w:rsid w:val="6F38BCBA"/>
    <w:rsid w:val="6F6210CB"/>
    <w:rsid w:val="6F82B42A"/>
    <w:rsid w:val="6F8C378C"/>
    <w:rsid w:val="6FA0E528"/>
    <w:rsid w:val="6FAC9435"/>
    <w:rsid w:val="6FC01467"/>
    <w:rsid w:val="6FD67D78"/>
    <w:rsid w:val="6FED5B03"/>
    <w:rsid w:val="700ED80A"/>
    <w:rsid w:val="70B73273"/>
    <w:rsid w:val="70D01650"/>
    <w:rsid w:val="710EE75F"/>
    <w:rsid w:val="711BA8DD"/>
    <w:rsid w:val="7126F03A"/>
    <w:rsid w:val="715B7BB1"/>
    <w:rsid w:val="715D9F9D"/>
    <w:rsid w:val="71A27FBE"/>
    <w:rsid w:val="71CE7F7F"/>
    <w:rsid w:val="71E8A78F"/>
    <w:rsid w:val="723AAE26"/>
    <w:rsid w:val="7247077E"/>
    <w:rsid w:val="72474082"/>
    <w:rsid w:val="7251F6C8"/>
    <w:rsid w:val="72AC200B"/>
    <w:rsid w:val="7323BE17"/>
    <w:rsid w:val="73527881"/>
    <w:rsid w:val="738477F0"/>
    <w:rsid w:val="738586FA"/>
    <w:rsid w:val="73A539CD"/>
    <w:rsid w:val="73B52DC7"/>
    <w:rsid w:val="73C94C5B"/>
    <w:rsid w:val="73DB95A2"/>
    <w:rsid w:val="73E48D30"/>
    <w:rsid w:val="73E60C48"/>
    <w:rsid w:val="7418C569"/>
    <w:rsid w:val="74484BA2"/>
    <w:rsid w:val="744EDC8F"/>
    <w:rsid w:val="7464F5B8"/>
    <w:rsid w:val="746BE522"/>
    <w:rsid w:val="74D73E62"/>
    <w:rsid w:val="74D81C5A"/>
    <w:rsid w:val="74F34CCD"/>
    <w:rsid w:val="74F8B419"/>
    <w:rsid w:val="75101C84"/>
    <w:rsid w:val="75316ED5"/>
    <w:rsid w:val="75457228"/>
    <w:rsid w:val="7550FE28"/>
    <w:rsid w:val="756005FB"/>
    <w:rsid w:val="756A2685"/>
    <w:rsid w:val="756B4367"/>
    <w:rsid w:val="758BB6EA"/>
    <w:rsid w:val="75A0094A"/>
    <w:rsid w:val="75B495CA"/>
    <w:rsid w:val="7661B8E9"/>
    <w:rsid w:val="76756291"/>
    <w:rsid w:val="76974A66"/>
    <w:rsid w:val="76A66BC0"/>
    <w:rsid w:val="76A67B38"/>
    <w:rsid w:val="76B40930"/>
    <w:rsid w:val="76C1E14B"/>
    <w:rsid w:val="775A68BF"/>
    <w:rsid w:val="777CD7F2"/>
    <w:rsid w:val="78503574"/>
    <w:rsid w:val="78CF5811"/>
    <w:rsid w:val="78D522BF"/>
    <w:rsid w:val="78F8DA48"/>
    <w:rsid w:val="7906CE21"/>
    <w:rsid w:val="7918A853"/>
    <w:rsid w:val="791A6878"/>
    <w:rsid w:val="793392B3"/>
    <w:rsid w:val="793DFBB5"/>
    <w:rsid w:val="79707FAB"/>
    <w:rsid w:val="797F1B5C"/>
    <w:rsid w:val="79919897"/>
    <w:rsid w:val="79A24D66"/>
    <w:rsid w:val="79D29A65"/>
    <w:rsid w:val="79F2799B"/>
    <w:rsid w:val="79F714BB"/>
    <w:rsid w:val="7A2EFD70"/>
    <w:rsid w:val="7A74AAB9"/>
    <w:rsid w:val="7A8D2176"/>
    <w:rsid w:val="7A8FCAEB"/>
    <w:rsid w:val="7AB478B4"/>
    <w:rsid w:val="7AD4B907"/>
    <w:rsid w:val="7B39D9FA"/>
    <w:rsid w:val="7B5B9FC7"/>
    <w:rsid w:val="7B5E9ADC"/>
    <w:rsid w:val="7BA0B059"/>
    <w:rsid w:val="7BD255DE"/>
    <w:rsid w:val="7C12A885"/>
    <w:rsid w:val="7C376A27"/>
    <w:rsid w:val="7C5D6DC7"/>
    <w:rsid w:val="7C612676"/>
    <w:rsid w:val="7CA3BA05"/>
    <w:rsid w:val="7CE64552"/>
    <w:rsid w:val="7CFA6B3D"/>
    <w:rsid w:val="7D068C5D"/>
    <w:rsid w:val="7D0D14E3"/>
    <w:rsid w:val="7D1E7BF8"/>
    <w:rsid w:val="7D2A1A5D"/>
    <w:rsid w:val="7D4FF5BB"/>
    <w:rsid w:val="7DDEBE08"/>
    <w:rsid w:val="7DF0C78B"/>
    <w:rsid w:val="7DFE2609"/>
    <w:rsid w:val="7E266209"/>
    <w:rsid w:val="7E84222E"/>
    <w:rsid w:val="7E9146D8"/>
    <w:rsid w:val="7EA7FC49"/>
    <w:rsid w:val="7EBE0AD9"/>
    <w:rsid w:val="7ED03E48"/>
    <w:rsid w:val="7ED13A67"/>
    <w:rsid w:val="7F421345"/>
    <w:rsid w:val="7F498613"/>
    <w:rsid w:val="7FCCFAF8"/>
    <w:rsid w:val="7FDB5AC7"/>
    <w:rsid w:val="7FFE14E6"/>
    <w:rsid w:val="7FFEF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4D75587"/>
  <w15:chartTrackingRefBased/>
  <w15:docId w15:val="{73868B21-AADD-41A2-8189-B3E05E25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23D4D"/>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5E3707"/>
    <w:rPr>
      <w:sz w:val="16"/>
    </w:rPr>
  </w:style>
  <w:style w:type="paragraph" w:styleId="CommentText">
    <w:name w:val="annotation text"/>
    <w:basedOn w:val="Normal"/>
    <w:link w:val="CommentTextChar"/>
    <w:uiPriority w:val="99"/>
    <w:unhideWhenUsed/>
    <w:rsid w:val="005E3707"/>
    <w:pPr>
      <w:spacing w:line="240" w:lineRule="auto"/>
    </w:pPr>
    <w:rPr>
      <w:sz w:val="20"/>
    </w:rPr>
  </w:style>
  <w:style w:type="character" w:customStyle="1" w:styleId="CommentTextChar">
    <w:name w:val="Comment Text Char"/>
    <w:basedOn w:val="DefaultParagraphFont"/>
    <w:link w:val="CommentText"/>
    <w:uiPriority w:val="99"/>
    <w:rsid w:val="005E3707"/>
    <w:rPr>
      <w:sz w:val="20"/>
    </w:rPr>
  </w:style>
  <w:style w:type="paragraph" w:styleId="CommentSubject">
    <w:name w:val="annotation subject"/>
    <w:basedOn w:val="CommentText"/>
    <w:next w:val="CommentText"/>
    <w:link w:val="CommentSubjectChar"/>
    <w:uiPriority w:val="99"/>
    <w:semiHidden/>
    <w:unhideWhenUsed/>
    <w:rsid w:val="005E3707"/>
    <w:rPr>
      <w:b/>
    </w:rPr>
  </w:style>
  <w:style w:type="character" w:customStyle="1" w:styleId="CommentSubjectChar">
    <w:name w:val="Comment Subject Char"/>
    <w:basedOn w:val="CommentTextChar"/>
    <w:link w:val="CommentSubject"/>
    <w:uiPriority w:val="99"/>
    <w:semiHidden/>
    <w:rsid w:val="005E3707"/>
    <w:rPr>
      <w:b/>
      <w:sz w:val="20"/>
    </w:rPr>
  </w:style>
  <w:style w:type="paragraph" w:styleId="BalloonText">
    <w:name w:val="Balloon Text"/>
    <w:basedOn w:val="Normal"/>
    <w:link w:val="BalloonTextChar"/>
    <w:uiPriority w:val="99"/>
    <w:semiHidden/>
    <w:unhideWhenUsed/>
    <w:rsid w:val="005E3707"/>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5E3707"/>
    <w:rPr>
      <w:rFonts w:ascii="Segoe UI" w:hAnsi="Segoe UI" w:cs="Segoe UI"/>
      <w:sz w:val="18"/>
    </w:rPr>
  </w:style>
  <w:style w:type="paragraph" w:customStyle="1" w:styleId="JRCFigurecaption">
    <w:name w:val="JRC_Figure_caption"/>
    <w:basedOn w:val="Normal"/>
    <w:next w:val="Normal"/>
    <w:qFormat/>
    <w:rsid w:val="00567053"/>
    <w:pPr>
      <w:spacing w:before="360" w:after="120" w:line="240" w:lineRule="auto"/>
      <w:jc w:val="center"/>
    </w:pPr>
    <w:rPr>
      <w:rFonts w:ascii="Verdana" w:eastAsia="Calibri" w:hAnsi="Verdana" w:cs="Times New Roman"/>
      <w:sz w:val="18"/>
    </w:rPr>
  </w:style>
  <w:style w:type="paragraph" w:customStyle="1" w:styleId="JRCFiguresource">
    <w:name w:val="JRC_Figure_source"/>
    <w:basedOn w:val="Normal"/>
    <w:next w:val="Normal"/>
    <w:qFormat/>
    <w:rsid w:val="00567053"/>
    <w:pPr>
      <w:spacing w:after="360" w:line="240" w:lineRule="auto"/>
      <w:jc w:val="center"/>
    </w:pPr>
    <w:rPr>
      <w:rFonts w:ascii="Verdana" w:eastAsia="Times New Roman" w:hAnsi="Verdana" w:cs="Times New Roman"/>
      <w:sz w:val="16"/>
    </w:rPr>
  </w:style>
  <w:style w:type="paragraph" w:customStyle="1" w:styleId="JRCTabletitle">
    <w:name w:val="JRC_Table_title"/>
    <w:basedOn w:val="Normal"/>
    <w:autoRedefine/>
    <w:qFormat/>
    <w:rsid w:val="00173BB6"/>
    <w:pPr>
      <w:keepNext/>
      <w:spacing w:before="240" w:after="120" w:line="240" w:lineRule="auto"/>
      <w:jc w:val="center"/>
    </w:pPr>
    <w:rPr>
      <w:rFonts w:ascii="Times New Roman" w:eastAsia="Calibri" w:hAnsi="Times New Roman" w:cs="Times New Roman"/>
      <w:sz w:val="20"/>
    </w:rPr>
  </w:style>
  <w:style w:type="paragraph" w:customStyle="1" w:styleId="JRCText">
    <w:name w:val="JRC_Text"/>
    <w:basedOn w:val="Normal"/>
    <w:qFormat/>
    <w:rsid w:val="000C09F5"/>
    <w:pPr>
      <w:spacing w:before="120" w:after="120" w:line="240" w:lineRule="auto"/>
      <w:jc w:val="both"/>
    </w:pPr>
    <w:rPr>
      <w:rFonts w:ascii="Verdana" w:eastAsia="Calibri" w:hAnsi="Verdana" w:cs="Times New Roman"/>
      <w:sz w:val="20"/>
    </w:rPr>
  </w:style>
  <w:style w:type="paragraph" w:customStyle="1" w:styleId="JRCTablesource">
    <w:name w:val="JRC_Table_source"/>
    <w:basedOn w:val="Normal"/>
    <w:next w:val="JRCText"/>
    <w:qFormat/>
    <w:rsid w:val="000C09F5"/>
    <w:pPr>
      <w:spacing w:after="120" w:line="240" w:lineRule="auto"/>
      <w:jc w:val="both"/>
    </w:pPr>
    <w:rPr>
      <w:rFonts w:ascii="Verdana" w:eastAsia="Times New Roman" w:hAnsi="Verdana" w:cs="Times New Roman"/>
      <w:sz w:val="16"/>
    </w:rPr>
  </w:style>
  <w:style w:type="paragraph" w:styleId="FootnoteText">
    <w:name w:val="footnote text"/>
    <w:basedOn w:val="Normal"/>
    <w:link w:val="FootnoteTextChar"/>
    <w:unhideWhenUsed/>
    <w:qFormat/>
    <w:rsid w:val="00C645DD"/>
    <w:pPr>
      <w:spacing w:after="0" w:line="240" w:lineRule="auto"/>
      <w:ind w:left="357" w:hanging="357"/>
      <w:jc w:val="both"/>
    </w:pPr>
    <w:rPr>
      <w:rFonts w:ascii="Verdana" w:hAnsi="Verdana"/>
      <w:sz w:val="16"/>
    </w:rPr>
  </w:style>
  <w:style w:type="character" w:customStyle="1" w:styleId="FootnoteTextChar">
    <w:name w:val="Footnote Text Char"/>
    <w:basedOn w:val="DefaultParagraphFont"/>
    <w:link w:val="FootnoteText"/>
    <w:qFormat/>
    <w:rsid w:val="00C645DD"/>
    <w:rPr>
      <w:rFonts w:ascii="Verdana" w:hAnsi="Verdana"/>
      <w:sz w:val="16"/>
    </w:rPr>
  </w:style>
  <w:style w:type="character" w:styleId="FootnoteReference">
    <w:name w:val="footnote reference"/>
    <w:basedOn w:val="DefaultParagraphFont"/>
    <w:link w:val="FootnotesymbolCarZchn"/>
    <w:uiPriority w:val="99"/>
    <w:unhideWhenUsed/>
    <w:qFormat/>
    <w:rsid w:val="00C645DD"/>
    <w:rPr>
      <w:vertAlign w:val="superscript"/>
    </w:rPr>
  </w:style>
  <w:style w:type="paragraph" w:styleId="Revision">
    <w:name w:val="Revision"/>
    <w:hidden/>
    <w:uiPriority w:val="99"/>
    <w:semiHidden/>
    <w:rsid w:val="0006489E"/>
    <w:pPr>
      <w:spacing w:after="0" w:line="240" w:lineRule="auto"/>
    </w:pPr>
  </w:style>
  <w:style w:type="paragraph" w:customStyle="1" w:styleId="JRCLevel-2title">
    <w:name w:val="JRC_Level-2_title"/>
    <w:basedOn w:val="Heading2"/>
    <w:next w:val="JRCText"/>
    <w:autoRedefine/>
    <w:qFormat/>
    <w:rsid w:val="00223D4D"/>
    <w:pPr>
      <w:spacing w:before="0" w:line="360" w:lineRule="auto"/>
      <w:jc w:val="center"/>
    </w:pPr>
    <w:rPr>
      <w:rFonts w:ascii="EC Square Sans Pro" w:eastAsia="Times New Roman" w:hAnsi="EC Square Sans Pro" w:cs="Times New Roman"/>
      <w:b/>
      <w:sz w:val="24"/>
    </w:rPr>
  </w:style>
  <w:style w:type="paragraph" w:customStyle="1" w:styleId="FootnotesymbolCarZchn">
    <w:name w:val="Footnote symbol Car Zchn"/>
    <w:basedOn w:val="Normal"/>
    <w:link w:val="FootnoteReference"/>
    <w:uiPriority w:val="99"/>
    <w:rsid w:val="00223D4D"/>
    <w:pPr>
      <w:spacing w:line="240" w:lineRule="exact"/>
      <w:jc w:val="both"/>
    </w:pPr>
    <w:rPr>
      <w:vertAlign w:val="superscript"/>
    </w:rPr>
  </w:style>
  <w:style w:type="table" w:styleId="GridTable2-Accent1">
    <w:name w:val="Grid Table 2 Accent 1"/>
    <w:basedOn w:val="TableNormal"/>
    <w:uiPriority w:val="47"/>
    <w:rsid w:val="00223D4D"/>
    <w:pPr>
      <w:spacing w:after="0" w:line="240" w:lineRule="auto"/>
    </w:pPr>
    <w:rPr>
      <w:rFonts w:ascii="Calibri" w:eastAsia="Times New Roman" w:hAnsi="Calibri" w:cs="Times New Roman"/>
      <w:sz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rPr>
      <w:tblPr/>
      <w:tcPr>
        <w:tcBorders>
          <w:top w:val="nil"/>
          <w:bottom w:val="single" w:sz="12" w:space="0" w:color="8EAADB" w:themeColor="accent1" w:themeTint="99"/>
          <w:insideH w:val="nil"/>
          <w:insideV w:val="nil"/>
        </w:tcBorders>
        <w:shd w:val="clear" w:color="auto" w:fill="FFFFFF" w:themeFill="background1"/>
      </w:tcPr>
    </w:tblStylePr>
    <w:tblStylePr w:type="lastRow">
      <w:rPr>
        <w:b/>
      </w:rPr>
      <w:tblPr/>
      <w:tcPr>
        <w:tcBorders>
          <w:top w:val="double" w:sz="2" w:space="0" w:color="8EAADB"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semiHidden/>
    <w:rsid w:val="00223D4D"/>
    <w:rPr>
      <w:rFonts w:asciiTheme="majorHAnsi" w:eastAsiaTheme="majorEastAsia" w:hAnsiTheme="majorHAnsi" w:cstheme="majorBidi"/>
      <w:color w:val="2F5496" w:themeColor="accent1" w:themeShade="BF"/>
      <w:sz w:val="26"/>
    </w:rPr>
  </w:style>
  <w:style w:type="character" w:customStyle="1" w:styleId="Mention1">
    <w:name w:val="Mention1"/>
    <w:basedOn w:val="DefaultParagraphFont"/>
    <w:uiPriority w:val="99"/>
    <w:unhideWhenUsed/>
    <w:rPr>
      <w:color w:val="2B579A"/>
      <w:shd w:val="clear" w:color="auto" w:fill="E6E6E6"/>
    </w:rPr>
  </w:style>
  <w:style w:type="character" w:customStyle="1" w:styleId="markedcontent">
    <w:name w:val="markedcontent"/>
    <w:basedOn w:val="DefaultParagraphFont"/>
    <w:rsid w:val="00A803C1"/>
  </w:style>
  <w:style w:type="character" w:customStyle="1" w:styleId="normaltextrun">
    <w:name w:val="normaltextrun"/>
    <w:basedOn w:val="DefaultParagraphFont"/>
    <w:rsid w:val="00793A08"/>
  </w:style>
  <w:style w:type="character" w:customStyle="1" w:styleId="eop">
    <w:name w:val="eop"/>
    <w:basedOn w:val="DefaultParagraphFont"/>
    <w:rsid w:val="00793A08"/>
  </w:style>
  <w:style w:type="character" w:customStyle="1" w:styleId="Marker">
    <w:name w:val="Marker"/>
    <w:basedOn w:val="DefaultParagraphFont"/>
    <w:rsid w:val="00DB0479"/>
    <w:rPr>
      <w:color w:val="0000FF"/>
      <w:shd w:val="clear" w:color="auto" w:fill="auto"/>
    </w:rPr>
  </w:style>
  <w:style w:type="paragraph" w:customStyle="1" w:styleId="Pagedecouverture">
    <w:name w:val="Page de couverture"/>
    <w:basedOn w:val="Normal"/>
    <w:next w:val="Normal"/>
    <w:rsid w:val="00DB0479"/>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DB047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DB0479"/>
    <w:rPr>
      <w:rFonts w:ascii="Times New Roman" w:hAnsi="Times New Roman" w:cs="Times New Roman"/>
      <w:sz w:val="24"/>
    </w:rPr>
  </w:style>
  <w:style w:type="paragraph" w:customStyle="1" w:styleId="FooterSensitivity">
    <w:name w:val="Footer Sensitivity"/>
    <w:basedOn w:val="Normal"/>
    <w:link w:val="FooterSensitivityChar"/>
    <w:rsid w:val="00DB047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DB0479"/>
    <w:rPr>
      <w:rFonts w:ascii="Times New Roman" w:hAnsi="Times New Roman" w:cs="Times New Roman"/>
      <w:b/>
      <w:sz w:val="32"/>
    </w:rPr>
  </w:style>
  <w:style w:type="paragraph" w:customStyle="1" w:styleId="HeaderCoverPage">
    <w:name w:val="Header Cover Page"/>
    <w:basedOn w:val="Normal"/>
    <w:link w:val="HeaderCoverPageChar"/>
    <w:rsid w:val="00DB047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DB0479"/>
    <w:rPr>
      <w:rFonts w:ascii="Times New Roman" w:hAnsi="Times New Roman" w:cs="Times New Roman"/>
      <w:sz w:val="24"/>
    </w:rPr>
  </w:style>
  <w:style w:type="paragraph" w:customStyle="1" w:styleId="HeaderSensitivity">
    <w:name w:val="Header Sensitivity"/>
    <w:basedOn w:val="Normal"/>
    <w:link w:val="HeaderSensitivityChar"/>
    <w:rsid w:val="00DB047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DB0479"/>
    <w:rPr>
      <w:rFonts w:ascii="Times New Roman" w:hAnsi="Times New Roman" w:cs="Times New Roman"/>
      <w:b/>
      <w:sz w:val="32"/>
    </w:rPr>
  </w:style>
  <w:style w:type="paragraph" w:customStyle="1" w:styleId="HeaderSensitivityRight">
    <w:name w:val="Header Sensitivity Right"/>
    <w:basedOn w:val="Normal"/>
    <w:link w:val="HeaderSensitivityRightChar"/>
    <w:rsid w:val="00DB0479"/>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DB0479"/>
    <w:rPr>
      <w:rFonts w:ascii="Times New Roman" w:hAnsi="Times New Roman" w:cs="Times New Roman"/>
      <w:sz w:val="28"/>
    </w:rPr>
  </w:style>
  <w:style w:type="character" w:customStyle="1" w:styleId="UnresolvedMention1">
    <w:name w:val="Unresolved Mention1"/>
    <w:basedOn w:val="DefaultParagraphFont"/>
    <w:uiPriority w:val="99"/>
    <w:semiHidden/>
    <w:unhideWhenUsed/>
    <w:rsid w:val="005C4380"/>
    <w:rPr>
      <w:color w:val="605E5C"/>
      <w:shd w:val="clear" w:color="auto" w:fill="E1DFDD"/>
    </w:rPr>
  </w:style>
  <w:style w:type="character" w:styleId="PlaceholderText">
    <w:name w:val="Placeholder Text"/>
    <w:basedOn w:val="DefaultParagraphFont"/>
    <w:uiPriority w:val="99"/>
    <w:semiHidden/>
    <w:rsid w:val="00AB3F1F"/>
    <w:rPr>
      <w:color w:val="808080"/>
    </w:rPr>
  </w:style>
  <w:style w:type="character" w:styleId="FollowedHyperlink">
    <w:name w:val="FollowedHyperlink"/>
    <w:basedOn w:val="DefaultParagraphFont"/>
    <w:uiPriority w:val="99"/>
    <w:semiHidden/>
    <w:unhideWhenUsed/>
    <w:rsid w:val="00AA2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490">
      <w:bodyDiv w:val="1"/>
      <w:marLeft w:val="0"/>
      <w:marRight w:val="0"/>
      <w:marTop w:val="0"/>
      <w:marBottom w:val="0"/>
      <w:divBdr>
        <w:top w:val="none" w:sz="0" w:space="0" w:color="auto"/>
        <w:left w:val="none" w:sz="0" w:space="0" w:color="auto"/>
        <w:bottom w:val="none" w:sz="0" w:space="0" w:color="auto"/>
        <w:right w:val="none" w:sz="0" w:space="0" w:color="auto"/>
      </w:divBdr>
    </w:div>
    <w:div w:id="161048725">
      <w:bodyDiv w:val="1"/>
      <w:marLeft w:val="0"/>
      <w:marRight w:val="0"/>
      <w:marTop w:val="0"/>
      <w:marBottom w:val="0"/>
      <w:divBdr>
        <w:top w:val="none" w:sz="0" w:space="0" w:color="auto"/>
        <w:left w:val="none" w:sz="0" w:space="0" w:color="auto"/>
        <w:bottom w:val="none" w:sz="0" w:space="0" w:color="auto"/>
        <w:right w:val="none" w:sz="0" w:space="0" w:color="auto"/>
      </w:divBdr>
    </w:div>
    <w:div w:id="262153578">
      <w:bodyDiv w:val="1"/>
      <w:marLeft w:val="0"/>
      <w:marRight w:val="0"/>
      <w:marTop w:val="0"/>
      <w:marBottom w:val="0"/>
      <w:divBdr>
        <w:top w:val="none" w:sz="0" w:space="0" w:color="auto"/>
        <w:left w:val="none" w:sz="0" w:space="0" w:color="auto"/>
        <w:bottom w:val="none" w:sz="0" w:space="0" w:color="auto"/>
        <w:right w:val="none" w:sz="0" w:space="0" w:color="auto"/>
      </w:divBdr>
    </w:div>
    <w:div w:id="326131046">
      <w:bodyDiv w:val="1"/>
      <w:marLeft w:val="0"/>
      <w:marRight w:val="0"/>
      <w:marTop w:val="0"/>
      <w:marBottom w:val="0"/>
      <w:divBdr>
        <w:top w:val="none" w:sz="0" w:space="0" w:color="auto"/>
        <w:left w:val="none" w:sz="0" w:space="0" w:color="auto"/>
        <w:bottom w:val="none" w:sz="0" w:space="0" w:color="auto"/>
        <w:right w:val="none" w:sz="0" w:space="0" w:color="auto"/>
      </w:divBdr>
      <w:divsChild>
        <w:div w:id="1458182590">
          <w:marLeft w:val="0"/>
          <w:marRight w:val="0"/>
          <w:marTop w:val="0"/>
          <w:marBottom w:val="0"/>
          <w:divBdr>
            <w:top w:val="none" w:sz="0" w:space="0" w:color="auto"/>
            <w:left w:val="none" w:sz="0" w:space="0" w:color="auto"/>
            <w:bottom w:val="none" w:sz="0" w:space="0" w:color="auto"/>
            <w:right w:val="none" w:sz="0" w:space="0" w:color="auto"/>
          </w:divBdr>
        </w:div>
      </w:divsChild>
    </w:div>
    <w:div w:id="439494032">
      <w:bodyDiv w:val="1"/>
      <w:marLeft w:val="0"/>
      <w:marRight w:val="0"/>
      <w:marTop w:val="0"/>
      <w:marBottom w:val="0"/>
      <w:divBdr>
        <w:top w:val="none" w:sz="0" w:space="0" w:color="auto"/>
        <w:left w:val="none" w:sz="0" w:space="0" w:color="auto"/>
        <w:bottom w:val="none" w:sz="0" w:space="0" w:color="auto"/>
        <w:right w:val="none" w:sz="0" w:space="0" w:color="auto"/>
      </w:divBdr>
      <w:divsChild>
        <w:div w:id="1515653541">
          <w:marLeft w:val="0"/>
          <w:marRight w:val="0"/>
          <w:marTop w:val="0"/>
          <w:marBottom w:val="0"/>
          <w:divBdr>
            <w:top w:val="none" w:sz="0" w:space="0" w:color="auto"/>
            <w:left w:val="none" w:sz="0" w:space="0" w:color="auto"/>
            <w:bottom w:val="none" w:sz="0" w:space="0" w:color="auto"/>
            <w:right w:val="none" w:sz="0" w:space="0" w:color="auto"/>
          </w:divBdr>
        </w:div>
      </w:divsChild>
    </w:div>
    <w:div w:id="480536666">
      <w:bodyDiv w:val="1"/>
      <w:marLeft w:val="0"/>
      <w:marRight w:val="0"/>
      <w:marTop w:val="0"/>
      <w:marBottom w:val="0"/>
      <w:divBdr>
        <w:top w:val="none" w:sz="0" w:space="0" w:color="auto"/>
        <w:left w:val="none" w:sz="0" w:space="0" w:color="auto"/>
        <w:bottom w:val="none" w:sz="0" w:space="0" w:color="auto"/>
        <w:right w:val="none" w:sz="0" w:space="0" w:color="auto"/>
      </w:divBdr>
      <w:divsChild>
        <w:div w:id="1199590896">
          <w:marLeft w:val="0"/>
          <w:marRight w:val="0"/>
          <w:marTop w:val="0"/>
          <w:marBottom w:val="0"/>
          <w:divBdr>
            <w:top w:val="none" w:sz="0" w:space="0" w:color="auto"/>
            <w:left w:val="none" w:sz="0" w:space="0" w:color="auto"/>
            <w:bottom w:val="none" w:sz="0" w:space="0" w:color="auto"/>
            <w:right w:val="none" w:sz="0" w:space="0" w:color="auto"/>
          </w:divBdr>
        </w:div>
      </w:divsChild>
    </w:div>
    <w:div w:id="688487492">
      <w:bodyDiv w:val="1"/>
      <w:marLeft w:val="0"/>
      <w:marRight w:val="0"/>
      <w:marTop w:val="0"/>
      <w:marBottom w:val="0"/>
      <w:divBdr>
        <w:top w:val="none" w:sz="0" w:space="0" w:color="auto"/>
        <w:left w:val="none" w:sz="0" w:space="0" w:color="auto"/>
        <w:bottom w:val="none" w:sz="0" w:space="0" w:color="auto"/>
        <w:right w:val="none" w:sz="0" w:space="0" w:color="auto"/>
      </w:divBdr>
      <w:divsChild>
        <w:div w:id="812067707">
          <w:marLeft w:val="0"/>
          <w:marRight w:val="0"/>
          <w:marTop w:val="0"/>
          <w:marBottom w:val="0"/>
          <w:divBdr>
            <w:top w:val="none" w:sz="0" w:space="0" w:color="auto"/>
            <w:left w:val="none" w:sz="0" w:space="0" w:color="auto"/>
            <w:bottom w:val="none" w:sz="0" w:space="0" w:color="auto"/>
            <w:right w:val="none" w:sz="0" w:space="0" w:color="auto"/>
          </w:divBdr>
        </w:div>
      </w:divsChild>
    </w:div>
    <w:div w:id="893468349">
      <w:bodyDiv w:val="1"/>
      <w:marLeft w:val="0"/>
      <w:marRight w:val="0"/>
      <w:marTop w:val="0"/>
      <w:marBottom w:val="0"/>
      <w:divBdr>
        <w:top w:val="none" w:sz="0" w:space="0" w:color="auto"/>
        <w:left w:val="none" w:sz="0" w:space="0" w:color="auto"/>
        <w:bottom w:val="none" w:sz="0" w:space="0" w:color="auto"/>
        <w:right w:val="none" w:sz="0" w:space="0" w:color="auto"/>
      </w:divBdr>
      <w:divsChild>
        <w:div w:id="222256523">
          <w:marLeft w:val="0"/>
          <w:marRight w:val="0"/>
          <w:marTop w:val="0"/>
          <w:marBottom w:val="0"/>
          <w:divBdr>
            <w:top w:val="none" w:sz="0" w:space="0" w:color="auto"/>
            <w:left w:val="none" w:sz="0" w:space="0" w:color="auto"/>
            <w:bottom w:val="none" w:sz="0" w:space="0" w:color="auto"/>
            <w:right w:val="none" w:sz="0" w:space="0" w:color="auto"/>
          </w:divBdr>
        </w:div>
      </w:divsChild>
    </w:div>
    <w:div w:id="1176194906">
      <w:bodyDiv w:val="1"/>
      <w:marLeft w:val="0"/>
      <w:marRight w:val="0"/>
      <w:marTop w:val="0"/>
      <w:marBottom w:val="0"/>
      <w:divBdr>
        <w:top w:val="none" w:sz="0" w:space="0" w:color="auto"/>
        <w:left w:val="none" w:sz="0" w:space="0" w:color="auto"/>
        <w:bottom w:val="none" w:sz="0" w:space="0" w:color="auto"/>
        <w:right w:val="none" w:sz="0" w:space="0" w:color="auto"/>
      </w:divBdr>
    </w:div>
    <w:div w:id="1345785607">
      <w:bodyDiv w:val="1"/>
      <w:marLeft w:val="0"/>
      <w:marRight w:val="0"/>
      <w:marTop w:val="0"/>
      <w:marBottom w:val="0"/>
      <w:divBdr>
        <w:top w:val="none" w:sz="0" w:space="0" w:color="auto"/>
        <w:left w:val="none" w:sz="0" w:space="0" w:color="auto"/>
        <w:bottom w:val="none" w:sz="0" w:space="0" w:color="auto"/>
        <w:right w:val="none" w:sz="0" w:space="0" w:color="auto"/>
      </w:divBdr>
      <w:divsChild>
        <w:div w:id="1706558279">
          <w:marLeft w:val="0"/>
          <w:marRight w:val="0"/>
          <w:marTop w:val="0"/>
          <w:marBottom w:val="0"/>
          <w:divBdr>
            <w:top w:val="none" w:sz="0" w:space="0" w:color="auto"/>
            <w:left w:val="none" w:sz="0" w:space="0" w:color="auto"/>
            <w:bottom w:val="none" w:sz="0" w:space="0" w:color="auto"/>
            <w:right w:val="none" w:sz="0" w:space="0" w:color="auto"/>
          </w:divBdr>
        </w:div>
      </w:divsChild>
    </w:div>
    <w:div w:id="1366445000">
      <w:bodyDiv w:val="1"/>
      <w:marLeft w:val="0"/>
      <w:marRight w:val="0"/>
      <w:marTop w:val="0"/>
      <w:marBottom w:val="0"/>
      <w:divBdr>
        <w:top w:val="none" w:sz="0" w:space="0" w:color="auto"/>
        <w:left w:val="none" w:sz="0" w:space="0" w:color="auto"/>
        <w:bottom w:val="none" w:sz="0" w:space="0" w:color="auto"/>
        <w:right w:val="none" w:sz="0" w:space="0" w:color="auto"/>
      </w:divBdr>
    </w:div>
    <w:div w:id="1399815844">
      <w:bodyDiv w:val="1"/>
      <w:marLeft w:val="0"/>
      <w:marRight w:val="0"/>
      <w:marTop w:val="0"/>
      <w:marBottom w:val="0"/>
      <w:divBdr>
        <w:top w:val="none" w:sz="0" w:space="0" w:color="auto"/>
        <w:left w:val="none" w:sz="0" w:space="0" w:color="auto"/>
        <w:bottom w:val="none" w:sz="0" w:space="0" w:color="auto"/>
        <w:right w:val="none" w:sz="0" w:space="0" w:color="auto"/>
      </w:divBdr>
    </w:div>
    <w:div w:id="1488202149">
      <w:bodyDiv w:val="1"/>
      <w:marLeft w:val="0"/>
      <w:marRight w:val="0"/>
      <w:marTop w:val="0"/>
      <w:marBottom w:val="0"/>
      <w:divBdr>
        <w:top w:val="none" w:sz="0" w:space="0" w:color="auto"/>
        <w:left w:val="none" w:sz="0" w:space="0" w:color="auto"/>
        <w:bottom w:val="none" w:sz="0" w:space="0" w:color="auto"/>
        <w:right w:val="none" w:sz="0" w:space="0" w:color="auto"/>
      </w:divBdr>
    </w:div>
    <w:div w:id="1633973148">
      <w:bodyDiv w:val="1"/>
      <w:marLeft w:val="0"/>
      <w:marRight w:val="0"/>
      <w:marTop w:val="0"/>
      <w:marBottom w:val="0"/>
      <w:divBdr>
        <w:top w:val="none" w:sz="0" w:space="0" w:color="auto"/>
        <w:left w:val="none" w:sz="0" w:space="0" w:color="auto"/>
        <w:bottom w:val="none" w:sz="0" w:space="0" w:color="auto"/>
        <w:right w:val="none" w:sz="0" w:space="0" w:color="auto"/>
      </w:divBdr>
      <w:divsChild>
        <w:div w:id="1410689751">
          <w:marLeft w:val="0"/>
          <w:marRight w:val="0"/>
          <w:marTop w:val="0"/>
          <w:marBottom w:val="0"/>
          <w:divBdr>
            <w:top w:val="none" w:sz="0" w:space="0" w:color="auto"/>
            <w:left w:val="none" w:sz="0" w:space="0" w:color="auto"/>
            <w:bottom w:val="none" w:sz="0" w:space="0" w:color="auto"/>
            <w:right w:val="none" w:sz="0" w:space="0" w:color="auto"/>
          </w:divBdr>
        </w:div>
      </w:divsChild>
    </w:div>
    <w:div w:id="1700545176">
      <w:bodyDiv w:val="1"/>
      <w:marLeft w:val="0"/>
      <w:marRight w:val="0"/>
      <w:marTop w:val="0"/>
      <w:marBottom w:val="0"/>
      <w:divBdr>
        <w:top w:val="none" w:sz="0" w:space="0" w:color="auto"/>
        <w:left w:val="none" w:sz="0" w:space="0" w:color="auto"/>
        <w:bottom w:val="none" w:sz="0" w:space="0" w:color="auto"/>
        <w:right w:val="none" w:sz="0" w:space="0" w:color="auto"/>
      </w:divBdr>
      <w:divsChild>
        <w:div w:id="1599485475">
          <w:marLeft w:val="0"/>
          <w:marRight w:val="0"/>
          <w:marTop w:val="0"/>
          <w:marBottom w:val="0"/>
          <w:divBdr>
            <w:top w:val="none" w:sz="0" w:space="0" w:color="auto"/>
            <w:left w:val="none" w:sz="0" w:space="0" w:color="auto"/>
            <w:bottom w:val="none" w:sz="0" w:space="0" w:color="auto"/>
            <w:right w:val="none" w:sz="0" w:space="0" w:color="auto"/>
          </w:divBdr>
        </w:div>
      </w:divsChild>
    </w:div>
    <w:div w:id="1750957444">
      <w:bodyDiv w:val="1"/>
      <w:marLeft w:val="0"/>
      <w:marRight w:val="0"/>
      <w:marTop w:val="0"/>
      <w:marBottom w:val="0"/>
      <w:divBdr>
        <w:top w:val="none" w:sz="0" w:space="0" w:color="auto"/>
        <w:left w:val="none" w:sz="0" w:space="0" w:color="auto"/>
        <w:bottom w:val="none" w:sz="0" w:space="0" w:color="auto"/>
        <w:right w:val="none" w:sz="0" w:space="0" w:color="auto"/>
      </w:divBdr>
      <w:divsChild>
        <w:div w:id="1854147647">
          <w:marLeft w:val="0"/>
          <w:marRight w:val="0"/>
          <w:marTop w:val="0"/>
          <w:marBottom w:val="0"/>
          <w:divBdr>
            <w:top w:val="none" w:sz="0" w:space="0" w:color="auto"/>
            <w:left w:val="none" w:sz="0" w:space="0" w:color="auto"/>
            <w:bottom w:val="none" w:sz="0" w:space="0" w:color="auto"/>
            <w:right w:val="none" w:sz="0" w:space="0" w:color="auto"/>
          </w:divBdr>
        </w:div>
      </w:divsChild>
    </w:div>
    <w:div w:id="1799689669">
      <w:bodyDiv w:val="1"/>
      <w:marLeft w:val="0"/>
      <w:marRight w:val="0"/>
      <w:marTop w:val="0"/>
      <w:marBottom w:val="0"/>
      <w:divBdr>
        <w:top w:val="none" w:sz="0" w:space="0" w:color="auto"/>
        <w:left w:val="none" w:sz="0" w:space="0" w:color="auto"/>
        <w:bottom w:val="none" w:sz="0" w:space="0" w:color="auto"/>
        <w:right w:val="none" w:sz="0" w:space="0" w:color="auto"/>
      </w:divBdr>
    </w:div>
    <w:div w:id="1800147721">
      <w:bodyDiv w:val="1"/>
      <w:marLeft w:val="0"/>
      <w:marRight w:val="0"/>
      <w:marTop w:val="0"/>
      <w:marBottom w:val="0"/>
      <w:divBdr>
        <w:top w:val="none" w:sz="0" w:space="0" w:color="auto"/>
        <w:left w:val="none" w:sz="0" w:space="0" w:color="auto"/>
        <w:bottom w:val="none" w:sz="0" w:space="0" w:color="auto"/>
        <w:right w:val="none" w:sz="0" w:space="0" w:color="auto"/>
      </w:divBdr>
    </w:div>
    <w:div w:id="1859736210">
      <w:bodyDiv w:val="1"/>
      <w:marLeft w:val="0"/>
      <w:marRight w:val="0"/>
      <w:marTop w:val="0"/>
      <w:marBottom w:val="0"/>
      <w:divBdr>
        <w:top w:val="none" w:sz="0" w:space="0" w:color="auto"/>
        <w:left w:val="none" w:sz="0" w:space="0" w:color="auto"/>
        <w:bottom w:val="none" w:sz="0" w:space="0" w:color="auto"/>
        <w:right w:val="none" w:sz="0" w:space="0" w:color="auto"/>
      </w:divBdr>
      <w:divsChild>
        <w:div w:id="344864738">
          <w:marLeft w:val="0"/>
          <w:marRight w:val="0"/>
          <w:marTop w:val="0"/>
          <w:marBottom w:val="0"/>
          <w:divBdr>
            <w:top w:val="none" w:sz="0" w:space="0" w:color="auto"/>
            <w:left w:val="none" w:sz="0" w:space="0" w:color="auto"/>
            <w:bottom w:val="none" w:sz="0" w:space="0" w:color="auto"/>
            <w:right w:val="none" w:sz="0" w:space="0" w:color="auto"/>
          </w:divBdr>
        </w:div>
      </w:divsChild>
    </w:div>
    <w:div w:id="1944729735">
      <w:bodyDiv w:val="1"/>
      <w:marLeft w:val="0"/>
      <w:marRight w:val="0"/>
      <w:marTop w:val="0"/>
      <w:marBottom w:val="0"/>
      <w:divBdr>
        <w:top w:val="none" w:sz="0" w:space="0" w:color="auto"/>
        <w:left w:val="none" w:sz="0" w:space="0" w:color="auto"/>
        <w:bottom w:val="none" w:sz="0" w:space="0" w:color="auto"/>
        <w:right w:val="none" w:sz="0" w:space="0" w:color="auto"/>
      </w:divBdr>
    </w:div>
    <w:div w:id="1974555641">
      <w:bodyDiv w:val="1"/>
      <w:marLeft w:val="0"/>
      <w:marRight w:val="0"/>
      <w:marTop w:val="0"/>
      <w:marBottom w:val="0"/>
      <w:divBdr>
        <w:top w:val="none" w:sz="0" w:space="0" w:color="auto"/>
        <w:left w:val="none" w:sz="0" w:space="0" w:color="auto"/>
        <w:bottom w:val="none" w:sz="0" w:space="0" w:color="auto"/>
        <w:right w:val="none" w:sz="0" w:space="0" w:color="auto"/>
      </w:divBdr>
    </w:div>
    <w:div w:id="1996565988">
      <w:bodyDiv w:val="1"/>
      <w:marLeft w:val="0"/>
      <w:marRight w:val="0"/>
      <w:marTop w:val="0"/>
      <w:marBottom w:val="0"/>
      <w:divBdr>
        <w:top w:val="none" w:sz="0" w:space="0" w:color="auto"/>
        <w:left w:val="none" w:sz="0" w:space="0" w:color="auto"/>
        <w:bottom w:val="none" w:sz="0" w:space="0" w:color="auto"/>
        <w:right w:val="none" w:sz="0" w:space="0" w:color="auto"/>
      </w:divBdr>
    </w:div>
    <w:div w:id="21469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resource.html?uri=cellar:fc930f14-d7ae-11ec-a95f-01aa75ed71a1.0002.02/DOC_1&amp;form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802581D1E5194BB751F4A1219E22A7" ma:contentTypeVersion="11" ma:contentTypeDescription="Create a new document." ma:contentTypeScope="" ma:versionID="ef4798f26d4a5328f7677d50abcc59c6">
  <xsd:schema xmlns:xsd="http://www.w3.org/2001/XMLSchema" xmlns:xs="http://www.w3.org/2001/XMLSchema" xmlns:p="http://schemas.microsoft.com/office/2006/metadata/properties" xmlns:ns2="f7c5e3fa-378b-48b1-a129-e33a73f99ee9" xmlns:ns3="098ed42e-6899-48a5-86ec-62908de97b08" targetNamespace="http://schemas.microsoft.com/office/2006/metadata/properties" ma:root="true" ma:fieldsID="8c7c613a4f72578082f618fba8acdc92" ns2:_="" ns3:_="">
    <xsd:import namespace="f7c5e3fa-378b-48b1-a129-e33a73f99ee9"/>
    <xsd:import namespace="098ed42e-6899-48a5-86ec-62908de97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5e3fa-378b-48b1-a129-e33a73f99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ed42e-6899-48a5-86ec-62908de97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21ac2e1-5e92-415f-8ca8-62c0c80430b3}" ma:internalName="TaxCatchAll" ma:showField="CatchAllData" ma:web="098ed42e-6899-48a5-86ec-62908de97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c5e3fa-378b-48b1-a129-e33a73f99ee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98ed42e-6899-48a5-86ec-62908de97b08" xsi:nil="true"/>
    <SharedWithUsers xmlns="098ed42e-6899-48a5-86ec-62908de97b0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99AF-69A9-4BF5-A278-968D5F9A3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5e3fa-378b-48b1-a129-e33a73f99ee9"/>
    <ds:schemaRef ds:uri="098ed42e-6899-48a5-86ec-62908de97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AF823-B17A-448D-BC70-2F8096870F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98ed42e-6899-48a5-86ec-62908de97b08"/>
    <ds:schemaRef ds:uri="http://schemas.microsoft.com/office/2006/metadata/properties"/>
    <ds:schemaRef ds:uri="f7c5e3fa-378b-48b1-a129-e33a73f99ee9"/>
    <ds:schemaRef ds:uri="http://www.w3.org/XML/1998/namespace"/>
    <ds:schemaRef ds:uri="http://purl.org/dc/dcmitype/"/>
  </ds:schemaRefs>
</ds:datastoreItem>
</file>

<file path=customXml/itemProps3.xml><?xml version="1.0" encoding="utf-8"?>
<ds:datastoreItem xmlns:ds="http://schemas.openxmlformats.org/officeDocument/2006/customXml" ds:itemID="{F4E30875-C602-4A4F-B71D-195ADB3E3820}">
  <ds:schemaRefs>
    <ds:schemaRef ds:uri="http://schemas.microsoft.com/sharepoint/v3/contenttype/forms"/>
  </ds:schemaRefs>
</ds:datastoreItem>
</file>

<file path=customXml/itemProps4.xml><?xml version="1.0" encoding="utf-8"?>
<ds:datastoreItem xmlns:ds="http://schemas.openxmlformats.org/officeDocument/2006/customXml" ds:itemID="{190C394C-AF73-45E6-8A54-16C409F2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14</Pages>
  <Words>7817</Words>
  <Characters>46746</Characters>
  <Application>Microsoft Office Word</Application>
  <DocSecurity>0</DocSecurity>
  <Lines>2124</Lines>
  <Paragraphs>1474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42</cp:revision>
  <dcterms:created xsi:type="dcterms:W3CDTF">2022-11-07T16:24:00Z</dcterms:created>
  <dcterms:modified xsi:type="dcterms:W3CDTF">2022-12-19T08:10:00Z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0x01010046802581D1E5194BB751F4A1219E22A7</vt:lpwstr>
  </property>
  <property fmtid="{D5CDD505-2E9C-101B-9397-08002B2CF9AE}" pid="3" name="MediaServiceImageTags">
    <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Last edited using">
    <vt:lpwstr>LW 8.1, Build 20220902</vt:lpwstr>
  </property>
  <property fmtid="{D5CDD505-2E9C-101B-9397-08002B2CF9AE}" pid="10" name="Created using">
    <vt:lpwstr>LW 8.1, Build 20220902</vt:lpwstr>
  </property>
  <property fmtid="{D5CDD505-2E9C-101B-9397-08002B2CF9AE}" pid="11" name="MSIP_Label_6bd9ddd1-4d20-43f6-abfa-fc3c07406f94_Enabled">
    <vt:lpwstr>true</vt:lpwstr>
  </property>
  <property fmtid="{D5CDD505-2E9C-101B-9397-08002B2CF9AE}" pid="12" name="MSIP_Label_6bd9ddd1-4d20-43f6-abfa-fc3c07406f94_SetDate">
    <vt:lpwstr>2022-10-10T15:36:05Z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421f3f35-a6a6-411b-a661-59312273e902</vt:lpwstr>
  </property>
  <property fmtid="{D5CDD505-2E9C-101B-9397-08002B2CF9AE}" pid="17" name="MSIP_Label_6bd9ddd1-4d20-43f6-abfa-fc3c07406f94_ContentBits">
    <vt:lpwstr>0</vt:lpwstr>
  </property>
</Properties>
</file>